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Default Extension="gif" ContentType="image/gif"/>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pPr>
      <w:r>
        <w:rPr>
          <w:rFonts w:ascii="Times New Roman" w:hAnsi="Times New Roman"/>
        </w:rPr>
        <w:t xml:space="preserve">Федеральное государственное образовательное учреждение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Times New Roman" w:hAnsi="Times New Roman"/>
        </w:rPr>
      </w:pPr>
      <w:r>
        <w:rPr>
          <w:rFonts w:ascii="Times New Roman" w:hAnsi="Times New Roman"/>
        </w:rPr>
        <w:t xml:space="preserve">высшего профессионального образования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pP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pPr>
      <w:r>
        <w:rPr>
          <w:rFonts w:ascii="Times New Roman" w:hAnsi="Times New Roman"/>
        </w:rPr>
        <w:t xml:space="preserve">Санкт-Петербургский государственный университет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Times New Roman" w:hAnsi="Times New Roman"/>
        </w:rPr>
      </w:pPr>
      <w:r>
        <w:rPr>
          <w:rFonts w:ascii="Times New Roman" w:hAnsi="Times New Roman"/>
        </w:rPr>
        <w:t xml:space="preserve">Высшая школа менеджмента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Times New Roman" w:hAnsi="Times New Roman"/>
        </w:rPr>
      </w:pP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Times New Roman" w:hAnsi="Times New Roman"/>
        </w:rPr>
      </w:pP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Theme="minorHAnsi" w:hAnsiTheme="minorHAnsi"/>
          <w:b/>
          <w:sz w:val="30"/>
        </w:rPr>
      </w:pPr>
      <w:r>
        <w:rPr>
          <w:rFonts w:asciiTheme="minorHAnsi" w:hAnsiTheme="minorHAnsi"/>
          <w:b/>
          <w:sz w:val="30"/>
        </w:rPr>
        <w:t>Механизмы принятия решений по управлению организацией:</w:t>
      </w:r>
    </w:p>
    <w:p w:rsidR="00D515A9" w:rsidRP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Theme="minorHAnsi" w:hAnsiTheme="minorHAnsi"/>
          <w:b/>
          <w:sz w:val="30"/>
        </w:rPr>
      </w:pPr>
      <w:r>
        <w:rPr>
          <w:rFonts w:asciiTheme="minorHAnsi" w:hAnsiTheme="minorHAnsi"/>
          <w:b/>
          <w:sz w:val="30"/>
        </w:rPr>
        <w:t>задача о поиске равновесия при решении агентской проблемы с точки зрения риск-менеджмента</w:t>
      </w:r>
    </w:p>
    <w:p w:rsidR="00D515A9" w:rsidRP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b/>
          <w:sz w:val="30"/>
        </w:rPr>
      </w:pP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ascii="Times New Roman" w:hAnsi="Times New Roman"/>
        </w:rPr>
        <w:t xml:space="preserve"> </w:t>
      </w:r>
    </w:p>
    <w:p w:rsidR="00D515A9" w:rsidRP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rPr>
          <w:rFonts w:ascii="Times New Roman" w:hAnsi="Times New Roman"/>
        </w:rPr>
      </w:pPr>
      <w:r w:rsidRPr="00D515A9">
        <w:rPr>
          <w:rFonts w:ascii="Times New Roman" w:hAnsi="Times New Roman"/>
        </w:rPr>
        <w:t xml:space="preserve">Выпускная квалификационная работа </w:t>
      </w:r>
    </w:p>
    <w:p w:rsidR="00D515A9" w:rsidRP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rPr>
          <w:rFonts w:asciiTheme="minorHAnsi" w:hAnsiTheme="minorHAnsi"/>
        </w:rPr>
      </w:pPr>
      <w:r w:rsidRPr="00D515A9">
        <w:rPr>
          <w:rFonts w:ascii="Times New Roman" w:hAnsi="Times New Roman"/>
        </w:rPr>
        <w:t xml:space="preserve">аспиранта, </w:t>
      </w:r>
      <w:r w:rsidRPr="00D515A9">
        <w:rPr>
          <w:rFonts w:ascii="Times New Roman" w:hAnsi="Times New Roman"/>
          <w:szCs w:val="24"/>
        </w:rPr>
        <w:t>обучающегося по основной образовательной программе аспирантуры «Экономика и управление народным хозяйством (логистика; маркетинг; менеджмент)» по специальности научных работников 08.00.05 «Экономика и управление народным хозяйством (по отраслям)»</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pPr>
      <w:r>
        <w:rPr>
          <w:rFonts w:ascii="Times New Roman" w:hAnsi="Times New Roman"/>
          <w:b/>
        </w:rPr>
        <w:t>Смирновой Екатерины Александровны</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pPr>
      <w:r>
        <w:rPr>
          <w:rFonts w:ascii="Times New Roman" w:hAnsi="Times New Roman"/>
        </w:rPr>
        <w:t xml:space="preserve">____________________________________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pP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t xml:space="preserve">(подпись)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pPr>
      <w:r>
        <w:rPr>
          <w:rFonts w:ascii="Times New Roman" w:hAnsi="Times New Roman"/>
          <w:i/>
        </w:rPr>
        <w:t xml:space="preserve">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pPr>
      <w:r>
        <w:rPr>
          <w:rFonts w:ascii="Times New Roman" w:hAnsi="Times New Roman"/>
        </w:rPr>
        <w:t xml:space="preserve">Научный руководитель: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pPr>
      <w:r>
        <w:rPr>
          <w:rFonts w:ascii="Times New Roman" w:hAnsi="Times New Roman"/>
        </w:rPr>
        <w:t xml:space="preserve">к. ф.-м. н., доцент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pPr>
      <w:r>
        <w:rPr>
          <w:rFonts w:ascii="Times New Roman" w:hAnsi="Times New Roman"/>
        </w:rPr>
        <w:t xml:space="preserve">Лукьянова Анна Евгеньевна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pPr>
      <w:r>
        <w:rPr>
          <w:rFonts w:ascii="Times New Roman" w:hAnsi="Times New Roman"/>
        </w:rPr>
        <w:t xml:space="preserve">____________________________________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4820"/>
      </w:pP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t xml:space="preserve">(подпись)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rPr>
      </w:pPr>
      <w:r>
        <w:rPr>
          <w:rFonts w:ascii="Times New Roman" w:hAnsi="Times New Roman"/>
        </w:rPr>
        <w:t xml:space="preserve"> </w:t>
      </w: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rPr>
      </w:pP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p>
    <w:p w:rsidR="00D515A9" w:rsidRDefault="00D515A9" w:rsidP="00D515A9">
      <w:pPr>
        <w:pStyle w:val="af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pPr>
      <w:r>
        <w:rPr>
          <w:rFonts w:ascii="Times New Roman" w:hAnsi="Times New Roman"/>
        </w:rPr>
        <w:t xml:space="preserve">Санкт-Петербург </w:t>
      </w:r>
    </w:p>
    <w:p w:rsidR="00D515A9" w:rsidRDefault="00D515A9" w:rsidP="00D515A9">
      <w:pPr>
        <w:pStyle w:val="13"/>
        <w:spacing w:line="360" w:lineRule="auto"/>
        <w:jc w:val="center"/>
        <w:rPr>
          <w:rFonts w:ascii="Times New Roman" w:hAnsi="Times New Roman"/>
          <w:sz w:val="24"/>
          <w:lang w:val="ru-RU"/>
        </w:rPr>
      </w:pPr>
      <w:r w:rsidRPr="003F0585">
        <w:rPr>
          <w:noProof/>
        </w:rPr>
        <w:pict>
          <v:shapetype id="_x0000_t202" coordsize="21600,21600" o:spt="202" path="m,l,21600r21600,l21600,xe">
            <v:stroke joinstyle="miter"/>
            <v:path gradientshapeok="t" o:connecttype="rect"/>
          </v:shapetype>
          <v:shape id="_x0000_s1028" type="#_x0000_t202" style="position:absolute;left:0;text-align:left;margin-left:432.05pt;margin-top:13.55pt;width:66.65pt;height:21.7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color="white [3212]">
            <v:textbox style="mso-next-textbox:#_x0000_s1028;mso-fit-shape-to-text:t">
              <w:txbxContent>
                <w:p w:rsidR="00D515A9" w:rsidRDefault="00D515A9" w:rsidP="00D515A9"/>
              </w:txbxContent>
            </v:textbox>
          </v:shape>
        </w:pict>
      </w:r>
      <w:r w:rsidRPr="003F0585">
        <w:rPr>
          <w:rFonts w:ascii="Times New Roman" w:hAnsi="Times New Roman"/>
          <w:noProof/>
          <w:lang w:val="ru-RU"/>
        </w:rPr>
        <w:pict>
          <v:shape id="_x0000_s1027" type="#_x0000_t202" style="position:absolute;left:0;text-align:left;margin-left:447pt;margin-top:51.25pt;width:41.15pt;height:33.65pt;z-index:251660288" strokecolor="white [3212]">
            <v:textbox style="mso-next-textbox:#_x0000_s1027">
              <w:txbxContent>
                <w:p w:rsidR="00D515A9" w:rsidRDefault="00D515A9" w:rsidP="00D515A9"/>
              </w:txbxContent>
            </v:textbox>
          </v:shape>
        </w:pict>
      </w:r>
      <w:r w:rsidRPr="001C7BC0">
        <w:rPr>
          <w:rFonts w:ascii="Times New Roman" w:hAnsi="Times New Roman"/>
          <w:lang w:val="ru-RU"/>
        </w:rPr>
        <w:t xml:space="preserve">2010 </w:t>
      </w:r>
      <w:r w:rsidRPr="007726AD">
        <w:rPr>
          <w:lang w:val="ru-RU"/>
        </w:rPr>
        <w:br w:type="page"/>
      </w:r>
    </w:p>
    <w:p w:rsidR="00E35D4E" w:rsidRPr="00E35D4E" w:rsidRDefault="00E35D4E" w:rsidP="00E35D4E">
      <w:pPr>
        <w:spacing w:line="360" w:lineRule="auto"/>
        <w:ind w:left="-284" w:firstLine="710"/>
        <w:jc w:val="center"/>
        <w:rPr>
          <w:rFonts w:ascii="Times" w:hAnsi="Times"/>
          <w:b/>
        </w:rPr>
      </w:pPr>
      <w:r w:rsidRPr="00E35D4E">
        <w:rPr>
          <w:rFonts w:ascii="Times" w:hAnsi="Times"/>
          <w:b/>
        </w:rPr>
        <w:lastRenderedPageBreak/>
        <w:t>Введение</w:t>
      </w:r>
    </w:p>
    <w:p w:rsidR="00E35D4E" w:rsidRDefault="00E35D4E" w:rsidP="00E35D4E">
      <w:pPr>
        <w:spacing w:line="360" w:lineRule="auto"/>
        <w:ind w:left="-284" w:firstLine="710"/>
        <w:jc w:val="both"/>
        <w:rPr>
          <w:rFonts w:ascii="Times" w:hAnsi="Times"/>
        </w:rPr>
      </w:pPr>
      <w:r>
        <w:rPr>
          <w:rFonts w:ascii="Times" w:hAnsi="Times"/>
        </w:rPr>
        <w:t>Исследование затрагивает несколько предметных областей: риск-менеджмент, стратегический менеджмент, ценностно-ориентированный менеджмент и теорию агентских отношений. Объектом исследования стратегического менеджмента является компания, что отличает его от экономической теории, которая изучает более широкий перечень объектов (компанию, потребителя, общества и другие). Отличием теории стратегического управления от теории управления организацией является то, что она пытается объяснить причины различий между компаниями, проводя глубокий внутренний анализ организации с целью поиска конкурентных преимуществ компаний</w:t>
      </w:r>
      <w:r w:rsidRPr="006A2092">
        <w:rPr>
          <w:rFonts w:ascii="Times" w:hAnsi="Times"/>
        </w:rPr>
        <w:t xml:space="preserve">. </w:t>
      </w:r>
      <w:r>
        <w:rPr>
          <w:rFonts w:ascii="Times" w:hAnsi="Times"/>
        </w:rPr>
        <w:t>Теория стратегического управления стала складываться в 1960-е годы в США и странах Западной Европы как ответ на усложнение внешней среды, в которой функционировали компании. В 1950-е годы лидирующие страны мира восстанавливались после второй мировой войны, которая поставила новые вызовы перед компаниями и, в том числе, способствовала завершению периода формирования факторов, впоследствии ставших основными силами глобализации</w:t>
      </w:r>
      <w:r>
        <w:rPr>
          <w:rStyle w:val="af"/>
          <w:rFonts w:ascii="Times" w:hAnsi="Times"/>
        </w:rPr>
        <w:footnoteReference w:id="2"/>
      </w:r>
      <w:r>
        <w:rPr>
          <w:rFonts w:ascii="Times" w:hAnsi="Times"/>
        </w:rPr>
        <w:t>. В таких условиях руководство крупнейших в мире компаний пришло постепенно к пониманию, что стратегическое управление не является лишь искусством, но и наукой, требующей более серьёзного, систематизированного, обоснованного подхода и доказательной базы.</w:t>
      </w:r>
    </w:p>
    <w:p w:rsidR="00E35D4E" w:rsidRDefault="00E35D4E" w:rsidP="00E35D4E">
      <w:pPr>
        <w:spacing w:line="360" w:lineRule="auto"/>
        <w:ind w:left="-284" w:firstLine="710"/>
        <w:jc w:val="both"/>
        <w:rPr>
          <w:rFonts w:ascii="Times" w:hAnsi="Times"/>
        </w:rPr>
      </w:pPr>
      <w:r w:rsidRPr="00DF137A">
        <w:rPr>
          <w:rFonts w:ascii="Times" w:hAnsi="Times"/>
          <w:i/>
        </w:rPr>
        <w:t>Стратегия компании</w:t>
      </w:r>
      <w:r>
        <w:rPr>
          <w:rFonts w:ascii="Times" w:hAnsi="Times"/>
        </w:rPr>
        <w:t xml:space="preserve"> – формулирование основных долгосрочных целей и задач компании, а также осуществление различных действий, в том числе по распределению ресурсов для достижения этих целей.</w:t>
      </w:r>
    </w:p>
    <w:p w:rsidR="00E35D4E" w:rsidRDefault="00E35D4E" w:rsidP="00E35D4E">
      <w:pPr>
        <w:spacing w:line="360" w:lineRule="auto"/>
        <w:ind w:left="-284" w:firstLine="710"/>
        <w:jc w:val="both"/>
        <w:rPr>
          <w:rFonts w:ascii="Times" w:hAnsi="Times"/>
        </w:rPr>
      </w:pPr>
      <w:r>
        <w:rPr>
          <w:rFonts w:ascii="Times" w:hAnsi="Times"/>
        </w:rPr>
        <w:t xml:space="preserve">Предметом теории стратегического управления является </w:t>
      </w:r>
      <w:r w:rsidRPr="0082497E">
        <w:rPr>
          <w:rFonts w:ascii="Times" w:hAnsi="Times"/>
          <w:i/>
        </w:rPr>
        <w:t>создание конкурентных преимуществ фирм, обеспечивающих им экономические ренты</w:t>
      </w:r>
      <w:r>
        <w:rPr>
          <w:rFonts w:ascii="Times" w:hAnsi="Times"/>
        </w:rPr>
        <w:t>, что отличает теорию стратегического управления от смежных областей, таких, как экономика, социология, психология, политология, которые рассматривают организации и поведение организаций и индивидуумов. Если, например, экономическая теория изучает сами ресурсы фирмы, то теория стратегического управления – извлечение из ресурсов рент.</w:t>
      </w:r>
    </w:p>
    <w:p w:rsidR="005E226E" w:rsidRPr="00E606CF" w:rsidRDefault="005E226E" w:rsidP="005E226E">
      <w:pPr>
        <w:spacing w:line="360" w:lineRule="auto"/>
        <w:ind w:left="-284" w:right="-1" w:firstLine="680"/>
        <w:jc w:val="both"/>
        <w:rPr>
          <w:rFonts w:ascii="Times New Roman" w:hAnsi="Times New Roman" w:cs="Times New Roman"/>
        </w:rPr>
      </w:pPr>
      <w:r w:rsidRPr="003E1176">
        <w:rPr>
          <w:rFonts w:ascii="Times New Roman" w:hAnsi="Times New Roman" w:cs="Times New Roman"/>
          <w:b/>
        </w:rPr>
        <w:t>Целью</w:t>
      </w:r>
      <w:r>
        <w:rPr>
          <w:rFonts w:ascii="Times New Roman" w:hAnsi="Times New Roman" w:cs="Times New Roman"/>
        </w:rPr>
        <w:t xml:space="preserve"> данной работы является </w:t>
      </w:r>
      <w:r w:rsidRPr="007D325B">
        <w:rPr>
          <w:rFonts w:ascii="Times New Roman" w:hAnsi="Times New Roman" w:cs="Times New Roman"/>
        </w:rPr>
        <w:t>разработка механизмов</w:t>
      </w:r>
      <w:r>
        <w:rPr>
          <w:rFonts w:ascii="Times New Roman" w:hAnsi="Times New Roman" w:cs="Times New Roman"/>
        </w:rPr>
        <w:t xml:space="preserve"> принятия решений по управлению</w:t>
      </w:r>
      <w:r w:rsidRPr="007D325B">
        <w:rPr>
          <w:rFonts w:ascii="Times New Roman" w:hAnsi="Times New Roman" w:cs="Times New Roman"/>
        </w:rPr>
        <w:t xml:space="preserve"> </w:t>
      </w:r>
      <w:r>
        <w:rPr>
          <w:rFonts w:ascii="Times New Roman" w:hAnsi="Times New Roman" w:cs="Times New Roman"/>
        </w:rPr>
        <w:t>рисками</w:t>
      </w:r>
      <w:r w:rsidRPr="007D325B">
        <w:rPr>
          <w:rFonts w:ascii="Times New Roman" w:hAnsi="Times New Roman" w:cs="Times New Roman"/>
        </w:rPr>
        <w:t xml:space="preserve"> компании.</w:t>
      </w:r>
    </w:p>
    <w:p w:rsidR="005E226E"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t xml:space="preserve">Обозначенной целью продиктована необходимость решения ряда </w:t>
      </w:r>
      <w:r w:rsidRPr="003E1176">
        <w:rPr>
          <w:rFonts w:ascii="Times New Roman" w:hAnsi="Times New Roman" w:cs="Times New Roman"/>
          <w:b/>
        </w:rPr>
        <w:t>задач</w:t>
      </w:r>
      <w:r>
        <w:rPr>
          <w:rFonts w:ascii="Times New Roman" w:hAnsi="Times New Roman" w:cs="Times New Roman"/>
        </w:rPr>
        <w:t>:</w:t>
      </w:r>
    </w:p>
    <w:p w:rsidR="005E226E" w:rsidRPr="00E606CF"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t>- анализ и систематизация теоретических подходов к оценке систематического риска в финансах</w:t>
      </w:r>
      <w:r w:rsidRPr="000638C6">
        <w:rPr>
          <w:rFonts w:ascii="Times New Roman" w:hAnsi="Times New Roman" w:cs="Times New Roman"/>
        </w:rPr>
        <w:t>;</w:t>
      </w:r>
    </w:p>
    <w:p w:rsidR="005E226E" w:rsidRDefault="005E226E" w:rsidP="005E226E">
      <w:pPr>
        <w:spacing w:line="360" w:lineRule="auto"/>
        <w:ind w:left="-284" w:right="-1" w:firstLine="680"/>
        <w:jc w:val="both"/>
        <w:rPr>
          <w:rFonts w:ascii="Times New Roman" w:hAnsi="Times New Roman" w:cs="Times New Roman"/>
        </w:rPr>
      </w:pPr>
      <w:r w:rsidRPr="005208A0">
        <w:rPr>
          <w:rFonts w:ascii="Times New Roman" w:hAnsi="Times New Roman" w:cs="Times New Roman"/>
        </w:rPr>
        <w:t xml:space="preserve">- </w:t>
      </w:r>
      <w:r>
        <w:rPr>
          <w:rFonts w:ascii="Times New Roman" w:hAnsi="Times New Roman" w:cs="Times New Roman"/>
        </w:rPr>
        <w:t>анализ теоретических концепций специфического риска в менеджменте;</w:t>
      </w:r>
    </w:p>
    <w:p w:rsidR="005E226E"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t>- анализ проблем, с которыми сталкиваются компании в управлении рисками;</w:t>
      </w:r>
    </w:p>
    <w:p w:rsidR="005E226E"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lastRenderedPageBreak/>
        <w:t xml:space="preserve">- </w:t>
      </w:r>
      <w:r w:rsidRPr="00F37311">
        <w:rPr>
          <w:rFonts w:ascii="Times" w:hAnsi="Times"/>
        </w:rPr>
        <w:t>анализ динамики доходностей облигаций компаний и агрегированных показателей финансового рынка России в предкризисный и кризисный периоды времени</w:t>
      </w:r>
      <w:r>
        <w:rPr>
          <w:rFonts w:ascii="Times" w:hAnsi="Times"/>
        </w:rPr>
        <w:t xml:space="preserve"> (временные рамки: 2010-2015 гг.)</w:t>
      </w:r>
      <w:r w:rsidRPr="00F37311">
        <w:rPr>
          <w:rFonts w:ascii="Times" w:hAnsi="Times"/>
        </w:rPr>
        <w:t>;</w:t>
      </w:r>
    </w:p>
    <w:p w:rsidR="005E226E"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t xml:space="preserve">- </w:t>
      </w:r>
      <w:r w:rsidRPr="00495297">
        <w:rPr>
          <w:rFonts w:ascii="Times" w:hAnsi="Times"/>
        </w:rPr>
        <w:t>определение момента времени, в который ситуация изменилась от ординарной к кризисной на российском рынке</w:t>
      </w:r>
      <w:r>
        <w:rPr>
          <w:rFonts w:ascii="Times" w:hAnsi="Times"/>
        </w:rPr>
        <w:t xml:space="preserve"> (период 2010-2015 гг.)</w:t>
      </w:r>
      <w:r w:rsidRPr="00495297">
        <w:rPr>
          <w:rFonts w:ascii="Times" w:hAnsi="Times"/>
        </w:rPr>
        <w:t>;</w:t>
      </w:r>
    </w:p>
    <w:p w:rsidR="005E226E"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t xml:space="preserve">- </w:t>
      </w:r>
      <w:r w:rsidRPr="00547B84">
        <w:rPr>
          <w:rFonts w:ascii="Times" w:hAnsi="Times"/>
        </w:rPr>
        <w:t xml:space="preserve">построение индикатора кризисности </w:t>
      </w:r>
      <w:r>
        <w:rPr>
          <w:rFonts w:ascii="Times" w:hAnsi="Times"/>
        </w:rPr>
        <w:t>внутренней ситуации в</w:t>
      </w:r>
      <w:r w:rsidRPr="00547B84">
        <w:rPr>
          <w:rFonts w:ascii="Times" w:hAnsi="Times"/>
        </w:rPr>
        <w:t xml:space="preserve"> компании на основе модели Э. Альтмана;</w:t>
      </w:r>
    </w:p>
    <w:p w:rsidR="005E226E"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t xml:space="preserve">- </w:t>
      </w:r>
      <w:r w:rsidRPr="00547B84">
        <w:rPr>
          <w:rFonts w:ascii="Times" w:hAnsi="Times"/>
        </w:rPr>
        <w:t xml:space="preserve">построение </w:t>
      </w:r>
      <w:r>
        <w:rPr>
          <w:rFonts w:ascii="Times" w:hAnsi="Times"/>
          <w:i/>
        </w:rPr>
        <w:t>индикаторов</w:t>
      </w:r>
      <w:r w:rsidRPr="00547B84">
        <w:rPr>
          <w:rFonts w:ascii="Times" w:hAnsi="Times"/>
          <w:i/>
        </w:rPr>
        <w:t xml:space="preserve"> риска</w:t>
      </w:r>
      <w:r>
        <w:rPr>
          <w:rFonts w:ascii="Times" w:hAnsi="Times"/>
          <w:i/>
        </w:rPr>
        <w:t xml:space="preserve"> компании</w:t>
      </w:r>
      <w:r w:rsidRPr="00547B84">
        <w:rPr>
          <w:rFonts w:ascii="Times" w:hAnsi="Times"/>
        </w:rPr>
        <w:t xml:space="preserve"> на основе объединения индикатора финансового заражения и индикатора на основе модели Э. Альтмана;</w:t>
      </w:r>
    </w:p>
    <w:p w:rsidR="005E226E"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t xml:space="preserve">- </w:t>
      </w:r>
      <w:r w:rsidRPr="00547B84">
        <w:rPr>
          <w:rFonts w:ascii="Times" w:hAnsi="Times"/>
        </w:rPr>
        <w:t>апробирование индикатора риска на данных развивающихся и развитых рынков в различные периоды времени;</w:t>
      </w:r>
    </w:p>
    <w:p w:rsidR="005E226E" w:rsidRDefault="005E226E" w:rsidP="005E226E">
      <w:pPr>
        <w:spacing w:line="360" w:lineRule="auto"/>
        <w:ind w:left="-284" w:right="-1" w:firstLine="680"/>
        <w:jc w:val="both"/>
        <w:rPr>
          <w:rFonts w:ascii="Times" w:hAnsi="Times"/>
        </w:rPr>
      </w:pPr>
      <w:r>
        <w:rPr>
          <w:rFonts w:ascii="Times New Roman" w:hAnsi="Times New Roman" w:cs="Times New Roman"/>
        </w:rPr>
        <w:t xml:space="preserve">- </w:t>
      </w:r>
      <w:r w:rsidRPr="00547B84">
        <w:rPr>
          <w:rFonts w:ascii="Times" w:hAnsi="Times"/>
        </w:rPr>
        <w:t xml:space="preserve">анализ полученных результатов и выводы по складывающимся закономерностям уровней специфического риска (сравнительное исследование </w:t>
      </w:r>
      <w:r>
        <w:rPr>
          <w:rFonts w:ascii="Times" w:hAnsi="Times"/>
        </w:rPr>
        <w:t>компаний из разных стран и отраслей в различные</w:t>
      </w:r>
      <w:r w:rsidRPr="00547B84">
        <w:rPr>
          <w:rFonts w:ascii="Times" w:hAnsi="Times"/>
        </w:rPr>
        <w:t xml:space="preserve"> периоды времени по уровню специфического риска);</w:t>
      </w:r>
    </w:p>
    <w:p w:rsidR="005E226E"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t>- прогноз индикатора кризисности экономики методом имитационного моделирования;</w:t>
      </w:r>
    </w:p>
    <w:p w:rsidR="005E226E"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t>- анализ кейсов компаний различных стран и отраслей экономики на основе данных финансовой отчётности, средств массовой информации, аналитических баз данных (</w:t>
      </w:r>
      <w:r>
        <w:rPr>
          <w:rFonts w:ascii="Times New Roman" w:hAnsi="Times New Roman" w:cs="Times New Roman"/>
          <w:lang w:val="en-US"/>
        </w:rPr>
        <w:t>Thomcon</w:t>
      </w:r>
      <w:r w:rsidRPr="00674D11">
        <w:rPr>
          <w:rFonts w:ascii="Times New Roman" w:hAnsi="Times New Roman" w:cs="Times New Roman"/>
        </w:rPr>
        <w:t xml:space="preserve"> </w:t>
      </w:r>
      <w:r>
        <w:rPr>
          <w:rFonts w:ascii="Times New Roman" w:hAnsi="Times New Roman" w:cs="Times New Roman"/>
          <w:lang w:val="en-US"/>
        </w:rPr>
        <w:t>Reuters</w:t>
      </w:r>
      <w:r w:rsidRPr="00674D11">
        <w:rPr>
          <w:rFonts w:ascii="Times New Roman" w:hAnsi="Times New Roman" w:cs="Times New Roman"/>
        </w:rPr>
        <w:t xml:space="preserve"> </w:t>
      </w:r>
      <w:r>
        <w:rPr>
          <w:rFonts w:ascii="Times New Roman" w:hAnsi="Times New Roman" w:cs="Times New Roman"/>
          <w:lang w:val="en-US"/>
        </w:rPr>
        <w:t>Eikon</w:t>
      </w:r>
      <w:r w:rsidRPr="00674D11">
        <w:rPr>
          <w:rFonts w:ascii="Times New Roman" w:hAnsi="Times New Roman" w:cs="Times New Roman"/>
        </w:rPr>
        <w:t xml:space="preserve"> </w:t>
      </w:r>
      <w:r>
        <w:rPr>
          <w:rFonts w:ascii="Times New Roman" w:hAnsi="Times New Roman" w:cs="Times New Roman"/>
        </w:rPr>
        <w:t xml:space="preserve">и </w:t>
      </w:r>
      <w:r>
        <w:rPr>
          <w:rFonts w:ascii="Times New Roman" w:hAnsi="Times New Roman" w:cs="Times New Roman"/>
          <w:lang w:val="en-US"/>
        </w:rPr>
        <w:t>Thomson</w:t>
      </w:r>
      <w:r w:rsidRPr="00674D11">
        <w:rPr>
          <w:rFonts w:ascii="Times New Roman" w:hAnsi="Times New Roman" w:cs="Times New Roman"/>
        </w:rPr>
        <w:t xml:space="preserve"> </w:t>
      </w:r>
      <w:r>
        <w:rPr>
          <w:rFonts w:ascii="Times New Roman" w:hAnsi="Times New Roman" w:cs="Times New Roman"/>
          <w:lang w:val="en-US"/>
        </w:rPr>
        <w:t>One</w:t>
      </w:r>
      <w:r>
        <w:rPr>
          <w:rFonts w:ascii="Times New Roman" w:hAnsi="Times New Roman" w:cs="Times New Roman"/>
        </w:rPr>
        <w:t>) с целью выявления ценности, которую компания ставит целью поддерживать, для того, чтобы потом использовать это значение при построении стратегии компании;</w:t>
      </w:r>
    </w:p>
    <w:p w:rsidR="005E226E" w:rsidRDefault="005E226E" w:rsidP="005E226E">
      <w:pPr>
        <w:spacing w:line="360" w:lineRule="auto"/>
        <w:ind w:left="-284" w:right="-1" w:firstLine="680"/>
        <w:jc w:val="both"/>
        <w:rPr>
          <w:rFonts w:ascii="Times New Roman" w:hAnsi="Times New Roman" w:cs="Times New Roman"/>
        </w:rPr>
      </w:pPr>
      <w:r>
        <w:rPr>
          <w:rFonts w:ascii="Times New Roman" w:hAnsi="Times New Roman" w:cs="Times New Roman"/>
        </w:rPr>
        <w:t>- прогноз значений индикатора финансового заражения компании методом имитационного моделирования;</w:t>
      </w:r>
    </w:p>
    <w:p w:rsidR="005E226E" w:rsidRDefault="005E226E" w:rsidP="005E226E">
      <w:pPr>
        <w:spacing w:line="360" w:lineRule="auto"/>
        <w:ind w:left="-284" w:right="-1" w:firstLine="680"/>
        <w:jc w:val="both"/>
        <w:rPr>
          <w:rFonts w:ascii="Times New Roman" w:hAnsi="Times New Roman" w:cs="Times New Roman"/>
        </w:rPr>
      </w:pPr>
      <w:r w:rsidRPr="00541760">
        <w:rPr>
          <w:rFonts w:ascii="Times New Roman" w:hAnsi="Times New Roman" w:cs="Times New Roman"/>
        </w:rPr>
        <w:t>-</w:t>
      </w:r>
      <w:r>
        <w:rPr>
          <w:rFonts w:ascii="Times New Roman" w:hAnsi="Times New Roman" w:cs="Times New Roman"/>
        </w:rPr>
        <w:t xml:space="preserve"> </w:t>
      </w:r>
      <w:r w:rsidRPr="00541760">
        <w:rPr>
          <w:rFonts w:ascii="Times New Roman" w:hAnsi="Times New Roman" w:cs="Times New Roman"/>
        </w:rPr>
        <w:t>оценка взаимозависимости значения индикатора специфического риска и изменения (</w:t>
      </w:r>
      <w:r w:rsidRPr="00541760">
        <w:rPr>
          <w:rFonts w:ascii="Lucida Grande" w:hAnsi="Lucida Grande" w:cs="Lucida Grande" w:hint="eastAsia"/>
          <w:b/>
          <w:color w:val="000000"/>
        </w:rPr>
        <w:t>Δ</w:t>
      </w:r>
      <w:r w:rsidRPr="00541760">
        <w:rPr>
          <w:rFonts w:ascii="Times New Roman" w:hAnsi="Times New Roman" w:cs="Times New Roman"/>
        </w:rPr>
        <w:t xml:space="preserve">) ценности компании в кризисный период с выделением </w:t>
      </w:r>
      <w:r w:rsidRPr="00541760">
        <w:rPr>
          <w:rFonts w:ascii="Times New Roman" w:hAnsi="Times New Roman" w:cs="Times New Roman"/>
          <w:i/>
        </w:rPr>
        <w:t>коэффициента финансового заражения компании</w:t>
      </w:r>
      <w:r w:rsidRPr="00541760">
        <w:rPr>
          <w:rFonts w:ascii="Times New Roman" w:hAnsi="Times New Roman" w:cs="Times New Roman"/>
        </w:rPr>
        <w:t>;</w:t>
      </w:r>
    </w:p>
    <w:p w:rsidR="005E226E" w:rsidRDefault="005E226E" w:rsidP="005E226E">
      <w:pPr>
        <w:spacing w:line="360" w:lineRule="auto"/>
        <w:ind w:left="-284" w:right="-1" w:firstLine="680"/>
        <w:jc w:val="both"/>
        <w:rPr>
          <w:rFonts w:ascii="Times" w:hAnsi="Times"/>
        </w:rPr>
      </w:pPr>
      <w:r w:rsidRPr="00D1077C">
        <w:rPr>
          <w:rFonts w:ascii="Times" w:hAnsi="Times"/>
        </w:rPr>
        <w:t xml:space="preserve">- </w:t>
      </w:r>
      <w:r>
        <w:rPr>
          <w:rFonts w:ascii="Times" w:hAnsi="Times"/>
        </w:rPr>
        <w:t>определение интервала допустимых значений индикатора специфического риска, при которых ценность компании будет оставаться в заданном интервале;</w:t>
      </w:r>
    </w:p>
    <w:p w:rsidR="005E226E" w:rsidRDefault="005E226E" w:rsidP="005E226E">
      <w:pPr>
        <w:spacing w:line="360" w:lineRule="auto"/>
        <w:ind w:left="-284" w:right="-1" w:firstLine="680"/>
        <w:jc w:val="both"/>
        <w:rPr>
          <w:rFonts w:ascii="Times" w:hAnsi="Times"/>
        </w:rPr>
      </w:pPr>
      <w:r>
        <w:rPr>
          <w:rFonts w:ascii="Times" w:hAnsi="Times"/>
        </w:rPr>
        <w:t>- определение финансовых показателей компании (внутренних), благодаря достижению которых компания будет иметь соответствующее значение индикатора специфического риска;</w:t>
      </w:r>
    </w:p>
    <w:p w:rsidR="005E226E" w:rsidRDefault="005E226E" w:rsidP="005E226E">
      <w:pPr>
        <w:spacing w:line="360" w:lineRule="auto"/>
        <w:ind w:left="-284" w:right="-1" w:firstLine="680"/>
        <w:jc w:val="both"/>
        <w:rPr>
          <w:rFonts w:ascii="Times" w:hAnsi="Times"/>
        </w:rPr>
      </w:pPr>
      <w:r>
        <w:rPr>
          <w:rFonts w:ascii="Times" w:hAnsi="Times"/>
        </w:rPr>
        <w:t>- определение интервала значений индикатора специфического риска, при которых ценность компании будет возрастать (не понижаться; добавление тренда в регрессионную модель);</w:t>
      </w:r>
    </w:p>
    <w:p w:rsidR="005E226E" w:rsidRDefault="005E226E" w:rsidP="005E226E">
      <w:pPr>
        <w:spacing w:line="360" w:lineRule="auto"/>
        <w:ind w:left="-284" w:right="-1" w:firstLine="680"/>
        <w:jc w:val="both"/>
        <w:rPr>
          <w:rFonts w:ascii="Times" w:hAnsi="Times"/>
        </w:rPr>
      </w:pPr>
      <w:r>
        <w:rPr>
          <w:rFonts w:ascii="Times" w:hAnsi="Times"/>
        </w:rPr>
        <w:t>- определение финансовых показателей компании, при выполнении которых её ценность будет не понижаться – база для построения стратегии с учётом специфического риска.</w:t>
      </w:r>
    </w:p>
    <w:p w:rsidR="009B1CFF" w:rsidRDefault="009B1CFF">
      <w:pPr>
        <w:rPr>
          <w:rFonts w:ascii="Verdana" w:eastAsia="Times New Roman" w:hAnsi="Verdana" w:cs="Times New Roman"/>
          <w:b/>
          <w:bCs/>
          <w:color w:val="755A35"/>
          <w:sz w:val="17"/>
          <w:szCs w:val="17"/>
          <w:lang w:eastAsia="ru-RU"/>
        </w:rPr>
      </w:pPr>
      <w:r>
        <w:rPr>
          <w:rFonts w:ascii="Verdana" w:eastAsia="Times New Roman" w:hAnsi="Verdana" w:cs="Times New Roman"/>
          <w:b/>
          <w:bCs/>
          <w:color w:val="755A35"/>
          <w:sz w:val="17"/>
          <w:szCs w:val="17"/>
          <w:lang w:eastAsia="ru-RU"/>
        </w:rPr>
        <w:br w:type="page"/>
      </w:r>
    </w:p>
    <w:p w:rsidR="00951365" w:rsidRPr="00951365" w:rsidRDefault="00951365" w:rsidP="00951365">
      <w:pPr>
        <w:shd w:val="clear" w:color="auto" w:fill="FFFFFF"/>
        <w:spacing w:after="0" w:line="240" w:lineRule="auto"/>
        <w:ind w:left="0" w:firstLine="0"/>
        <w:outlineLvl w:val="1"/>
        <w:rPr>
          <w:rFonts w:ascii="Verdana" w:eastAsia="Times New Roman" w:hAnsi="Verdana" w:cs="Times New Roman"/>
          <w:b/>
          <w:bCs/>
          <w:color w:val="755A35"/>
          <w:sz w:val="17"/>
          <w:szCs w:val="17"/>
          <w:lang w:eastAsia="ru-RU"/>
        </w:rPr>
      </w:pPr>
      <w:r w:rsidRPr="00951365">
        <w:rPr>
          <w:rFonts w:ascii="Verdana" w:eastAsia="Times New Roman" w:hAnsi="Verdana" w:cs="Times New Roman"/>
          <w:b/>
          <w:bCs/>
          <w:color w:val="755A35"/>
          <w:sz w:val="17"/>
          <w:szCs w:val="17"/>
          <w:lang w:eastAsia="ru-RU"/>
        </w:rPr>
        <w:lastRenderedPageBreak/>
        <w:t>Управленческие решения в условиях макроэкономической неопределённости: возможно ли найти индикаторы грозящей опасности?</w:t>
      </w:r>
    </w:p>
    <w:p w:rsidR="00951365" w:rsidRPr="00951365" w:rsidRDefault="00147711" w:rsidP="00951365">
      <w:pPr>
        <w:shd w:val="clear" w:color="auto" w:fill="FFFFFF"/>
        <w:spacing w:after="0" w:line="225" w:lineRule="atLeast"/>
        <w:ind w:left="0" w:firstLine="0"/>
        <w:rPr>
          <w:rFonts w:ascii="Arial" w:eastAsia="Times New Roman" w:hAnsi="Arial" w:cs="Arial"/>
          <w:color w:val="2471DA"/>
          <w:sz w:val="14"/>
          <w:szCs w:val="14"/>
          <w:lang w:eastAsia="ru-RU"/>
        </w:rPr>
      </w:pPr>
      <w:hyperlink r:id="rId8" w:history="1">
        <w:r w:rsidR="00951365" w:rsidRPr="00951365">
          <w:rPr>
            <w:rFonts w:ascii="Arial" w:eastAsia="Times New Roman" w:hAnsi="Arial" w:cs="Arial"/>
            <w:color w:val="2471DA"/>
            <w:sz w:val="15"/>
            <w:u w:val="single"/>
            <w:lang w:eastAsia="ru-RU"/>
          </w:rPr>
          <w:t>Теория управления</w:t>
        </w:r>
      </w:hyperlink>
      <w:r w:rsidR="00951365" w:rsidRPr="00951365">
        <w:rPr>
          <w:rFonts w:ascii="Arial" w:eastAsia="Times New Roman" w:hAnsi="Arial" w:cs="Arial"/>
          <w:color w:val="6D625B"/>
          <w:sz w:val="15"/>
          <w:lang w:eastAsia="ru-RU"/>
        </w:rPr>
        <w:t> | </w:t>
      </w:r>
      <w:hyperlink r:id="rId9" w:history="1">
        <w:r w:rsidR="00951365" w:rsidRPr="00951365">
          <w:rPr>
            <w:rFonts w:ascii="Arial" w:eastAsia="Times New Roman" w:hAnsi="Arial" w:cs="Arial"/>
            <w:color w:val="2471DA"/>
            <w:sz w:val="15"/>
            <w:u w:val="single"/>
            <w:lang w:eastAsia="ru-RU"/>
          </w:rPr>
          <w:t>(87) УЭкС, 5/2016</w:t>
        </w:r>
      </w:hyperlink>
      <w:r w:rsidR="00951365" w:rsidRPr="00951365">
        <w:rPr>
          <w:rFonts w:ascii="Arial" w:eastAsia="Times New Roman" w:hAnsi="Arial" w:cs="Arial"/>
          <w:color w:val="6D625B"/>
          <w:sz w:val="15"/>
          <w:lang w:eastAsia="ru-RU"/>
        </w:rPr>
        <w:t> </w:t>
      </w:r>
      <w:r w:rsidR="00951365" w:rsidRPr="00951365">
        <w:rPr>
          <w:rFonts w:ascii="Arial" w:eastAsia="Times New Roman" w:hAnsi="Arial" w:cs="Arial"/>
          <w:color w:val="2471DA"/>
          <w:sz w:val="14"/>
          <w:szCs w:val="14"/>
          <w:lang w:eastAsia="ru-RU"/>
        </w:rPr>
        <w:t xml:space="preserve"> Автор (авторы):</w:t>
      </w:r>
    </w:p>
    <w:p w:rsidR="00951365" w:rsidRPr="00951365" w:rsidRDefault="00951365" w:rsidP="00951365">
      <w:pPr>
        <w:spacing w:before="25" w:after="25" w:line="225" w:lineRule="atLeast"/>
        <w:ind w:left="25" w:right="25" w:firstLine="0"/>
        <w:textAlignment w:val="top"/>
        <w:rPr>
          <w:rFonts w:ascii="Arial" w:eastAsia="Times New Roman" w:hAnsi="Arial" w:cs="Arial"/>
          <w:color w:val="6D625B"/>
          <w:sz w:val="15"/>
          <w:szCs w:val="15"/>
          <w:lang w:eastAsia="ru-RU"/>
        </w:rPr>
      </w:pPr>
      <w:r w:rsidRPr="00951365">
        <w:rPr>
          <w:rFonts w:ascii="Arial" w:eastAsia="Times New Roman" w:hAnsi="Arial" w:cs="Arial"/>
          <w:color w:val="6D625B"/>
          <w:sz w:val="15"/>
          <w:szCs w:val="15"/>
          <w:lang w:eastAsia="ru-RU"/>
        </w:rPr>
        <w:t>Е.А. Смирнова</w:t>
      </w:r>
    </w:p>
    <w:p w:rsidR="00951365" w:rsidRPr="00951365" w:rsidRDefault="00951365" w:rsidP="0022187D">
      <w:pPr>
        <w:numPr>
          <w:ilvl w:val="0"/>
          <w:numId w:val="1"/>
        </w:numPr>
        <w:spacing w:before="25" w:after="25" w:line="225" w:lineRule="atLeast"/>
        <w:ind w:left="25" w:right="165"/>
        <w:textAlignment w:val="top"/>
        <w:rPr>
          <w:rFonts w:ascii="Arial" w:eastAsia="Times New Roman" w:hAnsi="Arial" w:cs="Arial"/>
          <w:color w:val="2471DA"/>
          <w:sz w:val="14"/>
          <w:szCs w:val="14"/>
          <w:lang w:eastAsia="ru-RU"/>
        </w:rPr>
      </w:pPr>
      <w:r w:rsidRPr="00951365">
        <w:rPr>
          <w:rFonts w:ascii="Arial" w:eastAsia="Times New Roman" w:hAnsi="Arial" w:cs="Arial"/>
          <w:color w:val="2471DA"/>
          <w:sz w:val="14"/>
          <w:szCs w:val="14"/>
          <w:lang w:eastAsia="ru-RU"/>
        </w:rPr>
        <w:t>ВУЗ ИЛИ ОРГАНИЗАЦИЯ:</w:t>
      </w:r>
    </w:p>
    <w:p w:rsidR="00951365" w:rsidRPr="00951365" w:rsidRDefault="00951365" w:rsidP="00951365">
      <w:pPr>
        <w:spacing w:before="25" w:after="125" w:line="225" w:lineRule="atLeast"/>
        <w:ind w:left="25" w:right="25" w:firstLine="0"/>
        <w:textAlignment w:val="top"/>
        <w:rPr>
          <w:rFonts w:ascii="Arial" w:eastAsia="Times New Roman" w:hAnsi="Arial" w:cs="Arial"/>
          <w:color w:val="6D625B"/>
          <w:sz w:val="15"/>
          <w:szCs w:val="15"/>
          <w:lang w:eastAsia="ru-RU"/>
        </w:rPr>
      </w:pPr>
      <w:r w:rsidRPr="00951365">
        <w:rPr>
          <w:rFonts w:ascii="Arial" w:eastAsia="Times New Roman" w:hAnsi="Arial" w:cs="Arial"/>
          <w:color w:val="6D625B"/>
          <w:sz w:val="15"/>
          <w:szCs w:val="15"/>
          <w:lang w:eastAsia="ru-RU"/>
        </w:rPr>
        <w:t>Санкт-Петербургский государственный университет, Высшая Школа Менеджмента</w:t>
      </w:r>
    </w:p>
    <w:p w:rsidR="00951365" w:rsidRPr="00951365" w:rsidRDefault="00951365" w:rsidP="00951365">
      <w:pPr>
        <w:spacing w:after="0" w:line="225" w:lineRule="atLeast"/>
        <w:ind w:left="0" w:firstLine="0"/>
        <w:jc w:val="center"/>
        <w:rPr>
          <w:rFonts w:ascii="Arial" w:eastAsia="Times New Roman" w:hAnsi="Arial" w:cs="Arial"/>
          <w:color w:val="6D625B"/>
          <w:sz w:val="15"/>
          <w:szCs w:val="15"/>
          <w:lang w:eastAsia="ru-RU"/>
        </w:rPr>
      </w:pPr>
      <w:r w:rsidRPr="00951365">
        <w:rPr>
          <w:rFonts w:ascii="Verdana" w:eastAsia="Times New Roman" w:hAnsi="Verdana" w:cs="Arial"/>
          <w:b/>
          <w:bCs/>
          <w:color w:val="000000"/>
          <w:sz w:val="17"/>
          <w:lang w:eastAsia="ru-RU"/>
        </w:rPr>
        <w:t>Управленческие решения в условиях макроэкономической неопределённости: возможно ли найти индикаторы грозящей опасности?</w:t>
      </w:r>
    </w:p>
    <w:p w:rsidR="00951365" w:rsidRPr="00951365" w:rsidRDefault="00951365" w:rsidP="00951365">
      <w:pPr>
        <w:spacing w:after="0" w:line="225" w:lineRule="atLeast"/>
        <w:ind w:left="0" w:firstLine="0"/>
        <w:jc w:val="center"/>
        <w:rPr>
          <w:rFonts w:ascii="Arial" w:eastAsia="Times New Roman" w:hAnsi="Arial" w:cs="Arial"/>
          <w:color w:val="6D625B"/>
          <w:sz w:val="15"/>
          <w:szCs w:val="15"/>
          <w:lang w:val="en-US" w:eastAsia="ru-RU"/>
        </w:rPr>
      </w:pPr>
      <w:r w:rsidRPr="00951365">
        <w:rPr>
          <w:rFonts w:ascii="Verdana" w:eastAsia="Times New Roman" w:hAnsi="Verdana" w:cs="Arial"/>
          <w:b/>
          <w:bCs/>
          <w:color w:val="000000"/>
          <w:sz w:val="17"/>
          <w:lang w:val="en-US" w:eastAsia="ru-RU"/>
        </w:rPr>
        <w:t>Managerial decisions in an environment of macroeconomic uncertainty: is it possible to find the upcoming hazard indicators?</w:t>
      </w:r>
    </w:p>
    <w:p w:rsidR="00951365" w:rsidRPr="00951365" w:rsidRDefault="00951365" w:rsidP="00951365">
      <w:pPr>
        <w:spacing w:after="0" w:line="225" w:lineRule="atLeast"/>
        <w:ind w:left="0" w:firstLine="0"/>
        <w:rPr>
          <w:rFonts w:ascii="Arial" w:eastAsia="Times New Roman" w:hAnsi="Arial" w:cs="Arial"/>
          <w:color w:val="6D625B"/>
          <w:sz w:val="15"/>
          <w:szCs w:val="15"/>
          <w:lang w:val="en-US" w:eastAsia="ru-RU"/>
        </w:rPr>
      </w:pPr>
      <w:r w:rsidRPr="00951365">
        <w:rPr>
          <w:rFonts w:ascii="Verdana" w:eastAsia="Times New Roman" w:hAnsi="Verdana" w:cs="Arial"/>
          <w:b/>
          <w:bCs/>
          <w:color w:val="000000"/>
          <w:sz w:val="17"/>
          <w:lang w:val="en-US" w:eastAsia="ru-RU"/>
        </w:rPr>
        <w:t> </w:t>
      </w:r>
    </w:p>
    <w:p w:rsidR="00951365" w:rsidRPr="00951365" w:rsidRDefault="00951365" w:rsidP="00951365">
      <w:pPr>
        <w:spacing w:after="0" w:line="225" w:lineRule="atLeast"/>
        <w:ind w:left="0" w:firstLine="0"/>
        <w:jc w:val="right"/>
        <w:rPr>
          <w:rFonts w:ascii="Arial" w:eastAsia="Times New Roman" w:hAnsi="Arial" w:cs="Arial"/>
          <w:color w:val="6D625B"/>
          <w:sz w:val="15"/>
          <w:szCs w:val="15"/>
          <w:lang w:val="en-US" w:eastAsia="ru-RU"/>
        </w:rPr>
      </w:pPr>
      <w:r w:rsidRPr="00951365">
        <w:rPr>
          <w:rFonts w:ascii="Verdana" w:eastAsia="Times New Roman" w:hAnsi="Verdana" w:cs="Arial"/>
          <w:b/>
          <w:bCs/>
          <w:color w:val="000000"/>
          <w:sz w:val="17"/>
          <w:lang w:eastAsia="ru-RU"/>
        </w:rPr>
        <w:t>Е</w:t>
      </w:r>
      <w:r w:rsidRPr="00951365">
        <w:rPr>
          <w:rFonts w:ascii="Verdana" w:eastAsia="Times New Roman" w:hAnsi="Verdana" w:cs="Arial"/>
          <w:b/>
          <w:bCs/>
          <w:color w:val="000000"/>
          <w:sz w:val="17"/>
          <w:lang w:val="en-US" w:eastAsia="ru-RU"/>
        </w:rPr>
        <w:t>.</w:t>
      </w:r>
      <w:r w:rsidRPr="00951365">
        <w:rPr>
          <w:rFonts w:ascii="Verdana" w:eastAsia="Times New Roman" w:hAnsi="Verdana" w:cs="Arial"/>
          <w:b/>
          <w:bCs/>
          <w:color w:val="000000"/>
          <w:sz w:val="17"/>
          <w:lang w:eastAsia="ru-RU"/>
        </w:rPr>
        <w:t>А</w:t>
      </w:r>
      <w:r w:rsidRPr="00951365">
        <w:rPr>
          <w:rFonts w:ascii="Verdana" w:eastAsia="Times New Roman" w:hAnsi="Verdana" w:cs="Arial"/>
          <w:b/>
          <w:bCs/>
          <w:color w:val="000000"/>
          <w:sz w:val="17"/>
          <w:lang w:val="en-US" w:eastAsia="ru-RU"/>
        </w:rPr>
        <w:t xml:space="preserve">. </w:t>
      </w:r>
      <w:r w:rsidRPr="00951365">
        <w:rPr>
          <w:rFonts w:ascii="Verdana" w:eastAsia="Times New Roman" w:hAnsi="Verdana" w:cs="Arial"/>
          <w:b/>
          <w:bCs/>
          <w:color w:val="000000"/>
          <w:sz w:val="17"/>
          <w:lang w:eastAsia="ru-RU"/>
        </w:rPr>
        <w:t>Смирнова</w:t>
      </w:r>
    </w:p>
    <w:p w:rsidR="00951365" w:rsidRPr="00951365" w:rsidRDefault="00951365" w:rsidP="00951365">
      <w:pPr>
        <w:spacing w:after="0" w:line="225" w:lineRule="atLeast"/>
        <w:ind w:left="0" w:firstLine="0"/>
        <w:jc w:val="right"/>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E. Smirnova</w:t>
      </w:r>
    </w:p>
    <w:p w:rsidR="00951365" w:rsidRPr="00951365" w:rsidRDefault="00951365" w:rsidP="00951365">
      <w:pPr>
        <w:spacing w:after="0" w:line="225" w:lineRule="atLeast"/>
        <w:ind w:left="0" w:firstLine="0"/>
        <w:jc w:val="right"/>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eastAsia="ru-RU"/>
        </w:rPr>
        <w:t>аспирант</w:t>
      </w:r>
      <w:r w:rsidRPr="00951365">
        <w:rPr>
          <w:rFonts w:ascii="Verdana" w:eastAsia="Times New Roman" w:hAnsi="Verdana" w:cs="Arial"/>
          <w:color w:val="000000"/>
          <w:sz w:val="20"/>
          <w:szCs w:val="20"/>
          <w:bdr w:val="none" w:sz="0" w:space="0" w:color="auto" w:frame="1"/>
          <w:lang w:val="en-US" w:eastAsia="ru-RU"/>
        </w:rPr>
        <w:t>,</w:t>
      </w:r>
    </w:p>
    <w:p w:rsidR="00951365" w:rsidRPr="00951365" w:rsidRDefault="00951365" w:rsidP="00951365">
      <w:pPr>
        <w:spacing w:after="0" w:line="225" w:lineRule="atLeast"/>
        <w:ind w:left="0" w:firstLine="0"/>
        <w:jc w:val="right"/>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Санкт-Петербургский государственный университет,</w:t>
      </w:r>
    </w:p>
    <w:p w:rsidR="00951365" w:rsidRPr="00951365" w:rsidRDefault="00951365" w:rsidP="00951365">
      <w:pPr>
        <w:spacing w:after="0" w:line="225" w:lineRule="atLeast"/>
        <w:ind w:left="0" w:firstLine="0"/>
        <w:jc w:val="right"/>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Высшая Школа Менеджмента,</w:t>
      </w:r>
    </w:p>
    <w:p w:rsidR="00951365" w:rsidRPr="00951365" w:rsidRDefault="00951365" w:rsidP="00951365">
      <w:pPr>
        <w:spacing w:after="0" w:line="225" w:lineRule="atLeast"/>
        <w:ind w:left="0" w:firstLine="0"/>
        <w:jc w:val="right"/>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Кафедра финансов и учёта</w:t>
      </w:r>
    </w:p>
    <w:p w:rsidR="00951365" w:rsidRPr="00951365" w:rsidRDefault="00147711" w:rsidP="00951365">
      <w:pPr>
        <w:spacing w:after="0" w:line="225" w:lineRule="atLeast"/>
        <w:ind w:left="0" w:firstLine="0"/>
        <w:jc w:val="right"/>
        <w:rPr>
          <w:rFonts w:ascii="Arial" w:eastAsia="Times New Roman" w:hAnsi="Arial" w:cs="Arial"/>
          <w:color w:val="6D625B"/>
          <w:sz w:val="15"/>
          <w:szCs w:val="15"/>
          <w:lang w:eastAsia="ru-RU"/>
        </w:rPr>
      </w:pPr>
      <w:hyperlink r:id="rId10" w:history="1">
        <w:r w:rsidR="00951365" w:rsidRPr="00951365">
          <w:rPr>
            <w:rFonts w:ascii="Verdana" w:eastAsia="Times New Roman" w:hAnsi="Verdana" w:cs="Arial"/>
            <w:color w:val="000000"/>
            <w:sz w:val="17"/>
            <w:u w:val="single"/>
            <w:lang w:eastAsia="ru-RU"/>
          </w:rPr>
          <w:t>ekaterina_a.smirnova@yahoo.com</w:t>
        </w:r>
      </w:hyperlink>
    </w:p>
    <w:p w:rsidR="00951365" w:rsidRPr="00951365" w:rsidRDefault="00951365" w:rsidP="00951365">
      <w:pPr>
        <w:spacing w:after="0" w:line="225" w:lineRule="atLeast"/>
        <w:ind w:left="0" w:firstLine="0"/>
        <w:jc w:val="right"/>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 </w:t>
      </w:r>
    </w:p>
    <w:p w:rsidR="00951365" w:rsidRPr="00951365" w:rsidRDefault="00951365" w:rsidP="00951365">
      <w:pPr>
        <w:spacing w:after="0" w:line="225" w:lineRule="atLeast"/>
        <w:ind w:left="0" w:firstLine="0"/>
        <w:jc w:val="center"/>
        <w:rPr>
          <w:rFonts w:ascii="Arial" w:eastAsia="Times New Roman" w:hAnsi="Arial" w:cs="Arial"/>
          <w:color w:val="6D625B"/>
          <w:sz w:val="15"/>
          <w:szCs w:val="15"/>
          <w:lang w:eastAsia="ru-RU"/>
        </w:rPr>
      </w:pPr>
      <w:r w:rsidRPr="00951365">
        <w:rPr>
          <w:rFonts w:ascii="Verdana" w:eastAsia="Times New Roman" w:hAnsi="Verdana" w:cs="Arial"/>
          <w:i/>
          <w:iCs/>
          <w:color w:val="000000"/>
          <w:sz w:val="17"/>
          <w:szCs w:val="17"/>
          <w:bdr w:val="none" w:sz="0" w:space="0" w:color="auto" w:frame="1"/>
          <w:lang w:eastAsia="ru-RU"/>
        </w:rPr>
        <w:t>Чем скорее менеджеры будут способны определить основные факторы риска, тем выше будет эффективность антикризисного плана с точки зрения принятия решений.</w:t>
      </w:r>
    </w:p>
    <w:p w:rsidR="00951365" w:rsidRPr="00951365" w:rsidRDefault="00951365" w:rsidP="00951365">
      <w:pPr>
        <w:spacing w:after="0" w:line="225" w:lineRule="atLeast"/>
        <w:ind w:left="0" w:firstLine="0"/>
        <w:jc w:val="right"/>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A. Valackiene [1]</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b/>
          <w:bCs/>
          <w:color w:val="000000"/>
          <w:sz w:val="17"/>
          <w:lang w:eastAsia="ru-RU"/>
        </w:rPr>
        <w:t> </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b/>
          <w:bCs/>
          <w:color w:val="000000"/>
          <w:sz w:val="17"/>
          <w:lang w:eastAsia="ru-RU"/>
        </w:rPr>
        <w:t>Аннотация.</w:t>
      </w:r>
      <w:r w:rsidRPr="00951365">
        <w:rPr>
          <w:rFonts w:ascii="Verdana" w:eastAsia="Times New Roman" w:hAnsi="Verdana" w:cs="Arial"/>
          <w:color w:val="000000"/>
          <w:sz w:val="20"/>
          <w:lang w:eastAsia="ru-RU"/>
        </w:rPr>
        <w:t> </w:t>
      </w:r>
      <w:r w:rsidRPr="00951365">
        <w:rPr>
          <w:rFonts w:ascii="Verdana" w:eastAsia="Times New Roman" w:hAnsi="Verdana" w:cs="Arial"/>
          <w:color w:val="000000"/>
          <w:sz w:val="20"/>
          <w:szCs w:val="20"/>
          <w:bdr w:val="none" w:sz="0" w:space="0" w:color="auto" w:frame="1"/>
          <w:lang w:eastAsia="ru-RU"/>
        </w:rPr>
        <w:t>В современных условиях компания нуждается в системе индикаторов, которые могут помочь ей понять и проанализировать процесс развития рисков: как возникают риски, как увеличиваются угрозы для компании, насколько сильно риски угрожают компании. Проанализированные в работе методы и подходы могут представлять определённый интерес для изучения рисков. В статье проводится анализ методов определения индикаторов финансового заражения. Такие индикаторы предлагались и тестировались многократно в научной литературе, например, в работах [2–5].</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val="en-US" w:eastAsia="ru-RU"/>
        </w:rPr>
      </w:pPr>
      <w:r w:rsidRPr="00951365">
        <w:rPr>
          <w:rFonts w:ascii="Verdana" w:eastAsia="Times New Roman" w:hAnsi="Verdana" w:cs="Arial"/>
          <w:b/>
          <w:bCs/>
          <w:color w:val="000000"/>
          <w:sz w:val="17"/>
          <w:lang w:val="en-US" w:eastAsia="ru-RU"/>
        </w:rPr>
        <w:t>Abstract. </w:t>
      </w:r>
      <w:r w:rsidRPr="00951365">
        <w:rPr>
          <w:rFonts w:ascii="Verdana" w:eastAsia="Times New Roman" w:hAnsi="Verdana" w:cs="Arial"/>
          <w:color w:val="000000"/>
          <w:sz w:val="20"/>
          <w:szCs w:val="20"/>
          <w:bdr w:val="none" w:sz="0" w:space="0" w:color="auto" w:frame="1"/>
          <w:lang w:val="en-US" w:eastAsia="ru-RU"/>
        </w:rPr>
        <w:t>In the contemporary circumstances the company needs the system of indicators that will help to understand and to predict the process of the risks development: how the risks emerge, how the threats for the company arise, how much the risks menace the company. The methods and approaches considered reports the special value for the risks analysis. In this research financial contagion indicators assessment methods are analysed. Such indicators were proposed and tested in the related studies [2–5].</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b/>
          <w:bCs/>
          <w:color w:val="000000"/>
          <w:sz w:val="17"/>
          <w:lang w:eastAsia="ru-RU"/>
        </w:rPr>
        <w:t>Ключевые слова</w:t>
      </w:r>
      <w:r w:rsidRPr="00951365">
        <w:rPr>
          <w:rFonts w:ascii="Verdana" w:eastAsia="Times New Roman" w:hAnsi="Verdana" w:cs="Arial"/>
          <w:color w:val="000000"/>
          <w:sz w:val="20"/>
          <w:szCs w:val="20"/>
          <w:bdr w:val="none" w:sz="0" w:space="0" w:color="auto" w:frame="1"/>
          <w:lang w:eastAsia="ru-RU"/>
        </w:rPr>
        <w:t>: антикризисное управление, макроэкономические шоки, финансовое заражение, векторная авторегрессионная модель, индикаторы кризиса.</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val="en-US" w:eastAsia="ru-RU"/>
        </w:rPr>
      </w:pPr>
      <w:r w:rsidRPr="00951365">
        <w:rPr>
          <w:rFonts w:ascii="Verdana" w:eastAsia="Times New Roman" w:hAnsi="Verdana" w:cs="Arial"/>
          <w:b/>
          <w:bCs/>
          <w:color w:val="000000"/>
          <w:sz w:val="17"/>
          <w:lang w:val="en-US" w:eastAsia="ru-RU"/>
        </w:rPr>
        <w:t>Keywords</w:t>
      </w:r>
      <w:r w:rsidRPr="00951365">
        <w:rPr>
          <w:rFonts w:ascii="Verdana" w:eastAsia="Times New Roman" w:hAnsi="Verdana" w:cs="Arial"/>
          <w:color w:val="000000"/>
          <w:sz w:val="20"/>
          <w:szCs w:val="20"/>
          <w:bdr w:val="none" w:sz="0" w:space="0" w:color="auto" w:frame="1"/>
          <w:lang w:val="en-US" w:eastAsia="ru-RU"/>
        </w:rPr>
        <w:t>: crisis management, macroeconomic chocks, financial contagion, vector autoregressive model, crisis indicators.</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В данном исследовании проводится анализ экономической природы шоков на рынке, а также методов эмпирической проверки теоретических взаимосвязей между финансовыми шоками, финансовым заражением и финансовыми кризисами. Данные взаимозависимости анализируются с целью выявления индикаторов, использование которых позволит компании предвидеть наступление кризиса (которые «включаются» за некоторое время до наступления кризисного события). Рассматриваются индикаторы финансового заражения, которые позволяют выявить значимые взаимосвязи между доходностями основных финансовых индикаторов. В целях принятия управленческих решений оценка рыночной ситуации позволяет инвестору ответить на вопрос, согласен ли он нести такие  риски или нет.</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Макроэкономическая нестабильность, заметно усилившаяся во второй половине XX века, усугублялась распадом Бреттон-Вудской валютной системы в 1976 г., рядом энергетических кризисов (1973 г., 1979-1980 гг., 1990 г.), коррелировавших с политической обстановкой в мире [6].</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i/>
          <w:iCs/>
          <w:color w:val="000000"/>
          <w:sz w:val="17"/>
          <w:szCs w:val="17"/>
          <w:bdr w:val="none" w:sz="0" w:space="0" w:color="auto" w:frame="1"/>
          <w:lang w:eastAsia="ru-RU"/>
        </w:rPr>
        <w:t>Финансовое заражение</w:t>
      </w:r>
      <w:r w:rsidRPr="00951365">
        <w:rPr>
          <w:rFonts w:ascii="Verdana" w:eastAsia="Times New Roman" w:hAnsi="Verdana" w:cs="Arial"/>
          <w:color w:val="000000"/>
          <w:sz w:val="20"/>
          <w:lang w:eastAsia="ru-RU"/>
        </w:rPr>
        <w:t> </w:t>
      </w:r>
      <w:r w:rsidRPr="00951365">
        <w:rPr>
          <w:rFonts w:ascii="Verdana" w:eastAsia="Times New Roman" w:hAnsi="Verdana" w:cs="Arial"/>
          <w:color w:val="000000"/>
          <w:sz w:val="20"/>
          <w:szCs w:val="20"/>
          <w:bdr w:val="none" w:sz="0" w:space="0" w:color="auto" w:frame="1"/>
          <w:lang w:eastAsia="ru-RU"/>
        </w:rPr>
        <w:t>- это ситуация на финансовом рынке, во время которой взаимозависимости между различными индикаторами финансового рынка становятся сильнее после шока в динамике одного финансового индикатора [7].</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lastRenderedPageBreak/>
        <w:t>Исследование финансовых шоков берёт начало в макроэкономических вопросах. Так, в 1980 году в статье в журнале “Econometrics” будущий лауреат Нобелевской премии по экономике К. Симс (Ch. Sims) показал, как модели векторной авторегрессии могут быть использованы для оценки взаимозависимостей между макроэкономическими параметрами [8]. Впоследствии, продолжая исследования К. Симса, японский исследователь М. Хатанака (M. Hatanaka) показал, что для того, чтобы использовать модель векторной авторегрессии, в ней должно быть не меньше коэффициентов при независимых переменных, чем коэффициентов при зависимых переменных [9]. Такое условие (</w:t>
      </w:r>
      <w:r w:rsidRPr="00951365">
        <w:rPr>
          <w:rFonts w:ascii="Verdana" w:eastAsia="Times New Roman" w:hAnsi="Verdana" w:cs="Arial"/>
          <w:i/>
          <w:iCs/>
          <w:color w:val="000000"/>
          <w:sz w:val="17"/>
          <w:szCs w:val="17"/>
          <w:bdr w:val="none" w:sz="0" w:space="0" w:color="auto" w:frame="1"/>
          <w:lang w:eastAsia="ru-RU"/>
        </w:rPr>
        <w:t>критерий Хатанаки</w:t>
      </w:r>
      <w:r w:rsidRPr="00951365">
        <w:rPr>
          <w:rFonts w:ascii="Verdana" w:eastAsia="Times New Roman" w:hAnsi="Verdana" w:cs="Arial"/>
          <w:color w:val="000000"/>
          <w:sz w:val="20"/>
          <w:szCs w:val="20"/>
          <w:bdr w:val="none" w:sz="0" w:space="0" w:color="auto" w:frame="1"/>
          <w:lang w:eastAsia="ru-RU"/>
        </w:rPr>
        <w:t>) объясняется «происхождением» модели векторной авторегрессии от системы структурных уравнений с упрощениями для более компактной записи модели и стандартизации принципов её интерпретации [10].</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Дальнейшее развитие области тестирования гипотез о макроэкономических взаимосвязях с использованием моделей векторной авторегрессии развивается, как минимум, по двум направлениям: математическому и экономическому. В «математическом направлении», например, К. Баум (Ch. Baum) анализирует векторные авторегрессионные модели, для которых возможно при наличии свойства стабильности оценивать</w:t>
      </w:r>
      <w:r w:rsidRPr="00951365">
        <w:rPr>
          <w:rFonts w:ascii="Verdana" w:eastAsia="Times New Roman" w:hAnsi="Verdana" w:cs="Arial"/>
          <w:color w:val="000000"/>
          <w:sz w:val="20"/>
          <w:lang w:eastAsia="ru-RU"/>
        </w:rPr>
        <w:t> </w:t>
      </w:r>
      <w:r w:rsidRPr="00951365">
        <w:rPr>
          <w:rFonts w:ascii="Verdana" w:eastAsia="Times New Roman" w:hAnsi="Verdana" w:cs="Arial"/>
          <w:i/>
          <w:iCs/>
          <w:color w:val="000000"/>
          <w:sz w:val="17"/>
          <w:szCs w:val="17"/>
          <w:bdr w:val="none" w:sz="0" w:space="0" w:color="auto" w:frame="1"/>
          <w:lang w:eastAsia="ru-RU"/>
        </w:rPr>
        <w:t>функцию воздействия-результата</w:t>
      </w:r>
      <w:r w:rsidRPr="00951365">
        <w:rPr>
          <w:rFonts w:ascii="Verdana" w:eastAsia="Times New Roman" w:hAnsi="Verdana" w:cs="Arial"/>
          <w:color w:val="000000"/>
          <w:sz w:val="20"/>
          <w:lang w:eastAsia="ru-RU"/>
        </w:rPr>
        <w:t> </w:t>
      </w:r>
      <w:r w:rsidRPr="00951365">
        <w:rPr>
          <w:rFonts w:ascii="Verdana" w:eastAsia="Times New Roman" w:hAnsi="Verdana" w:cs="Arial"/>
          <w:color w:val="000000"/>
          <w:sz w:val="20"/>
          <w:szCs w:val="20"/>
          <w:bdr w:val="none" w:sz="0" w:space="0" w:color="auto" w:frame="1"/>
          <w:lang w:eastAsia="ru-RU"/>
        </w:rPr>
        <w:t>(impulse-response function) [11]. Условием того, что векторная авторегрессионная модель будет обладать свойством стабильности, является возможность представления её в виде</w:t>
      </w:r>
      <w:r w:rsidRPr="00951365">
        <w:rPr>
          <w:rFonts w:ascii="Verdana" w:eastAsia="Times New Roman" w:hAnsi="Verdana" w:cs="Arial"/>
          <w:color w:val="000000"/>
          <w:sz w:val="20"/>
          <w:lang w:eastAsia="ru-RU"/>
        </w:rPr>
        <w:t> </w:t>
      </w:r>
      <w:r w:rsidRPr="00951365">
        <w:rPr>
          <w:rFonts w:ascii="Verdana" w:eastAsia="Times New Roman" w:hAnsi="Verdana" w:cs="Arial"/>
          <w:i/>
          <w:iCs/>
          <w:color w:val="000000"/>
          <w:sz w:val="17"/>
          <w:szCs w:val="17"/>
          <w:bdr w:val="none" w:sz="0" w:space="0" w:color="auto" w:frame="1"/>
          <w:lang w:eastAsia="ru-RU"/>
        </w:rPr>
        <w:t>разложения Холецкого</w:t>
      </w:r>
      <w:r w:rsidRPr="00951365">
        <w:rPr>
          <w:rFonts w:ascii="Verdana" w:eastAsia="Times New Roman" w:hAnsi="Verdana" w:cs="Arial"/>
          <w:i/>
          <w:iCs/>
          <w:color w:val="000000"/>
          <w:sz w:val="17"/>
          <w:lang w:eastAsia="ru-RU"/>
        </w:rPr>
        <w:t> </w:t>
      </w:r>
      <w:r w:rsidRPr="00951365">
        <w:rPr>
          <w:rFonts w:ascii="Verdana" w:eastAsia="Times New Roman" w:hAnsi="Verdana" w:cs="Arial"/>
          <w:color w:val="000000"/>
          <w:sz w:val="20"/>
          <w:szCs w:val="20"/>
          <w:bdr w:val="none" w:sz="0" w:space="0" w:color="auto" w:frame="1"/>
          <w:lang w:eastAsia="ru-RU"/>
        </w:rPr>
        <w:t>(A.-L. Cholesky) [12]. В случае, если векторная авторегрессионная модель обладает свойством стабильности, она может быть записана в следующей форме:</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 </w:t>
      </w:r>
    </w:p>
    <w:p w:rsidR="00951365" w:rsidRPr="00951365" w:rsidRDefault="00951365" w:rsidP="00951365">
      <w:pPr>
        <w:spacing w:after="0" w:line="225" w:lineRule="atLeast"/>
        <w:ind w:left="0" w:firstLine="0"/>
        <w:jc w:val="center"/>
        <w:rPr>
          <w:rFonts w:ascii="Arial" w:eastAsia="Times New Roman" w:hAnsi="Arial" w:cs="Arial"/>
          <w:color w:val="6D625B"/>
          <w:sz w:val="15"/>
          <w:szCs w:val="15"/>
          <w:lang w:eastAsia="ru-RU"/>
        </w:rPr>
      </w:pPr>
      <w:r>
        <w:rPr>
          <w:rFonts w:ascii="Verdana" w:eastAsia="Times New Roman" w:hAnsi="Verdana" w:cs="Arial"/>
          <w:noProof/>
          <w:color w:val="000000"/>
          <w:sz w:val="20"/>
          <w:szCs w:val="20"/>
          <w:bdr w:val="none" w:sz="0" w:space="0" w:color="auto" w:frame="1"/>
          <w:lang w:eastAsia="ru-RU"/>
        </w:rPr>
        <w:drawing>
          <wp:inline distT="0" distB="0" distL="0" distR="0">
            <wp:extent cx="3546475" cy="580390"/>
            <wp:effectExtent l="19050" t="0" r="0" b="0"/>
            <wp:docPr id="1" name="Рисунок 1" descr="http://httpwww.uecs.ru/images/stories/2016/5nomer/7/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ttpwww.uecs.ru/images/stories/2016/5nomer/7/image002.gif"/>
                    <pic:cNvPicPr>
                      <a:picLocks noChangeAspect="1" noChangeArrowheads="1"/>
                    </pic:cNvPicPr>
                  </pic:nvPicPr>
                  <pic:blipFill>
                    <a:blip r:embed="rId11" cstate="print"/>
                    <a:srcRect/>
                    <a:stretch>
                      <a:fillRect/>
                    </a:stretch>
                  </pic:blipFill>
                  <pic:spPr bwMode="auto">
                    <a:xfrm>
                      <a:off x="0" y="0"/>
                      <a:ext cx="3546475" cy="580390"/>
                    </a:xfrm>
                    <a:prstGeom prst="rect">
                      <a:avLst/>
                    </a:prstGeom>
                    <a:noFill/>
                    <a:ln w="9525">
                      <a:noFill/>
                      <a:miter lim="800000"/>
                      <a:headEnd/>
                      <a:tailEnd/>
                    </a:ln>
                  </pic:spPr>
                </pic:pic>
              </a:graphicData>
            </a:graphic>
          </wp:inline>
        </w:drawing>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 </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где </w:t>
      </w:r>
      <w:r w:rsidRPr="00951365">
        <w:rPr>
          <w:rFonts w:ascii="Verdana" w:eastAsia="Times New Roman" w:hAnsi="Verdana" w:cs="Arial"/>
          <w:color w:val="000000"/>
          <w:sz w:val="20"/>
          <w:lang w:eastAsia="ru-RU"/>
        </w:rPr>
        <w:t> </w:t>
      </w:r>
      <w:r>
        <w:rPr>
          <w:rFonts w:ascii="Verdana" w:eastAsia="Times New Roman" w:hAnsi="Verdana" w:cs="Arial"/>
          <w:noProof/>
          <w:color w:val="000000"/>
          <w:sz w:val="20"/>
          <w:szCs w:val="20"/>
          <w:bdr w:val="none" w:sz="0" w:space="0" w:color="auto" w:frame="1"/>
          <w:lang w:eastAsia="ru-RU"/>
        </w:rPr>
        <w:drawing>
          <wp:inline distT="0" distB="0" distL="0" distR="0">
            <wp:extent cx="158750" cy="207010"/>
            <wp:effectExtent l="19050" t="0" r="0" b="0"/>
            <wp:docPr id="2" name="Рисунок 2" descr="http://httpwww.uecs.ru/images/stories/2016/5nomer/7/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ttpwww.uecs.ru/images/stories/2016/5nomer/7/image004.gif"/>
                    <pic:cNvPicPr>
                      <a:picLocks noChangeAspect="1" noChangeArrowheads="1"/>
                    </pic:cNvPicPr>
                  </pic:nvPicPr>
                  <pic:blipFill>
                    <a:blip r:embed="rId12"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951365">
        <w:rPr>
          <w:rFonts w:ascii="Verdana" w:eastAsia="Times New Roman" w:hAnsi="Verdana" w:cs="Arial"/>
          <w:color w:val="000000"/>
          <w:sz w:val="20"/>
          <w:szCs w:val="20"/>
          <w:bdr w:val="none" w:sz="0" w:space="0" w:color="auto" w:frame="1"/>
          <w:lang w:eastAsia="ru-RU"/>
        </w:rPr>
        <w:t> – вектор, состоящий из K переменных, каждая из которых может быть представлена в виде функции с p лагами этой переменной и возможно, но не обязательно, набора независимых переменных</w:t>
      </w:r>
      <w:r w:rsidRPr="00951365">
        <w:rPr>
          <w:rFonts w:ascii="Verdana" w:eastAsia="Times New Roman" w:hAnsi="Verdana" w:cs="Arial"/>
          <w:color w:val="000000"/>
          <w:sz w:val="20"/>
          <w:lang w:eastAsia="ru-RU"/>
        </w:rPr>
        <w:t> </w:t>
      </w:r>
      <w:r>
        <w:rPr>
          <w:rFonts w:ascii="Verdana" w:eastAsia="Times New Roman" w:hAnsi="Verdana" w:cs="Arial"/>
          <w:noProof/>
          <w:color w:val="000000"/>
          <w:sz w:val="20"/>
          <w:szCs w:val="20"/>
          <w:bdr w:val="none" w:sz="0" w:space="0" w:color="auto" w:frame="1"/>
          <w:lang w:eastAsia="ru-RU"/>
        </w:rPr>
        <w:drawing>
          <wp:inline distT="0" distB="0" distL="0" distR="0">
            <wp:extent cx="158750" cy="207010"/>
            <wp:effectExtent l="19050" t="0" r="0" b="0"/>
            <wp:docPr id="3" name="Рисунок 3" descr="http://httpwww.uecs.ru/images/stories/2016/5nomer/7/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ttpwww.uecs.ru/images/stories/2016/5nomer/7/image006.gif"/>
                    <pic:cNvPicPr>
                      <a:picLocks noChangeAspect="1" noChangeArrowheads="1"/>
                    </pic:cNvPicPr>
                  </pic:nvPicPr>
                  <pic:blipFill>
                    <a:blip r:embed="rId13"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951365">
        <w:rPr>
          <w:rFonts w:ascii="Verdana" w:eastAsia="Times New Roman" w:hAnsi="Verdana" w:cs="Arial"/>
          <w:color w:val="000000"/>
          <w:sz w:val="20"/>
          <w:szCs w:val="20"/>
          <w:bdr w:val="none" w:sz="0" w:space="0" w:color="auto" w:frame="1"/>
          <w:lang w:eastAsia="ru-RU"/>
        </w:rPr>
        <w:t>;</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Pr>
          <w:rFonts w:ascii="Verdana" w:eastAsia="Times New Roman" w:hAnsi="Verdana" w:cs="Arial"/>
          <w:noProof/>
          <w:color w:val="000000"/>
          <w:sz w:val="20"/>
          <w:szCs w:val="20"/>
          <w:bdr w:val="none" w:sz="0" w:space="0" w:color="auto" w:frame="1"/>
          <w:lang w:eastAsia="ru-RU"/>
        </w:rPr>
        <w:drawing>
          <wp:inline distT="0" distB="0" distL="0" distR="0">
            <wp:extent cx="103505" cy="207010"/>
            <wp:effectExtent l="19050" t="0" r="0" b="0"/>
            <wp:docPr id="4" name="Рисунок 4" descr="http://httpwww.uecs.ru/images/stories/2016/5nomer/7/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ttpwww.uecs.ru/images/stories/2016/5nomer/7/image008.gif"/>
                    <pic:cNvPicPr>
                      <a:picLocks noChangeAspect="1" noChangeArrowheads="1"/>
                    </pic:cNvPicPr>
                  </pic:nvPicPr>
                  <pic:blipFill>
                    <a:blip r:embed="rId14" cstate="print"/>
                    <a:srcRect/>
                    <a:stretch>
                      <a:fillRect/>
                    </a:stretch>
                  </pic:blipFill>
                  <pic:spPr bwMode="auto">
                    <a:xfrm>
                      <a:off x="0" y="0"/>
                      <a:ext cx="103505" cy="207010"/>
                    </a:xfrm>
                    <a:prstGeom prst="rect">
                      <a:avLst/>
                    </a:prstGeom>
                    <a:noFill/>
                    <a:ln w="9525">
                      <a:noFill/>
                      <a:miter lim="800000"/>
                      <a:headEnd/>
                      <a:tailEnd/>
                    </a:ln>
                  </pic:spPr>
                </pic:pic>
              </a:graphicData>
            </a:graphic>
          </wp:inline>
        </w:drawing>
      </w:r>
      <w:r w:rsidRPr="00951365">
        <w:rPr>
          <w:rFonts w:ascii="Verdana" w:eastAsia="Times New Roman" w:hAnsi="Verdana" w:cs="Arial"/>
          <w:color w:val="000000"/>
          <w:sz w:val="20"/>
          <w:szCs w:val="20"/>
          <w:bdr w:val="none" w:sz="0" w:space="0" w:color="auto" w:frame="1"/>
          <w:lang w:eastAsia="ru-RU"/>
        </w:rPr>
        <w:t> – свободный коэффициент;</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Pr>
          <w:rFonts w:ascii="Verdana" w:eastAsia="Times New Roman" w:hAnsi="Verdana" w:cs="Arial"/>
          <w:noProof/>
          <w:color w:val="000000"/>
          <w:sz w:val="20"/>
          <w:szCs w:val="20"/>
          <w:bdr w:val="none" w:sz="0" w:space="0" w:color="auto" w:frame="1"/>
          <w:lang w:eastAsia="ru-RU"/>
        </w:rPr>
        <w:drawing>
          <wp:inline distT="0" distB="0" distL="0" distR="0">
            <wp:extent cx="174625" cy="207010"/>
            <wp:effectExtent l="19050" t="0" r="0" b="0"/>
            <wp:docPr id="5" name="Рисунок 5" descr="http://httpwww.uecs.ru/images/stories/2016/5nomer/7/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ttpwww.uecs.ru/images/stories/2016/5nomer/7/image010.gif"/>
                    <pic:cNvPicPr>
                      <a:picLocks noChangeAspect="1" noChangeArrowheads="1"/>
                    </pic:cNvPicPr>
                  </pic:nvPicPr>
                  <pic:blipFill>
                    <a:blip r:embed="rId15" cstate="print"/>
                    <a:srcRect/>
                    <a:stretch>
                      <a:fillRect/>
                    </a:stretch>
                  </pic:blipFill>
                  <pic:spPr bwMode="auto">
                    <a:xfrm>
                      <a:off x="0" y="0"/>
                      <a:ext cx="174625" cy="207010"/>
                    </a:xfrm>
                    <a:prstGeom prst="rect">
                      <a:avLst/>
                    </a:prstGeom>
                    <a:noFill/>
                    <a:ln w="9525">
                      <a:noFill/>
                      <a:miter lim="800000"/>
                      <a:headEnd/>
                      <a:tailEnd/>
                    </a:ln>
                  </pic:spPr>
                </pic:pic>
              </a:graphicData>
            </a:graphic>
          </wp:inline>
        </w:drawing>
      </w:r>
      <w:r w:rsidRPr="00951365">
        <w:rPr>
          <w:rFonts w:ascii="Verdana" w:eastAsia="Times New Roman" w:hAnsi="Verdana" w:cs="Arial"/>
          <w:color w:val="000000"/>
          <w:sz w:val="20"/>
          <w:szCs w:val="20"/>
          <w:bdr w:val="none" w:sz="0" w:space="0" w:color="auto" w:frame="1"/>
          <w:lang w:eastAsia="ru-RU"/>
        </w:rPr>
        <w:t> – динамические мультипликативные функции, или функции передачи влияния;</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Pr>
          <w:rFonts w:ascii="Verdana" w:eastAsia="Times New Roman" w:hAnsi="Verdana" w:cs="Arial"/>
          <w:noProof/>
          <w:color w:val="000000"/>
          <w:sz w:val="20"/>
          <w:szCs w:val="20"/>
          <w:bdr w:val="none" w:sz="0" w:space="0" w:color="auto" w:frame="1"/>
          <w:lang w:eastAsia="ru-RU"/>
        </w:rPr>
        <w:drawing>
          <wp:inline distT="0" distB="0" distL="0" distR="0">
            <wp:extent cx="302260" cy="207010"/>
            <wp:effectExtent l="19050" t="0" r="2540" b="0"/>
            <wp:docPr id="6" name="Рисунок 6" descr="http://httpwww.uecs.ru/images/stories/2016/5nomer/7/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ttpwww.uecs.ru/images/stories/2016/5nomer/7/image012.gif"/>
                    <pic:cNvPicPr>
                      <a:picLocks noChangeAspect="1" noChangeArrowheads="1"/>
                    </pic:cNvPicPr>
                  </pic:nvPicPr>
                  <pic:blipFill>
                    <a:blip r:embed="rId16" cstate="print"/>
                    <a:srcRect/>
                    <a:stretch>
                      <a:fillRect/>
                    </a:stretch>
                  </pic:blipFill>
                  <pic:spPr bwMode="auto">
                    <a:xfrm>
                      <a:off x="0" y="0"/>
                      <a:ext cx="302260" cy="207010"/>
                    </a:xfrm>
                    <a:prstGeom prst="rect">
                      <a:avLst/>
                    </a:prstGeom>
                    <a:noFill/>
                    <a:ln w="9525">
                      <a:noFill/>
                      <a:miter lim="800000"/>
                      <a:headEnd/>
                      <a:tailEnd/>
                    </a:ln>
                  </pic:spPr>
                </pic:pic>
              </a:graphicData>
            </a:graphic>
          </wp:inline>
        </w:drawing>
      </w:r>
      <w:r w:rsidRPr="00951365">
        <w:rPr>
          <w:rFonts w:ascii="Verdana" w:eastAsia="Times New Roman" w:hAnsi="Verdana" w:cs="Arial"/>
          <w:color w:val="000000"/>
          <w:sz w:val="20"/>
          <w:szCs w:val="20"/>
          <w:bdr w:val="none" w:sz="0" w:space="0" w:color="auto" w:frame="1"/>
          <w:lang w:eastAsia="ru-RU"/>
        </w:rPr>
        <w:t> – значение независимой переменной в момент времени t с лагом i;</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Pr>
          <w:rFonts w:ascii="Verdana" w:eastAsia="Times New Roman" w:hAnsi="Verdana" w:cs="Arial"/>
          <w:noProof/>
          <w:color w:val="000000"/>
          <w:sz w:val="20"/>
          <w:szCs w:val="20"/>
          <w:bdr w:val="none" w:sz="0" w:space="0" w:color="auto" w:frame="1"/>
          <w:lang w:eastAsia="ru-RU"/>
        </w:rPr>
        <w:drawing>
          <wp:inline distT="0" distB="0" distL="0" distR="0">
            <wp:extent cx="198755" cy="207010"/>
            <wp:effectExtent l="19050" t="0" r="0" b="0"/>
            <wp:docPr id="7" name="Рисунок 7" descr="http://httpwww.uecs.ru/images/stories/2016/5nomer/7/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ttpwww.uecs.ru/images/stories/2016/5nomer/7/image014.gif"/>
                    <pic:cNvPicPr>
                      <a:picLocks noChangeAspect="1" noChangeArrowheads="1"/>
                    </pic:cNvPicPr>
                  </pic:nvPicPr>
                  <pic:blipFill>
                    <a:blip r:embed="rId17" cstate="print"/>
                    <a:srcRect/>
                    <a:stretch>
                      <a:fillRect/>
                    </a:stretch>
                  </pic:blipFill>
                  <pic:spPr bwMode="auto">
                    <a:xfrm>
                      <a:off x="0" y="0"/>
                      <a:ext cx="198755" cy="207010"/>
                    </a:xfrm>
                    <a:prstGeom prst="rect">
                      <a:avLst/>
                    </a:prstGeom>
                    <a:noFill/>
                    <a:ln w="9525">
                      <a:noFill/>
                      <a:miter lim="800000"/>
                      <a:headEnd/>
                      <a:tailEnd/>
                    </a:ln>
                  </pic:spPr>
                </pic:pic>
              </a:graphicData>
            </a:graphic>
          </wp:inline>
        </w:drawing>
      </w:r>
      <w:r w:rsidRPr="00951365">
        <w:rPr>
          <w:rFonts w:ascii="Verdana" w:eastAsia="Times New Roman" w:hAnsi="Verdana" w:cs="Arial"/>
          <w:color w:val="000000"/>
          <w:sz w:val="20"/>
          <w:szCs w:val="20"/>
          <w:bdr w:val="none" w:sz="0" w:space="0" w:color="auto" w:frame="1"/>
          <w:lang w:eastAsia="ru-RU"/>
        </w:rPr>
        <w:t> – коэффициенты скользящего среднего;</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Pr>
          <w:rFonts w:ascii="Verdana" w:eastAsia="Times New Roman" w:hAnsi="Verdana" w:cs="Arial"/>
          <w:noProof/>
          <w:color w:val="000000"/>
          <w:sz w:val="20"/>
          <w:szCs w:val="20"/>
          <w:bdr w:val="none" w:sz="0" w:space="0" w:color="auto" w:frame="1"/>
          <w:lang w:eastAsia="ru-RU"/>
        </w:rPr>
        <w:drawing>
          <wp:inline distT="0" distB="0" distL="0" distR="0">
            <wp:extent cx="318135" cy="207010"/>
            <wp:effectExtent l="19050" t="0" r="5715" b="0"/>
            <wp:docPr id="8" name="Рисунок 8" descr="http://httpwww.uecs.ru/images/stories/2016/5nomer/7/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ttpwww.uecs.ru/images/stories/2016/5nomer/7/image016.gif"/>
                    <pic:cNvPicPr>
                      <a:picLocks noChangeAspect="1" noChangeArrowheads="1"/>
                    </pic:cNvPicPr>
                  </pic:nvPicPr>
                  <pic:blipFill>
                    <a:blip r:embed="rId18" cstate="print"/>
                    <a:srcRect/>
                    <a:stretch>
                      <a:fillRect/>
                    </a:stretch>
                  </pic:blipFill>
                  <pic:spPr bwMode="auto">
                    <a:xfrm>
                      <a:off x="0" y="0"/>
                      <a:ext cx="318135" cy="207010"/>
                    </a:xfrm>
                    <a:prstGeom prst="rect">
                      <a:avLst/>
                    </a:prstGeom>
                    <a:noFill/>
                    <a:ln w="9525">
                      <a:noFill/>
                      <a:miter lim="800000"/>
                      <a:headEnd/>
                      <a:tailEnd/>
                    </a:ln>
                  </pic:spPr>
                </pic:pic>
              </a:graphicData>
            </a:graphic>
          </wp:inline>
        </w:drawing>
      </w:r>
      <w:r w:rsidRPr="00951365">
        <w:rPr>
          <w:rFonts w:ascii="Verdana" w:eastAsia="Times New Roman" w:hAnsi="Verdana" w:cs="Arial"/>
          <w:color w:val="000000"/>
          <w:sz w:val="20"/>
          <w:szCs w:val="20"/>
          <w:bdr w:val="none" w:sz="0" w:space="0" w:color="auto" w:frame="1"/>
          <w:lang w:eastAsia="ru-RU"/>
        </w:rPr>
        <w:t> – значение случайного процесса белого шума в момент времени t с лагом i.</w:t>
      </w:r>
    </w:p>
    <w:p w:rsidR="00951365" w:rsidRPr="00951365" w:rsidRDefault="00951365" w:rsidP="00951365">
      <w:pPr>
        <w:spacing w:after="0" w:line="225" w:lineRule="atLeast"/>
        <w:ind w:left="0" w:firstLine="710"/>
        <w:jc w:val="both"/>
        <w:rPr>
          <w:rFonts w:ascii="Arial" w:eastAsia="Times New Roman" w:hAnsi="Arial" w:cs="Arial"/>
          <w:color w:val="6D625B"/>
          <w:sz w:val="15"/>
          <w:szCs w:val="15"/>
          <w:lang w:eastAsia="ru-RU"/>
        </w:rPr>
      </w:pPr>
      <w:r w:rsidRPr="00951365">
        <w:rPr>
          <w:rFonts w:ascii="Verdana" w:eastAsia="Times New Roman" w:hAnsi="Verdana" w:cs="Arial"/>
          <w:i/>
          <w:iCs/>
          <w:color w:val="000000"/>
          <w:sz w:val="17"/>
          <w:szCs w:val="17"/>
          <w:bdr w:val="none" w:sz="0" w:space="0" w:color="auto" w:frame="1"/>
          <w:lang w:eastAsia="ru-RU"/>
        </w:rPr>
        <w:t> </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При этом в правой части равенства (1) присутствуют функции воздействия-результата (impulse-response functions, IFRs) на временном горизонте i [11]. Формула (1) представляет собой</w:t>
      </w:r>
      <w:r w:rsidRPr="00951365">
        <w:rPr>
          <w:rFonts w:ascii="Verdana" w:eastAsia="Times New Roman" w:hAnsi="Verdana" w:cs="Arial"/>
          <w:color w:val="000000"/>
          <w:sz w:val="20"/>
          <w:lang w:eastAsia="ru-RU"/>
        </w:rPr>
        <w:t> </w:t>
      </w:r>
      <w:r w:rsidRPr="00951365">
        <w:rPr>
          <w:rFonts w:ascii="Verdana" w:eastAsia="Times New Roman" w:hAnsi="Verdana" w:cs="Arial"/>
          <w:i/>
          <w:iCs/>
          <w:color w:val="000000"/>
          <w:sz w:val="17"/>
          <w:szCs w:val="17"/>
          <w:bdr w:val="none" w:sz="0" w:space="0" w:color="auto" w:frame="1"/>
          <w:lang w:eastAsia="ru-RU"/>
        </w:rPr>
        <w:t>модель векторной авторегресии-скользящего среднего</w:t>
      </w:r>
      <w:r w:rsidRPr="00951365">
        <w:rPr>
          <w:rFonts w:ascii="Verdana" w:eastAsia="Times New Roman" w:hAnsi="Verdana" w:cs="Arial"/>
          <w:color w:val="000000"/>
          <w:sz w:val="20"/>
          <w:szCs w:val="20"/>
          <w:bdr w:val="none" w:sz="0" w:space="0" w:color="auto" w:frame="1"/>
          <w:lang w:eastAsia="ru-RU"/>
        </w:rPr>
        <w:t>, характерной особенностью которой является то, что все предыдущие значения зависимой переменной, являющиеся элементом авторегрессионных моделей в классической форме, исключены.</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Таким образом, для расчёта функции воздействия-результата необходимо выполнение условия стабильности функции векторной авторегресии. Функции воздействия-результата имеют недостаток: они показывают эффект, отложенный во времени на один шаг, только для одного шока, оставляя другие шоки на прежнем уровне [11].</w:t>
      </w:r>
    </w:p>
    <w:p w:rsidR="00951365" w:rsidRPr="00951365" w:rsidRDefault="00951365" w:rsidP="00951365">
      <w:pPr>
        <w:spacing w:after="0" w:line="225" w:lineRule="atLeast"/>
        <w:ind w:left="0" w:firstLine="0"/>
        <w:jc w:val="both"/>
        <w:rPr>
          <w:rFonts w:ascii="Arial" w:eastAsia="Times New Roman" w:hAnsi="Arial" w:cs="Arial"/>
          <w:color w:val="6D625B"/>
          <w:sz w:val="20"/>
          <w:szCs w:val="20"/>
          <w:lang w:eastAsia="ru-RU"/>
        </w:rPr>
      </w:pPr>
      <w:r w:rsidRPr="00951365">
        <w:rPr>
          <w:rFonts w:ascii="Verdana" w:eastAsia="Times New Roman" w:hAnsi="Verdana" w:cs="Arial"/>
          <w:color w:val="000000"/>
          <w:sz w:val="20"/>
          <w:szCs w:val="20"/>
          <w:bdr w:val="none" w:sz="0" w:space="0" w:color="auto" w:frame="1"/>
          <w:lang w:eastAsia="ru-RU"/>
        </w:rPr>
        <w:t xml:space="preserve">Другим направлением исследования макроэкономических взаимозависимостей при помощи векторных  авторегрессионных моделей является «экономическое». В этом направлении прежде всего изучается природа шоков на рынке. Под макроэкономическим шоком подразумевают значительное снижение ВВП [13]. Макроэкономические шоки классифицируются по показателю-результату, к изменению которого они приводят, на шоки спроса и шоки предложения. Например, шоки предложения определяются как неожиданные изменения издержек производства (за счёт стоимости ресурсов) или производительности, которое оказывает неожиданное и значительное влияние на совокупное предложение. В результате шока предложения происходит непредвиденное изменение реального ВВП и уровня цен [12, с. 1343]. </w:t>
      </w:r>
      <w:r w:rsidRPr="00951365">
        <w:rPr>
          <w:rFonts w:ascii="Verdana" w:eastAsia="Times New Roman" w:hAnsi="Verdana" w:cs="Arial"/>
          <w:color w:val="000000"/>
          <w:sz w:val="20"/>
          <w:szCs w:val="20"/>
          <w:bdr w:val="none" w:sz="0" w:space="0" w:color="auto" w:frame="1"/>
          <w:lang w:eastAsia="ru-RU"/>
        </w:rPr>
        <w:lastRenderedPageBreak/>
        <w:t>Однако, как показано в работе M.A. Dąbrowski и J. Wróblewska, не только традиционно изучаемые экономистами шоки спроса и предложения позволяют объяснить колебания реального обменного курса. Исследование, выполненное ими с использованием теоретической модели R. Clarida и J. Gali [6] показало, что в качестве дополнительного вида макроэкономических шоков, помимо рассматриваемых традиционно, выступают монетарные</w:t>
      </w:r>
      <w:bookmarkStart w:id="0" w:name="_ftnref1"/>
      <w:r w:rsidR="00147711" w:rsidRPr="00951365">
        <w:rPr>
          <w:rFonts w:ascii="Verdana" w:eastAsia="Times New Roman" w:hAnsi="Verdana" w:cs="Arial"/>
          <w:color w:val="000000"/>
          <w:sz w:val="20"/>
          <w:szCs w:val="20"/>
          <w:bdr w:val="none" w:sz="0" w:space="0" w:color="auto" w:frame="1"/>
          <w:lang w:eastAsia="ru-RU"/>
        </w:rPr>
        <w:fldChar w:fldCharType="begin"/>
      </w:r>
      <w:r w:rsidRPr="00951365">
        <w:rPr>
          <w:rFonts w:ascii="Verdana" w:eastAsia="Times New Roman" w:hAnsi="Verdana" w:cs="Arial"/>
          <w:color w:val="000000"/>
          <w:sz w:val="20"/>
          <w:szCs w:val="20"/>
          <w:bdr w:val="none" w:sz="0" w:space="0" w:color="auto" w:frame="1"/>
          <w:lang w:eastAsia="ru-RU"/>
        </w:rPr>
        <w:instrText xml:space="preserve"> HYPERLINK "http://httpwww.uecs.ru/teoriya-upravleniya/item/3944-2016-05-17-07-08-25" \l "_ftn1" \o "" </w:instrText>
      </w:r>
      <w:r w:rsidR="00147711" w:rsidRPr="00951365">
        <w:rPr>
          <w:rFonts w:ascii="Verdana" w:eastAsia="Times New Roman" w:hAnsi="Verdana" w:cs="Arial"/>
          <w:color w:val="000000"/>
          <w:sz w:val="20"/>
          <w:szCs w:val="20"/>
          <w:bdr w:val="none" w:sz="0" w:space="0" w:color="auto" w:frame="1"/>
          <w:lang w:eastAsia="ru-RU"/>
        </w:rPr>
        <w:fldChar w:fldCharType="separate"/>
      </w:r>
      <w:r w:rsidRPr="00951365">
        <w:rPr>
          <w:rFonts w:ascii="Verdana" w:eastAsia="Times New Roman" w:hAnsi="Verdana" w:cs="Arial"/>
          <w:color w:val="000000"/>
          <w:sz w:val="17"/>
          <w:u w:val="single"/>
          <w:lang w:eastAsia="ru-RU"/>
        </w:rPr>
        <w:t>[1]</w:t>
      </w:r>
      <w:r w:rsidR="00147711" w:rsidRPr="00951365">
        <w:rPr>
          <w:rFonts w:ascii="Verdana" w:eastAsia="Times New Roman" w:hAnsi="Verdana" w:cs="Arial"/>
          <w:color w:val="000000"/>
          <w:sz w:val="20"/>
          <w:szCs w:val="20"/>
          <w:bdr w:val="none" w:sz="0" w:space="0" w:color="auto" w:frame="1"/>
          <w:lang w:eastAsia="ru-RU"/>
        </w:rPr>
        <w:fldChar w:fldCharType="end"/>
      </w:r>
      <w:bookmarkEnd w:id="0"/>
      <w:r w:rsidRPr="00951365">
        <w:rPr>
          <w:rFonts w:ascii="Verdana" w:eastAsia="Times New Roman" w:hAnsi="Verdana" w:cs="Arial"/>
          <w:color w:val="000000"/>
          <w:sz w:val="20"/>
          <w:szCs w:val="20"/>
          <w:bdr w:val="none" w:sz="0" w:space="0" w:color="auto" w:frame="1"/>
          <w:lang w:eastAsia="ru-RU"/>
        </w:rPr>
        <w:t>и финансовые шоки [15]. Для выявления шоков M.A. Dąbrowski и J. Wróblewska используют матрицу общего влияния факторов, предложенную J. Blanchard  и D. Quah, совмещая её с ограничениями модели для обеспечения её валидности и экономической интерпретации, предложенными A. Binning [16,17]. При оценке модели без учёта финансовых шоков (только с шоками спроса, предложения и монетарными шоками) наиболее сильное влияние на реальный обменный курс оказывали шоки спроса [15]. Но, после добавления в модель переменных, характеризующих финансовые шоки, оказалось, что реальный обменный курс в подавляющем большинстве случаев менялся под воздействием финансовых шоков. На основе их анализа приведённых работ можно сформулировать важный вывод: финансовое заражение, которое начинает усиливаться после финансовых шоков, является следствием финансовых шоков. Изучение влияния на макроэкономическую ситуацию только финансовых шоков недостаточно, так как опасность может скрываться в самом финансовом заражении. Подобно радиации финансовое заражение таит в себе существенную опасность, которую можно сразу не заметить.</w:t>
      </w:r>
    </w:p>
    <w:p w:rsidR="00951365" w:rsidRPr="00951365" w:rsidRDefault="00951365" w:rsidP="00951365">
      <w:pPr>
        <w:spacing w:after="0" w:line="225" w:lineRule="atLeast"/>
        <w:ind w:left="0" w:firstLine="0"/>
        <w:jc w:val="both"/>
        <w:rPr>
          <w:rFonts w:ascii="Arial" w:eastAsia="Times New Roman" w:hAnsi="Arial" w:cs="Arial"/>
          <w:color w:val="6D625B"/>
          <w:sz w:val="20"/>
          <w:szCs w:val="20"/>
          <w:lang w:eastAsia="ru-RU"/>
        </w:rPr>
      </w:pPr>
      <w:r w:rsidRPr="00951365">
        <w:rPr>
          <w:rFonts w:ascii="Verdana" w:eastAsia="Times New Roman" w:hAnsi="Verdana" w:cs="Arial"/>
          <w:color w:val="000000"/>
          <w:sz w:val="20"/>
          <w:szCs w:val="20"/>
          <w:bdr w:val="none" w:sz="0" w:space="0" w:color="auto" w:frame="1"/>
          <w:lang w:eastAsia="ru-RU"/>
        </w:rPr>
        <w:t>Непосредственно поиск</w:t>
      </w:r>
      <w:r w:rsidRPr="00951365">
        <w:rPr>
          <w:rFonts w:ascii="Verdana" w:eastAsia="Times New Roman" w:hAnsi="Verdana" w:cs="Arial"/>
          <w:color w:val="000000"/>
          <w:sz w:val="20"/>
          <w:szCs w:val="20"/>
          <w:lang w:eastAsia="ru-RU"/>
        </w:rPr>
        <w:t> </w:t>
      </w:r>
      <w:r w:rsidRPr="00951365">
        <w:rPr>
          <w:rFonts w:ascii="Verdana" w:eastAsia="Times New Roman" w:hAnsi="Verdana" w:cs="Arial"/>
          <w:i/>
          <w:iCs/>
          <w:color w:val="000000"/>
          <w:sz w:val="20"/>
          <w:szCs w:val="20"/>
          <w:bdr w:val="none" w:sz="0" w:space="0" w:color="auto" w:frame="1"/>
          <w:lang w:eastAsia="ru-RU"/>
        </w:rPr>
        <w:t>индикаторов кризиса</w:t>
      </w:r>
      <w:r w:rsidRPr="00951365">
        <w:rPr>
          <w:rFonts w:ascii="Verdana" w:eastAsia="Times New Roman" w:hAnsi="Verdana" w:cs="Arial"/>
          <w:color w:val="000000"/>
          <w:sz w:val="20"/>
          <w:szCs w:val="20"/>
          <w:lang w:eastAsia="ru-RU"/>
        </w:rPr>
        <w:t> </w:t>
      </w:r>
      <w:r w:rsidRPr="00951365">
        <w:rPr>
          <w:rFonts w:ascii="Verdana" w:eastAsia="Times New Roman" w:hAnsi="Verdana" w:cs="Arial"/>
          <w:color w:val="000000"/>
          <w:sz w:val="20"/>
          <w:szCs w:val="20"/>
          <w:bdr w:val="none" w:sz="0" w:space="0" w:color="auto" w:frame="1"/>
          <w:lang w:eastAsia="ru-RU"/>
        </w:rPr>
        <w:t>в экономике является актуальной темой, по которой в настоящее время относительно немного литературы. Дело в том, что анализ кризисных закономерностей в экономике относится к области математических моделей и эконометрики. В этой области наиболее известны исследования Н.Д. Кондратьева, посвящённые анализу цикличности макроэкономических показателей [18].  С другой стороны, в исследованиях в области менеджмента реакция компании на кризисную ситуацию широко изучается как антикризисное управление в компании, например, в работах А.О. Кравцова,  Д.В. Олейника, А.Н. Ряховской и С.Е. Кована, A. Valackiene, Z. Li и H. Wang, Z.</w:t>
      </w:r>
      <w:r w:rsidRPr="00951365">
        <w:rPr>
          <w:rFonts w:ascii="Verdana" w:eastAsia="Times New Roman" w:hAnsi="Verdana" w:cs="Arial"/>
          <w:color w:val="000000"/>
          <w:sz w:val="20"/>
          <w:szCs w:val="20"/>
          <w:lang w:eastAsia="ru-RU"/>
        </w:rPr>
        <w:t> </w:t>
      </w:r>
      <w:r w:rsidRPr="00951365">
        <w:rPr>
          <w:rFonts w:ascii="Verdana" w:eastAsia="Times New Roman" w:hAnsi="Verdana" w:cs="Arial"/>
          <w:color w:val="000000"/>
          <w:sz w:val="20"/>
          <w:szCs w:val="20"/>
          <w:bdr w:val="none" w:sz="0" w:space="0" w:color="auto" w:frame="1"/>
          <w:shd w:val="clear" w:color="auto" w:fill="FFFFFF"/>
          <w:lang w:eastAsia="ru-RU"/>
        </w:rPr>
        <w:t>Jianying,</w:t>
      </w:r>
      <w:r w:rsidRPr="00951365">
        <w:rPr>
          <w:rFonts w:ascii="Verdana" w:eastAsia="Times New Roman" w:hAnsi="Verdana" w:cs="Arial"/>
          <w:color w:val="000000"/>
          <w:sz w:val="20"/>
          <w:szCs w:val="20"/>
          <w:lang w:eastAsia="ru-RU"/>
        </w:rPr>
        <w:t> </w:t>
      </w:r>
      <w:r w:rsidRPr="00951365">
        <w:rPr>
          <w:rFonts w:ascii="Verdana" w:eastAsia="Times New Roman" w:hAnsi="Verdana" w:cs="Arial"/>
          <w:color w:val="000000"/>
          <w:sz w:val="20"/>
          <w:szCs w:val="20"/>
          <w:bdr w:val="none" w:sz="0" w:space="0" w:color="auto" w:frame="1"/>
          <w:shd w:val="clear" w:color="auto" w:fill="FFFFFF"/>
          <w:lang w:eastAsia="ru-RU"/>
        </w:rPr>
        <w:t>B. Tingting и</w:t>
      </w:r>
      <w:r w:rsidRPr="00951365">
        <w:rPr>
          <w:rFonts w:ascii="Verdana" w:eastAsia="Times New Roman" w:hAnsi="Verdana" w:cs="Arial"/>
          <w:color w:val="000000"/>
          <w:sz w:val="20"/>
          <w:szCs w:val="20"/>
          <w:lang w:eastAsia="ru-RU"/>
        </w:rPr>
        <w:t> </w:t>
      </w:r>
      <w:r w:rsidRPr="00951365">
        <w:rPr>
          <w:rFonts w:ascii="Verdana" w:eastAsia="Times New Roman" w:hAnsi="Verdana" w:cs="Arial"/>
          <w:color w:val="000000"/>
          <w:sz w:val="20"/>
          <w:szCs w:val="20"/>
          <w:bdr w:val="none" w:sz="0" w:space="0" w:color="auto" w:frame="1"/>
          <w:shd w:val="clear" w:color="auto" w:fill="FFFFFF"/>
          <w:lang w:eastAsia="ru-RU"/>
        </w:rPr>
        <w:t>T. Zhanglu [1,19–25]. То обстоятельство, что большая часть из указанных работ – публикации в сборниках докладов международных конференций, свидетельствует о стремительном развитии и востребованности данной области именно в последние годы, так как чаще всего научные результаты представляются, в первую очередь, на конференциях, а потом публикуются в периодических изданиях. Возрастание интереса в последние годы к проблемам антикризисного управления может объясняться возрастанием периодичности кризисов (кредитный кризис в США 2006-2008 гг., долговой кризис Греции в 2009-2013 гг., кризис внешней торговли России 2014-2015 гг., финансовый кризис в Китае в 2015 г. и «стальной кризис» в Индии в 2015 г.)</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Интерес к антикризисному управлению возрастает в литературе по менеджменту, начиная с периода 1990-х годов, когда стратегический менеджмент получил большой импульс в развитии благодаря появлению ресурсной концепции, началом становления которой считается выход в 1984 году статьи B. Wernerfelt [26].</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В современных работах по антикризисному управлению рассматривается, например, управление персоналом в кризисный период и делается упор на необходимость слаженной работы всех участников коллектива (Valackiene, 2011) [1], управление знаниями в период кризиса (Li, Wang, 2009)[23]. В области антикризисного управления многие идеи приходят из опыта практиков, поэтому в научных работах анализируются, например, принципы антикризисного управления, предложенные Д. Уэлчем [24,27].</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Можно отметить существование некоторого «разрыва» между теоретическими исследованиями макроэкономических циклов, с одной стороны, и огромным интересом к принятию управленческих решений в условиях кризисных ситуаций, с другой. Так, в статье Е.А. Фёдоровой и Д.О. Афанасьева [28] разрабатывается комплексный прогностический кризисный индикатор для экономики России на базе динамической регрессионной модели с марковскими переключениями и зависящими от времени вероятностями переключения состояний исследуемого процесса, а также статистического теста отношения правдоподобия. В своём исследовании авторы показали, что в экономике России значимыми каналами возникновения и распространения кризиса являются торговый, финансовый и банковский каналы</w:t>
      </w:r>
      <w:r w:rsidRPr="00951365">
        <w:rPr>
          <w:rFonts w:ascii="Verdana" w:eastAsia="Times New Roman" w:hAnsi="Verdana" w:cs="Arial"/>
          <w:color w:val="000000"/>
          <w:sz w:val="20"/>
          <w:lang w:eastAsia="ru-RU"/>
        </w:rPr>
        <w:t> </w:t>
      </w:r>
      <w:bookmarkStart w:id="1" w:name="_ftnref2"/>
      <w:r w:rsidR="00147711" w:rsidRPr="00951365">
        <w:rPr>
          <w:rFonts w:ascii="Verdana" w:eastAsia="Times New Roman" w:hAnsi="Verdana" w:cs="Arial"/>
          <w:color w:val="000000"/>
          <w:sz w:val="20"/>
          <w:szCs w:val="20"/>
          <w:bdr w:val="none" w:sz="0" w:space="0" w:color="auto" w:frame="1"/>
          <w:lang w:eastAsia="ru-RU"/>
        </w:rPr>
        <w:fldChar w:fldCharType="begin"/>
      </w:r>
      <w:r w:rsidRPr="00951365">
        <w:rPr>
          <w:rFonts w:ascii="Verdana" w:eastAsia="Times New Roman" w:hAnsi="Verdana" w:cs="Arial"/>
          <w:color w:val="000000"/>
          <w:sz w:val="20"/>
          <w:szCs w:val="20"/>
          <w:bdr w:val="none" w:sz="0" w:space="0" w:color="auto" w:frame="1"/>
          <w:lang w:eastAsia="ru-RU"/>
        </w:rPr>
        <w:instrText xml:space="preserve"> HYPERLINK "http://httpwww.uecs.ru/teoriya-upravleniya/item/3944-2016-05-17-07-08-25" \l "_ftn2" \o "" </w:instrText>
      </w:r>
      <w:r w:rsidR="00147711" w:rsidRPr="00951365">
        <w:rPr>
          <w:rFonts w:ascii="Verdana" w:eastAsia="Times New Roman" w:hAnsi="Verdana" w:cs="Arial"/>
          <w:color w:val="000000"/>
          <w:sz w:val="20"/>
          <w:szCs w:val="20"/>
          <w:bdr w:val="none" w:sz="0" w:space="0" w:color="auto" w:frame="1"/>
          <w:lang w:eastAsia="ru-RU"/>
        </w:rPr>
        <w:fldChar w:fldCharType="separate"/>
      </w:r>
      <w:r w:rsidRPr="00951365">
        <w:rPr>
          <w:rFonts w:ascii="Verdana" w:eastAsia="Times New Roman" w:hAnsi="Verdana" w:cs="Arial"/>
          <w:color w:val="000000"/>
          <w:sz w:val="17"/>
          <w:u w:val="single"/>
          <w:lang w:eastAsia="ru-RU"/>
        </w:rPr>
        <w:t>[2]</w:t>
      </w:r>
      <w:r w:rsidR="00147711" w:rsidRPr="00951365">
        <w:rPr>
          <w:rFonts w:ascii="Verdana" w:eastAsia="Times New Roman" w:hAnsi="Verdana" w:cs="Arial"/>
          <w:color w:val="000000"/>
          <w:sz w:val="20"/>
          <w:szCs w:val="20"/>
          <w:bdr w:val="none" w:sz="0" w:space="0" w:color="auto" w:frame="1"/>
          <w:lang w:eastAsia="ru-RU"/>
        </w:rPr>
        <w:fldChar w:fldCharType="end"/>
      </w:r>
      <w:bookmarkEnd w:id="1"/>
      <w:r w:rsidRPr="00951365">
        <w:rPr>
          <w:rFonts w:ascii="Verdana" w:eastAsia="Times New Roman" w:hAnsi="Verdana" w:cs="Arial"/>
          <w:color w:val="000000"/>
          <w:sz w:val="20"/>
          <w:szCs w:val="20"/>
          <w:bdr w:val="none" w:sz="0" w:space="0" w:color="auto" w:frame="1"/>
          <w:lang w:eastAsia="ru-RU"/>
        </w:rPr>
        <w:t>.</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lastRenderedPageBreak/>
        <w:t>Однако, присутствуют  и положительные примеры того, как результаты эконометрического анализа с использованием векторных авторегрессионных моделей используются при принятии управленческих решений. Например, специалисты Центрального банка Норвегии  проводят исследования с использованием структурных векторных авторегрессионных моделей, отличающихся от традиционных векторных авторегрессионных моделей тем, что в них присутствуют ограничения на то, как структурные шоки влияют на переменные в модели [17].</w:t>
      </w:r>
    </w:p>
    <w:p w:rsidR="00951365" w:rsidRPr="00951365" w:rsidRDefault="00951365"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В завершение можно сделать вывод: присутствует разрыв между теоретическими моделями в эконометрике и антикризисным управлением на практике как по содержанию, так и по выводам, которые они предлагают. Так, например, понимание кризисов как закономерного явления, состоящего в отрицательной динамике большинства макроэкономических показателей в теории экономических циклов (долгосрочная перспектива) и поиск мер реагирования компании для выживания в экстремальных условиях (краткосрочная перспектива). Изучение финансового заражения – один из способов заполнить недостаток применимых на практике теоретических моделей.</w:t>
      </w:r>
    </w:p>
    <w:p w:rsidR="00951365" w:rsidRPr="00951365" w:rsidRDefault="00951365" w:rsidP="00951365">
      <w:pPr>
        <w:spacing w:after="0" w:line="225" w:lineRule="atLeast"/>
        <w:ind w:left="0" w:firstLine="0"/>
        <w:rPr>
          <w:rFonts w:ascii="Arial" w:eastAsia="Times New Roman" w:hAnsi="Arial" w:cs="Arial"/>
          <w:color w:val="6D625B"/>
          <w:sz w:val="15"/>
          <w:szCs w:val="15"/>
          <w:lang w:eastAsia="ru-RU"/>
        </w:rPr>
      </w:pPr>
      <w:r w:rsidRPr="00951365">
        <w:rPr>
          <w:rFonts w:ascii="Verdana" w:eastAsia="Times New Roman" w:hAnsi="Verdana" w:cs="Arial"/>
          <w:b/>
          <w:bCs/>
          <w:color w:val="000000"/>
          <w:sz w:val="17"/>
          <w:lang w:eastAsia="ru-RU"/>
        </w:rPr>
        <w:t> </w:t>
      </w:r>
    </w:p>
    <w:p w:rsidR="00951365" w:rsidRPr="00951365" w:rsidRDefault="00951365" w:rsidP="00951365">
      <w:pPr>
        <w:spacing w:after="0" w:line="225" w:lineRule="atLeast"/>
        <w:ind w:left="0" w:firstLine="0"/>
        <w:jc w:val="center"/>
        <w:rPr>
          <w:rFonts w:ascii="Arial" w:eastAsia="Times New Roman" w:hAnsi="Arial" w:cs="Arial"/>
          <w:color w:val="6D625B"/>
          <w:sz w:val="15"/>
          <w:szCs w:val="15"/>
          <w:lang w:val="en-US" w:eastAsia="ru-RU"/>
        </w:rPr>
      </w:pPr>
      <w:r w:rsidRPr="00951365">
        <w:rPr>
          <w:rFonts w:ascii="Verdana" w:eastAsia="Times New Roman" w:hAnsi="Verdana" w:cs="Arial"/>
          <w:b/>
          <w:bCs/>
          <w:color w:val="000000"/>
          <w:sz w:val="17"/>
          <w:lang w:eastAsia="ru-RU"/>
        </w:rPr>
        <w:t>Литература</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  Valackiene A. Theoretical Substation of the Model for Crisis Management in Organization // Eng. Econ. 2011. Vol. 22, № 1.</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  Brunnermeier M.K., Pedersen L.H. Predatory Trading // J. Finance. 2005. Vol. 60, № 4. P. 1825–1863.</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3.  Allen F., Gale D. Financial Contagion // J. Polit. Econ. 2000. Vol. 108, № 1. P. 1–33.</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4.  Kodres L.E., Pritsker M. A Rational Expectations Model of Financial Contagion // J. Finance. 2002. Vol. 57, № 2. P. 769–799.</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5.  Aragon G.O., Strahan P.E. Hedge funds as liquidity providers: evidence from the Lehman bankruptcy. </w:t>
      </w:r>
      <w:r w:rsidRPr="00C752C0">
        <w:rPr>
          <w:rFonts w:ascii="Verdana" w:eastAsia="Times New Roman" w:hAnsi="Verdana" w:cs="Arial"/>
          <w:color w:val="000000"/>
          <w:sz w:val="20"/>
          <w:szCs w:val="20"/>
          <w:bdr w:val="none" w:sz="0" w:space="0" w:color="auto" w:frame="1"/>
          <w:lang w:val="en-US" w:eastAsia="ru-RU"/>
        </w:rPr>
        <w:t>2011.</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val="en-US" w:eastAsia="ru-RU"/>
        </w:rPr>
        <w:t xml:space="preserve">6.  Clarida R., Gali J. Sources of Real Exchange Rate Fluctuations: How Important Are Nominal Shocks? </w:t>
      </w:r>
      <w:r w:rsidRPr="00951365">
        <w:rPr>
          <w:rFonts w:ascii="Verdana" w:eastAsia="Times New Roman" w:hAnsi="Verdana" w:cs="Arial"/>
          <w:color w:val="000000"/>
          <w:sz w:val="20"/>
          <w:szCs w:val="20"/>
          <w:bdr w:val="none" w:sz="0" w:space="0" w:color="auto" w:frame="1"/>
          <w:lang w:eastAsia="ru-RU"/>
        </w:rPr>
        <w:t>1993.</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7.  Longstaff F.A. The subprime credit crisis and contagion in financial markets // J. financ. econ. 2010. Vol. 97, № 3. P. 436–450.</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8.  Sims C.A. Macroeconomics and Reality // Econometrica. 1980. Vol. 48, № 1. </w:t>
      </w:r>
      <w:r w:rsidRPr="00C752C0">
        <w:rPr>
          <w:rFonts w:ascii="Verdana" w:eastAsia="Times New Roman" w:hAnsi="Verdana" w:cs="Arial"/>
          <w:color w:val="000000"/>
          <w:sz w:val="20"/>
          <w:szCs w:val="20"/>
          <w:bdr w:val="none" w:sz="0" w:space="0" w:color="auto" w:frame="1"/>
          <w:lang w:val="en-US" w:eastAsia="ru-RU"/>
        </w:rPr>
        <w:t>P. 1–48.</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9.  Maekawa K., Tanaka K. The ET Interview: Professor Michio Hatanaka // Econom. </w:t>
      </w:r>
      <w:r w:rsidRPr="00C752C0">
        <w:rPr>
          <w:rFonts w:ascii="Verdana" w:eastAsia="Times New Roman" w:hAnsi="Verdana" w:cs="Arial"/>
          <w:color w:val="000000"/>
          <w:sz w:val="20"/>
          <w:szCs w:val="20"/>
          <w:bdr w:val="none" w:sz="0" w:space="0" w:color="auto" w:frame="1"/>
          <w:lang w:val="en-US" w:eastAsia="ru-RU"/>
        </w:rPr>
        <w:t>Theory. 1990. № 6. P. 385–402.</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10.  Hatanaka M. On the Global Identification of the Dynamic Simultaneous Equations Model with Stationary Disturbances // Int. </w:t>
      </w:r>
      <w:r w:rsidRPr="00C752C0">
        <w:rPr>
          <w:rFonts w:ascii="Verdana" w:eastAsia="Times New Roman" w:hAnsi="Verdana" w:cs="Arial"/>
          <w:color w:val="000000"/>
          <w:sz w:val="20"/>
          <w:szCs w:val="20"/>
          <w:bdr w:val="none" w:sz="0" w:space="0" w:color="auto" w:frame="1"/>
          <w:lang w:val="en-US" w:eastAsia="ru-RU"/>
        </w:rPr>
        <w:t>Econ. Rev. (Philadelphia). 1975. Vol. 16, № 3. P. 545.</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11.  Baum C.F. VAR, SVAR and VECM models [Electronic resource]. 2013. P. 1–61. URL: http://fmwww.bc.edu/EC-C/S2013/823/EC823.S2013.nn10.slides.pdf.</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12.  Weisstein E.W. Cholesky Decomposition [Electronic resource] // MathWorld--A Wolfram Web Resource. http://mathworld.wolfram.com/CholeskyDecomposition.html. URL: http://mathworld.wolfram.com/CholeskyDecomposition.html.</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val="en-US" w:eastAsia="ru-RU"/>
        </w:rPr>
        <w:t xml:space="preserve">13.  Fukushima Y. Macroeconomic Shock and Labour Market Programmes // Procedia Econ. Financ. </w:t>
      </w:r>
      <w:r w:rsidRPr="00C752C0">
        <w:rPr>
          <w:rFonts w:ascii="Verdana" w:eastAsia="Times New Roman" w:hAnsi="Verdana" w:cs="Arial"/>
          <w:color w:val="000000"/>
          <w:sz w:val="20"/>
          <w:szCs w:val="20"/>
          <w:bdr w:val="none" w:sz="0" w:space="0" w:color="auto" w:frame="1"/>
          <w:lang w:eastAsia="ru-RU"/>
        </w:rPr>
        <w:t xml:space="preserve">2012. </w:t>
      </w:r>
      <w:r w:rsidRPr="00951365">
        <w:rPr>
          <w:rFonts w:ascii="Verdana" w:eastAsia="Times New Roman" w:hAnsi="Verdana" w:cs="Arial"/>
          <w:color w:val="000000"/>
          <w:sz w:val="20"/>
          <w:szCs w:val="20"/>
          <w:bdr w:val="none" w:sz="0" w:space="0" w:color="auto" w:frame="1"/>
          <w:lang w:val="en-US" w:eastAsia="ru-RU"/>
        </w:rPr>
        <w:t>Vol</w:t>
      </w:r>
      <w:r w:rsidRPr="00C752C0">
        <w:rPr>
          <w:rFonts w:ascii="Verdana" w:eastAsia="Times New Roman" w:hAnsi="Verdana" w:cs="Arial"/>
          <w:color w:val="000000"/>
          <w:sz w:val="20"/>
          <w:szCs w:val="20"/>
          <w:bdr w:val="none" w:sz="0" w:space="0" w:color="auto" w:frame="1"/>
          <w:lang w:eastAsia="ru-RU"/>
        </w:rPr>
        <w:t xml:space="preserve">. 1. </w:t>
      </w:r>
      <w:r w:rsidRPr="00951365">
        <w:rPr>
          <w:rFonts w:ascii="Verdana" w:eastAsia="Times New Roman" w:hAnsi="Verdana" w:cs="Arial"/>
          <w:color w:val="000000"/>
          <w:sz w:val="20"/>
          <w:szCs w:val="20"/>
          <w:bdr w:val="none" w:sz="0" w:space="0" w:color="auto" w:frame="1"/>
          <w:lang w:val="en-US" w:eastAsia="ru-RU"/>
        </w:rPr>
        <w:t>P</w:t>
      </w:r>
      <w:r w:rsidRPr="00C752C0">
        <w:rPr>
          <w:rFonts w:ascii="Verdana" w:eastAsia="Times New Roman" w:hAnsi="Verdana" w:cs="Arial"/>
          <w:color w:val="000000"/>
          <w:sz w:val="20"/>
          <w:szCs w:val="20"/>
          <w:bdr w:val="none" w:sz="0" w:space="0" w:color="auto" w:frame="1"/>
          <w:lang w:eastAsia="ru-RU"/>
        </w:rPr>
        <w:t>. 138–147.</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C752C0">
        <w:rPr>
          <w:rFonts w:ascii="Verdana" w:eastAsia="Times New Roman" w:hAnsi="Verdana" w:cs="Arial"/>
          <w:color w:val="000000"/>
          <w:sz w:val="20"/>
          <w:szCs w:val="20"/>
          <w:bdr w:val="none" w:sz="0" w:space="0" w:color="auto" w:frame="1"/>
          <w:lang w:eastAsia="ru-RU"/>
        </w:rPr>
        <w:t>14.</w:t>
      </w:r>
      <w:r w:rsidRPr="00951365">
        <w:rPr>
          <w:rFonts w:ascii="Verdana" w:eastAsia="Times New Roman" w:hAnsi="Verdana" w:cs="Arial"/>
          <w:color w:val="000000"/>
          <w:sz w:val="20"/>
          <w:szCs w:val="20"/>
          <w:bdr w:val="none" w:sz="0" w:space="0" w:color="auto" w:frame="1"/>
          <w:lang w:val="en-US" w:eastAsia="ru-RU"/>
        </w:rPr>
        <w:t> </w:t>
      </w:r>
      <w:r w:rsidRPr="00C752C0">
        <w:rPr>
          <w:rFonts w:ascii="Verdana" w:eastAsia="Times New Roman" w:hAnsi="Verdana" w:cs="Arial"/>
          <w:color w:val="000000"/>
          <w:sz w:val="20"/>
          <w:szCs w:val="20"/>
          <w:bdr w:val="none" w:sz="0" w:space="0" w:color="auto" w:frame="1"/>
          <w:lang w:eastAsia="ru-RU"/>
        </w:rPr>
        <w:t xml:space="preserve"> </w:t>
      </w:r>
      <w:r w:rsidRPr="00951365">
        <w:rPr>
          <w:rFonts w:ascii="Verdana" w:eastAsia="Times New Roman" w:hAnsi="Verdana" w:cs="Arial"/>
          <w:color w:val="000000"/>
          <w:sz w:val="20"/>
          <w:szCs w:val="20"/>
          <w:bdr w:val="none" w:sz="0" w:space="0" w:color="auto" w:frame="1"/>
          <w:lang w:eastAsia="ru-RU"/>
        </w:rPr>
        <w:t>Самуэльсон</w:t>
      </w:r>
      <w:r w:rsidRPr="00C752C0">
        <w:rPr>
          <w:rFonts w:ascii="Verdana" w:eastAsia="Times New Roman" w:hAnsi="Verdana" w:cs="Arial"/>
          <w:color w:val="000000"/>
          <w:sz w:val="20"/>
          <w:szCs w:val="20"/>
          <w:bdr w:val="none" w:sz="0" w:space="0" w:color="auto" w:frame="1"/>
          <w:lang w:eastAsia="ru-RU"/>
        </w:rPr>
        <w:t xml:space="preserve"> </w:t>
      </w:r>
      <w:r w:rsidRPr="00951365">
        <w:rPr>
          <w:rFonts w:ascii="Verdana" w:eastAsia="Times New Roman" w:hAnsi="Verdana" w:cs="Arial"/>
          <w:color w:val="000000"/>
          <w:sz w:val="20"/>
          <w:szCs w:val="20"/>
          <w:bdr w:val="none" w:sz="0" w:space="0" w:color="auto" w:frame="1"/>
          <w:lang w:eastAsia="ru-RU"/>
        </w:rPr>
        <w:t>П</w:t>
      </w:r>
      <w:r w:rsidRPr="00C752C0">
        <w:rPr>
          <w:rFonts w:ascii="Verdana" w:eastAsia="Times New Roman" w:hAnsi="Verdana" w:cs="Arial"/>
          <w:color w:val="000000"/>
          <w:sz w:val="20"/>
          <w:szCs w:val="20"/>
          <w:bdr w:val="none" w:sz="0" w:space="0" w:color="auto" w:frame="1"/>
          <w:lang w:eastAsia="ru-RU"/>
        </w:rPr>
        <w:t>.</w:t>
      </w:r>
      <w:r w:rsidRPr="00951365">
        <w:rPr>
          <w:rFonts w:ascii="Verdana" w:eastAsia="Times New Roman" w:hAnsi="Verdana" w:cs="Arial"/>
          <w:color w:val="000000"/>
          <w:sz w:val="20"/>
          <w:szCs w:val="20"/>
          <w:bdr w:val="none" w:sz="0" w:space="0" w:color="auto" w:frame="1"/>
          <w:lang w:eastAsia="ru-RU"/>
        </w:rPr>
        <w:t>Э</w:t>
      </w:r>
      <w:r w:rsidRPr="00C752C0">
        <w:rPr>
          <w:rFonts w:ascii="Verdana" w:eastAsia="Times New Roman" w:hAnsi="Verdana" w:cs="Arial"/>
          <w:color w:val="000000"/>
          <w:sz w:val="20"/>
          <w:szCs w:val="20"/>
          <w:bdr w:val="none" w:sz="0" w:space="0" w:color="auto" w:frame="1"/>
          <w:lang w:eastAsia="ru-RU"/>
        </w:rPr>
        <w:t xml:space="preserve">., </w:t>
      </w:r>
      <w:r w:rsidRPr="00951365">
        <w:rPr>
          <w:rFonts w:ascii="Verdana" w:eastAsia="Times New Roman" w:hAnsi="Verdana" w:cs="Arial"/>
          <w:color w:val="000000"/>
          <w:sz w:val="20"/>
          <w:szCs w:val="20"/>
          <w:bdr w:val="none" w:sz="0" w:space="0" w:color="auto" w:frame="1"/>
          <w:lang w:eastAsia="ru-RU"/>
        </w:rPr>
        <w:t>Нордхаус</w:t>
      </w:r>
      <w:r w:rsidRPr="00C752C0">
        <w:rPr>
          <w:rFonts w:ascii="Verdana" w:eastAsia="Times New Roman" w:hAnsi="Verdana" w:cs="Arial"/>
          <w:color w:val="000000"/>
          <w:sz w:val="20"/>
          <w:szCs w:val="20"/>
          <w:bdr w:val="none" w:sz="0" w:space="0" w:color="auto" w:frame="1"/>
          <w:lang w:eastAsia="ru-RU"/>
        </w:rPr>
        <w:t xml:space="preserve"> </w:t>
      </w:r>
      <w:r w:rsidRPr="00951365">
        <w:rPr>
          <w:rFonts w:ascii="Verdana" w:eastAsia="Times New Roman" w:hAnsi="Verdana" w:cs="Arial"/>
          <w:color w:val="000000"/>
          <w:sz w:val="20"/>
          <w:szCs w:val="20"/>
          <w:bdr w:val="none" w:sz="0" w:space="0" w:color="auto" w:frame="1"/>
          <w:lang w:eastAsia="ru-RU"/>
        </w:rPr>
        <w:t>В</w:t>
      </w:r>
      <w:r w:rsidRPr="00C752C0">
        <w:rPr>
          <w:rFonts w:ascii="Verdana" w:eastAsia="Times New Roman" w:hAnsi="Verdana" w:cs="Arial"/>
          <w:color w:val="000000"/>
          <w:sz w:val="20"/>
          <w:szCs w:val="20"/>
          <w:bdr w:val="none" w:sz="0" w:space="0" w:color="auto" w:frame="1"/>
          <w:lang w:eastAsia="ru-RU"/>
        </w:rPr>
        <w:t>.</w:t>
      </w:r>
      <w:r w:rsidRPr="00951365">
        <w:rPr>
          <w:rFonts w:ascii="Verdana" w:eastAsia="Times New Roman" w:hAnsi="Verdana" w:cs="Arial"/>
          <w:color w:val="000000"/>
          <w:sz w:val="20"/>
          <w:szCs w:val="20"/>
          <w:bdr w:val="none" w:sz="0" w:space="0" w:color="auto" w:frame="1"/>
          <w:lang w:eastAsia="ru-RU"/>
        </w:rPr>
        <w:t>Д</w:t>
      </w:r>
      <w:r w:rsidRPr="00C752C0">
        <w:rPr>
          <w:rFonts w:ascii="Verdana" w:eastAsia="Times New Roman" w:hAnsi="Verdana" w:cs="Arial"/>
          <w:color w:val="000000"/>
          <w:sz w:val="20"/>
          <w:szCs w:val="20"/>
          <w:bdr w:val="none" w:sz="0" w:space="0" w:color="auto" w:frame="1"/>
          <w:lang w:eastAsia="ru-RU"/>
        </w:rPr>
        <w:t xml:space="preserve">. </w:t>
      </w:r>
      <w:r w:rsidRPr="00951365">
        <w:rPr>
          <w:rFonts w:ascii="Verdana" w:eastAsia="Times New Roman" w:hAnsi="Verdana" w:cs="Arial"/>
          <w:color w:val="000000"/>
          <w:sz w:val="20"/>
          <w:szCs w:val="20"/>
          <w:bdr w:val="none" w:sz="0" w:space="0" w:color="auto" w:frame="1"/>
          <w:lang w:eastAsia="ru-RU"/>
        </w:rPr>
        <w:t>Экономика</w:t>
      </w:r>
      <w:r w:rsidRPr="00C752C0">
        <w:rPr>
          <w:rFonts w:ascii="Verdana" w:eastAsia="Times New Roman" w:hAnsi="Verdana" w:cs="Arial"/>
          <w:color w:val="000000"/>
          <w:sz w:val="20"/>
          <w:szCs w:val="20"/>
          <w:bdr w:val="none" w:sz="0" w:space="0" w:color="auto" w:frame="1"/>
          <w:lang w:eastAsia="ru-RU"/>
        </w:rPr>
        <w:t xml:space="preserve">. </w:t>
      </w:r>
      <w:r w:rsidRPr="00951365">
        <w:rPr>
          <w:rFonts w:ascii="Verdana" w:eastAsia="Times New Roman" w:hAnsi="Verdana" w:cs="Arial"/>
          <w:color w:val="000000"/>
          <w:sz w:val="20"/>
          <w:szCs w:val="20"/>
          <w:bdr w:val="none" w:sz="0" w:space="0" w:color="auto" w:frame="1"/>
          <w:lang w:eastAsia="ru-RU"/>
        </w:rPr>
        <w:t xml:space="preserve">Москва: ООО “И.Д. Вильямс,” 2012. </w:t>
      </w:r>
      <w:r w:rsidRPr="00C752C0">
        <w:rPr>
          <w:rFonts w:ascii="Verdana" w:eastAsia="Times New Roman" w:hAnsi="Verdana" w:cs="Arial"/>
          <w:color w:val="000000"/>
          <w:sz w:val="20"/>
          <w:szCs w:val="20"/>
          <w:bdr w:val="none" w:sz="0" w:space="0" w:color="auto" w:frame="1"/>
          <w:lang w:val="en-US" w:eastAsia="ru-RU"/>
        </w:rPr>
        <w:t>1360 p.</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15.  Dąbrowski M.A., Wróblewska J. Financial shocks as a cause of real exchange rate fluctuations in Poland – evidence from the Bayesian structural VAR models.</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16.  Blanchard O.J., Quah D. The Dynamic Effects of Aggregate Demand and Supply Disturbances.</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val="en-US" w:eastAsia="ru-RU"/>
        </w:rPr>
        <w:t xml:space="preserve">17.  Binning A. Underidentified SVAR models: A framework for combining short and long-run restrictions with sign-restrictions. </w:t>
      </w:r>
      <w:r w:rsidRPr="00951365">
        <w:rPr>
          <w:rFonts w:ascii="Verdana" w:eastAsia="Times New Roman" w:hAnsi="Verdana" w:cs="Arial"/>
          <w:color w:val="000000"/>
          <w:sz w:val="20"/>
          <w:szCs w:val="20"/>
          <w:bdr w:val="none" w:sz="0" w:space="0" w:color="auto" w:frame="1"/>
          <w:lang w:eastAsia="ru-RU"/>
        </w:rPr>
        <w:t>2013.</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18.  Кондратьев Н.Д., Яковец Ю.В., Aбалкин Л.И. Большие циклы коньюнктуры и теория предвидения. Избранные труды. Москва: Экономика, 2002. 550 p.</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t>19.  Кравцов А.О. Управление изменениями как антикризисное управление. Санкт-Петербург, 2015. 43-47 p.</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lastRenderedPageBreak/>
        <w:t>20.  Олейник Д.В. Антикризисные стратегии и управление рисками в организациях. Санкт-Петербург, 2015. 165-167 p.</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eastAsia="ru-RU"/>
        </w:rPr>
        <w:t xml:space="preserve">21.  Ряховская А.Н., Кован С.Е. Трансформация антикризисного управления в современных экономических условиях // Эффективное антикризисное управление. </w:t>
      </w:r>
      <w:r w:rsidRPr="00C752C0">
        <w:rPr>
          <w:rFonts w:ascii="Verdana" w:eastAsia="Times New Roman" w:hAnsi="Verdana" w:cs="Arial"/>
          <w:color w:val="000000"/>
          <w:sz w:val="20"/>
          <w:szCs w:val="20"/>
          <w:bdr w:val="none" w:sz="0" w:space="0" w:color="auto" w:frame="1"/>
          <w:lang w:val="en-US" w:eastAsia="ru-RU"/>
        </w:rPr>
        <w:t>2013. Vol. 5, № 80. P. 62–73.</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22.  Author R., Sargan J.D. The Maximum Likelihood Estimation of Economic Relationships with Autoregressive // Source Econom. </w:t>
      </w:r>
      <w:r w:rsidRPr="00C752C0">
        <w:rPr>
          <w:rFonts w:ascii="Verdana" w:eastAsia="Times New Roman" w:hAnsi="Verdana" w:cs="Arial"/>
          <w:color w:val="000000"/>
          <w:sz w:val="20"/>
          <w:szCs w:val="20"/>
          <w:bdr w:val="none" w:sz="0" w:space="0" w:color="auto" w:frame="1"/>
          <w:lang w:val="en-US" w:eastAsia="ru-RU"/>
        </w:rPr>
        <w:t>1961. Vol. 29, № 3. P. 414–426.</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23.  Li Z., Wang H. Research on the Enterprise Crisis Management System Basic on Knowledge Demand.</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24.  Jianying Z. Crisis Management based on the Five Hypotheses proposed by Jack Welch // Proceedings of the 2012 International Conference on Public Management (ICPM-2012). Paris, France: Atlantis Press, 2012.</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25.  Tingting B., Zhanglu T. On the Crisis Management of the Modern Enterprise.</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26.  Wernerfelt B. A Resource-based View of the Firm // Strateg. .Management J. 1984. Vol. 5. P. 171–180.</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val="en-US" w:eastAsia="ru-RU"/>
        </w:rPr>
        <w:t xml:space="preserve">27.  Welch D., Welch S. Winning. New York: HarperCollins Publishers Inc., 2005. </w:t>
      </w:r>
      <w:r w:rsidRPr="00951365">
        <w:rPr>
          <w:rFonts w:ascii="Verdana" w:eastAsia="Times New Roman" w:hAnsi="Verdana" w:cs="Arial"/>
          <w:color w:val="000000"/>
          <w:sz w:val="20"/>
          <w:szCs w:val="20"/>
          <w:bdr w:val="none" w:sz="0" w:space="0" w:color="auto" w:frame="1"/>
          <w:lang w:eastAsia="ru-RU"/>
        </w:rPr>
        <w:t>385 p.</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eastAsia="ru-RU"/>
        </w:rPr>
        <w:t xml:space="preserve">28.  Федорова Е.А., Афанасьев Д.О. Комплексный кризисный индикатор для России // Журнал Новой экономической ассоциации. </w:t>
      </w:r>
      <w:r w:rsidRPr="00951365">
        <w:rPr>
          <w:rFonts w:ascii="Verdana" w:eastAsia="Times New Roman" w:hAnsi="Verdana" w:cs="Arial"/>
          <w:color w:val="000000"/>
          <w:sz w:val="20"/>
          <w:szCs w:val="20"/>
          <w:bdr w:val="none" w:sz="0" w:space="0" w:color="auto" w:frame="1"/>
          <w:lang w:val="en-US" w:eastAsia="ru-RU"/>
        </w:rPr>
        <w:t>2014. Vol. 23, № 2. P. 38–59.</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29.  Mountford A., Uhlig H. What are the Effects of Fiscal Policy Shocks ?</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b/>
          <w:bCs/>
          <w:color w:val="000000"/>
          <w:sz w:val="17"/>
          <w:lang w:val="en-US" w:eastAsia="ru-RU"/>
        </w:rPr>
        <w:t> </w:t>
      </w:r>
    </w:p>
    <w:p w:rsidR="00951365" w:rsidRPr="00C752C0" w:rsidRDefault="00951365" w:rsidP="00951365">
      <w:pPr>
        <w:spacing w:after="0" w:line="225" w:lineRule="atLeast"/>
        <w:ind w:left="0" w:firstLine="640"/>
        <w:jc w:val="center"/>
        <w:rPr>
          <w:rFonts w:ascii="Arial" w:eastAsia="Times New Roman" w:hAnsi="Arial" w:cs="Arial"/>
          <w:color w:val="6D625B"/>
          <w:sz w:val="15"/>
          <w:szCs w:val="15"/>
          <w:lang w:val="en-US" w:eastAsia="ru-RU"/>
        </w:rPr>
      </w:pPr>
      <w:r w:rsidRPr="00C752C0">
        <w:rPr>
          <w:rFonts w:ascii="Verdana" w:eastAsia="Times New Roman" w:hAnsi="Verdana" w:cs="Arial"/>
          <w:b/>
          <w:bCs/>
          <w:color w:val="000000"/>
          <w:sz w:val="17"/>
          <w:lang w:val="en-US" w:eastAsia="ru-RU"/>
        </w:rPr>
        <w:t>References</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  Valackiene A. Theoretical Substation of the Model for Crisis Management in Organization // Eng. Econ. 2011. Vol. 22, № 1.</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2.  Brunnermeier M.K., Pedersen L.H. Predatory Trading // J. Finance. </w:t>
      </w:r>
      <w:r w:rsidRPr="00C752C0">
        <w:rPr>
          <w:rFonts w:ascii="Verdana" w:eastAsia="Times New Roman" w:hAnsi="Verdana" w:cs="Arial"/>
          <w:color w:val="000000"/>
          <w:sz w:val="20"/>
          <w:szCs w:val="20"/>
          <w:bdr w:val="none" w:sz="0" w:space="0" w:color="auto" w:frame="1"/>
          <w:lang w:val="en-US" w:eastAsia="ru-RU"/>
        </w:rPr>
        <w:t>2005. Vol. 60, № 4. P. 1825–1863.</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3.  Allen F., Gale D. Financial Contagion // J. Polit. </w:t>
      </w:r>
      <w:r w:rsidRPr="00C752C0">
        <w:rPr>
          <w:rFonts w:ascii="Verdana" w:eastAsia="Times New Roman" w:hAnsi="Verdana" w:cs="Arial"/>
          <w:color w:val="000000"/>
          <w:sz w:val="20"/>
          <w:szCs w:val="20"/>
          <w:bdr w:val="none" w:sz="0" w:space="0" w:color="auto" w:frame="1"/>
          <w:lang w:val="en-US" w:eastAsia="ru-RU"/>
        </w:rPr>
        <w:t>Econ. 2000. Vol. 108, № 1. P. 1–33.</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4.  Kodres L.E., Pritsker M. A Rational Expectations Model of Financial Contagion // J. Finance. </w:t>
      </w:r>
      <w:r w:rsidRPr="00C752C0">
        <w:rPr>
          <w:rFonts w:ascii="Verdana" w:eastAsia="Times New Roman" w:hAnsi="Verdana" w:cs="Arial"/>
          <w:color w:val="000000"/>
          <w:sz w:val="20"/>
          <w:szCs w:val="20"/>
          <w:bdr w:val="none" w:sz="0" w:space="0" w:color="auto" w:frame="1"/>
          <w:lang w:val="en-US" w:eastAsia="ru-RU"/>
        </w:rPr>
        <w:t>2002. Vol. 57, № 2. P. 769–799.</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5.  Aragon G.O., Strahan P.E. Hedge funds as liquidity providers: evidence from the Lehman bankruptcy. 2011.</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val="en-US" w:eastAsia="ru-RU"/>
        </w:rPr>
        <w:t xml:space="preserve">6.  Clarida R., Gali J. Sources of Real Exchange Rate Fluctuations: How Important Are Nominal Shocks? </w:t>
      </w:r>
      <w:r w:rsidRPr="00951365">
        <w:rPr>
          <w:rFonts w:ascii="Verdana" w:eastAsia="Times New Roman" w:hAnsi="Verdana" w:cs="Arial"/>
          <w:color w:val="000000"/>
          <w:sz w:val="20"/>
          <w:szCs w:val="20"/>
          <w:bdr w:val="none" w:sz="0" w:space="0" w:color="auto" w:frame="1"/>
          <w:lang w:eastAsia="ru-RU"/>
        </w:rPr>
        <w:t>1993.</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7.  Longstaff F.A. The subprime credit crisis and contagion in financial markets // J. financ. econ. 2010. Vol. 97, № 3. P. 436–450.</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8.  Sims C.A. Macroeconomics and Reality // Econometrica. 1980. Vol. 48, № 1. P. 1–48.</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9.  Maekawa K., Tanaka K. The ET Interview: Professor Michio Hatanaka // Econom. </w:t>
      </w:r>
      <w:r w:rsidRPr="00C752C0">
        <w:rPr>
          <w:rFonts w:ascii="Verdana" w:eastAsia="Times New Roman" w:hAnsi="Verdana" w:cs="Arial"/>
          <w:color w:val="000000"/>
          <w:sz w:val="20"/>
          <w:szCs w:val="20"/>
          <w:bdr w:val="none" w:sz="0" w:space="0" w:color="auto" w:frame="1"/>
          <w:lang w:val="en-US" w:eastAsia="ru-RU"/>
        </w:rPr>
        <w:t>Theory. 1990. № 6. P. 385–402.</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10.  Hatanaka M. On the Global Identification of the Dynamic Simultaneous Equations Model with Stationary Disturbances // Int. </w:t>
      </w:r>
      <w:r w:rsidRPr="00C752C0">
        <w:rPr>
          <w:rFonts w:ascii="Verdana" w:eastAsia="Times New Roman" w:hAnsi="Verdana" w:cs="Arial"/>
          <w:color w:val="000000"/>
          <w:sz w:val="20"/>
          <w:szCs w:val="20"/>
          <w:bdr w:val="none" w:sz="0" w:space="0" w:color="auto" w:frame="1"/>
          <w:lang w:val="en-US" w:eastAsia="ru-RU"/>
        </w:rPr>
        <w:t>Econ. Rev. (Philadelphia). 1975. Vol. 16, № 3. P. 545.</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11.  Baum C.F. VAR, SVAR and VECM models [Electronic resource]. 2013. P. 1–61. URL: http://fmwww.bc.edu/EC-C/S2013/823/EC823.S2013.nn10.slides.pdf.</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val="en-US" w:eastAsia="ru-RU"/>
        </w:rPr>
        <w:t>12.  Weisstein E.W. Cholesky Decomposition [Electronic resource] // MathWorld—A Wolfram Web Resource.</w:t>
      </w:r>
      <w:hyperlink r:id="rId19" w:history="1">
        <w:r w:rsidRPr="00951365">
          <w:rPr>
            <w:rFonts w:ascii="Verdana" w:eastAsia="Times New Roman" w:hAnsi="Verdana" w:cs="Arial"/>
            <w:color w:val="000000"/>
            <w:sz w:val="17"/>
            <w:u w:val="single"/>
            <w:lang w:eastAsia="ru-RU"/>
          </w:rPr>
          <w:t>http://mathworld.wolfram.com/CholeskyDecomposition.html</w:t>
        </w:r>
      </w:hyperlink>
      <w:r w:rsidRPr="00951365">
        <w:rPr>
          <w:rFonts w:ascii="Verdana" w:eastAsia="Times New Roman" w:hAnsi="Verdana" w:cs="Arial"/>
          <w:color w:val="000000"/>
          <w:sz w:val="20"/>
          <w:szCs w:val="20"/>
          <w:bdr w:val="none" w:sz="0" w:space="0" w:color="auto" w:frame="1"/>
          <w:lang w:eastAsia="ru-RU"/>
        </w:rPr>
        <w:t>. URL: http://mathworld.wolfram.com/CholeskyDecomposition.html.</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13.  Fukushima Y. Macroeconomic Shock and Labour Market Programmes // Procedia Econ. Financ. 2012. Vol. 1. P. 138–147.</w:t>
      </w:r>
    </w:p>
    <w:p w:rsidR="00951365" w:rsidRPr="00C752C0"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 xml:space="preserve">14.  Samujel'son P.Je., Nordhaus V.D. Jekonomika. Moskva: OOO “I.D. Vil'jams,” 2012. </w:t>
      </w:r>
      <w:r w:rsidRPr="00C752C0">
        <w:rPr>
          <w:rFonts w:ascii="Verdana" w:eastAsia="Times New Roman" w:hAnsi="Verdana" w:cs="Arial"/>
          <w:color w:val="000000"/>
          <w:sz w:val="20"/>
          <w:szCs w:val="20"/>
          <w:bdr w:val="none" w:sz="0" w:space="0" w:color="auto" w:frame="1"/>
          <w:lang w:val="en-US" w:eastAsia="ru-RU"/>
        </w:rPr>
        <w:t>1360 p.</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15.  Dąbrowski M.A., Wróblewska J. Financial shocks as a cause of real exchange rate fluctuations in Poland – evidence from the Bayesian structural VAR models.</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16.  Blanchard O.J., Quah D. The Dynamic Effects of Aggregate Demand and Supply Disturbances.</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17.  Binning A. Underidentified SVAR models: A framework for combining short and long-run restrictions with sign-restrictions. 2013.</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18.  Kondrat'ev N.D., Jakovec Ju.V., Abalkin L.I. Bol'shie cikly kon'junktury i teorija predvidenija. Izbrannye trudy. Moskva: Jekonomika, 2002. 550 p.</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lastRenderedPageBreak/>
        <w:t>19.  Kravcov A.O. Upravlenie izmenenijami kak antikrizisnoe upravlenie. Sankt-Peterburg, 2015. 43-47 p.</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20.  Olejnik D.V. Antikrizisnye strategii i upravlenie riskami v organizacijah. Sankt-Peterburg, 2015. 165-167 p.</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21.  Rjahovskaja A.N., Kovan S.E. Transformacija antikrizisnogo upravlenija v sovremennyh jekonomicheskih uslovijah // Jeffektivnoe antikrizisnoe upravlenie. 2013. Vol. 5, № 80. P. 62–73.</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22.  Author R., Sargan J.D. The Maximum Likelihood Estimation of Economic Relationships with Autoregressive Residuals // Source Econom. 1961. Vol. 29, № 3. P. 414–426.</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23.  Li Z., Wang H. Research on the Enterprise Crisis Management System Basic on Knowledge Demand.</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24.  Jianying Z. Crisis Management based on the Five Hypotheses proposed by Jack Welch // Proceedings of the 2012 International Conference on Public Management (ICPM-2012). Paris, France: Atlantis Press, 2012.</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25.  Tingting B., Zhanglu T. On the Crisis Management of the Modern Enterprise.</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26.  Wernerfelt B. A Resource-based View of the Firm // Strateg. .Management J. 1984. Vol. 5. P. 171–180.</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27.  Welch D., Welch S. Winning. New York: HarperCollins Publishers Inc., 2005. 385 p.</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28.  Fedorova E.A., Afanas'ev D.O. Kompleksnyj krizisnyj indikator dlja Rossii // Zhurnal Novoj jekonomicheskoj associacii. 2014. Vol. 23, № 2. P. 38–59.</w:t>
      </w:r>
    </w:p>
    <w:p w:rsidR="00951365" w:rsidRPr="00951365" w:rsidRDefault="00951365" w:rsidP="00951365">
      <w:pPr>
        <w:spacing w:after="0" w:line="225" w:lineRule="atLeast"/>
        <w:ind w:left="0" w:firstLine="640"/>
        <w:jc w:val="both"/>
        <w:rPr>
          <w:rFonts w:ascii="Arial" w:eastAsia="Times New Roman" w:hAnsi="Arial" w:cs="Arial"/>
          <w:color w:val="6D625B"/>
          <w:sz w:val="15"/>
          <w:szCs w:val="15"/>
          <w:lang w:val="en-US" w:eastAsia="ru-RU"/>
        </w:rPr>
      </w:pPr>
      <w:r w:rsidRPr="00951365">
        <w:rPr>
          <w:rFonts w:ascii="Verdana" w:eastAsia="Times New Roman" w:hAnsi="Verdana" w:cs="Arial"/>
          <w:color w:val="000000"/>
          <w:sz w:val="20"/>
          <w:szCs w:val="20"/>
          <w:bdr w:val="none" w:sz="0" w:space="0" w:color="auto" w:frame="1"/>
          <w:lang w:val="en-US" w:eastAsia="ru-RU"/>
        </w:rPr>
        <w:t>29.  Mountford A., Uhlig H. What are the Effects of Fiscal Policy Shocks ?</w:t>
      </w:r>
    </w:p>
    <w:p w:rsidR="00951365" w:rsidRPr="00951365" w:rsidRDefault="00147711" w:rsidP="00951365">
      <w:pPr>
        <w:spacing w:after="0" w:line="225" w:lineRule="atLeast"/>
        <w:ind w:left="0" w:firstLine="0"/>
        <w:rPr>
          <w:rFonts w:ascii="Arial" w:eastAsia="Times New Roman" w:hAnsi="Arial" w:cs="Arial"/>
          <w:color w:val="6D625B"/>
          <w:sz w:val="15"/>
          <w:szCs w:val="15"/>
          <w:lang w:eastAsia="ru-RU"/>
        </w:rPr>
      </w:pPr>
      <w:r w:rsidRPr="00147711">
        <w:rPr>
          <w:rFonts w:ascii="Arial" w:eastAsia="Times New Roman" w:hAnsi="Arial" w:cs="Arial"/>
          <w:color w:val="6D625B"/>
          <w:sz w:val="15"/>
          <w:szCs w:val="15"/>
          <w:lang w:eastAsia="ru-RU"/>
        </w:rPr>
        <w:pict>
          <v:rect id="_x0000_i1025" style="width:154.35pt;height:.65pt" o:hrpct="330" o:hrstd="t" o:hr="t" fillcolor="#a0a0a0" stroked="f"/>
        </w:pict>
      </w:r>
    </w:p>
    <w:bookmarkStart w:id="2" w:name="_ftn1"/>
    <w:p w:rsidR="00951365" w:rsidRPr="00951365" w:rsidRDefault="00147711"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fldChar w:fldCharType="begin"/>
      </w:r>
      <w:r w:rsidR="00951365" w:rsidRPr="00951365">
        <w:rPr>
          <w:rFonts w:ascii="Verdana" w:eastAsia="Times New Roman" w:hAnsi="Verdana" w:cs="Arial"/>
          <w:color w:val="000000"/>
          <w:sz w:val="20"/>
          <w:szCs w:val="20"/>
          <w:bdr w:val="none" w:sz="0" w:space="0" w:color="auto" w:frame="1"/>
          <w:lang w:eastAsia="ru-RU"/>
        </w:rPr>
        <w:instrText xml:space="preserve"> HYPERLINK "http://httpwww.uecs.ru/teoriya-upravleniya/item/3944-2016-05-17-07-08-25" \l "_ftnref1" \o "" </w:instrText>
      </w:r>
      <w:r w:rsidRPr="00951365">
        <w:rPr>
          <w:rFonts w:ascii="Verdana" w:eastAsia="Times New Roman" w:hAnsi="Verdana" w:cs="Arial"/>
          <w:color w:val="000000"/>
          <w:sz w:val="20"/>
          <w:szCs w:val="20"/>
          <w:bdr w:val="none" w:sz="0" w:space="0" w:color="auto" w:frame="1"/>
          <w:lang w:eastAsia="ru-RU"/>
        </w:rPr>
        <w:fldChar w:fldCharType="separate"/>
      </w:r>
      <w:r w:rsidR="00951365" w:rsidRPr="00951365">
        <w:rPr>
          <w:rFonts w:ascii="Verdana" w:eastAsia="Times New Roman" w:hAnsi="Verdana" w:cs="Arial"/>
          <w:color w:val="000000"/>
          <w:sz w:val="17"/>
          <w:u w:val="single"/>
          <w:lang w:eastAsia="ru-RU"/>
        </w:rPr>
        <w:t>[1]</w:t>
      </w:r>
      <w:r w:rsidRPr="00951365">
        <w:rPr>
          <w:rFonts w:ascii="Verdana" w:eastAsia="Times New Roman" w:hAnsi="Verdana" w:cs="Arial"/>
          <w:color w:val="000000"/>
          <w:sz w:val="20"/>
          <w:szCs w:val="20"/>
          <w:bdr w:val="none" w:sz="0" w:space="0" w:color="auto" w:frame="1"/>
          <w:lang w:eastAsia="ru-RU"/>
        </w:rPr>
        <w:fldChar w:fldCharType="end"/>
      </w:r>
      <w:bookmarkEnd w:id="2"/>
      <w:r w:rsidR="00951365" w:rsidRPr="00951365">
        <w:rPr>
          <w:rFonts w:ascii="Verdana" w:eastAsia="Times New Roman" w:hAnsi="Verdana" w:cs="Arial"/>
          <w:color w:val="000000"/>
          <w:sz w:val="20"/>
          <w:lang w:eastAsia="ru-RU"/>
        </w:rPr>
        <w:t> </w:t>
      </w:r>
      <w:r w:rsidR="00951365" w:rsidRPr="00951365">
        <w:rPr>
          <w:rFonts w:ascii="Verdana" w:eastAsia="Times New Roman" w:hAnsi="Verdana" w:cs="Arial"/>
          <w:color w:val="000000"/>
          <w:sz w:val="20"/>
          <w:szCs w:val="20"/>
          <w:bdr w:val="none" w:sz="0" w:space="0" w:color="auto" w:frame="1"/>
          <w:lang w:eastAsia="ru-RU"/>
        </w:rPr>
        <w:t>Под монетарными шоками R. Clarida и J. Gali понимают шоки (неожиданные и значительные изменения) денежного предложения, как и спроса на деньги [6]. Нужно также отметить, что перечисленные шоки далеко не исчерпывают весь перечень макроэкономических шоков, влияние которых на ситуацию в экономике анализируется. Так, например, A. Mountford и H. Uhlig рассматривают влияние фискальных шоков, возникающих как результат фискальной политики [29].</w:t>
      </w:r>
    </w:p>
    <w:bookmarkStart w:id="3" w:name="_ftn2"/>
    <w:p w:rsidR="00951365" w:rsidRPr="00951365" w:rsidRDefault="00147711" w:rsidP="00951365">
      <w:pPr>
        <w:spacing w:after="0" w:line="225" w:lineRule="atLeast"/>
        <w:ind w:left="0" w:firstLine="0"/>
        <w:jc w:val="both"/>
        <w:rPr>
          <w:rFonts w:ascii="Arial" w:eastAsia="Times New Roman" w:hAnsi="Arial" w:cs="Arial"/>
          <w:color w:val="6D625B"/>
          <w:sz w:val="15"/>
          <w:szCs w:val="15"/>
          <w:lang w:eastAsia="ru-RU"/>
        </w:rPr>
      </w:pPr>
      <w:r w:rsidRPr="00951365">
        <w:rPr>
          <w:rFonts w:ascii="Verdana" w:eastAsia="Times New Roman" w:hAnsi="Verdana" w:cs="Arial"/>
          <w:color w:val="000000"/>
          <w:sz w:val="20"/>
          <w:szCs w:val="20"/>
          <w:bdr w:val="none" w:sz="0" w:space="0" w:color="auto" w:frame="1"/>
          <w:lang w:eastAsia="ru-RU"/>
        </w:rPr>
        <w:fldChar w:fldCharType="begin"/>
      </w:r>
      <w:r w:rsidR="00951365" w:rsidRPr="00951365">
        <w:rPr>
          <w:rFonts w:ascii="Verdana" w:eastAsia="Times New Roman" w:hAnsi="Verdana" w:cs="Arial"/>
          <w:color w:val="000000"/>
          <w:sz w:val="20"/>
          <w:szCs w:val="20"/>
          <w:bdr w:val="none" w:sz="0" w:space="0" w:color="auto" w:frame="1"/>
          <w:lang w:eastAsia="ru-RU"/>
        </w:rPr>
        <w:instrText xml:space="preserve"> HYPERLINK "http://httpwww.uecs.ru/teoriya-upravleniya/item/3944-2016-05-17-07-08-25" \l "_ftnref2" \o "" </w:instrText>
      </w:r>
      <w:r w:rsidRPr="00951365">
        <w:rPr>
          <w:rFonts w:ascii="Verdana" w:eastAsia="Times New Roman" w:hAnsi="Verdana" w:cs="Arial"/>
          <w:color w:val="000000"/>
          <w:sz w:val="20"/>
          <w:szCs w:val="20"/>
          <w:bdr w:val="none" w:sz="0" w:space="0" w:color="auto" w:frame="1"/>
          <w:lang w:eastAsia="ru-RU"/>
        </w:rPr>
        <w:fldChar w:fldCharType="separate"/>
      </w:r>
      <w:r w:rsidR="00951365" w:rsidRPr="00951365">
        <w:rPr>
          <w:rFonts w:ascii="Verdana" w:eastAsia="Times New Roman" w:hAnsi="Verdana" w:cs="Arial"/>
          <w:color w:val="000000"/>
          <w:sz w:val="17"/>
          <w:u w:val="single"/>
          <w:lang w:eastAsia="ru-RU"/>
        </w:rPr>
        <w:t>[2]</w:t>
      </w:r>
      <w:r w:rsidRPr="00951365">
        <w:rPr>
          <w:rFonts w:ascii="Verdana" w:eastAsia="Times New Roman" w:hAnsi="Verdana" w:cs="Arial"/>
          <w:color w:val="000000"/>
          <w:sz w:val="20"/>
          <w:szCs w:val="20"/>
          <w:bdr w:val="none" w:sz="0" w:space="0" w:color="auto" w:frame="1"/>
          <w:lang w:eastAsia="ru-RU"/>
        </w:rPr>
        <w:fldChar w:fldCharType="end"/>
      </w:r>
      <w:bookmarkEnd w:id="3"/>
      <w:r w:rsidR="00951365" w:rsidRPr="00951365">
        <w:rPr>
          <w:rFonts w:ascii="Verdana" w:eastAsia="Times New Roman" w:hAnsi="Verdana" w:cs="Arial"/>
          <w:color w:val="000000"/>
          <w:sz w:val="20"/>
          <w:lang w:eastAsia="ru-RU"/>
        </w:rPr>
        <w:t> </w:t>
      </w:r>
      <w:r w:rsidR="00951365" w:rsidRPr="00951365">
        <w:rPr>
          <w:rFonts w:ascii="Verdana" w:eastAsia="Times New Roman" w:hAnsi="Verdana" w:cs="Arial"/>
          <w:color w:val="000000"/>
          <w:sz w:val="20"/>
          <w:szCs w:val="20"/>
          <w:bdr w:val="none" w:sz="0" w:space="0" w:color="auto" w:frame="1"/>
          <w:lang w:eastAsia="ru-RU"/>
        </w:rPr>
        <w:t>В статье Е.А. Фёдоровой и Д.О. Афанасьева выделяются каналы на основе следующих показателей: торговый канал в виде роста импорта, финансовый канал через финансовую интеграцию фондовых рынков и банковский канал через реальные процентные ставки по депозитам [28].</w:t>
      </w:r>
    </w:p>
    <w:p w:rsidR="00C752C0" w:rsidRDefault="00C752C0">
      <w:pPr>
        <w:sectPr w:rsidR="00C752C0" w:rsidSect="00E21BFE">
          <w:pgSz w:w="11906" w:h="16838"/>
          <w:pgMar w:top="1134" w:right="850" w:bottom="1134" w:left="1701" w:header="708" w:footer="708" w:gutter="0"/>
          <w:cols w:space="708"/>
          <w:docGrid w:linePitch="360"/>
        </w:sectPr>
      </w:pPr>
    </w:p>
    <w:p w:rsidR="00C752C0" w:rsidRPr="00DA6A7D" w:rsidRDefault="00C752C0" w:rsidP="00C752C0">
      <w:pPr>
        <w:autoSpaceDE w:val="0"/>
        <w:autoSpaceDN w:val="0"/>
        <w:adjustRightInd w:val="0"/>
        <w:jc w:val="center"/>
        <w:rPr>
          <w:rFonts w:ascii="Times New Roman" w:eastAsia="Calibri" w:hAnsi="Times New Roman" w:cs="Times New Roman"/>
          <w:sz w:val="36"/>
          <w:lang w:val="en-US"/>
        </w:rPr>
      </w:pPr>
      <w:r w:rsidRPr="00DA6A7D">
        <w:rPr>
          <w:rFonts w:ascii="Times New Roman" w:eastAsia="Calibri" w:hAnsi="Times New Roman" w:cs="Times New Roman"/>
          <w:sz w:val="36"/>
          <w:lang w:val="en-US"/>
        </w:rPr>
        <w:lastRenderedPageBreak/>
        <w:t>St. Petersburg State University</w:t>
      </w:r>
    </w:p>
    <w:p w:rsidR="00C752C0" w:rsidRPr="00DA6A7D" w:rsidRDefault="00C752C0" w:rsidP="00C752C0">
      <w:pPr>
        <w:autoSpaceDE w:val="0"/>
        <w:autoSpaceDN w:val="0"/>
        <w:adjustRightInd w:val="0"/>
        <w:jc w:val="center"/>
        <w:rPr>
          <w:rFonts w:ascii="Times New Roman" w:eastAsia="Calibri" w:hAnsi="Times New Roman" w:cs="Times New Roman"/>
          <w:sz w:val="36"/>
          <w:lang w:val="en-US"/>
        </w:rPr>
      </w:pPr>
      <w:r w:rsidRPr="00DA6A7D">
        <w:rPr>
          <w:rFonts w:ascii="Times New Roman" w:eastAsia="Calibri" w:hAnsi="Times New Roman" w:cs="Times New Roman"/>
          <w:sz w:val="36"/>
          <w:lang w:val="en-US"/>
        </w:rPr>
        <w:t>Graduate School of Management</w:t>
      </w:r>
    </w:p>
    <w:p w:rsidR="00C752C0" w:rsidRPr="00DA6A7D" w:rsidRDefault="00C752C0" w:rsidP="00C752C0">
      <w:pPr>
        <w:autoSpaceDE w:val="0"/>
        <w:autoSpaceDN w:val="0"/>
        <w:adjustRightInd w:val="0"/>
        <w:spacing w:after="200" w:line="360" w:lineRule="auto"/>
        <w:rPr>
          <w:rFonts w:ascii="Times New Roman" w:eastAsia="Calibri" w:hAnsi="Times New Roman" w:cs="Times New Roman"/>
          <w:sz w:val="36"/>
          <w:lang w:val="en-US"/>
        </w:rPr>
      </w:pPr>
    </w:p>
    <w:p w:rsidR="00C752C0" w:rsidRPr="00C752C0" w:rsidRDefault="00C752C0" w:rsidP="00C752C0">
      <w:pPr>
        <w:autoSpaceDE w:val="0"/>
        <w:autoSpaceDN w:val="0"/>
        <w:adjustRightInd w:val="0"/>
        <w:jc w:val="center"/>
        <w:rPr>
          <w:rFonts w:ascii="Times New Roman" w:eastAsia="Calibri" w:hAnsi="Times New Roman" w:cs="Times New Roman"/>
          <w:b/>
          <w:sz w:val="36"/>
          <w:lang w:val="en-US"/>
        </w:rPr>
      </w:pPr>
      <w:r w:rsidRPr="00DA6A7D">
        <w:rPr>
          <w:rFonts w:ascii="Times New Roman" w:eastAsia="Calibri" w:hAnsi="Times New Roman" w:cs="Times New Roman"/>
          <w:b/>
          <w:sz w:val="36"/>
          <w:lang w:val="en-US"/>
        </w:rPr>
        <w:t>WORKING PAPER</w:t>
      </w:r>
    </w:p>
    <w:p w:rsidR="00C752C0" w:rsidRPr="00DA6A7D" w:rsidRDefault="00C752C0" w:rsidP="00C752C0">
      <w:pPr>
        <w:ind w:right="-8"/>
        <w:jc w:val="center"/>
        <w:rPr>
          <w:rFonts w:ascii="Times New Roman" w:hAnsi="Times New Roman" w:cs="Times New Roman"/>
          <w:b/>
          <w:sz w:val="36"/>
          <w:lang w:val="en-US"/>
        </w:rPr>
      </w:pPr>
    </w:p>
    <w:p w:rsidR="00C752C0" w:rsidRPr="00DA6A7D" w:rsidRDefault="00C752C0" w:rsidP="00C752C0">
      <w:pPr>
        <w:ind w:right="-8"/>
        <w:jc w:val="center"/>
        <w:rPr>
          <w:rFonts w:ascii="Times New Roman" w:hAnsi="Times New Roman" w:cs="Times New Roman"/>
          <w:b/>
          <w:sz w:val="36"/>
          <w:lang w:val="en-US"/>
        </w:rPr>
      </w:pPr>
      <w:r w:rsidRPr="00DA6A7D">
        <w:rPr>
          <w:rFonts w:ascii="Times New Roman" w:hAnsi="Times New Roman" w:cs="Times New Roman"/>
          <w:b/>
          <w:sz w:val="36"/>
          <w:lang w:val="en-US"/>
        </w:rPr>
        <w:t>A.E. Loukianova, E.A. Smirnova</w:t>
      </w:r>
    </w:p>
    <w:p w:rsidR="00C752C0" w:rsidRPr="00DA6A7D" w:rsidRDefault="00C752C0" w:rsidP="00C752C0">
      <w:pPr>
        <w:ind w:right="-8"/>
        <w:jc w:val="center"/>
        <w:rPr>
          <w:rFonts w:ascii="Times New Roman" w:hAnsi="Times New Roman" w:cs="Times New Roman"/>
          <w:sz w:val="36"/>
          <w:lang w:val="en-US"/>
        </w:rPr>
      </w:pPr>
    </w:p>
    <w:p w:rsidR="00C752C0" w:rsidRPr="00DA6A7D" w:rsidRDefault="00C752C0" w:rsidP="00C752C0">
      <w:pPr>
        <w:ind w:left="0" w:right="-6" w:firstLine="0"/>
        <w:rPr>
          <w:rFonts w:ascii="Times New Roman" w:hAnsi="Times New Roman" w:cs="Times New Roman"/>
          <w:b/>
          <w:caps/>
          <w:sz w:val="36"/>
          <w:lang w:val="en-US"/>
        </w:rPr>
      </w:pPr>
    </w:p>
    <w:p w:rsidR="00C752C0" w:rsidRPr="00DA6A7D" w:rsidRDefault="00C752C0" w:rsidP="00C752C0">
      <w:pPr>
        <w:ind w:right="-6"/>
        <w:jc w:val="center"/>
        <w:rPr>
          <w:rFonts w:ascii="Times New Roman" w:hAnsi="Times New Roman" w:cs="Times New Roman"/>
          <w:b/>
          <w:caps/>
          <w:sz w:val="36"/>
          <w:lang w:val="en-US"/>
        </w:rPr>
      </w:pPr>
    </w:p>
    <w:p w:rsidR="00C752C0" w:rsidRPr="00DA6A7D" w:rsidRDefault="00C752C0" w:rsidP="00C752C0">
      <w:pPr>
        <w:ind w:right="-6"/>
        <w:jc w:val="center"/>
        <w:rPr>
          <w:rFonts w:ascii="Times New Roman" w:hAnsi="Times New Roman" w:cs="Times New Roman"/>
          <w:b/>
          <w:caps/>
          <w:sz w:val="36"/>
          <w:lang w:val="en-US"/>
        </w:rPr>
      </w:pPr>
      <w:r w:rsidRPr="00DA6A7D">
        <w:rPr>
          <w:rFonts w:ascii="Times New Roman" w:hAnsi="Times New Roman" w:cs="Times New Roman"/>
          <w:b/>
          <w:caps/>
          <w:sz w:val="36"/>
          <w:lang w:val="en-US"/>
        </w:rPr>
        <w:t xml:space="preserve">straregic risk-management </w:t>
      </w:r>
    </w:p>
    <w:p w:rsidR="00C752C0" w:rsidRPr="00DA6A7D" w:rsidRDefault="00C752C0" w:rsidP="00C752C0">
      <w:pPr>
        <w:ind w:right="-6"/>
        <w:jc w:val="center"/>
        <w:rPr>
          <w:rFonts w:ascii="Times New Roman" w:hAnsi="Times New Roman" w:cs="Times New Roman"/>
          <w:b/>
          <w:caps/>
          <w:sz w:val="36"/>
          <w:lang w:val="en-US"/>
        </w:rPr>
      </w:pPr>
      <w:r w:rsidRPr="00DA6A7D">
        <w:rPr>
          <w:rFonts w:ascii="Times New Roman" w:hAnsi="Times New Roman" w:cs="Times New Roman"/>
          <w:b/>
          <w:caps/>
          <w:sz w:val="36"/>
          <w:lang w:val="en-US"/>
        </w:rPr>
        <w:t xml:space="preserve">with the use of the market risk indicator: </w:t>
      </w:r>
    </w:p>
    <w:p w:rsidR="00C752C0" w:rsidRPr="00DA6A7D" w:rsidRDefault="00C752C0" w:rsidP="00C752C0">
      <w:pPr>
        <w:ind w:right="-6"/>
        <w:jc w:val="center"/>
        <w:rPr>
          <w:rFonts w:ascii="Times New Roman" w:hAnsi="Times New Roman" w:cs="Times New Roman"/>
          <w:b/>
          <w:caps/>
          <w:sz w:val="36"/>
          <w:lang w:val="en-US"/>
        </w:rPr>
      </w:pPr>
      <w:r w:rsidRPr="00DA6A7D">
        <w:rPr>
          <w:rFonts w:ascii="Times New Roman" w:hAnsi="Times New Roman" w:cs="Times New Roman"/>
          <w:b/>
          <w:caps/>
          <w:sz w:val="36"/>
          <w:lang w:val="en-US"/>
        </w:rPr>
        <w:t>a comparative longitudinal study in the developed and emerging markets</w:t>
      </w:r>
    </w:p>
    <w:p w:rsidR="00C752C0" w:rsidRPr="00DA6A7D" w:rsidRDefault="00C752C0" w:rsidP="00C752C0">
      <w:pPr>
        <w:ind w:right="-6"/>
        <w:jc w:val="center"/>
        <w:rPr>
          <w:rFonts w:ascii="Times New Roman" w:hAnsi="Times New Roman" w:cs="Times New Roman"/>
          <w:b/>
          <w:caps/>
          <w:sz w:val="36"/>
          <w:lang w:val="en-US"/>
        </w:rPr>
      </w:pPr>
    </w:p>
    <w:p w:rsidR="00C752C0" w:rsidRPr="00DA6A7D" w:rsidRDefault="00C752C0" w:rsidP="00C752C0">
      <w:pPr>
        <w:ind w:right="-6"/>
        <w:jc w:val="center"/>
        <w:rPr>
          <w:rFonts w:ascii="Times New Roman" w:hAnsi="Times New Roman" w:cs="Times New Roman"/>
          <w:b/>
          <w:caps/>
          <w:sz w:val="36"/>
          <w:lang w:val="en-US"/>
        </w:rPr>
      </w:pPr>
    </w:p>
    <w:p w:rsidR="00C752C0" w:rsidRPr="00DA6A7D" w:rsidRDefault="00C752C0" w:rsidP="00C752C0">
      <w:pPr>
        <w:ind w:right="-6"/>
        <w:jc w:val="center"/>
        <w:rPr>
          <w:rFonts w:ascii="Times New Roman" w:hAnsi="Times New Roman" w:cs="Times New Roman"/>
          <w:b/>
          <w:caps/>
          <w:sz w:val="36"/>
          <w:lang w:val="en-US"/>
        </w:rPr>
      </w:pPr>
    </w:p>
    <w:p w:rsidR="00C752C0" w:rsidRPr="00DA6A7D" w:rsidRDefault="00C752C0" w:rsidP="00C752C0">
      <w:pPr>
        <w:spacing w:line="360" w:lineRule="auto"/>
        <w:ind w:right="-8"/>
        <w:rPr>
          <w:rFonts w:ascii="Times New Roman" w:hAnsi="Times New Roman" w:cs="Times New Roman"/>
          <w:b/>
          <w:sz w:val="36"/>
          <w:lang w:val="en-US"/>
        </w:rPr>
      </w:pPr>
    </w:p>
    <w:p w:rsidR="00C752C0" w:rsidRPr="00DA6A7D" w:rsidRDefault="00C752C0" w:rsidP="00C752C0">
      <w:pPr>
        <w:spacing w:line="360" w:lineRule="auto"/>
        <w:ind w:right="-8"/>
        <w:jc w:val="center"/>
        <w:rPr>
          <w:rFonts w:ascii="Times New Roman" w:hAnsi="Times New Roman" w:cs="Times New Roman"/>
          <w:b/>
          <w:sz w:val="36"/>
          <w:lang w:val="en-US"/>
        </w:rPr>
      </w:pPr>
    </w:p>
    <w:p w:rsidR="00C752C0" w:rsidRPr="00DA6A7D" w:rsidRDefault="00C752C0" w:rsidP="00C752C0">
      <w:pPr>
        <w:autoSpaceDE w:val="0"/>
        <w:autoSpaceDN w:val="0"/>
        <w:adjustRightInd w:val="0"/>
        <w:spacing w:after="200" w:line="360" w:lineRule="auto"/>
        <w:jc w:val="center"/>
        <w:rPr>
          <w:rFonts w:ascii="Times New Roman" w:eastAsia="Calibri" w:hAnsi="Times New Roman" w:cs="Times New Roman"/>
          <w:b/>
          <w:sz w:val="36"/>
          <w:lang w:val="en-US"/>
        </w:rPr>
      </w:pPr>
    </w:p>
    <w:p w:rsidR="00C752C0" w:rsidRPr="00DA6A7D" w:rsidRDefault="00C752C0" w:rsidP="00C752C0">
      <w:pPr>
        <w:autoSpaceDE w:val="0"/>
        <w:autoSpaceDN w:val="0"/>
        <w:adjustRightInd w:val="0"/>
        <w:spacing w:after="200" w:line="360" w:lineRule="auto"/>
        <w:rPr>
          <w:rFonts w:ascii="Times New Roman" w:eastAsia="Calibri" w:hAnsi="Times New Roman" w:cs="Times New Roman"/>
          <w:b/>
          <w:sz w:val="36"/>
          <w:lang w:val="en-US"/>
        </w:rPr>
      </w:pPr>
    </w:p>
    <w:p w:rsidR="00C752C0" w:rsidRPr="00DA6A7D" w:rsidRDefault="00C752C0" w:rsidP="00C752C0">
      <w:pPr>
        <w:autoSpaceDE w:val="0"/>
        <w:autoSpaceDN w:val="0"/>
        <w:adjustRightInd w:val="0"/>
        <w:spacing w:after="200" w:line="360" w:lineRule="auto"/>
        <w:jc w:val="center"/>
        <w:rPr>
          <w:rFonts w:ascii="Times New Roman" w:eastAsia="Calibri" w:hAnsi="Times New Roman" w:cs="Times New Roman"/>
          <w:sz w:val="36"/>
          <w:lang w:val="en-US"/>
        </w:rPr>
      </w:pPr>
      <w:r w:rsidRPr="00DA6A7D">
        <w:rPr>
          <w:rFonts w:ascii="Times New Roman" w:eastAsia="Calibri" w:hAnsi="Times New Roman" w:cs="Times New Roman"/>
          <w:sz w:val="36"/>
          <w:lang w:val="en-US"/>
        </w:rPr>
        <w:t>Saint Petersburg</w:t>
      </w:r>
    </w:p>
    <w:p w:rsidR="00C752C0" w:rsidRPr="00DA6A7D" w:rsidRDefault="00C752C0" w:rsidP="00C752C0">
      <w:pPr>
        <w:autoSpaceDE w:val="0"/>
        <w:autoSpaceDN w:val="0"/>
        <w:adjustRightInd w:val="0"/>
        <w:spacing w:after="200" w:line="360" w:lineRule="auto"/>
        <w:jc w:val="center"/>
        <w:rPr>
          <w:rFonts w:ascii="Times New Roman" w:eastAsia="Calibri" w:hAnsi="Times New Roman" w:cs="Times New Roman"/>
          <w:sz w:val="36"/>
          <w:lang w:val="en-US"/>
        </w:rPr>
      </w:pPr>
      <w:r w:rsidRPr="00DA6A7D">
        <w:rPr>
          <w:rFonts w:ascii="Times New Roman" w:eastAsia="Calibri" w:hAnsi="Times New Roman" w:cs="Times New Roman"/>
          <w:sz w:val="36"/>
          <w:lang w:val="en-US"/>
        </w:rPr>
        <w:t>2016</w:t>
      </w:r>
    </w:p>
    <w:p w:rsidR="00C752C0" w:rsidRPr="00DA6A7D" w:rsidRDefault="00C752C0" w:rsidP="00C752C0">
      <w:pPr>
        <w:rPr>
          <w:rFonts w:ascii="Times New Roman" w:hAnsi="Times New Roman" w:cs="Times New Roman"/>
          <w:b/>
          <w:lang w:val="en-US"/>
        </w:rPr>
      </w:pPr>
      <w:r w:rsidRPr="00DA6A7D">
        <w:rPr>
          <w:rFonts w:ascii="Times New Roman" w:hAnsi="Times New Roman" w:cs="Times New Roman"/>
          <w:b/>
          <w:lang w:val="en-US"/>
        </w:rPr>
        <w:lastRenderedPageBreak/>
        <w:br w:type="page"/>
      </w:r>
    </w:p>
    <w:p w:rsidR="00C752C0" w:rsidRPr="00DA6A7D" w:rsidRDefault="00C752C0" w:rsidP="00C752C0">
      <w:pPr>
        <w:ind w:right="-8"/>
        <w:jc w:val="both"/>
        <w:rPr>
          <w:rFonts w:ascii="Times New Roman" w:hAnsi="Times New Roman" w:cs="Times New Roman"/>
          <w:lang w:val="en-US"/>
        </w:rPr>
      </w:pPr>
      <w:r w:rsidRPr="00DA6A7D">
        <w:rPr>
          <w:rFonts w:ascii="Times New Roman" w:hAnsi="Times New Roman" w:cs="Times New Roman"/>
          <w:i/>
          <w:lang w:val="en-US"/>
        </w:rPr>
        <w:lastRenderedPageBreak/>
        <w:t>A.E. Loukianova, E.A. Smirnova.</w:t>
      </w:r>
      <w:r w:rsidRPr="00DA6A7D">
        <w:rPr>
          <w:rFonts w:ascii="Times New Roman" w:hAnsi="Times New Roman" w:cs="Times New Roman"/>
          <w:lang w:val="en-US"/>
        </w:rPr>
        <w:t xml:space="preserve"> Strategic risk-management with the use of the market risk indicator: a comparative longitudinal study in the developed and </w:t>
      </w:r>
      <w:r>
        <w:rPr>
          <w:rFonts w:ascii="Times New Roman" w:hAnsi="Times New Roman" w:cs="Times New Roman"/>
          <w:lang w:val="en-US"/>
        </w:rPr>
        <w:t>emerging markets. Working paper</w:t>
      </w:r>
      <w:r w:rsidRPr="00DA6A7D">
        <w:rPr>
          <w:rFonts w:ascii="Times New Roman" w:hAnsi="Times New Roman" w:cs="Times New Roman"/>
          <w:lang w:val="en-US"/>
        </w:rPr>
        <w:t>. Graduate School of Management, St. Petersburg State University: SPb, 2016.</w:t>
      </w: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r w:rsidRPr="00DA6A7D">
        <w:rPr>
          <w:rFonts w:ascii="Times New Roman" w:hAnsi="Times New Roman" w:cs="Times New Roman"/>
          <w:b/>
          <w:lang w:val="en-US"/>
        </w:rPr>
        <w:t>Keywords and phrases</w:t>
      </w:r>
      <w:r w:rsidRPr="00DA6A7D">
        <w:rPr>
          <w:rFonts w:ascii="Times New Roman" w:hAnsi="Times New Roman" w:cs="Times New Roman"/>
          <w:lang w:val="en-US"/>
        </w:rPr>
        <w:t>: financial contagion, Brazil, Finland, Canada, risk-management</w:t>
      </w:r>
    </w:p>
    <w:p w:rsidR="00C752C0" w:rsidRPr="00DA6A7D" w:rsidRDefault="00C752C0" w:rsidP="00C752C0">
      <w:pPr>
        <w:ind w:right="-8"/>
        <w:jc w:val="both"/>
        <w:rPr>
          <w:rFonts w:ascii="Times New Roman" w:hAnsi="Times New Roman" w:cs="Times New Roman"/>
          <w:b/>
          <w:lang w:val="en-US"/>
        </w:rPr>
      </w:pPr>
    </w:p>
    <w:p w:rsidR="00C752C0" w:rsidRPr="00DA6A7D" w:rsidRDefault="00C752C0" w:rsidP="00C752C0">
      <w:pPr>
        <w:ind w:right="-8"/>
        <w:jc w:val="both"/>
        <w:rPr>
          <w:rFonts w:ascii="Times New Roman" w:hAnsi="Times New Roman" w:cs="Times New Roman"/>
          <w:lang w:val="en-US"/>
        </w:rPr>
      </w:pPr>
      <w:r w:rsidRPr="00DA6A7D">
        <w:rPr>
          <w:rFonts w:ascii="Times New Roman" w:hAnsi="Times New Roman" w:cs="Times New Roman"/>
          <w:b/>
          <w:lang w:val="en-US"/>
        </w:rPr>
        <w:t>Abstract</w:t>
      </w:r>
      <w:r w:rsidRPr="00DA6A7D">
        <w:rPr>
          <w:rFonts w:ascii="Times New Roman" w:hAnsi="Times New Roman" w:cs="Times New Roman"/>
          <w:lang w:val="en-US"/>
        </w:rPr>
        <w:t xml:space="preserve">: the history of financial crises is considered and the attempt is made to analyse the parallels in Finnish, Canadian and Brazilian markets crises in the working paper. The historical conditions of crises on the markets is analysed on the base of the literature review and the examples from three analysed markets are presented with the use of the network analysis. The conclusion made is that the financial contagion indicator can be used for the market risk assessment for practical and theoretical purposes. </w:t>
      </w: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jc w:val="both"/>
        <w:rPr>
          <w:rFonts w:ascii="Times New Roman" w:eastAsia="Times New Roman" w:hAnsi="Times New Roman" w:cs="Times New Roman"/>
          <w:spacing w:val="-2"/>
          <w:lang w:val="en-US"/>
        </w:rPr>
      </w:pPr>
      <w:r w:rsidRPr="00DA6A7D">
        <w:rPr>
          <w:rFonts w:ascii="Times New Roman" w:hAnsi="Times New Roman" w:cs="Times New Roman"/>
          <w:i/>
          <w:lang w:val="en-US"/>
        </w:rPr>
        <w:t>Anna E. Loukianova</w:t>
      </w:r>
      <w:r w:rsidRPr="00DA6A7D">
        <w:rPr>
          <w:rFonts w:ascii="Times New Roman" w:hAnsi="Times New Roman" w:cs="Times New Roman"/>
          <w:lang w:val="en-US"/>
        </w:rPr>
        <w:t xml:space="preserve">, PhD in mathematics and physics, Associate Professor, </w:t>
      </w:r>
      <w:r w:rsidRPr="00DA6A7D">
        <w:rPr>
          <w:rFonts w:ascii="Times New Roman" w:eastAsia="Times New Roman" w:hAnsi="Times New Roman" w:cs="Times New Roman"/>
          <w:spacing w:val="-2"/>
          <w:lang w:val="en-US"/>
        </w:rPr>
        <w:t>Finance and Accounting Department, Saint-Petersburg State University</w:t>
      </w:r>
    </w:p>
    <w:p w:rsidR="00C752C0" w:rsidRPr="00DA6A7D" w:rsidRDefault="00C752C0" w:rsidP="00C752C0">
      <w:pPr>
        <w:ind w:right="-8"/>
        <w:jc w:val="both"/>
        <w:rPr>
          <w:rFonts w:ascii="Times New Roman" w:hAnsi="Times New Roman" w:cs="Times New Roman"/>
          <w:lang w:val="en-US"/>
        </w:rPr>
      </w:pPr>
      <w:r w:rsidRPr="00DA6A7D">
        <w:rPr>
          <w:rFonts w:ascii="Times New Roman" w:hAnsi="Times New Roman" w:cs="Times New Roman"/>
          <w:lang w:val="en-US"/>
        </w:rPr>
        <w:t xml:space="preserve">e-mail: </w:t>
      </w:r>
      <w:hyperlink r:id="rId20" w:history="1">
        <w:r w:rsidRPr="00DA6A7D">
          <w:rPr>
            <w:rStyle w:val="a3"/>
            <w:rFonts w:ascii="Times New Roman" w:hAnsi="Times New Roman" w:cs="Times New Roman"/>
            <w:lang w:val="en-US"/>
          </w:rPr>
          <w:t>Anna.Loukianova@gsom.pu.ru</w:t>
        </w:r>
      </w:hyperlink>
    </w:p>
    <w:p w:rsidR="00C752C0" w:rsidRPr="00DA6A7D" w:rsidRDefault="00C752C0" w:rsidP="00C752C0">
      <w:pPr>
        <w:ind w:right="-8"/>
        <w:jc w:val="both"/>
        <w:rPr>
          <w:rFonts w:ascii="Times New Roman" w:hAnsi="Times New Roman" w:cs="Times New Roman"/>
          <w:lang w:val="en-US"/>
        </w:rPr>
      </w:pPr>
    </w:p>
    <w:p w:rsidR="00C752C0" w:rsidRPr="00DA6A7D" w:rsidRDefault="00C752C0" w:rsidP="00C752C0">
      <w:pPr>
        <w:widowControl w:val="0"/>
        <w:jc w:val="both"/>
        <w:rPr>
          <w:rFonts w:ascii="Times New Roman" w:eastAsia="Calibri" w:hAnsi="Times New Roman" w:cs="Times New Roman"/>
          <w:lang w:val="en-US"/>
        </w:rPr>
      </w:pPr>
      <w:r w:rsidRPr="00DA6A7D">
        <w:rPr>
          <w:rFonts w:ascii="Times New Roman" w:hAnsi="Times New Roman" w:cs="Times New Roman"/>
          <w:i/>
          <w:lang w:val="en-US"/>
        </w:rPr>
        <w:t>Ekaterina A. Smirnova</w:t>
      </w:r>
      <w:r w:rsidRPr="00DA6A7D">
        <w:rPr>
          <w:rFonts w:ascii="Times New Roman" w:hAnsi="Times New Roman" w:cs="Times New Roman"/>
          <w:lang w:val="en-US"/>
        </w:rPr>
        <w:t xml:space="preserve">, </w:t>
      </w:r>
      <w:r w:rsidRPr="00DA6A7D">
        <w:rPr>
          <w:rFonts w:ascii="Times New Roman" w:eastAsia="Calibri" w:hAnsi="Times New Roman" w:cs="Times New Roman"/>
          <w:spacing w:val="-2"/>
          <w:lang w:val="en-US"/>
        </w:rPr>
        <w:t>Doctoral Student, Graduate School of Management Saint-Petersburg State University</w:t>
      </w:r>
      <w:r w:rsidRPr="00DA6A7D">
        <w:rPr>
          <w:rFonts w:ascii="Times New Roman" w:eastAsia="Calibri" w:hAnsi="Times New Roman" w:cs="Times New Roman"/>
          <w:lang w:val="en-US"/>
        </w:rPr>
        <w:t>.</w:t>
      </w:r>
    </w:p>
    <w:p w:rsidR="00C752C0" w:rsidRPr="00DA6A7D" w:rsidRDefault="00C752C0" w:rsidP="00C752C0">
      <w:pPr>
        <w:ind w:right="-8"/>
        <w:jc w:val="both"/>
        <w:rPr>
          <w:rFonts w:ascii="Times New Roman" w:hAnsi="Times New Roman" w:cs="Times New Roman"/>
          <w:lang w:val="en-US"/>
        </w:rPr>
      </w:pPr>
      <w:r w:rsidRPr="00DA6A7D">
        <w:rPr>
          <w:rFonts w:ascii="Times New Roman" w:hAnsi="Times New Roman" w:cs="Times New Roman"/>
          <w:lang w:val="en-US"/>
        </w:rPr>
        <w:t xml:space="preserve">e-mail: </w:t>
      </w:r>
      <w:hyperlink r:id="rId21" w:history="1">
        <w:r w:rsidRPr="00DA6A7D">
          <w:rPr>
            <w:rStyle w:val="a3"/>
            <w:rFonts w:ascii="Times New Roman" w:hAnsi="Times New Roman" w:cs="Times New Roman"/>
            <w:lang w:val="en-US"/>
          </w:rPr>
          <w:t>ekaterina_a.smirnova@yahoo.com</w:t>
        </w:r>
      </w:hyperlink>
    </w:p>
    <w:p w:rsidR="00C752C0" w:rsidRPr="00DA6A7D" w:rsidRDefault="00C752C0" w:rsidP="00C752C0">
      <w:pPr>
        <w:ind w:right="-8"/>
        <w:jc w:val="both"/>
        <w:rPr>
          <w:rFonts w:ascii="Times New Roman" w:hAnsi="Times New Roman" w:cs="Times New Roman"/>
          <w:b/>
          <w:lang w:val="en-US"/>
        </w:rPr>
      </w:pPr>
      <w:r w:rsidRPr="00DA6A7D">
        <w:rPr>
          <w:rFonts w:ascii="Times New Roman" w:hAnsi="Times New Roman" w:cs="Times New Roman"/>
          <w:lang w:val="en-US"/>
        </w:rPr>
        <w:br w:type="page"/>
      </w:r>
    </w:p>
    <w:p w:rsidR="00C752C0" w:rsidRPr="00DA6A7D" w:rsidRDefault="00C752C0" w:rsidP="00C752C0">
      <w:pPr>
        <w:spacing w:line="360" w:lineRule="auto"/>
        <w:jc w:val="center"/>
        <w:rPr>
          <w:rFonts w:ascii="Times New Roman" w:hAnsi="Times New Roman" w:cs="Times New Roman"/>
          <w:b/>
          <w:lang w:val="en-US"/>
        </w:rPr>
      </w:pPr>
      <w:r w:rsidRPr="00DA6A7D">
        <w:rPr>
          <w:rFonts w:ascii="Times New Roman" w:hAnsi="Times New Roman" w:cs="Times New Roman"/>
          <w:b/>
          <w:lang w:val="en-US"/>
        </w:rPr>
        <w:lastRenderedPageBreak/>
        <w:t>Contents</w:t>
      </w:r>
    </w:p>
    <w:p w:rsidR="00C752C0" w:rsidRPr="00DA6A7D" w:rsidRDefault="00C752C0" w:rsidP="00C752C0">
      <w:pPr>
        <w:spacing w:line="360" w:lineRule="auto"/>
        <w:rPr>
          <w:rFonts w:ascii="Times New Roman" w:hAnsi="Times New Roman" w:cs="Times New Roman"/>
          <w:lang w:val="en-US"/>
        </w:rPr>
      </w:pPr>
    </w:p>
    <w:p w:rsidR="00C752C0" w:rsidRPr="008D7B6C" w:rsidRDefault="00C752C0" w:rsidP="00C752C0">
      <w:pPr>
        <w:pStyle w:val="12"/>
        <w:tabs>
          <w:tab w:val="right" w:leader="dot" w:pos="9339"/>
        </w:tabs>
        <w:rPr>
          <w:noProof/>
          <w:sz w:val="22"/>
          <w:szCs w:val="22"/>
          <w:lang w:val="en-US"/>
        </w:rPr>
      </w:pPr>
      <w:r w:rsidRPr="00DA6A7D">
        <w:rPr>
          <w:rFonts w:ascii="Times New Roman" w:hAnsi="Times New Roman" w:cs="Times New Roman"/>
          <w:lang w:val="en-US"/>
        </w:rPr>
        <w:fldChar w:fldCharType="begin"/>
      </w:r>
      <w:r w:rsidRPr="00DA6A7D">
        <w:rPr>
          <w:rFonts w:ascii="Times New Roman" w:hAnsi="Times New Roman" w:cs="Times New Roman"/>
          <w:lang w:val="en-US"/>
        </w:rPr>
        <w:instrText xml:space="preserve"> TOC \t "Научный доклад;1" </w:instrText>
      </w:r>
      <w:r w:rsidRPr="00DA6A7D">
        <w:rPr>
          <w:rFonts w:ascii="Times New Roman" w:hAnsi="Times New Roman" w:cs="Times New Roman"/>
          <w:lang w:val="en-US"/>
        </w:rPr>
        <w:fldChar w:fldCharType="separate"/>
      </w:r>
      <w:r w:rsidRPr="008D7B6C">
        <w:rPr>
          <w:rFonts w:ascii="Times New Roman" w:hAnsi="Times New Roman" w:cs="Times New Roman"/>
          <w:noProof/>
          <w:lang w:val="en-US"/>
        </w:rPr>
        <w:t>Introduction</w:t>
      </w:r>
      <w:r w:rsidRPr="008D7B6C">
        <w:rPr>
          <w:noProof/>
          <w:lang w:val="en-US"/>
        </w:rPr>
        <w:tab/>
      </w:r>
      <w:r>
        <w:rPr>
          <w:noProof/>
        </w:rPr>
        <w:fldChar w:fldCharType="begin"/>
      </w:r>
      <w:r w:rsidRPr="008D7B6C">
        <w:rPr>
          <w:noProof/>
          <w:lang w:val="en-US"/>
        </w:rPr>
        <w:instrText xml:space="preserve"> PAGEREF _Toc453016108 \h </w:instrText>
      </w:r>
      <w:r>
        <w:rPr>
          <w:noProof/>
        </w:rPr>
      </w:r>
      <w:r>
        <w:rPr>
          <w:noProof/>
        </w:rPr>
        <w:fldChar w:fldCharType="separate"/>
      </w:r>
      <w:r w:rsidRPr="008D7B6C">
        <w:rPr>
          <w:noProof/>
          <w:lang w:val="en-US"/>
        </w:rPr>
        <w:t>4</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rFonts w:ascii="Times New Roman" w:hAnsi="Times New Roman" w:cs="Times New Roman"/>
          <w:noProof/>
          <w:lang w:val="en-US"/>
        </w:rPr>
        <w:t>Theory and Hypothesis</w:t>
      </w:r>
      <w:r w:rsidRPr="008D7B6C">
        <w:rPr>
          <w:noProof/>
          <w:lang w:val="en-US"/>
        </w:rPr>
        <w:tab/>
      </w:r>
      <w:r>
        <w:rPr>
          <w:noProof/>
        </w:rPr>
        <w:fldChar w:fldCharType="begin"/>
      </w:r>
      <w:r w:rsidRPr="008D7B6C">
        <w:rPr>
          <w:noProof/>
          <w:lang w:val="en-US"/>
        </w:rPr>
        <w:instrText xml:space="preserve"> PAGEREF _Toc453016109 \h </w:instrText>
      </w:r>
      <w:r>
        <w:rPr>
          <w:noProof/>
        </w:rPr>
      </w:r>
      <w:r>
        <w:rPr>
          <w:noProof/>
        </w:rPr>
        <w:fldChar w:fldCharType="separate"/>
      </w:r>
      <w:r w:rsidRPr="008D7B6C">
        <w:rPr>
          <w:noProof/>
          <w:lang w:val="en-US"/>
        </w:rPr>
        <w:t>4</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rFonts w:ascii="Times New Roman" w:hAnsi="Times New Roman" w:cs="Times New Roman"/>
          <w:noProof/>
          <w:lang w:val="en-US"/>
        </w:rPr>
        <w:t>Data</w:t>
      </w:r>
      <w:r w:rsidRPr="008D7B6C">
        <w:rPr>
          <w:noProof/>
          <w:lang w:val="en-US"/>
        </w:rPr>
        <w:tab/>
      </w:r>
      <w:r>
        <w:rPr>
          <w:noProof/>
        </w:rPr>
        <w:fldChar w:fldCharType="begin"/>
      </w:r>
      <w:r w:rsidRPr="008D7B6C">
        <w:rPr>
          <w:noProof/>
          <w:lang w:val="en-US"/>
        </w:rPr>
        <w:instrText xml:space="preserve"> PAGEREF _Toc453016110 \h </w:instrText>
      </w:r>
      <w:r>
        <w:rPr>
          <w:noProof/>
        </w:rPr>
      </w:r>
      <w:r>
        <w:rPr>
          <w:noProof/>
        </w:rPr>
        <w:fldChar w:fldCharType="separate"/>
      </w:r>
      <w:r w:rsidRPr="008D7B6C">
        <w:rPr>
          <w:noProof/>
          <w:lang w:val="en-US"/>
        </w:rPr>
        <w:t>5</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rFonts w:ascii="Times New Roman" w:hAnsi="Times New Roman" w:cs="Times New Roman"/>
          <w:noProof/>
          <w:lang w:val="en-US"/>
        </w:rPr>
        <w:t>Models</w:t>
      </w:r>
      <w:r w:rsidRPr="008D7B6C">
        <w:rPr>
          <w:noProof/>
          <w:lang w:val="en-US"/>
        </w:rPr>
        <w:tab/>
      </w:r>
      <w:r>
        <w:rPr>
          <w:noProof/>
        </w:rPr>
        <w:fldChar w:fldCharType="begin"/>
      </w:r>
      <w:r w:rsidRPr="008D7B6C">
        <w:rPr>
          <w:noProof/>
          <w:lang w:val="en-US"/>
        </w:rPr>
        <w:instrText xml:space="preserve"> PAGEREF _Toc453016111 \h </w:instrText>
      </w:r>
      <w:r>
        <w:rPr>
          <w:noProof/>
        </w:rPr>
      </w:r>
      <w:r>
        <w:rPr>
          <w:noProof/>
        </w:rPr>
        <w:fldChar w:fldCharType="separate"/>
      </w:r>
      <w:r w:rsidRPr="008D7B6C">
        <w:rPr>
          <w:noProof/>
          <w:lang w:val="en-US"/>
        </w:rPr>
        <w:t>8</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rFonts w:ascii="Times New Roman" w:hAnsi="Times New Roman" w:cs="Times New Roman"/>
          <w:noProof/>
          <w:lang w:val="en-US"/>
        </w:rPr>
        <w:t>Results</w:t>
      </w:r>
      <w:r w:rsidRPr="008D7B6C">
        <w:rPr>
          <w:noProof/>
          <w:lang w:val="en-US"/>
        </w:rPr>
        <w:tab/>
      </w:r>
      <w:r>
        <w:rPr>
          <w:noProof/>
        </w:rPr>
        <w:fldChar w:fldCharType="begin"/>
      </w:r>
      <w:r w:rsidRPr="008D7B6C">
        <w:rPr>
          <w:noProof/>
          <w:lang w:val="en-US"/>
        </w:rPr>
        <w:instrText xml:space="preserve"> PAGEREF _Toc453016112 \h </w:instrText>
      </w:r>
      <w:r>
        <w:rPr>
          <w:noProof/>
        </w:rPr>
      </w:r>
      <w:r>
        <w:rPr>
          <w:noProof/>
        </w:rPr>
        <w:fldChar w:fldCharType="separate"/>
      </w:r>
      <w:r w:rsidRPr="008D7B6C">
        <w:rPr>
          <w:noProof/>
          <w:lang w:val="en-US"/>
        </w:rPr>
        <w:t>9</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rFonts w:ascii="Times New Roman" w:hAnsi="Times New Roman" w:cs="Times New Roman"/>
          <w:noProof/>
          <w:lang w:val="en-US"/>
        </w:rPr>
        <w:t>Discussion</w:t>
      </w:r>
      <w:r w:rsidRPr="008D7B6C">
        <w:rPr>
          <w:noProof/>
          <w:lang w:val="en-US"/>
        </w:rPr>
        <w:tab/>
      </w:r>
      <w:r>
        <w:rPr>
          <w:noProof/>
        </w:rPr>
        <w:fldChar w:fldCharType="begin"/>
      </w:r>
      <w:r w:rsidRPr="008D7B6C">
        <w:rPr>
          <w:noProof/>
          <w:lang w:val="en-US"/>
        </w:rPr>
        <w:instrText xml:space="preserve"> PAGEREF _Toc453016113 \h </w:instrText>
      </w:r>
      <w:r>
        <w:rPr>
          <w:noProof/>
        </w:rPr>
      </w:r>
      <w:r>
        <w:rPr>
          <w:noProof/>
        </w:rPr>
        <w:fldChar w:fldCharType="separate"/>
      </w:r>
      <w:r w:rsidRPr="008D7B6C">
        <w:rPr>
          <w:noProof/>
          <w:lang w:val="en-US"/>
        </w:rPr>
        <w:t>13</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rFonts w:ascii="Times New Roman" w:hAnsi="Times New Roman" w:cs="Times New Roman"/>
          <w:noProof/>
          <w:lang w:val="en-US"/>
        </w:rPr>
        <w:t>Conclusion</w:t>
      </w:r>
      <w:r w:rsidRPr="008D7B6C">
        <w:rPr>
          <w:noProof/>
          <w:lang w:val="en-US"/>
        </w:rPr>
        <w:tab/>
      </w:r>
      <w:r>
        <w:rPr>
          <w:noProof/>
        </w:rPr>
        <w:fldChar w:fldCharType="begin"/>
      </w:r>
      <w:r w:rsidRPr="008D7B6C">
        <w:rPr>
          <w:noProof/>
          <w:lang w:val="en-US"/>
        </w:rPr>
        <w:instrText xml:space="preserve"> PAGEREF _Toc453016114 \h </w:instrText>
      </w:r>
      <w:r>
        <w:rPr>
          <w:noProof/>
        </w:rPr>
      </w:r>
      <w:r>
        <w:rPr>
          <w:noProof/>
        </w:rPr>
        <w:fldChar w:fldCharType="separate"/>
      </w:r>
      <w:r w:rsidRPr="008D7B6C">
        <w:rPr>
          <w:noProof/>
          <w:lang w:val="en-US"/>
        </w:rPr>
        <w:t>14</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rFonts w:ascii="Times New Roman" w:hAnsi="Times New Roman" w:cs="Times New Roman"/>
          <w:noProof/>
          <w:lang w:val="en-US"/>
        </w:rPr>
        <w:t>References</w:t>
      </w:r>
      <w:r w:rsidRPr="008D7B6C">
        <w:rPr>
          <w:noProof/>
          <w:lang w:val="en-US"/>
        </w:rPr>
        <w:tab/>
      </w:r>
      <w:r>
        <w:rPr>
          <w:noProof/>
        </w:rPr>
        <w:fldChar w:fldCharType="begin"/>
      </w:r>
      <w:r w:rsidRPr="008D7B6C">
        <w:rPr>
          <w:noProof/>
          <w:lang w:val="en-US"/>
        </w:rPr>
        <w:instrText xml:space="preserve"> PAGEREF _Toc453016115 \h </w:instrText>
      </w:r>
      <w:r>
        <w:rPr>
          <w:noProof/>
        </w:rPr>
      </w:r>
      <w:r>
        <w:rPr>
          <w:noProof/>
        </w:rPr>
        <w:fldChar w:fldCharType="separate"/>
      </w:r>
      <w:r w:rsidRPr="008D7B6C">
        <w:rPr>
          <w:noProof/>
          <w:lang w:val="en-US"/>
        </w:rPr>
        <w:t>15</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noProof/>
          <w:lang w:val="en-US"/>
        </w:rPr>
        <w:t>Appendix 1 - The list of the markets major indices, the components of which were considered in the research</w:t>
      </w:r>
      <w:r w:rsidRPr="008D7B6C">
        <w:rPr>
          <w:noProof/>
          <w:lang w:val="en-US"/>
        </w:rPr>
        <w:tab/>
      </w:r>
      <w:r>
        <w:rPr>
          <w:noProof/>
        </w:rPr>
        <w:fldChar w:fldCharType="begin"/>
      </w:r>
      <w:r w:rsidRPr="008D7B6C">
        <w:rPr>
          <w:noProof/>
          <w:lang w:val="en-US"/>
        </w:rPr>
        <w:instrText xml:space="preserve"> PAGEREF _Toc453016116 \h </w:instrText>
      </w:r>
      <w:r>
        <w:rPr>
          <w:noProof/>
        </w:rPr>
      </w:r>
      <w:r>
        <w:rPr>
          <w:noProof/>
        </w:rPr>
        <w:fldChar w:fldCharType="separate"/>
      </w:r>
      <w:r w:rsidRPr="008D7B6C">
        <w:rPr>
          <w:noProof/>
          <w:lang w:val="en-US"/>
        </w:rPr>
        <w:t>17</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noProof/>
          <w:lang w:val="en-US"/>
        </w:rPr>
        <w:t>Appendix 2 - Dependent variables in VAR model</w:t>
      </w:r>
      <w:r w:rsidRPr="008D7B6C">
        <w:rPr>
          <w:noProof/>
          <w:lang w:val="en-US"/>
        </w:rPr>
        <w:tab/>
      </w:r>
      <w:r>
        <w:rPr>
          <w:noProof/>
        </w:rPr>
        <w:fldChar w:fldCharType="begin"/>
      </w:r>
      <w:r w:rsidRPr="008D7B6C">
        <w:rPr>
          <w:noProof/>
          <w:lang w:val="en-US"/>
        </w:rPr>
        <w:instrText xml:space="preserve"> PAGEREF _Toc453016117 \h </w:instrText>
      </w:r>
      <w:r>
        <w:rPr>
          <w:noProof/>
        </w:rPr>
      </w:r>
      <w:r>
        <w:rPr>
          <w:noProof/>
        </w:rPr>
        <w:fldChar w:fldCharType="separate"/>
      </w:r>
      <w:r w:rsidRPr="008D7B6C">
        <w:rPr>
          <w:noProof/>
          <w:lang w:val="en-US"/>
        </w:rPr>
        <w:t>19</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noProof/>
          <w:lang w:val="en-US"/>
        </w:rPr>
        <w:t>Appendix 3 – Sector value added (% of GDP) in the countries considered during 1990-2014</w:t>
      </w:r>
      <w:r w:rsidRPr="008D7B6C">
        <w:rPr>
          <w:noProof/>
          <w:lang w:val="en-US"/>
        </w:rPr>
        <w:tab/>
      </w:r>
      <w:r>
        <w:rPr>
          <w:noProof/>
        </w:rPr>
        <w:fldChar w:fldCharType="begin"/>
      </w:r>
      <w:r w:rsidRPr="008D7B6C">
        <w:rPr>
          <w:noProof/>
          <w:lang w:val="en-US"/>
        </w:rPr>
        <w:instrText xml:space="preserve"> PAGEREF _Toc453016118 \h </w:instrText>
      </w:r>
      <w:r>
        <w:rPr>
          <w:noProof/>
        </w:rPr>
      </w:r>
      <w:r>
        <w:rPr>
          <w:noProof/>
        </w:rPr>
        <w:fldChar w:fldCharType="separate"/>
      </w:r>
      <w:r w:rsidRPr="008D7B6C">
        <w:rPr>
          <w:noProof/>
          <w:lang w:val="en-US"/>
        </w:rPr>
        <w:t>23</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rFonts w:ascii="Times New Roman" w:hAnsi="Times New Roman" w:cs="Times New Roman"/>
          <w:noProof/>
          <w:lang w:val="en-US"/>
        </w:rPr>
        <w:t>Appendix 4 – The Research Design</w:t>
      </w:r>
      <w:r w:rsidRPr="008D7B6C">
        <w:rPr>
          <w:noProof/>
          <w:lang w:val="en-US"/>
        </w:rPr>
        <w:tab/>
      </w:r>
      <w:r>
        <w:rPr>
          <w:noProof/>
        </w:rPr>
        <w:fldChar w:fldCharType="begin"/>
      </w:r>
      <w:r w:rsidRPr="008D7B6C">
        <w:rPr>
          <w:noProof/>
          <w:lang w:val="en-US"/>
        </w:rPr>
        <w:instrText xml:space="preserve"> PAGEREF _Toc453016119 \h </w:instrText>
      </w:r>
      <w:r>
        <w:rPr>
          <w:noProof/>
        </w:rPr>
      </w:r>
      <w:r>
        <w:rPr>
          <w:noProof/>
        </w:rPr>
        <w:fldChar w:fldCharType="separate"/>
      </w:r>
      <w:r w:rsidRPr="008D7B6C">
        <w:rPr>
          <w:noProof/>
          <w:lang w:val="en-US"/>
        </w:rPr>
        <w:t>24</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noProof/>
          <w:lang w:val="en-US"/>
        </w:rPr>
        <w:t>Appendix 5 – The interconnection significance level between the macroeconomic indicators return and the companies share prices return during the period of relatively higher financial contagion level (1999-2002) for Finnish market</w:t>
      </w:r>
      <w:r w:rsidRPr="008D7B6C">
        <w:rPr>
          <w:noProof/>
          <w:lang w:val="en-US"/>
        </w:rPr>
        <w:tab/>
      </w:r>
      <w:r>
        <w:rPr>
          <w:noProof/>
        </w:rPr>
        <w:fldChar w:fldCharType="begin"/>
      </w:r>
      <w:r w:rsidRPr="008D7B6C">
        <w:rPr>
          <w:noProof/>
          <w:lang w:val="en-US"/>
        </w:rPr>
        <w:instrText xml:space="preserve"> PAGEREF _Toc453016120 \h </w:instrText>
      </w:r>
      <w:r>
        <w:rPr>
          <w:noProof/>
        </w:rPr>
      </w:r>
      <w:r>
        <w:rPr>
          <w:noProof/>
        </w:rPr>
        <w:fldChar w:fldCharType="separate"/>
      </w:r>
      <w:r w:rsidRPr="008D7B6C">
        <w:rPr>
          <w:noProof/>
          <w:lang w:val="en-US"/>
        </w:rPr>
        <w:t>25</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noProof/>
          <w:lang w:val="en-US"/>
        </w:rPr>
        <w:t>Appendix 6 – The interconnection significance level between the macroeconomic indicators return and the companies share prices return during the period of relatively higher financial contagion level (1997; 2008-2010) for Brazilian market</w:t>
      </w:r>
      <w:r w:rsidRPr="008D7B6C">
        <w:rPr>
          <w:noProof/>
          <w:lang w:val="en-US"/>
        </w:rPr>
        <w:tab/>
      </w:r>
      <w:r>
        <w:rPr>
          <w:noProof/>
        </w:rPr>
        <w:fldChar w:fldCharType="begin"/>
      </w:r>
      <w:r w:rsidRPr="008D7B6C">
        <w:rPr>
          <w:noProof/>
          <w:lang w:val="en-US"/>
        </w:rPr>
        <w:instrText xml:space="preserve"> PAGEREF _Toc453016121 \h </w:instrText>
      </w:r>
      <w:r>
        <w:rPr>
          <w:noProof/>
        </w:rPr>
      </w:r>
      <w:r>
        <w:rPr>
          <w:noProof/>
        </w:rPr>
        <w:fldChar w:fldCharType="separate"/>
      </w:r>
      <w:r w:rsidRPr="008D7B6C">
        <w:rPr>
          <w:noProof/>
          <w:lang w:val="en-US"/>
        </w:rPr>
        <w:t>29</w:t>
      </w:r>
      <w:r>
        <w:rPr>
          <w:noProof/>
        </w:rPr>
        <w:fldChar w:fldCharType="end"/>
      </w:r>
    </w:p>
    <w:p w:rsidR="00C752C0" w:rsidRPr="008D7B6C" w:rsidRDefault="00C752C0" w:rsidP="00C752C0">
      <w:pPr>
        <w:pStyle w:val="12"/>
        <w:tabs>
          <w:tab w:val="right" w:leader="dot" w:pos="9339"/>
        </w:tabs>
        <w:rPr>
          <w:noProof/>
          <w:sz w:val="22"/>
          <w:szCs w:val="22"/>
          <w:lang w:val="en-US"/>
        </w:rPr>
      </w:pPr>
      <w:r w:rsidRPr="008D7B6C">
        <w:rPr>
          <w:noProof/>
          <w:lang w:val="en-US"/>
        </w:rPr>
        <w:t>Appendix 7 – The interconnection significance level between the macroeconomic indicators return and the companies share prices return during the period of relatively higher financial contagion level (1996) for Canadian market</w:t>
      </w:r>
      <w:r w:rsidRPr="008D7B6C">
        <w:rPr>
          <w:noProof/>
          <w:lang w:val="en-US"/>
        </w:rPr>
        <w:tab/>
      </w:r>
      <w:r>
        <w:rPr>
          <w:noProof/>
        </w:rPr>
        <w:fldChar w:fldCharType="begin"/>
      </w:r>
      <w:r w:rsidRPr="008D7B6C">
        <w:rPr>
          <w:noProof/>
          <w:lang w:val="en-US"/>
        </w:rPr>
        <w:instrText xml:space="preserve"> PAGEREF _Toc453016122 \h </w:instrText>
      </w:r>
      <w:r>
        <w:rPr>
          <w:noProof/>
        </w:rPr>
      </w:r>
      <w:r>
        <w:rPr>
          <w:noProof/>
        </w:rPr>
        <w:fldChar w:fldCharType="separate"/>
      </w:r>
      <w:r w:rsidRPr="008D7B6C">
        <w:rPr>
          <w:noProof/>
          <w:lang w:val="en-US"/>
        </w:rPr>
        <w:t>33</w:t>
      </w:r>
      <w:r>
        <w:rPr>
          <w:noProof/>
        </w:rPr>
        <w:fldChar w:fldCharType="end"/>
      </w:r>
    </w:p>
    <w:p w:rsidR="00C752C0" w:rsidRPr="00DA6A7D" w:rsidRDefault="00C752C0" w:rsidP="00C752C0">
      <w:pPr>
        <w:rPr>
          <w:rFonts w:ascii="Times New Roman" w:hAnsi="Times New Roman" w:cs="Times New Roman"/>
          <w:b/>
          <w:lang w:val="en-US"/>
        </w:rPr>
      </w:pPr>
      <w:r w:rsidRPr="00DA6A7D">
        <w:rPr>
          <w:rFonts w:ascii="Times New Roman" w:hAnsi="Times New Roman" w:cs="Times New Roman"/>
          <w:lang w:val="en-US"/>
        </w:rPr>
        <w:fldChar w:fldCharType="end"/>
      </w:r>
    </w:p>
    <w:p w:rsidR="00C752C0" w:rsidRPr="00DA6A7D" w:rsidRDefault="00C752C0" w:rsidP="00C752C0">
      <w:pPr>
        <w:rPr>
          <w:rFonts w:ascii="Times New Roman" w:hAnsi="Times New Roman" w:cs="Times New Roman"/>
          <w:b/>
          <w:lang w:val="en-US"/>
        </w:rPr>
      </w:pPr>
      <w:r w:rsidRPr="00DA6A7D">
        <w:rPr>
          <w:rFonts w:ascii="Times New Roman" w:hAnsi="Times New Roman" w:cs="Times New Roman"/>
          <w:b/>
          <w:lang w:val="en-US"/>
        </w:rPr>
        <w:br w:type="page"/>
      </w:r>
    </w:p>
    <w:p w:rsidR="00C752C0" w:rsidRPr="00DA6A7D" w:rsidRDefault="00C752C0" w:rsidP="00C752C0">
      <w:pPr>
        <w:pStyle w:val="af1"/>
        <w:rPr>
          <w:rFonts w:ascii="Times New Roman" w:hAnsi="Times New Roman" w:cs="Times New Roman"/>
        </w:rPr>
      </w:pPr>
      <w:bookmarkStart w:id="4" w:name="_Toc453016108"/>
      <w:r w:rsidRPr="00DA6A7D">
        <w:rPr>
          <w:rFonts w:ascii="Times New Roman" w:hAnsi="Times New Roman" w:cs="Times New Roman"/>
        </w:rPr>
        <w:lastRenderedPageBreak/>
        <w:t>Introduction</w:t>
      </w:r>
      <w:bookmarkEnd w:id="4"/>
    </w:p>
    <w:p w:rsidR="00C752C0" w:rsidRPr="00DA6A7D" w:rsidRDefault="00C752C0" w:rsidP="00C752C0">
      <w:pPr>
        <w:pStyle w:val="af1"/>
        <w:rPr>
          <w:rFonts w:ascii="Times New Roman" w:hAnsi="Times New Roman" w:cs="Times New Roman"/>
        </w:rPr>
      </w:pPr>
    </w:p>
    <w:p w:rsidR="00C752C0" w:rsidRPr="00DA6A7D" w:rsidRDefault="00C752C0" w:rsidP="00C752C0">
      <w:pPr>
        <w:ind w:left="-284" w:firstLine="710"/>
        <w:jc w:val="both"/>
        <w:rPr>
          <w:rFonts w:ascii="Times New Roman" w:hAnsi="Times New Roman" w:cs="Times New Roman"/>
          <w:lang w:val="en-US"/>
        </w:rPr>
      </w:pPr>
      <w:r w:rsidRPr="00DA6A7D">
        <w:rPr>
          <w:rFonts w:ascii="Times New Roman" w:hAnsi="Times New Roman" w:cs="Times New Roman"/>
          <w:lang w:val="en-US"/>
        </w:rPr>
        <w:t>In the contemporary circumstances the company needs the system of indicators that will help to understand and to predict the process of the risks development: how the risks emerge, how the threats for the company arise, how much the risks menace the company. The crisis period data considered reports the special value for the risks analysis. In this research developed and emerging markets are considered in order to find the financial contagion indicators</w:t>
      </w:r>
      <w:r w:rsidRPr="00DA6A7D">
        <w:rPr>
          <w:rStyle w:val="af"/>
          <w:lang w:val="en-US"/>
        </w:rPr>
        <w:footnoteReference w:id="3"/>
      </w:r>
      <w:r w:rsidRPr="00DA6A7D">
        <w:rPr>
          <w:rFonts w:ascii="Times New Roman" w:hAnsi="Times New Roman" w:cs="Times New Roman"/>
          <w:lang w:val="en-US"/>
        </w:rPr>
        <w:t>.</w:t>
      </w:r>
    </w:p>
    <w:p w:rsidR="00C752C0" w:rsidRPr="00DA6A7D" w:rsidRDefault="00C752C0" w:rsidP="00C752C0">
      <w:pPr>
        <w:ind w:left="-284" w:firstLine="710"/>
        <w:jc w:val="both"/>
        <w:rPr>
          <w:rFonts w:ascii="Times New Roman" w:hAnsi="Times New Roman" w:cs="Times New Roman"/>
          <w:lang w:val="en-US"/>
        </w:rPr>
      </w:pPr>
      <w:r w:rsidRPr="00DA6A7D">
        <w:rPr>
          <w:rFonts w:ascii="Times New Roman" w:hAnsi="Times New Roman" w:cs="Times New Roman"/>
          <w:lang w:val="en-US"/>
        </w:rPr>
        <w:t xml:space="preserve">For the sake of early probable crisis identification the special indicator is needed, that would be able to assess the degree of the threat. Such indicators had been proposed and tested many times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"10.1111/j.1540-6261.2005.00781.x", "ISSN" : "00221082", "author" : [ { "dropping-particle" : "", "family" : "Brunnermeier", "given" : "MARKUS K.", "non-dropping-particle" : "", "parse-names" : false, "suffix" : "" }, { "dropping-particle" : "", "family" : "Pedersen", "given" : "LASSE HEJE", "non-dropping-particle" : "", "parse-names" : false, "suffix" : "" } ], "container-title" : "The Journal of Finance", "id" : "ITEM-1", "issue" : "4", "issued" : { "date-parts" : [ [ "2005", "8" ] ] }, "page" : "1825-1863", "title" : "Predatory Trading", "type" : "article-journal", "volume" : "60" }, "uris" : [ "http://www.mendeley.com/documents/?uuid=ed049843-6672-4ed5-bcd6-c4b1a7918855" ] }, { "id" : "ITEM-2", "itemData" : { "DOI" : "10.1086/262109", "ISSN" : "0022-3808", "author" : [ { "dropping-particle" : "", "family" : "Allen", "given" : "Franklin", "non-dropping-particle" : "", "parse-names" : false, "suffix" : "" }, { "dropping-particle" : "", "family" : "Gale", "given" : "Douglas", "non-dropping-particle" : "", "parse-names" : false, "suffix" : "" } ], "container-title" : "Journal of Political Economy", "id" : "ITEM-2", "issue" : "1", "issued" : { "date-parts" : [ [ "2000", "2" ] ] }, "page" : "1-33", "title" : "Financial Contagion", "type" : "article-journal", "volume" : "108" }, "uris" : [ "http://www.mendeley.com/documents/?uuid=084b6940-3062-45cc-9dc8-cde5a673bc75" ] }, { "id" : "ITEM-3", "itemData" : { "DOI" : "10.1111/1540-6261.00441", "ISSN" : "00221082", "author" : [ { "dropping-particle" : "", "family" : "Kodres", "given" : "Laura E.", "non-dropping-particle" : "", "parse-names" : false, "suffix" : "" }, { "dropping-particle" : "", "family" : "Pritsker", "given" : "Matthew", "non-dropping-particle" : "", "parse-names" : false, "suffix" : "" } ], "container-title" : "The Journal of Finance", "id" : "ITEM-3", "issue" : "2", "issued" : { "date-parts" : [ [ "2002", "4" ] ] }, "page" : "769-799", "title" : "A Rational Expectations Model of Financial Contagion", "type" : "article-journal", "volume" : "57" }, "uris" : [ "http://www.mendeley.com/documents/?uuid=310bd9ee-801d-4844-bc3a-09535731c2b0" ] }, { "id" : "ITEM-4", "itemData" : { "author" : [ { "dropping-particle" : "", "family" : "Aragon", "given" : "G.O.", "non-dropping-particle" : "", "parse-names" : false, "suffix" : "" }, { "dropping-particle" : "", "family" : "Strahan", "given" : "P.E.", "non-dropping-particle" : "", "parse-names" : false, "suffix" : "" } ], "id" : "ITEM-4", "issued" : { "date-parts" : [ [ "2011" ] ] }, "title" : "Hedge funds as liquidity providers: evidence from the Lehman bankruptcy", "type" : "report" }, "uris" : [ "http://www.mendeley.com/documents/?uuid=5682c3d6-b540-4a4d-b15d-1da76c19cecc" ] } ], "mendeley" : { "formattedCitation" : "(Allen &amp; Gale, 2000; Aragon &amp; Strahan, 2011; M. K. Brunnermeier &amp; Pedersen, 2005; Kodres &amp; Pritsker, 2002)", "plainTextFormattedCitation" : "(Allen &amp; Gale, 2000; Aragon &amp; Strahan, 2011; M. K. Brunnermeier &amp; Pedersen, 2005; Kodres &amp; Pritsker, 2002)", "previouslyFormattedCitation" : "(Allen &amp; Gale, 2000; Aragon &amp; Strahan, 2011; M. K. Brunnermeier &amp; Pedersen, 2005; Kodres &amp; Pritsker, 2002)"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(Allen &amp; Gale, 2000; Aragon &amp; Strahan, 2011; M. K. Brunnermeier &amp; Pedersen, 2005; Kodres &amp; Pritsker, 2002)</w:t>
      </w:r>
      <w:r w:rsidRPr="00DA6A7D">
        <w:rPr>
          <w:rFonts w:ascii="Times New Roman" w:hAnsi="Times New Roman" w:cs="Times New Roman"/>
          <w:lang w:val="en-US"/>
        </w:rPr>
        <w:fldChar w:fldCharType="end"/>
      </w:r>
      <w:r w:rsidRPr="00DA6A7D">
        <w:rPr>
          <w:rFonts w:ascii="Times New Roman" w:hAnsi="Times New Roman" w:cs="Times New Roman"/>
          <w:lang w:val="en-US"/>
        </w:rPr>
        <w:t>. In this work some financial contagion indicators are considered, which are the significant interconnections between the corporate and government securities indexes return and the main financial indicators return. For the individual investor decision making purposes market risk assessment has even more critical role, as the investor needs to decide if he agree to bear such risk.</w:t>
      </w:r>
    </w:p>
    <w:p w:rsidR="00C752C0" w:rsidRPr="00DA6A7D" w:rsidRDefault="00C752C0" w:rsidP="00C752C0">
      <w:pPr>
        <w:ind w:left="-284" w:firstLine="710"/>
        <w:jc w:val="both"/>
        <w:rPr>
          <w:rFonts w:ascii="Times New Roman" w:hAnsi="Times New Roman" w:cs="Times New Roman"/>
          <w:lang w:val="en-US"/>
        </w:rPr>
      </w:pPr>
      <w:r w:rsidRPr="00DA6A7D">
        <w:rPr>
          <w:rFonts w:ascii="Times New Roman" w:hAnsi="Times New Roman" w:cs="Times New Roman"/>
          <w:lang w:val="en-US"/>
        </w:rPr>
        <w:t xml:space="preserve">Financial contagion in the situation on the financial market during which the financial market different indicators interconnections became stronger after the shock that had took place in one financial indicator dynamic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"10.1016/j.jfineco.2010.01.002", "ISSN" : "0304405X", "author" : [ { "dropping-particle" : "", "family" : "Longstaff", "given" : "Francis A.", "non-dropping-particle" : "", "parse-names" : false, "suffix" : "" } ], "container-title" : "Journal of Financial Economics", "id" : "ITEM-1", "issue" : "3", "issued" : { "date-parts" : [ [ "2010", "9" ] ] }, "page" : "436-450", "title" : "The subprime credit crisis and contagion in financial markets", "type" : "article-journal", "volume" : "97" }, "uris" : [ "http://www.mendeley.com/documents/?uuid=0714378f-b26a-47ae-8ab4-fe3b0d911db2" ] } ], "mendeley" : { "formattedCitation" : "(Longstaff, 2010)", "plainTextFormattedCitation" : "(Longstaff, 2010)", "previouslyFormattedCitation" : "(Longstaff, 2010)"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(Longstaff, 2010)</w:t>
      </w:r>
      <w:r w:rsidRPr="00DA6A7D">
        <w:rPr>
          <w:rFonts w:ascii="Times New Roman" w:hAnsi="Times New Roman" w:cs="Times New Roman"/>
          <w:lang w:val="en-US"/>
        </w:rPr>
        <w:fldChar w:fldCharType="end"/>
      </w:r>
      <w:r w:rsidRPr="00DA6A7D">
        <w:rPr>
          <w:rFonts w:ascii="Times New Roman" w:hAnsi="Times New Roman" w:cs="Times New Roman"/>
          <w:lang w:val="en-US"/>
        </w:rPr>
        <w:t>.</w:t>
      </w:r>
    </w:p>
    <w:p w:rsidR="00C752C0" w:rsidRPr="00DA6A7D" w:rsidRDefault="00C752C0" w:rsidP="00C752C0">
      <w:pPr>
        <w:ind w:left="-284" w:firstLine="710"/>
        <w:jc w:val="both"/>
        <w:rPr>
          <w:rFonts w:ascii="Times New Roman" w:hAnsi="Times New Roman" w:cs="Times New Roman"/>
          <w:lang w:val="en-US"/>
        </w:rPr>
      </w:pPr>
      <w:r w:rsidRPr="00DA6A7D">
        <w:rPr>
          <w:rFonts w:ascii="Times New Roman" w:hAnsi="Times New Roman" w:cs="Times New Roman"/>
          <w:lang w:val="en-US"/>
        </w:rPr>
        <w:t>The research is conducted with the use of data from Brazilian, Canadian and Finnish markets during the period of 1990-2015. The market risk indicator is compared with the information came from rating agencies, macroeconomic analyses, expert views and mass media reports. The results allow making conclusions concerning the crisis indicators on the base of the interconnections between the companies chares indexes returns and the macroeconomic indicators returns.</w:t>
      </w:r>
      <w:r>
        <w:rPr>
          <w:rFonts w:ascii="Times New Roman" w:hAnsi="Times New Roman" w:cs="Times New Roman"/>
          <w:lang w:val="en-US"/>
        </w:rPr>
        <w:t xml:space="preserve"> The results obtained can provide the ground for the possible conclusions, that can be used in the purposes of the company’s risk-management strategy building process.</w:t>
      </w:r>
    </w:p>
    <w:p w:rsidR="00C752C0" w:rsidRPr="00DA6A7D" w:rsidRDefault="00C752C0" w:rsidP="00C752C0">
      <w:pPr>
        <w:ind w:left="-284" w:right="560" w:firstLine="680"/>
        <w:jc w:val="both"/>
        <w:rPr>
          <w:rFonts w:ascii="Times New Roman" w:hAnsi="Times New Roman" w:cs="Times New Roman"/>
          <w:lang w:val="en-US"/>
        </w:rPr>
      </w:pPr>
    </w:p>
    <w:p w:rsidR="00C752C0" w:rsidRPr="00DA6A7D" w:rsidRDefault="00C752C0" w:rsidP="00C752C0">
      <w:pPr>
        <w:ind w:left="-284" w:right="560" w:firstLine="680"/>
        <w:jc w:val="both"/>
        <w:rPr>
          <w:rFonts w:ascii="Times New Roman" w:hAnsi="Times New Roman" w:cs="Times New Roman"/>
          <w:lang w:val="en-US"/>
        </w:rPr>
      </w:pPr>
    </w:p>
    <w:p w:rsidR="00C752C0" w:rsidRPr="00DA6A7D" w:rsidRDefault="00C752C0" w:rsidP="00C752C0">
      <w:pPr>
        <w:pStyle w:val="af1"/>
        <w:rPr>
          <w:rFonts w:ascii="Times New Roman" w:hAnsi="Times New Roman" w:cs="Times New Roman"/>
        </w:rPr>
      </w:pPr>
      <w:bookmarkStart w:id="5" w:name="_Toc453016109"/>
      <w:r w:rsidRPr="00DA6A7D">
        <w:rPr>
          <w:rFonts w:ascii="Times New Roman" w:hAnsi="Times New Roman" w:cs="Times New Roman"/>
        </w:rPr>
        <w:t>Theory and Hypothesis</w:t>
      </w:r>
      <w:bookmarkEnd w:id="5"/>
    </w:p>
    <w:p w:rsidR="00C752C0" w:rsidRPr="00DA6A7D" w:rsidRDefault="00C752C0" w:rsidP="00C752C0">
      <w:pPr>
        <w:pStyle w:val="af1"/>
        <w:rPr>
          <w:rFonts w:ascii="Times New Roman" w:hAnsi="Times New Roman" w:cs="Times New Roman"/>
        </w:rPr>
      </w:pP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 xml:space="preserve">The history of emerging markets is full of crises. In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"10.3386/w10061", "author" : [ { "dropping-particle" : "", "family" : "Kaminsky", "given" : "Graciela", "non-dropping-particle" : "", "parse-names" : false, "suffix" : "" }, { "dropping-particle" : "", "family" : "Reinhart", "given" : "Carmen", "non-dropping-particle" : "", "parse-names" : false, "suffix" : "" }, { "dropping-particle" : "", "family" : "Vegh", "given" : "Carlos", "non-dropping-particle" : "", "parse-names" : false, "suffix" : "" } ], "id" : "ITEM-1", "issued" : { "date-parts" : [ [ "2003", "11" ] ] }, "publisher-place" : "Cambridge, MA", "title" : "The Unholy Trinity of Financial Contagion", "type" : "report" }, "uris" : [ "http://www.mendeley.com/documents/?uuid=5f21eeee-d525-473a-a0e6-f850f96946cf" ] } ], "mendeley" : { "formattedCitation" : "(Kaminsky, Reinhart, &amp; Vegh, 2003)", "plainTextFormattedCitation" : "(Kaminsky, Reinhart, &amp; Vegh, 2003)", "previouslyFormattedCitation" : "(Kaminsky, Reinhart, &amp; Vegh, 2003)"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(Kaminsky, Reinhart, &amp; Vegh, 2003)</w:t>
      </w:r>
      <w:r w:rsidRPr="00DA6A7D">
        <w:rPr>
          <w:rFonts w:ascii="Times New Roman" w:hAnsi="Times New Roman" w:cs="Times New Roman"/>
          <w:lang w:val="en-US"/>
        </w:rPr>
        <w:fldChar w:fldCharType="end"/>
      </w:r>
      <w:r w:rsidRPr="00DA6A7D">
        <w:rPr>
          <w:rFonts w:ascii="Times New Roman" w:hAnsi="Times New Roman" w:cs="Times New Roman"/>
          <w:lang w:val="en-US"/>
        </w:rPr>
        <w:t xml:space="preserve">  the interesting examples are considered.</w:t>
      </w:r>
      <w:r>
        <w:rPr>
          <w:rFonts w:ascii="Times New Roman" w:hAnsi="Times New Roman" w:cs="Times New Roman"/>
          <w:lang w:val="en-US"/>
        </w:rPr>
        <w:t xml:space="preserve"> </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 xml:space="preserve">The contagion itself is defined as “an episode in which there are significant immediate effects in a number of countries following an event”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"10.3386/w10061", "author" : [ { "dropping-particle" : "", "family" : "Kaminsky", "given" : "Graciela", "non-dropping-particle" : "", "parse-names" : false, "suffix" : "" }, { "dropping-particle" : "", "family" : "Reinhart", "given" : "Carmen", "non-dropping-particle" : "", "parse-names" : false, "suffix" : "" }, { "dropping-particle" : "", "family" : "Vegh", "given" : "Carlos", "non-dropping-particle" : "", "parse-names" : false, "suffix" : "" } ], "id" : "ITEM-1", "issued" : { "date-parts" : [ [ "2003", "11" ] ] }, "publisher-place" : "Cambridge, MA", "title" : "The Unholy Trinity of Financial Contagion", "type" : "report" }, "uris" : [ "http://www.mendeley.com/documents/?uuid=5f21eeee-d525-473a-a0e6-f850f96946cf" ] } ], "mendeley" : { "formattedCitation" : "(Kaminsky et al., 2003)", "plainTextFormattedCitation" : "(Kaminsky et al., 2003)", "previouslyFormattedCitation" : "(Kaminsky et al., 2003)"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(Kaminsky et al., 2003)</w:t>
      </w:r>
      <w:r w:rsidRPr="00DA6A7D">
        <w:rPr>
          <w:rFonts w:ascii="Times New Roman" w:hAnsi="Times New Roman" w:cs="Times New Roman"/>
          <w:lang w:val="en-US"/>
        </w:rPr>
        <w:fldChar w:fldCharType="end"/>
      </w:r>
      <w:r w:rsidRPr="00DA6A7D">
        <w:rPr>
          <w:rFonts w:ascii="Times New Roman" w:hAnsi="Times New Roman" w:cs="Times New Roman"/>
          <w:lang w:val="en-US"/>
        </w:rPr>
        <w:t xml:space="preserve">. The financial contagion can be defined as “an episode in which there is a significant increase in cross-market linkages after a shock occurs in one market”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"10.1016/j.jfineco.2010.01.002", "ISSN" : "0304405X", "author" : [ { "dropping-particle" : "", "family" : "Longstaff", "given" : "Francis A.", "non-dropping-particle" : "", "parse-names" : false, "suffix" : "" } ], "container-title" : "Journal of Financial Economics", "id" : "ITEM-1", "issue" : "3", "issued" : { "date-parts" : [ [ "2010", "9" ] ] }, "page" : "436-450", "title" : "The subprime credit crisis and contagion in financial markets", "type" : "article-journal", "volume" : "97" }, "uris" : [ "http://www.mendeley.com/documents/?uuid=0714378f-b26a-47ae-8ab4-fe3b0d911db2" ] } ], "mendeley" : { "formattedCitation" : "(Longstaff, 2010)", "plainTextFormattedCitation" : "(Longstaff, 2010)", "previouslyFormattedCitation" : "(Longstaff, 2010)"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(Longstaff, 2010)</w:t>
      </w:r>
      <w:r w:rsidRPr="00DA6A7D">
        <w:rPr>
          <w:rFonts w:ascii="Times New Roman" w:hAnsi="Times New Roman" w:cs="Times New Roman"/>
          <w:lang w:val="en-US"/>
        </w:rPr>
        <w:fldChar w:fldCharType="end"/>
      </w:r>
      <w:r w:rsidRPr="00DA6A7D">
        <w:rPr>
          <w:rFonts w:ascii="Times New Roman" w:hAnsi="Times New Roman" w:cs="Times New Roman"/>
          <w:lang w:val="en-US"/>
        </w:rPr>
        <w:t>.</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 xml:space="preserve">In the developing the financial contagion theory the significant part brought the works of K. Liberadzki, M. Mink, J. de Haan, N. Yunus, F. Allen, D. Gale, M. Brunnermeier, D. Pedersen and others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"10.2139/ssrn.2753603", "ISSN" : "1556-5068", "author" : [ { "dropping-particle" : "", "family" : "Jaworski", "given" : "Piotr", "non-dropping-particle" : "", "parse-names" : false, "suffix" : "" } ], "container-title" : "SSRN Electronic Journal", "id" : "ITEM-1", "issue" : "2010", "issued" : { "date-parts" : [ [ "2016" ] ] }, "page" : "1-23", "title" : "Definition and Framework for Contagion and Divergence Effect Modeling", "type" : "article-journal" }, "uris" : [ "http://www.mendeley.com/documents/?uuid=60891aa7-a139-4822-90d1-61f34d00422e" ] }, { "id" : "ITEM-2", "itemData" : { "abstract" : "Using an event study approach, we examine the impact of news about Greece and news about a Greek bailout on bank stock prices in 2010 using data for 48 banks included in the European stress tests. We identify the twenty days with extreme returns on Greek sovereign bonds and categorize the news events during those days into news about Greece and news about the prospects of a Greek bailout. We find that news about Greece does not lead to abnormal returns while news about a bailout does, even for banks without any exposure to Greece or other highly indebted euro countries. This finding suggests that markets consider news about the bailout to be a signal of European governments' willingness in general to use public funds to combat the financial crisis. Sovereign bond prices of Portugal, Ireland, and Spain respond to both news about Greece and news about a Greek bailout.", "author" : [ { "dropping-particle" : "", "family" : "Mink", "given" : "Mark", "non-dropping-particle" : "", "parse-names" : false, "suffix" : "" }, { "dropping-particle" : "", "family" : "Haan", "given" : "Jakob", "non-dropping-particle" : "De", "parse-names" : false, "suffix" : "" } ], "id" : "ITEM-2", "issued" : { "date-parts" : [ [ "2012" ] ] }, "title" : "Contagion during the Greek Sovereign Debt Crisis Contagion during the Greek Sovereign Debt Crisis *", "type" : "article-journal" }, "uris" : [ "http://www.mendeley.com/documents/?uuid=206163f9-3e52-37f8-b0ed-ac60d2a5e15e" ] }, { "id" : "ITEM-3", "itemData" : { "DOI" : "10.1016/j.mulfin.2013.06.003", "abstract" : "a b s t r a c t This study utilizes the recursive cointegration technique to ana-lyze the dynamic interdependence among ten major equity markets throughout North America, Europe, Latin America and Asia. Results indicate that the international equity markets are integrated and that the degree of integration among these markets has increased over time. A scrutiny of the various crisis periods reveals that a major financial crisis had an effect of increasing the level of conver-gence among these markets. Moreover, the recursive cointegration technique is able to pinpoint and capture the approximate timing of a major global crisis. In addition, the study finds that the U. lead the other markets with the U.S. contributing most heavily to the common trend. Overall, the results indicate that profitable opportunities from portfolio diversification are limited across major markets and that these benefits are fur-ther reduced during episodes that are marked by a global financial turmoil.", "author" : [ { "dropping-particle" : "", "family" : "Yunus", "given" : "Nafeesa", "non-dropping-particle" : "", "parse-names" : false, "suffix" : "" } ], "container-title" : "J. of Multi. Fin. Manag", "id" : "ITEM-3", "issued" : { "date-parts" : [ [ "2013" ] ] }, "page" : "327-337", "title" : "Contagion in international financial markets: A recursive cointegration approach", "type" : "article-journal", "volume" : "23" }, "uris" : [ "http://www.mendeley.com/documents/?uuid=3dfd6bb8-1850-3ee6-a71b-3c0a88934916" ] }, { "id" : "ITEM-4", "itemData" : { "DOI" : "10.1086/262109", "ISSN" : "0022-3808", "author" : [ { "dropping-particle" : "", "family" : "Allen", "given" : "Franklin", "non-dropping-particle" : "", "parse-names" : false, "suffix" : "" }, { "dropping-particle" : "", "family" : "Gale", "given" : "Douglas", "non-dropping-particle" : "", "parse-names" : false, "suffix" : "" } ], "container-title" : "Journal of Political Economy", "id" : "ITEM-4", "issue" : "1", "issued" : { "date-parts" : [ [ "2000", "2" ] ] }, "page" : "1-33", "title" : "Financial Contagion", "type" : "article-journal", "volume" : "108" }, "uris" : [ "http://www.mendeley.com/documents/?uuid=084b6940-3062-45cc-9dc8-cde5a673bc75" ] }, { "id" : "ITEM-5", "itemData" : { "DOI" : "10.1111/j.1540-6261.2005.00781.x", "ISSN" : "00221082", "author" : [ { "dropping-particle" : "", "family" : "Brunnermeier", "given" : "MARKUS K.", "non-dropping-particle" : "", "parse-names" : false, "suffix" : "" }, { "dropping-particle" : "", "family" : "Pedersen", "given" : "LASSE HEJE", "non-dropping-particle" : "", "parse-names" : false, "suffix" : "" } ], "container-title" : "The Journal of Finance", "id" : "ITEM-5", "issue" : "4", "issued" : { "date-parts" : [ [ "2005", "8" ] ] }, "page" : "1825-1863", "title" : "Predatory Trading", "type" : "article-journal", "volume" : "60" }, "uris" : [ "http://www.mendeley.com/documents/?uuid=ed049843-6672-4ed5-bcd6-c4b1a7918855" ] } ], "mendeley" : { "formattedCitation" : "(Allen &amp; Gale, 2000; M. K. Brunnermeier &amp; Pedersen, 2005; Jaworski, 2016; Mink &amp; De Haan, 2012; Yunus, 2013)", "plainTextFormattedCitation" : "(Allen &amp; Gale, 2000; M. K. Brunnermeier &amp; Pedersen, 2005; Jaworski, 2016; Mink &amp; De Haan, 2012; Yunus, 2013)", "previouslyFormattedCitation" : "(Allen &amp; Gale, 2000; M. K. Brunnermeier &amp; Pedersen, 2005; Jaworski, 2016; Mink &amp; De Haan, 2012; Yunus, 2013)"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(Allen &amp; Gale, 2000; M. K. Brunnermeier &amp; Pedersen, 2005; Jaworski, 2016; Mink &amp; De Haan, 2012; Yunus, 2013)</w:t>
      </w:r>
      <w:r w:rsidRPr="00DA6A7D">
        <w:rPr>
          <w:rFonts w:ascii="Times New Roman" w:hAnsi="Times New Roman" w:cs="Times New Roman"/>
          <w:lang w:val="en-US"/>
        </w:rPr>
        <w:fldChar w:fldCharType="end"/>
      </w:r>
      <w:r w:rsidRPr="00DA6A7D">
        <w:rPr>
          <w:rFonts w:ascii="Times New Roman" w:hAnsi="Times New Roman" w:cs="Times New Roman"/>
          <w:lang w:val="en-US"/>
        </w:rPr>
        <w:t>.</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lastRenderedPageBreak/>
        <w:t xml:space="preserve">F.A. Longstaff defines </w:t>
      </w:r>
      <w:r w:rsidRPr="00DA6A7D">
        <w:rPr>
          <w:rFonts w:ascii="Times New Roman" w:hAnsi="Times New Roman" w:cs="Times New Roman"/>
          <w:b/>
          <w:lang w:val="en-US"/>
        </w:rPr>
        <w:t>financial contagion</w:t>
      </w:r>
      <w:r w:rsidRPr="00DA6A7D">
        <w:rPr>
          <w:rFonts w:ascii="Times New Roman" w:hAnsi="Times New Roman" w:cs="Times New Roman"/>
          <w:lang w:val="en-US"/>
        </w:rPr>
        <w:t xml:space="preserve"> as an episode in which there is a significant increase in cross-market linkages after a shock occurs in one market. The standard definition in the literature of contagion is “a change in the linkages between markets following a distressed event”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"10.1016/j.jfineco.2010.01.002", "ISSN" : "0304405X", "author" : [ { "dropping-particle" : "", "family" : "Longstaff", "given" : "Francis A.", "non-dropping-particle" : "", "parse-names" : false, "suffix" : "" } ], "container-title" : "Journal of Financial Economics", "id" : "ITEM-1", "issue" : "3", "issued" : { "date-parts" : [ [ "2010", "9" ] ] }, "page" : "436-450", "title" : "The subprime credit crisis and contagion in financial markets", "type" : "article-journal", "volume" : "97" }, "uris" : [ "http://www.mendeley.com/documents/?uuid=0714378f-b26a-47ae-8ab4-fe3b0d911db2" ] } ], "mendeley" : { "formattedCitation" : "(Longstaff, 2010)", "plainTextFormattedCitation" : "(Longstaff, 2010)", "previouslyFormattedCitation" : "(Longstaff, 2010)"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(Longstaff, 2010)</w:t>
      </w:r>
      <w:r w:rsidRPr="00DA6A7D">
        <w:rPr>
          <w:rFonts w:ascii="Times New Roman" w:hAnsi="Times New Roman" w:cs="Times New Roman"/>
          <w:lang w:val="en-US"/>
        </w:rPr>
        <w:fldChar w:fldCharType="end"/>
      </w:r>
      <w:r w:rsidRPr="00DA6A7D">
        <w:rPr>
          <w:rFonts w:ascii="Times New Roman" w:hAnsi="Times New Roman" w:cs="Times New Roman"/>
          <w:lang w:val="en-US"/>
        </w:rPr>
        <w:t>.</w:t>
      </w:r>
    </w:p>
    <w:p w:rsidR="00C752C0" w:rsidRPr="00DA6A7D" w:rsidRDefault="00C752C0" w:rsidP="00C752C0">
      <w:pPr>
        <w:widowControl w:val="0"/>
        <w:autoSpaceDE w:val="0"/>
        <w:autoSpaceDN w:val="0"/>
        <w:adjustRightInd w:val="0"/>
        <w:ind w:left="-284" w:right="-7" w:firstLine="710"/>
        <w:jc w:val="both"/>
        <w:rPr>
          <w:rFonts w:ascii="Times New Roman" w:hAnsi="Times New Roman" w:cs="Times New Roman"/>
          <w:lang w:val="en-US"/>
        </w:rPr>
      </w:pPr>
      <w:r w:rsidRPr="00DA6A7D">
        <w:rPr>
          <w:rFonts w:ascii="Times New Roman" w:hAnsi="Times New Roman" w:cs="Times New Roman"/>
          <w:lang w:val="en-US"/>
        </w:rPr>
        <w:t xml:space="preserve">The contagion in the related literature is generally characterizes by several approaches. For example, in </w:t>
      </w:r>
      <w:r w:rsidRPr="00DA6A7D">
        <w:rPr>
          <w:rFonts w:ascii="Times New Roman" w:hAnsi="Times New Roman" w:cs="Times New Roman"/>
          <w:i/>
          <w:lang w:val="en-US"/>
        </w:rPr>
        <w:t>the behavioral approaches</w:t>
      </w:r>
      <w:r w:rsidRPr="00DA6A7D">
        <w:rPr>
          <w:rFonts w:ascii="Times New Roman" w:hAnsi="Times New Roman" w:cs="Times New Roman"/>
          <w:lang w:val="en-US"/>
        </w:rPr>
        <w:t xml:space="preserve"> the attempt to describe mass behavior as a reaction of a large groups of people to the information flow from one individual to another (the special term is “informational cascades”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"10.1086/261849", "ISSN" : "0022-3808", "author" : [ { "dropping-particle" : "", "family" : "Bikhchandani", "given" : "Sushil", "non-dropping-particle" : "", "parse-names" : false, "suffix" : "" }, { "dropping-particle" : "", "family" : "Hirshleifer", "given" : "David", "non-dropping-particle" : "", "parse-names" : false, "suffix" : "" }, { "dropping-particle" : "", "family" : "Welch", "given" : "Ivo", "non-dropping-particle" : "", "parse-names" : false, "suffix" : "" } ], "container-title" : "Journal of Political Economy", "id" : "ITEM-1", "issue" : "5", "issued" : { "date-parts" : [ [ "1992", "10" ] ] }, "page" : "992-1026", "title" : "A Theory of Fads, Fashion, Custom, and Cultural Change as Informational Cascades", "type" : "article-journal", "volume" : "100" }, "uris" : [ "http://www.mendeley.com/documents/?uuid=0a54941e-e690-47e2-8d40-95085ff46621" ] } ], "mendeley" : { "formattedCitation" : "(Bikhchandani, Hirshleifer, &amp; Welch, 1992)", "plainTextFormattedCitation" : "(Bikhchandani, Hirshleifer, &amp; Welch, 1992)", "previouslyFormattedCitation" : "(Bikhchandani, Hirshleifer, &amp; Welch, 1992)"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(Bikhchandani, Hirshleifer, &amp; Welch, 1992)</w:t>
      </w:r>
      <w:r w:rsidRPr="00DA6A7D">
        <w:rPr>
          <w:rFonts w:ascii="Times New Roman" w:hAnsi="Times New Roman" w:cs="Times New Roman"/>
          <w:lang w:val="en-US"/>
        </w:rPr>
        <w:fldChar w:fldCharType="end"/>
      </w:r>
      <w:r w:rsidRPr="00DA6A7D">
        <w:rPr>
          <w:rFonts w:ascii="Times New Roman" w:hAnsi="Times New Roman" w:cs="Times New Roman"/>
          <w:lang w:val="en-US"/>
        </w:rPr>
        <w:t>. Another way of the behavioral theory intersection with the contagion theory is the so-called “follow-the-leader” strategy which claims that the signals that the first few decision-makers accept, are possible to change market situation dramatically (the “excess volatility” term is usually used when describing that phenomen</w:t>
      </w:r>
      <w:r w:rsidRPr="00DA6A7D">
        <w:rPr>
          <w:rFonts w:ascii="Times New Roman" w:hAnsi="Times New Roman" w:cs="Times New Roman"/>
        </w:rPr>
        <w:t>а</w:t>
      </w:r>
      <w:r w:rsidRPr="00DA6A7D">
        <w:rPr>
          <w:rFonts w:ascii="Times New Roman" w:hAnsi="Times New Roman" w:cs="Times New Roman"/>
          <w:lang w:val="en-US"/>
        </w:rPr>
        <w:t xml:space="preserve">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"abstract" : "This paper argues that globalization may promote contagion by weakening incentives for gathering costly information and by strengthening incentives for imitating arbitrary market portfolios. In the presence of short-selling constraints, the gain of gathering information at a fixed cost may diminish as markets grow. Moreover, if a portfolio manager's marginal cost for yielding below-market returns exceeds the marginal gain for above-market returns, there is a range of optimal portfolios in which all investors imitate arbitrary market portfolios and this range widens as the market grows. Numerical simulations suggest that these frictions can have significant implications for capital flows in emerging markets.", "author" : [ { "dropping-particle" : "V", "family" : "Chari", "given" : "V", "non-dropping-particle" : "", "parse-names" : false, "suffix" : "" }, { "dropping-particle" : "", "family" : "Bowman", "given" : "David", "non-dropping-particle" : "", "parse-names" : false, "suffix" : "" }, { "dropping-particle" : "", "family" : "Dornbusch", "given" : "Rudi", "non-dropping-particle" : "", "parse-names" : false, "suffix" : "" }, { "dropping-particle" : "", "family" : "Edwards", "given" : "Sebastian", "non-dropping-particle" : "", "parse-names" : false, "suffix" : "" }, { "dropping-particle" : "", "family" : "Howard", "given" : "David", "non-dropping-particle" : "", "parse-names" : false, "suffix" : "" }, { "dropping-particle" : "", "family" : "Keohane", "given" : "Bob", "non-dropping-particle" : "", "parse-names" : false, "suffix" : "" }, { "dropping-particle" : "", "family" : "Lange", "given" : "Peter", "non-dropping-particle" : "", "parse-names" : false, "suffix" : "" }, { "dropping-particle" : "", "family" : "Montiel", "given" : "Peter", "non-dropping-particle" : "", "parse-names" : false, "suffix" : "" }, { "dropping-particle" : "", "family" : "Obstfeld", "given" : "Maurice", "non-dropping-particle" : "", "parse-names" : false, "suffix" : "" }, { "dropping-particle" : "", "family" : "Calvo", "given" : "Guillermo A", "non-dropping-particle" : "", "parse-names" : false, "suffix" : "" } ], "id" : "ITEM-1", "issued" : { "date-parts" : [ [ "1999" ] ] }, "title" : "We thank Rational Contagion and the Globalization of Securities Markets *", "type" : "article-journal" }, "uris" : [ "http://www.mendeley.com/documents/?uuid=779d801a-af21-3aa8-b6ae-e5e61cf0fbf4" ] } ], "mendeley" : { "formattedCitation" : "(Chari et al., 1999)", "plainTextFormattedCitation" : "(Chari et al., 1999)", "previouslyFormattedCitation" : "(Chari et al., 1999)"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(Chari et al., 1999)</w:t>
      </w:r>
      <w:r w:rsidRPr="00DA6A7D">
        <w:rPr>
          <w:rFonts w:ascii="Times New Roman" w:hAnsi="Times New Roman" w:cs="Times New Roman"/>
          <w:lang w:val="en-US"/>
        </w:rPr>
        <w:fldChar w:fldCharType="end"/>
      </w:r>
      <w:r w:rsidRPr="00DA6A7D">
        <w:rPr>
          <w:rFonts w:ascii="Times New Roman" w:hAnsi="Times New Roman" w:cs="Times New Roman"/>
          <w:lang w:val="en-US"/>
        </w:rPr>
        <w:t>. The sense of such approach to the contagion helps to understand the information-correlated channel of the financial contagion distribution.</w:t>
      </w:r>
    </w:p>
    <w:p w:rsidR="00C752C0" w:rsidRPr="00DA6A7D" w:rsidRDefault="00C752C0" w:rsidP="00C752C0">
      <w:pPr>
        <w:widowControl w:val="0"/>
        <w:autoSpaceDE w:val="0"/>
        <w:autoSpaceDN w:val="0"/>
        <w:adjustRightInd w:val="0"/>
        <w:ind w:left="-284" w:right="-7" w:firstLine="710"/>
        <w:jc w:val="both"/>
        <w:rPr>
          <w:rFonts w:ascii="Times New Roman" w:hAnsi="Times New Roman" w:cs="Times New Roman"/>
          <w:lang w:val="en-US"/>
        </w:rPr>
      </w:pPr>
      <w:r w:rsidRPr="00DA6A7D">
        <w:rPr>
          <w:rFonts w:ascii="Times New Roman" w:hAnsi="Times New Roman" w:cs="Times New Roman"/>
          <w:lang w:val="en-US"/>
        </w:rPr>
        <w:t xml:space="preserve">The approach of  the other group of authors is based on </w:t>
      </w:r>
      <w:r w:rsidRPr="00DA6A7D">
        <w:rPr>
          <w:rFonts w:ascii="Times New Roman" w:hAnsi="Times New Roman" w:cs="Times New Roman"/>
          <w:i/>
          <w:lang w:val="en-US"/>
        </w:rPr>
        <w:t>the macroeconomic regularities</w:t>
      </w:r>
      <w:r w:rsidRPr="00DA6A7D">
        <w:rPr>
          <w:rFonts w:ascii="Times New Roman" w:hAnsi="Times New Roman" w:cs="Times New Roman"/>
          <w:lang w:val="en-US"/>
        </w:rPr>
        <w:t xml:space="preserve"> in the case of prices devaluation (this is also called “voluntary contagion”, because the devaluation is the government voluntary measure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"author" : [ { "dropping-particle" : "", "family" : "Nurkse", "given" : "Ragnar", "non-dropping-particle" : "", "parse-names" : false, "suffix" : "" } ], "id" : "ITEM-1", "issued" : { "date-parts" : [ [ "1944" ] ] }, "publisher" : "League of Nations", "publisher-place" : "[Geneva]", "title" : "International currency experience  lessons of the interwar period.", "type" : "book" }, "uris" : [ "http://www.mendeley.com/documents/?uuid=f8bab3a8-fd88-35cb-ac8b-c642a2962255" ] }, { "id" : "ITEM-2", "itemData" : { "DOI" : "10.1016/0176-2680(94)00055-O", "ISSN" : "01762680", "author" : [ { "dropping-particle" : "", "family" : "Gerlach", "given" : "Stefan", "non-dropping-particle" : "", "parse-names" : false, "suffix" : "" }, { "dropping-particle" : "", "family" : "Smets", "given" : "Frank", "non-dropping-particle" : "", "parse-names" : false, "suffix" : "" } ], "container-title" : "European Journal of Political Economy", "id" : "ITEM-2", "issue" : "1", "issued" : { "date-parts" : [ [ "1995", "3" ] ] }, "page" : "45-63", "title" : "Contagious speculative attacks", "type" : "article-journal", "volume" : "11" }, "uris" : [ "http://www.mendeley.com/documents/?uuid=2adbac7c-f075-40ae-ac13-5536fb317597" ] }, { "id" : "ITEM-3", "itemData" : { "DOI" : "10.3386/w10061", "author" : [ { "dropping-particle" : "", "family" : "Kaminsky", "given" : "Graciela", "non-dropping-particle" : "", "parse-names" : false, "suffix" : "" }, { "dropping-particle" : "", "family" : "Reinhart", "given" : "Carmen", "non-dropping-particle" : "", "parse-names" : false, "suffix" : "" }, { "dropping-particle" : "", "family" : "Vegh", "given" : "Carlos", "non-dropping-particle" : "", "parse-names" : false, "suffix" : "" } ], "id" : "ITEM-3", "issued" : { "date-parts" : [ [ "2003", "11" ] ] }, "publisher-place" : "Cambridge, MA", "title" : "The Unholy Trinity of Financial Contagion", "type" : "report" }, "uris" : [ "http://www.mendeley.com/documents/?uuid=5f21eeee-d525-473a-a0e6-f850f96946cf" ] }, { "id" : "ITEM-4", "itemData" : { "DOI" : "10.3386/w7734", "author" : [ { "dropping-particle" : "", "family" : "Lahiri", "given" : "Amartya", "non-dropping-particle" : "", "parse-names" : false, "suffix" : "" }, { "dropping-particle" : "", "family" : "Vegh", "given" : "Carlos", "non-dropping-particle" : "", "parse-names" : false, "suffix" : "" } ], "id" : "ITEM-4", "issued" : { "date-parts" : [ [ "2000", "6" ] ] }, "publisher-place" : "Cambridge, MA", "title" : "Delaying the Inevitable: Optimal Interest Rate Policy and BOP Crises", "type" : "report" }, "uris" : [ "http://www.mendeley.com/documents/?uuid=98e11f84-1e2a-42bf-88ac-89fb80f88146" ] } ], "mendeley" : { "formattedCitation" : "(Gerlach &amp; Smets, 1995; Kaminsky et al., 2003; Lahiri &amp; Vegh, 2000; Nurkse, 1944)", "plainTextFormattedCitation" : "(Gerlach &amp; Smets, 1995; Kaminsky et al., 2003; Lahiri &amp; Vegh, 2000; Nurkse, 1944)", "previouslyFormattedCitation" : "(Gerlach &amp; Smets, 1995; Kaminsky et al., 2003; Lahiri &amp; Vegh, 2000; Nurkse, 1944)"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(Gerlach &amp; Smets, 1995; Kaminsky et al., 2003; Lahiri &amp; Vegh, 2000; Nurkse, 1944)</w:t>
      </w:r>
      <w:r w:rsidRPr="00DA6A7D">
        <w:rPr>
          <w:rFonts w:ascii="Times New Roman" w:hAnsi="Times New Roman" w:cs="Times New Roman"/>
          <w:lang w:val="en-US"/>
        </w:rPr>
        <w:fldChar w:fldCharType="end"/>
      </w:r>
      <w:r w:rsidRPr="00DA6A7D">
        <w:rPr>
          <w:rFonts w:ascii="Times New Roman" w:hAnsi="Times New Roman" w:cs="Times New Roman"/>
          <w:lang w:val="en-US"/>
        </w:rPr>
        <w:t>.</w:t>
      </w:r>
    </w:p>
    <w:p w:rsidR="00C752C0" w:rsidRPr="00DA6A7D" w:rsidRDefault="00C752C0" w:rsidP="00C752C0">
      <w:pPr>
        <w:widowControl w:val="0"/>
        <w:autoSpaceDE w:val="0"/>
        <w:autoSpaceDN w:val="0"/>
        <w:adjustRightInd w:val="0"/>
        <w:ind w:left="-284" w:right="-7" w:firstLine="710"/>
        <w:jc w:val="both"/>
        <w:rPr>
          <w:rFonts w:ascii="Times New Roman" w:hAnsi="Times New Roman" w:cs="Times New Roman"/>
          <w:lang w:val="en-US"/>
        </w:rPr>
      </w:pPr>
      <w:r w:rsidRPr="00DA6A7D">
        <w:rPr>
          <w:rFonts w:ascii="Times New Roman" w:hAnsi="Times New Roman" w:cs="Times New Roman"/>
          <w:lang w:val="en-US"/>
        </w:rPr>
        <w:t xml:space="preserve">Last, but not least, </w:t>
      </w:r>
      <w:r w:rsidRPr="00DA6A7D">
        <w:rPr>
          <w:rFonts w:ascii="Times New Roman" w:hAnsi="Times New Roman" w:cs="Times New Roman"/>
          <w:i/>
          <w:lang w:val="en-US"/>
        </w:rPr>
        <w:t>the financial approach</w:t>
      </w:r>
      <w:r w:rsidRPr="00DA6A7D">
        <w:rPr>
          <w:rFonts w:ascii="Times New Roman" w:hAnsi="Times New Roman" w:cs="Times New Roman"/>
          <w:lang w:val="en-US"/>
        </w:rPr>
        <w:t xml:space="preserve"> consists of the arbitrage theory and the liquidity effect studying, that was presented in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"author" : [ { "dropping-particle" : "", "family" : "Shleifer", "given" : "Andrei", "non-dropping-particle" : "", "parse-names" : false, "suffix" : "" }, { "dropping-particle" : "", "family" : "Vishny", "given" : "Robert W", "non-dropping-particle" : "", "parse-names" : false, "suffix" : "" } ], "container-title" : "The Journal of Finance", "id" : "ITEM-1", "issue" : "1", "issued" : { "date-parts" : [ [ "1997" ] ] }, "page" : "35-55", "title" : "The Limits of Arbitrage", "type" : "article-journal", "volume" : "52" }, "uris" : [ "http://www.mendeley.com/documents/?uuid=5bb7ab8e-b738-32c7-95bb-216c3c0420af" ] }, { "id" : "ITEM-2", "itemData" : { "abstract" : "This paper argues that globalization may promote contagion by weakening incentives for gathering costly information and by strengthening incentives for imitating arbitrary market portfolios. In the presence of short-selling constraints, the gain of gathering information at a fixed cost may diminish as markets grow. Moreover, if a portfolio manager's marginal cost for yielding below-market returns exceeds the marginal gain for above-market returns, there is a range of optimal portfolios in which all investors imitate arbitrary market portfolios and this range widens as the market grows. Numerical simulations suggest that these frictions can have significant implications for capital flows in emerging markets.", "author" : [ { "dropping-particle" : "V", "family" : "Chari", "given" : "V", "non-dropping-particle" : "", "parse-names" : false, "suffix" : "" }, { "dropping-particle" : "", "family" : "Bowman", "given" : "David", "non-dropping-particle" : "", "parse-names" : false, "suffix" : "" }, { "dropping-particle" : "", "family" : "Dornbusch", "given" : "Rudi", "non-dropping-particle" : "", "parse-names" : false, "suffix" : "" }, { "dropping-particle" : "", "family" : "Edwards", "given" : "Sebastian", "non-dropping-particle" : "", "parse-names" : false, "suffix" : "" }, { "dropping-particle" : "", "family" : "Howard", "given" : "David", "non-dropping-particle" : "", "parse-names" : false, "suffix" : "" }, { "dropping-particle" : "", "family" : "Keohane", "given" : "Bob", "non-dropping-particle" : "", "parse-names" : false, "suffix" : "" }, { "dropping-particle" : "", "family" : "Lange", "given" : "Peter", "non-dropping-particle" : "", "parse-names" : false, "suffix" : "" }, { "dropping-particle" : "", "family" : "Montiel", "given" : "Peter", "non-dropping-particle" : "", "parse-names" : false, "suffix" : "" }, { "dropping-particle" : "", "family" : "Obstfeld", "given" : "Maurice", "non-dropping-particle" : "", "parse-names" : false, "suffix" : "" }, { "dropping-particle" : "", "family" : "Calvo", "given" : "Guillermo A", "non-dropping-particle" : "", "parse-names" : false, "suffix" : "" } ], "id" : "ITEM-2", "issued" : { "date-parts" : [ [ "1999" ] ] }, "title" : "We thank Rational Contagion and the Globalization of Securities Markets *", "type" : "article-journal" }, "uris" : [ "http://www.mendeley.com/documents/?uuid=779d801a-af21-3aa8-b6ae-e5e61cf0fbf4" ] } ], "mendeley" : { "formattedCitation" : "(Chari et al., 1999; Shleifer &amp; Vishny, 1997)", "plainTextFormattedCitation" : "(Chari et al., 1999; Shleifer &amp; Vishny, 1997)", "previouslyFormattedCitation" : "(Chari et al., 1999; Shleifer &amp; Vishny, 1997)"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(Chari et al., 1999; Shleifer &amp; Vishny, 1997)</w:t>
      </w:r>
      <w:r w:rsidRPr="00DA6A7D">
        <w:rPr>
          <w:rFonts w:ascii="Times New Roman" w:hAnsi="Times New Roman" w:cs="Times New Roman"/>
          <w:lang w:val="en-US"/>
        </w:rPr>
        <w:fldChar w:fldCharType="end"/>
      </w:r>
      <w:r w:rsidRPr="00DA6A7D">
        <w:rPr>
          <w:rFonts w:ascii="Times New Roman" w:hAnsi="Times New Roman" w:cs="Times New Roman"/>
          <w:lang w:val="en-US"/>
        </w:rPr>
        <w:t>. And the financial contagion is a profound perspective to assess and analyze market risk, that is considered in this paper.</w:t>
      </w:r>
    </w:p>
    <w:p w:rsidR="00C752C0" w:rsidRPr="00DA6A7D" w:rsidRDefault="00C752C0" w:rsidP="00C752C0">
      <w:pPr>
        <w:widowControl w:val="0"/>
        <w:autoSpaceDE w:val="0"/>
        <w:autoSpaceDN w:val="0"/>
        <w:adjustRightInd w:val="0"/>
        <w:ind w:left="-284" w:right="-7" w:firstLine="710"/>
        <w:jc w:val="both"/>
        <w:rPr>
          <w:rFonts w:ascii="Times New Roman" w:hAnsi="Times New Roman" w:cs="Times New Roman"/>
          <w:lang w:val="en-US"/>
        </w:rPr>
      </w:pPr>
      <w:r w:rsidRPr="00DA6A7D">
        <w:rPr>
          <w:rFonts w:ascii="Times New Roman" w:hAnsi="Times New Roman" w:cs="Times New Roman"/>
          <w:lang w:val="en-US"/>
        </w:rPr>
        <w:t xml:space="preserve">The literature review also indicated that in the countries considered in the research the following economic crises took place. 1992 Exchange Rate Mechanism Crisis in Finland occurs when on September, 8 the Finnish markka was floated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"10.3386/w10061", "author" : [ { "dropping-particle" : "", "family" : "Kaminsky", "given" : "Graciela", "non-dropping-particle" : "", "parse-names" : false, "suffix" : "" }, { "dropping-particle" : "", "family" : "Reinhart", "given" : "Carmen", "non-dropping-particle" : "", "parse-names" : false, "suffix" : "" }, { "dropping-particle" : "", "family" : "Vegh", "given" : "Carlos", "non-dropping-particle" : "", "parse-names" : false, "suffix" : "" } ], "id" : "ITEM-1", "issued" : { "date-parts" : [ [ "2003", "11" ] ] }, "publisher-place" : "Cambridge, MA", "title" : "The Unholy Trinity of Financial Contagion", "type" : "report" }, "uris" : [ "http://www.mendeley.com/documents/?uuid=5f21eeee-d525-473a-a0e6-f850f96946cf" ] } ], "mendeley" : { "formattedCitation" : "(Kaminsky et al., 2003)", "plainTextFormattedCitation" : "(Kaminsky et al., 2003)", "previouslyFormattedCitation" : "(Kaminsky et al., 2003)"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(Kaminsky et al., 2003)</w:t>
      </w:r>
      <w:r w:rsidRPr="00DA6A7D">
        <w:rPr>
          <w:rFonts w:ascii="Times New Roman" w:hAnsi="Times New Roman" w:cs="Times New Roman"/>
          <w:lang w:val="en-US"/>
        </w:rPr>
        <w:fldChar w:fldCharType="end"/>
      </w:r>
      <w:r w:rsidRPr="00DA6A7D">
        <w:rPr>
          <w:rFonts w:ascii="Times New Roman" w:hAnsi="Times New Roman" w:cs="Times New Roman"/>
          <w:lang w:val="en-US"/>
        </w:rPr>
        <w:t>. The situation was worse due to the Soviet Union trade links losses in 1991, which were significant part for the international trade balance of Finland. The real devaluation in 1993 and its depreciation during 2 month by 70%. Russian debt crisis in 1998 affected Brazilian economy seriously. As for Canada, as the developed market, it is supposed to have less effects from crises compared to the emerging markets. But, crisis 2007-2008 in US affected Canada as many other developed and emerging markets. So, it may be interesting to examine whether the crises in developed markets are less extensive than in emerging markets and whether developed markets become affected by crises as often, as developed.</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 xml:space="preserve">The </w:t>
      </w:r>
      <w:r w:rsidRPr="00DA6A7D">
        <w:rPr>
          <w:rFonts w:ascii="Times New Roman" w:hAnsi="Times New Roman" w:cs="Times New Roman"/>
          <w:b/>
          <w:lang w:val="en-US"/>
        </w:rPr>
        <w:t xml:space="preserve">hypotheses </w:t>
      </w:r>
      <w:r>
        <w:rPr>
          <w:rFonts w:ascii="Times New Roman" w:hAnsi="Times New Roman" w:cs="Times New Roman"/>
          <w:lang w:val="en-US"/>
        </w:rPr>
        <w:t>tested in this</w:t>
      </w:r>
      <w:r w:rsidRPr="00DA6A7D">
        <w:rPr>
          <w:rFonts w:ascii="Times New Roman" w:hAnsi="Times New Roman" w:cs="Times New Roman"/>
          <w:lang w:val="en-US"/>
        </w:rPr>
        <w:t xml:space="preserve"> research</w:t>
      </w:r>
      <w:r w:rsidRPr="00DA6A7D">
        <w:rPr>
          <w:rFonts w:ascii="Times New Roman" w:hAnsi="Times New Roman" w:cs="Times New Roman"/>
          <w:b/>
          <w:lang w:val="en-US"/>
        </w:rPr>
        <w:t xml:space="preserve"> </w:t>
      </w:r>
      <w:r w:rsidRPr="00DA6A7D">
        <w:rPr>
          <w:rFonts w:ascii="Times New Roman" w:hAnsi="Times New Roman" w:cs="Times New Roman"/>
          <w:lang w:val="en-US"/>
        </w:rPr>
        <w:t>are:</w:t>
      </w:r>
    </w:p>
    <w:p w:rsidR="00C752C0" w:rsidRPr="00DA6A7D" w:rsidRDefault="00C752C0" w:rsidP="00C752C0">
      <w:pPr>
        <w:ind w:left="-284" w:right="-7" w:firstLine="680"/>
        <w:jc w:val="both"/>
        <w:rPr>
          <w:rFonts w:ascii="Times New Roman" w:hAnsi="Times New Roman" w:cs="Times New Roman"/>
          <w:lang w:val="en-US"/>
        </w:rPr>
      </w:pP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i/>
          <w:lang w:val="en-US"/>
        </w:rPr>
        <w:t>H</w:t>
      </w:r>
      <w:r w:rsidRPr="00DA6A7D">
        <w:rPr>
          <w:rFonts w:ascii="Times New Roman" w:hAnsi="Times New Roman" w:cs="Times New Roman"/>
          <w:i/>
          <w:vertAlign w:val="subscript"/>
          <w:lang w:val="en-US"/>
        </w:rPr>
        <w:t>1</w:t>
      </w:r>
      <w:r w:rsidRPr="00DA6A7D">
        <w:rPr>
          <w:rFonts w:ascii="Times New Roman" w:hAnsi="Times New Roman" w:cs="Times New Roman"/>
          <w:i/>
          <w:lang w:val="en-US"/>
        </w:rPr>
        <w:t>:</w:t>
      </w:r>
      <w:r w:rsidRPr="00DA6A7D">
        <w:rPr>
          <w:rFonts w:ascii="Times New Roman" w:hAnsi="Times New Roman" w:cs="Times New Roman"/>
          <w:lang w:val="en-US"/>
        </w:rPr>
        <w:t xml:space="preserve"> the financial contagion indicator can help to identify possible factors of financial contagion.</w:t>
      </w:r>
    </w:p>
    <w:p w:rsidR="00C752C0" w:rsidRPr="00DA6A7D" w:rsidRDefault="00C752C0" w:rsidP="00C752C0">
      <w:pPr>
        <w:ind w:left="-284" w:right="-7" w:firstLine="680"/>
        <w:jc w:val="both"/>
        <w:rPr>
          <w:rFonts w:ascii="Times New Roman" w:hAnsi="Times New Roman" w:cs="Times New Roman"/>
          <w:lang w:val="en-US"/>
        </w:rPr>
      </w:pP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i/>
          <w:lang w:val="en-US"/>
        </w:rPr>
        <w:t>H</w:t>
      </w:r>
      <w:r w:rsidRPr="00DA6A7D">
        <w:rPr>
          <w:rFonts w:ascii="Times New Roman" w:hAnsi="Times New Roman" w:cs="Times New Roman"/>
          <w:i/>
          <w:vertAlign w:val="subscript"/>
          <w:lang w:val="en-US"/>
        </w:rPr>
        <w:t>2</w:t>
      </w:r>
      <w:r w:rsidRPr="00DA6A7D">
        <w:rPr>
          <w:rFonts w:ascii="Times New Roman" w:hAnsi="Times New Roman" w:cs="Times New Roman"/>
          <w:i/>
          <w:lang w:val="en-US"/>
        </w:rPr>
        <w:t>:</w:t>
      </w:r>
      <w:r w:rsidRPr="00DA6A7D">
        <w:rPr>
          <w:rFonts w:ascii="Times New Roman" w:hAnsi="Times New Roman" w:cs="Times New Roman"/>
          <w:lang w:val="en-US"/>
        </w:rPr>
        <w:t xml:space="preserve"> the financial contagion identified in the research and the crises are correlated positively.</w:t>
      </w:r>
    </w:p>
    <w:p w:rsidR="00C752C0" w:rsidRDefault="00C752C0" w:rsidP="00C752C0">
      <w:pPr>
        <w:ind w:left="-284" w:right="-7" w:firstLine="680"/>
        <w:jc w:val="both"/>
        <w:rPr>
          <w:rFonts w:ascii="Times New Roman" w:hAnsi="Times New Roman" w:cs="Times New Roman"/>
          <w:lang w:val="en-US"/>
        </w:rPr>
      </w:pPr>
    </w:p>
    <w:p w:rsidR="00C752C0"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The idea lies behind this hypothesis is that the financial contagion factors can help also to detect the probable crisis forthcoming. The fact of the financial contagion presence on the market doesn’t mean the crisis existence on that market, but it is the aim of this study to answer the question if the interconnection between them can be identified.</w:t>
      </w:r>
    </w:p>
    <w:p w:rsidR="00C752C0" w:rsidRPr="00DA6A7D" w:rsidRDefault="00C752C0" w:rsidP="00C752C0">
      <w:pPr>
        <w:ind w:left="-284" w:right="-7" w:firstLine="680"/>
        <w:jc w:val="both"/>
        <w:rPr>
          <w:rFonts w:ascii="Times New Roman" w:hAnsi="Times New Roman" w:cs="Times New Roman"/>
          <w:lang w:val="en-US"/>
        </w:rPr>
      </w:pPr>
    </w:p>
    <w:p w:rsidR="00C752C0" w:rsidRPr="00DA6A7D" w:rsidRDefault="00C752C0" w:rsidP="00C752C0">
      <w:pPr>
        <w:pStyle w:val="af1"/>
        <w:spacing w:line="240" w:lineRule="auto"/>
        <w:ind w:right="-7" w:firstLine="0"/>
        <w:rPr>
          <w:rFonts w:ascii="Times New Roman" w:hAnsi="Times New Roman" w:cs="Times New Roman"/>
        </w:rPr>
      </w:pPr>
      <w:bookmarkStart w:id="6" w:name="_Toc453016110"/>
      <w:r w:rsidRPr="00DA6A7D">
        <w:rPr>
          <w:rFonts w:ascii="Times New Roman" w:hAnsi="Times New Roman" w:cs="Times New Roman"/>
        </w:rPr>
        <w:t>Data</w:t>
      </w:r>
      <w:bookmarkEnd w:id="6"/>
    </w:p>
    <w:p w:rsidR="00C752C0" w:rsidRPr="00DA6A7D" w:rsidRDefault="00C752C0" w:rsidP="00C752C0">
      <w:pPr>
        <w:pStyle w:val="af1"/>
        <w:spacing w:line="240" w:lineRule="auto"/>
        <w:ind w:right="-7"/>
        <w:rPr>
          <w:rFonts w:ascii="Times New Roman" w:hAnsi="Times New Roman" w:cs="Times New Roman"/>
        </w:rPr>
      </w:pP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In the study an attempt to look at the following markets of the world were considered: Brazil, Finland and Canada. The main idea of the study is to examine the trends in the stock markets.</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lastRenderedPageBreak/>
        <w:t xml:space="preserve">The period of time was by default set as 1990-2015, but data for some was not available. The asset returns were used as independent variables. The companies, those shares were considered in the research are from main stock market indexes (Appendix 1). The dependent variables were divided into three groups according to the three </w:t>
      </w:r>
      <w:r w:rsidRPr="00DA6A7D">
        <w:rPr>
          <w:rFonts w:ascii="Times New Roman" w:hAnsi="Times New Roman" w:cs="Times New Roman"/>
          <w:i/>
          <w:lang w:val="en-US"/>
        </w:rPr>
        <w:t>financial contagion distribution channels</w:t>
      </w:r>
      <w:r w:rsidRPr="00DA6A7D">
        <w:rPr>
          <w:rFonts w:ascii="Times New Roman" w:hAnsi="Times New Roman" w:cs="Times New Roman"/>
          <w:lang w:val="en-US"/>
        </w:rPr>
        <w:t>:</w:t>
      </w:r>
    </w:p>
    <w:p w:rsidR="00C752C0" w:rsidRPr="00DA6A7D" w:rsidRDefault="00C752C0" w:rsidP="0022187D">
      <w:pPr>
        <w:pStyle w:val="aa"/>
        <w:numPr>
          <w:ilvl w:val="0"/>
          <w:numId w:val="2"/>
        </w:numPr>
        <w:ind w:left="-284" w:right="-7"/>
        <w:jc w:val="both"/>
        <w:rPr>
          <w:rFonts w:ascii="Times New Roman" w:hAnsi="Times New Roman" w:cs="Times New Roman"/>
          <w:lang w:val="en-US"/>
        </w:rPr>
      </w:pPr>
      <w:r w:rsidRPr="00DA6A7D">
        <w:rPr>
          <w:rFonts w:ascii="Times New Roman" w:hAnsi="Times New Roman" w:cs="Times New Roman"/>
          <w:i/>
          <w:lang w:val="en-US"/>
        </w:rPr>
        <w:t>the correlated-information channel</w:t>
      </w:r>
      <w:r w:rsidRPr="00DA6A7D">
        <w:rPr>
          <w:rFonts w:ascii="Times New Roman" w:hAnsi="Times New Roman" w:cs="Times New Roman"/>
          <w:lang w:val="en-US"/>
        </w:rPr>
        <w:t>, which basic characteristics are: it usually takes place during the price information distribution; the price effects take place on the markets immediately after it influence; it can be observed especially when the financial contagion is propagated from less liquid market to more liquid one;</w:t>
      </w:r>
    </w:p>
    <w:p w:rsidR="00C752C0" w:rsidRPr="00DA6A7D" w:rsidRDefault="00C752C0" w:rsidP="0022187D">
      <w:pPr>
        <w:pStyle w:val="aa"/>
        <w:numPr>
          <w:ilvl w:val="0"/>
          <w:numId w:val="2"/>
        </w:numPr>
        <w:ind w:left="-284" w:right="-7"/>
        <w:jc w:val="both"/>
        <w:rPr>
          <w:rFonts w:ascii="Times New Roman" w:hAnsi="Times New Roman" w:cs="Times New Roman"/>
          <w:lang w:val="en-US"/>
        </w:rPr>
      </w:pPr>
      <w:r w:rsidRPr="00DA6A7D">
        <w:rPr>
          <w:rFonts w:ascii="Times New Roman" w:hAnsi="Times New Roman" w:cs="Times New Roman"/>
          <w:i/>
          <w:lang w:val="en-US"/>
        </w:rPr>
        <w:t xml:space="preserve">the liquidity channel, </w:t>
      </w:r>
      <w:r w:rsidRPr="00DA6A7D">
        <w:rPr>
          <w:rFonts w:ascii="Times New Roman" w:hAnsi="Times New Roman" w:cs="Times New Roman"/>
          <w:lang w:val="en-US"/>
        </w:rPr>
        <w:t>which is typically characterized by the situation when the shock on the financial market is followed by the liquidity decline on all markets; the liquidity reduction influence on the investors strategies and asset prices; crisis on one market can lead to the volume of trades growth on other markets;</w:t>
      </w:r>
    </w:p>
    <w:p w:rsidR="00C752C0" w:rsidRPr="00DA6A7D" w:rsidRDefault="00C752C0" w:rsidP="0022187D">
      <w:pPr>
        <w:pStyle w:val="aa"/>
        <w:numPr>
          <w:ilvl w:val="0"/>
          <w:numId w:val="2"/>
        </w:numPr>
        <w:ind w:left="-284" w:right="-7"/>
        <w:jc w:val="both"/>
        <w:rPr>
          <w:rFonts w:ascii="Times New Roman" w:hAnsi="Times New Roman" w:cs="Times New Roman"/>
          <w:lang w:val="en-US"/>
        </w:rPr>
      </w:pPr>
      <w:r w:rsidRPr="00DA6A7D">
        <w:rPr>
          <w:rFonts w:ascii="Times New Roman" w:hAnsi="Times New Roman" w:cs="Times New Roman"/>
          <w:i/>
          <w:lang w:val="en-US"/>
        </w:rPr>
        <w:t xml:space="preserve">the risk-premium channel: </w:t>
      </w:r>
      <w:r w:rsidRPr="00DA6A7D">
        <w:rPr>
          <w:rFonts w:ascii="Times New Roman" w:hAnsi="Times New Roman" w:cs="Times New Roman"/>
          <w:lang w:val="en-US"/>
        </w:rPr>
        <w:t>financial market shock leads to investors risk acceptance, prices and risk premium adjustments on all markets; shock in one asset return can become the other assets following returns indicator.</w:t>
      </w:r>
    </w:p>
    <w:p w:rsidR="00C752C0" w:rsidRPr="00DA6A7D" w:rsidRDefault="00C752C0" w:rsidP="00C752C0">
      <w:pPr>
        <w:ind w:left="-284" w:right="-7" w:firstLine="709"/>
        <w:jc w:val="both"/>
        <w:rPr>
          <w:rFonts w:ascii="Times New Roman" w:hAnsi="Times New Roman" w:cs="Times New Roman"/>
          <w:lang w:val="en-US"/>
        </w:rPr>
      </w:pPr>
      <w:r w:rsidRPr="00DA6A7D">
        <w:rPr>
          <w:rFonts w:ascii="Times New Roman" w:hAnsi="Times New Roman" w:cs="Times New Roman"/>
          <w:lang w:val="en-US"/>
        </w:rPr>
        <w:t>The general list of the dependent variables for these three channels tests is presented in Table 1. It is necessary to add that for each markets these dependent variables were selected on the base of it specific features (main industries, historical economic background, the place in the international specialization of the country).</w:t>
      </w:r>
    </w:p>
    <w:p w:rsidR="00C752C0" w:rsidRPr="00DA6A7D" w:rsidRDefault="00C752C0" w:rsidP="00C752C0">
      <w:pPr>
        <w:ind w:left="-284" w:right="-7" w:firstLine="709"/>
        <w:jc w:val="both"/>
        <w:rPr>
          <w:rFonts w:ascii="Times New Roman" w:hAnsi="Times New Roman" w:cs="Times New Roman"/>
          <w:b/>
          <w:lang w:val="en-US"/>
        </w:rPr>
      </w:pPr>
    </w:p>
    <w:p w:rsidR="00C752C0" w:rsidRPr="00DA6A7D" w:rsidRDefault="00C752C0" w:rsidP="00C752C0">
      <w:pPr>
        <w:ind w:left="-284" w:right="-7"/>
        <w:jc w:val="both"/>
        <w:rPr>
          <w:rFonts w:ascii="Times New Roman" w:hAnsi="Times New Roman" w:cs="Times New Roman"/>
          <w:b/>
          <w:lang w:val="en-US"/>
        </w:rPr>
      </w:pPr>
      <w:r w:rsidRPr="00DA6A7D">
        <w:rPr>
          <w:rFonts w:ascii="Times New Roman" w:hAnsi="Times New Roman" w:cs="Times New Roman"/>
          <w:b/>
          <w:lang w:val="en-US"/>
        </w:rPr>
        <w:t>Table 1</w:t>
      </w:r>
    </w:p>
    <w:p w:rsidR="00C752C0" w:rsidRPr="00DA6A7D" w:rsidRDefault="00C752C0" w:rsidP="00C752C0">
      <w:pPr>
        <w:ind w:left="-284" w:right="-7"/>
        <w:jc w:val="both"/>
        <w:rPr>
          <w:rFonts w:ascii="Times New Roman" w:hAnsi="Times New Roman" w:cs="Times New Roman"/>
          <w:lang w:val="en-US"/>
        </w:rPr>
      </w:pPr>
      <w:r w:rsidRPr="00DA6A7D">
        <w:rPr>
          <w:rFonts w:ascii="Times New Roman" w:hAnsi="Times New Roman" w:cs="Times New Roman"/>
          <w:lang w:val="en-US"/>
        </w:rPr>
        <w:t>The dependent variables for the financial contagion distribution channels tests (VAR model)</w:t>
      </w:r>
    </w:p>
    <w:tbl>
      <w:tblPr>
        <w:tblStyle w:val="ae"/>
        <w:tblW w:w="0" w:type="auto"/>
        <w:tblInd w:w="-284" w:type="dxa"/>
        <w:tblLook w:val="04A0"/>
      </w:tblPr>
      <w:tblGrid>
        <w:gridCol w:w="3398"/>
        <w:gridCol w:w="5812"/>
      </w:tblGrid>
      <w:tr w:rsidR="00C752C0" w:rsidRPr="00DA6A7D" w:rsidTr="00B42A3F">
        <w:tc>
          <w:tcPr>
            <w:tcW w:w="3398" w:type="dxa"/>
            <w:vAlign w:val="bottom"/>
          </w:tcPr>
          <w:p w:rsidR="00C752C0" w:rsidRPr="00DA6A7D" w:rsidRDefault="00C752C0" w:rsidP="00B42A3F">
            <w:pPr>
              <w:jc w:val="center"/>
              <w:rPr>
                <w:rFonts w:ascii="Times New Roman" w:hAnsi="Times New Roman" w:cs="Times New Roman"/>
                <w:b/>
                <w:sz w:val="22"/>
                <w:lang w:val="en-US"/>
              </w:rPr>
            </w:pPr>
            <w:r w:rsidRPr="00DA6A7D">
              <w:rPr>
                <w:rFonts w:ascii="Times New Roman" w:hAnsi="Times New Roman" w:cs="Times New Roman"/>
                <w:b/>
                <w:sz w:val="22"/>
                <w:lang w:val="en-US"/>
              </w:rPr>
              <w:t>The financial contagion distribution channel</w:t>
            </w:r>
          </w:p>
        </w:tc>
        <w:tc>
          <w:tcPr>
            <w:tcW w:w="5812" w:type="dxa"/>
            <w:vAlign w:val="bottom"/>
          </w:tcPr>
          <w:p w:rsidR="00C752C0" w:rsidRPr="00DA6A7D" w:rsidRDefault="00C752C0" w:rsidP="00B42A3F">
            <w:pPr>
              <w:jc w:val="center"/>
              <w:rPr>
                <w:rFonts w:ascii="Times New Roman" w:hAnsi="Times New Roman" w:cs="Times New Roman"/>
                <w:b/>
                <w:sz w:val="22"/>
                <w:lang w:val="en-US"/>
              </w:rPr>
            </w:pPr>
            <w:r w:rsidRPr="00DA6A7D">
              <w:rPr>
                <w:rFonts w:ascii="Times New Roman" w:hAnsi="Times New Roman" w:cs="Times New Roman"/>
                <w:b/>
                <w:sz w:val="22"/>
                <w:lang w:val="en-US"/>
              </w:rPr>
              <w:t>Dependent variables</w:t>
            </w:r>
          </w:p>
        </w:tc>
      </w:tr>
      <w:tr w:rsidR="00C752C0" w:rsidRPr="00DA6A7D" w:rsidTr="00B42A3F">
        <w:tc>
          <w:tcPr>
            <w:tcW w:w="3398" w:type="dxa"/>
          </w:tcPr>
          <w:p w:rsidR="00C752C0" w:rsidRPr="00DA6A7D" w:rsidRDefault="00C752C0" w:rsidP="00B42A3F">
            <w:pPr>
              <w:jc w:val="both"/>
              <w:rPr>
                <w:rFonts w:ascii="Times New Roman" w:hAnsi="Times New Roman" w:cs="Times New Roman"/>
                <w:sz w:val="22"/>
                <w:lang w:val="en-US"/>
              </w:rPr>
            </w:pPr>
            <w:r w:rsidRPr="00DA6A7D">
              <w:rPr>
                <w:rFonts w:ascii="Times New Roman" w:hAnsi="Times New Roman" w:cs="Times New Roman"/>
                <w:sz w:val="22"/>
                <w:lang w:val="en-US"/>
              </w:rPr>
              <w:t>Correlated-information channel</w:t>
            </w:r>
          </w:p>
        </w:tc>
        <w:tc>
          <w:tcPr>
            <w:tcW w:w="5812" w:type="dxa"/>
          </w:tcPr>
          <w:p w:rsidR="00C752C0" w:rsidRPr="00DA6A7D" w:rsidRDefault="00C752C0" w:rsidP="0022187D">
            <w:pPr>
              <w:pStyle w:val="aa"/>
              <w:numPr>
                <w:ilvl w:val="0"/>
                <w:numId w:val="3"/>
              </w:numPr>
              <w:ind w:left="0"/>
              <w:jc w:val="both"/>
              <w:rPr>
                <w:rFonts w:ascii="Times New Roman" w:hAnsi="Times New Roman" w:cs="Times New Roman"/>
                <w:sz w:val="22"/>
                <w:lang w:val="en-US"/>
              </w:rPr>
            </w:pPr>
            <w:r w:rsidRPr="00DA6A7D">
              <w:rPr>
                <w:rFonts w:ascii="Times New Roman" w:hAnsi="Times New Roman" w:cs="Times New Roman"/>
                <w:sz w:val="22"/>
                <w:lang w:val="en-US"/>
              </w:rPr>
              <w:t xml:space="preserve">treasury bond index return; </w:t>
            </w:r>
          </w:p>
          <w:p w:rsidR="00C752C0" w:rsidRPr="00DA6A7D" w:rsidRDefault="00C752C0" w:rsidP="0022187D">
            <w:pPr>
              <w:pStyle w:val="aa"/>
              <w:numPr>
                <w:ilvl w:val="0"/>
                <w:numId w:val="3"/>
              </w:numPr>
              <w:ind w:left="0"/>
              <w:jc w:val="both"/>
              <w:rPr>
                <w:rFonts w:ascii="Times New Roman" w:hAnsi="Times New Roman" w:cs="Times New Roman"/>
                <w:sz w:val="22"/>
                <w:lang w:val="en-US"/>
              </w:rPr>
            </w:pPr>
            <w:r w:rsidRPr="00DA6A7D">
              <w:rPr>
                <w:rFonts w:ascii="Times New Roman" w:hAnsi="Times New Roman" w:cs="Times New Roman"/>
                <w:sz w:val="22"/>
                <w:lang w:val="en-US"/>
              </w:rPr>
              <w:t>corporate bond index return;</w:t>
            </w:r>
          </w:p>
          <w:p w:rsidR="00C752C0" w:rsidRPr="00DA6A7D" w:rsidRDefault="00C752C0" w:rsidP="0022187D">
            <w:pPr>
              <w:pStyle w:val="aa"/>
              <w:numPr>
                <w:ilvl w:val="0"/>
                <w:numId w:val="3"/>
              </w:numPr>
              <w:ind w:left="0"/>
              <w:jc w:val="both"/>
              <w:rPr>
                <w:rFonts w:ascii="Times New Roman" w:hAnsi="Times New Roman" w:cs="Times New Roman"/>
                <w:sz w:val="22"/>
                <w:lang w:val="en-US"/>
              </w:rPr>
            </w:pPr>
            <w:r w:rsidRPr="00DA6A7D">
              <w:rPr>
                <w:rFonts w:ascii="Times New Roman" w:hAnsi="Times New Roman" w:cs="Times New Roman"/>
                <w:sz w:val="22"/>
                <w:lang w:val="en-US"/>
              </w:rPr>
              <w:t>major (determined by the market) industries index return;</w:t>
            </w:r>
          </w:p>
          <w:p w:rsidR="00C752C0" w:rsidRPr="00DA6A7D" w:rsidRDefault="00C752C0" w:rsidP="0022187D">
            <w:pPr>
              <w:pStyle w:val="aa"/>
              <w:numPr>
                <w:ilvl w:val="0"/>
                <w:numId w:val="3"/>
              </w:numPr>
              <w:ind w:left="0"/>
              <w:jc w:val="both"/>
              <w:rPr>
                <w:rFonts w:ascii="Times New Roman" w:hAnsi="Times New Roman" w:cs="Times New Roman"/>
                <w:sz w:val="22"/>
                <w:lang w:val="en-US"/>
              </w:rPr>
            </w:pPr>
            <w:r w:rsidRPr="00DA6A7D">
              <w:rPr>
                <w:rFonts w:ascii="Times New Roman" w:hAnsi="Times New Roman" w:cs="Times New Roman"/>
                <w:sz w:val="22"/>
                <w:lang w:val="en-US"/>
              </w:rPr>
              <w:t xml:space="preserve">major (determined by the market) resources futures prices return </w:t>
            </w:r>
          </w:p>
        </w:tc>
      </w:tr>
      <w:tr w:rsidR="00C752C0" w:rsidRPr="00DA6A7D" w:rsidTr="00B42A3F">
        <w:tc>
          <w:tcPr>
            <w:tcW w:w="3398" w:type="dxa"/>
          </w:tcPr>
          <w:p w:rsidR="00C752C0" w:rsidRPr="00DA6A7D" w:rsidRDefault="00C752C0" w:rsidP="00B42A3F">
            <w:pPr>
              <w:jc w:val="both"/>
              <w:rPr>
                <w:rFonts w:ascii="Times New Roman" w:hAnsi="Times New Roman" w:cs="Times New Roman"/>
                <w:sz w:val="22"/>
                <w:lang w:val="en-US"/>
              </w:rPr>
            </w:pPr>
            <w:r w:rsidRPr="00DA6A7D">
              <w:rPr>
                <w:rFonts w:ascii="Times New Roman" w:hAnsi="Times New Roman" w:cs="Times New Roman"/>
                <w:sz w:val="22"/>
                <w:lang w:val="en-US"/>
              </w:rPr>
              <w:t>Liquidity channel</w:t>
            </w:r>
          </w:p>
        </w:tc>
        <w:tc>
          <w:tcPr>
            <w:tcW w:w="5812" w:type="dxa"/>
          </w:tcPr>
          <w:p w:rsidR="00C752C0" w:rsidRPr="00DA6A7D" w:rsidRDefault="00C752C0" w:rsidP="0022187D">
            <w:pPr>
              <w:pStyle w:val="aa"/>
              <w:numPr>
                <w:ilvl w:val="0"/>
                <w:numId w:val="4"/>
              </w:numPr>
              <w:ind w:left="0"/>
              <w:jc w:val="both"/>
              <w:rPr>
                <w:rFonts w:ascii="Times New Roman" w:hAnsi="Times New Roman" w:cs="Times New Roman"/>
                <w:sz w:val="22"/>
                <w:lang w:val="en-US"/>
              </w:rPr>
            </w:pPr>
            <w:r w:rsidRPr="00DA6A7D">
              <w:rPr>
                <w:rFonts w:ascii="Times New Roman" w:hAnsi="Times New Roman" w:cs="Times New Roman"/>
                <w:sz w:val="22"/>
                <w:lang w:val="en-US"/>
              </w:rPr>
              <w:t>major (determined by the market) resources futures open interest;</w:t>
            </w:r>
          </w:p>
          <w:p w:rsidR="00C752C0" w:rsidRPr="00DA6A7D" w:rsidRDefault="00C752C0" w:rsidP="0022187D">
            <w:pPr>
              <w:pStyle w:val="aa"/>
              <w:numPr>
                <w:ilvl w:val="0"/>
                <w:numId w:val="4"/>
              </w:numPr>
              <w:ind w:left="0"/>
              <w:jc w:val="both"/>
              <w:rPr>
                <w:rFonts w:ascii="Times New Roman" w:hAnsi="Times New Roman" w:cs="Times New Roman"/>
                <w:sz w:val="22"/>
                <w:lang w:val="en-US"/>
              </w:rPr>
            </w:pPr>
            <w:r w:rsidRPr="00DA6A7D">
              <w:rPr>
                <w:rFonts w:ascii="Times New Roman" w:hAnsi="Times New Roman" w:cs="Times New Roman"/>
                <w:sz w:val="22"/>
                <w:lang w:val="en-US"/>
              </w:rPr>
              <w:t>major (determined by the market) resources futures volume of trade</w:t>
            </w:r>
          </w:p>
        </w:tc>
      </w:tr>
      <w:tr w:rsidR="00C752C0" w:rsidRPr="00DA6A7D" w:rsidTr="00B42A3F">
        <w:tc>
          <w:tcPr>
            <w:tcW w:w="3398" w:type="dxa"/>
          </w:tcPr>
          <w:p w:rsidR="00C752C0" w:rsidRPr="00DA6A7D" w:rsidRDefault="00C752C0" w:rsidP="00B42A3F">
            <w:pPr>
              <w:jc w:val="both"/>
              <w:rPr>
                <w:rFonts w:ascii="Times New Roman" w:hAnsi="Times New Roman" w:cs="Times New Roman"/>
                <w:sz w:val="22"/>
                <w:lang w:val="en-US"/>
              </w:rPr>
            </w:pPr>
            <w:r w:rsidRPr="00DA6A7D">
              <w:rPr>
                <w:rFonts w:ascii="Times New Roman" w:hAnsi="Times New Roman" w:cs="Times New Roman"/>
                <w:sz w:val="22"/>
                <w:lang w:val="en-US"/>
              </w:rPr>
              <w:t>Risk-premium channel</w:t>
            </w:r>
          </w:p>
        </w:tc>
        <w:tc>
          <w:tcPr>
            <w:tcW w:w="5812" w:type="dxa"/>
          </w:tcPr>
          <w:p w:rsidR="00C752C0" w:rsidRPr="00DA6A7D" w:rsidRDefault="00C752C0" w:rsidP="00B42A3F">
            <w:pPr>
              <w:jc w:val="both"/>
              <w:rPr>
                <w:rFonts w:ascii="Times New Roman" w:hAnsi="Times New Roman" w:cs="Times New Roman"/>
                <w:sz w:val="22"/>
                <w:lang w:val="en-US"/>
              </w:rPr>
            </w:pPr>
            <w:r w:rsidRPr="00DA6A7D">
              <w:rPr>
                <w:rFonts w:ascii="Times New Roman" w:hAnsi="Times New Roman" w:cs="Times New Roman"/>
                <w:sz w:val="22"/>
                <w:lang w:val="en-US"/>
              </w:rPr>
              <w:t>interbank loans interest rate for different periods of time</w:t>
            </w:r>
          </w:p>
        </w:tc>
      </w:tr>
    </w:tbl>
    <w:p w:rsidR="00C752C0" w:rsidRPr="00DA6A7D" w:rsidRDefault="00C752C0" w:rsidP="00C752C0">
      <w:pPr>
        <w:ind w:left="-284" w:right="-7"/>
        <w:jc w:val="both"/>
        <w:rPr>
          <w:rFonts w:ascii="Times New Roman" w:hAnsi="Times New Roman" w:cs="Times New Roman"/>
          <w:lang w:val="en-US"/>
        </w:rPr>
      </w:pP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Mainly the following variables were used in assessing the role of the correlated-information channel in financial contagion distribution (depend on the information available):</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national government yield curve</w:t>
      </w:r>
      <w:r w:rsidRPr="00DA6A7D">
        <w:rPr>
          <w:rStyle w:val="af"/>
          <w:lang w:val="en-US"/>
        </w:rPr>
        <w:footnoteReference w:id="4"/>
      </w:r>
      <w:r w:rsidRPr="00DA6A7D">
        <w:rPr>
          <w:rFonts w:ascii="Times New Roman" w:hAnsi="Times New Roman" w:cs="Times New Roman"/>
          <w:lang w:val="en-US"/>
        </w:rPr>
        <w:t xml:space="preserve"> (Finland, Canada);</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national stock exchange main indexes</w:t>
      </w:r>
      <w:r w:rsidRPr="00DA6A7D">
        <w:rPr>
          <w:rStyle w:val="af"/>
          <w:lang w:val="en-US"/>
        </w:rPr>
        <w:footnoteReference w:id="5"/>
      </w:r>
      <w:r w:rsidRPr="00DA6A7D">
        <w:rPr>
          <w:rFonts w:ascii="Times New Roman" w:hAnsi="Times New Roman" w:cs="Times New Roman"/>
          <w:lang w:val="en-US"/>
        </w:rPr>
        <w:t xml:space="preserve"> return (Finland, Brazil, Canada);</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important commodities</w:t>
      </w:r>
      <w:r w:rsidRPr="00DA6A7D">
        <w:rPr>
          <w:rStyle w:val="af"/>
          <w:lang w:val="en-US"/>
        </w:rPr>
        <w:footnoteReference w:id="6"/>
      </w:r>
      <w:r w:rsidRPr="00DA6A7D">
        <w:rPr>
          <w:rFonts w:ascii="Times New Roman" w:hAnsi="Times New Roman" w:cs="Times New Roman"/>
          <w:lang w:val="en-US"/>
        </w:rPr>
        <w:t xml:space="preserve"> prices (Finland, Brazil, Canada);</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lastRenderedPageBreak/>
        <w:t>government bond auction average price (Canada).</w:t>
      </w: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The next time series were used for the purpose of assessing the liquidity channel role:</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government bond transactions (Finland);</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main indexes turnover (Finland, Canada);</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stock market total amount (Brazil);</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derivatives positions: swap, futures market and options market (Brazil);</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operations with federal securities and derivatives (Brazil);</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demand deposits (Brazil);</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money supply type M1</w:t>
      </w:r>
      <w:r w:rsidRPr="00DA6A7D">
        <w:rPr>
          <w:rStyle w:val="af"/>
          <w:lang w:val="en-US"/>
        </w:rPr>
        <w:footnoteReference w:id="7"/>
      </w:r>
      <w:r w:rsidRPr="00DA6A7D">
        <w:rPr>
          <w:rFonts w:ascii="Times New Roman" w:hAnsi="Times New Roman" w:cs="Times New Roman"/>
          <w:lang w:val="en-US"/>
        </w:rPr>
        <w:t xml:space="preserve"> (Brazil);</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government bond auction alotted sums (Canada);</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futures on the important commodities volume of trade (Canada);</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futures on the important commodities open interest (Canada).</w:t>
      </w: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The series for the risk-premium channel are following:</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national central bank interbank offered rate (Finland, Brazil, Canada);</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Euro interbank offered rate (Finland);</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Euro Over Night Index Average rate (Finland);</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national financial government systemic institutions interest rates (Brazil);</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settlement balances of a national payment system (Brazil);</w:t>
      </w:r>
    </w:p>
    <w:p w:rsidR="00C752C0" w:rsidRPr="00DA6A7D" w:rsidRDefault="00C752C0" w:rsidP="0022187D">
      <w:pPr>
        <w:pStyle w:val="aa"/>
        <w:numPr>
          <w:ilvl w:val="0"/>
          <w:numId w:val="12"/>
        </w:numPr>
        <w:ind w:left="-284" w:right="-7"/>
        <w:jc w:val="both"/>
        <w:rPr>
          <w:rFonts w:ascii="Times New Roman" w:hAnsi="Times New Roman" w:cs="Times New Roman"/>
          <w:lang w:val="en-US"/>
        </w:rPr>
      </w:pPr>
      <w:r w:rsidRPr="00DA6A7D">
        <w:rPr>
          <w:rFonts w:ascii="Times New Roman" w:hAnsi="Times New Roman" w:cs="Times New Roman"/>
          <w:lang w:val="en-US"/>
        </w:rPr>
        <w:t xml:space="preserve">interest rate used for the securities operations: purchase, resale, lending, bankers’ acceptances (Brazil). </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The detailed information concerning the dependent variables and their description is listed in the Appendix 1. In order to reveal market risk through stock prices fluctuations, the stock prices need to be adjusted to splits, consolidations, subscription privileges and dividends – so to say, everything, that can influence stock price and doesn’t refer to market factors. As the data source had had that adjusted stock prices already, any further data preparation weren’t need.</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In order to make the list describe the selected markets the assets were selected from the major indexes on the markets. For the purpose of the study the companies were selected those are included in the main stock market lists for the particular market. The list of the main stock market indicators was obtained from World Federation of Exchanges web page</w:t>
      </w:r>
      <w:r w:rsidRPr="00DA6A7D">
        <w:rPr>
          <w:rStyle w:val="af"/>
          <w:lang w:val="en-US"/>
        </w:rPr>
        <w:footnoteReference w:id="8"/>
      </w:r>
      <w:r w:rsidRPr="00DA6A7D">
        <w:rPr>
          <w:rFonts w:ascii="Times New Roman" w:hAnsi="Times New Roman" w:cs="Times New Roman"/>
          <w:lang w:val="en-US"/>
        </w:rPr>
        <w:t>. In the case when the number of items (depending on the asset type in each dataset - stocks, bonds and others) were less than 250, the other indexes were considered (entirely, the sector indexes). The sector share in the country GDP for the countries considered is shown in the Appendix 2. The data was obtained from The World Bank World Development Indicators database</w:t>
      </w:r>
      <w:r w:rsidRPr="00DA6A7D">
        <w:rPr>
          <w:rStyle w:val="af"/>
          <w:lang w:val="en-US"/>
        </w:rPr>
        <w:footnoteReference w:id="9"/>
      </w:r>
      <w:r w:rsidRPr="00DA6A7D">
        <w:rPr>
          <w:rFonts w:ascii="Times New Roman" w:hAnsi="Times New Roman" w:cs="Times New Roman"/>
          <w:lang w:val="en-US"/>
        </w:rPr>
        <w:t xml:space="preserve">. Figures from Appendix 2 visual analysis made it possible to notice, that as the World economy moves to postindustrial phase, in the markets considered the major added value to the GDP comes from services sector. The latter means that these markets are in industrial economic development stage. </w:t>
      </w: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 xml:space="preserve">So to summarize figures discussion, the major sector in all markets considered is the service sector. It is followed by the industry sector on the second place (the exception in this case is Indian market, where in </w:t>
      </w:r>
      <w:r w:rsidRPr="00DA6A7D">
        <w:rPr>
          <w:rFonts w:ascii="Times New Roman" w:hAnsi="Times New Roman" w:cs="Times New Roman"/>
          <w:lang w:val="en-US"/>
        </w:rPr>
        <w:lastRenderedPageBreak/>
        <w:t>1990-1998 the agriculture sector was on the second place). So, the sector indexes as the lists of the companies, that can represent the particular market, were selected on the base of relations discussed .</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If the period required was not covered by the time series (e.g. the time series length was not enough and any data for the early 1990-s was absent), the available for the particular market and asset class prices were used. Missing values in the dataset were filled using the previous observations, however, sometimes the missing values were at the beginning of the dataset, so the parametric method that assumes an underlying normal model for the partially observed imputed variable was used, that is based on the asymptotic approximation of the posterior predictive distribution of the missing data. The method was used for the vector autoregressive model that is based on the hypothesis that the random variable has normal distribution.</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In order to confirm that time series do fit the models, three time series problems were considered in the study during the ARIMA(p,d,q) model specification:</w:t>
      </w:r>
    </w:p>
    <w:p w:rsidR="00C752C0" w:rsidRPr="00DA6A7D" w:rsidRDefault="00C752C0" w:rsidP="0022187D">
      <w:pPr>
        <w:pStyle w:val="aa"/>
        <w:numPr>
          <w:ilvl w:val="0"/>
          <w:numId w:val="26"/>
        </w:numPr>
        <w:ind w:right="-7"/>
        <w:jc w:val="both"/>
        <w:rPr>
          <w:rFonts w:ascii="Times New Roman" w:hAnsi="Times New Roman" w:cs="Times New Roman"/>
          <w:lang w:val="en-US"/>
        </w:rPr>
      </w:pPr>
      <w:r w:rsidRPr="00DA6A7D">
        <w:rPr>
          <w:rFonts w:ascii="Times New Roman" w:hAnsi="Times New Roman" w:cs="Times New Roman"/>
          <w:lang w:val="en-US"/>
        </w:rPr>
        <w:t>First-order serial correlation;</w:t>
      </w:r>
    </w:p>
    <w:p w:rsidR="00C752C0" w:rsidRPr="00DA6A7D" w:rsidRDefault="00C752C0" w:rsidP="0022187D">
      <w:pPr>
        <w:pStyle w:val="aa"/>
        <w:numPr>
          <w:ilvl w:val="0"/>
          <w:numId w:val="26"/>
        </w:numPr>
        <w:ind w:right="-7"/>
        <w:jc w:val="both"/>
        <w:rPr>
          <w:rFonts w:ascii="Times New Roman" w:hAnsi="Times New Roman" w:cs="Times New Roman"/>
          <w:lang w:val="en-US"/>
        </w:rPr>
      </w:pPr>
      <w:r w:rsidRPr="00DA6A7D">
        <w:rPr>
          <w:rFonts w:ascii="Times New Roman" w:hAnsi="Times New Roman" w:cs="Times New Roman"/>
          <w:lang w:val="en-US"/>
        </w:rPr>
        <w:t>Non-stationarity;</w:t>
      </w:r>
    </w:p>
    <w:p w:rsidR="00C752C0" w:rsidRPr="00DA6A7D" w:rsidRDefault="00C752C0" w:rsidP="0022187D">
      <w:pPr>
        <w:pStyle w:val="aa"/>
        <w:numPr>
          <w:ilvl w:val="0"/>
          <w:numId w:val="26"/>
        </w:numPr>
        <w:ind w:right="-7"/>
        <w:jc w:val="both"/>
        <w:rPr>
          <w:rFonts w:ascii="Times New Roman" w:hAnsi="Times New Roman" w:cs="Times New Roman"/>
          <w:lang w:val="en-US"/>
        </w:rPr>
      </w:pPr>
      <w:r w:rsidRPr="00DA6A7D">
        <w:rPr>
          <w:rFonts w:ascii="Times New Roman" w:hAnsi="Times New Roman" w:cs="Times New Roman"/>
          <w:lang w:val="en-US"/>
        </w:rPr>
        <w:t>Residuals heteroscedasticity.</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The data analysis was held in three main steps:</w:t>
      </w:r>
    </w:p>
    <w:p w:rsidR="00C752C0" w:rsidRPr="00DA6A7D" w:rsidRDefault="00C752C0" w:rsidP="0022187D">
      <w:pPr>
        <w:pStyle w:val="aa"/>
        <w:numPr>
          <w:ilvl w:val="0"/>
          <w:numId w:val="27"/>
        </w:numPr>
        <w:ind w:right="-7"/>
        <w:jc w:val="both"/>
        <w:rPr>
          <w:rFonts w:ascii="Times New Roman" w:hAnsi="Times New Roman" w:cs="Times New Roman"/>
          <w:lang w:val="en-US"/>
        </w:rPr>
      </w:pPr>
      <w:r w:rsidRPr="00DA6A7D">
        <w:rPr>
          <w:rFonts w:ascii="Times New Roman" w:hAnsi="Times New Roman" w:cs="Times New Roman"/>
          <w:lang w:val="en-US"/>
        </w:rPr>
        <w:t>Time series models building using the Box-Jenkins approach to time-series modelling (ARMA(p,q) models);</w:t>
      </w:r>
    </w:p>
    <w:p w:rsidR="00C752C0" w:rsidRPr="00DA6A7D" w:rsidRDefault="00C752C0" w:rsidP="0022187D">
      <w:pPr>
        <w:pStyle w:val="aa"/>
        <w:numPr>
          <w:ilvl w:val="0"/>
          <w:numId w:val="27"/>
        </w:numPr>
        <w:ind w:right="-7"/>
        <w:jc w:val="both"/>
        <w:rPr>
          <w:rFonts w:ascii="Times New Roman" w:hAnsi="Times New Roman" w:cs="Times New Roman"/>
          <w:lang w:val="en-US"/>
        </w:rPr>
      </w:pPr>
      <w:r w:rsidRPr="00DA6A7D">
        <w:rPr>
          <w:rFonts w:ascii="Times New Roman" w:hAnsi="Times New Roman" w:cs="Times New Roman"/>
          <w:lang w:val="en-US"/>
        </w:rPr>
        <w:t>Market risk models building using the results of the time series analysis;</w:t>
      </w:r>
    </w:p>
    <w:p w:rsidR="00C752C0" w:rsidRPr="00DA6A7D" w:rsidRDefault="00C752C0" w:rsidP="0022187D">
      <w:pPr>
        <w:pStyle w:val="aa"/>
        <w:numPr>
          <w:ilvl w:val="0"/>
          <w:numId w:val="27"/>
        </w:numPr>
        <w:ind w:right="-7"/>
        <w:jc w:val="both"/>
        <w:rPr>
          <w:rFonts w:ascii="Times New Roman" w:hAnsi="Times New Roman" w:cs="Times New Roman"/>
          <w:lang w:val="en-US"/>
        </w:rPr>
      </w:pPr>
      <w:r w:rsidRPr="00DA6A7D">
        <w:rPr>
          <w:rFonts w:ascii="Times New Roman" w:hAnsi="Times New Roman" w:cs="Times New Roman"/>
          <w:lang w:val="en-US"/>
        </w:rPr>
        <w:t>CAPM model assessment with different market risk proxy variables.</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 xml:space="preserve">The Box-Jenkins approach was performed through the following steps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"author" : [ { "dropping-particle" : "", "family" : "\u041a\u0430\u043d\u0442\u043e\u0440\u043e\u0432\u0438\u0447", "given" : "\u0413.\u0413.", "non-dropping-particle" : "", "parse-names" : false, "suffix" : "" } ], "container-title" : "\u042d\u043a\u043e\u043d\u043e\u043c\u0438\u0447\u0435\u0441\u043a\u0438\u0439 \u0436\u0443\u0440\u043d\u0430\u043b \u0412\u0428\u042d", "id" : "ITEM-1", "issue" : "1", "issued" : { "date-parts" : [ [ "2002" ] ] }, "note" : "1", "page" : "79-103", "title" : "\u0410\u043d\u0430\u043b\u0438\u0437 \u0432\u0440\u0435\u043c\u0435\u043d\u043d\u044b\u0445 \u0440\u044f\u0434\u043e\u0432", "type" : "article-journal" }, "uris" : [ "http://www.mendeley.com/documents/?uuid=553d60e9-896e-462e-b35b-f349a6634303" ] }, { "id" : "ITEM-2", "itemData" : { "author" : [ { "dropping-particle" : "", "family" : "Baum", "given" : "Ch.F.", "non-dropping-particle" : "", "parse-names" : false, "suffix" : "" } ], "container-title" : "The Stata Journal", "id" : "ITEM-2", "issue" : "1", "issued" : { "date-parts" : [ [ "2005" ] ] }, "page" : "46-63", "title" : "Stata: The language of choice for time-series analysis?", "type" : "article-journal", "volume" : "5" }, "uris" : [ "http://www.mendeley.com/documents/?uuid=abe28d90-dce9-4875-a1cb-d997fb090bab" ] } ], "mendeley" : { "formattedCitation" : "(Baum, 2005; \u041a\u0430\u043d\u0442\u043e\u0440\u043e\u0432\u0438\u0447, 2002)", "plainTextFormattedCitation" : "(Baum, 2005; \u041a\u0430\u043d\u0442\u043e\u0440\u043e\u0432\u0438\u0447, 2002)", "previouslyFormattedCitation" : "(Baum, 2005; \u041a\u0430\u043d\u0442\u043e\u0440\u043e\u0432\u0438\u0447, 2002)"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(Baum, 2005; Канторович, 2002)</w:t>
      </w:r>
      <w:r w:rsidRPr="00DA6A7D">
        <w:rPr>
          <w:rFonts w:ascii="Times New Roman" w:hAnsi="Times New Roman" w:cs="Times New Roman"/>
          <w:lang w:val="en-US"/>
        </w:rPr>
        <w:fldChar w:fldCharType="end"/>
      </w:r>
      <w:r w:rsidRPr="00DA6A7D">
        <w:rPr>
          <w:rFonts w:ascii="Times New Roman" w:hAnsi="Times New Roman" w:cs="Times New Roman"/>
          <w:lang w:val="en-US"/>
        </w:rPr>
        <w:t>:</w:t>
      </w:r>
    </w:p>
    <w:p w:rsidR="00C752C0" w:rsidRPr="00DA6A7D" w:rsidRDefault="00C752C0" w:rsidP="0022187D">
      <w:pPr>
        <w:pStyle w:val="aa"/>
        <w:numPr>
          <w:ilvl w:val="0"/>
          <w:numId w:val="28"/>
        </w:numPr>
        <w:ind w:right="-7"/>
        <w:jc w:val="both"/>
        <w:rPr>
          <w:rFonts w:ascii="Times New Roman" w:hAnsi="Times New Roman" w:cs="Times New Roman"/>
          <w:lang w:val="en-US"/>
        </w:rPr>
      </w:pPr>
      <w:r w:rsidRPr="00DA6A7D">
        <w:rPr>
          <w:rFonts w:ascii="Times New Roman" w:hAnsi="Times New Roman" w:cs="Times New Roman"/>
          <w:lang w:val="en-US"/>
        </w:rPr>
        <w:t>Checking for variables stationarity and finding the integration degree of the time series;</w:t>
      </w:r>
    </w:p>
    <w:p w:rsidR="00C752C0" w:rsidRPr="00DA6A7D" w:rsidRDefault="00C752C0" w:rsidP="0022187D">
      <w:pPr>
        <w:pStyle w:val="aa"/>
        <w:numPr>
          <w:ilvl w:val="0"/>
          <w:numId w:val="28"/>
        </w:numPr>
        <w:ind w:right="-7"/>
        <w:jc w:val="both"/>
        <w:rPr>
          <w:rFonts w:ascii="Times New Roman" w:hAnsi="Times New Roman" w:cs="Times New Roman"/>
          <w:lang w:val="en-US"/>
        </w:rPr>
      </w:pPr>
      <w:r w:rsidRPr="00DA6A7D">
        <w:rPr>
          <w:rFonts w:ascii="Times New Roman" w:hAnsi="Times New Roman" w:cs="Times New Roman"/>
          <w:lang w:val="en-US"/>
        </w:rPr>
        <w:t>ARIMA(p,d,q) model identification based on Sample Autocorrelation Function and Partial Autocorrelation Function behavior and information criteria (Akaike</w:t>
      </w:r>
      <w:r w:rsidRPr="00DA6A7D">
        <w:rPr>
          <w:rStyle w:val="af"/>
          <w:lang w:val="en-US"/>
        </w:rPr>
        <w:footnoteReference w:id="10"/>
      </w:r>
      <w:r w:rsidRPr="00DA6A7D">
        <w:rPr>
          <w:rFonts w:ascii="Times New Roman" w:hAnsi="Times New Roman" w:cs="Times New Roman"/>
          <w:lang w:val="en-US"/>
        </w:rPr>
        <w:t xml:space="preserve"> and Schwarz criteria) also using integration degree known from first step.</w:t>
      </w:r>
    </w:p>
    <w:p w:rsidR="00C752C0" w:rsidRPr="00DA6A7D" w:rsidRDefault="00C752C0" w:rsidP="0022187D">
      <w:pPr>
        <w:pStyle w:val="aa"/>
        <w:numPr>
          <w:ilvl w:val="0"/>
          <w:numId w:val="28"/>
        </w:numPr>
        <w:ind w:right="-7"/>
        <w:jc w:val="both"/>
        <w:rPr>
          <w:rFonts w:ascii="Times New Roman" w:hAnsi="Times New Roman" w:cs="Times New Roman"/>
          <w:lang w:val="en-US"/>
        </w:rPr>
      </w:pPr>
      <w:r w:rsidRPr="00DA6A7D">
        <w:rPr>
          <w:rFonts w:ascii="Times New Roman" w:hAnsi="Times New Roman" w:cs="Times New Roman"/>
          <w:lang w:val="en-US"/>
        </w:rPr>
        <w:t>ARIMA(p,d,q) model assessment based on p, d, and q parameters.</w:t>
      </w:r>
    </w:p>
    <w:p w:rsidR="00C752C0" w:rsidRPr="00DA6A7D" w:rsidRDefault="00C752C0" w:rsidP="0022187D">
      <w:pPr>
        <w:pStyle w:val="aa"/>
        <w:numPr>
          <w:ilvl w:val="0"/>
          <w:numId w:val="28"/>
        </w:numPr>
        <w:ind w:right="-7"/>
        <w:jc w:val="both"/>
        <w:rPr>
          <w:rFonts w:ascii="Times New Roman" w:hAnsi="Times New Roman" w:cs="Times New Roman"/>
          <w:lang w:val="en-US"/>
        </w:rPr>
      </w:pPr>
      <w:r w:rsidRPr="00DA6A7D">
        <w:rPr>
          <w:rFonts w:ascii="Times New Roman" w:hAnsi="Times New Roman" w:cs="Times New Roman"/>
          <w:lang w:val="en-US"/>
        </w:rPr>
        <w:t>Model diagnostics based on residuals analysis.</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This algorithm was automated using Stata program (Appendix 3).</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The null hypothesis of no first-order serial correlation was tested using Breush-Godfrey test for autocorrelation.</w:t>
      </w:r>
    </w:p>
    <w:p w:rsidR="00C752C0" w:rsidRPr="00DA6A7D" w:rsidRDefault="00C752C0" w:rsidP="00C752C0">
      <w:pPr>
        <w:pStyle w:val="af1"/>
        <w:ind w:right="-7"/>
        <w:rPr>
          <w:rFonts w:ascii="Times New Roman" w:hAnsi="Times New Roman" w:cs="Times New Roman"/>
        </w:rPr>
      </w:pPr>
    </w:p>
    <w:p w:rsidR="00C752C0" w:rsidRPr="00DA6A7D" w:rsidRDefault="00C752C0" w:rsidP="00C752C0">
      <w:pPr>
        <w:pStyle w:val="af1"/>
        <w:ind w:right="-7"/>
        <w:rPr>
          <w:rFonts w:ascii="Times New Roman" w:hAnsi="Times New Roman" w:cs="Times New Roman"/>
        </w:rPr>
      </w:pPr>
      <w:bookmarkStart w:id="7" w:name="_Toc453016111"/>
      <w:r w:rsidRPr="00DA6A7D">
        <w:rPr>
          <w:rFonts w:ascii="Times New Roman" w:hAnsi="Times New Roman" w:cs="Times New Roman"/>
        </w:rPr>
        <w:t>Models</w:t>
      </w:r>
      <w:bookmarkEnd w:id="7"/>
    </w:p>
    <w:p w:rsidR="00C752C0" w:rsidRPr="00DA6A7D" w:rsidRDefault="00C752C0" w:rsidP="00C752C0">
      <w:pPr>
        <w:pStyle w:val="af1"/>
        <w:spacing w:line="240" w:lineRule="auto"/>
        <w:ind w:right="-7"/>
        <w:jc w:val="both"/>
        <w:rPr>
          <w:rFonts w:ascii="Times New Roman" w:hAnsi="Times New Roman" w:cs="Times New Roman"/>
          <w:b w:val="0"/>
        </w:rPr>
      </w:pPr>
    </w:p>
    <w:p w:rsidR="00C752C0" w:rsidRPr="00DA6A7D" w:rsidRDefault="00C752C0" w:rsidP="00C752C0">
      <w:pPr>
        <w:ind w:left="-284" w:right="-7" w:firstLine="710"/>
        <w:jc w:val="both"/>
        <w:rPr>
          <w:rFonts w:ascii="Times New Roman" w:hAnsi="Times New Roman" w:cs="Times New Roman"/>
          <w:b/>
          <w:lang w:val="en-US"/>
        </w:rPr>
      </w:pPr>
      <w:r w:rsidRPr="00DA6A7D">
        <w:rPr>
          <w:rFonts w:ascii="Times New Roman" w:hAnsi="Times New Roman" w:cs="Times New Roman"/>
          <w:lang w:val="en-US"/>
        </w:rPr>
        <w:t>In the research vector autoregressive model of the financial contagion is</w:t>
      </w:r>
      <w:r w:rsidRPr="00DA6A7D">
        <w:rPr>
          <w:rFonts w:ascii="Times New Roman" w:hAnsi="Times New Roman" w:cs="Times New Roman"/>
          <w:b/>
          <w:lang w:val="en-US"/>
        </w:rPr>
        <w:t xml:space="preserve"> </w:t>
      </w:r>
      <w:r w:rsidRPr="00DA6A7D">
        <w:rPr>
          <w:rFonts w:ascii="Times New Roman" w:hAnsi="Times New Roman" w:cs="Times New Roman"/>
          <w:lang w:val="en-US"/>
        </w:rPr>
        <w:t>considered</w:t>
      </w:r>
      <w:r w:rsidRPr="00DA6A7D">
        <w:rPr>
          <w:rFonts w:ascii="Times New Roman" w:hAnsi="Times New Roman" w:cs="Times New Roman"/>
          <w:b/>
          <w:lang w:val="en-US"/>
        </w:rPr>
        <w:t xml:space="preserve">. </w:t>
      </w:r>
      <w:r w:rsidRPr="00DA6A7D">
        <w:rPr>
          <w:rFonts w:ascii="Times New Roman" w:hAnsi="Times New Roman" w:cs="Times New Roman"/>
          <w:lang w:val="en-US"/>
        </w:rPr>
        <w:t>In the research the conclusions are made concerning the type of model with higher quality value and with better adequacy to credit ratings market risk level. So, the aim was to determine the model that would be able to become an alternative to market risk indicators based on credit ratings. Such an assessment can be performed not only for country, but also for the particular industry (if companies belong to this industry are selected), for the asset portfolio and for the company, at last.</w:t>
      </w:r>
    </w:p>
    <w:p w:rsidR="00C752C0" w:rsidRPr="00DA6A7D" w:rsidRDefault="00C752C0" w:rsidP="00C752C0">
      <w:pPr>
        <w:ind w:left="-284" w:right="-7" w:firstLine="710"/>
        <w:jc w:val="both"/>
        <w:rPr>
          <w:rFonts w:ascii="Times New Roman" w:hAnsi="Times New Roman" w:cs="Times New Roman"/>
          <w:b/>
          <w:lang w:val="en-US"/>
        </w:rPr>
      </w:pPr>
      <w:r w:rsidRPr="00DA6A7D">
        <w:rPr>
          <w:rFonts w:ascii="Times New Roman" w:hAnsi="Times New Roman" w:cs="Times New Roman"/>
          <w:lang w:val="en-US"/>
        </w:rPr>
        <w:t xml:space="preserve">The awareness concerning market risk level permits investor to know, if this risk degree is affordable for him – this particularly is the practical sense of this study. On the other hand, market risk variable is used </w:t>
      </w:r>
      <w:r w:rsidRPr="00DA6A7D">
        <w:rPr>
          <w:rFonts w:ascii="Times New Roman" w:hAnsi="Times New Roman" w:cs="Times New Roman"/>
          <w:lang w:val="en-US"/>
        </w:rPr>
        <w:lastRenderedPageBreak/>
        <w:t>in theoretical constructions, for example, CAPM, that’s why is it critical to determine the market risk value correctly. The latter is the theoretical sense of the study. CAPM model has much critique concerning it’s pure ability to reflect market situation. The problem may lie in wrong market risk assessment. As far as CAPM is one of the key financial models and it is used in case of equity assessment, this topic is of great concern for a long time yet.</w:t>
      </w:r>
    </w:p>
    <w:p w:rsidR="00C752C0" w:rsidRPr="00DA6A7D" w:rsidRDefault="00C752C0" w:rsidP="00C752C0">
      <w:pPr>
        <w:ind w:left="-284" w:right="-7" w:firstLine="710"/>
        <w:jc w:val="both"/>
        <w:rPr>
          <w:rFonts w:ascii="Times New Roman" w:hAnsi="Times New Roman" w:cs="Times New Roman"/>
          <w:b/>
          <w:lang w:val="en-US"/>
        </w:rPr>
      </w:pPr>
      <w:r w:rsidRPr="00DA6A7D">
        <w:rPr>
          <w:rFonts w:ascii="Times New Roman" w:hAnsi="Times New Roman" w:cs="Times New Roman"/>
          <w:lang w:val="en-US"/>
        </w:rPr>
        <w:t>Traditionally major market index return variance is used as the market risk variable. In the study the financial contagion theory is proposed as the alternative method for market risk assessment. And one of the main questions here is if the financial contagion approach to the market risk assessment is affordable and whether it is better than traditional approach.</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 xml:space="preserve">VAR models are used among others in the macroeconomic variables dynamics studies. For example, C.A. Sims, a Nobel prize winner, proposed using VAR models for the describing macroeconomic processes “without restrictions based on supposed a priori knowledge”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"author" : [ { "dropping-particle" : "", "family" : "Sims", "given" : "Christopher A", "non-dropping-particle" : "", "parse-names" : false, "suffix" : "" } ], "container-title" : "Econometrica", "id" : "ITEM-1", "issue" : "1", "issued" : { "date-parts" : [ [ "1980" ] ] }, "page" : "1-48", "title" : "Macroeconomics and Reality", "type" : "article-journal", "volume" : "48" }, "uris" : [ "http://www.mendeley.com/documents/?uuid=7073553d-e66d-36f6-bd74-17a015ff36ff" ] } ], "mendeley" : { "formattedCitation" : "(Sims, 1980)", "plainTextFormattedCitation" : "(Sims, 1980)", "previouslyFormattedCitation" : "(Sims, 1980)"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(Sims, 1980)</w:t>
      </w:r>
      <w:r w:rsidRPr="00DA6A7D">
        <w:rPr>
          <w:rFonts w:ascii="Times New Roman" w:hAnsi="Times New Roman" w:cs="Times New Roman"/>
          <w:lang w:val="en-US"/>
        </w:rPr>
        <w:fldChar w:fldCharType="end"/>
      </w:r>
      <w:r w:rsidRPr="00DA6A7D">
        <w:rPr>
          <w:rFonts w:ascii="Times New Roman" w:hAnsi="Times New Roman" w:cs="Times New Roman"/>
          <w:lang w:val="en-US"/>
        </w:rPr>
        <w:t xml:space="preserve">. The predecessor of VAR is the structural equation model, that has an extensive application in macroeconomic empirical research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"10.1016/S0049-237X(09)70590-7", "author" : [ { "dropping-particle" : "", "family" : "Hurwicz", "given" : "Leonid", "non-dropping-particle" : "", "parse-names" : false, "suffix" : "" } ], "id" : "ITEM-1", "issued" : { "date-parts" : [ [ "1966" ] ] }, "page" : "232-239", "title" : "On the Structural Form of Interdependent Systems", "type" : "chapter" }, "uris" : [ "http://www.mendeley.com/documents/?uuid=8199648d-0e54-4a5e-bcaa-d77a0c445643" ] }, { "id" : "ITEM-2", "itemData" : { "DOI" : "10.1108/eb028592", "ISBN" : "0127761500", "ISSN" : "10867376", "PMID" : "5297", "abstract" : "This paper outlines a general procedure for formulating econometric models of population choice behavior from distributions of individual decision rules. A concrete case with useful empirical properties, conditional logit analysis, is developed in detail. The relevance of these methods to economic anaiysis can be indicated by a list of the consumer choice problems to which conditional logit analysis has been applied: choice of college attended, choice of occupa- tion, labor force participation, choice of geographical location and migration, choice of number of children, housing choice, choice of number and brand of automobiles owned, choice of shopping travel mode and destination.", "author" : [ { "dropping-particle" : "", "family" : "McFadden", "given" : "Daniel", "non-dropping-particle" : "", "parse-names" : false, "suffix" : "" } ], "container-title" : "Frontiers in Econometrics", "id" : "ITEM-2", "issued" : { "date-parts" : [ [ "1973" ] ] }, "page" : "105\u2013142", "title" : "Conditional logit analysis of qualitative choice behavior", "type" : "article" }, "uris" : [ "http://www.mendeley.com/documents/?uuid=2fdd79b7-6c37-3e1f-8a23-ced1dd5bd177" ] } ], "mendeley" : { "formattedCitation" : "(Hurwicz, 1966; McFadden, 1973)", "plainTextFormattedCitation" : "(Hurwicz, 1966; McFadden, 1973)", "previouslyFormattedCitation" : "(Hurwicz, 1966; McFadden, 1973)"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(Hurwicz, 1966; McFadden, 1973)</w:t>
      </w:r>
      <w:r w:rsidRPr="00DA6A7D">
        <w:rPr>
          <w:rFonts w:ascii="Times New Roman" w:hAnsi="Times New Roman" w:cs="Times New Roman"/>
          <w:lang w:val="en-US"/>
        </w:rPr>
        <w:fldChar w:fldCharType="end"/>
      </w:r>
      <w:r w:rsidRPr="00DA6A7D">
        <w:rPr>
          <w:rFonts w:ascii="Times New Roman" w:hAnsi="Times New Roman" w:cs="Times New Roman"/>
          <w:lang w:val="en-US"/>
        </w:rPr>
        <w:t xml:space="preserve">.  During the 1960-1970-s the VAR concept formation took place. The proper lag number selection and the most common regression problems (residuals heteroskedasticity, serial correlation and the non-stationarity) were the point of attention in the area of study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The Econometric Society, Wiley are collaborating with JSTOR to digitize, preserve and extend access to Econometrica This content downloaded from 195.70.223.102 on Tue, 03 May 2016 06:41:40 UTC All use subject to http://about.jstor.org/terms", "author" : [ { "dropping-particle" : "", "family" : "Author", "given" : "Residuals", "non-dropping-particle" : "", "parse-names" : false, "suffix" : "" }, { "dropping-particle" : "", "family" : "Sargan", "given" : "J D", "non-dropping-particle" : "", "parse-names" : false, "suffix" : "" } ], "container-title" : "Source: Econometrica", "id" : "ITEM-1", "issue" : "3", "issued" : { "date-parts" : [ [ "1961" ] ] }, "page" : "414-426", "title" : "The Maximum Likelihood Estimation of Economic Relationships with Autoregressive THE MAXIMUM LIKELIHOOD ESTIMATION OF ECONOMIC RELATIONSHIPS WITH AUTOREGRESSIVE RESIDUALS", "type" : "article-journal", "volume" : "29" }, "uris" : [ "http://www.mendeley.com/documents/?uuid=8115cdf7-1315-3558-a0e2-a00188efe9c3" ] } ], "mendeley" : { "formattedCitation" : "(Author &amp; Sargan, 1961)", "plainTextFormattedCitation" : "(Author &amp; Sargan, 1961)", "previouslyFormattedCitation" : "(Author &amp; Sargan, 1961)"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(Author &amp; Sargan, 1961)</w:t>
      </w:r>
      <w:r w:rsidRPr="00DA6A7D">
        <w:rPr>
          <w:rFonts w:ascii="Times New Roman" w:hAnsi="Times New Roman" w:cs="Times New Roman"/>
          <w:lang w:val="en-US"/>
        </w:rPr>
        <w:fldChar w:fldCharType="end"/>
      </w:r>
      <w:r w:rsidRPr="00DA6A7D">
        <w:rPr>
          <w:rFonts w:ascii="Times New Roman" w:hAnsi="Times New Roman" w:cs="Times New Roman"/>
          <w:lang w:val="en-US"/>
        </w:rPr>
        <w:t xml:space="preserve">. The idea of including simultaneously several lags in the equation belongs to M. Hatanaka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"10.2307/2525995", "ISSN" : "00206598", "author" : [ { "dropping-particle" : "", "family" : "Hatanaka", "given" : "Michio", "non-dropping-particle" : "", "parse-names" : false, "suffix" : "" } ], "container-title" : "International Economic Review", "id" : "ITEM-1", "issue" : "3", "issued" : { "date-parts" : [ [ "1975", "10" ] ] }, "page" : "545", "title" : "On the Global Identification of the Dynamic Simultaneous Equations Model with Stationary Disturbances", "type" : "article-journal", "volume" : "16" }, "uris" : [ "http://www.mendeley.com/documents/?uuid=b6687b23-1ad0-4dbd-bfe0-84d45face160" ] } ], "mendeley" : { "formattedCitation" : "(Hatanaka, 1975)", "plainTextFormattedCitation" : "(Hatanaka, 1975)", "previouslyFormattedCitation" : "(Hatanaka, 1975)"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(Hatanaka, 1975)</w:t>
      </w:r>
      <w:r w:rsidRPr="00DA6A7D">
        <w:rPr>
          <w:rFonts w:ascii="Times New Roman" w:hAnsi="Times New Roman" w:cs="Times New Roman"/>
          <w:lang w:val="en-US"/>
        </w:rPr>
        <w:fldChar w:fldCharType="end"/>
      </w:r>
      <w:r w:rsidRPr="00DA6A7D">
        <w:rPr>
          <w:rFonts w:ascii="Times New Roman" w:hAnsi="Times New Roman" w:cs="Times New Roman"/>
          <w:lang w:val="en-US"/>
        </w:rPr>
        <w:t xml:space="preserve">. Another question concerns variables, that are strictly exogenous and the ways of proving that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"author" : [ { "dropping-particle" : "", "family" : "Sims", "given" : "Christopher A", "non-dropping-particle" : "", "parse-names" : false, "suffix" : "" } ], "container-title" : "Econometrica", "id" : "ITEM-1", "issue" : "1", "issued" : { "date-parts" : [ [ "1980" ] ] }, "page" : "1-48", "title" : "Macroeconomics and Reality", "type" : "article-journal", "volume" : "48" }, "uris" : [ "http://www.mendeley.com/documents/?uuid=7073553d-e66d-36f6-bd74-17a015ff36ff" ] } ], "mendeley" : { "formattedCitation" : "(Sims, 1980)", "plainTextFormattedCitation" : "(Sims, 1980)", "previouslyFormattedCitation" : "(Sims, 1980)"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(Sims, 1980)</w:t>
      </w:r>
      <w:r w:rsidRPr="00DA6A7D">
        <w:rPr>
          <w:rFonts w:ascii="Times New Roman" w:hAnsi="Times New Roman" w:cs="Times New Roman"/>
          <w:lang w:val="en-US"/>
        </w:rPr>
        <w:fldChar w:fldCharType="end"/>
      </w:r>
      <w:r w:rsidRPr="00DA6A7D">
        <w:rPr>
          <w:rFonts w:ascii="Times New Roman" w:hAnsi="Times New Roman" w:cs="Times New Roman"/>
          <w:lang w:val="en-US"/>
        </w:rPr>
        <w:t>.</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 xml:space="preserve">Autoregressive models provide a flexible, estimable, and interpretable model. In econometrics the situation names “real life” is considered to be extremely complicated, and the “real model” is infinite-dimensional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"author" : [ { "dropping-particle" : "", "family" : "Hurvich", "given" : "C.", "non-dropping-particle" : "", "parse-names" : false, "suffix" : "" } ], "id" : "ITEM-1", "issued" : { "date-parts" : [ [ "2002" ] ] }, "title" : "The AICc criterion for autoregressive model selection", "type" : "report" }, "uris" : [ "http://www.mendeley.com/documents/?uuid=a9936e4e-1c5a-4aa5-8164-d36cd04985c7" ] } ], "mendeley" : { "formattedCitation" : "(Hurvich, 2002)", "plainTextFormattedCitation" : "(Hurvich, 2002)", "previouslyFormattedCitation" : "(Hurvich, 2002)"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(Hurvich, 2002)</w:t>
      </w:r>
      <w:r w:rsidRPr="00DA6A7D">
        <w:rPr>
          <w:rFonts w:ascii="Times New Roman" w:hAnsi="Times New Roman" w:cs="Times New Roman"/>
          <w:lang w:val="en-US"/>
        </w:rPr>
        <w:fldChar w:fldCharType="end"/>
      </w:r>
      <w:r w:rsidRPr="00DA6A7D">
        <w:rPr>
          <w:rFonts w:ascii="Times New Roman" w:hAnsi="Times New Roman" w:cs="Times New Roman"/>
          <w:lang w:val="en-US"/>
        </w:rPr>
        <w:t>.</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 xml:space="preserve">In resent research VAR is also popular as the instrument of macroeconomic hypothesis testing. Despite the fact that a regression model isn’t possible to disclosure the cause and the effect relation between the exogenous and the endogenous variables, the particular field of research is aimed at the revelation of the vector variables that influence macroeconomic dynamics. “A VAR can be considered to be the reduced form of a dynamic structural equation (DSE) model, and the ordering of the recursive structure is that imposed in the Cholesky decomposition, which is that in which the endogenous variables appear in the VAR estimation”, as Ch.F. Baum pointed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"URL" : "http://fmwww.bc.edu/EC-C/S2013/823/EC823.S2013.nn10.slides.pdf", "author" : [ { "dropping-particle" : "", "family" : "Baum", "given" : "Ch.F.", "non-dropping-particle" : "", "parse-names" : false, "suffix" : "" } ], "id" : "ITEM-1", "issued" : { "date-parts" : [ [ "2013" ] ] }, "page" : "1-61", "title" : "VAR, SVAR and VECM models", "type" : "webpage" }, "uris" : [ "http://www.mendeley.com/documents/?uuid=50f3c4c0-938c-4b7d-b2f5-6e7bc8dc2b57" ] } ], "mendeley" : { "formattedCitation" : "(Baum, 2013)", "plainTextFormattedCitation" : "(Baum, 2013)", "previouslyFormattedCitation" : "(Baum, 2013)"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(Baum, 2013)</w:t>
      </w:r>
      <w:r w:rsidRPr="00DA6A7D">
        <w:rPr>
          <w:rFonts w:ascii="Times New Roman" w:hAnsi="Times New Roman" w:cs="Times New Roman"/>
          <w:lang w:val="en-US"/>
        </w:rPr>
        <w:fldChar w:fldCharType="end"/>
      </w:r>
      <w:r w:rsidRPr="00DA6A7D">
        <w:rPr>
          <w:rFonts w:ascii="Times New Roman" w:hAnsi="Times New Roman" w:cs="Times New Roman"/>
          <w:lang w:val="en-US"/>
        </w:rPr>
        <w:t>. The VAR model used in the study had the following configuration (1).</w:t>
      </w:r>
    </w:p>
    <w:p w:rsidR="00C752C0" w:rsidRPr="00DA6A7D" w:rsidRDefault="00C752C0" w:rsidP="00C752C0">
      <w:pPr>
        <w:ind w:left="-284" w:right="-7" w:firstLine="680"/>
        <w:jc w:val="both"/>
        <w:rPr>
          <w:rFonts w:ascii="Times New Roman" w:hAnsi="Times New Roman" w:cs="Times New Roman"/>
          <w:lang w:val="en-US"/>
        </w:rPr>
      </w:pPr>
    </w:p>
    <w:p w:rsidR="00C752C0" w:rsidRPr="00DA6A7D" w:rsidRDefault="00C752C0" w:rsidP="00C752C0">
      <w:pPr>
        <w:ind w:left="-284" w:right="-7"/>
        <w:jc w:val="both"/>
        <w:rPr>
          <w:rFonts w:ascii="Times New Roman" w:hAnsi="Times New Roman" w:cs="Times New Roman"/>
        </w:rPr>
      </w:pPr>
      <m:oMathPara>
        <m:oMath>
          <m:m>
            <m:mPr>
              <m:mcs>
                <m:mc>
                  <m:mcPr>
                    <m:count m:val="2"/>
                    <m:mcJc m:val="center"/>
                  </m:mcPr>
                </m:mc>
              </m:mcs>
              <m:ctrlPr>
                <w:rPr>
                  <w:rFonts w:ascii="Cambria Math" w:hAnsi="Times New Roman" w:cs="Times New Roman"/>
                  <w:i/>
                  <w:lang w:val="en-US"/>
                </w:rPr>
              </m:ctrlPr>
            </m:mPr>
            <m:mr>
              <m:e>
                <m:sSub>
                  <m:sSubPr>
                    <m:ctrlPr>
                      <w:rPr>
                        <w:rFonts w:ascii="Cambria Math" w:hAnsi="Times New Roman" w:cs="Times New Roman"/>
                        <w:i/>
                        <w:lang w:val="en-US"/>
                      </w:rPr>
                    </m:ctrlPr>
                  </m:sSubPr>
                  <m:e>
                    <m:r>
                      <w:rPr>
                        <w:rFonts w:ascii="Cambria Math" w:hAnsi="Cambria Math" w:cs="Times New Roman"/>
                        <w:lang w:val="en-US"/>
                      </w:rPr>
                      <m:t>M</m:t>
                    </m:r>
                  </m:e>
                  <m:sub>
                    <m:r>
                      <w:rPr>
                        <w:rFonts w:ascii="Cambria Math" w:hAnsi="Cambria Math" w:cs="Times New Roman"/>
                        <w:lang w:val="en-US"/>
                      </w:rPr>
                      <m:t>t</m:t>
                    </m:r>
                  </m:sub>
                </m:sSub>
                <m:r>
                  <w:rPr>
                    <w:rFonts w:ascii="Cambria Math" w:hAnsi="Times New Roman" w:cs="Times New Roman"/>
                    <w:lang w:val="en-US"/>
                  </w:rPr>
                  <m:t>=</m:t>
                </m:r>
                <m:r>
                  <w:rPr>
                    <w:rFonts w:ascii="Cambria Math" w:hAnsi="Cambria Math" w:cs="Times New Roman"/>
                    <w:lang w:val="en-US"/>
                  </w:rPr>
                  <m:t>α</m:t>
                </m:r>
                <m:r>
                  <w:rPr>
                    <w:rFonts w:ascii="Cambria Math" w:hAnsi="Times New Roman" w:cs="Times New Roman"/>
                    <w:lang w:val="en-US"/>
                  </w:rPr>
                  <m:t>+</m:t>
                </m:r>
                <m:nary>
                  <m:naryPr>
                    <m:chr m:val="∑"/>
                    <m:limLoc m:val="undOvr"/>
                    <m:ctrlPr>
                      <w:rPr>
                        <w:rFonts w:ascii="Cambria Math" w:hAnsi="Times New Roman" w:cs="Times New Roman"/>
                        <w:i/>
                        <w:lang w:val="en-US"/>
                      </w:rPr>
                    </m:ctrlPr>
                  </m:naryPr>
                  <m:sub>
                    <m:r>
                      <w:rPr>
                        <w:rFonts w:ascii="Cambria Math" w:hAnsi="Cambria Math" w:cs="Times New Roman"/>
                        <w:lang w:val="en-US"/>
                      </w:rPr>
                      <m:t>k</m:t>
                    </m:r>
                    <m:r>
                      <w:rPr>
                        <w:rFonts w:ascii="Cambria Math" w:hAnsi="Times New Roman" w:cs="Times New Roman"/>
                        <w:lang w:val="en-US"/>
                      </w:rPr>
                      <m:t>=1</m:t>
                    </m:r>
                  </m:sub>
                  <m:sup>
                    <m:r>
                      <w:rPr>
                        <w:rFonts w:ascii="Cambria Math" w:hAnsi="Cambria Math" w:cs="Times New Roman"/>
                        <w:lang w:val="en-US"/>
                      </w:rPr>
                      <m:t>n</m:t>
                    </m:r>
                  </m:sup>
                  <m:e>
                    <m:sSub>
                      <m:sSubPr>
                        <m:ctrlPr>
                          <w:rPr>
                            <w:rFonts w:ascii="Cambria Math" w:hAnsi="Times New Roman" w:cs="Times New Roman"/>
                            <w:i/>
                            <w:lang w:val="en-US"/>
                          </w:rPr>
                        </m:ctrlPr>
                      </m:sSubPr>
                      <m:e>
                        <m:r>
                          <w:rPr>
                            <w:rFonts w:ascii="Cambria Math" w:hAnsi="Cambria Math" w:cs="Times New Roman"/>
                            <w:lang w:val="en-US"/>
                          </w:rPr>
                          <m:t>β</m:t>
                        </m:r>
                      </m:e>
                      <m:sub>
                        <m:r>
                          <w:rPr>
                            <w:rFonts w:ascii="Cambria Math" w:hAnsi="Cambria Math" w:cs="Times New Roman"/>
                            <w:lang w:val="en-US"/>
                          </w:rPr>
                          <m:t>k</m:t>
                        </m:r>
                      </m:sub>
                    </m:sSub>
                    <m:sSub>
                      <m:sSubPr>
                        <m:ctrlPr>
                          <w:rPr>
                            <w:rFonts w:ascii="Cambria Math" w:hAnsi="Times New Roman" w:cs="Times New Roman"/>
                            <w:i/>
                            <w:lang w:val="en-US"/>
                          </w:rPr>
                        </m:ctrlPr>
                      </m:sSubPr>
                      <m:e>
                        <m:r>
                          <w:rPr>
                            <w:rFonts w:ascii="Cambria Math" w:hAnsi="Cambria Math" w:cs="Times New Roman"/>
                            <w:lang w:val="en-US"/>
                          </w:rPr>
                          <m:t>M</m:t>
                        </m:r>
                      </m:e>
                      <m:sub>
                        <m:r>
                          <w:rPr>
                            <w:rFonts w:ascii="Cambria Math" w:hAnsi="Cambria Math" w:cs="Times New Roman"/>
                            <w:lang w:val="en-US"/>
                          </w:rPr>
                          <m:t>t</m:t>
                        </m:r>
                        <m:r>
                          <w:rPr>
                            <w:rFonts w:ascii="Times New Roman" w:hAnsi="Times New Roman" w:cs="Times New Roman"/>
                            <w:lang w:val="en-US"/>
                          </w:rPr>
                          <m:t>-</m:t>
                        </m:r>
                        <m:r>
                          <w:rPr>
                            <w:rFonts w:ascii="Cambria Math" w:hAnsi="Cambria Math" w:cs="Times New Roman"/>
                            <w:lang w:val="en-US"/>
                          </w:rPr>
                          <m:t>k</m:t>
                        </m:r>
                      </m:sub>
                    </m:sSub>
                    <m:r>
                      <w:rPr>
                        <w:rFonts w:ascii="Cambria Math" w:hAnsi="Times New Roman" w:cs="Times New Roman"/>
                        <w:lang w:val="en-US"/>
                      </w:rPr>
                      <m:t>+</m:t>
                    </m:r>
                    <m:nary>
                      <m:naryPr>
                        <m:chr m:val="∑"/>
                        <m:limLoc m:val="undOvr"/>
                        <m:ctrlPr>
                          <w:rPr>
                            <w:rFonts w:ascii="Cambria Math" w:hAnsi="Times New Roman" w:cs="Times New Roman"/>
                            <w:i/>
                            <w:lang w:val="en-US"/>
                          </w:rPr>
                        </m:ctrlPr>
                      </m:naryPr>
                      <m:sub>
                        <m:r>
                          <w:rPr>
                            <w:rFonts w:ascii="Cambria Math" w:hAnsi="Cambria Math" w:cs="Times New Roman"/>
                            <w:lang w:val="en-US"/>
                          </w:rPr>
                          <m:t>p</m:t>
                        </m:r>
                        <m:r>
                          <w:rPr>
                            <w:rFonts w:ascii="Cambria Math" w:hAnsi="Times New Roman" w:cs="Times New Roman"/>
                            <w:lang w:val="en-US"/>
                          </w:rPr>
                          <m:t>=1</m:t>
                        </m:r>
                      </m:sub>
                      <m:sup>
                        <m:r>
                          <w:rPr>
                            <w:rFonts w:ascii="Cambria Math" w:hAnsi="Cambria Math" w:cs="Times New Roman"/>
                            <w:lang w:val="en-US"/>
                          </w:rPr>
                          <m:t>m</m:t>
                        </m:r>
                      </m:sup>
                      <m:e>
                        <m:sSub>
                          <m:sSubPr>
                            <m:ctrlPr>
                              <w:rPr>
                                <w:rFonts w:ascii="Cambria Math" w:hAnsi="Times New Roman" w:cs="Times New Roman"/>
                                <w:i/>
                                <w:lang w:val="en-US"/>
                              </w:rPr>
                            </m:ctrlPr>
                          </m:sSubPr>
                          <m:e>
                            <m:r>
                              <w:rPr>
                                <w:rFonts w:ascii="Cambria Math" w:hAnsi="Cambria Math" w:cs="Times New Roman"/>
                                <w:lang w:val="en-US"/>
                              </w:rPr>
                              <m:t>γ</m:t>
                            </m:r>
                          </m:e>
                          <m:sub>
                            <m:r>
                              <w:rPr>
                                <w:rFonts w:ascii="Cambria Math" w:hAnsi="Cambria Math" w:cs="Times New Roman"/>
                                <w:lang w:val="en-US"/>
                              </w:rPr>
                              <m:t>p</m:t>
                            </m:r>
                          </m:sub>
                        </m:sSub>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Cambria Math" w:cs="Times New Roman"/>
                                <w:lang w:val="en-US"/>
                              </w:rPr>
                              <m:t>t</m:t>
                            </m:r>
                            <m:r>
                              <w:rPr>
                                <w:rFonts w:ascii="Times New Roman" w:hAnsi="Times New Roman" w:cs="Times New Roman"/>
                                <w:lang w:val="en-US"/>
                              </w:rPr>
                              <m:t>-</m:t>
                            </m:r>
                            <m:r>
                              <w:rPr>
                                <w:rFonts w:ascii="Cambria Math" w:hAnsi="Cambria Math" w:cs="Times New Roman"/>
                                <w:lang w:val="en-US"/>
                              </w:rPr>
                              <m:t>p</m:t>
                            </m:r>
                          </m:sub>
                        </m:sSub>
                      </m:e>
                    </m:nary>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Cambria Math" w:cs="Times New Roman"/>
                            <w:lang w:val="en-US"/>
                          </w:rPr>
                          <m:t>ε</m:t>
                        </m:r>
                      </m:e>
                      <m:sub>
                        <m:r>
                          <w:rPr>
                            <w:rFonts w:ascii="Cambria Math" w:hAnsi="Cambria Math" w:cs="Times New Roman"/>
                            <w:lang w:val="en-US"/>
                          </w:rPr>
                          <m:t>t</m:t>
                        </m:r>
                      </m:sub>
                    </m:sSub>
                    <m:r>
                      <w:rPr>
                        <w:rFonts w:ascii="Cambria Math" w:hAnsi="Times New Roman" w:cs="Times New Roman"/>
                        <w:lang w:val="en-US"/>
                      </w:rPr>
                      <m:t>,</m:t>
                    </m:r>
                  </m:e>
                </m:nary>
              </m:e>
              <m:e>
                <m:r>
                  <w:rPr>
                    <w:rFonts w:ascii="Cambria Math" w:hAnsi="Times New Roman" w:cs="Times New Roman"/>
                    <w:lang w:val="en-US"/>
                  </w:rPr>
                  <m:t>(1)</m:t>
                </m:r>
              </m:e>
            </m:mr>
          </m:m>
        </m:oMath>
      </m:oMathPara>
    </w:p>
    <w:p w:rsidR="00C752C0" w:rsidRPr="00DA6A7D" w:rsidRDefault="00C752C0" w:rsidP="00C752C0">
      <w:pPr>
        <w:ind w:left="-284" w:right="-7" w:firstLine="710"/>
        <w:jc w:val="both"/>
        <w:rPr>
          <w:rFonts w:ascii="Times New Roman" w:hAnsi="Times New Roman" w:cs="Times New Roman"/>
          <w:lang w:val="en-US"/>
        </w:rPr>
      </w:pP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where M</w:t>
      </w:r>
      <w:r w:rsidRPr="00DA6A7D">
        <w:rPr>
          <w:rFonts w:ascii="Times New Roman" w:hAnsi="Times New Roman" w:cs="Times New Roman"/>
          <w:vertAlign w:val="subscript"/>
          <w:lang w:val="en-US"/>
        </w:rPr>
        <w:t xml:space="preserve">t </w:t>
      </w:r>
      <w:r w:rsidRPr="00DA6A7D">
        <w:rPr>
          <w:rFonts w:ascii="Times New Roman" w:hAnsi="Times New Roman" w:cs="Times New Roman"/>
          <w:lang w:val="en-US"/>
        </w:rPr>
        <w:t xml:space="preserve"> - the major macroeconomic indicator index return; </w:t>
      </w:r>
    </w:p>
    <w:p w:rsidR="00C752C0" w:rsidRPr="00DA6A7D" w:rsidRDefault="00C752C0" w:rsidP="00C752C0">
      <w:pPr>
        <w:ind w:left="-284" w:right="-7" w:firstLine="992"/>
        <w:jc w:val="both"/>
        <w:rPr>
          <w:rFonts w:ascii="Times New Roman" w:hAnsi="Times New Roman" w:cs="Times New Roman"/>
          <w:lang w:val="en-US"/>
        </w:rPr>
      </w:pPr>
      <w:r w:rsidRPr="00DA6A7D">
        <w:rPr>
          <w:rFonts w:ascii="Times New Roman" w:hAnsi="Times New Roman" w:cs="Times New Roman"/>
          <w:lang w:val="en-US"/>
        </w:rPr>
        <w:t>A</w:t>
      </w:r>
      <w:r w:rsidRPr="00DA6A7D">
        <w:rPr>
          <w:rFonts w:ascii="Times New Roman" w:hAnsi="Times New Roman" w:cs="Times New Roman"/>
          <w:vertAlign w:val="subscript"/>
          <w:lang w:val="en-US"/>
        </w:rPr>
        <w:t xml:space="preserve">t-p </w:t>
      </w:r>
      <w:r w:rsidRPr="00DA6A7D">
        <w:rPr>
          <w:rFonts w:ascii="Times New Roman" w:hAnsi="Times New Roman" w:cs="Times New Roman"/>
          <w:lang w:val="en-US"/>
        </w:rPr>
        <w:t>– assets return;</w:t>
      </w:r>
    </w:p>
    <w:p w:rsidR="00C752C0" w:rsidRPr="00DA6A7D" w:rsidRDefault="00C752C0" w:rsidP="00C752C0">
      <w:pPr>
        <w:ind w:left="-284" w:right="-7" w:firstLine="993"/>
        <w:jc w:val="both"/>
        <w:rPr>
          <w:rFonts w:ascii="Times New Roman" w:hAnsi="Times New Roman" w:cs="Times New Roman"/>
          <w:lang w:val="en-US"/>
        </w:rPr>
      </w:pPr>
      <m:oMath>
        <m:sSub>
          <m:sSubPr>
            <m:ctrlPr>
              <w:rPr>
                <w:rFonts w:ascii="Cambria Math" w:hAnsi="Times New Roman" w:cs="Times New Roman"/>
                <w:i/>
              </w:rPr>
            </m:ctrlPr>
          </m:sSubPr>
          <m:e>
            <m:r>
              <w:rPr>
                <w:rFonts w:ascii="Cambria Math" w:hAnsi="Cambria Math" w:cs="Times New Roman"/>
              </w:rPr>
              <m:t>ε</m:t>
            </m:r>
          </m:e>
          <m:sub>
            <m:r>
              <w:rPr>
                <w:rFonts w:ascii="Cambria Math" w:hAnsi="Cambria Math" w:cs="Times New Roman"/>
                <w:lang w:val="en-US"/>
              </w:rPr>
              <m:t>t</m:t>
            </m:r>
          </m:sub>
        </m:sSub>
      </m:oMath>
      <w:r w:rsidRPr="00DA6A7D">
        <w:rPr>
          <w:rFonts w:ascii="Times New Roman" w:hAnsi="Times New Roman" w:cs="Times New Roman"/>
          <w:lang w:val="en-US"/>
        </w:rPr>
        <w:t xml:space="preserve"> – random error; </w:t>
      </w:r>
    </w:p>
    <w:p w:rsidR="00C752C0" w:rsidRPr="00DA6A7D" w:rsidRDefault="00C752C0" w:rsidP="00C752C0">
      <w:pPr>
        <w:ind w:left="-284" w:right="-7" w:firstLine="992"/>
        <w:jc w:val="both"/>
        <w:rPr>
          <w:rFonts w:ascii="Times New Roman" w:hAnsi="Times New Roman" w:cs="Times New Roman"/>
          <w:lang w:val="en-US"/>
        </w:rPr>
      </w:pPr>
      <w:r w:rsidRPr="00DA6A7D">
        <w:rPr>
          <w:rFonts w:ascii="Times New Roman" w:hAnsi="Times New Roman" w:cs="Times New Roman"/>
          <w:lang w:val="en-US"/>
        </w:rPr>
        <w:t xml:space="preserve">t – time moment. </w:t>
      </w:r>
    </w:p>
    <w:p w:rsidR="00C752C0" w:rsidRPr="00DA6A7D" w:rsidRDefault="00C752C0" w:rsidP="00C752C0">
      <w:pPr>
        <w:ind w:left="-284" w:right="-7" w:firstLine="710"/>
        <w:jc w:val="both"/>
        <w:rPr>
          <w:rFonts w:ascii="Times New Roman" w:hAnsi="Times New Roman" w:cs="Times New Roman"/>
          <w:lang w:val="en-US"/>
        </w:rPr>
      </w:pP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 xml:space="preserve">The number of lags in the model for the dependent and the independent variables were defined using </w:t>
      </w:r>
      <w:r w:rsidRPr="00DA6A7D">
        <w:rPr>
          <w:rFonts w:ascii="Times New Roman" w:hAnsi="Times New Roman" w:cs="Times New Roman"/>
          <w:i/>
          <w:lang w:val="en-US"/>
        </w:rPr>
        <w:t>Box-Jenkins approach to time-series modeling</w:t>
      </w:r>
      <w:r w:rsidRPr="00DA6A7D">
        <w:rPr>
          <w:rFonts w:ascii="Times New Roman" w:hAnsi="Times New Roman" w:cs="Times New Roman"/>
          <w:lang w:val="en-US"/>
        </w:rPr>
        <w:t xml:space="preserve">. The lags order proposed by ARIMA(p,d,q) were used as the lags order for the dependent and independent variables accordingly. As C.A. Sims mentioned, “truncating </w:t>
      </w:r>
      <w:r w:rsidRPr="00DA6A7D">
        <w:rPr>
          <w:rFonts w:ascii="Times New Roman" w:hAnsi="Times New Roman" w:cs="Times New Roman"/>
          <w:lang w:val="en-US"/>
        </w:rPr>
        <w:lastRenderedPageBreak/>
        <w:t xml:space="preserve">lag distributions is part of the process of estimation – lag length is itself estimated one way or another – and that when our model is not identified without the pretense that we know lag length to begin with”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"author" : [ { "dropping-particle" : "", "family" : "Sims", "given" : "Christopher A", "non-dropping-particle" : "", "parse-names" : false, "suffix" : "" } ], "container-title" : "Econometrica", "id" : "ITEM-1", "issue" : "1", "issued" : { "date-parts" : [ [ "1980" ] ] }, "page" : "1-48", "title" : "Macroeconomics and Reality", "type" : "article-journal", "volume" : "48" }, "uris" : [ "http://www.mendeley.com/documents/?uuid=7073553d-e66d-36f6-bd74-17a015ff36ff" ] } ], "mendeley" : { "formattedCitation" : "(Sims, 1980)", "plainTextFormattedCitation" : "(Sims, 1980)", "previouslyFormattedCitation" : "(Sims, 1980)"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(Sims, 1980)</w:t>
      </w:r>
      <w:r w:rsidRPr="00DA6A7D">
        <w:rPr>
          <w:rFonts w:ascii="Times New Roman" w:hAnsi="Times New Roman" w:cs="Times New Roman"/>
          <w:lang w:val="en-US"/>
        </w:rPr>
        <w:fldChar w:fldCharType="end"/>
      </w:r>
      <w:r w:rsidRPr="00DA6A7D">
        <w:rPr>
          <w:rFonts w:ascii="Times New Roman" w:hAnsi="Times New Roman" w:cs="Times New Roman"/>
          <w:lang w:val="en-US"/>
        </w:rPr>
        <w:t xml:space="preserve">. Introducing too many lags leads to the model loosing degrees of freedom, while too few lags too few lags can make the model misspecified, that in the same time leads to the residuals autocorrelation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"URL" : "http://fmwww.bc.edu/EC-C/S2013/823/EC823.S2013.nn10.slides.pdf", "author" : [ { "dropping-particle" : "", "family" : "Baum", "given" : "Ch.F.", "non-dropping-particle" : "", "parse-names" : false, "suffix" : "" } ], "id" : "ITEM-1", "issued" : { "date-parts" : [ [ "2013" ] ] }, "page" : "1-61", "title" : "VAR, SVAR and VECM models", "type" : "webpage" }, "uris" : [ "http://www.mendeley.com/documents/?uuid=50f3c4c0-938c-4b7d-b2f5-6e7bc8dc2b57" ] } ], "mendeley" : { "formattedCitation" : "(Baum, 2013)", "plainTextFormattedCitation" : "(Baum, 2013)", "previouslyFormattedCitation" : "(Baum, 2013)"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(Baum, 2013)</w:t>
      </w:r>
      <w:r w:rsidRPr="00DA6A7D">
        <w:rPr>
          <w:rFonts w:ascii="Times New Roman" w:hAnsi="Times New Roman" w:cs="Times New Roman"/>
          <w:lang w:val="en-US"/>
        </w:rPr>
        <w:fldChar w:fldCharType="end"/>
      </w:r>
      <w:r w:rsidRPr="00DA6A7D">
        <w:rPr>
          <w:rFonts w:ascii="Times New Roman" w:hAnsi="Times New Roman" w:cs="Times New Roman"/>
          <w:lang w:val="en-US"/>
        </w:rPr>
        <w:t>.</w:t>
      </w: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 xml:space="preserve">Alongside with lag selection by ARIMA(p,d,q) specification according to Box-Jenkins approach to time series modeling, </w:t>
      </w:r>
      <w:r w:rsidRPr="00DA6A7D">
        <w:rPr>
          <w:rFonts w:ascii="Times New Roman" w:hAnsi="Times New Roman" w:cs="Times New Roman"/>
          <w:i/>
          <w:lang w:val="en-US"/>
        </w:rPr>
        <w:t>Hatanaka’s criterion</w:t>
      </w:r>
      <w:r w:rsidRPr="00DA6A7D">
        <w:rPr>
          <w:rFonts w:ascii="Times New Roman" w:hAnsi="Times New Roman" w:cs="Times New Roman"/>
          <w:lang w:val="en-US"/>
        </w:rPr>
        <w:t xml:space="preserve"> is used for VAR’s lag number selection. It is that the exogenous variable lag number shouldn’t be less than the endogenous variable lag number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"10.2307/2525995", "ISSN" : "00206598", "author" : [ { "dropping-particle" : "", "family" : "Hatanaka", "given" : "Michio", "non-dropping-particle" : "", "parse-names" : false, "suffix" : "" } ], "container-title" : "International Economic Review", "id" : "ITEM-1", "issue" : "3", "issued" : { "date-parts" : [ [ "1975", "10" ] ] }, "page" : "545", "title" : "On the Global Identification of the Dynamic Simultaneous Equations Model with Stationary Disturbances", "type" : "article-journal", "volume" : "16" }, "uris" : [ "http://www.mendeley.com/documents/?uuid=b6687b23-1ad0-4dbd-bfe0-84d45face160" ] }, { "id" : "ITEM-2", "itemData" : { "author" : [ { "dropping-particle" : "", "family" : "Sims", "given" : "Christopher A", "non-dropping-particle" : "", "parse-names" : false, "suffix" : "" } ], "container-title" : "Econometrica", "id" : "ITEM-2", "issue" : "1", "issued" : { "date-parts" : [ [ "1980" ] ] }, "page" : "1-48", "title" : "Macroeconomics and Reality", "type" : "article-journal", "volume" : "48" }, "uris" : [ "http://www.mendeley.com/documents/?uuid=7073553d-e66d-36f6-bd74-17a015ff36ff" ] } ], "mendeley" : { "formattedCitation" : "(Hatanaka, 1975; Sims, 1980)", "plainTextFormattedCitation" : "(Hatanaka, 1975; Sims, 1980)", "previouslyFormattedCitation" : "(Hatanaka, 1975; Sims, 1980)"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(Hatanaka, 1975; Sims, 1980)</w:t>
      </w:r>
      <w:r w:rsidRPr="00DA6A7D">
        <w:rPr>
          <w:rFonts w:ascii="Times New Roman" w:hAnsi="Times New Roman" w:cs="Times New Roman"/>
          <w:lang w:val="en-US"/>
        </w:rPr>
        <w:fldChar w:fldCharType="end"/>
      </w:r>
      <w:r w:rsidRPr="00DA6A7D">
        <w:rPr>
          <w:rFonts w:ascii="Times New Roman" w:hAnsi="Times New Roman" w:cs="Times New Roman"/>
          <w:lang w:val="en-US"/>
        </w:rPr>
        <w:t>.</w:t>
      </w: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At the same time, as ARIMA(p,d,q) proposes the order of time series smoothing to avoid the residuals heteroskedasticity and implies that the time series are stationary (that means, the original time series must be modifies so that the time series analyzed are stationary: the trend, if any, should be extracted from the time series, and, in case of random walk process, take the differences of the required order). The constant term of the VAR model, α, can be interpreted as the influence of other factors on the macroeconomic parameter M, that are not considered in the model. This model was assessed for each pair of the asset price and the macroeconomic indicator.</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The vector autoregressive model shows the probability of the error and in this sense it is the risk measure. As far as the model itself assess the financial contagion, the probability of the error is low then the financial contagion is strong and there exists a significant interconnection between the variables. And them the model error probability is high, the financial contagion is low.</w:t>
      </w:r>
    </w:p>
    <w:p w:rsidR="00C752C0" w:rsidRPr="00DA6A7D" w:rsidRDefault="00C752C0" w:rsidP="00C752C0">
      <w:pPr>
        <w:ind w:left="-284" w:right="-7" w:firstLine="709"/>
        <w:jc w:val="both"/>
        <w:rPr>
          <w:rFonts w:ascii="Times New Roman" w:hAnsi="Times New Roman" w:cs="Times New Roman"/>
          <w:lang w:val="en-US"/>
        </w:rPr>
      </w:pPr>
      <w:r w:rsidRPr="00DA6A7D">
        <w:rPr>
          <w:rFonts w:ascii="Times New Roman" w:hAnsi="Times New Roman" w:cs="Times New Roman"/>
          <w:lang w:val="en-US"/>
        </w:rPr>
        <w:t>As the periods of economic crises differs from market to market, the period of assessment was 1 year in order to make historical risk dynamic comparable for different markets. According to the scheme, presented in the Appendix 1, the financial contagion indicator, based on the VAR model, was derived from the p-value of the model of financial contagion. As the p-value itself shows the probability of the situation then the VAR model is not significant, the 1 – p-value can be interpreted as the probability, that the model is significant, so the financial contagion does exist. But, as the results show, the most trivial situation is then the financial contagion indicator (1 - p-value) is lower than 90% (traditionally, three confidence levels are used during the hypothesis of non-significance of the model testing: 0,1; 0,5 and 0,01 error probability).</w:t>
      </w:r>
    </w:p>
    <w:p w:rsidR="00C752C0" w:rsidRPr="00DA6A7D" w:rsidRDefault="00C752C0" w:rsidP="00C752C0">
      <w:pPr>
        <w:ind w:left="-284" w:right="-7" w:firstLine="709"/>
        <w:jc w:val="both"/>
        <w:rPr>
          <w:rFonts w:ascii="Times New Roman" w:hAnsi="Times New Roman" w:cs="Times New Roman"/>
          <w:lang w:val="en-US"/>
        </w:rPr>
      </w:pPr>
      <w:r w:rsidRPr="00DA6A7D">
        <w:rPr>
          <w:rFonts w:ascii="Times New Roman" w:hAnsi="Times New Roman" w:cs="Times New Roman"/>
          <w:lang w:val="en-US"/>
        </w:rPr>
        <w:t>The next step after obtaining the financial contagion indicator value for each pair of the dependent variable and the independent variable was to calculate the aggregated p-value for each dependent variable. The weight of each dependent variable p-value was obtained on the base of the following equation (2)</w:t>
      </w:r>
    </w:p>
    <w:p w:rsidR="00C752C0" w:rsidRPr="00DA6A7D" w:rsidRDefault="00C752C0" w:rsidP="00C752C0">
      <w:pPr>
        <w:ind w:right="-7"/>
        <w:jc w:val="both"/>
        <w:rPr>
          <w:rFonts w:ascii="Times New Roman" w:hAnsi="Times New Roman" w:cs="Times New Roman"/>
          <w:lang w:val="en-US"/>
        </w:rPr>
      </w:pPr>
    </w:p>
    <w:p w:rsidR="00C752C0" w:rsidRPr="00DA6A7D" w:rsidRDefault="00C752C0" w:rsidP="00C752C0">
      <w:pPr>
        <w:ind w:right="-7"/>
        <w:jc w:val="both"/>
        <w:rPr>
          <w:rFonts w:ascii="Times New Roman" w:hAnsi="Times New Roman" w:cs="Times New Roman"/>
          <w:lang w:val="en-US"/>
        </w:rPr>
      </w:pPr>
      <m:oMathPara>
        <m:oMath>
          <m:m>
            <m:mPr>
              <m:mcs>
                <m:mc>
                  <m:mcPr>
                    <m:count m:val="2"/>
                    <m:mcJc m:val="center"/>
                  </m:mcPr>
                </m:mc>
              </m:mcs>
              <m:ctrlPr>
                <w:rPr>
                  <w:rFonts w:ascii="Cambria Math" w:hAnsi="Times New Roman" w:cs="Times New Roman"/>
                  <w:i/>
                  <w:lang w:val="en-US"/>
                </w:rPr>
              </m:ctrlPr>
            </m:mPr>
            <m:mr>
              <m:e>
                <m:sSub>
                  <m:sSubPr>
                    <m:ctrlPr>
                      <w:rPr>
                        <w:rFonts w:ascii="Cambria Math" w:hAnsi="Times New Roman" w:cs="Times New Roman"/>
                        <w:i/>
                        <w:lang w:val="en-US"/>
                      </w:rPr>
                    </m:ctrlPr>
                  </m:sSubPr>
                  <m:e>
                    <m:r>
                      <w:rPr>
                        <w:rFonts w:ascii="Cambria Math" w:hAnsi="Cambria Math" w:cs="Times New Roman"/>
                        <w:lang w:val="en-US"/>
                      </w:rPr>
                      <m:t>W</m:t>
                    </m:r>
                  </m:e>
                  <m:sub>
                    <m:r>
                      <w:rPr>
                        <w:rFonts w:ascii="Cambria Math" w:hAnsi="Cambria Math" w:cs="Times New Roman"/>
                        <w:lang w:val="en-US"/>
                      </w:rPr>
                      <m:t>i</m:t>
                    </m:r>
                  </m:sub>
                </m:sSub>
                <m:r>
                  <w:rPr>
                    <w:rFonts w:ascii="Cambria Math" w:hAnsi="Times New Roman" w:cs="Times New Roman"/>
                    <w:lang w:val="en-US"/>
                  </w:rPr>
                  <m:t>=</m:t>
                </m:r>
                <m:f>
                  <m:fPr>
                    <m:ctrlPr>
                      <w:rPr>
                        <w:rFonts w:ascii="Cambria Math" w:hAnsi="Times New Roman" w:cs="Times New Roman"/>
                        <w:i/>
                        <w:lang w:val="en-US"/>
                      </w:rPr>
                    </m:ctrlPr>
                  </m:fPr>
                  <m:num>
                    <m:nary>
                      <m:naryPr>
                        <m:chr m:val="∑"/>
                        <m:limLoc m:val="undOvr"/>
                        <m:ctrlPr>
                          <w:rPr>
                            <w:rFonts w:ascii="Cambria Math" w:hAnsi="Times New Roman" w:cs="Times New Roman"/>
                            <w:i/>
                            <w:lang w:val="en-US"/>
                          </w:rPr>
                        </m:ctrlPr>
                      </m:naryPr>
                      <m:sub>
                        <m:r>
                          <w:rPr>
                            <w:rFonts w:ascii="Cambria Math" w:hAnsi="Cambria Math" w:cs="Times New Roman"/>
                            <w:lang w:val="en-US"/>
                          </w:rPr>
                          <m:t>t</m:t>
                        </m:r>
                        <m:r>
                          <w:rPr>
                            <w:rFonts w:ascii="Cambria Math" w:hAnsi="Times New Roman" w:cs="Times New Roman"/>
                            <w:lang w:val="en-US"/>
                          </w:rPr>
                          <m:t>=1</m:t>
                        </m:r>
                      </m:sub>
                      <m:sup>
                        <m:r>
                          <w:rPr>
                            <w:rFonts w:ascii="Cambria Math" w:hAnsi="Cambria Math" w:cs="Times New Roman"/>
                            <w:lang w:val="en-US"/>
                          </w:rPr>
                          <m:t>T</m:t>
                        </m:r>
                      </m:sup>
                      <m:e>
                        <m:sSub>
                          <m:sSubPr>
                            <m:ctrlPr>
                              <w:rPr>
                                <w:rFonts w:ascii="Cambria Math" w:hAnsi="Times New Roman" w:cs="Times New Roman"/>
                                <w:i/>
                                <w:lang w:val="en-US"/>
                              </w:rPr>
                            </m:ctrlPr>
                          </m:sSubPr>
                          <m:e>
                            <m:r>
                              <w:rPr>
                                <w:rFonts w:ascii="Cambria Math" w:hAnsi="Cambria Math" w:cs="Times New Roman"/>
                                <w:lang w:val="en-US"/>
                              </w:rPr>
                              <m:t>V</m:t>
                            </m:r>
                          </m:e>
                          <m:sub>
                            <m:r>
                              <w:rPr>
                                <w:rFonts w:ascii="Cambria Math" w:hAnsi="Cambria Math" w:cs="Times New Roman"/>
                                <w:lang w:val="en-US"/>
                              </w:rPr>
                              <m:t>i</m:t>
                            </m:r>
                            <m:r>
                              <w:rPr>
                                <w:rFonts w:ascii="Cambria Math" w:hAnsi="Times New Roman" w:cs="Times New Roman"/>
                                <w:lang w:val="en-US"/>
                              </w:rPr>
                              <m:t>,</m:t>
                            </m:r>
                            <m:r>
                              <w:rPr>
                                <w:rFonts w:ascii="Cambria Math" w:hAnsi="Cambria Math" w:cs="Times New Roman"/>
                                <w:lang w:val="en-US"/>
                              </w:rPr>
                              <m:t>t</m:t>
                            </m:r>
                          </m:sub>
                        </m:sSub>
                      </m:e>
                    </m:nary>
                  </m:num>
                  <m:den>
                    <m:nary>
                      <m:naryPr>
                        <m:chr m:val="∑"/>
                        <m:limLoc m:val="undOvr"/>
                        <m:ctrlPr>
                          <w:rPr>
                            <w:rFonts w:ascii="Cambria Math" w:hAnsi="Times New Roman" w:cs="Times New Roman"/>
                            <w:i/>
                            <w:lang w:val="en-US"/>
                          </w:rPr>
                        </m:ctrlPr>
                      </m:naryPr>
                      <m:sub>
                        <m:r>
                          <w:rPr>
                            <w:rFonts w:ascii="Cambria Math" w:hAnsi="Cambria Math" w:cs="Times New Roman"/>
                            <w:lang w:val="en-US"/>
                          </w:rPr>
                          <m:t>i</m:t>
                        </m:r>
                        <m:r>
                          <w:rPr>
                            <w:rFonts w:ascii="Cambria Math" w:hAnsi="Times New Roman" w:cs="Times New Roman"/>
                            <w:lang w:val="en-US"/>
                          </w:rPr>
                          <m:t>=1</m:t>
                        </m:r>
                      </m:sub>
                      <m:sup>
                        <m:r>
                          <w:rPr>
                            <w:rFonts w:ascii="Cambria Math" w:hAnsi="Cambria Math" w:cs="Times New Roman"/>
                            <w:lang w:val="en-US"/>
                          </w:rPr>
                          <m:t>n</m:t>
                        </m:r>
                      </m:sup>
                      <m:e>
                        <m:nary>
                          <m:naryPr>
                            <m:chr m:val="∑"/>
                            <m:limLoc m:val="undOvr"/>
                            <m:ctrlPr>
                              <w:rPr>
                                <w:rFonts w:ascii="Cambria Math" w:hAnsi="Times New Roman" w:cs="Times New Roman"/>
                                <w:i/>
                                <w:lang w:val="en-US"/>
                              </w:rPr>
                            </m:ctrlPr>
                          </m:naryPr>
                          <m:sub>
                            <m:r>
                              <w:rPr>
                                <w:rFonts w:ascii="Cambria Math" w:hAnsi="Cambria Math" w:cs="Times New Roman"/>
                                <w:lang w:val="en-US"/>
                              </w:rPr>
                              <m:t>t</m:t>
                            </m:r>
                            <m:r>
                              <w:rPr>
                                <w:rFonts w:ascii="Cambria Math" w:hAnsi="Times New Roman" w:cs="Times New Roman"/>
                                <w:lang w:val="en-US"/>
                              </w:rPr>
                              <m:t>=1</m:t>
                            </m:r>
                          </m:sub>
                          <m:sup>
                            <m:r>
                              <w:rPr>
                                <w:rFonts w:ascii="Cambria Math" w:hAnsi="Cambria Math" w:cs="Times New Roman"/>
                                <w:lang w:val="en-US"/>
                              </w:rPr>
                              <m:t>T</m:t>
                            </m:r>
                          </m:sup>
                          <m:e>
                            <m:sSub>
                              <m:sSubPr>
                                <m:ctrlPr>
                                  <w:rPr>
                                    <w:rFonts w:ascii="Cambria Math" w:hAnsi="Times New Roman" w:cs="Times New Roman"/>
                                    <w:i/>
                                    <w:lang w:val="en-US"/>
                                  </w:rPr>
                                </m:ctrlPr>
                              </m:sSubPr>
                              <m:e>
                                <m:r>
                                  <w:rPr>
                                    <w:rFonts w:ascii="Cambria Math" w:hAnsi="Cambria Math" w:cs="Times New Roman"/>
                                    <w:lang w:val="en-US"/>
                                  </w:rPr>
                                  <m:t>V</m:t>
                                </m:r>
                              </m:e>
                              <m:sub>
                                <m:r>
                                  <w:rPr>
                                    <w:rFonts w:ascii="Cambria Math" w:hAnsi="Cambria Math" w:cs="Times New Roman"/>
                                    <w:lang w:val="en-US"/>
                                  </w:rPr>
                                  <m:t>i</m:t>
                                </m:r>
                                <m:r>
                                  <w:rPr>
                                    <w:rFonts w:ascii="Cambria Math" w:hAnsi="Times New Roman" w:cs="Times New Roman"/>
                                    <w:lang w:val="en-US"/>
                                  </w:rPr>
                                  <m:t>,</m:t>
                                </m:r>
                                <m:r>
                                  <w:rPr>
                                    <w:rFonts w:ascii="Cambria Math" w:hAnsi="Cambria Math" w:cs="Times New Roman"/>
                                    <w:lang w:val="en-US"/>
                                  </w:rPr>
                                  <m:t>t</m:t>
                                </m:r>
                              </m:sub>
                            </m:sSub>
                          </m:e>
                        </m:nary>
                      </m:e>
                    </m:nary>
                  </m:den>
                </m:f>
                <m:r>
                  <w:rPr>
                    <w:rFonts w:ascii="Cambria Math" w:hAnsi="Times New Roman" w:cs="Times New Roman"/>
                    <w:lang w:val="en-US"/>
                  </w:rPr>
                  <m:t>,</m:t>
                </m:r>
              </m:e>
              <m:e>
                <m:r>
                  <w:rPr>
                    <w:rFonts w:ascii="Cambria Math" w:hAnsi="Times New Roman" w:cs="Times New Roman"/>
                    <w:lang w:val="en-US"/>
                  </w:rPr>
                  <m:t>(2)</m:t>
                </m:r>
              </m:e>
            </m:mr>
          </m:m>
        </m:oMath>
      </m:oMathPara>
    </w:p>
    <w:p w:rsidR="00C752C0" w:rsidRPr="00DA6A7D" w:rsidRDefault="00C752C0" w:rsidP="00C752C0">
      <w:pPr>
        <w:ind w:right="-7"/>
        <w:jc w:val="both"/>
        <w:rPr>
          <w:rFonts w:ascii="Times New Roman" w:hAnsi="Times New Roman" w:cs="Times New Roman"/>
          <w:lang w:val="en-US"/>
        </w:rPr>
      </w:pPr>
    </w:p>
    <w:p w:rsidR="00C752C0" w:rsidRPr="00DA6A7D" w:rsidRDefault="00C752C0" w:rsidP="00C752C0">
      <w:pPr>
        <w:ind w:left="-284" w:right="-7" w:firstLine="0"/>
        <w:jc w:val="both"/>
        <w:rPr>
          <w:rFonts w:ascii="Times New Roman" w:hAnsi="Times New Roman" w:cs="Times New Roman"/>
          <w:lang w:val="en-US"/>
        </w:rPr>
      </w:pPr>
      <w:r w:rsidRPr="00DA6A7D">
        <w:rPr>
          <w:rFonts w:ascii="Times New Roman" w:hAnsi="Times New Roman" w:cs="Times New Roman"/>
          <w:lang w:val="en-US"/>
        </w:rPr>
        <w:t xml:space="preserve">where T - the period (one year); </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 xml:space="preserve">t - the defined time moment (one day) inside this period; </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V</w:t>
      </w:r>
      <w:r w:rsidRPr="00DA6A7D">
        <w:rPr>
          <w:rFonts w:ascii="Times New Roman" w:hAnsi="Times New Roman" w:cs="Times New Roman"/>
          <w:vertAlign w:val="subscript"/>
          <w:lang w:val="en-US"/>
        </w:rPr>
        <w:t xml:space="preserve">i,t </w:t>
      </w:r>
      <w:r w:rsidRPr="00DA6A7D">
        <w:rPr>
          <w:rFonts w:ascii="Times New Roman" w:hAnsi="Times New Roman" w:cs="Times New Roman"/>
          <w:lang w:val="en-US"/>
        </w:rPr>
        <w:t>– the turnover of the i</w:t>
      </w:r>
      <w:r w:rsidRPr="00DA6A7D">
        <w:rPr>
          <w:rFonts w:ascii="Times New Roman" w:hAnsi="Times New Roman" w:cs="Times New Roman"/>
          <w:vertAlign w:val="superscript"/>
          <w:lang w:val="en-US"/>
        </w:rPr>
        <w:t>th</w:t>
      </w:r>
      <w:r w:rsidRPr="00DA6A7D">
        <w:rPr>
          <w:rFonts w:ascii="Times New Roman" w:hAnsi="Times New Roman" w:cs="Times New Roman"/>
          <w:lang w:val="en-US"/>
        </w:rPr>
        <w:t xml:space="preserve"> asset in the day t; </w:t>
      </w:r>
    </w:p>
    <w:p w:rsidR="00C752C0" w:rsidRPr="00DA6A7D" w:rsidRDefault="00C752C0" w:rsidP="00C752C0">
      <w:pPr>
        <w:ind w:left="-284" w:right="-7" w:firstLine="680"/>
        <w:jc w:val="both"/>
        <w:rPr>
          <w:rFonts w:ascii="Times New Roman" w:hAnsi="Times New Roman" w:cs="Times New Roman"/>
          <w:lang w:val="en-US"/>
        </w:rPr>
      </w:pPr>
      <w:r w:rsidRPr="00DA6A7D">
        <w:rPr>
          <w:rFonts w:ascii="Times New Roman" w:hAnsi="Times New Roman" w:cs="Times New Roman"/>
          <w:lang w:val="en-US"/>
        </w:rPr>
        <w:t>n – the number of assets.</w:t>
      </w:r>
    </w:p>
    <w:p w:rsidR="00C752C0" w:rsidRPr="00DA6A7D" w:rsidRDefault="00C752C0" w:rsidP="00C752C0">
      <w:pPr>
        <w:ind w:right="-7"/>
        <w:jc w:val="both"/>
        <w:rPr>
          <w:rFonts w:ascii="Times New Roman" w:hAnsi="Times New Roman" w:cs="Times New Roman"/>
          <w:lang w:val="en-US"/>
        </w:rPr>
      </w:pPr>
    </w:p>
    <w:p w:rsidR="00C752C0" w:rsidRPr="00DA6A7D" w:rsidRDefault="00C752C0" w:rsidP="00C752C0">
      <w:pPr>
        <w:pStyle w:val="af1"/>
        <w:ind w:right="-7"/>
        <w:rPr>
          <w:rFonts w:ascii="Times New Roman" w:hAnsi="Times New Roman" w:cs="Times New Roman"/>
        </w:rPr>
      </w:pPr>
      <w:bookmarkStart w:id="8" w:name="_Toc453016112"/>
      <w:r w:rsidRPr="00DA6A7D">
        <w:rPr>
          <w:rFonts w:ascii="Times New Roman" w:hAnsi="Times New Roman" w:cs="Times New Roman"/>
        </w:rPr>
        <w:t>Results</w:t>
      </w:r>
      <w:bookmarkEnd w:id="8"/>
    </w:p>
    <w:p w:rsidR="00C752C0" w:rsidRPr="00DA6A7D" w:rsidRDefault="00C752C0" w:rsidP="00C752C0">
      <w:pPr>
        <w:ind w:left="-284" w:right="-7" w:firstLine="709"/>
        <w:jc w:val="both"/>
        <w:rPr>
          <w:rFonts w:ascii="Times New Roman" w:hAnsi="Times New Roman" w:cs="Times New Roman"/>
          <w:lang w:val="en-US"/>
        </w:rPr>
      </w:pPr>
    </w:p>
    <w:p w:rsidR="00C752C0" w:rsidRPr="00DA6A7D" w:rsidRDefault="00C752C0" w:rsidP="00C752C0">
      <w:pPr>
        <w:ind w:left="-284" w:right="-7" w:firstLine="709"/>
        <w:jc w:val="both"/>
        <w:rPr>
          <w:rFonts w:ascii="Times New Roman" w:hAnsi="Times New Roman" w:cs="Times New Roman"/>
          <w:lang w:val="en-US"/>
        </w:rPr>
      </w:pPr>
      <w:r w:rsidRPr="00DA6A7D">
        <w:rPr>
          <w:rFonts w:ascii="Times New Roman" w:hAnsi="Times New Roman" w:cs="Times New Roman"/>
          <w:lang w:val="en-US"/>
        </w:rPr>
        <w:t>The research results are presented for the three channels of the financial contagion and in the Appendix 4 with the network analysis using ORA-NetScenes software.</w:t>
      </w:r>
    </w:p>
    <w:p w:rsidR="00C752C0" w:rsidRPr="00DA6A7D" w:rsidRDefault="00C752C0" w:rsidP="00C752C0">
      <w:pPr>
        <w:ind w:left="-284" w:right="-7" w:firstLine="709"/>
        <w:jc w:val="both"/>
        <w:rPr>
          <w:rFonts w:ascii="Times New Roman" w:hAnsi="Times New Roman" w:cs="Times New Roman"/>
          <w:lang w:val="en-US"/>
        </w:rPr>
      </w:pPr>
    </w:p>
    <w:p w:rsidR="00C752C0" w:rsidRPr="00DA6A7D" w:rsidRDefault="00C752C0" w:rsidP="00C752C0">
      <w:pPr>
        <w:ind w:left="-284" w:right="-7" w:firstLine="709"/>
        <w:jc w:val="both"/>
        <w:rPr>
          <w:rFonts w:ascii="Times New Roman" w:hAnsi="Times New Roman" w:cs="Times New Roman"/>
          <w:b/>
          <w:i/>
          <w:lang w:val="en-US"/>
        </w:rPr>
      </w:pPr>
      <w:r w:rsidRPr="00DA6A7D">
        <w:rPr>
          <w:rFonts w:ascii="Times New Roman" w:hAnsi="Times New Roman" w:cs="Times New Roman"/>
          <w:b/>
          <w:i/>
          <w:lang w:val="en-US"/>
        </w:rPr>
        <w:t>Finnish market, 1997-2014</w:t>
      </w:r>
    </w:p>
    <w:p w:rsidR="00C752C0" w:rsidRPr="00DA6A7D" w:rsidRDefault="00C752C0" w:rsidP="00C752C0">
      <w:pPr>
        <w:ind w:left="-284" w:right="-7" w:firstLine="709"/>
        <w:jc w:val="both"/>
        <w:rPr>
          <w:rFonts w:ascii="Times New Roman" w:hAnsi="Times New Roman" w:cs="Times New Roman"/>
          <w:lang w:val="en-US"/>
        </w:rPr>
      </w:pPr>
    </w:p>
    <w:p w:rsidR="00C752C0" w:rsidRPr="00DA6A7D" w:rsidRDefault="00C752C0" w:rsidP="00C752C0">
      <w:pPr>
        <w:ind w:left="-284" w:right="-7"/>
        <w:jc w:val="both"/>
        <w:rPr>
          <w:rFonts w:ascii="Times New Roman" w:hAnsi="Times New Roman" w:cs="Times New Roman"/>
          <w:b/>
          <w:lang w:val="en-US"/>
        </w:rPr>
      </w:pPr>
      <w:r w:rsidRPr="00DA6A7D">
        <w:rPr>
          <w:rFonts w:ascii="Times New Roman" w:hAnsi="Times New Roman" w:cs="Times New Roman"/>
          <w:b/>
          <w:lang w:val="en-US"/>
        </w:rPr>
        <w:t>Table 2</w:t>
      </w:r>
    </w:p>
    <w:p w:rsidR="00C752C0" w:rsidRPr="00DA6A7D" w:rsidRDefault="00C752C0" w:rsidP="00C752C0">
      <w:pPr>
        <w:ind w:left="-284" w:right="-7"/>
        <w:jc w:val="both"/>
        <w:rPr>
          <w:rFonts w:ascii="Times New Roman" w:hAnsi="Times New Roman" w:cs="Times New Roman"/>
          <w:lang w:val="en-US"/>
        </w:rPr>
      </w:pPr>
      <w:r w:rsidRPr="00DA6A7D">
        <w:rPr>
          <w:rFonts w:ascii="Times New Roman" w:hAnsi="Times New Roman" w:cs="Times New Roman"/>
          <w:lang w:val="en-US"/>
        </w:rPr>
        <w:t>Results for Finnish market: the financial contagion indicator for the different dependent variables (market risk factors), 1997-2014</w:t>
      </w:r>
    </w:p>
    <w:p w:rsidR="00C752C0" w:rsidRPr="00DA6A7D" w:rsidRDefault="00C752C0" w:rsidP="00C752C0">
      <w:pPr>
        <w:ind w:left="-284" w:right="-7"/>
        <w:jc w:val="both"/>
        <w:rPr>
          <w:rFonts w:ascii="Times New Roman" w:hAnsi="Times New Roman" w:cs="Times New Roman"/>
          <w:lang w:val="en-US"/>
        </w:rPr>
      </w:pPr>
      <w:r w:rsidRPr="00DA6A7D">
        <w:drawing>
          <wp:inline distT="0" distB="0" distL="0" distR="0">
            <wp:extent cx="6199551" cy="2504661"/>
            <wp:effectExtent l="1905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198685" cy="2504311"/>
                    </a:xfrm>
                    <a:prstGeom prst="rect">
                      <a:avLst/>
                    </a:prstGeom>
                    <a:noFill/>
                    <a:ln w="9525">
                      <a:noFill/>
                      <a:miter lim="800000"/>
                      <a:headEnd/>
                      <a:tailEnd/>
                    </a:ln>
                  </pic:spPr>
                </pic:pic>
              </a:graphicData>
            </a:graphic>
          </wp:inline>
        </w:drawing>
      </w:r>
    </w:p>
    <w:p w:rsidR="00C752C0" w:rsidRPr="00DA6A7D" w:rsidRDefault="00C752C0" w:rsidP="00C752C0">
      <w:pPr>
        <w:ind w:left="-284" w:right="-7"/>
        <w:jc w:val="center"/>
        <w:rPr>
          <w:rFonts w:ascii="Times New Roman" w:hAnsi="Times New Roman" w:cs="Times New Roman"/>
          <w:b/>
          <w:lang w:val="en-US"/>
        </w:rPr>
      </w:pP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The situation on Finnish market is depicted precisely for the three channels on the Figure 1.</w:t>
      </w:r>
    </w:p>
    <w:p w:rsidR="00C752C0" w:rsidRPr="00DA6A7D" w:rsidRDefault="00C752C0" w:rsidP="00C752C0">
      <w:pPr>
        <w:ind w:left="-284" w:right="-7" w:firstLine="710"/>
        <w:jc w:val="both"/>
        <w:rPr>
          <w:rFonts w:ascii="Times New Roman" w:hAnsi="Times New Roman" w:cs="Times New Roman"/>
          <w:lang w:val="en-US"/>
        </w:rPr>
      </w:pPr>
    </w:p>
    <w:p w:rsidR="00C752C0" w:rsidRPr="00DA6A7D" w:rsidRDefault="00C752C0" w:rsidP="00C752C0">
      <w:pPr>
        <w:ind w:left="-284" w:right="-7"/>
        <w:jc w:val="both"/>
        <w:rPr>
          <w:rFonts w:ascii="Times New Roman" w:hAnsi="Times New Roman" w:cs="Times New Roman"/>
          <w:lang w:val="en-US"/>
        </w:rPr>
      </w:pPr>
      <w:r w:rsidRPr="00DA6A7D">
        <w:lastRenderedPageBreak/>
        <w:drawing>
          <wp:inline distT="0" distB="0" distL="0" distR="0">
            <wp:extent cx="6190919" cy="3896139"/>
            <wp:effectExtent l="19050" t="19050" r="19381" b="28161"/>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b="3918"/>
                    <a:stretch>
                      <a:fillRect/>
                    </a:stretch>
                  </pic:blipFill>
                  <pic:spPr bwMode="auto">
                    <a:xfrm>
                      <a:off x="0" y="0"/>
                      <a:ext cx="6190919" cy="3896139"/>
                    </a:xfrm>
                    <a:prstGeom prst="rect">
                      <a:avLst/>
                    </a:prstGeom>
                    <a:noFill/>
                    <a:ln w="9525">
                      <a:solidFill>
                        <a:schemeClr val="bg1">
                          <a:lumMod val="50000"/>
                        </a:schemeClr>
                      </a:solidFill>
                      <a:miter lim="800000"/>
                      <a:headEnd/>
                      <a:tailEnd/>
                    </a:ln>
                  </pic:spPr>
                </pic:pic>
              </a:graphicData>
            </a:graphic>
          </wp:inline>
        </w:drawing>
      </w: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Fig. 1. The financial contagion distribution channels’ factors for Finnish market, 1997-2014</w:t>
      </w:r>
    </w:p>
    <w:p w:rsidR="00C752C0" w:rsidRPr="00DA6A7D" w:rsidRDefault="00C752C0" w:rsidP="00C752C0">
      <w:pPr>
        <w:ind w:left="-284" w:right="-7"/>
        <w:jc w:val="center"/>
        <w:rPr>
          <w:rFonts w:ascii="Times New Roman" w:hAnsi="Times New Roman" w:cs="Times New Roman"/>
          <w:b/>
          <w:lang w:val="en-US"/>
        </w:rPr>
      </w:pP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As the Figure 1 shows, the financial contagion on Finnish market was absent during the period considered, but there can be pointed the years of comparatively higher (1999-2003; 2006-2010) and lower (2012-2014) financial contagion levels. The interconnections revealed are presented in the net maps (Appendix 5). During the period 1999-2002 the main part of the financial contagion level existed was brought by the following factors: crude oil Brent price in Europe, London fixed silver prices, Finnish government 16-bond transactions and Bank of Finland interbank offered rate (helibor) for 1 year period.</w:t>
      </w:r>
    </w:p>
    <w:p w:rsidR="00C752C0" w:rsidRPr="00DA6A7D" w:rsidRDefault="00C752C0" w:rsidP="00C752C0">
      <w:pPr>
        <w:ind w:left="-284" w:right="-7" w:firstLine="710"/>
        <w:jc w:val="both"/>
        <w:rPr>
          <w:rFonts w:ascii="Times New Roman" w:hAnsi="Times New Roman" w:cs="Times New Roman"/>
          <w:lang w:val="en-US"/>
        </w:rPr>
      </w:pPr>
    </w:p>
    <w:p w:rsidR="00C752C0" w:rsidRPr="00DA6A7D" w:rsidRDefault="00C752C0" w:rsidP="00C752C0">
      <w:pPr>
        <w:ind w:left="-284" w:right="-7" w:firstLine="710"/>
        <w:jc w:val="both"/>
        <w:rPr>
          <w:rFonts w:ascii="Times New Roman" w:hAnsi="Times New Roman" w:cs="Times New Roman"/>
          <w:b/>
          <w:i/>
          <w:lang w:val="en-US"/>
        </w:rPr>
      </w:pPr>
      <w:r w:rsidRPr="00DA6A7D">
        <w:rPr>
          <w:rFonts w:ascii="Times New Roman" w:hAnsi="Times New Roman" w:cs="Times New Roman"/>
          <w:b/>
          <w:i/>
          <w:lang w:val="en-US"/>
        </w:rPr>
        <w:t>Brazilian market, 1991-2015</w:t>
      </w:r>
    </w:p>
    <w:p w:rsidR="00C752C0" w:rsidRPr="00C752C0" w:rsidRDefault="00C752C0" w:rsidP="00C752C0">
      <w:pPr>
        <w:ind w:left="-284" w:right="-7"/>
        <w:jc w:val="center"/>
        <w:rPr>
          <w:rFonts w:ascii="Times New Roman" w:hAnsi="Times New Roman" w:cs="Times New Roman"/>
          <w:b/>
          <w:lang w:val="en-US"/>
        </w:rPr>
      </w:pPr>
    </w:p>
    <w:p w:rsidR="00C752C0" w:rsidRPr="00DA6A7D" w:rsidRDefault="00C752C0" w:rsidP="00C752C0">
      <w:pPr>
        <w:ind w:left="-284" w:right="-7" w:firstLine="0"/>
        <w:jc w:val="both"/>
        <w:rPr>
          <w:rFonts w:ascii="Times New Roman" w:hAnsi="Times New Roman" w:cs="Times New Roman"/>
          <w:b/>
          <w:lang w:val="en-US"/>
        </w:rPr>
      </w:pPr>
      <w:r w:rsidRPr="00DA6A7D">
        <w:rPr>
          <w:rFonts w:ascii="Times New Roman" w:hAnsi="Times New Roman" w:cs="Times New Roman"/>
          <w:b/>
          <w:lang w:val="en-US"/>
        </w:rPr>
        <w:t>Table 3</w:t>
      </w:r>
    </w:p>
    <w:p w:rsidR="00C752C0" w:rsidRPr="00DA6A7D" w:rsidRDefault="00C752C0" w:rsidP="00C752C0">
      <w:pPr>
        <w:ind w:left="-284" w:right="-7" w:firstLine="0"/>
        <w:rPr>
          <w:rFonts w:ascii="Times New Roman" w:hAnsi="Times New Roman" w:cs="Times New Roman"/>
          <w:lang w:val="en-US"/>
        </w:rPr>
      </w:pPr>
      <w:r w:rsidRPr="00DA6A7D">
        <w:rPr>
          <w:rFonts w:ascii="Times New Roman" w:hAnsi="Times New Roman" w:cs="Times New Roman"/>
          <w:lang w:val="en-US"/>
        </w:rPr>
        <w:t>Results for Brazilian market: the financial contagion indicator for the different dependent variables (market risk factors), 1991-2015</w:t>
      </w:r>
    </w:p>
    <w:p w:rsidR="00C752C0" w:rsidRPr="00DA6A7D" w:rsidRDefault="00C752C0" w:rsidP="00C752C0">
      <w:pPr>
        <w:ind w:left="-284" w:right="-7"/>
        <w:jc w:val="both"/>
        <w:rPr>
          <w:rFonts w:ascii="Times New Roman" w:hAnsi="Times New Roman" w:cs="Times New Roman"/>
          <w:lang w:val="en-US"/>
        </w:rPr>
      </w:pPr>
    </w:p>
    <w:p w:rsidR="00C752C0" w:rsidRPr="00DA6A7D" w:rsidRDefault="00C752C0" w:rsidP="00C752C0">
      <w:pPr>
        <w:ind w:left="-284" w:right="-7"/>
        <w:jc w:val="both"/>
        <w:rPr>
          <w:rFonts w:ascii="Times New Roman" w:hAnsi="Times New Roman" w:cs="Times New Roman"/>
          <w:lang w:val="en-US"/>
        </w:rPr>
      </w:pPr>
      <w:r w:rsidRPr="00DA6A7D">
        <w:lastRenderedPageBreak/>
        <w:drawing>
          <wp:inline distT="0" distB="0" distL="0" distR="0">
            <wp:extent cx="5936615" cy="7034666"/>
            <wp:effectExtent l="19050" t="0" r="6985"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36615" cy="7034666"/>
                    </a:xfrm>
                    <a:prstGeom prst="rect">
                      <a:avLst/>
                    </a:prstGeom>
                    <a:noFill/>
                    <a:ln w="9525">
                      <a:noFill/>
                      <a:miter lim="800000"/>
                      <a:headEnd/>
                      <a:tailEnd/>
                    </a:ln>
                  </pic:spPr>
                </pic:pic>
              </a:graphicData>
            </a:graphic>
          </wp:inline>
        </w:drawing>
      </w:r>
    </w:p>
    <w:p w:rsidR="00C752C0" w:rsidRPr="00DA6A7D" w:rsidRDefault="00C752C0" w:rsidP="00C752C0">
      <w:pPr>
        <w:ind w:left="-284" w:right="-7"/>
        <w:jc w:val="center"/>
        <w:rPr>
          <w:rFonts w:ascii="Times New Roman" w:hAnsi="Times New Roman" w:cs="Times New Roman"/>
          <w:b/>
          <w:lang w:val="en-US"/>
        </w:rPr>
      </w:pPr>
    </w:p>
    <w:p w:rsidR="00C752C0" w:rsidRPr="00DA6A7D" w:rsidRDefault="00C752C0" w:rsidP="00C752C0">
      <w:pPr>
        <w:ind w:left="-284" w:right="-7"/>
        <w:jc w:val="both"/>
        <w:rPr>
          <w:rFonts w:ascii="Times New Roman" w:hAnsi="Times New Roman" w:cs="Times New Roman"/>
          <w:lang w:val="en-US"/>
        </w:rPr>
      </w:pPr>
      <w:r w:rsidRPr="00DA6A7D">
        <w:lastRenderedPageBreak/>
        <w:drawing>
          <wp:inline distT="0" distB="0" distL="0" distR="0">
            <wp:extent cx="6118354" cy="4007457"/>
            <wp:effectExtent l="19050" t="0" r="0" b="0"/>
            <wp:docPr id="3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6118719" cy="4007696"/>
                    </a:xfrm>
                    <a:prstGeom prst="rect">
                      <a:avLst/>
                    </a:prstGeom>
                    <a:noFill/>
                    <a:ln w="9525">
                      <a:noFill/>
                      <a:miter lim="800000"/>
                      <a:headEnd/>
                      <a:tailEnd/>
                    </a:ln>
                  </pic:spPr>
                </pic:pic>
              </a:graphicData>
            </a:graphic>
          </wp:inline>
        </w:drawing>
      </w:r>
    </w:p>
    <w:p w:rsidR="00C752C0" w:rsidRPr="00DA6A7D" w:rsidRDefault="00C752C0" w:rsidP="00C752C0">
      <w:pPr>
        <w:ind w:left="-284" w:right="-7"/>
        <w:jc w:val="center"/>
        <w:rPr>
          <w:rFonts w:ascii="Times New Roman" w:hAnsi="Times New Roman" w:cs="Times New Roman"/>
          <w:b/>
          <w:lang w:val="en-US"/>
        </w:rPr>
      </w:pPr>
      <w:r w:rsidRPr="00DA6A7D">
        <w:rPr>
          <w:rFonts w:ascii="Times New Roman" w:hAnsi="Times New Roman" w:cs="Times New Roman"/>
          <w:lang w:val="en-US"/>
        </w:rPr>
        <w:t>Fig. 2. The financial contagion distribution channels’ factors for Brazilian market, 1991-2015</w:t>
      </w:r>
    </w:p>
    <w:p w:rsidR="00C752C0" w:rsidRPr="00DA6A7D" w:rsidRDefault="00C752C0" w:rsidP="00C752C0">
      <w:pPr>
        <w:ind w:left="-284" w:right="-7"/>
        <w:jc w:val="center"/>
        <w:rPr>
          <w:rFonts w:ascii="Times New Roman" w:hAnsi="Times New Roman" w:cs="Times New Roman"/>
          <w:b/>
          <w:lang w:val="en-US"/>
        </w:rPr>
      </w:pP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 xml:space="preserve">During the period 1991-2015 crisis 1992-1993 on Brazilian market isn’t reflected by the financial contagion indicator. In 1997 the liquidity channel was a little more active. This fact can be connected with the Asian financial crisis 1997-1998. The risk-premium channel shows some fluctuations in 1998, when, as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"DOI" : "10.3386/w10061", "author" : [ { "dropping-particle" : "", "family" : "Kaminsky", "given" : "Graciela", "non-dropping-particle" : "", "parse-names" : false, "suffix" : "" }, { "dropping-particle" : "", "family" : "Reinhart", "given" : "Carmen", "non-dropping-particle" : "", "parse-names" : false, "suffix" : "" }, { "dropping-particle" : "", "family" : "Vegh", "given" : "Carlos", "non-dropping-particle" : "", "parse-names" : false, "suffix" : "" } ], "id" : "ITEM-1", "issued" : { "date-parts" : [ [ "2003", "11" ] ] }, "publisher-place" : "Cambridge, MA", "title" : "The Unholy Trinity of Financial Contagion", "type" : "report" }, "uris" : [ "http://www.mendeley.com/documents/?uuid=5f21eeee-d525-473a-a0e6-f850f96946cf" ] } ], "mendeley" : { "formattedCitation" : "(Kaminsky et al., 2003)", "plainTextFormattedCitation" : "(Kaminsky et al., 2003)", "previouslyFormattedCitation" : "(Kaminsky et al., 2003)"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(Kaminsky et al., 2003)</w:t>
      </w:r>
      <w:r w:rsidRPr="00DA6A7D">
        <w:rPr>
          <w:rFonts w:ascii="Times New Roman" w:hAnsi="Times New Roman" w:cs="Times New Roman"/>
          <w:lang w:val="en-US"/>
        </w:rPr>
        <w:fldChar w:fldCharType="end"/>
      </w:r>
      <w:r w:rsidRPr="00DA6A7D">
        <w:rPr>
          <w:rFonts w:ascii="Times New Roman" w:hAnsi="Times New Roman" w:cs="Times New Roman"/>
          <w:lang w:val="en-US"/>
        </w:rPr>
        <w:t xml:space="preserve"> pointed, Brazilian economy was affected by Russian debt crisis. Serious financial contagion indicator value growth can be registered during 2007-2009 global financial crisis. And, at last, the trend of Banco Central do Brasil base financial interest rate contribution to financial contagion is clearly seen from 2010. It is also can be pointed, that from the second half of the 2014 the correlated-information channel become expansion again, as during the previous periods. The net maps of the Brazilian market macroeconomic variables and Brazilian companies stock prices interconnections are presented in Appendix 6.</w:t>
      </w:r>
    </w:p>
    <w:p w:rsidR="00C752C0" w:rsidRDefault="00C752C0">
      <w:pPr>
        <w:rPr>
          <w:rFonts w:ascii="Times New Roman" w:hAnsi="Times New Roman" w:cs="Times New Roman"/>
          <w:lang w:val="en-US"/>
        </w:rPr>
      </w:pPr>
      <w:r>
        <w:rPr>
          <w:rFonts w:ascii="Times New Roman" w:hAnsi="Times New Roman" w:cs="Times New Roman"/>
          <w:lang w:val="en-US"/>
        </w:rPr>
        <w:br w:type="page"/>
      </w:r>
    </w:p>
    <w:p w:rsidR="00C752C0" w:rsidRPr="00DA6A7D" w:rsidRDefault="00C752C0" w:rsidP="00C752C0">
      <w:pPr>
        <w:ind w:left="-284" w:right="-7" w:firstLine="710"/>
        <w:jc w:val="both"/>
        <w:rPr>
          <w:rFonts w:ascii="Times New Roman" w:hAnsi="Times New Roman" w:cs="Times New Roman"/>
          <w:lang w:val="en-US"/>
        </w:rPr>
      </w:pPr>
    </w:p>
    <w:p w:rsidR="00C752C0" w:rsidRPr="00DA6A7D" w:rsidRDefault="00C752C0" w:rsidP="00C752C0">
      <w:pPr>
        <w:ind w:left="-284" w:right="-7" w:firstLine="710"/>
        <w:jc w:val="both"/>
        <w:rPr>
          <w:rFonts w:ascii="Times New Roman" w:hAnsi="Times New Roman" w:cs="Times New Roman"/>
          <w:b/>
          <w:i/>
          <w:lang w:val="en-US"/>
        </w:rPr>
      </w:pPr>
      <w:r w:rsidRPr="00DA6A7D">
        <w:rPr>
          <w:rFonts w:ascii="Times New Roman" w:hAnsi="Times New Roman" w:cs="Times New Roman"/>
          <w:b/>
          <w:i/>
          <w:lang w:val="en-US"/>
        </w:rPr>
        <w:t>Canadian market, 1990-1992, 1995-1998</w:t>
      </w:r>
    </w:p>
    <w:p w:rsidR="00C752C0" w:rsidRPr="00DA6A7D" w:rsidRDefault="00C752C0" w:rsidP="00C752C0">
      <w:pPr>
        <w:ind w:left="-284" w:right="-7" w:firstLine="710"/>
        <w:jc w:val="both"/>
        <w:rPr>
          <w:rFonts w:ascii="Times New Roman" w:hAnsi="Times New Roman" w:cs="Times New Roman"/>
          <w:b/>
          <w:i/>
          <w:lang w:val="en-US"/>
        </w:rPr>
      </w:pPr>
    </w:p>
    <w:p w:rsidR="00C752C0" w:rsidRPr="00DA6A7D" w:rsidRDefault="00C752C0" w:rsidP="00C752C0">
      <w:pPr>
        <w:ind w:left="-284" w:right="-7" w:firstLine="0"/>
        <w:jc w:val="both"/>
        <w:rPr>
          <w:rFonts w:ascii="Times New Roman" w:hAnsi="Times New Roman" w:cs="Times New Roman"/>
          <w:b/>
          <w:lang w:val="en-US"/>
        </w:rPr>
      </w:pPr>
      <w:r w:rsidRPr="00DA6A7D">
        <w:rPr>
          <w:rFonts w:ascii="Times New Roman" w:hAnsi="Times New Roman" w:cs="Times New Roman"/>
          <w:b/>
          <w:lang w:val="en-US"/>
        </w:rPr>
        <w:t>Table 3</w:t>
      </w:r>
    </w:p>
    <w:p w:rsidR="00C752C0" w:rsidRPr="00DA6A7D" w:rsidRDefault="00C752C0" w:rsidP="00C752C0">
      <w:pPr>
        <w:ind w:left="-284" w:right="-7" w:firstLine="0"/>
        <w:jc w:val="both"/>
        <w:rPr>
          <w:rFonts w:ascii="Times New Roman" w:hAnsi="Times New Roman" w:cs="Times New Roman"/>
          <w:lang w:val="en-US"/>
        </w:rPr>
      </w:pPr>
      <w:r w:rsidRPr="00DA6A7D">
        <w:rPr>
          <w:rFonts w:ascii="Times New Roman" w:hAnsi="Times New Roman" w:cs="Times New Roman"/>
          <w:lang w:val="en-US"/>
        </w:rPr>
        <w:t>Results for Canadian market: the financial contagion indicator for the different dependent variables (market risk factors), 1990-1992, 1995-1998</w:t>
      </w:r>
    </w:p>
    <w:p w:rsidR="00C752C0" w:rsidRPr="00DA6A7D" w:rsidRDefault="00C752C0" w:rsidP="00C752C0">
      <w:pPr>
        <w:ind w:left="-284" w:right="-7" w:firstLine="0"/>
        <w:jc w:val="both"/>
        <w:rPr>
          <w:rFonts w:ascii="Times New Roman" w:hAnsi="Times New Roman" w:cs="Times New Roman"/>
          <w:b/>
          <w:i/>
          <w:lang w:val="en-US"/>
        </w:rPr>
      </w:pPr>
    </w:p>
    <w:p w:rsidR="00C752C0" w:rsidRPr="00DA6A7D" w:rsidRDefault="00C752C0" w:rsidP="00C752C0">
      <w:pPr>
        <w:ind w:left="-284" w:right="-7" w:firstLine="0"/>
        <w:jc w:val="both"/>
        <w:rPr>
          <w:rFonts w:ascii="Times New Roman" w:hAnsi="Times New Roman" w:cs="Times New Roman"/>
          <w:lang w:val="en-US"/>
        </w:rPr>
      </w:pPr>
      <w:r w:rsidRPr="00DA6A7D">
        <w:drawing>
          <wp:inline distT="0" distB="0" distL="0" distR="0">
            <wp:extent cx="4099726" cy="1482621"/>
            <wp:effectExtent l="19050" t="0" r="0" b="0"/>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4110064" cy="1486359"/>
                    </a:xfrm>
                    <a:prstGeom prst="rect">
                      <a:avLst/>
                    </a:prstGeom>
                    <a:noFill/>
                    <a:ln w="9525">
                      <a:noFill/>
                      <a:miter lim="800000"/>
                      <a:headEnd/>
                      <a:tailEnd/>
                    </a:ln>
                  </pic:spPr>
                </pic:pic>
              </a:graphicData>
            </a:graphic>
          </wp:inline>
        </w:drawing>
      </w:r>
    </w:p>
    <w:p w:rsidR="00C752C0" w:rsidRPr="00DA6A7D" w:rsidRDefault="00C752C0" w:rsidP="00C752C0">
      <w:pPr>
        <w:ind w:left="-284" w:right="-7"/>
        <w:jc w:val="center"/>
        <w:rPr>
          <w:rFonts w:ascii="Times New Roman" w:hAnsi="Times New Roman" w:cs="Times New Roman"/>
          <w:b/>
          <w:lang w:val="en-US"/>
        </w:rPr>
      </w:pP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The jump of all three financial contagion indicators can be seen at the year 1996. In other periods the financial contagion indicator level was at comparatively low levels. The net maps of the Canadian market financial market interconnections is depicted in the Appendix 6.</w:t>
      </w:r>
    </w:p>
    <w:p w:rsidR="00C752C0" w:rsidRPr="00DA6A7D" w:rsidRDefault="00C752C0" w:rsidP="00C752C0">
      <w:pPr>
        <w:ind w:left="-284" w:right="-7"/>
        <w:jc w:val="center"/>
        <w:rPr>
          <w:rFonts w:ascii="Times New Roman" w:hAnsi="Times New Roman" w:cs="Times New Roman"/>
          <w:b/>
          <w:lang w:val="en-US"/>
        </w:rPr>
      </w:pPr>
    </w:p>
    <w:p w:rsidR="00C752C0" w:rsidRPr="00DA6A7D" w:rsidRDefault="00C752C0" w:rsidP="00C752C0">
      <w:pPr>
        <w:ind w:left="-284" w:right="-7"/>
        <w:jc w:val="center"/>
        <w:rPr>
          <w:rFonts w:ascii="Times New Roman" w:hAnsi="Times New Roman" w:cs="Times New Roman"/>
          <w:b/>
          <w:lang w:val="en-US"/>
        </w:rPr>
      </w:pPr>
    </w:p>
    <w:p w:rsidR="00C752C0" w:rsidRPr="00DA6A7D" w:rsidRDefault="00C752C0" w:rsidP="00C752C0">
      <w:pPr>
        <w:pStyle w:val="af1"/>
        <w:ind w:right="-7"/>
        <w:rPr>
          <w:rFonts w:ascii="Times New Roman" w:hAnsi="Times New Roman" w:cs="Times New Roman"/>
        </w:rPr>
      </w:pPr>
      <w:bookmarkStart w:id="9" w:name="_Toc453016113"/>
      <w:r w:rsidRPr="00DA6A7D">
        <w:rPr>
          <w:rFonts w:ascii="Times New Roman" w:hAnsi="Times New Roman" w:cs="Times New Roman"/>
        </w:rPr>
        <w:t>Discussion</w:t>
      </w:r>
      <w:bookmarkEnd w:id="9"/>
    </w:p>
    <w:p w:rsidR="00C752C0" w:rsidRPr="00DA6A7D" w:rsidRDefault="00C752C0" w:rsidP="00C752C0">
      <w:pPr>
        <w:ind w:left="-284" w:right="-7"/>
        <w:rPr>
          <w:rFonts w:ascii="Times New Roman" w:hAnsi="Times New Roman" w:cs="Times New Roman"/>
          <w:b/>
          <w:lang w:val="en-US"/>
        </w:rPr>
      </w:pPr>
    </w:p>
    <w:p w:rsidR="00C752C0" w:rsidRPr="00DA6A7D" w:rsidRDefault="00C752C0" w:rsidP="00C752C0">
      <w:pPr>
        <w:ind w:left="-284" w:right="-7" w:firstLine="710"/>
        <w:jc w:val="both"/>
        <w:rPr>
          <w:rFonts w:ascii="Times New Roman" w:hAnsi="Times New Roman" w:cs="Times New Roman"/>
          <w:lang w:val="en-US"/>
        </w:rPr>
      </w:pPr>
      <w:r w:rsidRPr="00DA6A7D">
        <w:rPr>
          <w:rFonts w:ascii="Times New Roman" w:hAnsi="Times New Roman" w:cs="Times New Roman"/>
          <w:lang w:val="en-US"/>
        </w:rPr>
        <w:t xml:space="preserve">As M. Brunnermeier, A. Krishnamurthy and G. Gorton notice, “liquidity is central in the dynamics if a financial crisis” </w:t>
      </w: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ADDIN CSL_CITATION { "citationItems" : [ { "id" : "ITEM-1", "itemData" : { "author" : [ { "dropping-particle" : "", "family" : "Brunnermeier", "given" : "Markus", "non-dropping-particle" : "", "parse-names" : false, "suffix" : "" }, { "dropping-particle" : "", "family" : "Krishnamurthy", "given" : "Arvind", "non-dropping-particle" : "", "parse-names" : false, "suffix" : "" }, { "dropping-particle" : "", "family" : "Gorton", "given" : "Gary", "non-dropping-particle" : "", "parse-names" : false, "suffix" : "" } ], "id" : "ITEM-1", "issued" : { "date-parts" : [ [ "2012" ] ] }, "title" : "Liquidity Mismatch Measurement", "type" : "article-journal" }, "uris" : [ "http://www.mendeley.com/documents/?uuid=22e7b140-4e4a-3d9b-9b64-5fab060a2b23" ] } ], "mendeley" : { "formattedCitation" : "(M. Brunnermeier, Krishnamurthy, &amp; Gorton, 2012)", "plainTextFormattedCitation" : "(M. Brunnermeier, Krishnamurthy, &amp; Gorton, 2012)", "previouslyFormattedCitation" : "(M. Brunnermeier, Krishnamurthy, &amp; Gorton, 2012)" }, "properties" : { "noteIndex" : 0 }, "schema" : "https://github.com/citation-style-language/schema/raw/master/csl-citation.json" }</w:instrText>
      </w:r>
      <w:r w:rsidRPr="00DA6A7D">
        <w:rPr>
          <w:rFonts w:ascii="Times New Roman" w:hAnsi="Times New Roman" w:cs="Times New Roman"/>
          <w:lang w:val="en-US"/>
        </w:rPr>
        <w:fldChar w:fldCharType="separate"/>
      </w:r>
      <w:r w:rsidRPr="00DA6A7D">
        <w:rPr>
          <w:rFonts w:ascii="Times New Roman" w:hAnsi="Times New Roman" w:cs="Times New Roman"/>
          <w:noProof/>
          <w:lang w:val="en-US"/>
        </w:rPr>
        <w:t>(M. Brunnermeier, Krishnamurthy, &amp; Gorton, 2012)</w:t>
      </w:r>
      <w:r w:rsidRPr="00DA6A7D">
        <w:rPr>
          <w:rFonts w:ascii="Times New Roman" w:hAnsi="Times New Roman" w:cs="Times New Roman"/>
          <w:lang w:val="en-US"/>
        </w:rPr>
        <w:fldChar w:fldCharType="end"/>
      </w:r>
      <w:r w:rsidRPr="00DA6A7D">
        <w:rPr>
          <w:rFonts w:ascii="Times New Roman" w:hAnsi="Times New Roman" w:cs="Times New Roman"/>
          <w:lang w:val="en-US"/>
        </w:rPr>
        <w:t>. In the research three markets were considered in order to obtain the answer if the difference exist between developed and emerging markets in terms of the crisis influence. The first market is Brazil, that experienced crises during the period, the second is Canada, developed economy, those crises were connected mostly with the global volatility, than with the local instability. And the third market is Finland, developed market, that, at the same time, came to the postindustrial stage of economic development considerably not so far.</w:t>
      </w:r>
    </w:p>
    <w:p w:rsidR="00C752C0" w:rsidRPr="0014777C" w:rsidRDefault="00C752C0" w:rsidP="00C752C0">
      <w:pPr>
        <w:ind w:left="-284" w:right="-7" w:firstLine="710"/>
        <w:jc w:val="both"/>
        <w:rPr>
          <w:rFonts w:ascii="Times New Roman" w:hAnsi="Times New Roman" w:cs="Times New Roman"/>
          <w:szCs w:val="24"/>
          <w:lang w:val="en-US"/>
        </w:rPr>
      </w:pPr>
      <w:r w:rsidRPr="0014777C">
        <w:rPr>
          <w:rFonts w:ascii="Times New Roman" w:hAnsi="Times New Roman" w:cs="Times New Roman"/>
          <w:szCs w:val="24"/>
          <w:lang w:val="en-US"/>
        </w:rPr>
        <w:t xml:space="preserve">Macroeconomic variables, that have the role of the dependent, can be interpreted as the market risk factors, as far as they form macroeconomic situation. The factor weight shows in what degree does this particular macroeconomic index has the ability to reflect the situation on the financial market. The whole conclusion that can be made on the base of the three markets research is that the financial contagion level can be described as low (less than 50% in all years considered), so the hypothesis that the financial contagion did existed on that markets in that period should be declined. But the interconnections revealed between variables shows the macroeconomic indicators involvement in the market processes dynamics. As the financial contagion concept is traditionally used in the macroeconomic and financial, in particular, shocks interpretation </w:t>
      </w:r>
      <w:r w:rsidRPr="0014777C">
        <w:rPr>
          <w:rFonts w:ascii="Times New Roman" w:hAnsi="Times New Roman" w:cs="Times New Roman"/>
          <w:szCs w:val="24"/>
          <w:lang w:val="en-US"/>
        </w:rPr>
        <w:fldChar w:fldCharType="begin" w:fldLock="1"/>
      </w:r>
      <w:r w:rsidRPr="0014777C">
        <w:rPr>
          <w:rFonts w:ascii="Times New Roman" w:hAnsi="Times New Roman" w:cs="Times New Roman"/>
          <w:szCs w:val="24"/>
          <w:lang w:val="en-US"/>
        </w:rPr>
        <w:instrText>ADDIN CSL_CITATION { "citationItems" : [ { "id" : "ITEM-1", "itemData" : { "abstract" : "This paper tackles the issue of shocks that are behind real exchange rate fluctuations in Poland. A stochastic macroeconomic model of an open economy along the lines proposed by Clarida and Gal\u00ed (1994) constitutes a theoretical framework for the analysis. An empirical strategy is founded on Bayesian structural VAR models with the long-run identifying restrictions (zero and/or sign). We show that the traditional division into nominal and real shocks is not sufficient as it omits financial shocks. This distorts the results considerably. Using quarterly data spanning from 1995 until 2013q2 for real GDP, real exchange rate, and price level in Poland we examine three empirical specifications of the macroeconomic model that differ in the number of shocks included and the type of identifying restrictions imposed. Our main finding is that, contrary to the extant studies that either do not allow for financial shocks or find their impact to be rather weak in comparison with real shocks, financial shocks are important source of real exchange rate fluctuations in Poland. Using historical simulation we also show that the results are empirically consistent since the deviations of real exchange rate from its long-run equilibrium level have been dominated by financial shocks during the global financial crisis.", "author" : [ { "dropping-particle" : "", "family" : "D\u0105browski", "given" : "Marek A", "non-dropping-particle" : "", "parse-names" : false, "suffix" : "" }, { "dropping-particle" : "", "family" : "Wr\u00f3blewska", "given" : "Justyna", "non-dropping-particle" : "", "parse-names" : false, "suffix" : "" } ], "id" : "ITEM-1", "issued" : { "date-parts" : [ [ "0" ] ] }, "title" : "Financial shocks as a cause of real exchange rate fluctuations in Poland \u2013 evidence from the Bayesian structural VAR models", "type" : "article-journal" }, "uris" : [ "http://www.mendeley.com/documents/?uuid=7d0378e1-e5be-35d1-9855-6d64b7b45067" ] }, { "id" : "ITEM-2", "itemData" : { "abstract" : "This paper investigates empirically and attempts to identify the sources of real exchange rate fluctuations since the collapse of Bretton Woods. The paper's first two sections survey and extend earlier, non-structural empirical work on this subject by Campbell and Clarida (1987), Meese and Rogoff (1988), and Cumby and Huizinga (1990). The paper's main contribution is to build and estimate a three equation open macro model in the spirit of Dornbusch (1976) and Obstfeld (1985) and to identify the model's structural shocks -to demand, supply, and money -using the approach pioneered by Blanchard and Quah (1989). For two of the four countries we study, Germany and Japan, our structural estimates imply that monetary shocks, to money supply as well as to the demand for real money balances, explain a substantial amount of the variance of real exchange rates relative to the dollar. We find that demand shocks, to national saving and investment, explain the majority of the variance in real exchange rate fluctuations, while supply shocks explain very little. The model's estimated short run dynamics are strikingly consistent with the predictions of the simple textbook Mundell-Fleming model.", "author" : [ { "dropping-particle" : "", "family" : "Clarida", "given" : "Richard", "non-dropping-particle" : "", "parse-names" : false, "suffix" : "" }, { "dropping-particle" : "", "family" : "Gali", "given" : "Jordi", "non-dropping-particle" : "", "parse-names" : false, "suffix" : "" } ], "id" : "ITEM-2", "issued" : { "date-parts" : [ [ "1993" ] ] }, "title" : "Sources of Real Exchange Rate Fluctuations: How Important Are Nominal Shocks? SOURCES OF REAL EXCHANGE RATE FLUCTUATIONS HOW IMPORTANT ARE NOMINAL SHOCKS? SOURCES OF REAL EXCHANGE RATE FLUCTUATIONS: HOW IMPORTANT ARE NOMINAL SHOCKS?", "type" : "article-journal" }, "uris" : [ "http://www.mendeley.com/documents/?uuid=c45ea685-c039-3233-a770-3d490fa146db" ] }, { "id" : "ITEM-3", "itemData" : { "abstract" : "We interpret fluctuations in GNP and unemployment as due to two types of disturbances: disturbances that have a permanent effect on output and distur-bances that do not. We interpret the first as supply disturbances, the second as demand disturbances. Demand disturbances have a hump-shaped mirror-image effect on output and unemployment. The effect of supply disturbances on output increases steadily over time, peaking after two years and reaching a plateau after five years. It is now widely accepted that GNP is reasonably characterized as a unit root pro-cess: a positive innovation in GNP should lead one to revise upward one's forecast on GNP for all horizons. Following the influ-ential work of Charles Nelson and Charles Plosser (1982), this statistical characteriza-tion has been recorded and refined by nu-merous authors including John Campbell and N. Gregory Mankiw (1987a), Peter Clark (1987, 1988), John Cochrane (1988), Francis Diebold and Glenn Rudebusch (1988), George Evans (1987), and Mark Watson (1986). How should this finding affect one's views about macroeconomic fluctuations? Were there only one type of disturbance in the economy, then the implications of these findings would be straightforward. That dis-turbance would affect the economy in a way characterized by estimated univariate-mov-ing average representations, such as those given by Campbell and Mankiw. The prob-lem would simply be to find out what this disturbance was, and why its dynamic effects had the shape that they did. The way to proceed would be clear. However, if GNP is affected by more than one type of disturbance, as is likely, the interpretation becomes more difficult. In that case, the univariate-moving average repre-sentation of output is some combination of the dynamic response of output to each of the disturbances. The work in Stephen Beveridge and Nelson (1981), Andrew Har-vey (1985), and Watson (1986) can be viewed as early attempts to get at this issue.' To proceed, given the possibility that out-put may be affected by more than one type of disturbance, one can impose a priori re-strictions on the response of output to each of the disturbances, or one can exploit infor-mation from macroeconomic variables other than GNP. In addition to the work named above, Clark (1987) has also used the first approach. This paper adopts the second, and considers the joint behavior of output and unemployment. Campbell and Mankiw (1987b), Clark (1988), and Evans (1987) have also taken this\u2026", "author" : [ { "dropping-particle" : "", "family" : "Blanchard", "given" : "Olivier Jean", "non-dropping-particle" : "", "parse-names" : false, "suffix" : "" }, { "dropping-particle" : "", "family" : "Quah", "given" : "Danny", "non-dropping-particle" : "", "parse-names" : false, "suffix" : "" } ], "id" : "ITEM-3", "issued" : { "date-parts" : [ [ "0" ] ] }, "title" : "The Dynamic Effects of Aggregate Demand and Supply Disturbances", "type" : "article-journal" }, "uris" : [ "http://www.mendeley.com/documents/?uuid=fdde604e-0bbd-3369-ab5e-d5585adc2a21" ] } ], "mendeley" : { "formattedCitation" : "(Blanchard &amp; Quah, n.d.; Clarida &amp; Gali, 1993; D\u0105browski &amp; Wr\u00f3blewska, n.d.)", "plainTextFormattedCitation" : "(Blanchard &amp; Quah, n.d.; Clarida &amp; Gali, 1993; D\u0105browski &amp; Wr\u00f3blewska, n.d.)", "previouslyFormattedCitation" : "(Blanchard &amp; Quah, n.d.; Clarida &amp; Gali, 1993; D\u0105browski &amp; Wr\u00f3blewska, n.d.)" }, "properties" : { "noteIndex" : 0 }, "schema" : "https://github.com/citation-style-language/schema/raw/master/csl-citation.json" }</w:instrText>
      </w:r>
      <w:r w:rsidRPr="0014777C">
        <w:rPr>
          <w:rFonts w:ascii="Times New Roman" w:hAnsi="Times New Roman" w:cs="Times New Roman"/>
          <w:szCs w:val="24"/>
          <w:lang w:val="en-US"/>
        </w:rPr>
        <w:fldChar w:fldCharType="separate"/>
      </w:r>
      <w:r w:rsidRPr="0014777C">
        <w:rPr>
          <w:rFonts w:ascii="Times New Roman" w:hAnsi="Times New Roman" w:cs="Times New Roman"/>
          <w:noProof/>
          <w:szCs w:val="24"/>
          <w:lang w:val="en-US"/>
        </w:rPr>
        <w:t>(Blanchard &amp; Quah, n.d.; Clarida &amp; Gali, 1993; Dąbrowski &amp; Wróblewska, n.d.)</w:t>
      </w:r>
      <w:r w:rsidRPr="0014777C">
        <w:rPr>
          <w:rFonts w:ascii="Times New Roman" w:hAnsi="Times New Roman" w:cs="Times New Roman"/>
          <w:szCs w:val="24"/>
          <w:lang w:val="en-US"/>
        </w:rPr>
        <w:fldChar w:fldCharType="end"/>
      </w:r>
      <w:r w:rsidRPr="0014777C">
        <w:rPr>
          <w:rFonts w:ascii="Times New Roman" w:hAnsi="Times New Roman" w:cs="Times New Roman"/>
          <w:szCs w:val="24"/>
          <w:lang w:val="en-US"/>
        </w:rPr>
        <w:t>, this high interconnections density (Appendix 5-7) can be interpreted as the market risk potential. In particular, such macroeconomic variables, that bring the greatest value to the financial contagion growth, can be seen as the market risk potential factors. These are the following:</w:t>
      </w:r>
    </w:p>
    <w:p w:rsidR="00C752C0" w:rsidRPr="0014777C" w:rsidRDefault="00C752C0" w:rsidP="0022187D">
      <w:pPr>
        <w:pStyle w:val="aa"/>
        <w:numPr>
          <w:ilvl w:val="0"/>
          <w:numId w:val="29"/>
        </w:numPr>
        <w:ind w:right="-7"/>
        <w:jc w:val="both"/>
        <w:rPr>
          <w:rFonts w:ascii="Times New Roman" w:hAnsi="Times New Roman" w:cs="Times New Roman"/>
          <w:sz w:val="22"/>
          <w:lang w:val="en-US"/>
        </w:rPr>
      </w:pPr>
      <w:r w:rsidRPr="0014777C">
        <w:rPr>
          <w:rFonts w:ascii="Times New Roman" w:hAnsi="Times New Roman" w:cs="Times New Roman"/>
          <w:sz w:val="22"/>
          <w:lang w:val="en-US"/>
        </w:rPr>
        <w:lastRenderedPageBreak/>
        <w:t>Metal prices (silver for Finnish market in 1999-2002; gold for Brazilian market in 2008-2010);</w:t>
      </w:r>
    </w:p>
    <w:p w:rsidR="00C752C0" w:rsidRPr="0014777C" w:rsidRDefault="00C752C0" w:rsidP="0022187D">
      <w:pPr>
        <w:pStyle w:val="aa"/>
        <w:numPr>
          <w:ilvl w:val="0"/>
          <w:numId w:val="29"/>
        </w:numPr>
        <w:ind w:right="-7"/>
        <w:jc w:val="both"/>
        <w:rPr>
          <w:rFonts w:ascii="Times New Roman" w:hAnsi="Times New Roman" w:cs="Times New Roman"/>
          <w:sz w:val="22"/>
          <w:lang w:val="en-US"/>
        </w:rPr>
      </w:pPr>
      <w:r w:rsidRPr="0014777C">
        <w:rPr>
          <w:rFonts w:ascii="Times New Roman" w:hAnsi="Times New Roman" w:cs="Times New Roman"/>
          <w:sz w:val="22"/>
          <w:lang w:val="en-US"/>
        </w:rPr>
        <w:t>Oil prices (for Finnish market in 1999-2002);</w:t>
      </w:r>
    </w:p>
    <w:p w:rsidR="00C752C0" w:rsidRPr="0014777C" w:rsidRDefault="00C752C0" w:rsidP="0022187D">
      <w:pPr>
        <w:pStyle w:val="aa"/>
        <w:numPr>
          <w:ilvl w:val="0"/>
          <w:numId w:val="29"/>
        </w:numPr>
        <w:ind w:right="-7"/>
        <w:jc w:val="both"/>
        <w:rPr>
          <w:rFonts w:ascii="Times New Roman" w:hAnsi="Times New Roman" w:cs="Times New Roman"/>
          <w:sz w:val="22"/>
          <w:lang w:val="en-US"/>
        </w:rPr>
      </w:pPr>
      <w:r w:rsidRPr="0014777C">
        <w:rPr>
          <w:rFonts w:ascii="Times New Roman" w:hAnsi="Times New Roman" w:cs="Times New Roman"/>
          <w:sz w:val="22"/>
          <w:lang w:val="en-US"/>
        </w:rPr>
        <w:t>Government bonds (for Finnish market in 1999-2002; Brazilian market in 2008-2010);</w:t>
      </w:r>
    </w:p>
    <w:p w:rsidR="00C752C0" w:rsidRPr="0014777C" w:rsidRDefault="00C752C0" w:rsidP="0022187D">
      <w:pPr>
        <w:pStyle w:val="aa"/>
        <w:numPr>
          <w:ilvl w:val="0"/>
          <w:numId w:val="29"/>
        </w:numPr>
        <w:ind w:right="-7"/>
        <w:jc w:val="both"/>
        <w:rPr>
          <w:rFonts w:ascii="Times New Roman" w:hAnsi="Times New Roman" w:cs="Times New Roman"/>
          <w:sz w:val="22"/>
          <w:lang w:val="en-US"/>
        </w:rPr>
      </w:pPr>
      <w:r w:rsidRPr="0014777C">
        <w:rPr>
          <w:rFonts w:ascii="Times New Roman" w:hAnsi="Times New Roman" w:cs="Times New Roman"/>
          <w:sz w:val="22"/>
          <w:lang w:val="en-US"/>
        </w:rPr>
        <w:t>Money supply (type M1 for Brazilian market in 1997, 2009-2010; demand deposits for Brazilian market in 2008-2010);</w:t>
      </w:r>
    </w:p>
    <w:p w:rsidR="00C752C0" w:rsidRPr="0014777C" w:rsidRDefault="00C752C0" w:rsidP="0022187D">
      <w:pPr>
        <w:pStyle w:val="aa"/>
        <w:numPr>
          <w:ilvl w:val="0"/>
          <w:numId w:val="29"/>
        </w:numPr>
        <w:ind w:right="-7"/>
        <w:jc w:val="both"/>
        <w:rPr>
          <w:rFonts w:ascii="Times New Roman" w:hAnsi="Times New Roman" w:cs="Times New Roman"/>
          <w:sz w:val="22"/>
          <w:lang w:val="en-US"/>
        </w:rPr>
      </w:pPr>
      <w:r w:rsidRPr="0014777C">
        <w:rPr>
          <w:rFonts w:ascii="Times New Roman" w:hAnsi="Times New Roman" w:cs="Times New Roman"/>
          <w:sz w:val="22"/>
          <w:lang w:val="en-US"/>
        </w:rPr>
        <w:t>Central Bank interest rate (for Brazilian market in 1997, 2008-2010);</w:t>
      </w:r>
    </w:p>
    <w:p w:rsidR="00C752C0" w:rsidRPr="0014777C" w:rsidRDefault="00C752C0" w:rsidP="0022187D">
      <w:pPr>
        <w:pStyle w:val="aa"/>
        <w:numPr>
          <w:ilvl w:val="0"/>
          <w:numId w:val="29"/>
        </w:numPr>
        <w:ind w:right="-7"/>
        <w:jc w:val="both"/>
        <w:rPr>
          <w:rFonts w:ascii="Times New Roman" w:hAnsi="Times New Roman" w:cs="Times New Roman"/>
          <w:sz w:val="22"/>
          <w:lang w:val="en-US"/>
        </w:rPr>
      </w:pPr>
      <w:r w:rsidRPr="0014777C">
        <w:rPr>
          <w:rFonts w:ascii="Times New Roman" w:hAnsi="Times New Roman" w:cs="Times New Roman"/>
          <w:sz w:val="22"/>
          <w:lang w:val="en-US"/>
        </w:rPr>
        <w:t>Derivatives positions (for Brazilian market in 1997, 2008-2010);</w:t>
      </w:r>
    </w:p>
    <w:p w:rsidR="00C752C0" w:rsidRPr="0014777C" w:rsidRDefault="00C752C0" w:rsidP="0022187D">
      <w:pPr>
        <w:pStyle w:val="aa"/>
        <w:numPr>
          <w:ilvl w:val="0"/>
          <w:numId w:val="29"/>
        </w:numPr>
        <w:ind w:right="-7"/>
        <w:jc w:val="both"/>
        <w:rPr>
          <w:rFonts w:ascii="Times New Roman" w:hAnsi="Times New Roman" w:cs="Times New Roman"/>
          <w:sz w:val="22"/>
          <w:lang w:val="en-US"/>
        </w:rPr>
      </w:pPr>
      <w:r w:rsidRPr="0014777C">
        <w:rPr>
          <w:rFonts w:ascii="Times New Roman" w:hAnsi="Times New Roman" w:cs="Times New Roman"/>
          <w:sz w:val="22"/>
          <w:lang w:val="en-US"/>
        </w:rPr>
        <w:t>General market indexes (for Brazilian market in 2008-2010);</w:t>
      </w:r>
    </w:p>
    <w:p w:rsidR="00C752C0" w:rsidRPr="0014777C" w:rsidRDefault="00C752C0" w:rsidP="0022187D">
      <w:pPr>
        <w:pStyle w:val="aa"/>
        <w:numPr>
          <w:ilvl w:val="0"/>
          <w:numId w:val="29"/>
        </w:numPr>
        <w:ind w:right="-7"/>
        <w:jc w:val="both"/>
        <w:rPr>
          <w:rFonts w:ascii="Times New Roman" w:hAnsi="Times New Roman" w:cs="Times New Roman"/>
          <w:sz w:val="22"/>
          <w:lang w:val="en-US"/>
        </w:rPr>
      </w:pPr>
      <w:r w:rsidRPr="0014777C">
        <w:rPr>
          <w:rFonts w:ascii="Times New Roman" w:hAnsi="Times New Roman" w:cs="Times New Roman"/>
          <w:sz w:val="22"/>
          <w:lang w:val="en-US"/>
        </w:rPr>
        <w:t>General market indexes volume of trade (for Canadian market in 1996);</w:t>
      </w:r>
    </w:p>
    <w:p w:rsidR="00C752C0" w:rsidRPr="0014777C" w:rsidRDefault="00C752C0" w:rsidP="0022187D">
      <w:pPr>
        <w:pStyle w:val="aa"/>
        <w:numPr>
          <w:ilvl w:val="0"/>
          <w:numId w:val="29"/>
        </w:numPr>
        <w:ind w:right="-7"/>
        <w:jc w:val="both"/>
        <w:rPr>
          <w:rFonts w:ascii="Times New Roman" w:hAnsi="Times New Roman" w:cs="Times New Roman"/>
          <w:sz w:val="22"/>
          <w:lang w:val="en-US"/>
        </w:rPr>
      </w:pPr>
      <w:r w:rsidRPr="0014777C">
        <w:rPr>
          <w:rFonts w:ascii="Times New Roman" w:hAnsi="Times New Roman" w:cs="Times New Roman"/>
          <w:sz w:val="22"/>
          <w:lang w:val="en-US"/>
        </w:rPr>
        <w:t>National currency exchange rates (for Canadian market in 1996).</w:t>
      </w:r>
    </w:p>
    <w:p w:rsidR="00C752C0" w:rsidRPr="0014777C" w:rsidRDefault="00C752C0" w:rsidP="00C752C0">
      <w:pPr>
        <w:ind w:left="-284" w:right="-7" w:firstLine="710"/>
        <w:jc w:val="both"/>
        <w:rPr>
          <w:rFonts w:ascii="Times New Roman" w:hAnsi="Times New Roman" w:cs="Times New Roman"/>
          <w:szCs w:val="24"/>
          <w:lang w:val="en-US"/>
        </w:rPr>
      </w:pPr>
      <w:r w:rsidRPr="0014777C">
        <w:rPr>
          <w:rFonts w:ascii="Times New Roman" w:hAnsi="Times New Roman" w:cs="Times New Roman"/>
          <w:szCs w:val="24"/>
          <w:lang w:val="en-US"/>
        </w:rPr>
        <w:t>Such macroeconomic indicators as the metal prices and the government bonds are highly involved in the financial contagion level growth in different periods in Finnish and Brazilian markets.</w:t>
      </w:r>
    </w:p>
    <w:p w:rsidR="00C752C0" w:rsidRPr="0014777C" w:rsidRDefault="00C752C0" w:rsidP="00C752C0">
      <w:pPr>
        <w:ind w:left="-284" w:right="-7" w:firstLine="710"/>
        <w:jc w:val="both"/>
        <w:rPr>
          <w:rFonts w:ascii="Times New Roman" w:hAnsi="Times New Roman" w:cs="Times New Roman"/>
          <w:szCs w:val="24"/>
          <w:lang w:val="en-US"/>
        </w:rPr>
      </w:pPr>
      <w:r w:rsidRPr="0014777C">
        <w:rPr>
          <w:rFonts w:ascii="Times New Roman" w:hAnsi="Times New Roman" w:cs="Times New Roman"/>
          <w:szCs w:val="24"/>
          <w:lang w:val="en-US"/>
        </w:rPr>
        <w:t>As the financial contagion level wasn’t high in the periods analyzed in the study, the financial contagion indicator can’t be the crises indicator in the whole sense. But as it can be seen from these estimations, the financial contagion level sometimes grows just before the crisis: the correlated-information channel in Finnish market in 1999-2001, 2006, the risk-premium channel in Finnish market in 2005-2006. Also the correlated-information channel in Brazilian market in 2007, the liquidity channel in Brazilian market in 2011-2012 and, especially, the risk-premium channel in Brazilian market in 2010-2012 and all the financial contagion channels in Canadian market in 1997.</w:t>
      </w:r>
    </w:p>
    <w:p w:rsidR="00C752C0" w:rsidRPr="0014777C" w:rsidRDefault="00C752C0" w:rsidP="00C752C0">
      <w:pPr>
        <w:ind w:left="-284" w:right="-7" w:firstLine="710"/>
        <w:jc w:val="both"/>
        <w:rPr>
          <w:rFonts w:ascii="Times New Roman" w:hAnsi="Times New Roman" w:cs="Times New Roman"/>
          <w:szCs w:val="24"/>
          <w:lang w:val="en-US"/>
        </w:rPr>
      </w:pPr>
      <w:r w:rsidRPr="0014777C">
        <w:rPr>
          <w:rFonts w:ascii="Times New Roman" w:hAnsi="Times New Roman" w:cs="Times New Roman"/>
          <w:szCs w:val="24"/>
          <w:lang w:val="en-US"/>
        </w:rPr>
        <w:t xml:space="preserve">During the strategy building process of a company in order to survive in crisis should include the information of the active crisis distribution channels. As the researches stated </w:t>
      </w:r>
      <w:r w:rsidRPr="0014777C">
        <w:rPr>
          <w:rFonts w:ascii="Times New Roman" w:hAnsi="Times New Roman" w:cs="Times New Roman"/>
          <w:szCs w:val="24"/>
          <w:lang w:val="en-US"/>
        </w:rPr>
        <w:fldChar w:fldCharType="begin" w:fldLock="1"/>
      </w:r>
      <w:r w:rsidRPr="0014777C">
        <w:rPr>
          <w:rFonts w:ascii="Times New Roman" w:hAnsi="Times New Roman" w:cs="Times New Roman"/>
          <w:szCs w:val="24"/>
          <w:lang w:val="en-US"/>
        </w:rPr>
        <w:instrText>ADDIN CSL_CITATION { "citationItems" : [ { "id" : "ITEM-1", "itemData" : { "DOI" : "10.5755/j01.ee.22.1.221", "ISSN" : "2029-5839", "author" : [ { "dropping-particle" : "", "family" : "Valackiene", "given" : "Asta", "non-dropping-particle" : "", "parse-names" : false, "suffix" : "" } ], "container-title" : "Engineering Economics", "id" : "ITEM-1", "issue" : "1", "issued" : { "date-parts" : [ [ "2011", "3", "28" ] ] }, "title" : "Theoretical Substation of the Model for Crisis Management in Organization", "type" : "article-journal", "volume" : "22" }, "uris" : [ "http://www.mendeley.com/documents/?uuid=35490d38-df84-498e-a9ef-4327ce50e5d0" ] }, { "id" : "ITEM-2", "itemData" : { "abstract" : "\u2014Crisis management is a comprehensive inspection of enterprise management ability in special situation. his paper researches on how to deal with enterprise crisis from the perspective of knowledge management. According to the life cycle theory, enterprise crisis is divided into six periods, then the knowledge which is required in each period of life cycle crisis management is analyzed. A crisis management system model architercture is put forward based on three layers: knowledge resources layer, management process layer and organizing layer, in the purpose of supplying a new management mechanism for enterprise on dealing with enterprise crisis effectively.", "author" : [ { "dropping-particle" : "", "family" : "Li", "given" : "Zhihong", "non-dropping-particle" : "", "parse-names" : false, "suffix" : "" }, { "dropping-particle" : "", "family" : "Wang", "given" : "Haiyan", "non-dropping-particle" : "", "parse-names" : false, "suffix" : "" } ], "id" : "ITEM-2", "issued" : { "date-parts" : [ [ "0" ] ] }, "title" : "Research on the Enterprise Crisis Management System Basic on Knowledge Demand", "type" : "article-journal" }, "uris" : [ "http://www.mendeley.com/documents/?uuid=b2fd84e3-0aec-3168-a3a5-5d4dbf71dc2e" ] }, { "id" : "ITEM-3", "itemData" : { "DOI" : "10.2991/icpm.2012.21", "ISBN" : "9789078677512", "author" : [ { "dropping-particle" : "", "family" : "Jianying", "given" : "Zhao", "non-dropping-particle" : "", "parse-names" : false, "suffix" : "" } ], "container-title" : "Proceedings of the 2012 International Conference on Public Management (ICPM-2012)", "id" : "ITEM-3", "issued" : { "date-parts" : [ [ "2012" ] ] }, "publisher" : "Atlantis Press", "publisher-place" : "Paris, France", "title" : "Crisis Management based on the Five Hypotheses proposed by Jack Welch", "type" : "paper-conference" }, "uris" : [ "http://www.mendeley.com/documents/?uuid=a846e23e-a94a-4bce-9da3-84c4aa460112" ] }, { "id" : "ITEM-4", "itemData" : { "abstract" : "Modern enterprises are facing more and more crisis from the external environment. This paper starts from the four major foreign crisis management theories, then analyzes the main problems of the enterprise crisis management in our country, finally it raises the three aspects ideas of the modern crisis management. The three aspects are named crisis prevention, crisis resolving and summer up after crisis. From the three aspects, we should strengthen the crisis management, and control the deterioration of the crisis in time to ease the crisis finally to turn crises into opportunitiesin order to minimize or avoid the loss of the enterprise caused by crisis.", "author" : [ { "dropping-particle" : "", "family" : "Tingting", "given" : "Bian", "non-dropping-particle" : "", "parse-names" : false, "suffix" : "" }, { "dropping-particle" : "", "family" : "Zhanglu", "given" : "Tan", "non-dropping-particle" : "", "parse-names" : false, "suffix" : "" } ], "id" : "ITEM-4", "issued" : { "date-parts" : [ [ "0" ] ] }, "title" : "On the Crisis Management of the Modern Enterprise", "type" : "article-journal" }, "uris" : [ "http://www.mendeley.com/documents/?uuid=c17f44c7-522f-34dd-901a-803a8a9f2454" ] } ], "mendeley" : { "formattedCitation" : "(Jianying, 2012; Li &amp; Wang, n.d.; Tingting &amp; Zhanglu, n.d.; Valackiene, 2011)", "plainTextFormattedCitation" : "(Jianying, 2012; Li &amp; Wang, n.d.; Tingting &amp; Zhanglu, n.d.; Valackiene, 2011)" }, "properties" : { "noteIndex" : 0 }, "schema" : "https://github.com/citation-style-language/schema/raw/master/csl-citation.json" }</w:instrText>
      </w:r>
      <w:r w:rsidRPr="0014777C">
        <w:rPr>
          <w:rFonts w:ascii="Times New Roman" w:hAnsi="Times New Roman" w:cs="Times New Roman"/>
          <w:szCs w:val="24"/>
          <w:lang w:val="en-US"/>
        </w:rPr>
        <w:fldChar w:fldCharType="separate"/>
      </w:r>
      <w:r w:rsidRPr="0014777C">
        <w:rPr>
          <w:rFonts w:ascii="Times New Roman" w:hAnsi="Times New Roman" w:cs="Times New Roman"/>
          <w:noProof/>
          <w:szCs w:val="24"/>
          <w:lang w:val="en-US"/>
        </w:rPr>
        <w:t>(Jianying, 2012; Li &amp; Wang, n.d.; Tingting &amp; Zhanglu, n.d.; Valackiene, 2011)</w:t>
      </w:r>
      <w:r w:rsidRPr="0014777C">
        <w:rPr>
          <w:rFonts w:ascii="Times New Roman" w:hAnsi="Times New Roman" w:cs="Times New Roman"/>
          <w:szCs w:val="24"/>
          <w:lang w:val="en-US"/>
        </w:rPr>
        <w:fldChar w:fldCharType="end"/>
      </w:r>
      <w:r w:rsidRPr="0014777C">
        <w:rPr>
          <w:rFonts w:ascii="Times New Roman" w:hAnsi="Times New Roman" w:cs="Times New Roman"/>
          <w:szCs w:val="24"/>
          <w:lang w:val="en-US"/>
        </w:rPr>
        <w:t>, the financial contagion indicators were used many times to reveal the potential threats for the company. As three financial contagion distribution channels can be viewed with the use of different dependent variables, the company’s strategy during the crisis periods can be described as the following:</w:t>
      </w:r>
    </w:p>
    <w:p w:rsidR="00C752C0" w:rsidRPr="0014777C" w:rsidRDefault="00C752C0" w:rsidP="0022187D">
      <w:pPr>
        <w:pStyle w:val="aa"/>
        <w:numPr>
          <w:ilvl w:val="0"/>
          <w:numId w:val="30"/>
        </w:numPr>
        <w:ind w:right="-7"/>
        <w:jc w:val="both"/>
        <w:rPr>
          <w:rFonts w:ascii="Times New Roman" w:hAnsi="Times New Roman" w:cs="Times New Roman"/>
          <w:sz w:val="22"/>
          <w:lang w:val="en-US"/>
        </w:rPr>
      </w:pPr>
      <w:r w:rsidRPr="0014777C">
        <w:rPr>
          <w:rFonts w:ascii="Times New Roman" w:hAnsi="Times New Roman" w:cs="Times New Roman"/>
          <w:sz w:val="22"/>
          <w:lang w:val="en-US"/>
        </w:rPr>
        <w:t>If the most active is the information-correlated channel, the company can face the problems with the investors’ negative expectations. So, it should reevaluate its investment strategy.</w:t>
      </w:r>
    </w:p>
    <w:p w:rsidR="00C752C0" w:rsidRPr="0014777C" w:rsidRDefault="00C752C0" w:rsidP="0022187D">
      <w:pPr>
        <w:pStyle w:val="aa"/>
        <w:numPr>
          <w:ilvl w:val="0"/>
          <w:numId w:val="30"/>
        </w:numPr>
        <w:ind w:right="-7"/>
        <w:jc w:val="both"/>
        <w:rPr>
          <w:rFonts w:ascii="Times New Roman" w:hAnsi="Times New Roman" w:cs="Times New Roman"/>
          <w:sz w:val="22"/>
          <w:lang w:val="en-US"/>
        </w:rPr>
      </w:pPr>
      <w:r w:rsidRPr="0014777C">
        <w:rPr>
          <w:rFonts w:ascii="Times New Roman" w:hAnsi="Times New Roman" w:cs="Times New Roman"/>
          <w:sz w:val="22"/>
          <w:lang w:val="en-US"/>
        </w:rPr>
        <w:t>If the liquidity channel brings the biggest part in the financial contagion growth, the operational strategy should be reconsidered firstly. The problems the company may face with are the lack of liquidity.</w:t>
      </w:r>
    </w:p>
    <w:p w:rsidR="00C752C0" w:rsidRPr="0014777C" w:rsidRDefault="00C752C0" w:rsidP="0022187D">
      <w:pPr>
        <w:pStyle w:val="aa"/>
        <w:numPr>
          <w:ilvl w:val="0"/>
          <w:numId w:val="30"/>
        </w:numPr>
        <w:ind w:right="-7"/>
        <w:jc w:val="both"/>
        <w:rPr>
          <w:rFonts w:ascii="Times New Roman" w:hAnsi="Times New Roman" w:cs="Times New Roman"/>
          <w:sz w:val="22"/>
          <w:lang w:val="en-US"/>
        </w:rPr>
      </w:pPr>
      <w:r w:rsidRPr="0014777C">
        <w:rPr>
          <w:rFonts w:ascii="Times New Roman" w:hAnsi="Times New Roman" w:cs="Times New Roman"/>
          <w:sz w:val="22"/>
          <w:lang w:val="en-US"/>
        </w:rPr>
        <w:t>If the risk-premium channel is active, the financial contagion can threat the company through the interest rate growth.</w:t>
      </w:r>
    </w:p>
    <w:p w:rsidR="00C752C0" w:rsidRPr="0014777C" w:rsidRDefault="00C752C0" w:rsidP="00C752C0">
      <w:pPr>
        <w:ind w:left="-284" w:right="-7"/>
        <w:rPr>
          <w:rFonts w:ascii="Times New Roman" w:hAnsi="Times New Roman" w:cs="Times New Roman"/>
          <w:b/>
          <w:szCs w:val="24"/>
          <w:lang w:val="en-US"/>
        </w:rPr>
      </w:pPr>
    </w:p>
    <w:p w:rsidR="00C752C0" w:rsidRPr="0014777C" w:rsidRDefault="00C752C0" w:rsidP="00C752C0">
      <w:pPr>
        <w:ind w:left="-284" w:right="-7"/>
        <w:rPr>
          <w:rFonts w:ascii="Times New Roman" w:hAnsi="Times New Roman" w:cs="Times New Roman"/>
          <w:b/>
          <w:szCs w:val="24"/>
          <w:lang w:val="en-US"/>
        </w:rPr>
      </w:pPr>
    </w:p>
    <w:p w:rsidR="00C752C0" w:rsidRPr="0014777C" w:rsidRDefault="00C752C0" w:rsidP="00C752C0">
      <w:pPr>
        <w:pStyle w:val="af1"/>
        <w:spacing w:line="240" w:lineRule="auto"/>
        <w:ind w:left="0" w:right="0"/>
        <w:rPr>
          <w:rFonts w:ascii="Times New Roman" w:hAnsi="Times New Roman" w:cs="Times New Roman"/>
          <w:sz w:val="22"/>
        </w:rPr>
      </w:pPr>
      <w:bookmarkStart w:id="10" w:name="_Toc453016114"/>
      <w:r w:rsidRPr="0014777C">
        <w:rPr>
          <w:rFonts w:ascii="Times New Roman" w:hAnsi="Times New Roman" w:cs="Times New Roman"/>
          <w:sz w:val="22"/>
        </w:rPr>
        <w:t>Conclusion</w:t>
      </w:r>
      <w:bookmarkEnd w:id="10"/>
    </w:p>
    <w:p w:rsidR="00C752C0" w:rsidRPr="0014777C" w:rsidRDefault="00C752C0" w:rsidP="00C752C0">
      <w:pPr>
        <w:pStyle w:val="af1"/>
        <w:spacing w:line="240" w:lineRule="auto"/>
        <w:ind w:left="0" w:right="0"/>
        <w:rPr>
          <w:rFonts w:ascii="Times New Roman" w:hAnsi="Times New Roman" w:cs="Times New Roman"/>
          <w:sz w:val="22"/>
        </w:rPr>
      </w:pPr>
    </w:p>
    <w:p w:rsidR="00C752C0" w:rsidRPr="0014777C" w:rsidRDefault="00C752C0" w:rsidP="00C752C0">
      <w:pPr>
        <w:ind w:left="-284" w:firstLine="710"/>
        <w:jc w:val="both"/>
        <w:rPr>
          <w:rFonts w:ascii="Times New Roman" w:hAnsi="Times New Roman" w:cs="Times New Roman"/>
          <w:szCs w:val="24"/>
          <w:lang w:val="en-US"/>
        </w:rPr>
      </w:pPr>
      <w:r w:rsidRPr="0014777C">
        <w:rPr>
          <w:rFonts w:ascii="Times New Roman" w:hAnsi="Times New Roman" w:cs="Times New Roman"/>
          <w:szCs w:val="24"/>
          <w:lang w:val="en-US"/>
        </w:rPr>
        <w:t>The hypothesis stated at the beginning of the research were accepted. The first hypothesis, told that the financial contagion indicator can help to identify possible factors of financial contagion, was met by the empirical evidence, that the factors of the financial contagion and, probably, market risk, can be revealed throw the financial variables interconnections assessment. The second hypothesis, stated that the financial contagion identified in the research and the crises are correlated positively, needs further investigation. The results obtained show that the financial contagion indicator does correlated with the crises in the markets considered. But, as these three markets can’t provide enough ground to make the conclusions for the financial contagion indicator role as the crises indicator, further research for other markets is needed.</w:t>
      </w:r>
    </w:p>
    <w:p w:rsidR="00C752C0" w:rsidRPr="00DA6A7D" w:rsidRDefault="00C752C0" w:rsidP="00C752C0">
      <w:pPr>
        <w:pStyle w:val="af1"/>
        <w:ind w:right="-7"/>
        <w:rPr>
          <w:rFonts w:ascii="Times New Roman" w:hAnsi="Times New Roman" w:cs="Times New Roman"/>
        </w:rPr>
      </w:pPr>
      <w:r w:rsidRPr="00DA6A7D">
        <w:rPr>
          <w:rFonts w:ascii="Times New Roman" w:hAnsi="Times New Roman" w:cs="Times New Roman"/>
        </w:rPr>
        <w:br w:type="page"/>
      </w:r>
    </w:p>
    <w:p w:rsidR="00C752C0" w:rsidRPr="00DA6A7D" w:rsidRDefault="00C752C0" w:rsidP="00C752C0">
      <w:pPr>
        <w:ind w:left="-284" w:right="-7"/>
        <w:rPr>
          <w:rFonts w:ascii="Times New Roman" w:hAnsi="Times New Roman" w:cs="Times New Roman"/>
          <w:b/>
          <w:lang w:val="en-US"/>
        </w:rPr>
      </w:pPr>
    </w:p>
    <w:p w:rsidR="00C752C0" w:rsidRPr="00DA6A7D" w:rsidRDefault="00C752C0" w:rsidP="00C752C0">
      <w:pPr>
        <w:pStyle w:val="af1"/>
        <w:ind w:right="-7"/>
        <w:rPr>
          <w:rFonts w:ascii="Times New Roman" w:hAnsi="Times New Roman" w:cs="Times New Roman"/>
        </w:rPr>
      </w:pPr>
      <w:bookmarkStart w:id="11" w:name="_Toc453016115"/>
      <w:r w:rsidRPr="00DA6A7D">
        <w:rPr>
          <w:rFonts w:ascii="Times New Roman" w:hAnsi="Times New Roman" w:cs="Times New Roman"/>
        </w:rPr>
        <w:t>References</w:t>
      </w:r>
      <w:bookmarkEnd w:id="11"/>
    </w:p>
    <w:p w:rsidR="00C752C0" w:rsidRPr="00DA6A7D" w:rsidRDefault="00C752C0" w:rsidP="00C752C0">
      <w:pPr>
        <w:ind w:right="-7"/>
        <w:jc w:val="center"/>
        <w:rPr>
          <w:rFonts w:ascii="Times New Roman" w:hAnsi="Times New Roman" w:cs="Times New Roman"/>
          <w:b/>
          <w:lang w:val="en-US"/>
        </w:rPr>
      </w:pP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DA6A7D">
        <w:rPr>
          <w:rFonts w:ascii="Times New Roman" w:hAnsi="Times New Roman" w:cs="Times New Roman"/>
          <w:lang w:val="en-US"/>
        </w:rPr>
        <w:fldChar w:fldCharType="begin" w:fldLock="1"/>
      </w:r>
      <w:r w:rsidRPr="00DA6A7D">
        <w:rPr>
          <w:rFonts w:ascii="Times New Roman" w:hAnsi="Times New Roman" w:cs="Times New Roman"/>
          <w:lang w:val="en-US"/>
        </w:rPr>
        <w:instrText xml:space="preserve">ADDIN Mendeley Bibliography CSL_BIBLIOGRAPHY </w:instrText>
      </w:r>
      <w:r w:rsidRPr="00DA6A7D">
        <w:rPr>
          <w:rFonts w:ascii="Times New Roman" w:hAnsi="Times New Roman" w:cs="Times New Roman"/>
          <w:lang w:val="en-US"/>
        </w:rPr>
        <w:fldChar w:fldCharType="separate"/>
      </w:r>
      <w:r w:rsidRPr="00C752C0">
        <w:rPr>
          <w:rFonts w:ascii="Times New Roman" w:hAnsi="Times New Roman" w:cs="Times New Roman"/>
          <w:noProof/>
          <w:lang w:val="en-US"/>
        </w:rPr>
        <w:t xml:space="preserve">Akaike, H. (1992). Information Theory and an Extension of the Maximum Likelihood Principle. In S. Kotz &amp; N. L. Johnson (Eds.), </w:t>
      </w:r>
      <w:r w:rsidRPr="00C752C0">
        <w:rPr>
          <w:rFonts w:ascii="Times New Roman" w:hAnsi="Times New Roman" w:cs="Times New Roman"/>
          <w:i/>
          <w:iCs/>
          <w:noProof/>
          <w:lang w:val="en-US"/>
        </w:rPr>
        <w:t>Breakthroughs in Statistics Volume 1. Foundations and Basic Theory</w:t>
      </w:r>
      <w:r w:rsidRPr="00C752C0">
        <w:rPr>
          <w:rFonts w:ascii="Times New Roman" w:hAnsi="Times New Roman" w:cs="Times New Roman"/>
          <w:noProof/>
          <w:lang w:val="en-US"/>
        </w:rPr>
        <w:t xml:space="preserve"> (pp. 610–624). New York: Springer Series in Statistics, Perspectives in Statistics. Springer-Verlag.</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Allen, F., &amp; Gale, D. (2000). Financial Contagion. </w:t>
      </w:r>
      <w:r w:rsidRPr="00C752C0">
        <w:rPr>
          <w:rFonts w:ascii="Times New Roman" w:hAnsi="Times New Roman" w:cs="Times New Roman"/>
          <w:i/>
          <w:iCs/>
          <w:noProof/>
          <w:lang w:val="en-US"/>
        </w:rPr>
        <w:t>Journal of Political Economy</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108</w:t>
      </w:r>
      <w:r w:rsidRPr="00C752C0">
        <w:rPr>
          <w:rFonts w:ascii="Times New Roman" w:hAnsi="Times New Roman" w:cs="Times New Roman"/>
          <w:noProof/>
          <w:lang w:val="en-US"/>
        </w:rPr>
        <w:t>(1), 1–33. http://doi.org/10.1086/262109</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Aragon, G. O., &amp; Strahan, P. E. (2011). </w:t>
      </w:r>
      <w:r w:rsidRPr="00C752C0">
        <w:rPr>
          <w:rFonts w:ascii="Times New Roman" w:hAnsi="Times New Roman" w:cs="Times New Roman"/>
          <w:i/>
          <w:iCs/>
          <w:noProof/>
          <w:lang w:val="en-US"/>
        </w:rPr>
        <w:t>Hedge funds as liquidity providers: evidence from the Lehman bankruptcy</w:t>
      </w:r>
      <w:r w:rsidRPr="00C752C0">
        <w:rPr>
          <w:rFonts w:ascii="Times New Roman" w:hAnsi="Times New Roman" w:cs="Times New Roman"/>
          <w:noProof/>
          <w:lang w:val="en-US"/>
        </w:rPr>
        <w:t>.</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Author, R., &amp; Sargan, J. D. (1961). The Maximum Likelihood Estimation of Economic Relationships with Autoregressive THE MAXIMUM LIKELIHOOD ESTIMATION OF ECONOMIC RELATIONSHIPS WITH AUTOREGRESSIVE RESIDUALS. </w:t>
      </w:r>
      <w:r w:rsidRPr="00C752C0">
        <w:rPr>
          <w:rFonts w:ascii="Times New Roman" w:hAnsi="Times New Roman" w:cs="Times New Roman"/>
          <w:i/>
          <w:iCs/>
          <w:noProof/>
          <w:lang w:val="en-US"/>
        </w:rPr>
        <w:t>Source: Econometrica</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29</w:t>
      </w:r>
      <w:r w:rsidRPr="00C752C0">
        <w:rPr>
          <w:rFonts w:ascii="Times New Roman" w:hAnsi="Times New Roman" w:cs="Times New Roman"/>
          <w:noProof/>
          <w:lang w:val="en-US"/>
        </w:rPr>
        <w:t>(3), 414–426. Retrieved from http://www.jstor.org/stable/1909642</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Baum, C. F. (2005). Stata: The language of choice for time-series analysis? </w:t>
      </w:r>
      <w:r w:rsidRPr="00C752C0">
        <w:rPr>
          <w:rFonts w:ascii="Times New Roman" w:hAnsi="Times New Roman" w:cs="Times New Roman"/>
          <w:i/>
          <w:iCs/>
          <w:noProof/>
          <w:lang w:val="en-US"/>
        </w:rPr>
        <w:t>The Stata Journal</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5</w:t>
      </w:r>
      <w:r w:rsidRPr="00C752C0">
        <w:rPr>
          <w:rFonts w:ascii="Times New Roman" w:hAnsi="Times New Roman" w:cs="Times New Roman"/>
          <w:noProof/>
          <w:lang w:val="en-US"/>
        </w:rPr>
        <w:t>(1), 46–63.</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Baum, C. F. (2013). VAR, SVAR and VECM models. Retrieved from http://fmwww.bc.edu/EC-C/S2013/823/EC823.S2013.nn10.slides.pdf</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Bikhchandani, S., Hirshleifer, D., &amp; Welch, I. (1992). A Theory of Fads, Fashion, Custom, and Cultural Change as Informational Cascades. </w:t>
      </w:r>
      <w:r w:rsidRPr="00C752C0">
        <w:rPr>
          <w:rFonts w:ascii="Times New Roman" w:hAnsi="Times New Roman" w:cs="Times New Roman"/>
          <w:i/>
          <w:iCs/>
          <w:noProof/>
          <w:lang w:val="en-US"/>
        </w:rPr>
        <w:t>Journal of Political Economy</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100</w:t>
      </w:r>
      <w:r w:rsidRPr="00C752C0">
        <w:rPr>
          <w:rFonts w:ascii="Times New Roman" w:hAnsi="Times New Roman" w:cs="Times New Roman"/>
          <w:noProof/>
          <w:lang w:val="en-US"/>
        </w:rPr>
        <w:t>(5), 992–1026. http://doi.org/10.1086/261849</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Blanchard, O. J., &amp; Quah, D. (n.d.). The Dynamic Effects of Aggregate Demand and Supply Disturbances.</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Brunnermeier, M. K., &amp; Pedersen, L. H. (2005). Predatory Trading. </w:t>
      </w:r>
      <w:r w:rsidRPr="00C752C0">
        <w:rPr>
          <w:rFonts w:ascii="Times New Roman" w:hAnsi="Times New Roman" w:cs="Times New Roman"/>
          <w:i/>
          <w:iCs/>
          <w:noProof/>
          <w:lang w:val="en-US"/>
        </w:rPr>
        <w:t>The Journal of Finance</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60</w:t>
      </w:r>
      <w:r w:rsidRPr="00C752C0">
        <w:rPr>
          <w:rFonts w:ascii="Times New Roman" w:hAnsi="Times New Roman" w:cs="Times New Roman"/>
          <w:noProof/>
          <w:lang w:val="en-US"/>
        </w:rPr>
        <w:t>(4), 1825–1863. http://doi.org/10.1111/j.1540-6261.2005.00781.x</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Brunnermeier, M., Krishnamurthy, A., &amp; Gorton, G. (2012). Liquidity Mismatch Measurement.</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Chari, V. V, Bowman, D., Dornbusch, R., Edwards, S., Howard, D., Keohane, B., … Calvo, G. A. (1999). We thank Rational Contagion and the Globalization of Securities Markets *.</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Clarida, R., &amp; Gali, J. (1993). Sources of Real Exchange Rate Fluctuations: How Important Are Nominal Shocks? SOURCES OF REAL EXCHANGE RATE FLUCTUATIONS HOW IMPORTANT ARE NOMINAL SHOCKS? SOURCES OF REAL EXCHANGE RATE FLUCTUATIONS: HOW IMPORTANT ARE NOMINAL SHOCKS?</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Dąbrowski, M. A., &amp; Wróblewska, J. (n.d.). Financial shocks as a cause of real exchange rate fluctuations in Poland – evidence from the Bayesian structural VAR models.</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Gerlach, S., &amp; Smets, F. (1995). Contagious speculative attacks. </w:t>
      </w:r>
      <w:r w:rsidRPr="00C752C0">
        <w:rPr>
          <w:rFonts w:ascii="Times New Roman" w:hAnsi="Times New Roman" w:cs="Times New Roman"/>
          <w:i/>
          <w:iCs/>
          <w:noProof/>
          <w:lang w:val="en-US"/>
        </w:rPr>
        <w:t>European Journal of Political Economy</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11</w:t>
      </w:r>
      <w:r w:rsidRPr="00C752C0">
        <w:rPr>
          <w:rFonts w:ascii="Times New Roman" w:hAnsi="Times New Roman" w:cs="Times New Roman"/>
          <w:noProof/>
          <w:lang w:val="en-US"/>
        </w:rPr>
        <w:t>(1), 45–63. http://doi.org/10.1016/0176-2680(94)00055-O</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Hatanaka, M. (1975). On the Global Identification of the Dynamic Simultaneous Equations Model with Stationary Disturbances. </w:t>
      </w:r>
      <w:r w:rsidRPr="00C752C0">
        <w:rPr>
          <w:rFonts w:ascii="Times New Roman" w:hAnsi="Times New Roman" w:cs="Times New Roman"/>
          <w:i/>
          <w:iCs/>
          <w:noProof/>
          <w:lang w:val="en-US"/>
        </w:rPr>
        <w:t>International Economic Review</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16</w:t>
      </w:r>
      <w:r w:rsidRPr="00C752C0">
        <w:rPr>
          <w:rFonts w:ascii="Times New Roman" w:hAnsi="Times New Roman" w:cs="Times New Roman"/>
          <w:noProof/>
          <w:lang w:val="en-US"/>
        </w:rPr>
        <w:t>(3), 545. http://doi.org/10.2307/2525995</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Hurvich, C. (2002). </w:t>
      </w:r>
      <w:r w:rsidRPr="00C752C0">
        <w:rPr>
          <w:rFonts w:ascii="Times New Roman" w:hAnsi="Times New Roman" w:cs="Times New Roman"/>
          <w:i/>
          <w:iCs/>
          <w:noProof/>
          <w:lang w:val="en-US"/>
        </w:rPr>
        <w:t>The AICc criterion for autoregressive model selection</w:t>
      </w:r>
      <w:r w:rsidRPr="00C752C0">
        <w:rPr>
          <w:rFonts w:ascii="Times New Roman" w:hAnsi="Times New Roman" w:cs="Times New Roman"/>
          <w:noProof/>
          <w:lang w:val="en-US"/>
        </w:rPr>
        <w:t xml:space="preserve">. Retrieved from </w:t>
      </w:r>
      <w:r w:rsidRPr="00C752C0">
        <w:rPr>
          <w:rFonts w:ascii="Times New Roman" w:hAnsi="Times New Roman" w:cs="Times New Roman"/>
          <w:noProof/>
          <w:lang w:val="en-US"/>
        </w:rPr>
        <w:lastRenderedPageBreak/>
        <w:t>http://pages.stern.nyu.edu/~churvich/TimeSeries/Handouts/AICC.pdf</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Hurwicz, L. (1966). On the Structural Form of Interdependent Systems (pp. 232–239). http://doi.org/10.1016/S0049-237X(09)70590-7</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Jaworski, P. (2016). Definition and Framework for Contagion and Divergence Effect Modeling. </w:t>
      </w:r>
      <w:r w:rsidRPr="00C752C0">
        <w:rPr>
          <w:rFonts w:ascii="Times New Roman" w:hAnsi="Times New Roman" w:cs="Times New Roman"/>
          <w:i/>
          <w:iCs/>
          <w:noProof/>
          <w:lang w:val="en-US"/>
        </w:rPr>
        <w:t>SSRN Electronic Journal</w:t>
      </w:r>
      <w:r w:rsidRPr="00C752C0">
        <w:rPr>
          <w:rFonts w:ascii="Times New Roman" w:hAnsi="Times New Roman" w:cs="Times New Roman"/>
          <w:noProof/>
          <w:lang w:val="en-US"/>
        </w:rPr>
        <w:t>, (2010), 1–23. http://doi.org/10.2139/ssrn.2753603</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Jianying, Z. (2012). Crisis Management based on the Five Hypotheses proposed by Jack Welch. In </w:t>
      </w:r>
      <w:r w:rsidRPr="00C752C0">
        <w:rPr>
          <w:rFonts w:ascii="Times New Roman" w:hAnsi="Times New Roman" w:cs="Times New Roman"/>
          <w:i/>
          <w:iCs/>
          <w:noProof/>
          <w:lang w:val="en-US"/>
        </w:rPr>
        <w:t>Proceedings of the 2012 International Conference on Public Management (ICPM-2012)</w:t>
      </w:r>
      <w:r w:rsidRPr="00C752C0">
        <w:rPr>
          <w:rFonts w:ascii="Times New Roman" w:hAnsi="Times New Roman" w:cs="Times New Roman"/>
          <w:noProof/>
          <w:lang w:val="en-US"/>
        </w:rPr>
        <w:t>. Paris, France: Atlantis Press. http://doi.org/10.2991/icpm.2012.21</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Kaminsky, G., Reinhart, C., &amp; Vegh, C. (2003). </w:t>
      </w:r>
      <w:r w:rsidRPr="00C752C0">
        <w:rPr>
          <w:rFonts w:ascii="Times New Roman" w:hAnsi="Times New Roman" w:cs="Times New Roman"/>
          <w:i/>
          <w:iCs/>
          <w:noProof/>
          <w:lang w:val="en-US"/>
        </w:rPr>
        <w:t>The Unholy Trinity of Financial Contagion</w:t>
      </w:r>
      <w:r w:rsidRPr="00C752C0">
        <w:rPr>
          <w:rFonts w:ascii="Times New Roman" w:hAnsi="Times New Roman" w:cs="Times New Roman"/>
          <w:noProof/>
          <w:lang w:val="en-US"/>
        </w:rPr>
        <w:t>. Cambridge, MA. Retrieved from http://www.nber.org/papers/w10061.pdf</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Kodres, L. E., &amp; Pritsker, M. (2002). A Rational Expectations Model of Financial Contagion. </w:t>
      </w:r>
      <w:r w:rsidRPr="00C752C0">
        <w:rPr>
          <w:rFonts w:ascii="Times New Roman" w:hAnsi="Times New Roman" w:cs="Times New Roman"/>
          <w:i/>
          <w:iCs/>
          <w:noProof/>
          <w:lang w:val="en-US"/>
        </w:rPr>
        <w:t>The Journal of Finance</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57</w:t>
      </w:r>
      <w:r w:rsidRPr="00C752C0">
        <w:rPr>
          <w:rFonts w:ascii="Times New Roman" w:hAnsi="Times New Roman" w:cs="Times New Roman"/>
          <w:noProof/>
          <w:lang w:val="en-US"/>
        </w:rPr>
        <w:t>(2), 769–799. http://doi.org/10.1111/1540-6261.00441</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Lahiri, A., &amp; Vegh, C. (2000). </w:t>
      </w:r>
      <w:r w:rsidRPr="00C752C0">
        <w:rPr>
          <w:rFonts w:ascii="Times New Roman" w:hAnsi="Times New Roman" w:cs="Times New Roman"/>
          <w:i/>
          <w:iCs/>
          <w:noProof/>
          <w:lang w:val="en-US"/>
        </w:rPr>
        <w:t>Delaying the Inevitable: Optimal Interest Rate Policy and BOP Crises</w:t>
      </w:r>
      <w:r w:rsidRPr="00C752C0">
        <w:rPr>
          <w:rFonts w:ascii="Times New Roman" w:hAnsi="Times New Roman" w:cs="Times New Roman"/>
          <w:noProof/>
          <w:lang w:val="en-US"/>
        </w:rPr>
        <w:t>. Cambridge, MA. Retrieved from http://www.nber.org/papers/w7734.pdf</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Li, Z., &amp; Wang, H. (n.d.). Research on the Enterprise Crisis Management System Basic on Knowledge Demand.</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Longstaff, F. A. (2010). The subprime credit crisis and contagion in financial markets. </w:t>
      </w:r>
      <w:r w:rsidRPr="00C752C0">
        <w:rPr>
          <w:rFonts w:ascii="Times New Roman" w:hAnsi="Times New Roman" w:cs="Times New Roman"/>
          <w:i/>
          <w:iCs/>
          <w:noProof/>
          <w:lang w:val="en-US"/>
        </w:rPr>
        <w:t>Journal of Financial Economics</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97</w:t>
      </w:r>
      <w:r w:rsidRPr="00C752C0">
        <w:rPr>
          <w:rFonts w:ascii="Times New Roman" w:hAnsi="Times New Roman" w:cs="Times New Roman"/>
          <w:noProof/>
          <w:lang w:val="en-US"/>
        </w:rPr>
        <w:t>(3), 436–450. http://doi.org/10.1016/j.jfineco.2010.01.002</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McFadden, D. (1973). Conditional logit analysis of qualitative choice behavior. </w:t>
      </w:r>
      <w:r w:rsidRPr="00C752C0">
        <w:rPr>
          <w:rFonts w:ascii="Times New Roman" w:hAnsi="Times New Roman" w:cs="Times New Roman"/>
          <w:i/>
          <w:iCs/>
          <w:noProof/>
          <w:lang w:val="en-US"/>
        </w:rPr>
        <w:t>Frontiers in Econometrics</w:t>
      </w:r>
      <w:r w:rsidRPr="00C752C0">
        <w:rPr>
          <w:rFonts w:ascii="Times New Roman" w:hAnsi="Times New Roman" w:cs="Times New Roman"/>
          <w:noProof/>
          <w:lang w:val="en-US"/>
        </w:rPr>
        <w:t>. http://doi.org/10.1108/eb028592</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Mink, M., &amp; De Haan, J. (2012). Contagion during the Greek Sovereign Debt Crisis Contagion during the Greek Sovereign Debt Crisis *.</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Nurkse, R. (1944). </w:t>
      </w:r>
      <w:r w:rsidRPr="00C752C0">
        <w:rPr>
          <w:rFonts w:ascii="Times New Roman" w:hAnsi="Times New Roman" w:cs="Times New Roman"/>
          <w:i/>
          <w:iCs/>
          <w:noProof/>
          <w:lang w:val="en-US"/>
        </w:rPr>
        <w:t>International currency experience  lessons of the interwar period.</w:t>
      </w:r>
      <w:r w:rsidRPr="00C752C0">
        <w:rPr>
          <w:rFonts w:ascii="Times New Roman" w:hAnsi="Times New Roman" w:cs="Times New Roman"/>
          <w:noProof/>
          <w:lang w:val="en-US"/>
        </w:rPr>
        <w:t xml:space="preserve"> [Geneva]: League of Nations.</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Shleifer, A., &amp; Vishny, R. W. (1997). The Limits of Arbitrage. </w:t>
      </w:r>
      <w:r w:rsidRPr="00C752C0">
        <w:rPr>
          <w:rFonts w:ascii="Times New Roman" w:hAnsi="Times New Roman" w:cs="Times New Roman"/>
          <w:i/>
          <w:iCs/>
          <w:noProof/>
          <w:lang w:val="en-US"/>
        </w:rPr>
        <w:t>The Journal of Finance</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52</w:t>
      </w:r>
      <w:r w:rsidRPr="00C752C0">
        <w:rPr>
          <w:rFonts w:ascii="Times New Roman" w:hAnsi="Times New Roman" w:cs="Times New Roman"/>
          <w:noProof/>
          <w:lang w:val="en-US"/>
        </w:rPr>
        <w:t>(1), 35–55. Retrieved from http://links.jstor.org/sici?sici=0022-1082%28199703%2952%3A1%3C35%3ATLOA%3E2.0.CO%3B2-3</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Sims, C. A. (1980). Macroeconomics and Reality. </w:t>
      </w:r>
      <w:r w:rsidRPr="00C752C0">
        <w:rPr>
          <w:rFonts w:ascii="Times New Roman" w:hAnsi="Times New Roman" w:cs="Times New Roman"/>
          <w:i/>
          <w:iCs/>
          <w:noProof/>
          <w:lang w:val="en-US"/>
        </w:rPr>
        <w:t>Econometrica</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48</w:t>
      </w:r>
      <w:r w:rsidRPr="00C752C0">
        <w:rPr>
          <w:rFonts w:ascii="Times New Roman" w:hAnsi="Times New Roman" w:cs="Times New Roman"/>
          <w:noProof/>
          <w:lang w:val="en-US"/>
        </w:rPr>
        <w:t>(1), 1–48. Retrieved from http://links.jstor.org/sici?sici=0012-9682%28198001%2948%3A1%3C1%3AMAR%3E2.0.CO%3B2-A</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Tingting, B., &amp; Zhanglu, T. (n.d.). On the Crisis Management of the Modern Enterprise.</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Valackiene, A. (2011). Theoretical Substation of the Model for Crisis Management in Organization. </w:t>
      </w:r>
      <w:r w:rsidRPr="00C752C0">
        <w:rPr>
          <w:rFonts w:ascii="Times New Roman" w:hAnsi="Times New Roman" w:cs="Times New Roman"/>
          <w:i/>
          <w:iCs/>
          <w:noProof/>
          <w:lang w:val="en-US"/>
        </w:rPr>
        <w:t>Engineering Economics</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22</w:t>
      </w:r>
      <w:r w:rsidRPr="00C752C0">
        <w:rPr>
          <w:rFonts w:ascii="Times New Roman" w:hAnsi="Times New Roman" w:cs="Times New Roman"/>
          <w:noProof/>
          <w:lang w:val="en-US"/>
        </w:rPr>
        <w:t>(1). http://doi.org/10.5755/j01.ee.22.1.221</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C752C0">
        <w:rPr>
          <w:rFonts w:ascii="Times New Roman" w:hAnsi="Times New Roman" w:cs="Times New Roman"/>
          <w:noProof/>
          <w:lang w:val="en-US"/>
        </w:rPr>
        <w:t xml:space="preserve">Yunus, N. (2013). Contagion in international financial markets: A recursive cointegration approach. </w:t>
      </w:r>
      <w:r w:rsidRPr="00C752C0">
        <w:rPr>
          <w:rFonts w:ascii="Times New Roman" w:hAnsi="Times New Roman" w:cs="Times New Roman"/>
          <w:i/>
          <w:iCs/>
          <w:noProof/>
          <w:lang w:val="en-US"/>
        </w:rPr>
        <w:t>J. of Multi. Fin. Manag</w:t>
      </w:r>
      <w:r w:rsidRPr="00C752C0">
        <w:rPr>
          <w:rFonts w:ascii="Times New Roman" w:hAnsi="Times New Roman" w:cs="Times New Roman"/>
          <w:noProof/>
          <w:lang w:val="en-US"/>
        </w:rPr>
        <w:t xml:space="preserve">, </w:t>
      </w:r>
      <w:r w:rsidRPr="00C752C0">
        <w:rPr>
          <w:rFonts w:ascii="Times New Roman" w:hAnsi="Times New Roman" w:cs="Times New Roman"/>
          <w:i/>
          <w:iCs/>
          <w:noProof/>
          <w:lang w:val="en-US"/>
        </w:rPr>
        <w:t>23</w:t>
      </w:r>
      <w:r w:rsidRPr="00C752C0">
        <w:rPr>
          <w:rFonts w:ascii="Times New Roman" w:hAnsi="Times New Roman" w:cs="Times New Roman"/>
          <w:noProof/>
          <w:lang w:val="en-US"/>
        </w:rPr>
        <w:t>, 327–337. http://doi.org/10.1016/j.mulfin.2013.06.003</w:t>
      </w:r>
    </w:p>
    <w:p w:rsidR="00C752C0" w:rsidRPr="00C752C0" w:rsidRDefault="00C752C0" w:rsidP="00C752C0">
      <w:pPr>
        <w:widowControl w:val="0"/>
        <w:autoSpaceDE w:val="0"/>
        <w:autoSpaceDN w:val="0"/>
        <w:adjustRightInd w:val="0"/>
        <w:ind w:left="480" w:hanging="480"/>
        <w:rPr>
          <w:rFonts w:ascii="Times New Roman" w:hAnsi="Times New Roman" w:cs="Times New Roman"/>
          <w:noProof/>
          <w:lang w:val="en-US"/>
        </w:rPr>
      </w:pPr>
      <w:r w:rsidRPr="00DA6A7D">
        <w:rPr>
          <w:rFonts w:ascii="Times New Roman" w:hAnsi="Times New Roman" w:cs="Times New Roman"/>
          <w:noProof/>
        </w:rPr>
        <w:t xml:space="preserve">Канторович, Г. Г. (2002). Анализ временных рядов. </w:t>
      </w:r>
      <w:r w:rsidRPr="00DA6A7D">
        <w:rPr>
          <w:rFonts w:ascii="Times New Roman" w:hAnsi="Times New Roman" w:cs="Times New Roman"/>
          <w:i/>
          <w:iCs/>
          <w:noProof/>
        </w:rPr>
        <w:t>Экономический</w:t>
      </w:r>
      <w:r w:rsidRPr="00C752C0">
        <w:rPr>
          <w:rFonts w:ascii="Times New Roman" w:hAnsi="Times New Roman" w:cs="Times New Roman"/>
          <w:i/>
          <w:iCs/>
          <w:noProof/>
          <w:lang w:val="en-US"/>
        </w:rPr>
        <w:t xml:space="preserve"> </w:t>
      </w:r>
      <w:r w:rsidRPr="00DA6A7D">
        <w:rPr>
          <w:rFonts w:ascii="Times New Roman" w:hAnsi="Times New Roman" w:cs="Times New Roman"/>
          <w:i/>
          <w:iCs/>
          <w:noProof/>
        </w:rPr>
        <w:t>Журнал</w:t>
      </w:r>
      <w:r w:rsidRPr="00C752C0">
        <w:rPr>
          <w:rFonts w:ascii="Times New Roman" w:hAnsi="Times New Roman" w:cs="Times New Roman"/>
          <w:i/>
          <w:iCs/>
          <w:noProof/>
          <w:lang w:val="en-US"/>
        </w:rPr>
        <w:t xml:space="preserve"> </w:t>
      </w:r>
      <w:r w:rsidRPr="00DA6A7D">
        <w:rPr>
          <w:rFonts w:ascii="Times New Roman" w:hAnsi="Times New Roman" w:cs="Times New Roman"/>
          <w:i/>
          <w:iCs/>
          <w:noProof/>
        </w:rPr>
        <w:t>ВШЭ</w:t>
      </w:r>
      <w:r w:rsidRPr="00C752C0">
        <w:rPr>
          <w:rFonts w:ascii="Times New Roman" w:hAnsi="Times New Roman" w:cs="Times New Roman"/>
          <w:noProof/>
          <w:lang w:val="en-US"/>
        </w:rPr>
        <w:t>, (1), 79–103.</w:t>
      </w:r>
    </w:p>
    <w:p w:rsidR="00C752C0" w:rsidRPr="00DA6A7D" w:rsidRDefault="00C752C0" w:rsidP="00C752C0">
      <w:pPr>
        <w:widowControl w:val="0"/>
        <w:autoSpaceDE w:val="0"/>
        <w:autoSpaceDN w:val="0"/>
        <w:adjustRightInd w:val="0"/>
        <w:ind w:left="480" w:hanging="480"/>
        <w:rPr>
          <w:rFonts w:ascii="Times New Roman" w:hAnsi="Times New Roman" w:cs="Times New Roman"/>
          <w:lang w:val="en-US"/>
        </w:rPr>
      </w:pPr>
      <w:r w:rsidRPr="00DA6A7D">
        <w:rPr>
          <w:rFonts w:ascii="Times New Roman" w:hAnsi="Times New Roman" w:cs="Times New Roman"/>
          <w:lang w:val="en-US"/>
        </w:rPr>
        <w:fldChar w:fldCharType="end"/>
      </w:r>
    </w:p>
    <w:p w:rsidR="00C752C0" w:rsidRPr="00DA6A7D" w:rsidRDefault="00C752C0" w:rsidP="00C752C0">
      <w:pPr>
        <w:ind w:right="-7"/>
        <w:rPr>
          <w:rFonts w:ascii="Times New Roman" w:hAnsi="Times New Roman" w:cs="Times New Roman"/>
          <w:lang w:val="en-US"/>
        </w:rPr>
      </w:pPr>
      <w:r w:rsidRPr="00DA6A7D">
        <w:rPr>
          <w:rFonts w:ascii="Times New Roman" w:hAnsi="Times New Roman" w:cs="Times New Roman"/>
          <w:lang w:val="en-US"/>
        </w:rPr>
        <w:br w:type="page"/>
      </w:r>
    </w:p>
    <w:p w:rsidR="00C752C0" w:rsidRPr="00DA6A7D" w:rsidRDefault="00C752C0" w:rsidP="00C752C0">
      <w:pPr>
        <w:pStyle w:val="af1"/>
        <w:spacing w:line="240" w:lineRule="auto"/>
        <w:ind w:left="0" w:firstLine="0"/>
        <w:jc w:val="left"/>
      </w:pPr>
      <w:bookmarkStart w:id="12" w:name="_Toc453016116"/>
      <w:r w:rsidRPr="00DA6A7D">
        <w:lastRenderedPageBreak/>
        <w:t>Appendix 1 - The list of the markets major indices, the components of which were considered in the research</w:t>
      </w:r>
      <w:bookmarkEnd w:id="12"/>
      <w:r w:rsidRPr="00DA6A7D">
        <w:t xml:space="preserve"> </w:t>
      </w:r>
    </w:p>
    <w:p w:rsidR="00C752C0" w:rsidRPr="00DA6A7D" w:rsidRDefault="00C752C0" w:rsidP="00C752C0">
      <w:pPr>
        <w:ind w:right="-7"/>
        <w:rPr>
          <w:rFonts w:ascii="Times" w:hAnsi="Times"/>
          <w:lang w:val="en-US"/>
        </w:rPr>
      </w:pPr>
      <w:r w:rsidRPr="00DA6A7D">
        <w:rPr>
          <w:rFonts w:ascii="Times" w:hAnsi="Times"/>
          <w:lang w:val="en-US"/>
        </w:rPr>
        <w:t>The main stock market indices (Blue Chips) list was obtained from World Federation of Exchanges web page, and the sector indexes were selected on the base of the World Bank World Development Indicators statistics for the value added by different industries in the countries’ GDP (Appendix 3)</w:t>
      </w:r>
    </w:p>
    <w:p w:rsidR="00C752C0" w:rsidRPr="00DA6A7D" w:rsidRDefault="00C752C0" w:rsidP="00C752C0">
      <w:pPr>
        <w:ind w:right="-7"/>
        <w:rPr>
          <w:rFonts w:ascii="Times" w:hAnsi="Times"/>
          <w:b/>
          <w:lang w:val="en-US"/>
        </w:rPr>
      </w:pPr>
      <w:r w:rsidRPr="00DA6A7D">
        <w:drawing>
          <wp:inline distT="0" distB="0" distL="0" distR="0">
            <wp:extent cx="5936615" cy="7845676"/>
            <wp:effectExtent l="19050" t="0" r="698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36615" cy="7845676"/>
                    </a:xfrm>
                    <a:prstGeom prst="rect">
                      <a:avLst/>
                    </a:prstGeom>
                    <a:noFill/>
                    <a:ln w="9525">
                      <a:noFill/>
                      <a:miter lim="800000"/>
                      <a:headEnd/>
                      <a:tailEnd/>
                    </a:ln>
                  </pic:spPr>
                </pic:pic>
              </a:graphicData>
            </a:graphic>
          </wp:inline>
        </w:drawing>
      </w:r>
    </w:p>
    <w:p w:rsidR="00C752C0" w:rsidRPr="00DA6A7D" w:rsidRDefault="00C752C0" w:rsidP="00C752C0">
      <w:pPr>
        <w:rPr>
          <w:rFonts w:ascii="Times" w:hAnsi="Times"/>
          <w:b/>
          <w:lang w:val="en-US"/>
        </w:rPr>
      </w:pPr>
      <w:r w:rsidRPr="00DA6A7D">
        <w:rPr>
          <w:rFonts w:ascii="Times" w:hAnsi="Times"/>
          <w:b/>
          <w:lang w:val="en-US"/>
        </w:rPr>
        <w:br w:type="page"/>
      </w:r>
    </w:p>
    <w:p w:rsidR="00C752C0" w:rsidRPr="00DA6A7D" w:rsidRDefault="00C752C0" w:rsidP="0014777C">
      <w:pPr>
        <w:ind w:left="0" w:right="-7" w:firstLine="0"/>
        <w:rPr>
          <w:rFonts w:ascii="Times" w:hAnsi="Times"/>
          <w:b/>
          <w:lang w:val="en-US"/>
        </w:rPr>
      </w:pPr>
      <w:r w:rsidRPr="00DA6A7D">
        <w:rPr>
          <w:rFonts w:ascii="Times" w:hAnsi="Times"/>
          <w:b/>
          <w:lang w:val="en-US"/>
        </w:rPr>
        <w:lastRenderedPageBreak/>
        <w:t>Appendix 1 - The list of the markets major indices, the components of which were considered in the research – continued</w:t>
      </w:r>
    </w:p>
    <w:p w:rsidR="00C752C0" w:rsidRPr="00DA6A7D" w:rsidRDefault="00C752C0" w:rsidP="0014777C">
      <w:pPr>
        <w:ind w:left="0" w:right="-7" w:hanging="56"/>
        <w:rPr>
          <w:rFonts w:ascii="Times" w:hAnsi="Times"/>
          <w:b/>
          <w:lang w:val="en-US"/>
        </w:rPr>
      </w:pPr>
      <w:r w:rsidRPr="00DA6A7D">
        <w:rPr>
          <w:rFonts w:ascii="Times" w:hAnsi="Times"/>
          <w:b/>
          <w:lang w:val="en-US"/>
        </w:rPr>
        <w:t xml:space="preserve"> </w:t>
      </w:r>
      <w:r w:rsidRPr="00DA6A7D">
        <w:drawing>
          <wp:inline distT="0" distB="0" distL="0" distR="0">
            <wp:extent cx="5936615" cy="5345715"/>
            <wp:effectExtent l="19050" t="0" r="6985"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936615" cy="5345715"/>
                    </a:xfrm>
                    <a:prstGeom prst="rect">
                      <a:avLst/>
                    </a:prstGeom>
                    <a:noFill/>
                    <a:ln w="9525">
                      <a:noFill/>
                      <a:miter lim="800000"/>
                      <a:headEnd/>
                      <a:tailEnd/>
                    </a:ln>
                  </pic:spPr>
                </pic:pic>
              </a:graphicData>
            </a:graphic>
          </wp:inline>
        </w:drawing>
      </w:r>
      <w:r w:rsidRPr="00C752C0">
        <w:rPr>
          <w:lang w:val="en-US"/>
        </w:rPr>
        <w:t xml:space="preserve"> </w:t>
      </w:r>
      <w:r w:rsidRPr="00DA6A7D">
        <w:rPr>
          <w:rFonts w:ascii="Times" w:hAnsi="Times"/>
          <w:b/>
          <w:lang w:val="en-US"/>
        </w:rPr>
        <w:br w:type="page"/>
      </w:r>
    </w:p>
    <w:p w:rsidR="00C752C0" w:rsidRPr="00DA6A7D" w:rsidRDefault="00C752C0" w:rsidP="00C752C0">
      <w:pPr>
        <w:ind w:right="-7"/>
        <w:jc w:val="both"/>
        <w:rPr>
          <w:rFonts w:ascii="Times" w:hAnsi="Times"/>
          <w:b/>
          <w:lang w:val="en-US"/>
        </w:rPr>
      </w:pPr>
    </w:p>
    <w:p w:rsidR="00C752C0" w:rsidRPr="00DA6A7D" w:rsidRDefault="00C752C0" w:rsidP="00C752C0">
      <w:pPr>
        <w:pStyle w:val="af1"/>
        <w:ind w:firstLine="284"/>
        <w:jc w:val="left"/>
      </w:pPr>
      <w:bookmarkStart w:id="13" w:name="_Toc453016117"/>
      <w:r w:rsidRPr="00DA6A7D">
        <w:t>Appendix 2 - Dependent variables in VAR model</w:t>
      </w:r>
      <w:bookmarkEnd w:id="13"/>
    </w:p>
    <w:p w:rsidR="00C752C0" w:rsidRPr="00DA6A7D" w:rsidRDefault="00C752C0" w:rsidP="00C752C0">
      <w:pPr>
        <w:ind w:right="-7"/>
        <w:rPr>
          <w:rFonts w:ascii="Times" w:hAnsi="Times"/>
          <w:b/>
          <w:lang w:val="en-US"/>
        </w:rPr>
      </w:pPr>
    </w:p>
    <w:p w:rsidR="00C752C0" w:rsidRPr="00DA6A7D" w:rsidRDefault="00C752C0" w:rsidP="00C752C0">
      <w:pPr>
        <w:ind w:right="-7"/>
        <w:rPr>
          <w:rFonts w:ascii="Times" w:hAnsi="Times"/>
          <w:b/>
          <w:lang w:val="en-US"/>
        </w:rPr>
      </w:pPr>
      <w:r w:rsidRPr="00DA6A7D">
        <w:rPr>
          <w:rFonts w:ascii="Times" w:hAnsi="Times"/>
          <w:b/>
          <w:lang w:val="en-US"/>
        </w:rPr>
        <w:t>Table 1</w:t>
      </w:r>
    </w:p>
    <w:p w:rsidR="00C752C0" w:rsidRPr="00DA6A7D" w:rsidRDefault="00C752C0" w:rsidP="00C752C0">
      <w:pPr>
        <w:ind w:right="-7"/>
        <w:rPr>
          <w:rFonts w:ascii="Times" w:hAnsi="Times"/>
          <w:lang w:val="en-US"/>
        </w:rPr>
      </w:pPr>
      <w:r w:rsidRPr="00DA6A7D">
        <w:rPr>
          <w:rFonts w:ascii="Times" w:hAnsi="Times"/>
          <w:lang w:val="en-US"/>
        </w:rPr>
        <w:t>The list of the dependent variables for Brazilian market</w:t>
      </w:r>
    </w:p>
    <w:tbl>
      <w:tblPr>
        <w:tblStyle w:val="ae"/>
        <w:tblW w:w="9508" w:type="dxa"/>
        <w:tblLook w:val="04A0"/>
      </w:tblPr>
      <w:tblGrid>
        <w:gridCol w:w="2541"/>
        <w:gridCol w:w="5109"/>
        <w:gridCol w:w="1858"/>
      </w:tblGrid>
      <w:tr w:rsidR="00C752C0" w:rsidRPr="00DA6A7D" w:rsidTr="00B42A3F">
        <w:tc>
          <w:tcPr>
            <w:tcW w:w="2541" w:type="dxa"/>
            <w:vAlign w:val="bottom"/>
          </w:tcPr>
          <w:p w:rsidR="00C752C0" w:rsidRPr="00DA6A7D" w:rsidRDefault="00C752C0" w:rsidP="00B42A3F">
            <w:pPr>
              <w:ind w:right="-7"/>
              <w:jc w:val="center"/>
              <w:rPr>
                <w:rFonts w:ascii="Times" w:hAnsi="Times"/>
                <w:b/>
                <w:sz w:val="22"/>
                <w:lang w:val="en-US"/>
              </w:rPr>
            </w:pPr>
            <w:r w:rsidRPr="00DA6A7D">
              <w:rPr>
                <w:rFonts w:ascii="Times" w:hAnsi="Times"/>
                <w:b/>
                <w:sz w:val="22"/>
                <w:lang w:val="en-US"/>
              </w:rPr>
              <w:t>The financial contagion distribution channel</w:t>
            </w:r>
          </w:p>
        </w:tc>
        <w:tc>
          <w:tcPr>
            <w:tcW w:w="5109" w:type="dxa"/>
            <w:vAlign w:val="bottom"/>
          </w:tcPr>
          <w:p w:rsidR="00C752C0" w:rsidRPr="00DA6A7D" w:rsidRDefault="00C752C0" w:rsidP="00B42A3F">
            <w:pPr>
              <w:ind w:right="-7"/>
              <w:jc w:val="center"/>
              <w:rPr>
                <w:rFonts w:ascii="Times" w:hAnsi="Times"/>
                <w:b/>
                <w:sz w:val="22"/>
                <w:lang w:val="en-US"/>
              </w:rPr>
            </w:pPr>
            <w:r w:rsidRPr="00DA6A7D">
              <w:rPr>
                <w:rFonts w:ascii="Times" w:hAnsi="Times"/>
                <w:b/>
                <w:sz w:val="22"/>
                <w:lang w:val="en-US"/>
              </w:rPr>
              <w:t>Dependent variables name</w:t>
            </w:r>
          </w:p>
        </w:tc>
        <w:tc>
          <w:tcPr>
            <w:tcW w:w="1858" w:type="dxa"/>
            <w:vAlign w:val="bottom"/>
          </w:tcPr>
          <w:p w:rsidR="00C752C0" w:rsidRPr="00DA6A7D" w:rsidRDefault="00C752C0" w:rsidP="00B42A3F">
            <w:pPr>
              <w:ind w:right="-7"/>
              <w:jc w:val="center"/>
              <w:rPr>
                <w:rFonts w:ascii="Times" w:hAnsi="Times"/>
                <w:b/>
                <w:sz w:val="22"/>
                <w:lang w:val="en-US"/>
              </w:rPr>
            </w:pPr>
            <w:r w:rsidRPr="00DA6A7D">
              <w:rPr>
                <w:rFonts w:ascii="Times" w:hAnsi="Times"/>
                <w:b/>
                <w:sz w:val="22"/>
                <w:lang w:val="en-US"/>
              </w:rPr>
              <w:t>Variable code</w:t>
            </w:r>
          </w:p>
        </w:tc>
      </w:tr>
      <w:tr w:rsidR="00C752C0" w:rsidRPr="00DA6A7D" w:rsidTr="00B42A3F">
        <w:tc>
          <w:tcPr>
            <w:tcW w:w="2541" w:type="dxa"/>
          </w:tcPr>
          <w:p w:rsidR="00C752C0" w:rsidRPr="00DA6A7D" w:rsidRDefault="00C752C0" w:rsidP="00B42A3F">
            <w:pPr>
              <w:ind w:right="-7"/>
              <w:jc w:val="both"/>
              <w:rPr>
                <w:rFonts w:ascii="Times" w:hAnsi="Times"/>
                <w:sz w:val="22"/>
                <w:lang w:val="en-US"/>
              </w:rPr>
            </w:pPr>
            <w:r w:rsidRPr="00DA6A7D">
              <w:rPr>
                <w:rFonts w:ascii="Times" w:hAnsi="Times"/>
                <w:sz w:val="22"/>
                <w:lang w:val="en-US"/>
              </w:rPr>
              <w:t>Correlated-information channel</w:t>
            </w:r>
          </w:p>
        </w:tc>
        <w:tc>
          <w:tcPr>
            <w:tcW w:w="5109" w:type="dxa"/>
          </w:tcPr>
          <w:p w:rsidR="00C752C0" w:rsidRPr="00DA6A7D" w:rsidRDefault="00C752C0" w:rsidP="0022187D">
            <w:pPr>
              <w:pStyle w:val="aa"/>
              <w:numPr>
                <w:ilvl w:val="0"/>
                <w:numId w:val="13"/>
              </w:numPr>
              <w:ind w:left="11" w:right="-7" w:firstLine="11"/>
              <w:jc w:val="both"/>
              <w:rPr>
                <w:rFonts w:ascii="Times" w:hAnsi="Times"/>
                <w:sz w:val="22"/>
                <w:lang w:val="en-US"/>
              </w:rPr>
            </w:pPr>
            <w:r w:rsidRPr="00DA6A7D">
              <w:rPr>
                <w:rFonts w:ascii="Times" w:hAnsi="Times"/>
                <w:sz w:val="22"/>
                <w:lang w:val="en-US"/>
              </w:rPr>
              <w:t>BM&amp;F Gold-gramme price: 1990-2015</w:t>
            </w:r>
          </w:p>
          <w:p w:rsidR="00C752C0" w:rsidRPr="00DA6A7D" w:rsidRDefault="00C752C0" w:rsidP="0022187D">
            <w:pPr>
              <w:pStyle w:val="aa"/>
              <w:numPr>
                <w:ilvl w:val="0"/>
                <w:numId w:val="13"/>
              </w:numPr>
              <w:ind w:left="11" w:right="-7" w:firstLine="11"/>
              <w:jc w:val="both"/>
              <w:rPr>
                <w:rFonts w:ascii="Times" w:hAnsi="Times"/>
                <w:sz w:val="22"/>
                <w:lang w:val="en-US"/>
              </w:rPr>
            </w:pPr>
            <w:r w:rsidRPr="00DA6A7D">
              <w:rPr>
                <w:rFonts w:ascii="Times" w:hAnsi="Times"/>
                <w:sz w:val="22"/>
                <w:lang w:val="en-US"/>
              </w:rPr>
              <w:t>Anbima</w:t>
            </w:r>
            <w:r w:rsidRPr="00DA6A7D">
              <w:rPr>
                <w:rStyle w:val="af"/>
                <w:rFonts w:ascii="Times" w:hAnsi="Times"/>
                <w:sz w:val="22"/>
                <w:lang w:val="en-US"/>
              </w:rPr>
              <w:footnoteReference w:id="11"/>
            </w:r>
            <w:r w:rsidRPr="00DA6A7D">
              <w:rPr>
                <w:rFonts w:ascii="Times" w:hAnsi="Times"/>
                <w:sz w:val="22"/>
                <w:lang w:val="en-US"/>
              </w:rPr>
              <w:t xml:space="preserve"> market indexes:</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Index of the prefixed federal bonds IFR-M: 2000-2015</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Index of the federal bonds tied to the SELIC rate IMA-S: 2004-2015</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Index of the federal bonds tied to the IGP-M index IMA-C: 2004-2015</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Index of the federal bonds tied to the IGP-M index with maturities below to 5 years IMA-C 5: 2004-2015</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Index of the federal bonds tied to the IGP-M index with maturities equal or above 5 years IMA-C 5+: 2004-2015</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Index of the federal bonds tied to the IPCA index IMA-B: 2004-2015</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Index of the federal bonds tied to the IPCA index IMA-B with maturities below to 5 years IMA-B 5: 2004-2015</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Index of the federal bonds tied to the IPCA index IMA-B with maturities equal or above 5 years IMA-B 5+: 2004-2015</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General Index IMA-General: 2004-2015</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Index of prefixed federal bonds with maturities below to 1 year IFR-M 1: 2000-2015</w:t>
            </w:r>
          </w:p>
          <w:p w:rsidR="00C752C0" w:rsidRPr="00DA6A7D" w:rsidRDefault="00C752C0" w:rsidP="0022187D">
            <w:pPr>
              <w:pStyle w:val="aa"/>
              <w:numPr>
                <w:ilvl w:val="1"/>
                <w:numId w:val="13"/>
              </w:numPr>
              <w:ind w:right="-7"/>
              <w:jc w:val="both"/>
              <w:rPr>
                <w:rFonts w:ascii="Times" w:hAnsi="Times"/>
                <w:sz w:val="22"/>
                <w:lang w:val="en-US"/>
              </w:rPr>
            </w:pPr>
            <w:r w:rsidRPr="00DA6A7D">
              <w:rPr>
                <w:rFonts w:ascii="Times" w:hAnsi="Times"/>
                <w:sz w:val="22"/>
                <w:lang w:val="en-US"/>
              </w:rPr>
              <w:t>Index of prefixed federal bonds with maturities equal or above 1 year IFR-M 1+: 2000-2015</w:t>
            </w:r>
          </w:p>
        </w:tc>
        <w:tc>
          <w:tcPr>
            <w:tcW w:w="1858" w:type="dxa"/>
          </w:tcPr>
          <w:p w:rsidR="00C752C0" w:rsidRPr="00DA6A7D" w:rsidRDefault="00C752C0" w:rsidP="0022187D">
            <w:pPr>
              <w:pStyle w:val="aa"/>
              <w:numPr>
                <w:ilvl w:val="0"/>
                <w:numId w:val="14"/>
              </w:numPr>
              <w:ind w:left="5" w:right="-7" w:hanging="6"/>
              <w:jc w:val="both"/>
              <w:rPr>
                <w:rFonts w:ascii="Times" w:hAnsi="Times"/>
                <w:sz w:val="22"/>
                <w:lang w:val="en-US"/>
              </w:rPr>
            </w:pPr>
            <w:r w:rsidRPr="00DA6A7D">
              <w:rPr>
                <w:rFonts w:ascii="Times" w:hAnsi="Times"/>
                <w:sz w:val="22"/>
                <w:lang w:val="en-US"/>
              </w:rPr>
              <w:t>gold</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IFRM</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IMAS</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IMAC</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IMAC5l</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IMAC5o</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IMAB</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IMAB5l</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IMAB5o</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IMA</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IFRM1l</w:t>
            </w:r>
          </w:p>
          <w:p w:rsidR="00C752C0" w:rsidRPr="00DA6A7D" w:rsidRDefault="00C752C0" w:rsidP="0022187D">
            <w:pPr>
              <w:pStyle w:val="aa"/>
              <w:numPr>
                <w:ilvl w:val="0"/>
                <w:numId w:val="14"/>
              </w:numPr>
              <w:ind w:left="0" w:right="-7" w:firstLine="0"/>
              <w:jc w:val="both"/>
              <w:rPr>
                <w:rFonts w:ascii="Times" w:hAnsi="Times"/>
                <w:sz w:val="22"/>
                <w:lang w:val="en-US"/>
              </w:rPr>
            </w:pPr>
            <w:r w:rsidRPr="00DA6A7D">
              <w:rPr>
                <w:rFonts w:ascii="Times" w:hAnsi="Times"/>
                <w:sz w:val="22"/>
                <w:lang w:val="en-US"/>
              </w:rPr>
              <w:t>IFRM1o</w:t>
            </w:r>
          </w:p>
        </w:tc>
      </w:tr>
      <w:tr w:rsidR="00C752C0" w:rsidRPr="00DA6A7D" w:rsidTr="00B42A3F">
        <w:tc>
          <w:tcPr>
            <w:tcW w:w="2541" w:type="dxa"/>
          </w:tcPr>
          <w:p w:rsidR="00C752C0" w:rsidRPr="00DA6A7D" w:rsidRDefault="00C752C0" w:rsidP="00B42A3F">
            <w:pPr>
              <w:ind w:right="-7"/>
              <w:jc w:val="both"/>
              <w:rPr>
                <w:rFonts w:ascii="Times" w:hAnsi="Times"/>
                <w:sz w:val="22"/>
                <w:lang w:val="en-US"/>
              </w:rPr>
            </w:pPr>
            <w:r w:rsidRPr="00DA6A7D">
              <w:rPr>
                <w:rFonts w:ascii="Times" w:hAnsi="Times"/>
                <w:sz w:val="22"/>
                <w:lang w:val="en-US"/>
              </w:rPr>
              <w:t>Liquidity channel</w:t>
            </w:r>
          </w:p>
        </w:tc>
        <w:tc>
          <w:tcPr>
            <w:tcW w:w="5109" w:type="dxa"/>
          </w:tcPr>
          <w:p w:rsidR="00C752C0" w:rsidRPr="00DA6A7D" w:rsidRDefault="00C752C0" w:rsidP="0022187D">
            <w:pPr>
              <w:pStyle w:val="aa"/>
              <w:numPr>
                <w:ilvl w:val="0"/>
                <w:numId w:val="15"/>
              </w:numPr>
              <w:ind w:left="0" w:right="-7" w:firstLine="0"/>
              <w:jc w:val="both"/>
              <w:rPr>
                <w:rFonts w:ascii="Times" w:hAnsi="Times"/>
                <w:sz w:val="22"/>
                <w:lang w:val="en-US"/>
              </w:rPr>
            </w:pPr>
            <w:r w:rsidRPr="00DA6A7D">
              <w:rPr>
                <w:rFonts w:ascii="Times" w:hAnsi="Times"/>
                <w:sz w:val="22"/>
                <w:lang w:val="en-US"/>
              </w:rPr>
              <w:t>Rio de Janeiro stock market (BVRJ) – total amount: 1990-1999</w:t>
            </w:r>
          </w:p>
          <w:p w:rsidR="00C752C0" w:rsidRPr="00DA6A7D" w:rsidRDefault="00C752C0" w:rsidP="0022187D">
            <w:pPr>
              <w:pStyle w:val="aa"/>
              <w:numPr>
                <w:ilvl w:val="0"/>
                <w:numId w:val="15"/>
              </w:numPr>
              <w:ind w:left="0" w:right="-7" w:firstLine="0"/>
              <w:jc w:val="both"/>
              <w:rPr>
                <w:rFonts w:ascii="Times" w:hAnsi="Times"/>
                <w:sz w:val="22"/>
                <w:lang w:val="en-US"/>
              </w:rPr>
            </w:pPr>
            <w:r w:rsidRPr="00DA6A7D">
              <w:rPr>
                <w:rFonts w:ascii="Times" w:hAnsi="Times"/>
                <w:sz w:val="22"/>
                <w:lang w:val="en-US"/>
              </w:rPr>
              <w:t>Financial Investment Fund positions:</w:t>
            </w:r>
          </w:p>
          <w:p w:rsidR="00C752C0" w:rsidRPr="00DA6A7D" w:rsidRDefault="00C752C0" w:rsidP="0022187D">
            <w:pPr>
              <w:pStyle w:val="aa"/>
              <w:numPr>
                <w:ilvl w:val="1"/>
                <w:numId w:val="15"/>
              </w:numPr>
              <w:ind w:right="-7"/>
              <w:jc w:val="both"/>
              <w:rPr>
                <w:rFonts w:ascii="Times" w:hAnsi="Times"/>
                <w:sz w:val="22"/>
                <w:lang w:val="en-US"/>
              </w:rPr>
            </w:pPr>
            <w:r w:rsidRPr="00DA6A7D">
              <w:rPr>
                <w:rFonts w:ascii="Times" w:hAnsi="Times"/>
                <w:sz w:val="22"/>
                <w:lang w:val="en-US"/>
              </w:rPr>
              <w:t>FIF 30 – Derivatives positions (futures market): 1996-1998</w:t>
            </w:r>
          </w:p>
          <w:p w:rsidR="00C752C0" w:rsidRPr="00DA6A7D" w:rsidRDefault="00C752C0" w:rsidP="0022187D">
            <w:pPr>
              <w:pStyle w:val="aa"/>
              <w:numPr>
                <w:ilvl w:val="1"/>
                <w:numId w:val="15"/>
              </w:numPr>
              <w:ind w:right="-7"/>
              <w:jc w:val="both"/>
              <w:rPr>
                <w:rFonts w:ascii="Times" w:hAnsi="Times"/>
                <w:sz w:val="22"/>
                <w:lang w:val="en-US"/>
              </w:rPr>
            </w:pPr>
            <w:r w:rsidRPr="00DA6A7D">
              <w:rPr>
                <w:rFonts w:ascii="Times" w:hAnsi="Times"/>
                <w:sz w:val="22"/>
                <w:lang w:val="en-US"/>
              </w:rPr>
              <w:t>FIF 30 – Derivatives positions (options market): 1996-1998</w:t>
            </w:r>
          </w:p>
          <w:p w:rsidR="00C752C0" w:rsidRPr="00DA6A7D" w:rsidRDefault="00C752C0" w:rsidP="0022187D">
            <w:pPr>
              <w:pStyle w:val="aa"/>
              <w:numPr>
                <w:ilvl w:val="1"/>
                <w:numId w:val="15"/>
              </w:numPr>
              <w:ind w:right="-7"/>
              <w:jc w:val="both"/>
              <w:rPr>
                <w:rFonts w:ascii="Times" w:hAnsi="Times"/>
                <w:sz w:val="22"/>
                <w:lang w:val="en-US"/>
              </w:rPr>
            </w:pPr>
            <w:r w:rsidRPr="00DA6A7D">
              <w:rPr>
                <w:rFonts w:ascii="Times" w:hAnsi="Times"/>
                <w:sz w:val="22"/>
                <w:lang w:val="en-US"/>
              </w:rPr>
              <w:t>FIF 30 – Derivatives positions (swap): 1996-1998</w:t>
            </w:r>
          </w:p>
          <w:p w:rsidR="00C752C0" w:rsidRPr="00DA6A7D" w:rsidRDefault="00C752C0" w:rsidP="0022187D">
            <w:pPr>
              <w:pStyle w:val="aa"/>
              <w:numPr>
                <w:ilvl w:val="1"/>
                <w:numId w:val="15"/>
              </w:numPr>
              <w:ind w:right="-7"/>
              <w:jc w:val="both"/>
              <w:rPr>
                <w:rFonts w:ascii="Times" w:hAnsi="Times"/>
                <w:sz w:val="22"/>
                <w:lang w:val="en-US"/>
              </w:rPr>
            </w:pPr>
            <w:r w:rsidRPr="00DA6A7D">
              <w:rPr>
                <w:rFonts w:ascii="Times" w:hAnsi="Times"/>
                <w:sz w:val="22"/>
                <w:lang w:val="en-US"/>
              </w:rPr>
              <w:t xml:space="preserve">FIF 60 – Derivatives positions (futures </w:t>
            </w:r>
            <w:r w:rsidRPr="00DA6A7D">
              <w:rPr>
                <w:rFonts w:ascii="Times" w:hAnsi="Times"/>
                <w:sz w:val="22"/>
                <w:lang w:val="en-US"/>
              </w:rPr>
              <w:lastRenderedPageBreak/>
              <w:t>market): 1996-1998</w:t>
            </w:r>
          </w:p>
          <w:p w:rsidR="00C752C0" w:rsidRPr="00DA6A7D" w:rsidRDefault="00C752C0" w:rsidP="0022187D">
            <w:pPr>
              <w:pStyle w:val="aa"/>
              <w:numPr>
                <w:ilvl w:val="1"/>
                <w:numId w:val="15"/>
              </w:numPr>
              <w:ind w:right="-7"/>
              <w:jc w:val="both"/>
              <w:rPr>
                <w:rFonts w:ascii="Times" w:hAnsi="Times"/>
                <w:sz w:val="22"/>
                <w:lang w:val="en-US"/>
              </w:rPr>
            </w:pPr>
            <w:r w:rsidRPr="00DA6A7D">
              <w:rPr>
                <w:rFonts w:ascii="Times" w:hAnsi="Times"/>
                <w:sz w:val="22"/>
                <w:lang w:val="en-US"/>
              </w:rPr>
              <w:t>FIF 60 – Derivatives positions (options market): 1996-1998</w:t>
            </w:r>
          </w:p>
          <w:p w:rsidR="00C752C0" w:rsidRPr="00DA6A7D" w:rsidRDefault="00C752C0" w:rsidP="0022187D">
            <w:pPr>
              <w:pStyle w:val="aa"/>
              <w:numPr>
                <w:ilvl w:val="1"/>
                <w:numId w:val="15"/>
              </w:numPr>
              <w:ind w:right="-7"/>
              <w:jc w:val="both"/>
              <w:rPr>
                <w:rFonts w:ascii="Times" w:hAnsi="Times"/>
                <w:sz w:val="22"/>
                <w:lang w:val="en-US"/>
              </w:rPr>
            </w:pPr>
            <w:r w:rsidRPr="00DA6A7D">
              <w:rPr>
                <w:rFonts w:ascii="Times" w:hAnsi="Times"/>
                <w:sz w:val="22"/>
                <w:lang w:val="en-US"/>
              </w:rPr>
              <w:t>FIF 60 – Derivatives positions (swap): 1996-1998</w:t>
            </w:r>
          </w:p>
          <w:p w:rsidR="00C752C0" w:rsidRPr="00DA6A7D" w:rsidRDefault="00C752C0" w:rsidP="0022187D">
            <w:pPr>
              <w:pStyle w:val="aa"/>
              <w:numPr>
                <w:ilvl w:val="0"/>
                <w:numId w:val="15"/>
              </w:numPr>
              <w:ind w:left="11" w:right="-7" w:firstLine="0"/>
              <w:jc w:val="both"/>
              <w:rPr>
                <w:rFonts w:ascii="Times" w:hAnsi="Times"/>
                <w:sz w:val="22"/>
                <w:lang w:val="en-US"/>
              </w:rPr>
            </w:pPr>
            <w:r w:rsidRPr="00DA6A7D">
              <w:rPr>
                <w:rFonts w:ascii="Times" w:hAnsi="Times"/>
                <w:sz w:val="22"/>
                <w:lang w:val="en-US"/>
              </w:rPr>
              <w:t>Operations with federal securities: 1991-2015</w:t>
            </w:r>
          </w:p>
          <w:p w:rsidR="00C752C0" w:rsidRPr="00DA6A7D" w:rsidRDefault="00C752C0" w:rsidP="0022187D">
            <w:pPr>
              <w:pStyle w:val="aa"/>
              <w:numPr>
                <w:ilvl w:val="0"/>
                <w:numId w:val="15"/>
              </w:numPr>
              <w:ind w:left="11" w:right="-7" w:firstLine="0"/>
              <w:jc w:val="both"/>
              <w:rPr>
                <w:rFonts w:ascii="Times" w:hAnsi="Times"/>
                <w:sz w:val="22"/>
                <w:lang w:val="en-US"/>
              </w:rPr>
            </w:pPr>
            <w:r w:rsidRPr="00DA6A7D">
              <w:rPr>
                <w:rFonts w:ascii="Times" w:hAnsi="Times"/>
                <w:sz w:val="22"/>
                <w:lang w:val="en-US"/>
              </w:rPr>
              <w:t>Derivatives operations-adjustments: 2002-2015</w:t>
            </w:r>
          </w:p>
          <w:p w:rsidR="00C752C0" w:rsidRPr="00DA6A7D" w:rsidRDefault="00C752C0" w:rsidP="0022187D">
            <w:pPr>
              <w:pStyle w:val="aa"/>
              <w:numPr>
                <w:ilvl w:val="0"/>
                <w:numId w:val="15"/>
              </w:numPr>
              <w:ind w:left="11" w:right="-7" w:firstLine="0"/>
              <w:jc w:val="both"/>
              <w:rPr>
                <w:rFonts w:ascii="Times" w:hAnsi="Times"/>
                <w:sz w:val="22"/>
                <w:lang w:val="en-US"/>
              </w:rPr>
            </w:pPr>
            <w:r w:rsidRPr="00DA6A7D">
              <w:rPr>
                <w:rFonts w:ascii="Times" w:hAnsi="Times"/>
                <w:sz w:val="22"/>
                <w:lang w:val="en-US"/>
              </w:rPr>
              <w:t>Demand deposits: 1991-2015</w:t>
            </w:r>
          </w:p>
          <w:p w:rsidR="00C752C0" w:rsidRPr="00DA6A7D" w:rsidRDefault="00C752C0" w:rsidP="0022187D">
            <w:pPr>
              <w:pStyle w:val="aa"/>
              <w:numPr>
                <w:ilvl w:val="0"/>
                <w:numId w:val="15"/>
              </w:numPr>
              <w:ind w:left="11" w:right="-7" w:firstLine="0"/>
              <w:jc w:val="both"/>
              <w:rPr>
                <w:rFonts w:ascii="Times" w:hAnsi="Times"/>
                <w:sz w:val="22"/>
                <w:lang w:val="en-US"/>
              </w:rPr>
            </w:pPr>
            <w:r w:rsidRPr="00DA6A7D">
              <w:rPr>
                <w:rFonts w:ascii="Times" w:hAnsi="Times"/>
                <w:sz w:val="22"/>
                <w:lang w:val="en-US"/>
              </w:rPr>
              <w:t>Money supply type M1: 1991-2015</w:t>
            </w:r>
          </w:p>
          <w:p w:rsidR="00C752C0" w:rsidRPr="00DA6A7D" w:rsidRDefault="00C752C0" w:rsidP="00B42A3F">
            <w:pPr>
              <w:ind w:left="11" w:right="-7"/>
              <w:jc w:val="both"/>
              <w:rPr>
                <w:rFonts w:ascii="Times" w:hAnsi="Times"/>
                <w:sz w:val="22"/>
                <w:lang w:val="en-US"/>
              </w:rPr>
            </w:pPr>
          </w:p>
        </w:tc>
        <w:tc>
          <w:tcPr>
            <w:tcW w:w="1858" w:type="dxa"/>
          </w:tcPr>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lastRenderedPageBreak/>
              <w:t>BVRJ</w:t>
            </w:r>
          </w:p>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t>FIF30f</w:t>
            </w:r>
          </w:p>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t>FIF30o</w:t>
            </w:r>
          </w:p>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t>FIF30s</w:t>
            </w:r>
          </w:p>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t>FIF60f</w:t>
            </w:r>
          </w:p>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t>FIF60o</w:t>
            </w:r>
          </w:p>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t>FIF60s</w:t>
            </w:r>
          </w:p>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t>federal</w:t>
            </w:r>
          </w:p>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t>derivative</w:t>
            </w:r>
          </w:p>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t>deposits</w:t>
            </w:r>
          </w:p>
          <w:p w:rsidR="00C752C0" w:rsidRPr="00DA6A7D" w:rsidRDefault="00C752C0" w:rsidP="0022187D">
            <w:pPr>
              <w:pStyle w:val="aa"/>
              <w:numPr>
                <w:ilvl w:val="0"/>
                <w:numId w:val="17"/>
              </w:numPr>
              <w:ind w:left="0" w:right="-7" w:firstLine="0"/>
              <w:jc w:val="both"/>
              <w:rPr>
                <w:rFonts w:ascii="Times" w:hAnsi="Times"/>
                <w:sz w:val="22"/>
                <w:lang w:val="en-US"/>
              </w:rPr>
            </w:pPr>
            <w:r w:rsidRPr="00DA6A7D">
              <w:rPr>
                <w:rFonts w:ascii="Times" w:hAnsi="Times"/>
                <w:sz w:val="22"/>
                <w:lang w:val="en-US"/>
              </w:rPr>
              <w:lastRenderedPageBreak/>
              <w:t>M1</w:t>
            </w:r>
          </w:p>
        </w:tc>
      </w:tr>
      <w:tr w:rsidR="00C752C0" w:rsidRPr="00DA6A7D" w:rsidTr="00B42A3F">
        <w:tc>
          <w:tcPr>
            <w:tcW w:w="2541" w:type="dxa"/>
          </w:tcPr>
          <w:p w:rsidR="00C752C0" w:rsidRPr="00DA6A7D" w:rsidRDefault="00C752C0" w:rsidP="00B42A3F">
            <w:pPr>
              <w:ind w:right="-7"/>
              <w:jc w:val="both"/>
              <w:rPr>
                <w:rFonts w:ascii="Times" w:hAnsi="Times"/>
                <w:sz w:val="22"/>
                <w:lang w:val="en-US"/>
              </w:rPr>
            </w:pPr>
            <w:r w:rsidRPr="00DA6A7D">
              <w:rPr>
                <w:rFonts w:ascii="Times" w:hAnsi="Times"/>
                <w:sz w:val="22"/>
                <w:lang w:val="en-US"/>
              </w:rPr>
              <w:lastRenderedPageBreak/>
              <w:t>Risk-premium channel</w:t>
            </w:r>
          </w:p>
        </w:tc>
        <w:tc>
          <w:tcPr>
            <w:tcW w:w="5109" w:type="dxa"/>
          </w:tcPr>
          <w:p w:rsidR="00C752C0" w:rsidRPr="00DA6A7D" w:rsidRDefault="00C752C0" w:rsidP="0022187D">
            <w:pPr>
              <w:pStyle w:val="aa"/>
              <w:numPr>
                <w:ilvl w:val="0"/>
                <w:numId w:val="16"/>
              </w:numPr>
              <w:ind w:left="11" w:right="-7" w:firstLine="0"/>
              <w:jc w:val="both"/>
              <w:rPr>
                <w:rFonts w:ascii="Times" w:hAnsi="Times"/>
                <w:sz w:val="22"/>
                <w:lang w:val="en-US"/>
              </w:rPr>
            </w:pPr>
            <w:r w:rsidRPr="00DA6A7D">
              <w:rPr>
                <w:rFonts w:ascii="Times" w:hAnsi="Times"/>
                <w:sz w:val="22"/>
                <w:lang w:val="en-US"/>
              </w:rPr>
              <w:t>Special Clearance and Escrow System interest rate (selic)</w:t>
            </w:r>
            <w:r w:rsidRPr="00DA6A7D">
              <w:rPr>
                <w:rStyle w:val="af"/>
                <w:rFonts w:ascii="Times" w:hAnsi="Times"/>
                <w:sz w:val="22"/>
                <w:lang w:val="en-US"/>
              </w:rPr>
              <w:footnoteReference w:id="12"/>
            </w:r>
            <w:r w:rsidRPr="00DA6A7D">
              <w:rPr>
                <w:rFonts w:ascii="Times" w:hAnsi="Times"/>
                <w:sz w:val="22"/>
                <w:lang w:val="en-US"/>
              </w:rPr>
              <w:t>: 1990-2015</w:t>
            </w:r>
          </w:p>
          <w:p w:rsidR="00C752C0" w:rsidRPr="00DA6A7D" w:rsidRDefault="00C752C0" w:rsidP="0022187D">
            <w:pPr>
              <w:pStyle w:val="aa"/>
              <w:numPr>
                <w:ilvl w:val="0"/>
                <w:numId w:val="16"/>
              </w:numPr>
              <w:ind w:left="11" w:right="-7" w:firstLine="0"/>
              <w:jc w:val="both"/>
              <w:rPr>
                <w:rFonts w:ascii="Times" w:hAnsi="Times"/>
                <w:sz w:val="22"/>
                <w:lang w:val="en-US"/>
              </w:rPr>
            </w:pPr>
            <w:r w:rsidRPr="00DA6A7D">
              <w:rPr>
                <w:rFonts w:ascii="Times" w:hAnsi="Times"/>
                <w:sz w:val="22"/>
                <w:lang w:val="en-US"/>
              </w:rPr>
              <w:t>Average One-Day Interbank Deposit rate (CDI)</w:t>
            </w:r>
            <w:r w:rsidRPr="00DA6A7D">
              <w:rPr>
                <w:rStyle w:val="af"/>
                <w:rFonts w:ascii="Times" w:hAnsi="Times"/>
                <w:sz w:val="22"/>
                <w:lang w:val="en-US"/>
              </w:rPr>
              <w:footnoteReference w:id="13"/>
            </w:r>
            <w:r w:rsidRPr="00DA6A7D">
              <w:rPr>
                <w:rFonts w:ascii="Times" w:hAnsi="Times"/>
                <w:sz w:val="22"/>
                <w:lang w:val="en-US"/>
              </w:rPr>
              <w:t>: 1990-2015</w:t>
            </w:r>
          </w:p>
          <w:p w:rsidR="00C752C0" w:rsidRPr="00DA6A7D" w:rsidRDefault="00C752C0" w:rsidP="0022187D">
            <w:pPr>
              <w:pStyle w:val="aa"/>
              <w:numPr>
                <w:ilvl w:val="0"/>
                <w:numId w:val="16"/>
              </w:numPr>
              <w:ind w:left="11" w:right="-7" w:firstLine="0"/>
              <w:jc w:val="both"/>
              <w:rPr>
                <w:rFonts w:ascii="Times" w:hAnsi="Times"/>
                <w:sz w:val="22"/>
                <w:lang w:val="en-US"/>
              </w:rPr>
            </w:pPr>
            <w:r w:rsidRPr="00DA6A7D">
              <w:rPr>
                <w:rFonts w:ascii="Times" w:hAnsi="Times"/>
                <w:sz w:val="22"/>
                <w:lang w:val="en-US"/>
              </w:rPr>
              <w:t>Banco Central do Brasil interest rates:</w:t>
            </w:r>
          </w:p>
          <w:p w:rsidR="00C752C0" w:rsidRPr="00DA6A7D" w:rsidRDefault="00C752C0" w:rsidP="0022187D">
            <w:pPr>
              <w:pStyle w:val="aa"/>
              <w:numPr>
                <w:ilvl w:val="1"/>
                <w:numId w:val="16"/>
              </w:numPr>
              <w:ind w:right="-7"/>
              <w:jc w:val="both"/>
              <w:rPr>
                <w:rFonts w:ascii="Times" w:hAnsi="Times"/>
                <w:sz w:val="22"/>
                <w:lang w:val="en-US"/>
              </w:rPr>
            </w:pPr>
            <w:r w:rsidRPr="00DA6A7D">
              <w:rPr>
                <w:rFonts w:ascii="Times" w:hAnsi="Times"/>
                <w:sz w:val="22"/>
                <w:lang w:val="en-US"/>
              </w:rPr>
              <w:t>reference rate</w:t>
            </w:r>
            <w:r w:rsidRPr="00DA6A7D">
              <w:rPr>
                <w:rStyle w:val="af"/>
                <w:rFonts w:ascii="Times" w:hAnsi="Times"/>
                <w:sz w:val="22"/>
                <w:lang w:val="en-US"/>
              </w:rPr>
              <w:footnoteReference w:id="14"/>
            </w:r>
            <w:r w:rsidRPr="00DA6A7D">
              <w:rPr>
                <w:rFonts w:ascii="Times" w:hAnsi="Times"/>
                <w:sz w:val="22"/>
                <w:lang w:val="en-US"/>
              </w:rPr>
              <w:t>: 1991-2015</w:t>
            </w:r>
          </w:p>
          <w:p w:rsidR="00C752C0" w:rsidRPr="00DA6A7D" w:rsidRDefault="00C752C0" w:rsidP="0022187D">
            <w:pPr>
              <w:pStyle w:val="aa"/>
              <w:numPr>
                <w:ilvl w:val="1"/>
                <w:numId w:val="16"/>
              </w:numPr>
              <w:ind w:right="-7"/>
              <w:jc w:val="both"/>
              <w:rPr>
                <w:rFonts w:ascii="Times" w:hAnsi="Times"/>
                <w:sz w:val="22"/>
                <w:lang w:val="en-US"/>
              </w:rPr>
            </w:pPr>
            <w:r w:rsidRPr="00DA6A7D">
              <w:rPr>
                <w:rFonts w:ascii="Times" w:hAnsi="Times"/>
                <w:sz w:val="22"/>
                <w:lang w:val="en-US"/>
              </w:rPr>
              <w:t>base financial rate: 1995-2015</w:t>
            </w:r>
          </w:p>
        </w:tc>
        <w:tc>
          <w:tcPr>
            <w:tcW w:w="1858" w:type="dxa"/>
          </w:tcPr>
          <w:p w:rsidR="00C752C0" w:rsidRPr="00DA6A7D" w:rsidRDefault="00C752C0" w:rsidP="0022187D">
            <w:pPr>
              <w:pStyle w:val="aa"/>
              <w:numPr>
                <w:ilvl w:val="0"/>
                <w:numId w:val="18"/>
              </w:numPr>
              <w:ind w:left="5" w:right="-7" w:hanging="6"/>
              <w:jc w:val="both"/>
              <w:rPr>
                <w:rFonts w:ascii="Times" w:hAnsi="Times"/>
                <w:sz w:val="22"/>
                <w:lang w:val="en-US"/>
              </w:rPr>
            </w:pPr>
            <w:r w:rsidRPr="00DA6A7D">
              <w:rPr>
                <w:rFonts w:ascii="Times" w:hAnsi="Times"/>
                <w:sz w:val="22"/>
                <w:lang w:val="en-US"/>
              </w:rPr>
              <w:t>selic</w:t>
            </w:r>
          </w:p>
          <w:p w:rsidR="00C752C0" w:rsidRPr="00DA6A7D" w:rsidRDefault="00C752C0" w:rsidP="0022187D">
            <w:pPr>
              <w:pStyle w:val="aa"/>
              <w:numPr>
                <w:ilvl w:val="0"/>
                <w:numId w:val="18"/>
              </w:numPr>
              <w:ind w:left="0" w:right="-7" w:firstLine="0"/>
              <w:jc w:val="both"/>
              <w:rPr>
                <w:rFonts w:ascii="Times" w:hAnsi="Times"/>
                <w:sz w:val="22"/>
                <w:lang w:val="en-US"/>
              </w:rPr>
            </w:pPr>
            <w:r w:rsidRPr="00DA6A7D">
              <w:rPr>
                <w:rFonts w:ascii="Times" w:hAnsi="Times"/>
                <w:sz w:val="22"/>
                <w:lang w:val="en-US"/>
              </w:rPr>
              <w:t>cetip</w:t>
            </w:r>
          </w:p>
          <w:p w:rsidR="00C752C0" w:rsidRPr="00DA6A7D" w:rsidRDefault="00C752C0" w:rsidP="0022187D">
            <w:pPr>
              <w:pStyle w:val="aa"/>
              <w:numPr>
                <w:ilvl w:val="0"/>
                <w:numId w:val="18"/>
              </w:numPr>
              <w:ind w:left="0" w:right="-7" w:firstLine="0"/>
              <w:jc w:val="both"/>
              <w:rPr>
                <w:rFonts w:ascii="Times" w:hAnsi="Times"/>
                <w:sz w:val="22"/>
                <w:lang w:val="en-US"/>
              </w:rPr>
            </w:pPr>
            <w:r w:rsidRPr="00DA6A7D">
              <w:rPr>
                <w:rFonts w:ascii="Times" w:hAnsi="Times"/>
                <w:sz w:val="22"/>
                <w:lang w:val="en-US"/>
              </w:rPr>
              <w:t>tr</w:t>
            </w:r>
          </w:p>
          <w:p w:rsidR="00C752C0" w:rsidRPr="00DA6A7D" w:rsidRDefault="00C752C0" w:rsidP="0022187D">
            <w:pPr>
              <w:pStyle w:val="aa"/>
              <w:numPr>
                <w:ilvl w:val="0"/>
                <w:numId w:val="18"/>
              </w:numPr>
              <w:ind w:left="0" w:right="-7" w:firstLine="0"/>
              <w:jc w:val="both"/>
              <w:rPr>
                <w:rFonts w:ascii="Times" w:hAnsi="Times"/>
                <w:sz w:val="22"/>
                <w:lang w:val="en-US"/>
              </w:rPr>
            </w:pPr>
            <w:r w:rsidRPr="00DA6A7D">
              <w:rPr>
                <w:rFonts w:ascii="Times" w:hAnsi="Times"/>
                <w:sz w:val="22"/>
                <w:lang w:val="en-US"/>
              </w:rPr>
              <w:t>tbf</w:t>
            </w:r>
          </w:p>
        </w:tc>
      </w:tr>
    </w:tbl>
    <w:p w:rsidR="00C752C0" w:rsidRPr="00DA6A7D" w:rsidRDefault="00C752C0" w:rsidP="00C752C0">
      <w:pPr>
        <w:ind w:right="-7"/>
        <w:rPr>
          <w:rFonts w:ascii="Times" w:hAnsi="Times"/>
          <w:lang w:val="en-US"/>
        </w:rPr>
      </w:pPr>
    </w:p>
    <w:p w:rsidR="00C752C0" w:rsidRPr="00DA6A7D" w:rsidRDefault="00C752C0" w:rsidP="00C752C0">
      <w:pPr>
        <w:ind w:right="-7"/>
        <w:rPr>
          <w:rFonts w:ascii="Times" w:hAnsi="Times"/>
          <w:b/>
          <w:lang w:val="en-US"/>
        </w:rPr>
      </w:pPr>
      <w:r w:rsidRPr="00DA6A7D">
        <w:rPr>
          <w:rFonts w:ascii="Times" w:hAnsi="Times"/>
          <w:b/>
          <w:lang w:val="en-US"/>
        </w:rPr>
        <w:t>Table 2</w:t>
      </w:r>
    </w:p>
    <w:p w:rsidR="00C752C0" w:rsidRPr="00DA6A7D" w:rsidRDefault="00C752C0" w:rsidP="00C752C0">
      <w:pPr>
        <w:ind w:right="-7"/>
        <w:rPr>
          <w:rFonts w:ascii="Times" w:hAnsi="Times"/>
          <w:lang w:val="en-US"/>
        </w:rPr>
      </w:pPr>
      <w:r w:rsidRPr="00DA6A7D">
        <w:rPr>
          <w:rFonts w:ascii="Times" w:hAnsi="Times"/>
          <w:lang w:val="en-US"/>
        </w:rPr>
        <w:t>The list of the dependent variables for Canadian market</w:t>
      </w:r>
    </w:p>
    <w:tbl>
      <w:tblPr>
        <w:tblStyle w:val="ae"/>
        <w:tblW w:w="9508" w:type="dxa"/>
        <w:tblLook w:val="04A0"/>
      </w:tblPr>
      <w:tblGrid>
        <w:gridCol w:w="2541"/>
        <w:gridCol w:w="5109"/>
        <w:gridCol w:w="1858"/>
      </w:tblGrid>
      <w:tr w:rsidR="00C752C0" w:rsidRPr="00DA6A7D" w:rsidTr="00B42A3F">
        <w:tc>
          <w:tcPr>
            <w:tcW w:w="2541" w:type="dxa"/>
            <w:vAlign w:val="bottom"/>
          </w:tcPr>
          <w:p w:rsidR="00C752C0" w:rsidRPr="00DA6A7D" w:rsidRDefault="00C752C0" w:rsidP="00B42A3F">
            <w:pPr>
              <w:ind w:right="-7"/>
              <w:jc w:val="center"/>
              <w:rPr>
                <w:rFonts w:ascii="Times" w:hAnsi="Times"/>
                <w:b/>
                <w:sz w:val="22"/>
                <w:lang w:val="en-US"/>
              </w:rPr>
            </w:pPr>
            <w:r w:rsidRPr="00DA6A7D">
              <w:rPr>
                <w:rFonts w:ascii="Times" w:hAnsi="Times"/>
                <w:b/>
                <w:sz w:val="22"/>
                <w:lang w:val="en-US"/>
              </w:rPr>
              <w:t>The financial contagion distribution channel</w:t>
            </w:r>
          </w:p>
        </w:tc>
        <w:tc>
          <w:tcPr>
            <w:tcW w:w="5109" w:type="dxa"/>
            <w:vAlign w:val="bottom"/>
          </w:tcPr>
          <w:p w:rsidR="00C752C0" w:rsidRPr="00DA6A7D" w:rsidRDefault="00C752C0" w:rsidP="00B42A3F">
            <w:pPr>
              <w:ind w:right="-7"/>
              <w:jc w:val="center"/>
              <w:rPr>
                <w:rFonts w:ascii="Times" w:hAnsi="Times"/>
                <w:b/>
                <w:sz w:val="22"/>
                <w:lang w:val="en-US"/>
              </w:rPr>
            </w:pPr>
            <w:r w:rsidRPr="00DA6A7D">
              <w:rPr>
                <w:rFonts w:ascii="Times" w:hAnsi="Times"/>
                <w:b/>
                <w:sz w:val="22"/>
                <w:lang w:val="en-US"/>
              </w:rPr>
              <w:t>Dependent variables name</w:t>
            </w:r>
          </w:p>
        </w:tc>
        <w:tc>
          <w:tcPr>
            <w:tcW w:w="1858" w:type="dxa"/>
            <w:vAlign w:val="bottom"/>
          </w:tcPr>
          <w:p w:rsidR="00C752C0" w:rsidRPr="00DA6A7D" w:rsidRDefault="00C752C0" w:rsidP="00B42A3F">
            <w:pPr>
              <w:ind w:right="-7"/>
              <w:jc w:val="center"/>
              <w:rPr>
                <w:rFonts w:ascii="Times" w:hAnsi="Times"/>
                <w:b/>
                <w:sz w:val="22"/>
                <w:lang w:val="en-US"/>
              </w:rPr>
            </w:pPr>
            <w:r w:rsidRPr="00DA6A7D">
              <w:rPr>
                <w:rFonts w:ascii="Times" w:hAnsi="Times"/>
                <w:b/>
                <w:sz w:val="22"/>
                <w:lang w:val="en-US"/>
              </w:rPr>
              <w:t>Variable code</w:t>
            </w:r>
          </w:p>
        </w:tc>
      </w:tr>
      <w:tr w:rsidR="00C752C0" w:rsidRPr="00DA6A7D" w:rsidTr="00B42A3F">
        <w:tc>
          <w:tcPr>
            <w:tcW w:w="2541" w:type="dxa"/>
          </w:tcPr>
          <w:p w:rsidR="00C752C0" w:rsidRPr="00DA6A7D" w:rsidRDefault="00C752C0" w:rsidP="00B42A3F">
            <w:pPr>
              <w:ind w:right="-7"/>
              <w:jc w:val="both"/>
              <w:rPr>
                <w:rFonts w:ascii="Times" w:hAnsi="Times"/>
                <w:sz w:val="22"/>
                <w:lang w:val="en-US"/>
              </w:rPr>
            </w:pPr>
            <w:r w:rsidRPr="00DA6A7D">
              <w:rPr>
                <w:rFonts w:ascii="Times" w:hAnsi="Times"/>
                <w:sz w:val="22"/>
                <w:lang w:val="en-US"/>
              </w:rPr>
              <w:t>Correlated-information channel</w:t>
            </w:r>
          </w:p>
        </w:tc>
        <w:tc>
          <w:tcPr>
            <w:tcW w:w="5109" w:type="dxa"/>
          </w:tcPr>
          <w:p w:rsidR="00C752C0" w:rsidRPr="00DA6A7D" w:rsidRDefault="00C752C0" w:rsidP="0022187D">
            <w:pPr>
              <w:pStyle w:val="aa"/>
              <w:numPr>
                <w:ilvl w:val="0"/>
                <w:numId w:val="20"/>
              </w:numPr>
              <w:ind w:left="0" w:right="-7" w:firstLine="0"/>
              <w:jc w:val="both"/>
              <w:rPr>
                <w:rFonts w:ascii="Times" w:hAnsi="Times"/>
                <w:sz w:val="22"/>
                <w:lang w:val="en-US"/>
              </w:rPr>
            </w:pPr>
            <w:r w:rsidRPr="00DA6A7D">
              <w:rPr>
                <w:rFonts w:ascii="Times" w:hAnsi="Times"/>
                <w:sz w:val="22"/>
                <w:lang w:val="en-US"/>
              </w:rPr>
              <w:t>Average yield on Government Canada marketable bonds: 2006-2015</w:t>
            </w:r>
          </w:p>
          <w:p w:rsidR="00C752C0" w:rsidRPr="00DA6A7D" w:rsidRDefault="00C752C0" w:rsidP="0022187D">
            <w:pPr>
              <w:pStyle w:val="aa"/>
              <w:numPr>
                <w:ilvl w:val="1"/>
                <w:numId w:val="20"/>
              </w:numPr>
              <w:ind w:right="-7"/>
              <w:jc w:val="both"/>
              <w:rPr>
                <w:rFonts w:ascii="Times" w:hAnsi="Times"/>
                <w:sz w:val="22"/>
                <w:lang w:val="en-US"/>
              </w:rPr>
            </w:pPr>
            <w:r w:rsidRPr="00DA6A7D">
              <w:rPr>
                <w:rFonts w:ascii="Times" w:hAnsi="Times"/>
                <w:sz w:val="22"/>
                <w:lang w:val="en-US"/>
              </w:rPr>
              <w:t>1-3 year</w:t>
            </w:r>
          </w:p>
          <w:p w:rsidR="00C752C0" w:rsidRPr="00DA6A7D" w:rsidRDefault="00C752C0" w:rsidP="0022187D">
            <w:pPr>
              <w:pStyle w:val="aa"/>
              <w:numPr>
                <w:ilvl w:val="1"/>
                <w:numId w:val="20"/>
              </w:numPr>
              <w:ind w:right="-7"/>
              <w:jc w:val="both"/>
              <w:rPr>
                <w:rFonts w:ascii="Times" w:hAnsi="Times"/>
                <w:sz w:val="22"/>
                <w:lang w:val="en-US"/>
              </w:rPr>
            </w:pPr>
            <w:r w:rsidRPr="00DA6A7D">
              <w:rPr>
                <w:rFonts w:ascii="Times" w:hAnsi="Times"/>
                <w:sz w:val="22"/>
                <w:lang w:val="en-US"/>
              </w:rPr>
              <w:t>3-5 year</w:t>
            </w:r>
          </w:p>
          <w:p w:rsidR="00C752C0" w:rsidRPr="00DA6A7D" w:rsidRDefault="00C752C0" w:rsidP="0022187D">
            <w:pPr>
              <w:pStyle w:val="aa"/>
              <w:numPr>
                <w:ilvl w:val="1"/>
                <w:numId w:val="20"/>
              </w:numPr>
              <w:ind w:right="-7"/>
              <w:jc w:val="both"/>
              <w:rPr>
                <w:rFonts w:ascii="Times" w:hAnsi="Times"/>
                <w:sz w:val="22"/>
                <w:lang w:val="en-US"/>
              </w:rPr>
            </w:pPr>
            <w:r w:rsidRPr="00DA6A7D">
              <w:rPr>
                <w:rFonts w:ascii="Times" w:hAnsi="Times"/>
                <w:sz w:val="22"/>
                <w:lang w:val="en-US"/>
              </w:rPr>
              <w:t>5-10 year</w:t>
            </w:r>
          </w:p>
          <w:p w:rsidR="00C752C0" w:rsidRPr="00DA6A7D" w:rsidRDefault="00C752C0" w:rsidP="0022187D">
            <w:pPr>
              <w:pStyle w:val="aa"/>
              <w:numPr>
                <w:ilvl w:val="1"/>
                <w:numId w:val="20"/>
              </w:numPr>
              <w:ind w:right="-7"/>
              <w:jc w:val="both"/>
              <w:rPr>
                <w:rFonts w:ascii="Times" w:hAnsi="Times"/>
                <w:sz w:val="22"/>
                <w:lang w:val="en-US"/>
              </w:rPr>
            </w:pPr>
            <w:r w:rsidRPr="00DA6A7D">
              <w:rPr>
                <w:rFonts w:ascii="Times" w:hAnsi="Times"/>
                <w:sz w:val="22"/>
                <w:lang w:val="en-US"/>
              </w:rPr>
              <w:t>Over 10 years</w:t>
            </w:r>
          </w:p>
          <w:p w:rsidR="00C752C0" w:rsidRPr="00DA6A7D" w:rsidRDefault="00C752C0" w:rsidP="0022187D">
            <w:pPr>
              <w:pStyle w:val="aa"/>
              <w:numPr>
                <w:ilvl w:val="1"/>
                <w:numId w:val="20"/>
              </w:numPr>
              <w:ind w:right="-7"/>
              <w:jc w:val="both"/>
              <w:rPr>
                <w:rFonts w:ascii="Times" w:hAnsi="Times"/>
                <w:sz w:val="22"/>
                <w:lang w:val="en-US"/>
              </w:rPr>
            </w:pPr>
            <w:r w:rsidRPr="00DA6A7D">
              <w:rPr>
                <w:rFonts w:ascii="Times" w:hAnsi="Times"/>
                <w:sz w:val="22"/>
                <w:lang w:val="en-US"/>
              </w:rPr>
              <w:t>Long-term</w:t>
            </w:r>
          </w:p>
          <w:p w:rsidR="00C752C0" w:rsidRPr="00DA6A7D" w:rsidRDefault="00C752C0" w:rsidP="0022187D">
            <w:pPr>
              <w:pStyle w:val="aa"/>
              <w:numPr>
                <w:ilvl w:val="0"/>
                <w:numId w:val="20"/>
              </w:numPr>
              <w:ind w:left="11" w:right="-7" w:firstLine="11"/>
              <w:jc w:val="both"/>
              <w:rPr>
                <w:rFonts w:ascii="Times" w:hAnsi="Times"/>
                <w:sz w:val="22"/>
                <w:lang w:val="en-US"/>
              </w:rPr>
            </w:pPr>
            <w:r w:rsidRPr="00DA6A7D">
              <w:rPr>
                <w:rFonts w:ascii="Times" w:hAnsi="Times"/>
                <w:sz w:val="22"/>
                <w:lang w:val="en-US"/>
              </w:rPr>
              <w:t>S&amp;P/TSX Composite index: 1990-2015</w:t>
            </w:r>
          </w:p>
          <w:p w:rsidR="00C752C0" w:rsidRPr="00DA6A7D" w:rsidRDefault="00C752C0" w:rsidP="0022187D">
            <w:pPr>
              <w:pStyle w:val="aa"/>
              <w:numPr>
                <w:ilvl w:val="0"/>
                <w:numId w:val="20"/>
              </w:numPr>
              <w:ind w:left="11" w:right="-7" w:firstLine="11"/>
              <w:jc w:val="both"/>
              <w:rPr>
                <w:rFonts w:ascii="Times" w:hAnsi="Times"/>
                <w:sz w:val="22"/>
                <w:lang w:val="en-US"/>
              </w:rPr>
            </w:pPr>
            <w:r w:rsidRPr="00DA6A7D">
              <w:rPr>
                <w:rFonts w:ascii="Times" w:hAnsi="Times"/>
                <w:sz w:val="22"/>
                <w:lang w:val="en-US"/>
              </w:rPr>
              <w:t>S&amp;P/TSX Industrials: 2001-2015</w:t>
            </w:r>
          </w:p>
          <w:p w:rsidR="00C752C0" w:rsidRPr="00DA6A7D" w:rsidRDefault="00C752C0" w:rsidP="0022187D">
            <w:pPr>
              <w:pStyle w:val="aa"/>
              <w:numPr>
                <w:ilvl w:val="0"/>
                <w:numId w:val="20"/>
              </w:numPr>
              <w:ind w:left="11" w:right="-7" w:firstLine="11"/>
              <w:jc w:val="both"/>
              <w:rPr>
                <w:rFonts w:ascii="Times" w:hAnsi="Times"/>
                <w:sz w:val="22"/>
                <w:lang w:val="en-US"/>
              </w:rPr>
            </w:pPr>
            <w:r w:rsidRPr="00DA6A7D">
              <w:rPr>
                <w:rFonts w:ascii="Times" w:hAnsi="Times"/>
                <w:sz w:val="22"/>
                <w:lang w:val="en-US"/>
              </w:rPr>
              <w:t>Canada Treasury Bill Auction average price: 1999-2015</w:t>
            </w:r>
          </w:p>
          <w:p w:rsidR="00C752C0" w:rsidRPr="00DA6A7D" w:rsidRDefault="00C752C0" w:rsidP="0022187D">
            <w:pPr>
              <w:pStyle w:val="aa"/>
              <w:numPr>
                <w:ilvl w:val="0"/>
                <w:numId w:val="20"/>
              </w:numPr>
              <w:ind w:left="11" w:right="-7" w:firstLine="11"/>
              <w:jc w:val="both"/>
              <w:rPr>
                <w:rFonts w:ascii="Times" w:hAnsi="Times"/>
                <w:sz w:val="22"/>
                <w:lang w:val="en-US"/>
              </w:rPr>
            </w:pPr>
            <w:r w:rsidRPr="00DA6A7D">
              <w:rPr>
                <w:rFonts w:ascii="Times" w:hAnsi="Times"/>
                <w:sz w:val="22"/>
                <w:lang w:val="en-US"/>
              </w:rPr>
              <w:t>Silver prices: 1990-2015</w:t>
            </w:r>
          </w:p>
        </w:tc>
        <w:tc>
          <w:tcPr>
            <w:tcW w:w="1858" w:type="dxa"/>
          </w:tcPr>
          <w:p w:rsidR="00C752C0" w:rsidRPr="00DA6A7D" w:rsidRDefault="00C752C0" w:rsidP="0022187D">
            <w:pPr>
              <w:pStyle w:val="aa"/>
              <w:numPr>
                <w:ilvl w:val="0"/>
                <w:numId w:val="21"/>
              </w:numPr>
              <w:ind w:left="0" w:right="-7" w:firstLine="0"/>
              <w:jc w:val="both"/>
              <w:rPr>
                <w:rFonts w:ascii="Times" w:hAnsi="Times"/>
                <w:sz w:val="22"/>
                <w:lang w:val="en-US"/>
              </w:rPr>
            </w:pPr>
            <w:r w:rsidRPr="00DA6A7D">
              <w:rPr>
                <w:rFonts w:ascii="Times" w:hAnsi="Times"/>
                <w:sz w:val="22"/>
                <w:lang w:val="en-US"/>
              </w:rPr>
              <w:t>bond3</w:t>
            </w:r>
          </w:p>
          <w:p w:rsidR="00C752C0" w:rsidRPr="00DA6A7D" w:rsidRDefault="00C752C0" w:rsidP="0022187D">
            <w:pPr>
              <w:pStyle w:val="aa"/>
              <w:numPr>
                <w:ilvl w:val="0"/>
                <w:numId w:val="21"/>
              </w:numPr>
              <w:ind w:left="0" w:right="-7" w:firstLine="0"/>
              <w:jc w:val="both"/>
              <w:rPr>
                <w:rFonts w:ascii="Times" w:hAnsi="Times"/>
                <w:sz w:val="22"/>
                <w:lang w:val="en-US"/>
              </w:rPr>
            </w:pPr>
            <w:r w:rsidRPr="00DA6A7D">
              <w:rPr>
                <w:rFonts w:ascii="Times" w:hAnsi="Times"/>
                <w:sz w:val="22"/>
                <w:lang w:val="en-US"/>
              </w:rPr>
              <w:t>bond5</w:t>
            </w:r>
          </w:p>
          <w:p w:rsidR="00C752C0" w:rsidRPr="00DA6A7D" w:rsidRDefault="00C752C0" w:rsidP="0022187D">
            <w:pPr>
              <w:pStyle w:val="aa"/>
              <w:numPr>
                <w:ilvl w:val="0"/>
                <w:numId w:val="21"/>
              </w:numPr>
              <w:ind w:left="0" w:right="-7" w:firstLine="0"/>
              <w:jc w:val="both"/>
              <w:rPr>
                <w:rFonts w:ascii="Times" w:hAnsi="Times"/>
                <w:sz w:val="22"/>
                <w:lang w:val="en-US"/>
              </w:rPr>
            </w:pPr>
            <w:r w:rsidRPr="00DA6A7D">
              <w:rPr>
                <w:rFonts w:ascii="Times" w:hAnsi="Times"/>
                <w:sz w:val="22"/>
                <w:lang w:val="en-US"/>
              </w:rPr>
              <w:t>bond10</w:t>
            </w:r>
          </w:p>
          <w:p w:rsidR="00C752C0" w:rsidRPr="00DA6A7D" w:rsidRDefault="00C752C0" w:rsidP="0022187D">
            <w:pPr>
              <w:pStyle w:val="aa"/>
              <w:numPr>
                <w:ilvl w:val="0"/>
                <w:numId w:val="21"/>
              </w:numPr>
              <w:ind w:left="0" w:right="-7" w:firstLine="0"/>
              <w:jc w:val="both"/>
              <w:rPr>
                <w:rFonts w:ascii="Times" w:hAnsi="Times"/>
                <w:sz w:val="22"/>
                <w:lang w:val="en-US"/>
              </w:rPr>
            </w:pPr>
            <w:r w:rsidRPr="00DA6A7D">
              <w:rPr>
                <w:rFonts w:ascii="Times" w:hAnsi="Times"/>
                <w:sz w:val="22"/>
                <w:lang w:val="en-US"/>
              </w:rPr>
              <w:t>bond10o</w:t>
            </w:r>
          </w:p>
          <w:p w:rsidR="00C752C0" w:rsidRPr="00DA6A7D" w:rsidRDefault="00C752C0" w:rsidP="0022187D">
            <w:pPr>
              <w:pStyle w:val="aa"/>
              <w:numPr>
                <w:ilvl w:val="0"/>
                <w:numId w:val="21"/>
              </w:numPr>
              <w:ind w:left="0" w:right="-7" w:firstLine="0"/>
              <w:jc w:val="both"/>
              <w:rPr>
                <w:rFonts w:ascii="Times" w:hAnsi="Times"/>
                <w:sz w:val="22"/>
                <w:lang w:val="en-US"/>
              </w:rPr>
            </w:pPr>
            <w:r w:rsidRPr="00DA6A7D">
              <w:rPr>
                <w:rFonts w:ascii="Times" w:hAnsi="Times"/>
                <w:sz w:val="22"/>
                <w:lang w:val="en-US"/>
              </w:rPr>
              <w:t>bondlong</w:t>
            </w:r>
          </w:p>
          <w:p w:rsidR="00C752C0" w:rsidRPr="00DA6A7D" w:rsidRDefault="00C752C0" w:rsidP="0022187D">
            <w:pPr>
              <w:pStyle w:val="aa"/>
              <w:numPr>
                <w:ilvl w:val="0"/>
                <w:numId w:val="21"/>
              </w:numPr>
              <w:ind w:left="0" w:right="-7" w:firstLine="0"/>
              <w:jc w:val="both"/>
              <w:rPr>
                <w:rFonts w:ascii="Times" w:hAnsi="Times"/>
                <w:sz w:val="22"/>
                <w:lang w:val="en-US"/>
              </w:rPr>
            </w:pPr>
            <w:r w:rsidRPr="00DA6A7D">
              <w:rPr>
                <w:rFonts w:ascii="Times" w:hAnsi="Times"/>
                <w:sz w:val="22"/>
                <w:lang w:val="en-US"/>
              </w:rPr>
              <w:t>TSX</w:t>
            </w:r>
          </w:p>
          <w:p w:rsidR="00C752C0" w:rsidRPr="00DA6A7D" w:rsidRDefault="00C752C0" w:rsidP="0022187D">
            <w:pPr>
              <w:pStyle w:val="aa"/>
              <w:numPr>
                <w:ilvl w:val="0"/>
                <w:numId w:val="21"/>
              </w:numPr>
              <w:ind w:left="0" w:right="-7" w:firstLine="0"/>
              <w:jc w:val="both"/>
              <w:rPr>
                <w:rFonts w:ascii="Times" w:hAnsi="Times"/>
                <w:sz w:val="22"/>
                <w:lang w:val="en-US"/>
              </w:rPr>
            </w:pPr>
            <w:r w:rsidRPr="00DA6A7D">
              <w:rPr>
                <w:rFonts w:ascii="Times" w:hAnsi="Times"/>
                <w:sz w:val="22"/>
                <w:lang w:val="en-US"/>
              </w:rPr>
              <w:t>TSXind</w:t>
            </w:r>
          </w:p>
          <w:p w:rsidR="00C752C0" w:rsidRPr="00DA6A7D" w:rsidRDefault="00C752C0" w:rsidP="0022187D">
            <w:pPr>
              <w:pStyle w:val="aa"/>
              <w:numPr>
                <w:ilvl w:val="0"/>
                <w:numId w:val="21"/>
              </w:numPr>
              <w:ind w:left="0" w:right="-7" w:firstLine="0"/>
              <w:jc w:val="both"/>
              <w:rPr>
                <w:rFonts w:ascii="Times" w:hAnsi="Times"/>
                <w:sz w:val="22"/>
                <w:lang w:val="en-US"/>
              </w:rPr>
            </w:pPr>
            <w:r w:rsidRPr="00DA6A7D">
              <w:rPr>
                <w:rFonts w:ascii="Times" w:hAnsi="Times"/>
                <w:sz w:val="22"/>
                <w:lang w:val="en-US"/>
              </w:rPr>
              <w:t>auctionave</w:t>
            </w:r>
          </w:p>
          <w:p w:rsidR="00C752C0" w:rsidRPr="00DA6A7D" w:rsidRDefault="00C752C0" w:rsidP="0022187D">
            <w:pPr>
              <w:pStyle w:val="aa"/>
              <w:numPr>
                <w:ilvl w:val="0"/>
                <w:numId w:val="21"/>
              </w:numPr>
              <w:ind w:left="0" w:right="-7" w:firstLine="0"/>
              <w:jc w:val="both"/>
              <w:rPr>
                <w:rFonts w:ascii="Times" w:hAnsi="Times"/>
                <w:sz w:val="22"/>
                <w:lang w:val="en-US"/>
              </w:rPr>
            </w:pPr>
            <w:r w:rsidRPr="00DA6A7D">
              <w:rPr>
                <w:rFonts w:ascii="Times" w:hAnsi="Times"/>
                <w:sz w:val="22"/>
                <w:lang w:val="en-US"/>
              </w:rPr>
              <w:t>silverp</w:t>
            </w:r>
          </w:p>
        </w:tc>
      </w:tr>
      <w:tr w:rsidR="00C752C0" w:rsidRPr="00DA6A7D" w:rsidTr="00B42A3F">
        <w:tc>
          <w:tcPr>
            <w:tcW w:w="2541" w:type="dxa"/>
          </w:tcPr>
          <w:p w:rsidR="00C752C0" w:rsidRPr="00DA6A7D" w:rsidRDefault="00C752C0" w:rsidP="00B42A3F">
            <w:pPr>
              <w:ind w:right="-7"/>
              <w:jc w:val="both"/>
              <w:rPr>
                <w:rFonts w:ascii="Times" w:hAnsi="Times"/>
                <w:sz w:val="22"/>
                <w:lang w:val="en-US"/>
              </w:rPr>
            </w:pPr>
            <w:r w:rsidRPr="00DA6A7D">
              <w:rPr>
                <w:rFonts w:ascii="Times" w:hAnsi="Times"/>
                <w:sz w:val="22"/>
                <w:lang w:val="en-US"/>
              </w:rPr>
              <w:t xml:space="preserve">Liquidity channels   </w:t>
            </w:r>
          </w:p>
        </w:tc>
        <w:tc>
          <w:tcPr>
            <w:tcW w:w="5109" w:type="dxa"/>
          </w:tcPr>
          <w:p w:rsidR="00C752C0" w:rsidRPr="00DA6A7D" w:rsidRDefault="00C752C0" w:rsidP="0022187D">
            <w:pPr>
              <w:pStyle w:val="aa"/>
              <w:numPr>
                <w:ilvl w:val="0"/>
                <w:numId w:val="22"/>
              </w:numPr>
              <w:ind w:left="0" w:right="-7" w:firstLine="0"/>
              <w:jc w:val="both"/>
              <w:rPr>
                <w:rFonts w:ascii="Times" w:hAnsi="Times"/>
                <w:sz w:val="22"/>
                <w:lang w:val="en-US"/>
              </w:rPr>
            </w:pPr>
            <w:r w:rsidRPr="00DA6A7D">
              <w:rPr>
                <w:rFonts w:ascii="Times" w:hAnsi="Times"/>
                <w:sz w:val="22"/>
                <w:lang w:val="en-US"/>
              </w:rPr>
              <w:t>S&amp;P/TSX Composite index volume of trade: 1990-2015</w:t>
            </w:r>
          </w:p>
          <w:p w:rsidR="00C752C0" w:rsidRPr="00DA6A7D" w:rsidRDefault="00C752C0" w:rsidP="0022187D">
            <w:pPr>
              <w:pStyle w:val="aa"/>
              <w:numPr>
                <w:ilvl w:val="0"/>
                <w:numId w:val="22"/>
              </w:numPr>
              <w:ind w:left="0" w:right="-7" w:firstLine="0"/>
              <w:jc w:val="both"/>
              <w:rPr>
                <w:rFonts w:ascii="Times" w:hAnsi="Times"/>
                <w:sz w:val="22"/>
                <w:lang w:val="en-US"/>
              </w:rPr>
            </w:pPr>
            <w:r w:rsidRPr="00DA6A7D">
              <w:rPr>
                <w:rFonts w:ascii="Times" w:hAnsi="Times"/>
                <w:sz w:val="22"/>
                <w:lang w:val="en-US"/>
              </w:rPr>
              <w:t>S&amp;P/TSX Industrials volume of trade: 2001-2015</w:t>
            </w:r>
          </w:p>
          <w:p w:rsidR="00C752C0" w:rsidRPr="00DA6A7D" w:rsidRDefault="00C752C0" w:rsidP="0022187D">
            <w:pPr>
              <w:pStyle w:val="aa"/>
              <w:numPr>
                <w:ilvl w:val="0"/>
                <w:numId w:val="22"/>
              </w:numPr>
              <w:ind w:left="0" w:right="-7" w:firstLine="0"/>
              <w:jc w:val="both"/>
              <w:rPr>
                <w:rFonts w:ascii="Times" w:hAnsi="Times"/>
                <w:sz w:val="22"/>
                <w:lang w:val="en-US"/>
              </w:rPr>
            </w:pPr>
            <w:r w:rsidRPr="00DA6A7D">
              <w:rPr>
                <w:rFonts w:ascii="Times" w:hAnsi="Times"/>
                <w:sz w:val="22"/>
                <w:lang w:val="en-US"/>
              </w:rPr>
              <w:t>Canada Treasury Bill Auction alotted sums: 1999-2015</w:t>
            </w:r>
          </w:p>
          <w:p w:rsidR="00C752C0" w:rsidRPr="00DA6A7D" w:rsidRDefault="00C752C0" w:rsidP="0022187D">
            <w:pPr>
              <w:pStyle w:val="aa"/>
              <w:numPr>
                <w:ilvl w:val="0"/>
                <w:numId w:val="22"/>
              </w:numPr>
              <w:ind w:left="0" w:right="-7" w:firstLine="0"/>
              <w:jc w:val="both"/>
              <w:rPr>
                <w:rFonts w:ascii="Times" w:hAnsi="Times"/>
                <w:sz w:val="22"/>
                <w:lang w:val="en-US"/>
              </w:rPr>
            </w:pPr>
            <w:r w:rsidRPr="00DA6A7D">
              <w:rPr>
                <w:rFonts w:ascii="Times" w:hAnsi="Times"/>
                <w:sz w:val="22"/>
                <w:lang w:val="en-US"/>
              </w:rPr>
              <w:t xml:space="preserve">NYMEX silver futures: 1990-2015 </w:t>
            </w:r>
          </w:p>
          <w:p w:rsidR="00C752C0" w:rsidRPr="00DA6A7D" w:rsidRDefault="00C752C0" w:rsidP="0022187D">
            <w:pPr>
              <w:pStyle w:val="aa"/>
              <w:numPr>
                <w:ilvl w:val="1"/>
                <w:numId w:val="22"/>
              </w:numPr>
              <w:ind w:right="-7"/>
              <w:jc w:val="both"/>
              <w:rPr>
                <w:rFonts w:ascii="Times" w:hAnsi="Times"/>
                <w:sz w:val="22"/>
                <w:lang w:val="en-US"/>
              </w:rPr>
            </w:pPr>
            <w:r w:rsidRPr="00DA6A7D">
              <w:rPr>
                <w:rFonts w:ascii="Times" w:hAnsi="Times"/>
                <w:sz w:val="22"/>
                <w:lang w:val="en-US"/>
              </w:rPr>
              <w:t>Volume of trade</w:t>
            </w:r>
          </w:p>
          <w:p w:rsidR="00C752C0" w:rsidRPr="00DA6A7D" w:rsidRDefault="00C752C0" w:rsidP="0022187D">
            <w:pPr>
              <w:pStyle w:val="aa"/>
              <w:numPr>
                <w:ilvl w:val="1"/>
                <w:numId w:val="22"/>
              </w:numPr>
              <w:ind w:right="-7"/>
              <w:jc w:val="both"/>
              <w:rPr>
                <w:rFonts w:ascii="Times" w:hAnsi="Times"/>
                <w:sz w:val="22"/>
                <w:lang w:val="en-US"/>
              </w:rPr>
            </w:pPr>
            <w:r w:rsidRPr="00DA6A7D">
              <w:rPr>
                <w:rFonts w:ascii="Times" w:hAnsi="Times"/>
                <w:sz w:val="22"/>
                <w:lang w:val="en-US"/>
              </w:rPr>
              <w:t>Previous day open interest</w:t>
            </w:r>
          </w:p>
        </w:tc>
        <w:tc>
          <w:tcPr>
            <w:tcW w:w="1858" w:type="dxa"/>
          </w:tcPr>
          <w:p w:rsidR="00C752C0" w:rsidRPr="00DA6A7D" w:rsidRDefault="00C752C0" w:rsidP="0022187D">
            <w:pPr>
              <w:pStyle w:val="aa"/>
              <w:numPr>
                <w:ilvl w:val="0"/>
                <w:numId w:val="23"/>
              </w:numPr>
              <w:ind w:left="0" w:right="-7" w:firstLine="0"/>
              <w:jc w:val="both"/>
              <w:rPr>
                <w:rFonts w:ascii="Times" w:hAnsi="Times"/>
                <w:sz w:val="22"/>
                <w:lang w:val="en-US"/>
              </w:rPr>
            </w:pPr>
            <w:r w:rsidRPr="00DA6A7D">
              <w:rPr>
                <w:rFonts w:ascii="Times" w:hAnsi="Times"/>
                <w:sz w:val="22"/>
                <w:lang w:val="en-US"/>
              </w:rPr>
              <w:t>TSXvol</w:t>
            </w:r>
          </w:p>
          <w:p w:rsidR="00C752C0" w:rsidRPr="00DA6A7D" w:rsidRDefault="00C752C0" w:rsidP="0022187D">
            <w:pPr>
              <w:pStyle w:val="aa"/>
              <w:numPr>
                <w:ilvl w:val="0"/>
                <w:numId w:val="23"/>
              </w:numPr>
              <w:ind w:left="0" w:right="-7" w:firstLine="0"/>
              <w:jc w:val="both"/>
              <w:rPr>
                <w:rFonts w:ascii="Times" w:hAnsi="Times"/>
                <w:sz w:val="22"/>
                <w:lang w:val="en-US"/>
              </w:rPr>
            </w:pPr>
            <w:r w:rsidRPr="00DA6A7D">
              <w:rPr>
                <w:rFonts w:ascii="Times" w:hAnsi="Times"/>
                <w:sz w:val="22"/>
                <w:lang w:val="en-US"/>
              </w:rPr>
              <w:t>TSXindvol</w:t>
            </w:r>
          </w:p>
          <w:p w:rsidR="00C752C0" w:rsidRPr="00DA6A7D" w:rsidRDefault="00C752C0" w:rsidP="0022187D">
            <w:pPr>
              <w:pStyle w:val="aa"/>
              <w:numPr>
                <w:ilvl w:val="0"/>
                <w:numId w:val="23"/>
              </w:numPr>
              <w:ind w:left="0" w:right="-7" w:firstLine="0"/>
              <w:jc w:val="both"/>
              <w:rPr>
                <w:rFonts w:ascii="Times" w:hAnsi="Times"/>
                <w:sz w:val="22"/>
                <w:lang w:val="en-US"/>
              </w:rPr>
            </w:pPr>
            <w:r w:rsidRPr="00DA6A7D">
              <w:rPr>
                <w:rFonts w:ascii="Times" w:hAnsi="Times"/>
                <w:sz w:val="22"/>
                <w:lang w:val="en-US"/>
              </w:rPr>
              <w:t>auctional</w:t>
            </w:r>
          </w:p>
          <w:p w:rsidR="00C752C0" w:rsidRPr="00DA6A7D" w:rsidRDefault="00C752C0" w:rsidP="0022187D">
            <w:pPr>
              <w:pStyle w:val="aa"/>
              <w:numPr>
                <w:ilvl w:val="0"/>
                <w:numId w:val="23"/>
              </w:numPr>
              <w:ind w:left="0" w:right="-7" w:firstLine="0"/>
              <w:jc w:val="both"/>
              <w:rPr>
                <w:rFonts w:ascii="Times" w:hAnsi="Times"/>
                <w:sz w:val="22"/>
                <w:lang w:val="en-US"/>
              </w:rPr>
            </w:pPr>
            <w:r w:rsidRPr="00DA6A7D">
              <w:rPr>
                <w:rFonts w:ascii="Times" w:hAnsi="Times"/>
                <w:sz w:val="22"/>
                <w:lang w:val="en-US"/>
              </w:rPr>
              <w:t>futvol</w:t>
            </w:r>
          </w:p>
          <w:p w:rsidR="00C752C0" w:rsidRPr="00DA6A7D" w:rsidRDefault="00C752C0" w:rsidP="0022187D">
            <w:pPr>
              <w:pStyle w:val="aa"/>
              <w:numPr>
                <w:ilvl w:val="0"/>
                <w:numId w:val="23"/>
              </w:numPr>
              <w:ind w:left="0" w:right="-7" w:firstLine="0"/>
              <w:jc w:val="both"/>
              <w:rPr>
                <w:rFonts w:ascii="Times" w:hAnsi="Times"/>
                <w:sz w:val="22"/>
                <w:lang w:val="en-US"/>
              </w:rPr>
            </w:pPr>
            <w:r w:rsidRPr="00DA6A7D">
              <w:rPr>
                <w:rFonts w:ascii="Times" w:hAnsi="Times"/>
                <w:sz w:val="22"/>
                <w:lang w:val="en-US"/>
              </w:rPr>
              <w:t>futoi</w:t>
            </w:r>
          </w:p>
        </w:tc>
      </w:tr>
      <w:tr w:rsidR="00C752C0" w:rsidRPr="00DA6A7D" w:rsidTr="00B42A3F">
        <w:tc>
          <w:tcPr>
            <w:tcW w:w="2541" w:type="dxa"/>
          </w:tcPr>
          <w:p w:rsidR="00C752C0" w:rsidRPr="00DA6A7D" w:rsidRDefault="00C752C0" w:rsidP="00B42A3F">
            <w:pPr>
              <w:ind w:right="-7"/>
              <w:jc w:val="both"/>
              <w:rPr>
                <w:rFonts w:ascii="Times" w:hAnsi="Times"/>
                <w:sz w:val="22"/>
                <w:lang w:val="en-US"/>
              </w:rPr>
            </w:pPr>
            <w:r w:rsidRPr="00DA6A7D">
              <w:rPr>
                <w:rFonts w:ascii="Times" w:hAnsi="Times"/>
                <w:sz w:val="22"/>
                <w:lang w:val="en-US"/>
              </w:rPr>
              <w:t>Risk-premium channel</w:t>
            </w:r>
          </w:p>
        </w:tc>
        <w:tc>
          <w:tcPr>
            <w:tcW w:w="5109" w:type="dxa"/>
          </w:tcPr>
          <w:p w:rsidR="00C752C0" w:rsidRPr="00DA6A7D" w:rsidRDefault="00C752C0" w:rsidP="0022187D">
            <w:pPr>
              <w:pStyle w:val="aa"/>
              <w:numPr>
                <w:ilvl w:val="0"/>
                <w:numId w:val="24"/>
              </w:numPr>
              <w:ind w:left="0" w:right="-7" w:firstLine="0"/>
              <w:jc w:val="both"/>
              <w:rPr>
                <w:rFonts w:ascii="Times" w:hAnsi="Times"/>
                <w:sz w:val="22"/>
                <w:lang w:val="en-US"/>
              </w:rPr>
            </w:pPr>
            <w:r w:rsidRPr="00DA6A7D">
              <w:rPr>
                <w:rFonts w:ascii="Times" w:hAnsi="Times"/>
                <w:sz w:val="22"/>
                <w:lang w:val="en-US"/>
              </w:rPr>
              <w:t>Bank of Canada interest rates: 2006-2015</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Target for the overnight rate</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 xml:space="preserve">Overnight money market financing </w:t>
            </w:r>
            <w:r w:rsidRPr="00DA6A7D">
              <w:rPr>
                <w:rFonts w:ascii="Times" w:hAnsi="Times"/>
                <w:sz w:val="22"/>
                <w:lang w:val="en-US"/>
              </w:rPr>
              <w:lastRenderedPageBreak/>
              <w:t>rate</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Interest rate</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Overnight repo rate (CORRA)</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Operating band</w:t>
            </w:r>
            <w:r w:rsidRPr="00DA6A7D">
              <w:rPr>
                <w:rStyle w:val="af"/>
                <w:rFonts w:ascii="Times" w:hAnsi="Times"/>
                <w:sz w:val="22"/>
                <w:lang w:val="en-US"/>
              </w:rPr>
              <w:footnoteReference w:id="15"/>
            </w:r>
          </w:p>
          <w:p w:rsidR="00C752C0" w:rsidRPr="00DA6A7D" w:rsidRDefault="00C752C0" w:rsidP="0022187D">
            <w:pPr>
              <w:pStyle w:val="aa"/>
              <w:numPr>
                <w:ilvl w:val="2"/>
                <w:numId w:val="24"/>
              </w:numPr>
              <w:ind w:right="-7"/>
              <w:jc w:val="both"/>
              <w:rPr>
                <w:rFonts w:ascii="Times" w:hAnsi="Times"/>
                <w:sz w:val="22"/>
                <w:lang w:val="en-US"/>
              </w:rPr>
            </w:pPr>
            <w:r w:rsidRPr="00DA6A7D">
              <w:rPr>
                <w:rFonts w:ascii="Times" w:hAnsi="Times"/>
                <w:sz w:val="22"/>
                <w:lang w:val="en-US"/>
              </w:rPr>
              <w:t>Low</w:t>
            </w:r>
          </w:p>
          <w:p w:rsidR="00C752C0" w:rsidRPr="00DA6A7D" w:rsidRDefault="00C752C0" w:rsidP="0022187D">
            <w:pPr>
              <w:pStyle w:val="aa"/>
              <w:numPr>
                <w:ilvl w:val="2"/>
                <w:numId w:val="24"/>
              </w:numPr>
              <w:ind w:right="-7"/>
              <w:jc w:val="both"/>
              <w:rPr>
                <w:rFonts w:ascii="Times" w:hAnsi="Times"/>
                <w:sz w:val="22"/>
                <w:lang w:val="en-US"/>
              </w:rPr>
            </w:pPr>
            <w:r w:rsidRPr="00DA6A7D">
              <w:rPr>
                <w:rFonts w:ascii="Times" w:hAnsi="Times"/>
                <w:sz w:val="22"/>
                <w:lang w:val="en-US"/>
              </w:rPr>
              <w:t>High</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Overnight Repos (OR)</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Overnight Reverse Repos (ORR)</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LVTS settlement balances</w:t>
            </w:r>
          </w:p>
          <w:p w:rsidR="00C752C0" w:rsidRPr="00DA6A7D" w:rsidRDefault="00C752C0" w:rsidP="0022187D">
            <w:pPr>
              <w:pStyle w:val="aa"/>
              <w:numPr>
                <w:ilvl w:val="2"/>
                <w:numId w:val="24"/>
              </w:numPr>
              <w:ind w:right="-7"/>
              <w:jc w:val="both"/>
              <w:rPr>
                <w:rFonts w:ascii="Times" w:hAnsi="Times"/>
                <w:sz w:val="22"/>
                <w:lang w:val="en-US"/>
              </w:rPr>
            </w:pPr>
            <w:r w:rsidRPr="00DA6A7D">
              <w:rPr>
                <w:rFonts w:ascii="Times" w:hAnsi="Times"/>
                <w:sz w:val="22"/>
                <w:lang w:val="en-US"/>
              </w:rPr>
              <w:t>target</w:t>
            </w:r>
          </w:p>
          <w:p w:rsidR="00C752C0" w:rsidRPr="00DA6A7D" w:rsidRDefault="00C752C0" w:rsidP="0022187D">
            <w:pPr>
              <w:pStyle w:val="aa"/>
              <w:numPr>
                <w:ilvl w:val="2"/>
                <w:numId w:val="24"/>
              </w:numPr>
              <w:ind w:right="-7"/>
              <w:jc w:val="both"/>
              <w:rPr>
                <w:rFonts w:ascii="Times" w:hAnsi="Times"/>
                <w:sz w:val="22"/>
                <w:lang w:val="en-US"/>
              </w:rPr>
            </w:pPr>
            <w:r w:rsidRPr="00DA6A7D">
              <w:rPr>
                <w:rFonts w:ascii="Times" w:hAnsi="Times"/>
                <w:sz w:val="22"/>
                <w:lang w:val="en-US"/>
              </w:rPr>
              <w:t>actual</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Term purchase and resale agreements</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Securities lending operations</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Bankers’ Acceptances rates</w:t>
            </w:r>
          </w:p>
          <w:p w:rsidR="00C752C0" w:rsidRPr="00DA6A7D" w:rsidRDefault="00C752C0" w:rsidP="0022187D">
            <w:pPr>
              <w:pStyle w:val="aa"/>
              <w:numPr>
                <w:ilvl w:val="2"/>
                <w:numId w:val="24"/>
              </w:numPr>
              <w:ind w:right="-7"/>
              <w:jc w:val="both"/>
              <w:rPr>
                <w:rFonts w:ascii="Times" w:hAnsi="Times"/>
                <w:sz w:val="22"/>
                <w:lang w:val="en-US"/>
              </w:rPr>
            </w:pPr>
            <w:r w:rsidRPr="00DA6A7D">
              <w:rPr>
                <w:rFonts w:ascii="Times" w:hAnsi="Times"/>
                <w:sz w:val="22"/>
                <w:lang w:val="en-US"/>
              </w:rPr>
              <w:t>1 month</w:t>
            </w:r>
          </w:p>
          <w:p w:rsidR="00C752C0" w:rsidRPr="00DA6A7D" w:rsidRDefault="00C752C0" w:rsidP="0022187D">
            <w:pPr>
              <w:pStyle w:val="aa"/>
              <w:numPr>
                <w:ilvl w:val="2"/>
                <w:numId w:val="24"/>
              </w:numPr>
              <w:ind w:right="-7"/>
              <w:jc w:val="both"/>
              <w:rPr>
                <w:rFonts w:ascii="Times" w:hAnsi="Times"/>
                <w:sz w:val="22"/>
                <w:lang w:val="en-US"/>
              </w:rPr>
            </w:pPr>
            <w:r w:rsidRPr="00DA6A7D">
              <w:rPr>
                <w:rFonts w:ascii="Times" w:hAnsi="Times"/>
                <w:sz w:val="22"/>
                <w:lang w:val="en-US"/>
              </w:rPr>
              <w:t>3 month</w:t>
            </w:r>
          </w:p>
          <w:p w:rsidR="00C752C0" w:rsidRPr="00DA6A7D" w:rsidRDefault="00C752C0" w:rsidP="0022187D">
            <w:pPr>
              <w:pStyle w:val="aa"/>
              <w:numPr>
                <w:ilvl w:val="1"/>
                <w:numId w:val="24"/>
              </w:numPr>
              <w:ind w:right="-7"/>
              <w:jc w:val="both"/>
              <w:rPr>
                <w:rFonts w:ascii="Times" w:hAnsi="Times"/>
                <w:sz w:val="22"/>
                <w:lang w:val="en-US"/>
              </w:rPr>
            </w:pPr>
            <w:r w:rsidRPr="00DA6A7D">
              <w:rPr>
                <w:rFonts w:ascii="Times" w:hAnsi="Times"/>
                <w:sz w:val="22"/>
                <w:lang w:val="en-US"/>
              </w:rPr>
              <w:t>Prime corporate paper rate</w:t>
            </w:r>
          </w:p>
          <w:p w:rsidR="00C752C0" w:rsidRPr="00DA6A7D" w:rsidRDefault="00C752C0" w:rsidP="0022187D">
            <w:pPr>
              <w:pStyle w:val="aa"/>
              <w:numPr>
                <w:ilvl w:val="2"/>
                <w:numId w:val="24"/>
              </w:numPr>
              <w:ind w:right="-7"/>
              <w:jc w:val="both"/>
              <w:rPr>
                <w:rFonts w:ascii="Times" w:hAnsi="Times"/>
                <w:sz w:val="22"/>
                <w:lang w:val="en-US"/>
              </w:rPr>
            </w:pPr>
            <w:r w:rsidRPr="00DA6A7D">
              <w:rPr>
                <w:rFonts w:ascii="Times" w:hAnsi="Times"/>
                <w:sz w:val="22"/>
                <w:lang w:val="en-US"/>
              </w:rPr>
              <w:t>1 month</w:t>
            </w:r>
          </w:p>
          <w:p w:rsidR="00C752C0" w:rsidRPr="00DA6A7D" w:rsidRDefault="00C752C0" w:rsidP="0022187D">
            <w:pPr>
              <w:pStyle w:val="aa"/>
              <w:numPr>
                <w:ilvl w:val="2"/>
                <w:numId w:val="24"/>
              </w:numPr>
              <w:ind w:right="-7"/>
              <w:jc w:val="both"/>
              <w:rPr>
                <w:rFonts w:ascii="Times" w:hAnsi="Times"/>
                <w:sz w:val="22"/>
                <w:lang w:val="en-US"/>
              </w:rPr>
            </w:pPr>
            <w:r w:rsidRPr="00DA6A7D">
              <w:rPr>
                <w:rFonts w:ascii="Times" w:hAnsi="Times"/>
                <w:sz w:val="22"/>
                <w:lang w:val="en-US"/>
              </w:rPr>
              <w:t>2 month</w:t>
            </w:r>
          </w:p>
          <w:p w:rsidR="00C752C0" w:rsidRPr="00DA6A7D" w:rsidRDefault="00C752C0" w:rsidP="0022187D">
            <w:pPr>
              <w:pStyle w:val="aa"/>
              <w:numPr>
                <w:ilvl w:val="2"/>
                <w:numId w:val="24"/>
              </w:numPr>
              <w:ind w:right="-7"/>
              <w:jc w:val="both"/>
              <w:rPr>
                <w:rFonts w:ascii="Times" w:hAnsi="Times"/>
                <w:sz w:val="22"/>
                <w:lang w:val="en-US"/>
              </w:rPr>
            </w:pPr>
            <w:r w:rsidRPr="00DA6A7D">
              <w:rPr>
                <w:rFonts w:ascii="Times" w:hAnsi="Times"/>
                <w:sz w:val="22"/>
                <w:lang w:val="en-US"/>
              </w:rPr>
              <w:t>3 month</w:t>
            </w:r>
          </w:p>
          <w:p w:rsidR="00C752C0" w:rsidRPr="00DA6A7D" w:rsidRDefault="00C752C0" w:rsidP="0022187D">
            <w:pPr>
              <w:pStyle w:val="aa"/>
              <w:numPr>
                <w:ilvl w:val="0"/>
                <w:numId w:val="24"/>
              </w:numPr>
              <w:ind w:left="0" w:right="-7" w:firstLine="0"/>
              <w:jc w:val="both"/>
              <w:rPr>
                <w:rFonts w:ascii="Times" w:hAnsi="Times"/>
                <w:sz w:val="22"/>
                <w:lang w:val="en-US"/>
              </w:rPr>
            </w:pPr>
            <w:r w:rsidRPr="00DA6A7D">
              <w:rPr>
                <w:rFonts w:ascii="Times" w:hAnsi="Times"/>
                <w:sz w:val="22"/>
                <w:lang w:val="en-US"/>
              </w:rPr>
              <w:t>Canada Treasury Bill Auction average yield: 1999-2015</w:t>
            </w:r>
          </w:p>
          <w:p w:rsidR="00C752C0" w:rsidRPr="00DA6A7D" w:rsidRDefault="00C752C0" w:rsidP="0022187D">
            <w:pPr>
              <w:pStyle w:val="aa"/>
              <w:numPr>
                <w:ilvl w:val="0"/>
                <w:numId w:val="24"/>
              </w:numPr>
              <w:ind w:left="0" w:right="-7" w:firstLine="0"/>
              <w:jc w:val="both"/>
              <w:rPr>
                <w:rFonts w:ascii="Times" w:hAnsi="Times"/>
                <w:sz w:val="22"/>
                <w:lang w:val="en-US"/>
              </w:rPr>
            </w:pPr>
            <w:r w:rsidRPr="00DA6A7D">
              <w:rPr>
                <w:rFonts w:ascii="Times" w:hAnsi="Times"/>
                <w:sz w:val="22"/>
                <w:lang w:val="en-US"/>
              </w:rPr>
              <w:t>Effective Exchange Rate Index, Canadian Dollar: 1990-2015</w:t>
            </w:r>
          </w:p>
          <w:p w:rsidR="00C752C0" w:rsidRPr="00DA6A7D" w:rsidRDefault="00C752C0" w:rsidP="0022187D">
            <w:pPr>
              <w:pStyle w:val="aa"/>
              <w:numPr>
                <w:ilvl w:val="0"/>
                <w:numId w:val="24"/>
              </w:numPr>
              <w:ind w:left="0" w:right="-7" w:firstLine="0"/>
              <w:jc w:val="both"/>
              <w:rPr>
                <w:rFonts w:ascii="Times" w:hAnsi="Times"/>
                <w:sz w:val="22"/>
                <w:lang w:val="en-US"/>
              </w:rPr>
            </w:pPr>
            <w:r w:rsidRPr="00DA6A7D">
              <w:rPr>
                <w:rFonts w:ascii="Times" w:hAnsi="Times"/>
                <w:sz w:val="22"/>
                <w:lang w:val="en-US"/>
              </w:rPr>
              <w:t>Spot Exchange rate, Canadian Dollar into US $: 1990-2015</w:t>
            </w:r>
          </w:p>
        </w:tc>
        <w:tc>
          <w:tcPr>
            <w:tcW w:w="1858" w:type="dxa"/>
          </w:tcPr>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lastRenderedPageBreak/>
              <w:t>overnight</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overmoney</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interest</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lastRenderedPageBreak/>
              <w:t>CORRA</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bandl</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bandh</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or</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orr</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LVTSt</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LVTSa</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agreements</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lenging</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acceptances1</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acceptances3</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corporate1</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corporate2</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corporate3</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auctionyi</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exchange</w:t>
            </w:r>
          </w:p>
          <w:p w:rsidR="00C752C0" w:rsidRPr="00DA6A7D" w:rsidRDefault="00C752C0" w:rsidP="0022187D">
            <w:pPr>
              <w:pStyle w:val="aa"/>
              <w:numPr>
                <w:ilvl w:val="0"/>
                <w:numId w:val="25"/>
              </w:numPr>
              <w:ind w:left="0" w:right="-7" w:firstLine="0"/>
              <w:jc w:val="both"/>
              <w:rPr>
                <w:rFonts w:ascii="Times" w:hAnsi="Times"/>
                <w:sz w:val="22"/>
                <w:lang w:val="en-US"/>
              </w:rPr>
            </w:pPr>
            <w:r w:rsidRPr="00DA6A7D">
              <w:rPr>
                <w:rFonts w:ascii="Times" w:hAnsi="Times"/>
                <w:sz w:val="22"/>
                <w:lang w:val="en-US"/>
              </w:rPr>
              <w:t>spotex</w:t>
            </w:r>
          </w:p>
        </w:tc>
      </w:tr>
    </w:tbl>
    <w:p w:rsidR="00C752C0" w:rsidRPr="00DA6A7D" w:rsidRDefault="00C752C0" w:rsidP="00C752C0">
      <w:pPr>
        <w:ind w:right="-7"/>
        <w:rPr>
          <w:rFonts w:ascii="Times" w:hAnsi="Times"/>
          <w:lang w:val="en-US"/>
        </w:rPr>
      </w:pPr>
    </w:p>
    <w:p w:rsidR="00C752C0" w:rsidRPr="00DA6A7D" w:rsidRDefault="00C752C0" w:rsidP="00C752C0">
      <w:pPr>
        <w:ind w:right="-7"/>
        <w:rPr>
          <w:rFonts w:ascii="Times" w:hAnsi="Times"/>
          <w:b/>
          <w:lang w:val="en-US"/>
        </w:rPr>
      </w:pPr>
      <w:r w:rsidRPr="00DA6A7D">
        <w:rPr>
          <w:rFonts w:ascii="Times" w:hAnsi="Times"/>
          <w:b/>
          <w:lang w:val="en-US"/>
        </w:rPr>
        <w:t>Table 3</w:t>
      </w:r>
    </w:p>
    <w:p w:rsidR="00C752C0" w:rsidRPr="00DA6A7D" w:rsidRDefault="00C752C0" w:rsidP="00C752C0">
      <w:pPr>
        <w:ind w:right="-7"/>
        <w:rPr>
          <w:rFonts w:ascii="Times" w:hAnsi="Times"/>
          <w:lang w:val="en-US"/>
        </w:rPr>
      </w:pPr>
      <w:r w:rsidRPr="00DA6A7D">
        <w:rPr>
          <w:rFonts w:ascii="Times" w:hAnsi="Times"/>
          <w:lang w:val="en-US"/>
        </w:rPr>
        <w:t>The list of the dependent variables for Finnish market</w:t>
      </w:r>
    </w:p>
    <w:tbl>
      <w:tblPr>
        <w:tblStyle w:val="ae"/>
        <w:tblW w:w="9508" w:type="dxa"/>
        <w:tblLook w:val="04A0"/>
      </w:tblPr>
      <w:tblGrid>
        <w:gridCol w:w="2541"/>
        <w:gridCol w:w="5109"/>
        <w:gridCol w:w="1858"/>
      </w:tblGrid>
      <w:tr w:rsidR="00C752C0" w:rsidRPr="00DA6A7D" w:rsidTr="00B42A3F">
        <w:tc>
          <w:tcPr>
            <w:tcW w:w="2541" w:type="dxa"/>
            <w:vAlign w:val="bottom"/>
          </w:tcPr>
          <w:p w:rsidR="00C752C0" w:rsidRPr="00DA6A7D" w:rsidRDefault="00C752C0" w:rsidP="00B42A3F">
            <w:pPr>
              <w:ind w:right="-7"/>
              <w:jc w:val="center"/>
              <w:rPr>
                <w:rFonts w:ascii="Times" w:hAnsi="Times"/>
                <w:b/>
                <w:sz w:val="22"/>
                <w:lang w:val="en-US"/>
              </w:rPr>
            </w:pPr>
            <w:r w:rsidRPr="00DA6A7D">
              <w:rPr>
                <w:rFonts w:ascii="Times" w:hAnsi="Times"/>
                <w:b/>
                <w:sz w:val="22"/>
                <w:lang w:val="en-US"/>
              </w:rPr>
              <w:t>The financial contagion distribution channel</w:t>
            </w:r>
          </w:p>
        </w:tc>
        <w:tc>
          <w:tcPr>
            <w:tcW w:w="5109" w:type="dxa"/>
            <w:vAlign w:val="bottom"/>
          </w:tcPr>
          <w:p w:rsidR="00C752C0" w:rsidRPr="00DA6A7D" w:rsidRDefault="00C752C0" w:rsidP="00B42A3F">
            <w:pPr>
              <w:ind w:right="-7"/>
              <w:jc w:val="center"/>
              <w:rPr>
                <w:rFonts w:ascii="Times" w:hAnsi="Times"/>
                <w:b/>
                <w:sz w:val="22"/>
                <w:lang w:val="en-US"/>
              </w:rPr>
            </w:pPr>
            <w:r w:rsidRPr="00DA6A7D">
              <w:rPr>
                <w:rFonts w:ascii="Times" w:hAnsi="Times"/>
                <w:b/>
                <w:sz w:val="22"/>
                <w:lang w:val="en-US"/>
              </w:rPr>
              <w:t>Dependent variables name</w:t>
            </w:r>
          </w:p>
        </w:tc>
        <w:tc>
          <w:tcPr>
            <w:tcW w:w="1858" w:type="dxa"/>
            <w:vAlign w:val="bottom"/>
          </w:tcPr>
          <w:p w:rsidR="00C752C0" w:rsidRPr="00DA6A7D" w:rsidRDefault="00C752C0" w:rsidP="00B42A3F">
            <w:pPr>
              <w:ind w:right="-7"/>
              <w:jc w:val="center"/>
              <w:rPr>
                <w:rFonts w:ascii="Times" w:hAnsi="Times"/>
                <w:b/>
                <w:sz w:val="22"/>
                <w:lang w:val="en-US"/>
              </w:rPr>
            </w:pPr>
            <w:r w:rsidRPr="00DA6A7D">
              <w:rPr>
                <w:rFonts w:ascii="Times" w:hAnsi="Times"/>
                <w:b/>
                <w:sz w:val="22"/>
                <w:lang w:val="en-US"/>
              </w:rPr>
              <w:t>Variable code</w:t>
            </w:r>
          </w:p>
        </w:tc>
      </w:tr>
      <w:tr w:rsidR="00C752C0" w:rsidRPr="00DA6A7D" w:rsidTr="00B42A3F">
        <w:tc>
          <w:tcPr>
            <w:tcW w:w="2541" w:type="dxa"/>
          </w:tcPr>
          <w:p w:rsidR="00C752C0" w:rsidRPr="00DA6A7D" w:rsidRDefault="00C752C0" w:rsidP="00B42A3F">
            <w:pPr>
              <w:ind w:right="-7"/>
              <w:jc w:val="both"/>
              <w:rPr>
                <w:rFonts w:ascii="Times" w:hAnsi="Times"/>
                <w:sz w:val="22"/>
                <w:lang w:val="en-US"/>
              </w:rPr>
            </w:pPr>
            <w:r w:rsidRPr="00DA6A7D">
              <w:rPr>
                <w:rFonts w:ascii="Times" w:hAnsi="Times"/>
                <w:sz w:val="22"/>
                <w:lang w:val="en-US"/>
              </w:rPr>
              <w:t>Correlated-information channel</w:t>
            </w:r>
          </w:p>
        </w:tc>
        <w:tc>
          <w:tcPr>
            <w:tcW w:w="5109" w:type="dxa"/>
          </w:tcPr>
          <w:p w:rsidR="00C752C0" w:rsidRPr="00DA6A7D" w:rsidRDefault="00C752C0" w:rsidP="0022187D">
            <w:pPr>
              <w:pStyle w:val="aa"/>
              <w:numPr>
                <w:ilvl w:val="0"/>
                <w:numId w:val="5"/>
              </w:numPr>
              <w:ind w:left="0" w:right="-7" w:firstLine="0"/>
              <w:jc w:val="both"/>
              <w:rPr>
                <w:rFonts w:ascii="Times" w:hAnsi="Times"/>
                <w:sz w:val="22"/>
                <w:lang w:val="en-US"/>
              </w:rPr>
            </w:pPr>
            <w:r w:rsidRPr="00DA6A7D">
              <w:rPr>
                <w:rFonts w:ascii="Times" w:hAnsi="Times"/>
                <w:sz w:val="22"/>
                <w:lang w:val="en-US"/>
              </w:rPr>
              <w:t>Finnish government yield curve (YC-FIN): 2009-2015</w:t>
            </w:r>
          </w:p>
          <w:p w:rsidR="00C752C0" w:rsidRPr="00DA6A7D" w:rsidRDefault="00C752C0" w:rsidP="0022187D">
            <w:pPr>
              <w:pStyle w:val="aa"/>
              <w:numPr>
                <w:ilvl w:val="1"/>
                <w:numId w:val="5"/>
              </w:numPr>
              <w:ind w:right="-7"/>
              <w:jc w:val="both"/>
              <w:rPr>
                <w:rFonts w:ascii="Times" w:hAnsi="Times"/>
                <w:sz w:val="22"/>
                <w:lang w:val="en-US"/>
              </w:rPr>
            </w:pPr>
            <w:r w:rsidRPr="00DA6A7D">
              <w:rPr>
                <w:rFonts w:ascii="Times" w:hAnsi="Times"/>
                <w:sz w:val="22"/>
                <w:lang w:val="en-US"/>
              </w:rPr>
              <w:t>5 year YC-FIN</w:t>
            </w:r>
          </w:p>
          <w:p w:rsidR="00C752C0" w:rsidRPr="00DA6A7D" w:rsidRDefault="00C752C0" w:rsidP="0022187D">
            <w:pPr>
              <w:pStyle w:val="aa"/>
              <w:numPr>
                <w:ilvl w:val="1"/>
                <w:numId w:val="5"/>
              </w:numPr>
              <w:ind w:right="-7"/>
              <w:jc w:val="both"/>
              <w:rPr>
                <w:rFonts w:ascii="Times" w:hAnsi="Times"/>
                <w:sz w:val="22"/>
                <w:lang w:val="en-US"/>
              </w:rPr>
            </w:pPr>
            <w:r w:rsidRPr="00DA6A7D">
              <w:rPr>
                <w:rFonts w:ascii="Times" w:hAnsi="Times"/>
                <w:sz w:val="22"/>
                <w:lang w:val="en-US"/>
              </w:rPr>
              <w:t>10 year YC-FIN</w:t>
            </w:r>
          </w:p>
          <w:p w:rsidR="00C752C0" w:rsidRPr="00DA6A7D" w:rsidRDefault="00C752C0" w:rsidP="0022187D">
            <w:pPr>
              <w:pStyle w:val="aa"/>
              <w:numPr>
                <w:ilvl w:val="0"/>
                <w:numId w:val="5"/>
              </w:numPr>
              <w:ind w:left="0" w:right="-7" w:firstLine="0"/>
              <w:jc w:val="both"/>
              <w:rPr>
                <w:rFonts w:ascii="Times" w:hAnsi="Times"/>
                <w:sz w:val="22"/>
                <w:lang w:val="en-US"/>
              </w:rPr>
            </w:pPr>
            <w:r w:rsidRPr="00DA6A7D">
              <w:rPr>
                <w:rFonts w:ascii="Times" w:hAnsi="Times"/>
                <w:sz w:val="22"/>
                <w:lang w:val="en-US"/>
              </w:rPr>
              <w:t>OMX Helsinki General Stock Index return: 1996-2015</w:t>
            </w:r>
          </w:p>
          <w:p w:rsidR="00C752C0" w:rsidRPr="00DA6A7D" w:rsidRDefault="00C752C0" w:rsidP="0022187D">
            <w:pPr>
              <w:pStyle w:val="aa"/>
              <w:numPr>
                <w:ilvl w:val="0"/>
                <w:numId w:val="5"/>
              </w:numPr>
              <w:ind w:left="0" w:right="-7" w:firstLine="0"/>
              <w:jc w:val="both"/>
              <w:rPr>
                <w:rFonts w:ascii="Times" w:hAnsi="Times"/>
                <w:sz w:val="22"/>
                <w:lang w:val="en-US"/>
              </w:rPr>
            </w:pPr>
            <w:r w:rsidRPr="00DA6A7D">
              <w:rPr>
                <w:rFonts w:ascii="Times" w:hAnsi="Times"/>
                <w:sz w:val="22"/>
                <w:lang w:val="en-US"/>
              </w:rPr>
              <w:t>OMX Helsinki Industrials index: 2000-2015</w:t>
            </w:r>
          </w:p>
          <w:p w:rsidR="00C752C0" w:rsidRPr="00DA6A7D" w:rsidRDefault="00C752C0" w:rsidP="0022187D">
            <w:pPr>
              <w:pStyle w:val="aa"/>
              <w:numPr>
                <w:ilvl w:val="0"/>
                <w:numId w:val="5"/>
              </w:numPr>
              <w:ind w:left="0" w:right="-7" w:firstLine="0"/>
              <w:jc w:val="both"/>
              <w:rPr>
                <w:rFonts w:ascii="Times" w:hAnsi="Times"/>
                <w:sz w:val="22"/>
                <w:lang w:val="en-US"/>
              </w:rPr>
            </w:pPr>
            <w:r w:rsidRPr="00DA6A7D">
              <w:rPr>
                <w:rFonts w:ascii="Times" w:hAnsi="Times"/>
                <w:sz w:val="22"/>
                <w:lang w:val="en-US"/>
              </w:rPr>
              <w:t>OMX Helsinki Industrial Goods and Services Index: 2000-2015</w:t>
            </w:r>
          </w:p>
          <w:p w:rsidR="00C752C0" w:rsidRPr="00DA6A7D" w:rsidRDefault="00C752C0" w:rsidP="0022187D">
            <w:pPr>
              <w:pStyle w:val="aa"/>
              <w:numPr>
                <w:ilvl w:val="0"/>
                <w:numId w:val="5"/>
              </w:numPr>
              <w:ind w:left="0" w:right="-7" w:firstLine="0"/>
              <w:jc w:val="both"/>
              <w:rPr>
                <w:rFonts w:ascii="Times" w:hAnsi="Times"/>
                <w:sz w:val="22"/>
                <w:lang w:val="en-US"/>
              </w:rPr>
            </w:pPr>
            <w:r w:rsidRPr="00DA6A7D">
              <w:rPr>
                <w:rFonts w:ascii="Times" w:hAnsi="Times"/>
                <w:sz w:val="22"/>
                <w:lang w:val="en-US"/>
              </w:rPr>
              <w:t>Crude oil Brent price (Europe): 1990-2015</w:t>
            </w:r>
          </w:p>
          <w:p w:rsidR="00C752C0" w:rsidRPr="00DA6A7D" w:rsidRDefault="00C752C0" w:rsidP="0022187D">
            <w:pPr>
              <w:pStyle w:val="aa"/>
              <w:numPr>
                <w:ilvl w:val="0"/>
                <w:numId w:val="5"/>
              </w:numPr>
              <w:ind w:left="0" w:right="-7" w:firstLine="0"/>
              <w:jc w:val="both"/>
              <w:rPr>
                <w:rFonts w:ascii="Times" w:hAnsi="Times"/>
                <w:sz w:val="22"/>
                <w:lang w:val="en-US"/>
              </w:rPr>
            </w:pPr>
            <w:r w:rsidRPr="00DA6A7D">
              <w:rPr>
                <w:rFonts w:ascii="Times" w:hAnsi="Times"/>
                <w:sz w:val="22"/>
                <w:lang w:val="en-US"/>
              </w:rPr>
              <w:t>London fixed silver prices: 1990-2015</w:t>
            </w:r>
          </w:p>
          <w:p w:rsidR="00C752C0" w:rsidRPr="00DA6A7D" w:rsidRDefault="00C752C0" w:rsidP="0022187D">
            <w:pPr>
              <w:pStyle w:val="aa"/>
              <w:numPr>
                <w:ilvl w:val="0"/>
                <w:numId w:val="5"/>
              </w:numPr>
              <w:ind w:left="0" w:right="-7" w:firstLine="0"/>
              <w:jc w:val="both"/>
              <w:rPr>
                <w:rFonts w:ascii="Times" w:hAnsi="Times"/>
                <w:sz w:val="22"/>
                <w:lang w:val="en-US"/>
              </w:rPr>
            </w:pPr>
            <w:r w:rsidRPr="00DA6A7D">
              <w:rPr>
                <w:rFonts w:ascii="Times" w:hAnsi="Times"/>
                <w:sz w:val="22"/>
                <w:lang w:val="en-US"/>
              </w:rPr>
              <w:lastRenderedPageBreak/>
              <w:t>Steel billet prices on London Metal Exchange: 2012-2015</w:t>
            </w:r>
          </w:p>
        </w:tc>
        <w:tc>
          <w:tcPr>
            <w:tcW w:w="1858" w:type="dxa"/>
          </w:tcPr>
          <w:p w:rsidR="00C752C0" w:rsidRPr="00DA6A7D" w:rsidRDefault="00C752C0" w:rsidP="0022187D">
            <w:pPr>
              <w:pStyle w:val="aa"/>
              <w:numPr>
                <w:ilvl w:val="0"/>
                <w:numId w:val="6"/>
              </w:numPr>
              <w:ind w:left="0" w:right="-7" w:firstLine="0"/>
              <w:jc w:val="both"/>
              <w:rPr>
                <w:rFonts w:ascii="Times" w:hAnsi="Times"/>
                <w:sz w:val="22"/>
                <w:lang w:val="en-US"/>
              </w:rPr>
            </w:pPr>
            <w:r w:rsidRPr="00DA6A7D">
              <w:rPr>
                <w:rFonts w:ascii="Times" w:hAnsi="Times"/>
                <w:sz w:val="22"/>
                <w:lang w:val="en-US"/>
              </w:rPr>
              <w:lastRenderedPageBreak/>
              <w:t>YC-FIN</w:t>
            </w:r>
            <w:r w:rsidRPr="00DA6A7D">
              <w:rPr>
                <w:rFonts w:ascii="Times" w:hAnsi="Times"/>
                <w:sz w:val="22"/>
              </w:rPr>
              <w:t>5</w:t>
            </w:r>
          </w:p>
          <w:p w:rsidR="00C752C0" w:rsidRPr="00DA6A7D" w:rsidRDefault="00C752C0" w:rsidP="0022187D">
            <w:pPr>
              <w:pStyle w:val="aa"/>
              <w:numPr>
                <w:ilvl w:val="0"/>
                <w:numId w:val="6"/>
              </w:numPr>
              <w:ind w:left="0" w:right="-7" w:firstLine="0"/>
              <w:jc w:val="both"/>
              <w:rPr>
                <w:rFonts w:ascii="Times" w:hAnsi="Times"/>
                <w:sz w:val="22"/>
                <w:lang w:val="en-US"/>
              </w:rPr>
            </w:pPr>
            <w:r w:rsidRPr="00DA6A7D">
              <w:rPr>
                <w:rFonts w:ascii="Times" w:hAnsi="Times"/>
                <w:sz w:val="22"/>
                <w:lang w:val="en-US"/>
              </w:rPr>
              <w:t>YC-FIN</w:t>
            </w:r>
            <w:r w:rsidRPr="00DA6A7D">
              <w:rPr>
                <w:rFonts w:ascii="Times" w:hAnsi="Times"/>
                <w:sz w:val="22"/>
              </w:rPr>
              <w:t>10</w:t>
            </w:r>
          </w:p>
          <w:p w:rsidR="00C752C0" w:rsidRPr="00DA6A7D" w:rsidRDefault="00C752C0" w:rsidP="0022187D">
            <w:pPr>
              <w:pStyle w:val="aa"/>
              <w:numPr>
                <w:ilvl w:val="0"/>
                <w:numId w:val="6"/>
              </w:numPr>
              <w:ind w:left="0" w:right="-7" w:firstLine="0"/>
              <w:jc w:val="both"/>
              <w:rPr>
                <w:rFonts w:ascii="Times" w:hAnsi="Times"/>
                <w:sz w:val="22"/>
                <w:lang w:val="en-US"/>
              </w:rPr>
            </w:pPr>
            <w:r w:rsidRPr="00DA6A7D">
              <w:rPr>
                <w:rFonts w:ascii="Times" w:hAnsi="Times"/>
                <w:sz w:val="22"/>
                <w:lang w:val="en-US"/>
              </w:rPr>
              <w:t>gsir</w:t>
            </w:r>
          </w:p>
          <w:p w:rsidR="00C752C0" w:rsidRPr="00DA6A7D" w:rsidRDefault="00C752C0" w:rsidP="0022187D">
            <w:pPr>
              <w:pStyle w:val="aa"/>
              <w:numPr>
                <w:ilvl w:val="0"/>
                <w:numId w:val="6"/>
              </w:numPr>
              <w:ind w:left="0" w:right="-7" w:firstLine="0"/>
              <w:jc w:val="both"/>
              <w:rPr>
                <w:rFonts w:ascii="Times" w:hAnsi="Times"/>
                <w:sz w:val="22"/>
                <w:lang w:val="en-US"/>
              </w:rPr>
            </w:pPr>
            <w:r w:rsidRPr="00DA6A7D">
              <w:rPr>
                <w:rFonts w:ascii="Times" w:hAnsi="Times"/>
                <w:sz w:val="22"/>
                <w:lang w:val="en-US"/>
              </w:rPr>
              <w:t>industrialsi</w:t>
            </w:r>
          </w:p>
          <w:p w:rsidR="00C752C0" w:rsidRPr="00DA6A7D" w:rsidRDefault="00C752C0" w:rsidP="0022187D">
            <w:pPr>
              <w:pStyle w:val="aa"/>
              <w:numPr>
                <w:ilvl w:val="0"/>
                <w:numId w:val="6"/>
              </w:numPr>
              <w:ind w:left="0" w:right="-7" w:firstLine="0"/>
              <w:jc w:val="both"/>
              <w:rPr>
                <w:rFonts w:ascii="Times" w:hAnsi="Times"/>
                <w:sz w:val="22"/>
                <w:lang w:val="en-US"/>
              </w:rPr>
            </w:pPr>
            <w:r w:rsidRPr="00DA6A7D">
              <w:rPr>
                <w:rFonts w:ascii="Times" w:hAnsi="Times"/>
                <w:sz w:val="22"/>
                <w:lang w:val="en-US"/>
              </w:rPr>
              <w:t>indgsi</w:t>
            </w:r>
          </w:p>
          <w:p w:rsidR="00C752C0" w:rsidRPr="00DA6A7D" w:rsidRDefault="00C752C0" w:rsidP="0022187D">
            <w:pPr>
              <w:pStyle w:val="aa"/>
              <w:numPr>
                <w:ilvl w:val="0"/>
                <w:numId w:val="6"/>
              </w:numPr>
              <w:ind w:left="0" w:right="-7" w:firstLine="0"/>
              <w:jc w:val="both"/>
              <w:rPr>
                <w:rFonts w:ascii="Times" w:hAnsi="Times"/>
                <w:sz w:val="22"/>
                <w:lang w:val="en-US"/>
              </w:rPr>
            </w:pPr>
            <w:r w:rsidRPr="00DA6A7D">
              <w:rPr>
                <w:rFonts w:ascii="Times" w:hAnsi="Times"/>
                <w:sz w:val="22"/>
                <w:lang w:val="en-US"/>
              </w:rPr>
              <w:t>oil</w:t>
            </w:r>
          </w:p>
          <w:p w:rsidR="00C752C0" w:rsidRPr="00DA6A7D" w:rsidRDefault="00C752C0" w:rsidP="0022187D">
            <w:pPr>
              <w:pStyle w:val="aa"/>
              <w:numPr>
                <w:ilvl w:val="0"/>
                <w:numId w:val="6"/>
              </w:numPr>
              <w:ind w:left="0" w:right="-7" w:firstLine="0"/>
              <w:jc w:val="both"/>
              <w:rPr>
                <w:rFonts w:ascii="Times" w:hAnsi="Times"/>
                <w:sz w:val="22"/>
                <w:lang w:val="en-US"/>
              </w:rPr>
            </w:pPr>
            <w:r w:rsidRPr="00DA6A7D">
              <w:rPr>
                <w:rFonts w:ascii="Times" w:hAnsi="Times"/>
                <w:sz w:val="22"/>
                <w:lang w:val="en-US"/>
              </w:rPr>
              <w:t>silver</w:t>
            </w:r>
          </w:p>
          <w:p w:rsidR="00C752C0" w:rsidRPr="00DA6A7D" w:rsidRDefault="00C752C0" w:rsidP="0022187D">
            <w:pPr>
              <w:pStyle w:val="aa"/>
              <w:numPr>
                <w:ilvl w:val="0"/>
                <w:numId w:val="6"/>
              </w:numPr>
              <w:ind w:left="0" w:right="-7" w:firstLine="0"/>
              <w:jc w:val="both"/>
              <w:rPr>
                <w:rFonts w:ascii="Times" w:hAnsi="Times"/>
                <w:sz w:val="22"/>
                <w:lang w:val="en-US"/>
              </w:rPr>
            </w:pPr>
            <w:r w:rsidRPr="00DA6A7D">
              <w:rPr>
                <w:rFonts w:ascii="Times" w:hAnsi="Times"/>
                <w:sz w:val="22"/>
                <w:lang w:val="en-US"/>
              </w:rPr>
              <w:t>steel</w:t>
            </w:r>
          </w:p>
        </w:tc>
      </w:tr>
      <w:tr w:rsidR="00C752C0" w:rsidRPr="00DA6A7D" w:rsidTr="00B42A3F">
        <w:tc>
          <w:tcPr>
            <w:tcW w:w="2541" w:type="dxa"/>
          </w:tcPr>
          <w:p w:rsidR="00C752C0" w:rsidRPr="00DA6A7D" w:rsidRDefault="00C752C0" w:rsidP="00B42A3F">
            <w:pPr>
              <w:ind w:right="-7"/>
              <w:jc w:val="both"/>
              <w:rPr>
                <w:rFonts w:ascii="Times" w:hAnsi="Times"/>
                <w:sz w:val="22"/>
                <w:lang w:val="en-US"/>
              </w:rPr>
            </w:pPr>
            <w:r w:rsidRPr="00DA6A7D">
              <w:rPr>
                <w:rFonts w:ascii="Times" w:hAnsi="Times"/>
                <w:sz w:val="22"/>
                <w:lang w:val="en-US"/>
              </w:rPr>
              <w:lastRenderedPageBreak/>
              <w:t>Liquidity channel</w:t>
            </w:r>
          </w:p>
        </w:tc>
        <w:tc>
          <w:tcPr>
            <w:tcW w:w="5109" w:type="dxa"/>
          </w:tcPr>
          <w:p w:rsidR="00C752C0" w:rsidRPr="00DA6A7D" w:rsidRDefault="00C752C0" w:rsidP="0022187D">
            <w:pPr>
              <w:pStyle w:val="aa"/>
              <w:numPr>
                <w:ilvl w:val="0"/>
                <w:numId w:val="9"/>
              </w:numPr>
              <w:ind w:left="0" w:right="-7" w:firstLine="0"/>
              <w:jc w:val="both"/>
              <w:rPr>
                <w:rFonts w:ascii="Times" w:hAnsi="Times"/>
                <w:sz w:val="22"/>
                <w:lang w:val="en-US"/>
              </w:rPr>
            </w:pPr>
            <w:r w:rsidRPr="00DA6A7D">
              <w:rPr>
                <w:rFonts w:ascii="Times" w:hAnsi="Times"/>
                <w:sz w:val="22"/>
                <w:lang w:val="en-US"/>
              </w:rPr>
              <w:t>Finnish government bond transactions</w:t>
            </w:r>
            <w:r w:rsidRPr="00DA6A7D">
              <w:rPr>
                <w:rStyle w:val="af"/>
                <w:rFonts w:ascii="Times" w:hAnsi="Times"/>
                <w:sz w:val="22"/>
                <w:lang w:val="en-US"/>
              </w:rPr>
              <w:footnoteReference w:id="16"/>
            </w:r>
            <w:r w:rsidRPr="00DA6A7D">
              <w:rPr>
                <w:rFonts w:ascii="Times" w:hAnsi="Times"/>
                <w:sz w:val="22"/>
                <w:lang w:val="en-US"/>
              </w:rPr>
              <w:t>: 2006-2015</w:t>
            </w:r>
          </w:p>
          <w:p w:rsidR="00C752C0" w:rsidRPr="00DA6A7D" w:rsidRDefault="00C752C0" w:rsidP="0022187D">
            <w:pPr>
              <w:pStyle w:val="aa"/>
              <w:numPr>
                <w:ilvl w:val="1"/>
                <w:numId w:val="9"/>
              </w:numPr>
              <w:ind w:right="-7"/>
              <w:jc w:val="both"/>
              <w:rPr>
                <w:rFonts w:ascii="Times" w:hAnsi="Times"/>
                <w:sz w:val="22"/>
                <w:lang w:val="en-US"/>
              </w:rPr>
            </w:pPr>
            <w:r w:rsidRPr="00DA6A7D">
              <w:rPr>
                <w:rFonts w:ascii="Times" w:hAnsi="Times"/>
                <w:sz w:val="22"/>
                <w:lang w:val="en-US"/>
              </w:rPr>
              <w:t>11-year bond</w:t>
            </w:r>
          </w:p>
          <w:p w:rsidR="00C752C0" w:rsidRPr="00DA6A7D" w:rsidRDefault="00C752C0" w:rsidP="0022187D">
            <w:pPr>
              <w:pStyle w:val="aa"/>
              <w:numPr>
                <w:ilvl w:val="1"/>
                <w:numId w:val="9"/>
              </w:numPr>
              <w:ind w:right="-7"/>
              <w:jc w:val="both"/>
              <w:rPr>
                <w:rFonts w:ascii="Times" w:hAnsi="Times"/>
                <w:sz w:val="22"/>
                <w:lang w:val="en-US"/>
              </w:rPr>
            </w:pPr>
            <w:r w:rsidRPr="00DA6A7D">
              <w:rPr>
                <w:rFonts w:ascii="Times" w:hAnsi="Times"/>
                <w:sz w:val="22"/>
                <w:lang w:val="en-US"/>
              </w:rPr>
              <w:t>16-year bond</w:t>
            </w:r>
          </w:p>
          <w:p w:rsidR="00C752C0" w:rsidRPr="00DA6A7D" w:rsidRDefault="00C752C0" w:rsidP="0022187D">
            <w:pPr>
              <w:pStyle w:val="aa"/>
              <w:numPr>
                <w:ilvl w:val="1"/>
                <w:numId w:val="9"/>
              </w:numPr>
              <w:ind w:right="-7"/>
              <w:jc w:val="both"/>
              <w:rPr>
                <w:rFonts w:ascii="Times" w:hAnsi="Times"/>
                <w:sz w:val="22"/>
                <w:lang w:val="en-US"/>
              </w:rPr>
            </w:pPr>
            <w:r w:rsidRPr="00DA6A7D">
              <w:rPr>
                <w:rFonts w:ascii="Times" w:hAnsi="Times"/>
                <w:sz w:val="22"/>
                <w:lang w:val="en-US"/>
              </w:rPr>
              <w:t>Total government bond transactions</w:t>
            </w:r>
          </w:p>
          <w:p w:rsidR="00C752C0" w:rsidRPr="00DA6A7D" w:rsidRDefault="00C752C0" w:rsidP="0022187D">
            <w:pPr>
              <w:pStyle w:val="aa"/>
              <w:numPr>
                <w:ilvl w:val="0"/>
                <w:numId w:val="9"/>
              </w:numPr>
              <w:ind w:left="0" w:right="-7" w:firstLine="0"/>
              <w:jc w:val="both"/>
              <w:rPr>
                <w:rFonts w:ascii="Times" w:hAnsi="Times"/>
                <w:sz w:val="22"/>
                <w:lang w:val="en-US"/>
              </w:rPr>
            </w:pPr>
            <w:r w:rsidRPr="00DA6A7D">
              <w:rPr>
                <w:rFonts w:ascii="Times" w:hAnsi="Times"/>
                <w:sz w:val="22"/>
                <w:lang w:val="en-US"/>
              </w:rPr>
              <w:t>OMX Helsinki Basic Materials Index turnover: 2011-2015</w:t>
            </w:r>
          </w:p>
          <w:p w:rsidR="00C752C0" w:rsidRPr="00DA6A7D" w:rsidRDefault="00C752C0" w:rsidP="0022187D">
            <w:pPr>
              <w:pStyle w:val="aa"/>
              <w:numPr>
                <w:ilvl w:val="0"/>
                <w:numId w:val="9"/>
              </w:numPr>
              <w:ind w:left="0" w:right="-7" w:firstLine="0"/>
              <w:jc w:val="both"/>
              <w:rPr>
                <w:rFonts w:ascii="Times" w:hAnsi="Times"/>
                <w:sz w:val="22"/>
                <w:lang w:val="en-US"/>
              </w:rPr>
            </w:pPr>
            <w:r w:rsidRPr="00DA6A7D">
              <w:rPr>
                <w:rFonts w:ascii="Times" w:hAnsi="Times"/>
                <w:sz w:val="22"/>
                <w:lang w:val="en-US"/>
              </w:rPr>
              <w:t>OMX Stockholm Index turnover: 2006-2014</w:t>
            </w:r>
          </w:p>
        </w:tc>
        <w:tc>
          <w:tcPr>
            <w:tcW w:w="1858" w:type="dxa"/>
          </w:tcPr>
          <w:p w:rsidR="00C752C0" w:rsidRPr="00DA6A7D" w:rsidRDefault="00C752C0" w:rsidP="0022187D">
            <w:pPr>
              <w:pStyle w:val="aa"/>
              <w:numPr>
                <w:ilvl w:val="0"/>
                <w:numId w:val="10"/>
              </w:numPr>
              <w:ind w:left="0" w:right="-7" w:firstLine="0"/>
              <w:jc w:val="both"/>
              <w:rPr>
                <w:rFonts w:ascii="Times" w:hAnsi="Times"/>
                <w:sz w:val="22"/>
                <w:lang w:val="en-US"/>
              </w:rPr>
            </w:pPr>
            <w:r w:rsidRPr="00DA6A7D">
              <w:rPr>
                <w:rFonts w:ascii="Times" w:hAnsi="Times"/>
                <w:sz w:val="22"/>
                <w:lang w:val="en-US"/>
              </w:rPr>
              <w:t>bond11</w:t>
            </w:r>
          </w:p>
          <w:p w:rsidR="00C752C0" w:rsidRPr="00DA6A7D" w:rsidRDefault="00C752C0" w:rsidP="0022187D">
            <w:pPr>
              <w:pStyle w:val="aa"/>
              <w:numPr>
                <w:ilvl w:val="0"/>
                <w:numId w:val="10"/>
              </w:numPr>
              <w:ind w:left="0" w:right="-7" w:firstLine="0"/>
              <w:jc w:val="both"/>
              <w:rPr>
                <w:rFonts w:ascii="Times" w:hAnsi="Times"/>
                <w:sz w:val="22"/>
                <w:lang w:val="en-US"/>
              </w:rPr>
            </w:pPr>
            <w:r w:rsidRPr="00DA6A7D">
              <w:rPr>
                <w:rFonts w:ascii="Times" w:hAnsi="Times"/>
                <w:sz w:val="22"/>
                <w:lang w:val="en-US"/>
              </w:rPr>
              <w:t>bond16</w:t>
            </w:r>
          </w:p>
          <w:p w:rsidR="00C752C0" w:rsidRPr="00DA6A7D" w:rsidRDefault="00C752C0" w:rsidP="0022187D">
            <w:pPr>
              <w:pStyle w:val="aa"/>
              <w:numPr>
                <w:ilvl w:val="0"/>
                <w:numId w:val="10"/>
              </w:numPr>
              <w:ind w:left="0" w:right="-7" w:firstLine="0"/>
              <w:jc w:val="both"/>
              <w:rPr>
                <w:rFonts w:ascii="Times" w:hAnsi="Times"/>
                <w:sz w:val="22"/>
                <w:lang w:val="en-US"/>
              </w:rPr>
            </w:pPr>
            <w:r w:rsidRPr="00DA6A7D">
              <w:rPr>
                <w:rFonts w:ascii="Times" w:hAnsi="Times"/>
                <w:sz w:val="22"/>
                <w:lang w:val="en-US"/>
              </w:rPr>
              <w:t>tottr</w:t>
            </w:r>
          </w:p>
          <w:p w:rsidR="00C752C0" w:rsidRPr="00DA6A7D" w:rsidRDefault="00C752C0" w:rsidP="0022187D">
            <w:pPr>
              <w:pStyle w:val="aa"/>
              <w:numPr>
                <w:ilvl w:val="0"/>
                <w:numId w:val="10"/>
              </w:numPr>
              <w:ind w:left="0" w:right="-7" w:firstLine="0"/>
              <w:jc w:val="both"/>
              <w:rPr>
                <w:rFonts w:ascii="Times" w:hAnsi="Times"/>
                <w:sz w:val="22"/>
                <w:lang w:val="en-US"/>
              </w:rPr>
            </w:pPr>
            <w:r w:rsidRPr="00DA6A7D">
              <w:rPr>
                <w:rFonts w:ascii="Times" w:hAnsi="Times"/>
                <w:sz w:val="22"/>
                <w:lang w:val="en-US"/>
              </w:rPr>
              <w:t>bmi</w:t>
            </w:r>
          </w:p>
          <w:p w:rsidR="00C752C0" w:rsidRPr="00DA6A7D" w:rsidRDefault="00C752C0" w:rsidP="0022187D">
            <w:pPr>
              <w:pStyle w:val="aa"/>
              <w:numPr>
                <w:ilvl w:val="0"/>
                <w:numId w:val="10"/>
              </w:numPr>
              <w:ind w:left="0" w:right="-7" w:firstLine="0"/>
              <w:jc w:val="both"/>
              <w:rPr>
                <w:rFonts w:ascii="Times" w:hAnsi="Times"/>
                <w:sz w:val="22"/>
                <w:lang w:val="en-US"/>
              </w:rPr>
            </w:pPr>
            <w:r w:rsidRPr="00DA6A7D">
              <w:rPr>
                <w:rFonts w:ascii="Times" w:hAnsi="Times"/>
                <w:sz w:val="22"/>
                <w:lang w:val="en-US"/>
              </w:rPr>
              <w:t>Sti</w:t>
            </w:r>
          </w:p>
        </w:tc>
      </w:tr>
      <w:tr w:rsidR="00C752C0" w:rsidRPr="00DA6A7D" w:rsidTr="00B42A3F">
        <w:tc>
          <w:tcPr>
            <w:tcW w:w="2541" w:type="dxa"/>
          </w:tcPr>
          <w:p w:rsidR="00C752C0" w:rsidRPr="00DA6A7D" w:rsidRDefault="00C752C0" w:rsidP="00B42A3F">
            <w:pPr>
              <w:ind w:right="-7"/>
              <w:jc w:val="both"/>
              <w:rPr>
                <w:rFonts w:ascii="Times" w:hAnsi="Times"/>
                <w:sz w:val="22"/>
                <w:lang w:val="en-US"/>
              </w:rPr>
            </w:pPr>
            <w:r w:rsidRPr="00DA6A7D">
              <w:rPr>
                <w:rFonts w:ascii="Times" w:hAnsi="Times"/>
                <w:sz w:val="22"/>
                <w:lang w:val="en-US"/>
              </w:rPr>
              <w:t>Risk-premium channel</w:t>
            </w:r>
          </w:p>
        </w:tc>
        <w:tc>
          <w:tcPr>
            <w:tcW w:w="5109" w:type="dxa"/>
          </w:tcPr>
          <w:p w:rsidR="00C752C0" w:rsidRPr="00DA6A7D" w:rsidRDefault="00C752C0" w:rsidP="0022187D">
            <w:pPr>
              <w:pStyle w:val="aa"/>
              <w:numPr>
                <w:ilvl w:val="0"/>
                <w:numId w:val="7"/>
              </w:numPr>
              <w:ind w:left="0" w:right="-7" w:firstLine="0"/>
              <w:jc w:val="both"/>
              <w:rPr>
                <w:rFonts w:ascii="Times" w:hAnsi="Times"/>
                <w:sz w:val="22"/>
                <w:lang w:val="en-US"/>
              </w:rPr>
            </w:pPr>
            <w:r w:rsidRPr="00DA6A7D">
              <w:rPr>
                <w:rFonts w:ascii="Times" w:hAnsi="Times"/>
                <w:sz w:val="22"/>
                <w:lang w:val="en-US"/>
              </w:rPr>
              <w:t>Bank of Finland interbank offered rate (helibor): 1990-1998</w:t>
            </w:r>
          </w:p>
          <w:p w:rsidR="00C752C0" w:rsidRPr="00DA6A7D" w:rsidRDefault="00C752C0" w:rsidP="0022187D">
            <w:pPr>
              <w:pStyle w:val="aa"/>
              <w:numPr>
                <w:ilvl w:val="1"/>
                <w:numId w:val="7"/>
              </w:numPr>
              <w:ind w:right="-7"/>
              <w:jc w:val="both"/>
              <w:rPr>
                <w:rFonts w:ascii="Times" w:hAnsi="Times"/>
                <w:sz w:val="22"/>
                <w:lang w:val="en-US"/>
              </w:rPr>
            </w:pPr>
            <w:r w:rsidRPr="00DA6A7D">
              <w:rPr>
                <w:rFonts w:ascii="Times" w:hAnsi="Times"/>
                <w:sz w:val="22"/>
                <w:lang w:val="en-US"/>
              </w:rPr>
              <w:t>1 month helibor</w:t>
            </w:r>
          </w:p>
          <w:p w:rsidR="00C752C0" w:rsidRPr="00DA6A7D" w:rsidRDefault="00C752C0" w:rsidP="0022187D">
            <w:pPr>
              <w:pStyle w:val="aa"/>
              <w:numPr>
                <w:ilvl w:val="1"/>
                <w:numId w:val="7"/>
              </w:numPr>
              <w:ind w:right="-7"/>
              <w:jc w:val="both"/>
              <w:rPr>
                <w:rFonts w:ascii="Times" w:hAnsi="Times"/>
                <w:sz w:val="22"/>
                <w:lang w:val="en-US"/>
              </w:rPr>
            </w:pPr>
            <w:r w:rsidRPr="00DA6A7D">
              <w:rPr>
                <w:rFonts w:ascii="Times" w:hAnsi="Times"/>
                <w:sz w:val="22"/>
                <w:lang w:val="en-US"/>
              </w:rPr>
              <w:t>6 month helibor</w:t>
            </w:r>
          </w:p>
          <w:p w:rsidR="00C752C0" w:rsidRPr="00DA6A7D" w:rsidRDefault="00C752C0" w:rsidP="0022187D">
            <w:pPr>
              <w:pStyle w:val="aa"/>
              <w:numPr>
                <w:ilvl w:val="1"/>
                <w:numId w:val="7"/>
              </w:numPr>
              <w:ind w:right="-7"/>
              <w:jc w:val="both"/>
              <w:rPr>
                <w:rFonts w:ascii="Times" w:hAnsi="Times"/>
                <w:sz w:val="22"/>
                <w:lang w:val="en-US"/>
              </w:rPr>
            </w:pPr>
            <w:r w:rsidRPr="00DA6A7D">
              <w:rPr>
                <w:rFonts w:ascii="Times" w:hAnsi="Times"/>
                <w:sz w:val="22"/>
                <w:lang w:val="en-US"/>
              </w:rPr>
              <w:t>1 year helibor</w:t>
            </w:r>
          </w:p>
          <w:p w:rsidR="00C752C0" w:rsidRPr="00DA6A7D" w:rsidRDefault="00C752C0" w:rsidP="0022187D">
            <w:pPr>
              <w:pStyle w:val="aa"/>
              <w:numPr>
                <w:ilvl w:val="0"/>
                <w:numId w:val="7"/>
              </w:numPr>
              <w:ind w:left="0" w:right="-7" w:firstLine="0"/>
              <w:jc w:val="both"/>
              <w:rPr>
                <w:rFonts w:ascii="Times" w:hAnsi="Times"/>
                <w:sz w:val="22"/>
                <w:lang w:val="en-US"/>
              </w:rPr>
            </w:pPr>
            <w:r w:rsidRPr="00DA6A7D">
              <w:rPr>
                <w:rFonts w:ascii="Times" w:hAnsi="Times"/>
                <w:sz w:val="22"/>
                <w:lang w:val="en-US"/>
              </w:rPr>
              <w:t>Euro interbank offered rate (Euribor</w:t>
            </w:r>
            <w:r w:rsidRPr="00DA6A7D">
              <w:rPr>
                <w:rStyle w:val="af"/>
                <w:rFonts w:ascii="Times" w:hAnsi="Times"/>
                <w:sz w:val="22"/>
                <w:lang w:val="en-US"/>
              </w:rPr>
              <w:footnoteReference w:id="17"/>
            </w:r>
            <w:r w:rsidRPr="00DA6A7D">
              <w:rPr>
                <w:rFonts w:ascii="Times" w:hAnsi="Times"/>
                <w:sz w:val="22"/>
                <w:lang w:val="en-US"/>
              </w:rPr>
              <w:t>): 1999-2015</w:t>
            </w:r>
          </w:p>
          <w:p w:rsidR="00C752C0" w:rsidRPr="00DA6A7D" w:rsidRDefault="00C752C0" w:rsidP="0022187D">
            <w:pPr>
              <w:pStyle w:val="aa"/>
              <w:numPr>
                <w:ilvl w:val="1"/>
                <w:numId w:val="7"/>
              </w:numPr>
              <w:ind w:right="-7"/>
              <w:jc w:val="both"/>
              <w:rPr>
                <w:rFonts w:ascii="Times" w:hAnsi="Times"/>
                <w:sz w:val="22"/>
                <w:lang w:val="en-US"/>
              </w:rPr>
            </w:pPr>
            <w:r w:rsidRPr="00DA6A7D">
              <w:rPr>
                <w:rFonts w:ascii="Times" w:hAnsi="Times"/>
                <w:sz w:val="22"/>
                <w:lang w:val="en-US"/>
              </w:rPr>
              <w:t>1 month Euribor</w:t>
            </w:r>
          </w:p>
          <w:p w:rsidR="00C752C0" w:rsidRPr="00DA6A7D" w:rsidRDefault="00C752C0" w:rsidP="0022187D">
            <w:pPr>
              <w:pStyle w:val="aa"/>
              <w:numPr>
                <w:ilvl w:val="1"/>
                <w:numId w:val="7"/>
              </w:numPr>
              <w:ind w:right="-7"/>
              <w:jc w:val="both"/>
              <w:rPr>
                <w:rFonts w:ascii="Times" w:hAnsi="Times"/>
                <w:sz w:val="22"/>
                <w:lang w:val="en-US"/>
              </w:rPr>
            </w:pPr>
            <w:r w:rsidRPr="00DA6A7D">
              <w:rPr>
                <w:rFonts w:ascii="Times" w:hAnsi="Times"/>
                <w:sz w:val="22"/>
                <w:lang w:val="en-US"/>
              </w:rPr>
              <w:t>6 month Euribor</w:t>
            </w:r>
          </w:p>
          <w:p w:rsidR="00C752C0" w:rsidRPr="00DA6A7D" w:rsidRDefault="00C752C0" w:rsidP="0022187D">
            <w:pPr>
              <w:pStyle w:val="aa"/>
              <w:numPr>
                <w:ilvl w:val="1"/>
                <w:numId w:val="7"/>
              </w:numPr>
              <w:ind w:right="-7"/>
              <w:jc w:val="both"/>
              <w:rPr>
                <w:rFonts w:ascii="Times" w:hAnsi="Times"/>
                <w:sz w:val="22"/>
                <w:lang w:val="en-US"/>
              </w:rPr>
            </w:pPr>
            <w:r w:rsidRPr="00DA6A7D">
              <w:rPr>
                <w:rFonts w:ascii="Times" w:hAnsi="Times"/>
                <w:sz w:val="22"/>
                <w:lang w:val="en-US"/>
              </w:rPr>
              <w:t>1 year Euribor</w:t>
            </w:r>
          </w:p>
          <w:p w:rsidR="00C752C0" w:rsidRPr="00DA6A7D" w:rsidRDefault="00C752C0" w:rsidP="0022187D">
            <w:pPr>
              <w:pStyle w:val="aa"/>
              <w:numPr>
                <w:ilvl w:val="0"/>
                <w:numId w:val="7"/>
              </w:numPr>
              <w:ind w:left="0" w:right="-7" w:firstLine="0"/>
              <w:jc w:val="both"/>
              <w:rPr>
                <w:rFonts w:ascii="Times" w:hAnsi="Times"/>
                <w:sz w:val="22"/>
                <w:lang w:val="en-US"/>
              </w:rPr>
            </w:pPr>
            <w:r w:rsidRPr="00DA6A7D">
              <w:rPr>
                <w:rFonts w:ascii="Times" w:hAnsi="Times"/>
                <w:sz w:val="22"/>
                <w:lang w:val="en-US"/>
              </w:rPr>
              <w:t>Euro Over Night Index Average (Eonia): 1999-2015</w:t>
            </w:r>
          </w:p>
        </w:tc>
        <w:tc>
          <w:tcPr>
            <w:tcW w:w="1858" w:type="dxa"/>
          </w:tcPr>
          <w:p w:rsidR="00C752C0" w:rsidRPr="00DA6A7D" w:rsidRDefault="00C752C0" w:rsidP="0022187D">
            <w:pPr>
              <w:pStyle w:val="aa"/>
              <w:numPr>
                <w:ilvl w:val="0"/>
                <w:numId w:val="8"/>
              </w:numPr>
              <w:ind w:left="0" w:right="-7" w:firstLine="0"/>
              <w:jc w:val="both"/>
              <w:rPr>
                <w:rFonts w:ascii="Times" w:hAnsi="Times"/>
                <w:sz w:val="22"/>
                <w:lang w:val="en-US"/>
              </w:rPr>
            </w:pPr>
            <w:r w:rsidRPr="00DA6A7D">
              <w:rPr>
                <w:rFonts w:ascii="Times" w:hAnsi="Times"/>
                <w:sz w:val="22"/>
                <w:lang w:val="en-US"/>
              </w:rPr>
              <w:t>Hel1</w:t>
            </w:r>
          </w:p>
          <w:p w:rsidR="00C752C0" w:rsidRPr="00DA6A7D" w:rsidRDefault="00C752C0" w:rsidP="0022187D">
            <w:pPr>
              <w:pStyle w:val="aa"/>
              <w:numPr>
                <w:ilvl w:val="0"/>
                <w:numId w:val="8"/>
              </w:numPr>
              <w:ind w:left="0" w:right="-7" w:firstLine="0"/>
              <w:jc w:val="both"/>
              <w:rPr>
                <w:rFonts w:ascii="Times" w:hAnsi="Times"/>
                <w:sz w:val="22"/>
                <w:lang w:val="en-US"/>
              </w:rPr>
            </w:pPr>
            <w:r w:rsidRPr="00DA6A7D">
              <w:rPr>
                <w:rFonts w:ascii="Times" w:hAnsi="Times"/>
                <w:sz w:val="22"/>
                <w:lang w:val="en-US"/>
              </w:rPr>
              <w:t>Hel6</w:t>
            </w:r>
          </w:p>
          <w:p w:rsidR="00C752C0" w:rsidRPr="00DA6A7D" w:rsidRDefault="00C752C0" w:rsidP="0022187D">
            <w:pPr>
              <w:pStyle w:val="aa"/>
              <w:numPr>
                <w:ilvl w:val="0"/>
                <w:numId w:val="8"/>
              </w:numPr>
              <w:ind w:left="0" w:right="-7" w:firstLine="0"/>
              <w:jc w:val="both"/>
              <w:rPr>
                <w:rFonts w:ascii="Times" w:hAnsi="Times"/>
                <w:sz w:val="22"/>
                <w:lang w:val="en-US"/>
              </w:rPr>
            </w:pPr>
            <w:r w:rsidRPr="00DA6A7D">
              <w:rPr>
                <w:rFonts w:ascii="Times" w:hAnsi="Times"/>
                <w:sz w:val="22"/>
                <w:lang w:val="en-US"/>
              </w:rPr>
              <w:t>Hel12</w:t>
            </w:r>
          </w:p>
          <w:p w:rsidR="00C752C0" w:rsidRPr="00DA6A7D" w:rsidRDefault="00C752C0" w:rsidP="0022187D">
            <w:pPr>
              <w:pStyle w:val="aa"/>
              <w:numPr>
                <w:ilvl w:val="0"/>
                <w:numId w:val="8"/>
              </w:numPr>
              <w:ind w:left="0" w:right="-7" w:firstLine="0"/>
              <w:jc w:val="both"/>
              <w:rPr>
                <w:rFonts w:ascii="Times" w:hAnsi="Times"/>
                <w:sz w:val="22"/>
                <w:lang w:val="en-US"/>
              </w:rPr>
            </w:pPr>
            <w:r w:rsidRPr="00DA6A7D">
              <w:rPr>
                <w:rFonts w:ascii="Times" w:hAnsi="Times"/>
                <w:sz w:val="22"/>
                <w:lang w:val="en-US"/>
              </w:rPr>
              <w:t>Eur1</w:t>
            </w:r>
          </w:p>
          <w:p w:rsidR="00C752C0" w:rsidRPr="00DA6A7D" w:rsidRDefault="00C752C0" w:rsidP="0022187D">
            <w:pPr>
              <w:pStyle w:val="aa"/>
              <w:numPr>
                <w:ilvl w:val="0"/>
                <w:numId w:val="8"/>
              </w:numPr>
              <w:ind w:left="0" w:right="-7" w:firstLine="0"/>
              <w:jc w:val="both"/>
              <w:rPr>
                <w:rFonts w:ascii="Times" w:hAnsi="Times"/>
                <w:sz w:val="22"/>
                <w:lang w:val="en-US"/>
              </w:rPr>
            </w:pPr>
            <w:r w:rsidRPr="00DA6A7D">
              <w:rPr>
                <w:rFonts w:ascii="Times" w:hAnsi="Times"/>
                <w:sz w:val="22"/>
                <w:lang w:val="en-US"/>
              </w:rPr>
              <w:t>Eur6</w:t>
            </w:r>
          </w:p>
          <w:p w:rsidR="00C752C0" w:rsidRPr="00DA6A7D" w:rsidRDefault="00C752C0" w:rsidP="0022187D">
            <w:pPr>
              <w:pStyle w:val="aa"/>
              <w:numPr>
                <w:ilvl w:val="0"/>
                <w:numId w:val="8"/>
              </w:numPr>
              <w:ind w:left="0" w:right="-7" w:firstLine="0"/>
              <w:jc w:val="both"/>
              <w:rPr>
                <w:rFonts w:ascii="Times" w:hAnsi="Times"/>
                <w:sz w:val="22"/>
                <w:lang w:val="en-US"/>
              </w:rPr>
            </w:pPr>
            <w:r w:rsidRPr="00DA6A7D">
              <w:rPr>
                <w:rFonts w:ascii="Times" w:hAnsi="Times"/>
                <w:sz w:val="22"/>
                <w:lang w:val="en-US"/>
              </w:rPr>
              <w:t>Eur12</w:t>
            </w:r>
          </w:p>
          <w:p w:rsidR="00C752C0" w:rsidRPr="00DA6A7D" w:rsidRDefault="00C752C0" w:rsidP="0022187D">
            <w:pPr>
              <w:pStyle w:val="aa"/>
              <w:numPr>
                <w:ilvl w:val="0"/>
                <w:numId w:val="8"/>
              </w:numPr>
              <w:ind w:left="0" w:right="-7" w:firstLine="0"/>
              <w:jc w:val="both"/>
              <w:rPr>
                <w:rFonts w:ascii="Times" w:hAnsi="Times"/>
                <w:sz w:val="22"/>
                <w:lang w:val="en-US"/>
              </w:rPr>
            </w:pPr>
            <w:r w:rsidRPr="00DA6A7D">
              <w:rPr>
                <w:rFonts w:ascii="Times" w:hAnsi="Times"/>
                <w:sz w:val="22"/>
                <w:lang w:val="en-US"/>
              </w:rPr>
              <w:t>Eon</w:t>
            </w:r>
          </w:p>
        </w:tc>
      </w:tr>
    </w:tbl>
    <w:p w:rsidR="00C752C0" w:rsidRPr="00DA6A7D" w:rsidRDefault="00C752C0" w:rsidP="00C752C0">
      <w:pPr>
        <w:ind w:right="-7"/>
        <w:rPr>
          <w:rFonts w:ascii="Times" w:hAnsi="Times"/>
          <w:lang w:val="en-US"/>
        </w:rPr>
      </w:pPr>
    </w:p>
    <w:p w:rsidR="00C752C0" w:rsidRPr="00DA6A7D" w:rsidRDefault="00C752C0" w:rsidP="00C752C0">
      <w:pPr>
        <w:ind w:right="-7"/>
        <w:rPr>
          <w:rFonts w:ascii="Times" w:hAnsi="Times"/>
          <w:b/>
          <w:lang w:val="en-US"/>
        </w:rPr>
      </w:pPr>
    </w:p>
    <w:p w:rsidR="00C752C0" w:rsidRPr="00DA6A7D" w:rsidRDefault="00C752C0" w:rsidP="00C752C0">
      <w:pPr>
        <w:ind w:right="-7"/>
        <w:rPr>
          <w:rFonts w:ascii="Times New Roman" w:hAnsi="Times New Roman" w:cs="Times New Roman"/>
          <w:b/>
          <w:lang w:val="en-US"/>
        </w:rPr>
      </w:pPr>
      <w:r w:rsidRPr="00DA6A7D">
        <w:rPr>
          <w:rFonts w:ascii="Times New Roman" w:hAnsi="Times New Roman" w:cs="Times New Roman"/>
        </w:rPr>
        <w:br w:type="page"/>
      </w:r>
    </w:p>
    <w:p w:rsidR="00C752C0" w:rsidRPr="00DA6A7D" w:rsidRDefault="00C752C0" w:rsidP="00C752C0">
      <w:pPr>
        <w:pStyle w:val="af1"/>
        <w:spacing w:line="240" w:lineRule="auto"/>
        <w:ind w:left="0" w:firstLine="0"/>
        <w:jc w:val="left"/>
      </w:pPr>
      <w:bookmarkStart w:id="14" w:name="_Toc453016118"/>
      <w:r w:rsidRPr="00DA6A7D">
        <w:lastRenderedPageBreak/>
        <w:t>Appendix 3 – Sector value added (% of GDP) in the countries considered during 1990-2014</w:t>
      </w:r>
      <w:bookmarkEnd w:id="14"/>
    </w:p>
    <w:p w:rsidR="00C752C0" w:rsidRPr="00DA6A7D" w:rsidRDefault="00C752C0" w:rsidP="00C752C0">
      <w:pPr>
        <w:ind w:right="-7"/>
        <w:jc w:val="both"/>
        <w:rPr>
          <w:rFonts w:ascii="Times New Roman" w:hAnsi="Times New Roman" w:cs="Times New Roman"/>
          <w:b/>
          <w:lang w:val="en-US"/>
        </w:rPr>
      </w:pPr>
      <w:r w:rsidRPr="00DA6A7D">
        <w:rPr>
          <w:rFonts w:ascii="Times New Roman" w:hAnsi="Times New Roman" w:cs="Times New Roman"/>
          <w:b/>
          <w:noProof/>
        </w:rPr>
        <w:drawing>
          <wp:inline distT="0" distB="0" distL="0" distR="0">
            <wp:extent cx="5833110" cy="668143"/>
            <wp:effectExtent l="19050" t="0" r="0" b="0"/>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4" t="5917" r="883" b="78542"/>
                    <a:stretch>
                      <a:fillRect/>
                    </a:stretch>
                  </pic:blipFill>
                  <pic:spPr bwMode="auto">
                    <a:xfrm>
                      <a:off x="0" y="0"/>
                      <a:ext cx="5833110" cy="668143"/>
                    </a:xfrm>
                    <a:prstGeom prst="rect">
                      <a:avLst/>
                    </a:prstGeom>
                    <a:noFill/>
                    <a:ln>
                      <a:noFill/>
                    </a:ln>
                  </pic:spPr>
                </pic:pic>
              </a:graphicData>
            </a:graphic>
          </wp:inline>
        </w:drawing>
      </w:r>
    </w:p>
    <w:p w:rsidR="00C752C0" w:rsidRPr="00DA6A7D" w:rsidRDefault="00C752C0" w:rsidP="00C752C0">
      <w:pPr>
        <w:ind w:right="-7"/>
        <w:rPr>
          <w:rFonts w:ascii="Times New Roman" w:hAnsi="Times New Roman" w:cs="Times New Roman"/>
          <w:b/>
          <w:lang w:val="en-US"/>
        </w:rPr>
      </w:pPr>
      <w:r w:rsidRPr="00DA6A7D">
        <w:rPr>
          <w:rFonts w:ascii="Times New Roman" w:hAnsi="Times New Roman" w:cs="Times New Roman"/>
          <w:noProof/>
        </w:rPr>
        <w:drawing>
          <wp:inline distT="0" distB="0" distL="0" distR="0">
            <wp:extent cx="5832475" cy="1001865"/>
            <wp:effectExtent l="19050" t="0" r="0" b="0"/>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0" t="75623" r="1162" b="1108"/>
                    <a:stretch>
                      <a:fillRect/>
                    </a:stretch>
                  </pic:blipFill>
                  <pic:spPr bwMode="auto">
                    <a:xfrm>
                      <a:off x="0" y="0"/>
                      <a:ext cx="5832475" cy="1001865"/>
                    </a:xfrm>
                    <a:prstGeom prst="rect">
                      <a:avLst/>
                    </a:prstGeom>
                    <a:noFill/>
                    <a:ln>
                      <a:noFill/>
                    </a:ln>
                  </pic:spPr>
                </pic:pic>
              </a:graphicData>
            </a:graphic>
          </wp:inline>
        </w:drawing>
      </w:r>
    </w:p>
    <w:p w:rsidR="00C752C0" w:rsidRPr="00DA6A7D" w:rsidRDefault="00C752C0" w:rsidP="00C752C0">
      <w:pPr>
        <w:ind w:right="-7"/>
        <w:rPr>
          <w:rFonts w:ascii="Times New Roman" w:hAnsi="Times New Roman" w:cs="Times New Roman"/>
          <w:lang w:val="en-US"/>
        </w:rPr>
      </w:pPr>
      <w:r w:rsidRPr="00DA6A7D">
        <w:rPr>
          <w:rFonts w:ascii="Times New Roman" w:hAnsi="Times New Roman" w:cs="Times New Roman"/>
          <w:noProof/>
        </w:rPr>
        <w:drawing>
          <wp:inline distT="0" distB="0" distL="0" distR="0">
            <wp:extent cx="5832475" cy="930302"/>
            <wp:effectExtent l="19050" t="0" r="0"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0" t="47739" r="1088" b="30578"/>
                    <a:stretch>
                      <a:fillRect/>
                    </a:stretch>
                  </pic:blipFill>
                  <pic:spPr bwMode="auto">
                    <a:xfrm>
                      <a:off x="0" y="0"/>
                      <a:ext cx="5832475" cy="930302"/>
                    </a:xfrm>
                    <a:prstGeom prst="rect">
                      <a:avLst/>
                    </a:prstGeom>
                    <a:noFill/>
                    <a:ln>
                      <a:noFill/>
                    </a:ln>
                  </pic:spPr>
                </pic:pic>
              </a:graphicData>
            </a:graphic>
          </wp:inline>
        </w:drawing>
      </w:r>
      <w:r w:rsidRPr="00DA6A7D">
        <w:rPr>
          <w:rFonts w:ascii="Times New Roman" w:hAnsi="Times New Roman" w:cs="Times New Roman"/>
          <w:noProof/>
        </w:rPr>
        <w:drawing>
          <wp:inline distT="0" distB="0" distL="0" distR="0">
            <wp:extent cx="5785842" cy="174929"/>
            <wp:effectExtent l="19050" t="0" r="5358" b="0"/>
            <wp:docPr id="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6" t="93715" r="1225" b="2216"/>
                    <a:stretch>
                      <a:fillRect/>
                    </a:stretch>
                  </pic:blipFill>
                  <pic:spPr bwMode="auto">
                    <a:xfrm>
                      <a:off x="0" y="0"/>
                      <a:ext cx="5785842" cy="174929"/>
                    </a:xfrm>
                    <a:prstGeom prst="rect">
                      <a:avLst/>
                    </a:prstGeom>
                    <a:noFill/>
                    <a:ln>
                      <a:noFill/>
                    </a:ln>
                  </pic:spPr>
                </pic:pic>
              </a:graphicData>
            </a:graphic>
          </wp:inline>
        </w:drawing>
      </w:r>
    </w:p>
    <w:p w:rsidR="00C752C0" w:rsidRPr="00DA6A7D" w:rsidRDefault="00C752C0" w:rsidP="00C752C0">
      <w:pPr>
        <w:ind w:right="-7"/>
        <w:rPr>
          <w:rFonts w:ascii="Times New Roman" w:hAnsi="Times New Roman" w:cs="Times New Roman"/>
          <w:lang w:val="en-US"/>
        </w:rPr>
      </w:pPr>
      <w:r w:rsidRPr="00DA6A7D">
        <w:rPr>
          <w:rFonts w:ascii="Times New Roman" w:hAnsi="Times New Roman" w:cs="Times New Roman"/>
          <w:lang w:val="en-US"/>
        </w:rPr>
        <w:t xml:space="preserve">Source: World Bank World Development Indicators database </w:t>
      </w:r>
      <w:hyperlink r:id="rId32" w:history="1">
        <w:r w:rsidRPr="00DA6A7D">
          <w:rPr>
            <w:rStyle w:val="a3"/>
            <w:rFonts w:ascii="Times New Roman" w:hAnsi="Times New Roman" w:cs="Times New Roman"/>
            <w:lang w:val="en-US"/>
          </w:rPr>
          <w:t>http://databank.worldbank.org/data/reports.aspx?source=world-development-indicators#</w:t>
        </w:r>
      </w:hyperlink>
      <w:r w:rsidRPr="00DA6A7D">
        <w:rPr>
          <w:rFonts w:ascii="Times New Roman" w:hAnsi="Times New Roman" w:cs="Times New Roman"/>
          <w:lang w:val="en-US"/>
        </w:rPr>
        <w:t xml:space="preserve"> </w:t>
      </w:r>
    </w:p>
    <w:p w:rsidR="00C752C0" w:rsidRPr="00DA6A7D" w:rsidRDefault="00C752C0" w:rsidP="00C752C0">
      <w:pPr>
        <w:ind w:right="-7"/>
        <w:rPr>
          <w:rFonts w:ascii="Times New Roman" w:hAnsi="Times New Roman" w:cs="Times New Roman"/>
          <w:lang w:val="en-US"/>
        </w:rPr>
      </w:pPr>
      <w:r w:rsidRPr="00DA6A7D">
        <w:rPr>
          <w:rFonts w:ascii="Times New Roman" w:hAnsi="Times New Roman" w:cs="Times New Roman"/>
          <w:lang w:val="en-US"/>
        </w:rPr>
        <w:br w:type="page"/>
      </w:r>
    </w:p>
    <w:p w:rsidR="00C752C0" w:rsidRPr="00DA6A7D" w:rsidRDefault="00C752C0" w:rsidP="00C752C0">
      <w:pPr>
        <w:rPr>
          <w:rFonts w:ascii="Times New Roman" w:hAnsi="Times New Roman" w:cs="Times New Roman"/>
          <w:lang w:val="en-US"/>
        </w:rPr>
        <w:sectPr w:rsidR="00C752C0" w:rsidRPr="00DA6A7D" w:rsidSect="00B42A3F">
          <w:footerReference w:type="even" r:id="rId33"/>
          <w:footerReference w:type="default" r:id="rId34"/>
          <w:pgSz w:w="11900" w:h="16840"/>
          <w:pgMar w:top="851" w:right="850" w:bottom="1276" w:left="1701" w:header="708" w:footer="708" w:gutter="0"/>
          <w:cols w:space="708"/>
          <w:docGrid w:linePitch="360"/>
        </w:sectPr>
      </w:pPr>
    </w:p>
    <w:p w:rsidR="00C752C0" w:rsidRPr="00DA6A7D" w:rsidRDefault="00C752C0" w:rsidP="00C752C0">
      <w:pPr>
        <w:pStyle w:val="af1"/>
        <w:ind w:left="2835" w:firstLine="0"/>
        <w:jc w:val="left"/>
        <w:rPr>
          <w:rFonts w:ascii="Times New Roman" w:hAnsi="Times New Roman" w:cs="Times New Roman"/>
        </w:rPr>
      </w:pPr>
      <w:bookmarkStart w:id="15" w:name="_Toc453016119"/>
      <w:r w:rsidRPr="00DA6A7D">
        <w:rPr>
          <w:rFonts w:ascii="Times New Roman" w:hAnsi="Times New Roman" w:cs="Times New Roman"/>
        </w:rPr>
        <w:lastRenderedPageBreak/>
        <w:t>Appendix 4 – The Research Design</w:t>
      </w:r>
      <w:bookmarkEnd w:id="15"/>
    </w:p>
    <w:p w:rsidR="00C752C0" w:rsidRPr="00DA6A7D" w:rsidRDefault="00C752C0" w:rsidP="00C752C0">
      <w:pPr>
        <w:rPr>
          <w:rFonts w:ascii="Times New Roman" w:hAnsi="Times New Roman" w:cs="Times New Roman"/>
          <w:lang w:val="en-US"/>
        </w:rPr>
      </w:pPr>
    </w:p>
    <w:p w:rsidR="00C752C0" w:rsidRPr="00DA6A7D" w:rsidRDefault="00C752C0" w:rsidP="00C752C0">
      <w:pPr>
        <w:jc w:val="center"/>
        <w:rPr>
          <w:rFonts w:ascii="Times New Roman" w:hAnsi="Times New Roman" w:cs="Times New Roman"/>
        </w:rPr>
      </w:pPr>
      <w:r w:rsidRPr="00DA6A7D">
        <w:rPr>
          <w:rFonts w:ascii="Times New Roman" w:hAnsi="Times New Roman" w:cs="Times New Roman"/>
          <w:noProof/>
        </w:rPr>
        <w:drawing>
          <wp:inline distT="0" distB="0" distL="0" distR="0">
            <wp:extent cx="5685155" cy="547052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685155" cy="5470525"/>
                    </a:xfrm>
                    <a:prstGeom prst="rect">
                      <a:avLst/>
                    </a:prstGeom>
                    <a:noFill/>
                    <a:ln w="9525">
                      <a:noFill/>
                      <a:miter lim="800000"/>
                      <a:headEnd/>
                      <a:tailEnd/>
                    </a:ln>
                  </pic:spPr>
                </pic:pic>
              </a:graphicData>
            </a:graphic>
          </wp:inline>
        </w:drawing>
      </w:r>
    </w:p>
    <w:p w:rsidR="0014777C" w:rsidRDefault="0014777C">
      <w:pPr>
        <w:sectPr w:rsidR="0014777C" w:rsidSect="00E21BFE">
          <w:pgSz w:w="11906" w:h="16838"/>
          <w:pgMar w:top="1134" w:right="850" w:bottom="1134" w:left="1701" w:header="708" w:footer="708" w:gutter="0"/>
          <w:cols w:space="708"/>
          <w:docGrid w:linePitch="360"/>
        </w:sectPr>
      </w:pPr>
      <w:bookmarkStart w:id="16" w:name="_Toc453016120"/>
    </w:p>
    <w:p w:rsidR="00C752C0" w:rsidRPr="00DA6A7D" w:rsidRDefault="00C752C0" w:rsidP="00C752C0">
      <w:pPr>
        <w:pStyle w:val="af1"/>
        <w:spacing w:line="240" w:lineRule="auto"/>
        <w:ind w:firstLine="0"/>
        <w:jc w:val="left"/>
      </w:pPr>
      <w:r w:rsidRPr="00DA6A7D">
        <w:lastRenderedPageBreak/>
        <w:t>Appendix 5 – The interconnection significance level between the macroeconomic indicators return and the companies share prices return during the period of relatively higher financial contagion level (1999-2002) for Finnish market</w:t>
      </w:r>
      <w:bookmarkEnd w:id="16"/>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noProof/>
        </w:rPr>
        <w:drawing>
          <wp:inline distT="0" distB="0" distL="0" distR="0">
            <wp:extent cx="4409826" cy="5216445"/>
            <wp:effectExtent l="19050" t="0" r="0" b="0"/>
            <wp:docPr id="51" name="Рисунок 17" descr="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9.png"/>
                    <pic:cNvPicPr/>
                  </pic:nvPicPr>
                  <pic:blipFill>
                    <a:blip r:embed="rId36" cstate="print"/>
                    <a:srcRect l="20150" t="2945" r="19693" b="3213"/>
                    <a:stretch>
                      <a:fillRect/>
                    </a:stretch>
                  </pic:blipFill>
                  <pic:spPr>
                    <a:xfrm>
                      <a:off x="0" y="0"/>
                      <a:ext cx="4409827" cy="5216446"/>
                    </a:xfrm>
                    <a:prstGeom prst="rect">
                      <a:avLst/>
                    </a:prstGeom>
                  </pic:spPr>
                </pic:pic>
              </a:graphicData>
            </a:graphic>
          </wp:inline>
        </w:drawing>
      </w:r>
      <w:r w:rsidRPr="00DA6A7D">
        <w:rPr>
          <w:rFonts w:ascii="Times New Roman" w:hAnsi="Times New Roman" w:cs="Times New Roman"/>
          <w:noProof/>
        </w:rPr>
        <w:drawing>
          <wp:inline distT="0" distB="0" distL="0" distR="0">
            <wp:extent cx="2639695" cy="715645"/>
            <wp:effectExtent l="19050" t="0" r="8255" b="0"/>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2639695" cy="715645"/>
                    </a:xfrm>
                    <a:prstGeom prst="rect">
                      <a:avLst/>
                    </a:prstGeom>
                    <a:noFill/>
                    <a:ln w="9525">
                      <a:noFill/>
                      <a:miter lim="800000"/>
                      <a:headEnd/>
                      <a:tailEnd/>
                    </a:ln>
                  </pic:spPr>
                </pic:pic>
              </a:graphicData>
            </a:graphic>
          </wp:inline>
        </w:drawing>
      </w:r>
    </w:p>
    <w:p w:rsidR="00C752C0" w:rsidRPr="00DA6A7D" w:rsidRDefault="00C752C0" w:rsidP="0014777C">
      <w:pPr>
        <w:jc w:val="center"/>
        <w:rPr>
          <w:rFonts w:ascii="Times New Roman" w:hAnsi="Times New Roman" w:cs="Times New Roman"/>
          <w:lang w:val="en-US"/>
        </w:rPr>
      </w:pPr>
      <w:r w:rsidRPr="00DA6A7D">
        <w:rPr>
          <w:rFonts w:ascii="Times New Roman" w:hAnsi="Times New Roman" w:cs="Times New Roman"/>
          <w:lang w:val="en-US"/>
        </w:rPr>
        <w:t>Fig. 1. The interconnections between the dependent and independent variables for Finnish market in 1999</w:t>
      </w:r>
      <w:r w:rsidRPr="00DA6A7D">
        <w:rPr>
          <w:rFonts w:ascii="Times New Roman" w:hAnsi="Times New Roman" w:cs="Times New Roman"/>
          <w:lang w:val="en-US"/>
        </w:rPr>
        <w:br w:type="page"/>
      </w: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noProof/>
        </w:rPr>
        <w:lastRenderedPageBreak/>
        <w:drawing>
          <wp:inline distT="0" distB="0" distL="0" distR="0">
            <wp:extent cx="7288198" cy="4190337"/>
            <wp:effectExtent l="19050" t="0" r="7952" b="0"/>
            <wp:docPr id="53" name="Рисунок 19" descr="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ng"/>
                    <pic:cNvPicPr/>
                  </pic:nvPicPr>
                  <pic:blipFill>
                    <a:blip r:embed="rId38" cstate="print"/>
                    <a:srcRect l="4424" t="14859" r="2538" b="14592"/>
                    <a:stretch>
                      <a:fillRect/>
                    </a:stretch>
                  </pic:blipFill>
                  <pic:spPr>
                    <a:xfrm>
                      <a:off x="0" y="0"/>
                      <a:ext cx="7288198" cy="4190337"/>
                    </a:xfrm>
                    <a:prstGeom prst="rect">
                      <a:avLst/>
                    </a:prstGeom>
                  </pic:spPr>
                </pic:pic>
              </a:graphicData>
            </a:graphic>
          </wp:inline>
        </w:drawing>
      </w:r>
      <w:r w:rsidRPr="00DA6A7D">
        <w:rPr>
          <w:rFonts w:ascii="Times New Roman" w:hAnsi="Times New Roman" w:cs="Times New Roman"/>
          <w:noProof/>
        </w:rPr>
        <w:drawing>
          <wp:inline distT="0" distB="0" distL="0" distR="0">
            <wp:extent cx="2639695" cy="715645"/>
            <wp:effectExtent l="19050" t="0" r="8255" b="0"/>
            <wp:docPr id="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639695" cy="715645"/>
                    </a:xfrm>
                    <a:prstGeom prst="rect">
                      <a:avLst/>
                    </a:prstGeom>
                    <a:noFill/>
                    <a:ln w="9525">
                      <a:noFill/>
                      <a:miter lim="800000"/>
                      <a:headEnd/>
                      <a:tailEnd/>
                    </a:ln>
                  </pic:spPr>
                </pic:pic>
              </a:graphicData>
            </a:graphic>
          </wp:inline>
        </w:drawing>
      </w: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lang w:val="en-US"/>
        </w:rPr>
        <w:t>Fig. 2. The interconnections between the dependent and independent variables for Finnish market in 2000</w:t>
      </w:r>
    </w:p>
    <w:p w:rsidR="00C752C0" w:rsidRPr="00DA6A7D" w:rsidRDefault="00C752C0" w:rsidP="00C752C0">
      <w:pPr>
        <w:rPr>
          <w:rFonts w:ascii="Times New Roman" w:hAnsi="Times New Roman" w:cs="Times New Roman"/>
          <w:lang w:val="en-US"/>
        </w:rPr>
      </w:pPr>
      <w:r w:rsidRPr="00DA6A7D">
        <w:rPr>
          <w:rFonts w:ascii="Times New Roman" w:hAnsi="Times New Roman" w:cs="Times New Roman"/>
          <w:lang w:val="en-US"/>
        </w:rPr>
        <w:br w:type="page"/>
      </w: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noProof/>
        </w:rPr>
        <w:lastRenderedPageBreak/>
        <w:drawing>
          <wp:inline distT="0" distB="0" distL="0" distR="0">
            <wp:extent cx="7169922" cy="4587902"/>
            <wp:effectExtent l="19050" t="0" r="0" b="0"/>
            <wp:docPr id="55" name="Рисунок 22" descr="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png"/>
                    <pic:cNvPicPr/>
                  </pic:nvPicPr>
                  <pic:blipFill>
                    <a:blip r:embed="rId39" cstate="print"/>
                    <a:srcRect l="8054" t="9918" r="15186" b="11685"/>
                    <a:stretch>
                      <a:fillRect/>
                    </a:stretch>
                  </pic:blipFill>
                  <pic:spPr>
                    <a:xfrm>
                      <a:off x="0" y="0"/>
                      <a:ext cx="7169922" cy="4587902"/>
                    </a:xfrm>
                    <a:prstGeom prst="rect">
                      <a:avLst/>
                    </a:prstGeom>
                  </pic:spPr>
                </pic:pic>
              </a:graphicData>
            </a:graphic>
          </wp:inline>
        </w:drawing>
      </w: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lang w:val="en-US"/>
        </w:rPr>
        <w:drawing>
          <wp:inline distT="0" distB="0" distL="0" distR="0">
            <wp:extent cx="2639695" cy="715645"/>
            <wp:effectExtent l="19050" t="0" r="8255" b="0"/>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639695" cy="715645"/>
                    </a:xfrm>
                    <a:prstGeom prst="rect">
                      <a:avLst/>
                    </a:prstGeom>
                    <a:noFill/>
                    <a:ln w="9525">
                      <a:noFill/>
                      <a:miter lim="800000"/>
                      <a:headEnd/>
                      <a:tailEnd/>
                    </a:ln>
                  </pic:spPr>
                </pic:pic>
              </a:graphicData>
            </a:graphic>
          </wp:inline>
        </w:drawing>
      </w:r>
    </w:p>
    <w:p w:rsidR="00C752C0" w:rsidRPr="00DA6A7D" w:rsidRDefault="00C752C0" w:rsidP="0014777C">
      <w:pPr>
        <w:jc w:val="center"/>
        <w:rPr>
          <w:rFonts w:ascii="Times New Roman" w:hAnsi="Times New Roman" w:cs="Times New Roman"/>
          <w:lang w:val="en-US"/>
        </w:rPr>
      </w:pPr>
      <w:r w:rsidRPr="00DA6A7D">
        <w:rPr>
          <w:rFonts w:ascii="Times New Roman" w:hAnsi="Times New Roman" w:cs="Times New Roman"/>
          <w:lang w:val="en-US"/>
        </w:rPr>
        <w:t>Fig. 3. The interconnections between the dependent and independent variables for Finnish market in 2001</w:t>
      </w:r>
      <w:r w:rsidRPr="00DA6A7D">
        <w:rPr>
          <w:rFonts w:ascii="Times New Roman" w:hAnsi="Times New Roman" w:cs="Times New Roman"/>
          <w:lang w:val="en-US"/>
        </w:rPr>
        <w:br w:type="page"/>
      </w: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noProof/>
        </w:rPr>
        <w:lastRenderedPageBreak/>
        <w:drawing>
          <wp:inline distT="0" distB="0" distL="0" distR="0">
            <wp:extent cx="6294286" cy="5438692"/>
            <wp:effectExtent l="19050" t="0" r="0" b="0"/>
            <wp:docPr id="57" name="Рисунок 24" descr="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png"/>
                    <pic:cNvPicPr/>
                  </pic:nvPicPr>
                  <pic:blipFill>
                    <a:blip r:embed="rId40" cstate="print"/>
                    <a:srcRect l="16568" t="3261" r="16012" b="3804"/>
                    <a:stretch>
                      <a:fillRect/>
                    </a:stretch>
                  </pic:blipFill>
                  <pic:spPr>
                    <a:xfrm>
                      <a:off x="0" y="0"/>
                      <a:ext cx="6294286" cy="5438692"/>
                    </a:xfrm>
                    <a:prstGeom prst="rect">
                      <a:avLst/>
                    </a:prstGeom>
                  </pic:spPr>
                </pic:pic>
              </a:graphicData>
            </a:graphic>
          </wp:inline>
        </w:drawing>
      </w:r>
      <w:r w:rsidRPr="00DA6A7D">
        <w:rPr>
          <w:rFonts w:ascii="Times New Roman" w:hAnsi="Times New Roman" w:cs="Times New Roman"/>
          <w:lang w:val="en-US"/>
        </w:rPr>
        <w:drawing>
          <wp:inline distT="0" distB="0" distL="0" distR="0">
            <wp:extent cx="2639695" cy="715645"/>
            <wp:effectExtent l="19050" t="0" r="8255" b="0"/>
            <wp:docPr id="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639695" cy="715645"/>
                    </a:xfrm>
                    <a:prstGeom prst="rect">
                      <a:avLst/>
                    </a:prstGeom>
                    <a:noFill/>
                    <a:ln w="9525">
                      <a:noFill/>
                      <a:miter lim="800000"/>
                      <a:headEnd/>
                      <a:tailEnd/>
                    </a:ln>
                  </pic:spPr>
                </pic:pic>
              </a:graphicData>
            </a:graphic>
          </wp:inline>
        </w:drawing>
      </w:r>
    </w:p>
    <w:p w:rsidR="00C752C0" w:rsidRPr="00DA6A7D" w:rsidRDefault="00C752C0" w:rsidP="0014777C">
      <w:pPr>
        <w:jc w:val="center"/>
        <w:rPr>
          <w:rFonts w:ascii="Times New Roman" w:hAnsi="Times New Roman" w:cs="Times New Roman"/>
          <w:lang w:val="en-US"/>
        </w:rPr>
      </w:pPr>
      <w:r w:rsidRPr="00DA6A7D">
        <w:rPr>
          <w:rFonts w:ascii="Times New Roman" w:hAnsi="Times New Roman" w:cs="Times New Roman"/>
          <w:lang w:val="en-US"/>
        </w:rPr>
        <w:t>Fig. 4. The interconnections between the dependent and independent variables for Finnish market in 2002</w:t>
      </w:r>
      <w:r w:rsidRPr="00DA6A7D">
        <w:rPr>
          <w:rFonts w:ascii="Times New Roman" w:hAnsi="Times New Roman" w:cs="Times New Roman"/>
          <w:lang w:val="en-US"/>
        </w:rPr>
        <w:br w:type="page"/>
      </w:r>
    </w:p>
    <w:p w:rsidR="00C752C0" w:rsidRPr="00DA6A7D" w:rsidRDefault="00C752C0" w:rsidP="00C752C0">
      <w:pPr>
        <w:pStyle w:val="af1"/>
        <w:spacing w:line="240" w:lineRule="auto"/>
        <w:ind w:firstLine="0"/>
        <w:jc w:val="left"/>
      </w:pPr>
      <w:bookmarkStart w:id="17" w:name="_Toc453016121"/>
      <w:r w:rsidRPr="00DA6A7D">
        <w:lastRenderedPageBreak/>
        <w:t>Appendix 6 – The interconnection significance level between the macroeconomic indicators return and the companies share prices return during the period of relatively higher financial contagion level (1997; 2008-2010) for Brazilian market</w:t>
      </w:r>
      <w:bookmarkEnd w:id="17"/>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noProof/>
        </w:rPr>
        <w:drawing>
          <wp:inline distT="0" distB="0" distL="0" distR="0">
            <wp:extent cx="5332178" cy="5263764"/>
            <wp:effectExtent l="19050" t="0" r="1822" b="0"/>
            <wp:docPr id="59" name="Рисунок 32" descr="1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7.png"/>
                    <pic:cNvPicPr/>
                  </pic:nvPicPr>
                  <pic:blipFill>
                    <a:blip r:embed="rId41" cstate="print"/>
                    <a:srcRect l="21761" t="4620" r="21125" b="5435"/>
                    <a:stretch>
                      <a:fillRect/>
                    </a:stretch>
                  </pic:blipFill>
                  <pic:spPr>
                    <a:xfrm>
                      <a:off x="0" y="0"/>
                      <a:ext cx="5332178" cy="5263764"/>
                    </a:xfrm>
                    <a:prstGeom prst="rect">
                      <a:avLst/>
                    </a:prstGeom>
                  </pic:spPr>
                </pic:pic>
              </a:graphicData>
            </a:graphic>
          </wp:inline>
        </w:drawing>
      </w:r>
      <w:r w:rsidRPr="00DA6A7D">
        <w:rPr>
          <w:rFonts w:ascii="Times New Roman" w:hAnsi="Times New Roman" w:cs="Times New Roman"/>
          <w:lang w:val="en-US"/>
        </w:rPr>
        <w:drawing>
          <wp:inline distT="0" distB="0" distL="0" distR="0">
            <wp:extent cx="2639695" cy="715645"/>
            <wp:effectExtent l="19050" t="0" r="8255" b="0"/>
            <wp:docPr id="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639695" cy="715645"/>
                    </a:xfrm>
                    <a:prstGeom prst="rect">
                      <a:avLst/>
                    </a:prstGeom>
                    <a:noFill/>
                    <a:ln w="9525">
                      <a:noFill/>
                      <a:miter lim="800000"/>
                      <a:headEnd/>
                      <a:tailEnd/>
                    </a:ln>
                  </pic:spPr>
                </pic:pic>
              </a:graphicData>
            </a:graphic>
          </wp:inline>
        </w:drawing>
      </w: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lang w:val="en-US"/>
        </w:rPr>
        <w:t>Fig. 1. The interconnections between the dependent and independent variables for Brazilian market in 1997</w:t>
      </w:r>
    </w:p>
    <w:p w:rsidR="00C752C0" w:rsidRPr="00DA6A7D" w:rsidRDefault="00C752C0" w:rsidP="00C752C0">
      <w:pPr>
        <w:rPr>
          <w:rFonts w:ascii="Times New Roman" w:hAnsi="Times New Roman" w:cs="Times New Roman"/>
          <w:lang w:val="en-US"/>
        </w:rPr>
      </w:pPr>
      <w:r w:rsidRPr="00DA6A7D">
        <w:rPr>
          <w:rFonts w:ascii="Times New Roman" w:hAnsi="Times New Roman" w:cs="Times New Roman"/>
          <w:noProof/>
        </w:rPr>
        <w:lastRenderedPageBreak/>
        <w:drawing>
          <wp:inline distT="0" distB="0" distL="0" distR="0">
            <wp:extent cx="6353181" cy="5152445"/>
            <wp:effectExtent l="19050" t="0" r="9519" b="0"/>
            <wp:docPr id="61" name="Рисунок 34" descr="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png"/>
                    <pic:cNvPicPr/>
                  </pic:nvPicPr>
                  <pic:blipFill>
                    <a:blip r:embed="rId42" cstate="print"/>
                    <a:srcRect l="16227" t="4348" r="13221" b="4344"/>
                    <a:stretch>
                      <a:fillRect/>
                    </a:stretch>
                  </pic:blipFill>
                  <pic:spPr>
                    <a:xfrm>
                      <a:off x="0" y="0"/>
                      <a:ext cx="6355631" cy="5154432"/>
                    </a:xfrm>
                    <a:prstGeom prst="rect">
                      <a:avLst/>
                    </a:prstGeom>
                  </pic:spPr>
                </pic:pic>
              </a:graphicData>
            </a:graphic>
          </wp:inline>
        </w:drawing>
      </w:r>
      <w:r w:rsidRPr="00DA6A7D">
        <w:rPr>
          <w:rFonts w:ascii="Times New Roman" w:hAnsi="Times New Roman" w:cs="Times New Roman"/>
          <w:lang w:val="en-US"/>
        </w:rPr>
        <w:drawing>
          <wp:inline distT="0" distB="0" distL="0" distR="0">
            <wp:extent cx="2639695" cy="715645"/>
            <wp:effectExtent l="19050" t="0" r="8255" b="0"/>
            <wp:docPr id="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639695" cy="715645"/>
                    </a:xfrm>
                    <a:prstGeom prst="rect">
                      <a:avLst/>
                    </a:prstGeom>
                    <a:noFill/>
                    <a:ln w="9525">
                      <a:noFill/>
                      <a:miter lim="800000"/>
                      <a:headEnd/>
                      <a:tailEnd/>
                    </a:ln>
                  </pic:spPr>
                </pic:pic>
              </a:graphicData>
            </a:graphic>
          </wp:inline>
        </w:drawing>
      </w: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lang w:val="en-US"/>
        </w:rPr>
        <w:t>Fig. 2. The interconnections between the dependent and independent variables for Brazilian market in 2008</w:t>
      </w:r>
    </w:p>
    <w:p w:rsidR="00C752C0" w:rsidRPr="00DA6A7D" w:rsidRDefault="00C752C0" w:rsidP="00C752C0">
      <w:pPr>
        <w:rPr>
          <w:rFonts w:ascii="Times New Roman" w:hAnsi="Times New Roman" w:cs="Times New Roman"/>
          <w:lang w:val="en-US"/>
        </w:rPr>
      </w:pPr>
      <w:r w:rsidRPr="00DA6A7D">
        <w:rPr>
          <w:rFonts w:ascii="Times New Roman" w:hAnsi="Times New Roman" w:cs="Times New Roman"/>
          <w:noProof/>
        </w:rPr>
        <w:lastRenderedPageBreak/>
        <w:drawing>
          <wp:inline distT="0" distB="0" distL="0" distR="0">
            <wp:extent cx="6587573" cy="5502302"/>
            <wp:effectExtent l="19050" t="0" r="3727" b="0"/>
            <wp:docPr id="63" name="Рисунок 36" descr="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png"/>
                    <pic:cNvPicPr/>
                  </pic:nvPicPr>
                  <pic:blipFill>
                    <a:blip r:embed="rId43" cstate="print"/>
                    <a:srcRect l="15631" r="10643" b="1747"/>
                    <a:stretch>
                      <a:fillRect/>
                    </a:stretch>
                  </pic:blipFill>
                  <pic:spPr>
                    <a:xfrm>
                      <a:off x="0" y="0"/>
                      <a:ext cx="6587573" cy="5502302"/>
                    </a:xfrm>
                    <a:prstGeom prst="rect">
                      <a:avLst/>
                    </a:prstGeom>
                  </pic:spPr>
                </pic:pic>
              </a:graphicData>
            </a:graphic>
          </wp:inline>
        </w:drawing>
      </w:r>
      <w:r w:rsidRPr="00DA6A7D">
        <w:rPr>
          <w:rFonts w:ascii="Times New Roman" w:hAnsi="Times New Roman" w:cs="Times New Roman"/>
          <w:lang w:val="en-US"/>
        </w:rPr>
        <w:drawing>
          <wp:inline distT="0" distB="0" distL="0" distR="0">
            <wp:extent cx="2318633" cy="628602"/>
            <wp:effectExtent l="19050" t="0" r="5467" b="0"/>
            <wp:docPr id="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321547" cy="629392"/>
                    </a:xfrm>
                    <a:prstGeom prst="rect">
                      <a:avLst/>
                    </a:prstGeom>
                    <a:noFill/>
                    <a:ln w="9525">
                      <a:noFill/>
                      <a:miter lim="800000"/>
                      <a:headEnd/>
                      <a:tailEnd/>
                    </a:ln>
                  </pic:spPr>
                </pic:pic>
              </a:graphicData>
            </a:graphic>
          </wp:inline>
        </w:drawing>
      </w: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lang w:val="en-US"/>
        </w:rPr>
        <w:t>Fig. 3. The interconnections between the dependent and independent variables for Brazilian market in 2009</w:t>
      </w: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noProof/>
        </w:rPr>
        <w:lastRenderedPageBreak/>
        <w:drawing>
          <wp:inline distT="0" distB="0" distL="0" distR="0">
            <wp:extent cx="6739559" cy="5142017"/>
            <wp:effectExtent l="19050" t="0" r="4141" b="0"/>
            <wp:docPr id="65" name="Рисунок 38" descr="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png"/>
                    <pic:cNvPicPr/>
                  </pic:nvPicPr>
                  <pic:blipFill>
                    <a:blip r:embed="rId44" cstate="print"/>
                    <a:srcRect l="9331" t="3804" r="15606" b="4755"/>
                    <a:stretch>
                      <a:fillRect/>
                    </a:stretch>
                  </pic:blipFill>
                  <pic:spPr>
                    <a:xfrm>
                      <a:off x="0" y="0"/>
                      <a:ext cx="6743275" cy="5144852"/>
                    </a:xfrm>
                    <a:prstGeom prst="rect">
                      <a:avLst/>
                    </a:prstGeom>
                  </pic:spPr>
                </pic:pic>
              </a:graphicData>
            </a:graphic>
          </wp:inline>
        </w:drawing>
      </w:r>
      <w:r w:rsidRPr="00DA6A7D">
        <w:rPr>
          <w:rFonts w:ascii="Times New Roman" w:hAnsi="Times New Roman" w:cs="Times New Roman"/>
          <w:lang w:val="en-US"/>
        </w:rPr>
        <w:drawing>
          <wp:inline distT="0" distB="0" distL="0" distR="0">
            <wp:extent cx="2318633" cy="628602"/>
            <wp:effectExtent l="19050" t="0" r="5467" b="0"/>
            <wp:docPr id="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321547" cy="629392"/>
                    </a:xfrm>
                    <a:prstGeom prst="rect">
                      <a:avLst/>
                    </a:prstGeom>
                    <a:noFill/>
                    <a:ln w="9525">
                      <a:noFill/>
                      <a:miter lim="800000"/>
                      <a:headEnd/>
                      <a:tailEnd/>
                    </a:ln>
                  </pic:spPr>
                </pic:pic>
              </a:graphicData>
            </a:graphic>
          </wp:inline>
        </w:drawing>
      </w: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lang w:val="en-US"/>
        </w:rPr>
        <w:t>Fig. 4. The interconnections between the dependent and independent variables for Brazilian market in 2010</w:t>
      </w:r>
    </w:p>
    <w:p w:rsidR="00C752C0" w:rsidRPr="00DA6A7D" w:rsidRDefault="00C752C0" w:rsidP="00C752C0">
      <w:pPr>
        <w:rPr>
          <w:rFonts w:ascii="Times New Roman" w:hAnsi="Times New Roman" w:cs="Times New Roman"/>
          <w:lang w:val="en-US"/>
        </w:rPr>
      </w:pPr>
      <w:r w:rsidRPr="00DA6A7D">
        <w:rPr>
          <w:rFonts w:ascii="Times New Roman" w:hAnsi="Times New Roman" w:cs="Times New Roman"/>
          <w:lang w:val="en-US"/>
        </w:rPr>
        <w:br w:type="page"/>
      </w:r>
    </w:p>
    <w:p w:rsidR="00C752C0" w:rsidRPr="0014777C" w:rsidRDefault="00C752C0" w:rsidP="0014777C">
      <w:pPr>
        <w:pStyle w:val="af1"/>
        <w:spacing w:line="240" w:lineRule="auto"/>
        <w:ind w:firstLine="0"/>
        <w:jc w:val="left"/>
      </w:pPr>
      <w:bookmarkStart w:id="18" w:name="_Toc453016122"/>
      <w:r w:rsidRPr="00DA6A7D">
        <w:lastRenderedPageBreak/>
        <w:t>Appendix 7 – The interconnection significance level between the macroeconomic indicators return and the companies share prices return during the period of relatively higher financial contagion level (1996) for Canadian market</w:t>
      </w:r>
      <w:bookmarkEnd w:id="18"/>
    </w:p>
    <w:p w:rsidR="00C752C0" w:rsidRPr="00DA6A7D" w:rsidRDefault="00C752C0" w:rsidP="00C752C0">
      <w:pPr>
        <w:jc w:val="center"/>
        <w:rPr>
          <w:rFonts w:ascii="Times New Roman" w:hAnsi="Times New Roman" w:cs="Times New Roman"/>
          <w:b/>
          <w:lang w:val="en-US"/>
        </w:rPr>
      </w:pP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noProof/>
        </w:rPr>
        <w:drawing>
          <wp:inline distT="0" distB="0" distL="0" distR="0">
            <wp:extent cx="5014126" cy="2981739"/>
            <wp:effectExtent l="19050" t="0" r="0" b="0"/>
            <wp:docPr id="67" name="Рисунок 44" descr="1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6.png"/>
                    <pic:cNvPicPr/>
                  </pic:nvPicPr>
                  <pic:blipFill>
                    <a:blip r:embed="rId45" cstate="print"/>
                    <a:srcRect l="21591" t="13043" r="24700" b="36006"/>
                    <a:stretch>
                      <a:fillRect/>
                    </a:stretch>
                  </pic:blipFill>
                  <pic:spPr>
                    <a:xfrm>
                      <a:off x="0" y="0"/>
                      <a:ext cx="5014126" cy="2981739"/>
                    </a:xfrm>
                    <a:prstGeom prst="rect">
                      <a:avLst/>
                    </a:prstGeom>
                  </pic:spPr>
                </pic:pic>
              </a:graphicData>
            </a:graphic>
          </wp:inline>
        </w:drawing>
      </w:r>
    </w:p>
    <w:p w:rsidR="00C752C0" w:rsidRPr="00DA6A7D" w:rsidRDefault="00C752C0" w:rsidP="00C752C0">
      <w:pPr>
        <w:jc w:val="center"/>
        <w:rPr>
          <w:rFonts w:ascii="Times New Roman" w:hAnsi="Times New Roman" w:cs="Times New Roman"/>
          <w:lang w:val="en-US"/>
        </w:rPr>
      </w:pPr>
    </w:p>
    <w:p w:rsidR="00C752C0" w:rsidRPr="00DA6A7D" w:rsidRDefault="00C752C0" w:rsidP="00C752C0">
      <w:pPr>
        <w:jc w:val="center"/>
        <w:rPr>
          <w:rFonts w:ascii="Times New Roman" w:hAnsi="Times New Roman" w:cs="Times New Roman"/>
          <w:lang w:val="en-US"/>
        </w:rPr>
      </w:pPr>
    </w:p>
    <w:p w:rsidR="00C752C0" w:rsidRPr="00DA6A7D" w:rsidRDefault="00C752C0" w:rsidP="00C752C0">
      <w:pPr>
        <w:jc w:val="center"/>
        <w:rPr>
          <w:rFonts w:ascii="Times New Roman" w:hAnsi="Times New Roman" w:cs="Times New Roman"/>
          <w:lang w:val="en-US"/>
        </w:rPr>
      </w:pPr>
    </w:p>
    <w:p w:rsidR="00C752C0" w:rsidRPr="00DA6A7D" w:rsidRDefault="00C752C0" w:rsidP="00C752C0">
      <w:pPr>
        <w:jc w:val="center"/>
        <w:rPr>
          <w:rFonts w:ascii="Times New Roman" w:hAnsi="Times New Roman" w:cs="Times New Roman"/>
          <w:lang w:val="en-US"/>
        </w:rPr>
      </w:pPr>
    </w:p>
    <w:p w:rsidR="00C752C0" w:rsidRPr="00DA6A7D" w:rsidRDefault="00C752C0" w:rsidP="00C752C0">
      <w:pPr>
        <w:jc w:val="center"/>
        <w:rPr>
          <w:rFonts w:ascii="Times New Roman" w:hAnsi="Times New Roman" w:cs="Times New Roman"/>
          <w:lang w:val="en-US"/>
        </w:rPr>
      </w:pPr>
      <w:r w:rsidRPr="00DA6A7D">
        <w:rPr>
          <w:rFonts w:ascii="Times New Roman" w:hAnsi="Times New Roman" w:cs="Times New Roman"/>
          <w:lang w:val="en-US"/>
        </w:rPr>
        <w:drawing>
          <wp:inline distT="0" distB="0" distL="0" distR="0">
            <wp:extent cx="2318633" cy="628602"/>
            <wp:effectExtent l="19050" t="0" r="5467" b="0"/>
            <wp:docPr id="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321547" cy="629392"/>
                    </a:xfrm>
                    <a:prstGeom prst="rect">
                      <a:avLst/>
                    </a:prstGeom>
                    <a:noFill/>
                    <a:ln w="9525">
                      <a:noFill/>
                      <a:miter lim="800000"/>
                      <a:headEnd/>
                      <a:tailEnd/>
                    </a:ln>
                  </pic:spPr>
                </pic:pic>
              </a:graphicData>
            </a:graphic>
          </wp:inline>
        </w:drawing>
      </w:r>
    </w:p>
    <w:p w:rsidR="00B42A3F" w:rsidRDefault="00C752C0" w:rsidP="00B42A3F">
      <w:pPr>
        <w:jc w:val="center"/>
        <w:rPr>
          <w:rFonts w:ascii="Times New Roman" w:hAnsi="Times New Roman" w:cs="Times New Roman"/>
          <w:lang w:val="en-US"/>
        </w:rPr>
        <w:sectPr w:rsidR="00B42A3F" w:rsidSect="0014777C">
          <w:pgSz w:w="16838" w:h="11906" w:orient="landscape"/>
          <w:pgMar w:top="850" w:right="1134" w:bottom="1701" w:left="1134" w:header="708" w:footer="708" w:gutter="0"/>
          <w:cols w:space="708"/>
          <w:docGrid w:linePitch="360"/>
        </w:sectPr>
      </w:pPr>
      <w:r w:rsidRPr="00DA6A7D">
        <w:rPr>
          <w:rFonts w:ascii="Times New Roman" w:hAnsi="Times New Roman" w:cs="Times New Roman"/>
          <w:lang w:val="en-US"/>
        </w:rPr>
        <w:t>Fig. 1. The interconnections between the dependent and independent variables for Canadian market in 1996</w:t>
      </w:r>
    </w:p>
    <w:p w:rsidR="00B42A3F" w:rsidRPr="0058455C" w:rsidRDefault="00B42A3F" w:rsidP="00B42A3F">
      <w:pPr>
        <w:autoSpaceDE w:val="0"/>
        <w:autoSpaceDN w:val="0"/>
        <w:adjustRightInd w:val="0"/>
        <w:jc w:val="center"/>
        <w:rPr>
          <w:rFonts w:ascii="Times New Roman" w:eastAsia="Calibri" w:hAnsi="Times New Roman" w:cs="Times New Roman"/>
          <w:sz w:val="32"/>
          <w:szCs w:val="32"/>
        </w:rPr>
      </w:pPr>
      <w:bookmarkStart w:id="19" w:name="_GoBack"/>
      <w:bookmarkEnd w:id="19"/>
      <w:r w:rsidRPr="0058455C">
        <w:rPr>
          <w:rFonts w:ascii="Times New Roman" w:eastAsia="Calibri" w:hAnsi="Times New Roman" w:cs="Times New Roman"/>
          <w:sz w:val="32"/>
          <w:szCs w:val="32"/>
        </w:rPr>
        <w:lastRenderedPageBreak/>
        <w:t>Санкт-Петербургский государственный университет</w:t>
      </w:r>
    </w:p>
    <w:p w:rsidR="00B42A3F" w:rsidRDefault="00B42A3F" w:rsidP="00B42A3F">
      <w:pPr>
        <w:autoSpaceDE w:val="0"/>
        <w:autoSpaceDN w:val="0"/>
        <w:adjustRightInd w:val="0"/>
        <w:jc w:val="center"/>
        <w:rPr>
          <w:rFonts w:ascii="Times New Roman" w:eastAsia="Calibri" w:hAnsi="Times New Roman" w:cs="Times New Roman"/>
          <w:sz w:val="32"/>
          <w:szCs w:val="32"/>
        </w:rPr>
      </w:pPr>
    </w:p>
    <w:p w:rsidR="00B42A3F" w:rsidRPr="0058455C" w:rsidRDefault="00B42A3F" w:rsidP="00B42A3F">
      <w:pPr>
        <w:autoSpaceDE w:val="0"/>
        <w:autoSpaceDN w:val="0"/>
        <w:adjustRightInd w:val="0"/>
        <w:jc w:val="center"/>
        <w:rPr>
          <w:rFonts w:ascii="Times New Roman" w:eastAsia="Calibri" w:hAnsi="Times New Roman" w:cs="Times New Roman"/>
          <w:sz w:val="32"/>
          <w:szCs w:val="32"/>
        </w:rPr>
      </w:pPr>
      <w:r w:rsidRPr="0058455C">
        <w:rPr>
          <w:rFonts w:ascii="Times New Roman" w:eastAsia="Calibri" w:hAnsi="Times New Roman" w:cs="Times New Roman"/>
          <w:sz w:val="32"/>
          <w:szCs w:val="32"/>
        </w:rPr>
        <w:t>Высшая школа менеджмента</w:t>
      </w:r>
    </w:p>
    <w:p w:rsidR="00B42A3F" w:rsidRPr="00B42A3F" w:rsidRDefault="00B42A3F" w:rsidP="00B42A3F">
      <w:pPr>
        <w:autoSpaceDE w:val="0"/>
        <w:autoSpaceDN w:val="0"/>
        <w:adjustRightInd w:val="0"/>
        <w:ind w:left="0" w:firstLine="0"/>
        <w:rPr>
          <w:rFonts w:ascii="Times New Roman" w:eastAsia="Calibri" w:hAnsi="Times New Roman" w:cs="Times New Roman"/>
          <w:sz w:val="32"/>
          <w:szCs w:val="32"/>
          <w:lang w:val="en-US"/>
        </w:rPr>
      </w:pPr>
    </w:p>
    <w:p w:rsidR="00B42A3F" w:rsidRPr="0058455C" w:rsidRDefault="00B42A3F" w:rsidP="00B42A3F">
      <w:pPr>
        <w:autoSpaceDE w:val="0"/>
        <w:autoSpaceDN w:val="0"/>
        <w:adjustRightInd w:val="0"/>
        <w:jc w:val="center"/>
        <w:rPr>
          <w:rFonts w:ascii="Times New Roman" w:eastAsia="Calibri" w:hAnsi="Times New Roman" w:cs="Times New Roman"/>
          <w:b/>
          <w:sz w:val="36"/>
          <w:szCs w:val="36"/>
        </w:rPr>
      </w:pPr>
      <w:r w:rsidRPr="0058455C">
        <w:rPr>
          <w:rFonts w:ascii="Times New Roman" w:eastAsia="Calibri" w:hAnsi="Times New Roman" w:cs="Times New Roman"/>
          <w:b/>
          <w:sz w:val="36"/>
          <w:szCs w:val="36"/>
        </w:rPr>
        <w:t>НАУЧНЫЕ ДОКЛАДЫ</w:t>
      </w:r>
    </w:p>
    <w:p w:rsidR="00B42A3F" w:rsidRPr="00B42A3F" w:rsidRDefault="00B42A3F" w:rsidP="00B42A3F">
      <w:pPr>
        <w:ind w:left="0" w:right="-8" w:firstLine="0"/>
        <w:rPr>
          <w:rFonts w:ascii="Times" w:hAnsi="Times"/>
          <w:b/>
          <w:lang w:val="en-US"/>
        </w:rPr>
      </w:pPr>
    </w:p>
    <w:p w:rsidR="00B42A3F" w:rsidRDefault="00B42A3F" w:rsidP="00B42A3F">
      <w:pPr>
        <w:ind w:right="-8"/>
        <w:rPr>
          <w:rFonts w:ascii="Times" w:hAnsi="Times"/>
          <w:b/>
        </w:rPr>
      </w:pPr>
    </w:p>
    <w:p w:rsidR="00B42A3F" w:rsidRDefault="00B42A3F" w:rsidP="00B42A3F">
      <w:pPr>
        <w:ind w:right="-8"/>
        <w:rPr>
          <w:rFonts w:ascii="Times" w:hAnsi="Times"/>
          <w:b/>
        </w:rPr>
      </w:pPr>
    </w:p>
    <w:p w:rsidR="00B42A3F" w:rsidRPr="0058455C" w:rsidRDefault="00B42A3F" w:rsidP="00B42A3F">
      <w:pPr>
        <w:ind w:right="-8"/>
        <w:jc w:val="center"/>
        <w:rPr>
          <w:rFonts w:ascii="Times" w:hAnsi="Times"/>
          <w:b/>
          <w:sz w:val="36"/>
          <w:szCs w:val="36"/>
        </w:rPr>
      </w:pPr>
      <w:r w:rsidRPr="0058455C">
        <w:rPr>
          <w:rFonts w:ascii="Times" w:hAnsi="Times"/>
          <w:b/>
          <w:sz w:val="36"/>
          <w:szCs w:val="36"/>
        </w:rPr>
        <w:t>А.Е. Лукьянова</w:t>
      </w:r>
      <w:r>
        <w:rPr>
          <w:rFonts w:ascii="Times" w:hAnsi="Times"/>
          <w:b/>
          <w:sz w:val="36"/>
          <w:szCs w:val="36"/>
        </w:rPr>
        <w:t xml:space="preserve">, </w:t>
      </w:r>
      <w:r w:rsidRPr="0058455C">
        <w:rPr>
          <w:rFonts w:ascii="Times" w:hAnsi="Times"/>
          <w:b/>
          <w:sz w:val="36"/>
          <w:szCs w:val="36"/>
        </w:rPr>
        <w:t>Е. Смирнова</w:t>
      </w: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Pr="0058455C" w:rsidRDefault="00B42A3F" w:rsidP="00B42A3F">
      <w:pPr>
        <w:ind w:right="-6"/>
        <w:jc w:val="center"/>
        <w:rPr>
          <w:rFonts w:ascii="Times" w:hAnsi="Times"/>
          <w:b/>
          <w:caps/>
          <w:sz w:val="44"/>
          <w:szCs w:val="44"/>
        </w:rPr>
      </w:pPr>
      <w:r w:rsidRPr="0058455C">
        <w:rPr>
          <w:rFonts w:ascii="Times" w:hAnsi="Times"/>
          <w:b/>
          <w:caps/>
          <w:sz w:val="44"/>
          <w:szCs w:val="44"/>
        </w:rPr>
        <w:t>Эффект финансового заражения на российском рынке:</w:t>
      </w:r>
    </w:p>
    <w:p w:rsidR="00B42A3F" w:rsidRPr="0058455C" w:rsidRDefault="00B42A3F" w:rsidP="00B42A3F">
      <w:pPr>
        <w:ind w:right="-6"/>
        <w:jc w:val="center"/>
        <w:rPr>
          <w:rFonts w:ascii="Times" w:hAnsi="Times"/>
          <w:b/>
          <w:caps/>
          <w:sz w:val="44"/>
          <w:szCs w:val="44"/>
        </w:rPr>
      </w:pPr>
      <w:r w:rsidRPr="0058455C">
        <w:rPr>
          <w:rFonts w:ascii="Times" w:hAnsi="Times"/>
          <w:b/>
          <w:caps/>
          <w:sz w:val="44"/>
          <w:szCs w:val="44"/>
        </w:rPr>
        <w:t>выявление индикаторов кризиса</w:t>
      </w:r>
    </w:p>
    <w:p w:rsidR="00B42A3F" w:rsidRDefault="00B42A3F" w:rsidP="00B42A3F">
      <w:pPr>
        <w:spacing w:line="360" w:lineRule="auto"/>
        <w:ind w:right="-8"/>
        <w:jc w:val="center"/>
        <w:rPr>
          <w:rFonts w:ascii="Times" w:hAnsi="Times"/>
          <w:b/>
          <w:caps/>
          <w:sz w:val="44"/>
          <w:szCs w:val="44"/>
        </w:rPr>
      </w:pPr>
    </w:p>
    <w:p w:rsidR="00B42A3F" w:rsidRDefault="00B42A3F" w:rsidP="00B42A3F">
      <w:pPr>
        <w:spacing w:line="360" w:lineRule="auto"/>
        <w:ind w:right="-8"/>
        <w:jc w:val="center"/>
        <w:rPr>
          <w:rFonts w:ascii="Times" w:hAnsi="Times"/>
          <w:b/>
          <w:caps/>
          <w:sz w:val="44"/>
          <w:szCs w:val="44"/>
        </w:rPr>
      </w:pPr>
    </w:p>
    <w:p w:rsidR="00B42A3F" w:rsidRPr="0058455C" w:rsidRDefault="00B42A3F" w:rsidP="00B42A3F">
      <w:pPr>
        <w:spacing w:line="360" w:lineRule="auto"/>
        <w:ind w:right="-8"/>
        <w:jc w:val="center"/>
        <w:rPr>
          <w:rFonts w:ascii="Times" w:hAnsi="Times"/>
          <w:b/>
          <w:caps/>
          <w:sz w:val="44"/>
          <w:szCs w:val="44"/>
        </w:rPr>
      </w:pPr>
    </w:p>
    <w:p w:rsidR="00B42A3F" w:rsidRPr="0058455C" w:rsidRDefault="00B42A3F" w:rsidP="00B42A3F">
      <w:pPr>
        <w:autoSpaceDE w:val="0"/>
        <w:autoSpaceDN w:val="0"/>
        <w:adjustRightInd w:val="0"/>
        <w:spacing w:after="200" w:line="360" w:lineRule="auto"/>
        <w:jc w:val="center"/>
        <w:rPr>
          <w:rFonts w:ascii="Times New Roman" w:eastAsia="Calibri" w:hAnsi="Times New Roman" w:cs="Times New Roman"/>
          <w:b/>
          <w:sz w:val="36"/>
          <w:szCs w:val="36"/>
        </w:rPr>
      </w:pPr>
      <w:r w:rsidRPr="0058455C">
        <w:rPr>
          <w:rFonts w:ascii="Times New Roman" w:eastAsia="Calibri" w:hAnsi="Times New Roman" w:cs="Times New Roman"/>
          <w:b/>
          <w:sz w:val="36"/>
          <w:szCs w:val="36"/>
        </w:rPr>
        <w:t>№ 1</w:t>
      </w:r>
      <w:r>
        <w:rPr>
          <w:rFonts w:ascii="Times New Roman" w:eastAsia="Calibri" w:hAnsi="Times New Roman" w:cs="Times New Roman"/>
          <w:b/>
          <w:sz w:val="36"/>
          <w:szCs w:val="36"/>
        </w:rPr>
        <w:t>7</w:t>
      </w:r>
      <w:r w:rsidRPr="0058455C">
        <w:rPr>
          <w:rFonts w:ascii="Times New Roman" w:eastAsia="Calibri" w:hAnsi="Times New Roman" w:cs="Times New Roman"/>
          <w:b/>
          <w:sz w:val="36"/>
          <w:szCs w:val="36"/>
        </w:rPr>
        <w:t>(</w:t>
      </w:r>
      <w:r w:rsidRPr="0058455C">
        <w:rPr>
          <w:rFonts w:ascii="Times New Roman" w:eastAsia="Calibri" w:hAnsi="Times New Roman" w:cs="Times New Roman"/>
          <w:b/>
          <w:sz w:val="36"/>
          <w:szCs w:val="36"/>
          <w:lang w:val="en-US"/>
        </w:rPr>
        <w:t>R</w:t>
      </w:r>
      <w:r w:rsidRPr="0058455C">
        <w:rPr>
          <w:rFonts w:ascii="Times New Roman" w:eastAsia="Calibri" w:hAnsi="Times New Roman" w:cs="Times New Roman"/>
          <w:b/>
          <w:sz w:val="36"/>
          <w:szCs w:val="36"/>
        </w:rPr>
        <w:t>) – 2015</w:t>
      </w:r>
    </w:p>
    <w:p w:rsidR="00B42A3F" w:rsidRDefault="00B42A3F" w:rsidP="00B42A3F">
      <w:pPr>
        <w:autoSpaceDE w:val="0"/>
        <w:autoSpaceDN w:val="0"/>
        <w:adjustRightInd w:val="0"/>
        <w:spacing w:after="200" w:line="360" w:lineRule="auto"/>
        <w:ind w:left="0" w:firstLine="0"/>
        <w:rPr>
          <w:rFonts w:ascii="Times New Roman" w:eastAsia="Calibri" w:hAnsi="Times New Roman" w:cs="Times New Roman"/>
          <w:b/>
          <w:sz w:val="30"/>
          <w:szCs w:val="30"/>
          <w:lang w:val="en-US"/>
        </w:rPr>
      </w:pPr>
    </w:p>
    <w:p w:rsidR="00B42A3F" w:rsidRPr="00B42A3F" w:rsidRDefault="00B42A3F" w:rsidP="00B42A3F">
      <w:pPr>
        <w:autoSpaceDE w:val="0"/>
        <w:autoSpaceDN w:val="0"/>
        <w:adjustRightInd w:val="0"/>
        <w:spacing w:after="200" w:line="360" w:lineRule="auto"/>
        <w:ind w:left="0" w:firstLine="0"/>
        <w:rPr>
          <w:rFonts w:ascii="Times New Roman" w:eastAsia="Calibri" w:hAnsi="Times New Roman" w:cs="Times New Roman"/>
          <w:sz w:val="30"/>
          <w:szCs w:val="30"/>
          <w:lang w:val="en-US"/>
        </w:rPr>
      </w:pPr>
    </w:p>
    <w:p w:rsidR="00B42A3F" w:rsidRPr="0058455C" w:rsidRDefault="00B42A3F" w:rsidP="00B42A3F">
      <w:pPr>
        <w:autoSpaceDE w:val="0"/>
        <w:autoSpaceDN w:val="0"/>
        <w:adjustRightInd w:val="0"/>
        <w:spacing w:after="200" w:line="360" w:lineRule="auto"/>
        <w:jc w:val="center"/>
        <w:rPr>
          <w:rFonts w:ascii="Times New Roman" w:eastAsia="Calibri" w:hAnsi="Times New Roman" w:cs="Times New Roman"/>
          <w:sz w:val="30"/>
          <w:szCs w:val="30"/>
        </w:rPr>
      </w:pPr>
      <w:r w:rsidRPr="0058455C">
        <w:rPr>
          <w:rFonts w:ascii="Times New Roman" w:eastAsia="Calibri" w:hAnsi="Times New Roman" w:cs="Times New Roman"/>
          <w:sz w:val="30"/>
          <w:szCs w:val="30"/>
        </w:rPr>
        <w:t>Санкт – Петербург</w:t>
      </w:r>
    </w:p>
    <w:p w:rsidR="00B42A3F" w:rsidRPr="0058455C" w:rsidRDefault="00B42A3F" w:rsidP="00B42A3F">
      <w:pPr>
        <w:autoSpaceDE w:val="0"/>
        <w:autoSpaceDN w:val="0"/>
        <w:adjustRightInd w:val="0"/>
        <w:spacing w:after="200" w:line="360" w:lineRule="auto"/>
        <w:jc w:val="center"/>
        <w:rPr>
          <w:rFonts w:ascii="Times New Roman" w:eastAsia="Calibri" w:hAnsi="Times New Roman" w:cs="Times New Roman"/>
          <w:sz w:val="30"/>
          <w:szCs w:val="30"/>
        </w:rPr>
      </w:pPr>
      <w:r w:rsidRPr="0058455C">
        <w:rPr>
          <w:rFonts w:ascii="Times New Roman" w:eastAsia="Calibri" w:hAnsi="Times New Roman" w:cs="Times New Roman"/>
          <w:sz w:val="30"/>
          <w:szCs w:val="30"/>
        </w:rPr>
        <w:t>2015</w:t>
      </w:r>
    </w:p>
    <w:p w:rsidR="00B42A3F" w:rsidRPr="00B42A3F" w:rsidRDefault="00B42A3F" w:rsidP="00B42A3F">
      <w:pPr>
        <w:ind w:left="0" w:right="-8" w:firstLine="0"/>
        <w:rPr>
          <w:rFonts w:ascii="Times" w:hAnsi="Times"/>
          <w:b/>
          <w:lang w:val="en-US"/>
        </w:rPr>
      </w:pPr>
    </w:p>
    <w:p w:rsidR="00B42A3F" w:rsidRPr="00B42A3F" w:rsidRDefault="00B42A3F" w:rsidP="00B42A3F">
      <w:pPr>
        <w:rPr>
          <w:rFonts w:ascii="Times New Roman" w:eastAsia="Calibri" w:hAnsi="Times New Roman" w:cs="Times New Roman"/>
          <w:color w:val="000000"/>
          <w:sz w:val="24"/>
          <w:szCs w:val="24"/>
          <w:shd w:val="clear" w:color="auto" w:fill="FFFFFF"/>
        </w:rPr>
      </w:pPr>
      <w:r w:rsidRPr="00B42A3F">
        <w:rPr>
          <w:rFonts w:ascii="Times New Roman" w:hAnsi="Times New Roman" w:cs="Times New Roman"/>
          <w:i/>
          <w:sz w:val="24"/>
          <w:szCs w:val="24"/>
        </w:rPr>
        <w:t>А.Е. Лукьянова, Е. Смирнова.</w:t>
      </w:r>
      <w:r w:rsidRPr="00B42A3F">
        <w:rPr>
          <w:rFonts w:ascii="Times New Roman" w:hAnsi="Times New Roman" w:cs="Times New Roman"/>
          <w:sz w:val="24"/>
          <w:szCs w:val="24"/>
        </w:rPr>
        <w:t xml:space="preserve"> Эффект финансового заражения на ро</w:t>
      </w:r>
      <w:r w:rsidRPr="00B42A3F">
        <w:rPr>
          <w:rFonts w:ascii="Times New Roman" w:hAnsi="Times New Roman" w:cs="Times New Roman"/>
          <w:sz w:val="24"/>
          <w:szCs w:val="24"/>
        </w:rPr>
        <w:t>с</w:t>
      </w:r>
      <w:r w:rsidRPr="00B42A3F">
        <w:rPr>
          <w:rFonts w:ascii="Times New Roman" w:hAnsi="Times New Roman" w:cs="Times New Roman"/>
          <w:sz w:val="24"/>
          <w:szCs w:val="24"/>
        </w:rPr>
        <w:t xml:space="preserve">сийском рынке: выявление индикаторов кризиса. </w:t>
      </w:r>
      <w:r w:rsidRPr="00B42A3F">
        <w:rPr>
          <w:rFonts w:ascii="Times New Roman" w:eastAsia="Calibri" w:hAnsi="Times New Roman" w:cs="Times New Roman"/>
          <w:color w:val="000000"/>
          <w:sz w:val="24"/>
          <w:szCs w:val="24"/>
          <w:shd w:val="clear" w:color="auto" w:fill="FFFFFF"/>
        </w:rPr>
        <w:t xml:space="preserve">Научный доклад. </w:t>
      </w:r>
      <w:r w:rsidRPr="00B42A3F">
        <w:rPr>
          <w:rFonts w:ascii="Times New Roman" w:hAnsi="Times New Roman" w:cs="Times New Roman"/>
          <w:sz w:val="24"/>
          <w:szCs w:val="24"/>
        </w:rPr>
        <w:t>№</w:t>
      </w:r>
      <w:r w:rsidRPr="00B42A3F">
        <w:rPr>
          <w:rFonts w:ascii="Times New Roman" w:eastAsia="Calibri" w:hAnsi="Times New Roman" w:cs="Times New Roman"/>
          <w:color w:val="000000"/>
          <w:sz w:val="24"/>
          <w:szCs w:val="24"/>
          <w:shd w:val="clear" w:color="auto" w:fill="FFFFFF"/>
        </w:rPr>
        <w:t xml:space="preserve"> 17 (R)–2015. Высшая школа менеджмента, Санкт-Петербургский г</w:t>
      </w:r>
      <w:r w:rsidRPr="00B42A3F">
        <w:rPr>
          <w:rFonts w:ascii="Times New Roman" w:eastAsia="Calibri" w:hAnsi="Times New Roman" w:cs="Times New Roman"/>
          <w:color w:val="000000"/>
          <w:sz w:val="24"/>
          <w:szCs w:val="24"/>
          <w:shd w:val="clear" w:color="auto" w:fill="FFFFFF"/>
        </w:rPr>
        <w:t>о</w:t>
      </w:r>
      <w:r w:rsidRPr="00B42A3F">
        <w:rPr>
          <w:rFonts w:ascii="Times New Roman" w:eastAsia="Calibri" w:hAnsi="Times New Roman" w:cs="Times New Roman"/>
          <w:color w:val="000000"/>
          <w:sz w:val="24"/>
          <w:szCs w:val="24"/>
          <w:shd w:val="clear" w:color="auto" w:fill="FFFFFF"/>
        </w:rPr>
        <w:t>сударственный университет: СПб, 2015.</w:t>
      </w:r>
    </w:p>
    <w:p w:rsidR="00B42A3F" w:rsidRPr="00B42A3F" w:rsidRDefault="00B42A3F" w:rsidP="00B42A3F">
      <w:pPr>
        <w:ind w:right="-8"/>
        <w:jc w:val="both"/>
        <w:rPr>
          <w:rFonts w:ascii="Times New Roman" w:hAnsi="Times New Roman" w:cs="Times New Roman"/>
          <w:b/>
          <w:sz w:val="24"/>
          <w:szCs w:val="24"/>
        </w:rPr>
      </w:pPr>
    </w:p>
    <w:p w:rsidR="00B42A3F" w:rsidRPr="00B42A3F" w:rsidRDefault="00B42A3F" w:rsidP="00B42A3F">
      <w:pPr>
        <w:ind w:right="-8"/>
        <w:jc w:val="both"/>
        <w:rPr>
          <w:rFonts w:ascii="Times New Roman" w:hAnsi="Times New Roman" w:cs="Times New Roman"/>
          <w:sz w:val="24"/>
          <w:szCs w:val="24"/>
        </w:rPr>
      </w:pPr>
      <w:r w:rsidRPr="00B42A3F">
        <w:rPr>
          <w:rFonts w:ascii="Times New Roman" w:hAnsi="Times New Roman" w:cs="Times New Roman"/>
          <w:b/>
          <w:sz w:val="24"/>
          <w:szCs w:val="24"/>
        </w:rPr>
        <w:t xml:space="preserve">Ключевые слова: </w:t>
      </w:r>
      <w:r w:rsidRPr="00B42A3F">
        <w:rPr>
          <w:rFonts w:ascii="Times New Roman" w:hAnsi="Times New Roman" w:cs="Times New Roman"/>
          <w:sz w:val="24"/>
          <w:szCs w:val="24"/>
        </w:rPr>
        <w:t>финансовое заражение, стратегический план, риск-менеджмент.</w:t>
      </w:r>
    </w:p>
    <w:p w:rsidR="00B42A3F" w:rsidRPr="00B42A3F" w:rsidRDefault="00B42A3F" w:rsidP="00B42A3F">
      <w:pPr>
        <w:ind w:right="-8"/>
        <w:jc w:val="both"/>
        <w:rPr>
          <w:rFonts w:ascii="Times New Roman" w:hAnsi="Times New Roman" w:cs="Times New Roman"/>
          <w:sz w:val="24"/>
          <w:szCs w:val="24"/>
        </w:rPr>
      </w:pPr>
      <w:r w:rsidRPr="00B42A3F">
        <w:rPr>
          <w:rFonts w:ascii="Times New Roman" w:eastAsia="Calibri" w:hAnsi="Times New Roman" w:cs="Times New Roman"/>
          <w:b/>
          <w:sz w:val="24"/>
          <w:szCs w:val="24"/>
        </w:rPr>
        <w:t>Аннотация:</w:t>
      </w:r>
      <w:r w:rsidRPr="00B42A3F">
        <w:rPr>
          <w:rFonts w:ascii="Times New Roman" w:eastAsia="Calibri" w:hAnsi="Times New Roman" w:cs="Times New Roman"/>
          <w:sz w:val="24"/>
          <w:szCs w:val="24"/>
        </w:rPr>
        <w:t xml:space="preserve"> </w:t>
      </w:r>
      <w:r w:rsidRPr="00B42A3F">
        <w:rPr>
          <w:rFonts w:ascii="Times New Roman" w:hAnsi="Times New Roman" w:cs="Times New Roman"/>
          <w:sz w:val="24"/>
          <w:szCs w:val="24"/>
        </w:rPr>
        <w:t>В докладе представлены индикаторы финансового зар</w:t>
      </w:r>
      <w:r w:rsidRPr="00B42A3F">
        <w:rPr>
          <w:rFonts w:ascii="Times New Roman" w:hAnsi="Times New Roman" w:cs="Times New Roman"/>
          <w:sz w:val="24"/>
          <w:szCs w:val="24"/>
        </w:rPr>
        <w:t>а</w:t>
      </w:r>
      <w:r w:rsidRPr="00B42A3F">
        <w:rPr>
          <w:rFonts w:ascii="Times New Roman" w:hAnsi="Times New Roman" w:cs="Times New Roman"/>
          <w:sz w:val="24"/>
          <w:szCs w:val="24"/>
        </w:rPr>
        <w:t>жения, действующие на российском рынке, выявление которых п</w:t>
      </w:r>
      <w:r w:rsidRPr="00B42A3F">
        <w:rPr>
          <w:rFonts w:ascii="Times New Roman" w:hAnsi="Times New Roman" w:cs="Times New Roman"/>
          <w:sz w:val="24"/>
          <w:szCs w:val="24"/>
        </w:rPr>
        <w:t>о</w:t>
      </w:r>
      <w:r w:rsidRPr="00B42A3F">
        <w:rPr>
          <w:rFonts w:ascii="Times New Roman" w:hAnsi="Times New Roman" w:cs="Times New Roman"/>
          <w:sz w:val="24"/>
          <w:szCs w:val="24"/>
        </w:rPr>
        <w:t>зволит компании определить, насколько текущая ситуация близка к кризисной, а также понять, в какой именно области она может ждать проблем. Предложен алгоритм, который может использоваться при построении стратегии компании в области риск-менеджмента. Иссл</w:t>
      </w:r>
      <w:r w:rsidRPr="00B42A3F">
        <w:rPr>
          <w:rFonts w:ascii="Times New Roman" w:hAnsi="Times New Roman" w:cs="Times New Roman"/>
          <w:sz w:val="24"/>
          <w:szCs w:val="24"/>
        </w:rPr>
        <w:t>е</w:t>
      </w:r>
      <w:r w:rsidRPr="00B42A3F">
        <w:rPr>
          <w:rFonts w:ascii="Times New Roman" w:hAnsi="Times New Roman" w:cs="Times New Roman"/>
          <w:sz w:val="24"/>
          <w:szCs w:val="24"/>
        </w:rPr>
        <w:t>дование проведено с использованием данных об индексах облигаций российских нафтегазовых компаний.</w:t>
      </w:r>
    </w:p>
    <w:p w:rsidR="00B42A3F" w:rsidRPr="00B42A3F" w:rsidRDefault="00B42A3F" w:rsidP="00B42A3F">
      <w:pPr>
        <w:ind w:right="-8"/>
        <w:jc w:val="both"/>
        <w:rPr>
          <w:rFonts w:ascii="Times New Roman" w:hAnsi="Times New Roman" w:cs="Times New Roman"/>
          <w:sz w:val="24"/>
          <w:szCs w:val="24"/>
        </w:rPr>
      </w:pPr>
    </w:p>
    <w:p w:rsidR="00B42A3F" w:rsidRPr="00B42A3F" w:rsidRDefault="00B42A3F" w:rsidP="00B42A3F">
      <w:pPr>
        <w:ind w:right="-8"/>
        <w:jc w:val="both"/>
        <w:rPr>
          <w:rFonts w:ascii="Times New Roman" w:hAnsi="Times New Roman" w:cs="Times New Roman"/>
          <w:sz w:val="24"/>
          <w:szCs w:val="24"/>
        </w:rPr>
      </w:pPr>
    </w:p>
    <w:p w:rsidR="00B42A3F" w:rsidRPr="00B42A3F" w:rsidRDefault="00B42A3F" w:rsidP="00B42A3F">
      <w:pPr>
        <w:ind w:right="-8"/>
        <w:jc w:val="both"/>
        <w:rPr>
          <w:rFonts w:ascii="Times New Roman" w:hAnsi="Times New Roman" w:cs="Times New Roman"/>
          <w:sz w:val="24"/>
          <w:szCs w:val="24"/>
        </w:rPr>
      </w:pPr>
    </w:p>
    <w:p w:rsidR="00B42A3F" w:rsidRPr="00B42A3F" w:rsidRDefault="00B42A3F" w:rsidP="00B42A3F">
      <w:pPr>
        <w:ind w:right="-8"/>
        <w:jc w:val="both"/>
        <w:rPr>
          <w:rFonts w:ascii="Times New Roman" w:hAnsi="Times New Roman" w:cs="Times New Roman"/>
          <w:sz w:val="24"/>
          <w:szCs w:val="24"/>
        </w:rPr>
      </w:pPr>
    </w:p>
    <w:p w:rsidR="00B42A3F" w:rsidRPr="00B42A3F" w:rsidRDefault="00B42A3F" w:rsidP="00B42A3F">
      <w:pPr>
        <w:ind w:right="-8"/>
        <w:jc w:val="both"/>
        <w:rPr>
          <w:rFonts w:ascii="Times New Roman" w:hAnsi="Times New Roman" w:cs="Times New Roman"/>
          <w:sz w:val="24"/>
          <w:szCs w:val="24"/>
        </w:rPr>
      </w:pPr>
    </w:p>
    <w:p w:rsidR="00B42A3F" w:rsidRPr="00B42A3F" w:rsidRDefault="00B42A3F" w:rsidP="00B42A3F">
      <w:pPr>
        <w:ind w:right="-8"/>
        <w:jc w:val="both"/>
        <w:rPr>
          <w:rFonts w:ascii="Times New Roman" w:hAnsi="Times New Roman" w:cs="Times New Roman"/>
          <w:sz w:val="24"/>
          <w:szCs w:val="24"/>
        </w:rPr>
      </w:pPr>
    </w:p>
    <w:p w:rsidR="00B42A3F" w:rsidRPr="00B42A3F" w:rsidRDefault="00B42A3F" w:rsidP="00B42A3F">
      <w:pPr>
        <w:ind w:right="-8"/>
        <w:jc w:val="both"/>
        <w:rPr>
          <w:rFonts w:ascii="Times New Roman" w:hAnsi="Times New Roman" w:cs="Times New Roman"/>
          <w:sz w:val="24"/>
          <w:szCs w:val="24"/>
        </w:rPr>
      </w:pPr>
    </w:p>
    <w:p w:rsidR="00B42A3F" w:rsidRPr="00B42A3F" w:rsidRDefault="00B42A3F" w:rsidP="00B42A3F">
      <w:pPr>
        <w:ind w:left="0" w:right="-8" w:firstLine="0"/>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rPr>
      </w:pPr>
    </w:p>
    <w:p w:rsidR="00B42A3F" w:rsidRPr="00B42A3F" w:rsidRDefault="00B42A3F" w:rsidP="00B42A3F">
      <w:pPr>
        <w:ind w:right="-8"/>
        <w:jc w:val="both"/>
        <w:rPr>
          <w:rFonts w:ascii="Times New Roman" w:hAnsi="Times New Roman" w:cs="Times New Roman"/>
          <w:sz w:val="24"/>
          <w:szCs w:val="24"/>
        </w:rPr>
      </w:pPr>
      <w:r w:rsidRPr="00B42A3F">
        <w:rPr>
          <w:rFonts w:ascii="Times New Roman" w:hAnsi="Times New Roman" w:cs="Times New Roman"/>
          <w:i/>
          <w:sz w:val="24"/>
          <w:szCs w:val="24"/>
        </w:rPr>
        <w:t>Лукьянова Анна Евгеньевна,</w:t>
      </w:r>
      <w:r w:rsidRPr="00B42A3F">
        <w:rPr>
          <w:rFonts w:ascii="Times New Roman" w:hAnsi="Times New Roman" w:cs="Times New Roman"/>
          <w:sz w:val="24"/>
          <w:szCs w:val="24"/>
        </w:rPr>
        <w:t xml:space="preserve"> кандидат физико-математических наук, доцент, </w:t>
      </w:r>
      <w:r w:rsidRPr="00B42A3F">
        <w:rPr>
          <w:rFonts w:ascii="Times New Roman" w:eastAsia="Times New Roman" w:hAnsi="Times New Roman" w:cs="Times New Roman"/>
          <w:spacing w:val="-2"/>
          <w:sz w:val="24"/>
          <w:szCs w:val="24"/>
        </w:rPr>
        <w:t xml:space="preserve">кафедра финансов и учета, </w:t>
      </w:r>
      <w:r w:rsidRPr="00B42A3F">
        <w:rPr>
          <w:rFonts w:ascii="Times New Roman" w:eastAsia="Calibri" w:hAnsi="Times New Roman" w:cs="Times New Roman"/>
          <w:sz w:val="24"/>
          <w:szCs w:val="24"/>
        </w:rPr>
        <w:t>Санкт-Петербургский государс</w:t>
      </w:r>
      <w:r w:rsidRPr="00B42A3F">
        <w:rPr>
          <w:rFonts w:ascii="Times New Roman" w:eastAsia="Calibri" w:hAnsi="Times New Roman" w:cs="Times New Roman"/>
          <w:sz w:val="24"/>
          <w:szCs w:val="24"/>
        </w:rPr>
        <w:t>т</w:t>
      </w:r>
      <w:r w:rsidRPr="00B42A3F">
        <w:rPr>
          <w:rFonts w:ascii="Times New Roman" w:eastAsia="Calibri" w:hAnsi="Times New Roman" w:cs="Times New Roman"/>
          <w:sz w:val="24"/>
          <w:szCs w:val="24"/>
        </w:rPr>
        <w:t>венный университет</w:t>
      </w:r>
    </w:p>
    <w:p w:rsidR="00B42A3F" w:rsidRPr="00B42A3F" w:rsidRDefault="00B42A3F" w:rsidP="00B42A3F">
      <w:pPr>
        <w:ind w:right="-8"/>
        <w:jc w:val="both"/>
        <w:rPr>
          <w:rFonts w:ascii="Times New Roman" w:hAnsi="Times New Roman" w:cs="Times New Roman"/>
          <w:sz w:val="24"/>
          <w:szCs w:val="24"/>
          <w:lang w:val="en-US"/>
        </w:rPr>
      </w:pPr>
      <w:r w:rsidRPr="00B42A3F">
        <w:rPr>
          <w:rFonts w:ascii="Times New Roman" w:hAnsi="Times New Roman" w:cs="Times New Roman"/>
          <w:sz w:val="24"/>
          <w:szCs w:val="24"/>
          <w:lang w:val="en-US"/>
        </w:rPr>
        <w:t xml:space="preserve">e-mail: </w:t>
      </w:r>
      <w:hyperlink r:id="rId46" w:history="1">
        <w:r w:rsidRPr="00B42A3F">
          <w:rPr>
            <w:rStyle w:val="a3"/>
            <w:rFonts w:ascii="Times New Roman" w:hAnsi="Times New Roman" w:cs="Times New Roman"/>
            <w:sz w:val="24"/>
            <w:szCs w:val="24"/>
            <w:lang w:val="en-US"/>
          </w:rPr>
          <w:t>Anna.Loukianova@gsom.pu.ru</w:t>
        </w:r>
      </w:hyperlink>
      <w:r w:rsidRPr="00B42A3F">
        <w:rPr>
          <w:rFonts w:ascii="Times New Roman" w:hAnsi="Times New Roman" w:cs="Times New Roman"/>
          <w:sz w:val="24"/>
          <w:szCs w:val="24"/>
          <w:lang w:val="en-US"/>
        </w:rPr>
        <w:t xml:space="preserve"> </w:t>
      </w: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widowControl w:val="0"/>
        <w:rPr>
          <w:rFonts w:ascii="Times New Roman" w:eastAsia="Calibri" w:hAnsi="Times New Roman" w:cs="Times New Roman"/>
          <w:i/>
          <w:sz w:val="24"/>
          <w:szCs w:val="24"/>
        </w:rPr>
      </w:pPr>
      <w:r w:rsidRPr="00B42A3F">
        <w:rPr>
          <w:rFonts w:ascii="Times New Roman" w:hAnsi="Times New Roman" w:cs="Times New Roman"/>
          <w:i/>
          <w:sz w:val="24"/>
          <w:szCs w:val="24"/>
        </w:rPr>
        <w:t>Смирнова Екатерина</w:t>
      </w:r>
      <w:r w:rsidRPr="00B42A3F">
        <w:rPr>
          <w:rFonts w:ascii="Times New Roman" w:hAnsi="Times New Roman" w:cs="Times New Roman"/>
          <w:sz w:val="24"/>
          <w:szCs w:val="24"/>
        </w:rPr>
        <w:t xml:space="preserve">, </w:t>
      </w:r>
      <w:r w:rsidRPr="00B42A3F">
        <w:rPr>
          <w:rFonts w:ascii="Times New Roman" w:eastAsia="Calibri" w:hAnsi="Times New Roman" w:cs="Times New Roman"/>
          <w:spacing w:val="-2"/>
          <w:sz w:val="24"/>
          <w:szCs w:val="24"/>
        </w:rPr>
        <w:t>аспирант,  кафедра финансов и учета, Высшая школа менеджмента, Санкт-Петербургский государственный униве</w:t>
      </w:r>
      <w:r w:rsidRPr="00B42A3F">
        <w:rPr>
          <w:rFonts w:ascii="Times New Roman" w:eastAsia="Calibri" w:hAnsi="Times New Roman" w:cs="Times New Roman"/>
          <w:spacing w:val="-2"/>
          <w:sz w:val="24"/>
          <w:szCs w:val="24"/>
        </w:rPr>
        <w:t>р</w:t>
      </w:r>
      <w:r w:rsidRPr="00B42A3F">
        <w:rPr>
          <w:rFonts w:ascii="Times New Roman" w:eastAsia="Calibri" w:hAnsi="Times New Roman" w:cs="Times New Roman"/>
          <w:spacing w:val="-2"/>
          <w:sz w:val="24"/>
          <w:szCs w:val="24"/>
        </w:rPr>
        <w:t>ситет</w:t>
      </w:r>
    </w:p>
    <w:p w:rsidR="00B42A3F" w:rsidRPr="00B42A3F" w:rsidRDefault="00B42A3F" w:rsidP="00B42A3F">
      <w:pPr>
        <w:ind w:right="-8"/>
        <w:jc w:val="both"/>
        <w:rPr>
          <w:rFonts w:ascii="Times New Roman" w:hAnsi="Times New Roman" w:cs="Times New Roman"/>
          <w:sz w:val="24"/>
          <w:szCs w:val="24"/>
          <w:lang w:val="en-US"/>
        </w:rPr>
      </w:pPr>
      <w:r w:rsidRPr="00B42A3F">
        <w:rPr>
          <w:rFonts w:ascii="Times New Roman" w:hAnsi="Times New Roman" w:cs="Times New Roman"/>
          <w:sz w:val="24"/>
          <w:szCs w:val="24"/>
          <w:lang w:val="en-US"/>
        </w:rPr>
        <w:t xml:space="preserve">e-mail: </w:t>
      </w:r>
      <w:hyperlink r:id="rId47" w:history="1">
        <w:r w:rsidRPr="00B42A3F">
          <w:rPr>
            <w:rStyle w:val="a3"/>
            <w:rFonts w:ascii="Times New Roman" w:hAnsi="Times New Roman" w:cs="Times New Roman"/>
            <w:sz w:val="24"/>
            <w:szCs w:val="24"/>
            <w:lang w:val="en-US"/>
          </w:rPr>
          <w:t>ekaterina_a.smirnova@yahoo.com</w:t>
        </w:r>
      </w:hyperlink>
      <w:r w:rsidRPr="00B42A3F">
        <w:rPr>
          <w:rFonts w:ascii="Times New Roman" w:hAnsi="Times New Roman" w:cs="Times New Roman"/>
          <w:sz w:val="24"/>
          <w:szCs w:val="24"/>
          <w:lang w:val="en-US"/>
        </w:rPr>
        <w:t xml:space="preserve"> </w:t>
      </w: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widowControl w:val="0"/>
        <w:jc w:val="both"/>
        <w:rPr>
          <w:rFonts w:ascii="Times New Roman" w:eastAsia="Calibri" w:hAnsi="Times New Roman" w:cs="Times New Roman"/>
          <w:sz w:val="24"/>
          <w:szCs w:val="24"/>
        </w:rPr>
      </w:pPr>
      <w:r w:rsidRPr="00B42A3F">
        <w:rPr>
          <w:rFonts w:ascii="Times New Roman" w:eastAsia="Calibri" w:hAnsi="Times New Roman" w:cs="Times New Roman"/>
          <w:i/>
          <w:sz w:val="24"/>
          <w:szCs w:val="24"/>
        </w:rPr>
        <w:t xml:space="preserve">© </w:t>
      </w:r>
      <w:r w:rsidRPr="00B42A3F">
        <w:rPr>
          <w:rFonts w:ascii="Times New Roman" w:eastAsia="Calibri" w:hAnsi="Times New Roman" w:cs="Times New Roman"/>
          <w:sz w:val="24"/>
          <w:szCs w:val="24"/>
        </w:rPr>
        <w:t>Авторы научного доклада, 2015</w:t>
      </w:r>
    </w:p>
    <w:p w:rsidR="00B42A3F" w:rsidRPr="00B42A3F" w:rsidRDefault="00B42A3F" w:rsidP="00B42A3F">
      <w:pPr>
        <w:widowControl w:val="0"/>
        <w:jc w:val="both"/>
        <w:rPr>
          <w:rFonts w:ascii="Times New Roman" w:eastAsia="Calibri" w:hAnsi="Times New Roman" w:cs="Times New Roman"/>
          <w:sz w:val="24"/>
          <w:szCs w:val="24"/>
        </w:rPr>
      </w:pPr>
      <w:r w:rsidRPr="00B42A3F">
        <w:rPr>
          <w:rFonts w:ascii="Times New Roman" w:eastAsia="Calibri" w:hAnsi="Times New Roman" w:cs="Times New Roman"/>
          <w:sz w:val="24"/>
          <w:szCs w:val="24"/>
        </w:rPr>
        <w:t>© Высшая школа менеджмента СПбГУ, 2015</w:t>
      </w:r>
    </w:p>
    <w:p w:rsidR="00B42A3F" w:rsidRPr="00A65EF2" w:rsidRDefault="00B42A3F" w:rsidP="00B42A3F">
      <w:pPr>
        <w:ind w:right="-8"/>
        <w:jc w:val="both"/>
        <w:rPr>
          <w:rFonts w:ascii="Times" w:hAnsi="Times"/>
        </w:rPr>
        <w:sectPr w:rsidR="00B42A3F" w:rsidRPr="00A65EF2" w:rsidSect="00B42A3F">
          <w:footerReference w:type="default" r:id="rId48"/>
          <w:pgSz w:w="11900" w:h="16840"/>
          <w:pgMar w:top="964" w:right="1418" w:bottom="1304" w:left="1418" w:header="709" w:footer="907" w:gutter="0"/>
          <w:cols w:space="708"/>
          <w:docGrid w:linePitch="360"/>
        </w:sectPr>
      </w:pPr>
    </w:p>
    <w:p w:rsidR="00B42A3F" w:rsidRPr="00A65EF2" w:rsidRDefault="00B42A3F" w:rsidP="00B42A3F">
      <w:pPr>
        <w:widowControl w:val="0"/>
        <w:rPr>
          <w:rFonts w:ascii="Times New Roman" w:eastAsia="Calibri" w:hAnsi="Times New Roman" w:cs="Times New Roman"/>
          <w:i/>
          <w:sz w:val="30"/>
          <w:szCs w:val="30"/>
        </w:rPr>
      </w:pPr>
      <w:r w:rsidRPr="00A65EF2">
        <w:rPr>
          <w:rFonts w:ascii="Times" w:hAnsi="Times"/>
        </w:rPr>
        <w:lastRenderedPageBreak/>
        <w:t xml:space="preserve">        </w:t>
      </w:r>
    </w:p>
    <w:p w:rsidR="00B42A3F" w:rsidRPr="002E57F3" w:rsidRDefault="00B42A3F" w:rsidP="00B42A3F">
      <w:pPr>
        <w:autoSpaceDE w:val="0"/>
        <w:autoSpaceDN w:val="0"/>
        <w:adjustRightInd w:val="0"/>
        <w:jc w:val="center"/>
        <w:rPr>
          <w:rFonts w:ascii="Times New Roman" w:eastAsia="Calibri" w:hAnsi="Times New Roman" w:cs="Times New Roman"/>
          <w:sz w:val="32"/>
          <w:szCs w:val="32"/>
          <w:lang w:val="en-US"/>
        </w:rPr>
      </w:pPr>
      <w:r w:rsidRPr="00A65EF2">
        <w:rPr>
          <w:rFonts w:ascii="Times New Roman" w:eastAsia="Calibri" w:hAnsi="Times New Roman" w:cs="Times New Roman"/>
          <w:sz w:val="32"/>
          <w:szCs w:val="32"/>
        </w:rPr>
        <w:t xml:space="preserve"> </w:t>
      </w:r>
      <w:r w:rsidRPr="0058455C">
        <w:rPr>
          <w:rFonts w:ascii="Times New Roman" w:eastAsia="Calibri" w:hAnsi="Times New Roman" w:cs="Times New Roman"/>
          <w:sz w:val="32"/>
          <w:szCs w:val="32"/>
          <w:lang w:val="en-US"/>
        </w:rPr>
        <w:t>St. Petersburg State University</w:t>
      </w:r>
    </w:p>
    <w:p w:rsidR="00B42A3F" w:rsidRPr="0058455C" w:rsidRDefault="00B42A3F" w:rsidP="00B42A3F">
      <w:pPr>
        <w:autoSpaceDE w:val="0"/>
        <w:autoSpaceDN w:val="0"/>
        <w:adjustRightInd w:val="0"/>
        <w:jc w:val="center"/>
        <w:rPr>
          <w:rFonts w:ascii="Times New Roman" w:eastAsia="Calibri" w:hAnsi="Times New Roman" w:cs="Times New Roman"/>
          <w:sz w:val="32"/>
          <w:szCs w:val="32"/>
          <w:lang w:val="en-US"/>
        </w:rPr>
      </w:pPr>
      <w:r w:rsidRPr="0058455C">
        <w:rPr>
          <w:rFonts w:ascii="Times New Roman" w:eastAsia="Calibri" w:hAnsi="Times New Roman" w:cs="Times New Roman"/>
          <w:sz w:val="32"/>
          <w:szCs w:val="32"/>
          <w:lang w:val="en-US"/>
        </w:rPr>
        <w:t>Graduate School of Management</w:t>
      </w:r>
    </w:p>
    <w:p w:rsidR="00B42A3F" w:rsidRPr="0058455C" w:rsidRDefault="00B42A3F" w:rsidP="00B42A3F">
      <w:pPr>
        <w:autoSpaceDE w:val="0"/>
        <w:autoSpaceDN w:val="0"/>
        <w:adjustRightInd w:val="0"/>
        <w:spacing w:after="200" w:line="360" w:lineRule="auto"/>
        <w:ind w:left="0" w:firstLine="0"/>
        <w:rPr>
          <w:rFonts w:ascii="Times New Roman" w:eastAsia="Calibri" w:hAnsi="Times New Roman" w:cs="Times New Roman"/>
          <w:sz w:val="30"/>
          <w:szCs w:val="30"/>
          <w:lang w:val="en-US"/>
        </w:rPr>
      </w:pPr>
    </w:p>
    <w:p w:rsidR="00B42A3F" w:rsidRPr="0058455C" w:rsidRDefault="00B42A3F" w:rsidP="00B42A3F">
      <w:pPr>
        <w:autoSpaceDE w:val="0"/>
        <w:autoSpaceDN w:val="0"/>
        <w:adjustRightInd w:val="0"/>
        <w:jc w:val="center"/>
        <w:rPr>
          <w:rFonts w:ascii="Times New Roman" w:eastAsia="Calibri" w:hAnsi="Times New Roman" w:cs="Times New Roman"/>
          <w:b/>
          <w:sz w:val="36"/>
          <w:szCs w:val="36"/>
          <w:lang w:val="en-US"/>
        </w:rPr>
      </w:pPr>
      <w:r w:rsidRPr="0058455C">
        <w:rPr>
          <w:rFonts w:ascii="Times New Roman" w:eastAsia="Calibri" w:hAnsi="Times New Roman" w:cs="Times New Roman"/>
          <w:b/>
          <w:sz w:val="36"/>
          <w:szCs w:val="36"/>
          <w:lang w:val="en-US"/>
        </w:rPr>
        <w:t>WORKING PAPER</w:t>
      </w:r>
    </w:p>
    <w:p w:rsidR="00B42A3F" w:rsidRPr="0058455C" w:rsidRDefault="00B42A3F" w:rsidP="00B42A3F">
      <w:pPr>
        <w:autoSpaceDE w:val="0"/>
        <w:autoSpaceDN w:val="0"/>
        <w:adjustRightInd w:val="0"/>
        <w:spacing w:after="200" w:line="360" w:lineRule="auto"/>
        <w:jc w:val="center"/>
        <w:rPr>
          <w:rFonts w:ascii="Times New Roman" w:eastAsia="Calibri" w:hAnsi="Times New Roman" w:cs="Times New Roman"/>
          <w:b/>
          <w:sz w:val="30"/>
          <w:szCs w:val="30"/>
          <w:lang w:val="en-US"/>
        </w:rPr>
      </w:pPr>
    </w:p>
    <w:p w:rsidR="00B42A3F" w:rsidRPr="00557FB5" w:rsidRDefault="00B42A3F" w:rsidP="00B42A3F">
      <w:pPr>
        <w:ind w:left="0" w:right="-8" w:firstLine="0"/>
        <w:rPr>
          <w:rFonts w:ascii="Times" w:hAnsi="Times"/>
          <w:b/>
          <w:lang w:val="en-US"/>
        </w:rPr>
      </w:pPr>
    </w:p>
    <w:p w:rsidR="00B42A3F" w:rsidRPr="0058455C" w:rsidRDefault="00B42A3F" w:rsidP="00B42A3F">
      <w:pPr>
        <w:ind w:right="-8"/>
        <w:jc w:val="center"/>
        <w:rPr>
          <w:rFonts w:ascii="Times" w:hAnsi="Times"/>
          <w:b/>
          <w:sz w:val="36"/>
          <w:szCs w:val="36"/>
          <w:lang w:val="en-US"/>
        </w:rPr>
      </w:pPr>
      <w:r w:rsidRPr="0058455C">
        <w:rPr>
          <w:rFonts w:ascii="Times" w:hAnsi="Times"/>
          <w:b/>
          <w:sz w:val="36"/>
          <w:szCs w:val="36"/>
          <w:lang w:val="en-US"/>
        </w:rPr>
        <w:t>A.E. Loukianova, E. Smirnova</w:t>
      </w:r>
    </w:p>
    <w:p w:rsidR="00B42A3F" w:rsidRPr="0058455C" w:rsidRDefault="00B42A3F" w:rsidP="00B42A3F">
      <w:pPr>
        <w:ind w:right="-8"/>
        <w:jc w:val="center"/>
        <w:rPr>
          <w:rFonts w:ascii="Times" w:hAnsi="Times"/>
          <w:sz w:val="36"/>
          <w:szCs w:val="36"/>
          <w:lang w:val="en-US"/>
        </w:rPr>
      </w:pPr>
    </w:p>
    <w:p w:rsidR="00B42A3F" w:rsidRPr="0058455C" w:rsidRDefault="00B42A3F" w:rsidP="00B42A3F">
      <w:pPr>
        <w:ind w:right="-8"/>
        <w:jc w:val="center"/>
        <w:rPr>
          <w:rFonts w:ascii="Times" w:hAnsi="Times"/>
          <w:sz w:val="36"/>
          <w:szCs w:val="36"/>
          <w:lang w:val="en-US"/>
        </w:rPr>
      </w:pPr>
    </w:p>
    <w:p w:rsidR="00B42A3F" w:rsidRDefault="00B42A3F" w:rsidP="00B42A3F">
      <w:pPr>
        <w:ind w:right="-8"/>
        <w:jc w:val="center"/>
        <w:rPr>
          <w:rFonts w:ascii="Times" w:hAnsi="Times"/>
          <w:lang w:val="en-US"/>
        </w:rPr>
      </w:pPr>
    </w:p>
    <w:p w:rsidR="00B42A3F" w:rsidRPr="0058455C" w:rsidRDefault="00B42A3F" w:rsidP="00B42A3F">
      <w:pPr>
        <w:ind w:right="-6"/>
        <w:jc w:val="center"/>
        <w:rPr>
          <w:rFonts w:ascii="Times" w:hAnsi="Times"/>
          <w:b/>
          <w:caps/>
          <w:sz w:val="44"/>
          <w:szCs w:val="44"/>
          <w:lang w:val="en-US"/>
        </w:rPr>
      </w:pPr>
      <w:r w:rsidRPr="0058455C">
        <w:rPr>
          <w:rFonts w:ascii="Times" w:hAnsi="Times"/>
          <w:b/>
          <w:caps/>
          <w:sz w:val="44"/>
          <w:szCs w:val="44"/>
          <w:lang w:val="en-US"/>
        </w:rPr>
        <w:t>Financial contagion effect on Russian market:</w:t>
      </w:r>
    </w:p>
    <w:p w:rsidR="00B42A3F" w:rsidRPr="00B42A3F" w:rsidRDefault="00B42A3F" w:rsidP="00B42A3F">
      <w:pPr>
        <w:ind w:right="-6"/>
        <w:jc w:val="center"/>
        <w:rPr>
          <w:rFonts w:ascii="Times" w:hAnsi="Times"/>
          <w:b/>
          <w:caps/>
          <w:sz w:val="44"/>
          <w:szCs w:val="44"/>
          <w:lang w:val="en-US"/>
        </w:rPr>
      </w:pPr>
      <w:r w:rsidRPr="0058455C">
        <w:rPr>
          <w:rFonts w:ascii="Times" w:hAnsi="Times"/>
          <w:b/>
          <w:caps/>
          <w:sz w:val="44"/>
          <w:szCs w:val="44"/>
          <w:lang w:val="en-US"/>
        </w:rPr>
        <w:t>crisis indicators revelation</w:t>
      </w:r>
    </w:p>
    <w:p w:rsidR="00B42A3F" w:rsidRPr="007406C1" w:rsidRDefault="00B42A3F" w:rsidP="00B42A3F">
      <w:pPr>
        <w:spacing w:line="360" w:lineRule="auto"/>
        <w:ind w:right="-8"/>
        <w:jc w:val="center"/>
        <w:rPr>
          <w:rFonts w:ascii="Times" w:hAnsi="Times"/>
          <w:b/>
          <w:lang w:val="en-US"/>
        </w:rPr>
      </w:pPr>
    </w:p>
    <w:p w:rsidR="00B42A3F" w:rsidRPr="007406C1" w:rsidRDefault="00B42A3F" w:rsidP="00B42A3F">
      <w:pPr>
        <w:autoSpaceDE w:val="0"/>
        <w:autoSpaceDN w:val="0"/>
        <w:adjustRightInd w:val="0"/>
        <w:spacing w:after="200" w:line="360" w:lineRule="auto"/>
        <w:jc w:val="center"/>
        <w:rPr>
          <w:rFonts w:ascii="Times New Roman" w:eastAsia="Calibri" w:hAnsi="Times New Roman" w:cs="Times New Roman"/>
          <w:b/>
          <w:sz w:val="36"/>
          <w:szCs w:val="36"/>
          <w:lang w:val="en-US"/>
        </w:rPr>
      </w:pPr>
      <w:r w:rsidRPr="007406C1">
        <w:rPr>
          <w:rFonts w:ascii="Times New Roman" w:eastAsia="Calibri" w:hAnsi="Times New Roman" w:cs="Times New Roman"/>
          <w:b/>
          <w:sz w:val="36"/>
          <w:szCs w:val="36"/>
          <w:lang w:val="en-US"/>
        </w:rPr>
        <w:t>№ 17(</w:t>
      </w:r>
      <w:r w:rsidRPr="0058455C">
        <w:rPr>
          <w:rFonts w:ascii="Times New Roman" w:eastAsia="Calibri" w:hAnsi="Times New Roman" w:cs="Times New Roman"/>
          <w:b/>
          <w:sz w:val="36"/>
          <w:szCs w:val="36"/>
          <w:lang w:val="en-US"/>
        </w:rPr>
        <w:t>R</w:t>
      </w:r>
      <w:r w:rsidRPr="007406C1">
        <w:rPr>
          <w:rFonts w:ascii="Times New Roman" w:eastAsia="Calibri" w:hAnsi="Times New Roman" w:cs="Times New Roman"/>
          <w:b/>
          <w:sz w:val="36"/>
          <w:szCs w:val="36"/>
          <w:lang w:val="en-US"/>
        </w:rPr>
        <w:t>) – 2015</w:t>
      </w:r>
    </w:p>
    <w:p w:rsidR="00B42A3F" w:rsidRPr="007406C1" w:rsidRDefault="00B42A3F" w:rsidP="00B42A3F">
      <w:pPr>
        <w:autoSpaceDE w:val="0"/>
        <w:autoSpaceDN w:val="0"/>
        <w:adjustRightInd w:val="0"/>
        <w:spacing w:after="200" w:line="360" w:lineRule="auto"/>
        <w:jc w:val="center"/>
        <w:rPr>
          <w:rFonts w:ascii="Times New Roman" w:eastAsia="Calibri" w:hAnsi="Times New Roman" w:cs="Times New Roman"/>
          <w:b/>
          <w:sz w:val="36"/>
          <w:szCs w:val="36"/>
          <w:lang w:val="en-US"/>
        </w:rPr>
      </w:pPr>
    </w:p>
    <w:p w:rsidR="00B42A3F" w:rsidRPr="007406C1" w:rsidRDefault="00B42A3F" w:rsidP="00B42A3F">
      <w:pPr>
        <w:autoSpaceDE w:val="0"/>
        <w:autoSpaceDN w:val="0"/>
        <w:adjustRightInd w:val="0"/>
        <w:spacing w:after="200" w:line="360" w:lineRule="auto"/>
        <w:jc w:val="center"/>
        <w:rPr>
          <w:rFonts w:ascii="Times New Roman" w:eastAsia="Calibri" w:hAnsi="Times New Roman" w:cs="Times New Roman"/>
          <w:b/>
          <w:sz w:val="36"/>
          <w:szCs w:val="36"/>
          <w:lang w:val="en-US"/>
        </w:rPr>
      </w:pPr>
    </w:p>
    <w:p w:rsidR="00B42A3F" w:rsidRPr="0058455C" w:rsidRDefault="00B42A3F" w:rsidP="00B42A3F">
      <w:pPr>
        <w:autoSpaceDE w:val="0"/>
        <w:autoSpaceDN w:val="0"/>
        <w:adjustRightInd w:val="0"/>
        <w:spacing w:after="200" w:line="360" w:lineRule="auto"/>
        <w:jc w:val="center"/>
        <w:rPr>
          <w:rFonts w:ascii="Times New Roman" w:eastAsia="Calibri" w:hAnsi="Times New Roman" w:cs="Times New Roman"/>
          <w:sz w:val="30"/>
          <w:szCs w:val="30"/>
          <w:lang w:val="en-US"/>
        </w:rPr>
      </w:pPr>
      <w:r w:rsidRPr="0058455C">
        <w:rPr>
          <w:rFonts w:ascii="Times New Roman" w:eastAsia="Calibri" w:hAnsi="Times New Roman" w:cs="Times New Roman"/>
          <w:sz w:val="30"/>
          <w:szCs w:val="30"/>
          <w:lang w:val="en-US"/>
        </w:rPr>
        <w:t>Saint Petersburg</w:t>
      </w:r>
    </w:p>
    <w:p w:rsidR="00B42A3F" w:rsidRPr="0058455C" w:rsidRDefault="00B42A3F" w:rsidP="00B42A3F">
      <w:pPr>
        <w:autoSpaceDE w:val="0"/>
        <w:autoSpaceDN w:val="0"/>
        <w:adjustRightInd w:val="0"/>
        <w:spacing w:after="200" w:line="360" w:lineRule="auto"/>
        <w:jc w:val="center"/>
        <w:rPr>
          <w:rFonts w:ascii="Times New Roman" w:eastAsia="Calibri" w:hAnsi="Times New Roman" w:cs="Times New Roman"/>
          <w:sz w:val="30"/>
          <w:szCs w:val="30"/>
          <w:lang w:val="en-US"/>
        </w:rPr>
      </w:pPr>
      <w:r w:rsidRPr="0058455C">
        <w:rPr>
          <w:rFonts w:ascii="Times New Roman" w:eastAsia="Calibri" w:hAnsi="Times New Roman" w:cs="Times New Roman"/>
          <w:sz w:val="30"/>
          <w:szCs w:val="30"/>
          <w:lang w:val="en-US"/>
        </w:rPr>
        <w:t>2015</w:t>
      </w:r>
    </w:p>
    <w:p w:rsidR="00B42A3F" w:rsidRPr="0058455C" w:rsidRDefault="00B42A3F" w:rsidP="00B42A3F">
      <w:pPr>
        <w:autoSpaceDE w:val="0"/>
        <w:autoSpaceDN w:val="0"/>
        <w:adjustRightInd w:val="0"/>
        <w:spacing w:after="200" w:line="360" w:lineRule="auto"/>
        <w:jc w:val="center"/>
        <w:rPr>
          <w:rFonts w:ascii="Times New Roman" w:eastAsia="Calibri" w:hAnsi="Times New Roman" w:cs="Times New Roman"/>
          <w:b/>
          <w:sz w:val="36"/>
          <w:szCs w:val="36"/>
          <w:lang w:val="en-US"/>
        </w:rPr>
      </w:pPr>
    </w:p>
    <w:p w:rsidR="00B42A3F" w:rsidRDefault="00B42A3F" w:rsidP="00B42A3F">
      <w:pPr>
        <w:ind w:right="-8"/>
        <w:jc w:val="center"/>
        <w:rPr>
          <w:rFonts w:ascii="Times" w:hAnsi="Times"/>
          <w:lang w:val="en-US"/>
        </w:rPr>
      </w:pPr>
    </w:p>
    <w:p w:rsidR="00B42A3F" w:rsidRPr="00B42A3F" w:rsidRDefault="00B42A3F" w:rsidP="00B42A3F">
      <w:pPr>
        <w:ind w:right="-8"/>
        <w:jc w:val="both"/>
        <w:rPr>
          <w:rFonts w:ascii="Times New Roman" w:hAnsi="Times New Roman" w:cs="Times New Roman"/>
          <w:sz w:val="24"/>
          <w:szCs w:val="24"/>
          <w:lang w:val="en-US"/>
        </w:rPr>
      </w:pPr>
      <w:r w:rsidRPr="00B42A3F">
        <w:rPr>
          <w:rFonts w:ascii="Times New Roman" w:hAnsi="Times New Roman" w:cs="Times New Roman"/>
          <w:i/>
          <w:sz w:val="24"/>
          <w:szCs w:val="24"/>
          <w:lang w:val="en-US"/>
        </w:rPr>
        <w:lastRenderedPageBreak/>
        <w:t>A.E. Loukianova, E. Smirnova.</w:t>
      </w:r>
      <w:r w:rsidRPr="00B42A3F">
        <w:rPr>
          <w:rFonts w:ascii="Times New Roman" w:hAnsi="Times New Roman" w:cs="Times New Roman"/>
          <w:sz w:val="24"/>
          <w:szCs w:val="24"/>
          <w:lang w:val="en-US"/>
        </w:rPr>
        <w:t xml:space="preserve"> Financial contagion effect of Russian ma</w:t>
      </w:r>
      <w:r w:rsidRPr="00B42A3F">
        <w:rPr>
          <w:rFonts w:ascii="Times New Roman" w:hAnsi="Times New Roman" w:cs="Times New Roman"/>
          <w:sz w:val="24"/>
          <w:szCs w:val="24"/>
          <w:lang w:val="en-US"/>
        </w:rPr>
        <w:t>r</w:t>
      </w:r>
      <w:r w:rsidRPr="00B42A3F">
        <w:rPr>
          <w:rFonts w:ascii="Times New Roman" w:hAnsi="Times New Roman" w:cs="Times New Roman"/>
          <w:sz w:val="24"/>
          <w:szCs w:val="24"/>
          <w:lang w:val="en-US"/>
        </w:rPr>
        <w:t xml:space="preserve">ket: crisic indicators revelation. Working paper. № </w:t>
      </w:r>
      <w:r w:rsidRPr="00B42A3F">
        <w:rPr>
          <w:rFonts w:ascii="Times New Roman" w:eastAsia="Calibri" w:hAnsi="Times New Roman" w:cs="Times New Roman"/>
          <w:sz w:val="24"/>
          <w:szCs w:val="24"/>
          <w:lang w:val="en-US"/>
        </w:rPr>
        <w:t>17(R) –</w:t>
      </w:r>
      <w:r w:rsidRPr="00B42A3F">
        <w:rPr>
          <w:rFonts w:ascii="Times New Roman" w:eastAsia="Calibri" w:hAnsi="Times New Roman" w:cs="Times New Roman"/>
          <w:b/>
          <w:sz w:val="24"/>
          <w:szCs w:val="24"/>
          <w:lang w:val="en-US"/>
        </w:rPr>
        <w:t xml:space="preserve"> </w:t>
      </w:r>
      <w:r w:rsidRPr="00B42A3F">
        <w:rPr>
          <w:rFonts w:ascii="Times New Roman" w:hAnsi="Times New Roman" w:cs="Times New Roman"/>
          <w:sz w:val="24"/>
          <w:szCs w:val="24"/>
          <w:lang w:val="en-US"/>
        </w:rPr>
        <w:t>2015. Graduate School of Management, St. Petersburg State University: SPb, 2015.</w:t>
      </w: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r w:rsidRPr="00B42A3F">
        <w:rPr>
          <w:rFonts w:ascii="Times New Roman" w:hAnsi="Times New Roman" w:cs="Times New Roman"/>
          <w:b/>
          <w:sz w:val="24"/>
          <w:szCs w:val="24"/>
          <w:lang w:val="en-US"/>
        </w:rPr>
        <w:t>Keywords and phrases</w:t>
      </w:r>
      <w:r w:rsidRPr="00B42A3F">
        <w:rPr>
          <w:rFonts w:ascii="Times New Roman" w:hAnsi="Times New Roman" w:cs="Times New Roman"/>
          <w:sz w:val="24"/>
          <w:szCs w:val="24"/>
          <w:lang w:val="en-US"/>
        </w:rPr>
        <w:t>: financial contagion, strategic plan, risk-management.</w:t>
      </w:r>
    </w:p>
    <w:p w:rsidR="00B42A3F" w:rsidRPr="00B42A3F" w:rsidRDefault="00B42A3F" w:rsidP="00B42A3F">
      <w:pPr>
        <w:ind w:right="-8"/>
        <w:jc w:val="both"/>
        <w:rPr>
          <w:rFonts w:ascii="Times New Roman" w:hAnsi="Times New Roman" w:cs="Times New Roman"/>
          <w:color w:val="FF0000"/>
          <w:sz w:val="24"/>
          <w:szCs w:val="24"/>
          <w:lang w:val="en-US"/>
        </w:rPr>
      </w:pPr>
      <w:r w:rsidRPr="00B42A3F">
        <w:rPr>
          <w:rFonts w:ascii="Times New Roman" w:hAnsi="Times New Roman" w:cs="Times New Roman"/>
          <w:b/>
          <w:sz w:val="24"/>
          <w:szCs w:val="24"/>
          <w:lang w:val="en-US"/>
        </w:rPr>
        <w:t>Abstract</w:t>
      </w:r>
      <w:r w:rsidRPr="00B42A3F">
        <w:rPr>
          <w:rFonts w:ascii="Times New Roman" w:hAnsi="Times New Roman" w:cs="Times New Roman"/>
          <w:sz w:val="24"/>
          <w:szCs w:val="24"/>
          <w:lang w:val="en-US"/>
        </w:rPr>
        <w:t>: in the paper the financial contagion indicators are presented, which are working on Russian market. The revelation of the crisis indic</w:t>
      </w:r>
      <w:r w:rsidRPr="00B42A3F">
        <w:rPr>
          <w:rFonts w:ascii="Times New Roman" w:hAnsi="Times New Roman" w:cs="Times New Roman"/>
          <w:sz w:val="24"/>
          <w:szCs w:val="24"/>
          <w:lang w:val="en-US"/>
        </w:rPr>
        <w:t>a</w:t>
      </w:r>
      <w:r w:rsidRPr="00B42A3F">
        <w:rPr>
          <w:rFonts w:ascii="Times New Roman" w:hAnsi="Times New Roman" w:cs="Times New Roman"/>
          <w:sz w:val="24"/>
          <w:szCs w:val="24"/>
          <w:lang w:val="en-US"/>
        </w:rPr>
        <w:t>tors will enable the company to define how much the current situation is closer to crisis. It will also help to understand, in which particular area the problems may occur. The algorithm developed can be used in the process of company’s risk-management strategy building. The research was co</w:t>
      </w:r>
      <w:r w:rsidRPr="00B42A3F">
        <w:rPr>
          <w:rFonts w:ascii="Times New Roman" w:hAnsi="Times New Roman" w:cs="Times New Roman"/>
          <w:sz w:val="24"/>
          <w:szCs w:val="24"/>
          <w:lang w:val="en-US"/>
        </w:rPr>
        <w:t>n</w:t>
      </w:r>
      <w:r w:rsidRPr="00B42A3F">
        <w:rPr>
          <w:rFonts w:ascii="Times New Roman" w:hAnsi="Times New Roman" w:cs="Times New Roman"/>
          <w:sz w:val="24"/>
          <w:szCs w:val="24"/>
          <w:lang w:val="en-US"/>
        </w:rPr>
        <w:t>ducted with the use of Russian oil &amp; gas companies’ bond indexes dyna</w:t>
      </w:r>
      <w:r w:rsidRPr="00B42A3F">
        <w:rPr>
          <w:rFonts w:ascii="Times New Roman" w:hAnsi="Times New Roman" w:cs="Times New Roman"/>
          <w:sz w:val="24"/>
          <w:szCs w:val="24"/>
          <w:lang w:val="en-US"/>
        </w:rPr>
        <w:t>m</w:t>
      </w:r>
      <w:r w:rsidRPr="00B42A3F">
        <w:rPr>
          <w:rFonts w:ascii="Times New Roman" w:hAnsi="Times New Roman" w:cs="Times New Roman"/>
          <w:sz w:val="24"/>
          <w:szCs w:val="24"/>
          <w:lang w:val="en-US"/>
        </w:rPr>
        <w:t xml:space="preserve">ic data. </w:t>
      </w: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rPr>
          <w:rFonts w:ascii="Times New Roman" w:eastAsia="Times New Roman" w:hAnsi="Times New Roman" w:cs="Times New Roman"/>
          <w:spacing w:val="-2"/>
          <w:sz w:val="24"/>
          <w:szCs w:val="24"/>
          <w:lang w:val="en-US"/>
        </w:rPr>
      </w:pPr>
      <w:r w:rsidRPr="00B42A3F">
        <w:rPr>
          <w:rFonts w:ascii="Times New Roman" w:hAnsi="Times New Roman" w:cs="Times New Roman"/>
          <w:i/>
          <w:sz w:val="24"/>
          <w:szCs w:val="24"/>
          <w:lang w:val="en-US"/>
        </w:rPr>
        <w:t>Anna E. Loukianova</w:t>
      </w:r>
      <w:r w:rsidRPr="00B42A3F">
        <w:rPr>
          <w:rFonts w:ascii="Times New Roman" w:hAnsi="Times New Roman" w:cs="Times New Roman"/>
          <w:sz w:val="24"/>
          <w:szCs w:val="24"/>
          <w:lang w:val="en-US"/>
        </w:rPr>
        <w:t>, PhD in mathematics and physics, Associate Profe</w:t>
      </w:r>
      <w:r w:rsidRPr="00B42A3F">
        <w:rPr>
          <w:rFonts w:ascii="Times New Roman" w:hAnsi="Times New Roman" w:cs="Times New Roman"/>
          <w:sz w:val="24"/>
          <w:szCs w:val="24"/>
          <w:lang w:val="en-US"/>
        </w:rPr>
        <w:t>s</w:t>
      </w:r>
      <w:r w:rsidRPr="00B42A3F">
        <w:rPr>
          <w:rFonts w:ascii="Times New Roman" w:hAnsi="Times New Roman" w:cs="Times New Roman"/>
          <w:sz w:val="24"/>
          <w:szCs w:val="24"/>
          <w:lang w:val="en-US"/>
        </w:rPr>
        <w:t xml:space="preserve">sor, </w:t>
      </w:r>
      <w:r w:rsidRPr="00B42A3F">
        <w:rPr>
          <w:rFonts w:ascii="Times New Roman" w:eastAsia="Times New Roman" w:hAnsi="Times New Roman" w:cs="Times New Roman"/>
          <w:spacing w:val="-2"/>
          <w:sz w:val="24"/>
          <w:szCs w:val="24"/>
          <w:lang w:val="en-US"/>
        </w:rPr>
        <w:t>Finance and Accounting Department, Saint-Petersburg State University</w:t>
      </w:r>
    </w:p>
    <w:p w:rsidR="00B42A3F" w:rsidRPr="00B42A3F" w:rsidRDefault="00B42A3F" w:rsidP="00B42A3F">
      <w:pPr>
        <w:ind w:right="-8"/>
        <w:jc w:val="both"/>
        <w:rPr>
          <w:rFonts w:ascii="Times New Roman" w:hAnsi="Times New Roman" w:cs="Times New Roman"/>
          <w:sz w:val="24"/>
          <w:szCs w:val="24"/>
          <w:lang w:val="en-US"/>
        </w:rPr>
      </w:pPr>
      <w:r w:rsidRPr="00B42A3F">
        <w:rPr>
          <w:rFonts w:ascii="Times New Roman" w:hAnsi="Times New Roman" w:cs="Times New Roman"/>
          <w:sz w:val="24"/>
          <w:szCs w:val="24"/>
          <w:lang w:val="en-US"/>
        </w:rPr>
        <w:t xml:space="preserve">e-mail: </w:t>
      </w:r>
      <w:hyperlink r:id="rId49" w:history="1">
        <w:r w:rsidRPr="00B42A3F">
          <w:rPr>
            <w:rStyle w:val="a3"/>
            <w:rFonts w:ascii="Times New Roman" w:hAnsi="Times New Roman" w:cs="Times New Roman"/>
            <w:sz w:val="24"/>
            <w:szCs w:val="24"/>
            <w:lang w:val="en-US"/>
          </w:rPr>
          <w:t>Anna.Loukianova@gsom.pu.ru</w:t>
        </w:r>
      </w:hyperlink>
    </w:p>
    <w:p w:rsidR="00B42A3F" w:rsidRPr="00B42A3F" w:rsidRDefault="00B42A3F" w:rsidP="00B42A3F">
      <w:pPr>
        <w:ind w:right="-8"/>
        <w:jc w:val="both"/>
        <w:rPr>
          <w:rFonts w:ascii="Times New Roman" w:hAnsi="Times New Roman" w:cs="Times New Roman"/>
          <w:sz w:val="24"/>
          <w:szCs w:val="24"/>
          <w:lang w:val="en-US"/>
        </w:rPr>
      </w:pPr>
    </w:p>
    <w:p w:rsidR="00B42A3F" w:rsidRPr="00B42A3F" w:rsidRDefault="00B42A3F" w:rsidP="00B42A3F">
      <w:pPr>
        <w:widowControl w:val="0"/>
        <w:rPr>
          <w:rFonts w:ascii="Times New Roman" w:eastAsia="Calibri" w:hAnsi="Times New Roman" w:cs="Times New Roman"/>
          <w:sz w:val="24"/>
          <w:szCs w:val="24"/>
          <w:lang w:val="en-US"/>
        </w:rPr>
      </w:pPr>
      <w:r w:rsidRPr="00B42A3F">
        <w:rPr>
          <w:rFonts w:ascii="Times New Roman" w:hAnsi="Times New Roman" w:cs="Times New Roman"/>
          <w:i/>
          <w:sz w:val="24"/>
          <w:szCs w:val="24"/>
          <w:lang w:val="en-US"/>
        </w:rPr>
        <w:t>Ekaterina Smirnova</w:t>
      </w:r>
      <w:r w:rsidRPr="00B42A3F">
        <w:rPr>
          <w:rFonts w:ascii="Times New Roman" w:hAnsi="Times New Roman" w:cs="Times New Roman"/>
          <w:sz w:val="24"/>
          <w:szCs w:val="24"/>
          <w:lang w:val="en-US"/>
        </w:rPr>
        <w:t xml:space="preserve">, </w:t>
      </w:r>
      <w:r w:rsidRPr="00B42A3F">
        <w:rPr>
          <w:rFonts w:ascii="Times New Roman" w:eastAsia="Calibri" w:hAnsi="Times New Roman" w:cs="Times New Roman"/>
          <w:spacing w:val="-2"/>
          <w:sz w:val="24"/>
          <w:szCs w:val="24"/>
          <w:lang w:val="en-US"/>
        </w:rPr>
        <w:t>Doctoral Student, Graduate School of Management Saint-Petersburg State University</w:t>
      </w:r>
      <w:r w:rsidRPr="00B42A3F">
        <w:rPr>
          <w:rFonts w:ascii="Times New Roman" w:eastAsia="Calibri" w:hAnsi="Times New Roman" w:cs="Times New Roman"/>
          <w:sz w:val="24"/>
          <w:szCs w:val="24"/>
          <w:lang w:val="en-US"/>
        </w:rPr>
        <w:t>.</w:t>
      </w:r>
    </w:p>
    <w:p w:rsidR="00B42A3F" w:rsidRPr="00B42A3F" w:rsidRDefault="00B42A3F" w:rsidP="00B42A3F">
      <w:pPr>
        <w:ind w:right="-8"/>
        <w:jc w:val="both"/>
        <w:rPr>
          <w:rFonts w:ascii="Times New Roman" w:hAnsi="Times New Roman" w:cs="Times New Roman"/>
          <w:sz w:val="24"/>
          <w:szCs w:val="24"/>
          <w:lang w:val="en-US"/>
        </w:rPr>
      </w:pPr>
      <w:r w:rsidRPr="00B42A3F">
        <w:rPr>
          <w:rFonts w:ascii="Times New Roman" w:hAnsi="Times New Roman" w:cs="Times New Roman"/>
          <w:sz w:val="24"/>
          <w:szCs w:val="24"/>
          <w:lang w:val="en-US"/>
        </w:rPr>
        <w:t xml:space="preserve">e-mail: </w:t>
      </w:r>
      <w:hyperlink r:id="rId50" w:history="1">
        <w:r w:rsidRPr="00B42A3F">
          <w:rPr>
            <w:rStyle w:val="a3"/>
            <w:rFonts w:ascii="Times New Roman" w:hAnsi="Times New Roman" w:cs="Times New Roman"/>
            <w:sz w:val="24"/>
            <w:szCs w:val="24"/>
            <w:lang w:val="en-US"/>
          </w:rPr>
          <w:t>ekaterina_a.smirnova@yahoo.com</w:t>
        </w:r>
      </w:hyperlink>
    </w:p>
    <w:p w:rsidR="00B42A3F" w:rsidRPr="00B42A3F" w:rsidRDefault="00B42A3F" w:rsidP="00B42A3F">
      <w:pPr>
        <w:ind w:right="-8"/>
        <w:jc w:val="both"/>
        <w:rPr>
          <w:rFonts w:ascii="Times New Roman" w:hAnsi="Times New Roman" w:cs="Times New Roman"/>
          <w:b/>
          <w:sz w:val="24"/>
          <w:szCs w:val="24"/>
          <w:lang w:val="en-US"/>
        </w:rPr>
      </w:pPr>
      <w:r w:rsidRPr="00B42A3F">
        <w:rPr>
          <w:rFonts w:ascii="Times New Roman" w:hAnsi="Times New Roman" w:cs="Times New Roman"/>
          <w:sz w:val="24"/>
          <w:szCs w:val="24"/>
          <w:lang w:val="en-US"/>
        </w:rPr>
        <w:br w:type="page"/>
      </w:r>
    </w:p>
    <w:p w:rsidR="00B42A3F" w:rsidRPr="007406C1" w:rsidRDefault="00B42A3F" w:rsidP="00B42A3F">
      <w:pPr>
        <w:ind w:right="-8"/>
        <w:jc w:val="center"/>
        <w:rPr>
          <w:rFonts w:ascii="Times" w:hAnsi="Times"/>
          <w:b/>
          <w:lang w:val="en-US"/>
        </w:rPr>
      </w:pPr>
    </w:p>
    <w:p w:rsidR="00B42A3F" w:rsidRDefault="00B42A3F" w:rsidP="00B42A3F">
      <w:pPr>
        <w:ind w:right="-8"/>
        <w:jc w:val="center"/>
        <w:rPr>
          <w:rFonts w:ascii="Times" w:hAnsi="Times"/>
          <w:b/>
        </w:rPr>
      </w:pPr>
      <w:r>
        <w:rPr>
          <w:rFonts w:ascii="Times" w:hAnsi="Times"/>
          <w:b/>
        </w:rPr>
        <w:t>СОДЕРЖАНИЕ</w:t>
      </w:r>
    </w:p>
    <w:p w:rsidR="00B42A3F" w:rsidRDefault="00B42A3F" w:rsidP="00B42A3F">
      <w:pPr>
        <w:ind w:right="-8"/>
        <w:jc w:val="center"/>
        <w:rPr>
          <w:rFonts w:ascii="Times" w:hAnsi="Times"/>
          <w:b/>
        </w:rPr>
      </w:pPr>
    </w:p>
    <w:p w:rsidR="00B42A3F" w:rsidRDefault="00B42A3F" w:rsidP="00B42A3F">
      <w:pPr>
        <w:tabs>
          <w:tab w:val="right" w:leader="dot" w:pos="9054"/>
        </w:tabs>
        <w:spacing w:after="100"/>
        <w:rPr>
          <w:rFonts w:ascii="Times" w:eastAsia="MS Mincho" w:hAnsi="Times" w:cs="Times New Roman"/>
        </w:rPr>
      </w:pPr>
      <w:r>
        <w:rPr>
          <w:rFonts w:ascii="Times" w:eastAsia="MS Mincho" w:hAnsi="Times" w:cs="Times New Roman"/>
        </w:rPr>
        <w:t>Ведение………………………………………………………………………………………..7</w:t>
      </w:r>
    </w:p>
    <w:p w:rsidR="00B42A3F" w:rsidRPr="007406C1" w:rsidRDefault="00B42A3F" w:rsidP="00B42A3F">
      <w:pPr>
        <w:tabs>
          <w:tab w:val="right" w:leader="dot" w:pos="9054"/>
        </w:tabs>
        <w:spacing w:after="100"/>
        <w:jc w:val="center"/>
        <w:rPr>
          <w:rFonts w:ascii="Times" w:eastAsia="MS Mincho" w:hAnsi="Times" w:cs="Times New Roman"/>
          <w:noProof/>
          <w:lang w:eastAsia="ja-JP"/>
        </w:rPr>
      </w:pPr>
      <w:r w:rsidRPr="007406C1">
        <w:rPr>
          <w:rFonts w:ascii="Times" w:eastAsia="MS Mincho" w:hAnsi="Times" w:cs="Times New Roman"/>
        </w:rPr>
        <w:fldChar w:fldCharType="begin"/>
      </w:r>
      <w:r w:rsidRPr="007406C1">
        <w:rPr>
          <w:rFonts w:ascii="Times" w:eastAsia="MS Mincho" w:hAnsi="Times" w:cs="Times New Roman"/>
        </w:rPr>
        <w:instrText xml:space="preserve"> TOC \t "</w:instrText>
      </w:r>
      <w:r w:rsidRPr="007406C1">
        <w:rPr>
          <w:rFonts w:ascii="Times" w:eastAsia="MS Mincho" w:hAnsi="Times" w:cs="Helvetica CY"/>
        </w:rPr>
        <w:instrText>Доклад</w:instrText>
      </w:r>
      <w:r w:rsidRPr="007406C1">
        <w:rPr>
          <w:rFonts w:ascii="Times" w:eastAsia="MS Mincho" w:hAnsi="Times" w:cs="Times New Roman"/>
        </w:rPr>
        <w:instrText xml:space="preserve"> 1,1" </w:instrText>
      </w:r>
      <w:r w:rsidRPr="007406C1">
        <w:rPr>
          <w:rFonts w:ascii="Times" w:eastAsia="MS Mincho" w:hAnsi="Times" w:cs="Times New Roman"/>
        </w:rPr>
        <w:fldChar w:fldCharType="separate"/>
      </w:r>
      <w:r w:rsidRPr="007406C1">
        <w:rPr>
          <w:rFonts w:ascii="Times" w:eastAsia="MS Mincho" w:hAnsi="Times" w:cs="Helvetica CY"/>
          <w:noProof/>
        </w:rPr>
        <w:t>Теория</w:t>
      </w:r>
      <w:r w:rsidRPr="007406C1">
        <w:rPr>
          <w:rFonts w:ascii="Times" w:eastAsia="MS Mincho" w:hAnsi="Times" w:cs="Times New Roman"/>
          <w:noProof/>
        </w:rPr>
        <w:t xml:space="preserve"> </w:t>
      </w:r>
      <w:r w:rsidRPr="007406C1">
        <w:rPr>
          <w:rFonts w:ascii="Times" w:eastAsia="MS Mincho" w:hAnsi="Times" w:cs="Helvetica CY"/>
          <w:noProof/>
        </w:rPr>
        <w:t>и</w:t>
      </w:r>
      <w:r w:rsidRPr="007406C1">
        <w:rPr>
          <w:rFonts w:ascii="Times" w:eastAsia="MS Mincho" w:hAnsi="Times" w:cs="Times New Roman"/>
          <w:noProof/>
        </w:rPr>
        <w:t xml:space="preserve"> </w:t>
      </w:r>
      <w:r w:rsidRPr="007406C1">
        <w:rPr>
          <w:rFonts w:ascii="Times" w:eastAsia="MS Mincho" w:hAnsi="Times" w:cs="Helvetica CY"/>
          <w:noProof/>
        </w:rPr>
        <w:t>гипотезы</w:t>
      </w:r>
      <w:r w:rsidRPr="007406C1">
        <w:rPr>
          <w:rFonts w:ascii="Times" w:eastAsia="MS Mincho" w:hAnsi="Times" w:cs="Times New Roman"/>
          <w:noProof/>
        </w:rPr>
        <w:tab/>
      </w:r>
      <w:r>
        <w:rPr>
          <w:rFonts w:ascii="Times" w:eastAsia="MS Mincho" w:hAnsi="Times" w:cs="Times New Roman"/>
          <w:noProof/>
        </w:rPr>
        <w:t>7</w:t>
      </w:r>
    </w:p>
    <w:p w:rsidR="00B42A3F" w:rsidRPr="007406C1" w:rsidRDefault="00B42A3F" w:rsidP="00B42A3F">
      <w:pPr>
        <w:tabs>
          <w:tab w:val="right" w:leader="dot" w:pos="9054"/>
        </w:tabs>
        <w:spacing w:after="100"/>
        <w:jc w:val="center"/>
        <w:rPr>
          <w:rFonts w:ascii="Times" w:eastAsia="MS Mincho" w:hAnsi="Times" w:cs="Times New Roman"/>
          <w:noProof/>
          <w:lang w:eastAsia="ja-JP"/>
        </w:rPr>
      </w:pPr>
      <w:r w:rsidRPr="007406C1">
        <w:rPr>
          <w:rFonts w:ascii="Times" w:eastAsia="MS Mincho" w:hAnsi="Times" w:cs="Helvetica CY"/>
          <w:noProof/>
        </w:rPr>
        <w:t>Методология</w:t>
      </w:r>
      <w:r w:rsidRPr="007406C1">
        <w:rPr>
          <w:rFonts w:ascii="Times" w:eastAsia="MS Mincho" w:hAnsi="Times" w:cs="Times New Roman"/>
          <w:noProof/>
        </w:rPr>
        <w:t xml:space="preserve"> </w:t>
      </w:r>
      <w:r w:rsidRPr="007406C1">
        <w:rPr>
          <w:rFonts w:ascii="Times" w:eastAsia="MS Mincho" w:hAnsi="Times" w:cs="Helvetica CY"/>
          <w:noProof/>
        </w:rPr>
        <w:t>исследования</w:t>
      </w:r>
      <w:r w:rsidRPr="007406C1">
        <w:rPr>
          <w:rFonts w:ascii="Times" w:eastAsia="MS Mincho" w:hAnsi="Times" w:cs="Times New Roman"/>
          <w:noProof/>
        </w:rPr>
        <w:tab/>
      </w:r>
      <w:r>
        <w:rPr>
          <w:rFonts w:ascii="Times" w:eastAsia="MS Mincho" w:hAnsi="Times" w:cs="Times New Roman"/>
          <w:noProof/>
        </w:rPr>
        <w:t>10</w:t>
      </w:r>
    </w:p>
    <w:p w:rsidR="00B42A3F" w:rsidRPr="007406C1" w:rsidRDefault="00B42A3F" w:rsidP="00B42A3F">
      <w:pPr>
        <w:tabs>
          <w:tab w:val="right" w:leader="dot" w:pos="9054"/>
        </w:tabs>
        <w:spacing w:after="100"/>
        <w:jc w:val="center"/>
        <w:rPr>
          <w:rFonts w:ascii="Times" w:eastAsia="MS Mincho" w:hAnsi="Times" w:cs="Times New Roman"/>
          <w:noProof/>
          <w:lang w:eastAsia="ja-JP"/>
        </w:rPr>
      </w:pPr>
      <w:r w:rsidRPr="007406C1">
        <w:rPr>
          <w:rFonts w:ascii="Times" w:eastAsia="MS Mincho" w:hAnsi="Times" w:cs="Helvetica CY"/>
          <w:noProof/>
        </w:rPr>
        <w:t>Результаты</w:t>
      </w:r>
      <w:r w:rsidRPr="007406C1">
        <w:rPr>
          <w:rFonts w:ascii="Times" w:eastAsia="MS Mincho" w:hAnsi="Times" w:cs="Times New Roman"/>
          <w:noProof/>
        </w:rPr>
        <w:tab/>
      </w:r>
      <w:r>
        <w:rPr>
          <w:rFonts w:ascii="Times" w:eastAsia="MS Mincho" w:hAnsi="Times" w:cs="Times New Roman"/>
          <w:noProof/>
        </w:rPr>
        <w:t>23</w:t>
      </w:r>
    </w:p>
    <w:p w:rsidR="00B42A3F" w:rsidRPr="007406C1" w:rsidRDefault="00B42A3F" w:rsidP="00B42A3F">
      <w:pPr>
        <w:tabs>
          <w:tab w:val="right" w:leader="dot" w:pos="9054"/>
        </w:tabs>
        <w:spacing w:after="100"/>
        <w:jc w:val="center"/>
        <w:rPr>
          <w:rFonts w:ascii="Times" w:eastAsia="MS Mincho" w:hAnsi="Times" w:cs="Times New Roman"/>
          <w:noProof/>
          <w:lang w:eastAsia="ja-JP"/>
        </w:rPr>
      </w:pPr>
      <w:r w:rsidRPr="007406C1">
        <w:rPr>
          <w:rFonts w:ascii="Times" w:eastAsia="MS Mincho" w:hAnsi="Times" w:cs="Helvetica CY"/>
          <w:noProof/>
        </w:rPr>
        <w:t>Обсуждение</w:t>
      </w:r>
      <w:r w:rsidRPr="007406C1">
        <w:rPr>
          <w:rFonts w:ascii="Times" w:eastAsia="MS Mincho" w:hAnsi="Times" w:cs="Times New Roman"/>
          <w:noProof/>
        </w:rPr>
        <w:tab/>
      </w:r>
      <w:r>
        <w:rPr>
          <w:rFonts w:ascii="Times" w:eastAsia="MS Mincho" w:hAnsi="Times" w:cs="Times New Roman"/>
          <w:noProof/>
        </w:rPr>
        <w:t>28</w:t>
      </w:r>
    </w:p>
    <w:p w:rsidR="00B42A3F" w:rsidRPr="007406C1" w:rsidRDefault="00B42A3F" w:rsidP="00B42A3F">
      <w:pPr>
        <w:tabs>
          <w:tab w:val="right" w:leader="dot" w:pos="9054"/>
        </w:tabs>
        <w:spacing w:after="100"/>
        <w:jc w:val="center"/>
        <w:rPr>
          <w:rFonts w:ascii="Times" w:eastAsia="MS Mincho" w:hAnsi="Times" w:cs="Times New Roman"/>
          <w:noProof/>
          <w:lang w:eastAsia="ja-JP"/>
        </w:rPr>
      </w:pPr>
      <w:r w:rsidRPr="007406C1">
        <w:rPr>
          <w:rFonts w:ascii="Times" w:eastAsia="MS Mincho" w:hAnsi="Times" w:cs="Helvetica CY"/>
          <w:noProof/>
        </w:rPr>
        <w:t>Ликвидный</w:t>
      </w:r>
      <w:r w:rsidRPr="007406C1">
        <w:rPr>
          <w:rFonts w:ascii="Times" w:eastAsia="MS Mincho" w:hAnsi="Times" w:cs="Times New Roman"/>
          <w:noProof/>
        </w:rPr>
        <w:t xml:space="preserve"> </w:t>
      </w:r>
      <w:r w:rsidRPr="007406C1">
        <w:rPr>
          <w:rFonts w:ascii="Times" w:eastAsia="MS Mincho" w:hAnsi="Times" w:cs="Helvetica CY"/>
          <w:noProof/>
        </w:rPr>
        <w:t>и</w:t>
      </w:r>
      <w:r w:rsidRPr="007406C1">
        <w:rPr>
          <w:rFonts w:ascii="Times" w:eastAsia="MS Mincho" w:hAnsi="Times" w:cs="Times New Roman"/>
          <w:noProof/>
        </w:rPr>
        <w:t xml:space="preserve"> </w:t>
      </w:r>
      <w:r w:rsidRPr="007406C1">
        <w:rPr>
          <w:rFonts w:ascii="Times" w:eastAsia="MS Mincho" w:hAnsi="Times" w:cs="Helvetica CY"/>
          <w:noProof/>
        </w:rPr>
        <w:t>финансовый</w:t>
      </w:r>
      <w:r w:rsidRPr="007406C1">
        <w:rPr>
          <w:rFonts w:ascii="Times" w:eastAsia="MS Mincho" w:hAnsi="Times" w:cs="Times New Roman"/>
          <w:noProof/>
        </w:rPr>
        <w:t xml:space="preserve"> </w:t>
      </w:r>
      <w:r w:rsidRPr="007406C1">
        <w:rPr>
          <w:rFonts w:ascii="Times" w:eastAsia="MS Mincho" w:hAnsi="Times" w:cs="Helvetica CY"/>
          <w:noProof/>
        </w:rPr>
        <w:t>каналы</w:t>
      </w:r>
      <w:r w:rsidRPr="007406C1">
        <w:rPr>
          <w:rFonts w:ascii="Times" w:eastAsia="MS Mincho" w:hAnsi="Times" w:cs="Times New Roman"/>
          <w:noProof/>
        </w:rPr>
        <w:t xml:space="preserve"> </w:t>
      </w:r>
      <w:r w:rsidRPr="007406C1">
        <w:rPr>
          <w:rFonts w:ascii="Times" w:eastAsia="MS Mincho" w:hAnsi="Times" w:cs="Helvetica CY"/>
          <w:noProof/>
        </w:rPr>
        <w:t>распространения</w:t>
      </w:r>
      <w:r w:rsidRPr="007406C1">
        <w:rPr>
          <w:rFonts w:ascii="Times" w:eastAsia="MS Mincho" w:hAnsi="Times" w:cs="Times New Roman"/>
          <w:noProof/>
        </w:rPr>
        <w:t xml:space="preserve"> </w:t>
      </w:r>
      <w:r w:rsidRPr="007406C1">
        <w:rPr>
          <w:rFonts w:ascii="Times" w:eastAsia="MS Mincho" w:hAnsi="Times" w:cs="Helvetica CY"/>
          <w:noProof/>
        </w:rPr>
        <w:t>финансового</w:t>
      </w:r>
      <w:r w:rsidRPr="007406C1">
        <w:rPr>
          <w:rFonts w:ascii="Times" w:eastAsia="MS Mincho" w:hAnsi="Times" w:cs="Times New Roman"/>
          <w:noProof/>
        </w:rPr>
        <w:t xml:space="preserve"> </w:t>
      </w:r>
      <w:r w:rsidRPr="007406C1">
        <w:rPr>
          <w:rFonts w:ascii="Times" w:eastAsia="MS Mincho" w:hAnsi="Times" w:cs="Helvetica CY"/>
          <w:noProof/>
        </w:rPr>
        <w:t>заражения</w:t>
      </w:r>
      <w:r w:rsidRPr="007406C1">
        <w:rPr>
          <w:rFonts w:ascii="Times" w:eastAsia="MS Mincho" w:hAnsi="Times" w:cs="Times New Roman"/>
          <w:noProof/>
        </w:rPr>
        <w:tab/>
      </w:r>
      <w:r>
        <w:rPr>
          <w:rFonts w:ascii="Times" w:eastAsia="MS Mincho" w:hAnsi="Times" w:cs="Times New Roman"/>
          <w:noProof/>
        </w:rPr>
        <w:t>29</w:t>
      </w:r>
    </w:p>
    <w:p w:rsidR="00B42A3F" w:rsidRPr="007406C1" w:rsidRDefault="00B42A3F" w:rsidP="00B42A3F">
      <w:pPr>
        <w:tabs>
          <w:tab w:val="right" w:leader="dot" w:pos="9054"/>
        </w:tabs>
        <w:spacing w:after="100"/>
        <w:jc w:val="center"/>
        <w:rPr>
          <w:rFonts w:ascii="Times" w:eastAsia="MS Mincho" w:hAnsi="Times" w:cs="Times New Roman"/>
          <w:noProof/>
          <w:lang w:eastAsia="ja-JP"/>
        </w:rPr>
      </w:pPr>
      <w:r w:rsidRPr="007406C1">
        <w:rPr>
          <w:rFonts w:ascii="Times" w:eastAsia="MS Mincho" w:hAnsi="Times" w:cs="Helvetica CY"/>
          <w:noProof/>
        </w:rPr>
        <w:t>Приложение</w:t>
      </w:r>
      <w:r w:rsidRPr="007406C1">
        <w:rPr>
          <w:rFonts w:ascii="Times" w:eastAsia="MS Mincho" w:hAnsi="Times" w:cs="Times New Roman"/>
          <w:noProof/>
        </w:rPr>
        <w:t xml:space="preserve"> </w:t>
      </w:r>
      <w:r w:rsidRPr="007406C1">
        <w:rPr>
          <w:rFonts w:ascii="Times" w:eastAsia="MS Mincho" w:hAnsi="Times" w:cs="Helvetica CY"/>
          <w:noProof/>
        </w:rPr>
        <w:t>теории</w:t>
      </w:r>
      <w:r w:rsidRPr="007406C1">
        <w:rPr>
          <w:rFonts w:ascii="Times" w:eastAsia="MS Mincho" w:hAnsi="Times" w:cs="Times New Roman"/>
          <w:noProof/>
        </w:rPr>
        <w:t xml:space="preserve"> </w:t>
      </w:r>
      <w:r w:rsidRPr="007406C1">
        <w:rPr>
          <w:rFonts w:ascii="Times" w:eastAsia="MS Mincho" w:hAnsi="Times" w:cs="Helvetica CY"/>
          <w:noProof/>
        </w:rPr>
        <w:t>финансового</w:t>
      </w:r>
      <w:r w:rsidRPr="007406C1">
        <w:rPr>
          <w:rFonts w:ascii="Times" w:eastAsia="MS Mincho" w:hAnsi="Times" w:cs="Times New Roman"/>
          <w:noProof/>
        </w:rPr>
        <w:t xml:space="preserve"> </w:t>
      </w:r>
      <w:r w:rsidRPr="007406C1">
        <w:rPr>
          <w:rFonts w:ascii="Times" w:eastAsia="MS Mincho" w:hAnsi="Times" w:cs="Helvetica CY"/>
          <w:noProof/>
        </w:rPr>
        <w:t>заражения</w:t>
      </w:r>
      <w:r w:rsidRPr="007406C1">
        <w:rPr>
          <w:rFonts w:ascii="Times" w:eastAsia="MS Mincho" w:hAnsi="Times" w:cs="Times New Roman"/>
          <w:noProof/>
        </w:rPr>
        <w:t xml:space="preserve"> </w:t>
      </w:r>
      <w:r w:rsidRPr="007406C1">
        <w:rPr>
          <w:rFonts w:ascii="Times" w:eastAsia="MS Mincho" w:hAnsi="Times" w:cs="Helvetica CY"/>
          <w:noProof/>
        </w:rPr>
        <w:t>в</w:t>
      </w:r>
      <w:r w:rsidRPr="007406C1">
        <w:rPr>
          <w:rFonts w:ascii="Times" w:eastAsia="MS Mincho" w:hAnsi="Times" w:cs="Times New Roman"/>
          <w:noProof/>
        </w:rPr>
        <w:t xml:space="preserve"> </w:t>
      </w:r>
      <w:r w:rsidRPr="007406C1">
        <w:rPr>
          <w:rFonts w:ascii="Times" w:eastAsia="MS Mincho" w:hAnsi="Times" w:cs="Helvetica CY"/>
          <w:noProof/>
        </w:rPr>
        <w:t>менеджменте</w:t>
      </w:r>
      <w:r w:rsidRPr="007406C1">
        <w:rPr>
          <w:rFonts w:ascii="Times" w:eastAsia="MS Mincho" w:hAnsi="Times" w:cs="Times New Roman"/>
          <w:noProof/>
        </w:rPr>
        <w:tab/>
      </w:r>
      <w:r>
        <w:rPr>
          <w:rFonts w:ascii="Times" w:eastAsia="MS Mincho" w:hAnsi="Times" w:cs="Times New Roman"/>
          <w:noProof/>
        </w:rPr>
        <w:t>30</w:t>
      </w:r>
    </w:p>
    <w:p w:rsidR="00B42A3F" w:rsidRPr="0053217D" w:rsidRDefault="00B42A3F" w:rsidP="00B42A3F">
      <w:pPr>
        <w:tabs>
          <w:tab w:val="right" w:leader="dot" w:pos="9054"/>
        </w:tabs>
        <w:spacing w:after="100"/>
        <w:jc w:val="center"/>
        <w:rPr>
          <w:rFonts w:ascii="Times" w:eastAsia="MS Mincho" w:hAnsi="Times" w:cs="Times New Roman"/>
          <w:noProof/>
          <w:lang w:eastAsia="ja-JP"/>
        </w:rPr>
      </w:pPr>
      <w:r w:rsidRPr="007406C1">
        <w:rPr>
          <w:rFonts w:ascii="Times" w:eastAsia="MS Mincho" w:hAnsi="Times" w:cs="Helvetica CY"/>
          <w:noProof/>
        </w:rPr>
        <w:t>Заключение</w:t>
      </w:r>
      <w:r w:rsidRPr="007406C1">
        <w:rPr>
          <w:rFonts w:ascii="Times" w:eastAsia="MS Mincho" w:hAnsi="Times" w:cs="Times New Roman"/>
          <w:noProof/>
        </w:rPr>
        <w:tab/>
      </w:r>
      <w:r>
        <w:rPr>
          <w:rFonts w:ascii="Times" w:eastAsia="MS Mincho" w:hAnsi="Times" w:cs="Times New Roman"/>
          <w:noProof/>
        </w:rPr>
        <w:t>31</w:t>
      </w:r>
    </w:p>
    <w:p w:rsidR="00B42A3F" w:rsidRDefault="00B42A3F" w:rsidP="00B42A3F">
      <w:pPr>
        <w:tabs>
          <w:tab w:val="right" w:leader="dot" w:pos="9054"/>
        </w:tabs>
        <w:spacing w:after="100"/>
        <w:jc w:val="center"/>
        <w:rPr>
          <w:rFonts w:ascii="Times" w:eastAsia="MS Mincho" w:hAnsi="Times" w:cs="Times New Roman"/>
          <w:noProof/>
        </w:rPr>
      </w:pPr>
      <w:r w:rsidRPr="007406C1">
        <w:rPr>
          <w:rFonts w:ascii="Times" w:eastAsia="MS Mincho" w:hAnsi="Times" w:cs="Helvetica CY"/>
          <w:noProof/>
        </w:rPr>
        <w:t>Литература</w:t>
      </w:r>
      <w:r w:rsidRPr="007406C1">
        <w:rPr>
          <w:rFonts w:ascii="Times" w:eastAsia="MS Mincho" w:hAnsi="Times" w:cs="Times New Roman"/>
          <w:noProof/>
        </w:rPr>
        <w:tab/>
      </w:r>
      <w:r>
        <w:rPr>
          <w:rFonts w:ascii="Times" w:eastAsia="MS Mincho" w:hAnsi="Times" w:cs="Times New Roman"/>
          <w:noProof/>
        </w:rPr>
        <w:t>32</w:t>
      </w:r>
    </w:p>
    <w:p w:rsidR="00B42A3F" w:rsidRPr="00D16B96" w:rsidRDefault="00B42A3F" w:rsidP="00B42A3F">
      <w:pPr>
        <w:tabs>
          <w:tab w:val="right" w:leader="dot" w:pos="9054"/>
        </w:tabs>
        <w:spacing w:after="100"/>
        <w:rPr>
          <w:rFonts w:ascii="Times" w:eastAsia="MS Mincho" w:hAnsi="Times" w:cs="Times New Roman"/>
          <w:noProof/>
          <w:lang w:eastAsia="ja-JP"/>
        </w:rPr>
      </w:pPr>
      <w:r w:rsidRPr="00D16B96">
        <w:rPr>
          <w:rFonts w:ascii="Times" w:eastAsia="MS Mincho" w:hAnsi="Times" w:cs="Times New Roman"/>
          <w:noProof/>
          <w:lang w:val="en-US" w:eastAsia="ja-JP"/>
        </w:rPr>
        <w:t>Executive</w:t>
      </w:r>
      <w:r w:rsidRPr="0053217D">
        <w:rPr>
          <w:rFonts w:ascii="Times" w:eastAsia="MS Mincho" w:hAnsi="Times" w:cs="Times New Roman"/>
          <w:noProof/>
          <w:lang w:eastAsia="ja-JP"/>
        </w:rPr>
        <w:t xml:space="preserve"> </w:t>
      </w:r>
      <w:r w:rsidRPr="00D16B96">
        <w:rPr>
          <w:rFonts w:ascii="Times" w:eastAsia="MS Mincho" w:hAnsi="Times" w:cs="Times New Roman"/>
          <w:noProof/>
          <w:lang w:val="en-US" w:eastAsia="ja-JP"/>
        </w:rPr>
        <w:t>summary</w:t>
      </w:r>
      <w:r>
        <w:rPr>
          <w:rFonts w:ascii="Times" w:eastAsia="MS Mincho" w:hAnsi="Times" w:cs="Times New Roman"/>
          <w:noProof/>
          <w:lang w:eastAsia="ja-JP"/>
        </w:rPr>
        <w:t>…………………………………………………………………………..33</w:t>
      </w:r>
    </w:p>
    <w:p w:rsidR="00B42A3F" w:rsidRPr="0053217D" w:rsidRDefault="00B42A3F" w:rsidP="00B42A3F">
      <w:pPr>
        <w:tabs>
          <w:tab w:val="right" w:leader="dot" w:pos="9054"/>
        </w:tabs>
        <w:spacing w:after="100"/>
        <w:jc w:val="center"/>
        <w:rPr>
          <w:rFonts w:ascii="Times" w:eastAsia="MS Mincho" w:hAnsi="Times" w:cs="Times New Roman"/>
          <w:noProof/>
          <w:lang w:eastAsia="ja-JP"/>
        </w:rPr>
      </w:pPr>
      <w:r w:rsidRPr="007406C1">
        <w:rPr>
          <w:rFonts w:ascii="Times" w:eastAsia="MS Mincho" w:hAnsi="Times" w:cs="Helvetica CY"/>
          <w:noProof/>
        </w:rPr>
        <w:t>Приложения</w:t>
      </w:r>
      <w:r w:rsidRPr="007406C1">
        <w:rPr>
          <w:rFonts w:ascii="Times" w:eastAsia="MS Mincho" w:hAnsi="Times" w:cs="Times New Roman"/>
          <w:noProof/>
        </w:rPr>
        <w:tab/>
      </w:r>
      <w:r w:rsidRPr="007406C1">
        <w:rPr>
          <w:rFonts w:ascii="Times" w:eastAsia="MS Mincho" w:hAnsi="Times" w:cs="Times New Roman"/>
          <w:noProof/>
        </w:rPr>
        <w:fldChar w:fldCharType="begin"/>
      </w:r>
      <w:r w:rsidRPr="007406C1">
        <w:rPr>
          <w:rFonts w:ascii="Times" w:eastAsia="MS Mincho" w:hAnsi="Times" w:cs="Times New Roman"/>
          <w:noProof/>
        </w:rPr>
        <w:instrText xml:space="preserve"> PAGEREF _Toc296589101 \h </w:instrText>
      </w:r>
      <w:r w:rsidRPr="007406C1">
        <w:rPr>
          <w:rFonts w:ascii="Times" w:eastAsia="MS Mincho" w:hAnsi="Times" w:cs="Times New Roman"/>
          <w:noProof/>
        </w:rPr>
      </w:r>
      <w:r w:rsidRPr="007406C1">
        <w:rPr>
          <w:rFonts w:ascii="Times" w:eastAsia="MS Mincho" w:hAnsi="Times" w:cs="Times New Roman"/>
          <w:noProof/>
        </w:rPr>
        <w:fldChar w:fldCharType="separate"/>
      </w:r>
      <w:r w:rsidRPr="007406C1">
        <w:rPr>
          <w:rFonts w:ascii="Times" w:eastAsia="MS Mincho" w:hAnsi="Times" w:cs="Times New Roman"/>
          <w:noProof/>
        </w:rPr>
        <w:t>3</w:t>
      </w:r>
      <w:r>
        <w:rPr>
          <w:rFonts w:ascii="Times" w:eastAsia="MS Mincho" w:hAnsi="Times" w:cs="Times New Roman"/>
          <w:noProof/>
        </w:rPr>
        <w:t>4</w:t>
      </w:r>
      <w:r w:rsidRPr="007406C1">
        <w:rPr>
          <w:rFonts w:ascii="Times" w:eastAsia="MS Mincho" w:hAnsi="Times" w:cs="Times New Roman"/>
          <w:noProof/>
        </w:rPr>
        <w:fldChar w:fldCharType="end"/>
      </w:r>
    </w:p>
    <w:p w:rsidR="00B42A3F" w:rsidRPr="007406C1" w:rsidRDefault="00B42A3F" w:rsidP="00B42A3F">
      <w:pPr>
        <w:rPr>
          <w:rFonts w:ascii="Cambria" w:eastAsia="MS Mincho" w:hAnsi="Cambria" w:cs="Times New Roman"/>
        </w:rPr>
      </w:pPr>
      <w:r w:rsidRPr="007406C1">
        <w:rPr>
          <w:rFonts w:ascii="Times" w:eastAsia="MS Mincho" w:hAnsi="Times" w:cs="Times New Roman"/>
        </w:rPr>
        <w:fldChar w:fldCharType="end"/>
      </w: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pPr>
    </w:p>
    <w:p w:rsidR="00B42A3F" w:rsidRDefault="00B42A3F" w:rsidP="00B42A3F">
      <w:pPr>
        <w:ind w:right="-8"/>
        <w:jc w:val="center"/>
        <w:rPr>
          <w:rFonts w:ascii="Times" w:hAnsi="Times"/>
          <w:b/>
        </w:rPr>
        <w:sectPr w:rsidR="00B42A3F" w:rsidSect="00B42A3F">
          <w:footerReference w:type="default" r:id="rId51"/>
          <w:pgSz w:w="11900" w:h="16840"/>
          <w:pgMar w:top="964" w:right="1418" w:bottom="1304" w:left="1418" w:header="709" w:footer="907" w:gutter="0"/>
          <w:cols w:space="708"/>
          <w:docGrid w:linePitch="360"/>
        </w:sectPr>
      </w:pPr>
    </w:p>
    <w:p w:rsidR="00B42A3F" w:rsidRPr="0058455C" w:rsidRDefault="00B42A3F" w:rsidP="00B42A3F">
      <w:pPr>
        <w:spacing w:before="120"/>
        <w:ind w:firstLine="567"/>
        <w:jc w:val="center"/>
        <w:rPr>
          <w:rFonts w:ascii="Times" w:hAnsi="Times"/>
          <w:b/>
        </w:rPr>
      </w:pPr>
      <w:r w:rsidRPr="0058455C">
        <w:rPr>
          <w:rFonts w:ascii="Times" w:hAnsi="Times"/>
          <w:b/>
        </w:rPr>
        <w:lastRenderedPageBreak/>
        <w:t>Введение</w:t>
      </w:r>
    </w:p>
    <w:p w:rsidR="00B42A3F" w:rsidRPr="0058455C" w:rsidRDefault="00B42A3F" w:rsidP="00B42A3F">
      <w:pPr>
        <w:spacing w:before="120"/>
        <w:ind w:left="0" w:firstLine="567"/>
        <w:jc w:val="both"/>
        <w:rPr>
          <w:rFonts w:ascii="Times" w:hAnsi="Times"/>
        </w:rPr>
      </w:pPr>
      <w:r w:rsidRPr="0058455C">
        <w:rPr>
          <w:rFonts w:ascii="Times" w:hAnsi="Times"/>
        </w:rPr>
        <w:t xml:space="preserve">В данной работе </w:t>
      </w:r>
      <w:r>
        <w:rPr>
          <w:rFonts w:ascii="Times" w:hAnsi="Times"/>
        </w:rPr>
        <w:t>апробирован на данных по российскому рынку</w:t>
      </w:r>
      <w:r w:rsidRPr="0058455C">
        <w:rPr>
          <w:rFonts w:ascii="Times" w:hAnsi="Times"/>
        </w:rPr>
        <w:t xml:space="preserve"> индикатор кризисной ситуации в экономике, который оказывается значимым в ситуации кризиса (финансового заражения, теоретически) и незначимым в ординарной ситуации. </w:t>
      </w:r>
    </w:p>
    <w:p w:rsidR="00B42A3F" w:rsidRPr="004C5BCB" w:rsidRDefault="00B42A3F" w:rsidP="00B42A3F">
      <w:pPr>
        <w:spacing w:before="120"/>
        <w:ind w:left="0" w:firstLine="567"/>
        <w:jc w:val="both"/>
        <w:rPr>
          <w:rFonts w:ascii="Times" w:hAnsi="Times"/>
        </w:rPr>
      </w:pPr>
      <w:r w:rsidRPr="0058455C">
        <w:rPr>
          <w:rFonts w:ascii="Times" w:hAnsi="Times"/>
          <w:b/>
        </w:rPr>
        <w:t>Целью</w:t>
      </w:r>
      <w:r w:rsidRPr="0058455C">
        <w:rPr>
          <w:rFonts w:ascii="Times" w:hAnsi="Times"/>
        </w:rPr>
        <w:t xml:space="preserve"> данной работы является выявление индикатора кризисной ситуации в экономике (теоретически называемой финансовым заражением), который позволяет компании корректировать свою стратегию в период кризиса. </w:t>
      </w:r>
    </w:p>
    <w:p w:rsidR="00B42A3F" w:rsidRDefault="00B42A3F" w:rsidP="00B42A3F">
      <w:pPr>
        <w:spacing w:before="120"/>
        <w:ind w:left="0" w:firstLine="567"/>
        <w:jc w:val="both"/>
        <w:rPr>
          <w:rFonts w:ascii="Times" w:hAnsi="Times"/>
          <w:lang w:val="en-US"/>
        </w:rPr>
      </w:pPr>
      <w:r w:rsidRPr="004C5BCB">
        <w:rPr>
          <w:rFonts w:ascii="Times" w:hAnsi="Times"/>
          <w:b/>
          <w:lang w:val="en-US"/>
        </w:rPr>
        <w:t>Задачи</w:t>
      </w:r>
      <w:r>
        <w:rPr>
          <w:rFonts w:ascii="Times" w:hAnsi="Times"/>
          <w:lang w:val="en-US"/>
        </w:rPr>
        <w:t xml:space="preserve"> данной работы включают:</w:t>
      </w:r>
    </w:p>
    <w:p w:rsidR="00B42A3F" w:rsidRPr="0058455C" w:rsidRDefault="00B42A3F" w:rsidP="0022187D">
      <w:pPr>
        <w:pStyle w:val="aa"/>
        <w:numPr>
          <w:ilvl w:val="0"/>
          <w:numId w:val="33"/>
        </w:numPr>
        <w:spacing w:before="120"/>
        <w:ind w:left="0" w:firstLine="567"/>
        <w:jc w:val="both"/>
        <w:rPr>
          <w:rFonts w:ascii="Times" w:hAnsi="Times"/>
        </w:rPr>
      </w:pPr>
      <w:r w:rsidRPr="0058455C">
        <w:rPr>
          <w:rFonts w:ascii="Times" w:hAnsi="Times"/>
        </w:rPr>
        <w:t>анализ динамики доходностей облигаций компаний и агрегированных показателей финансового рынка России в предкризисный и кризисный периоды времени;</w:t>
      </w:r>
    </w:p>
    <w:p w:rsidR="00B42A3F" w:rsidRPr="0058455C" w:rsidRDefault="00B42A3F" w:rsidP="0022187D">
      <w:pPr>
        <w:pStyle w:val="aa"/>
        <w:numPr>
          <w:ilvl w:val="0"/>
          <w:numId w:val="33"/>
        </w:numPr>
        <w:spacing w:before="120"/>
        <w:ind w:left="0" w:firstLine="567"/>
        <w:jc w:val="both"/>
        <w:rPr>
          <w:rFonts w:ascii="Times" w:hAnsi="Times"/>
        </w:rPr>
      </w:pPr>
      <w:r w:rsidRPr="0058455C">
        <w:rPr>
          <w:rFonts w:ascii="Times" w:hAnsi="Times"/>
        </w:rPr>
        <w:t>определение момента времени, в который ситуация изменилась от ординарной к кризисной на российском рынке;</w:t>
      </w:r>
    </w:p>
    <w:p w:rsidR="00B42A3F" w:rsidRPr="0058455C" w:rsidRDefault="00B42A3F" w:rsidP="0022187D">
      <w:pPr>
        <w:pStyle w:val="aa"/>
        <w:numPr>
          <w:ilvl w:val="0"/>
          <w:numId w:val="33"/>
        </w:numPr>
        <w:spacing w:before="120"/>
        <w:ind w:left="0" w:firstLine="567"/>
        <w:jc w:val="both"/>
        <w:rPr>
          <w:rFonts w:ascii="Times" w:hAnsi="Times"/>
        </w:rPr>
      </w:pPr>
      <w:r w:rsidRPr="0058455C">
        <w:rPr>
          <w:rFonts w:ascii="Times" w:hAnsi="Times"/>
        </w:rPr>
        <w:t xml:space="preserve">построение алгоритма для выбора стратегии риск-менеджмента компании. </w:t>
      </w:r>
    </w:p>
    <w:p w:rsidR="00B42A3F" w:rsidRPr="0058455C" w:rsidRDefault="00B42A3F" w:rsidP="00B42A3F">
      <w:pPr>
        <w:spacing w:before="120"/>
        <w:ind w:left="0" w:firstLine="567"/>
        <w:jc w:val="both"/>
        <w:rPr>
          <w:rFonts w:ascii="Times" w:hAnsi="Times"/>
        </w:rPr>
      </w:pPr>
      <w:r w:rsidRPr="0058455C">
        <w:rPr>
          <w:rFonts w:ascii="Times" w:hAnsi="Times" w:cs="Times New Roman"/>
        </w:rPr>
        <w:t>Специфический</w:t>
      </w:r>
      <w:r w:rsidRPr="0058455C">
        <w:rPr>
          <w:rFonts w:ascii="Times" w:hAnsi="Times"/>
        </w:rPr>
        <w:t xml:space="preserve"> </w:t>
      </w:r>
      <w:r w:rsidRPr="0058455C">
        <w:rPr>
          <w:rFonts w:ascii="Times" w:hAnsi="Times" w:cs="Times New Roman"/>
        </w:rPr>
        <w:t>риск</w:t>
      </w:r>
      <w:r w:rsidRPr="0058455C">
        <w:rPr>
          <w:rFonts w:ascii="Times" w:hAnsi="Times"/>
        </w:rPr>
        <w:t xml:space="preserve">, </w:t>
      </w:r>
      <w:r w:rsidRPr="0058455C">
        <w:rPr>
          <w:rFonts w:ascii="Times" w:hAnsi="Times" w:cs="Times New Roman"/>
        </w:rPr>
        <w:t>которым</w:t>
      </w:r>
      <w:r w:rsidRPr="0058455C">
        <w:rPr>
          <w:rFonts w:ascii="Times" w:hAnsi="Times"/>
        </w:rPr>
        <w:t xml:space="preserve"> </w:t>
      </w:r>
      <w:r w:rsidRPr="0058455C">
        <w:rPr>
          <w:rFonts w:ascii="Times" w:hAnsi="Times" w:cs="Times New Roman"/>
        </w:rPr>
        <w:t>компания</w:t>
      </w:r>
      <w:r w:rsidRPr="0058455C">
        <w:rPr>
          <w:rFonts w:ascii="Times" w:hAnsi="Times"/>
        </w:rPr>
        <w:t xml:space="preserve"> </w:t>
      </w:r>
      <w:r w:rsidRPr="0058455C">
        <w:rPr>
          <w:rFonts w:ascii="Times" w:hAnsi="Times" w:cs="Times New Roman"/>
        </w:rPr>
        <w:t>может</w:t>
      </w:r>
      <w:r w:rsidRPr="0058455C">
        <w:rPr>
          <w:rFonts w:ascii="Times" w:hAnsi="Times"/>
        </w:rPr>
        <w:t xml:space="preserve"> </w:t>
      </w:r>
      <w:r w:rsidRPr="0058455C">
        <w:rPr>
          <w:rFonts w:ascii="Times" w:hAnsi="Times" w:cs="Times New Roman"/>
        </w:rPr>
        <w:t>управлять</w:t>
      </w:r>
      <w:r w:rsidRPr="0058455C">
        <w:rPr>
          <w:rFonts w:ascii="Times" w:hAnsi="Times"/>
        </w:rPr>
        <w:t xml:space="preserve">, </w:t>
      </w:r>
      <w:r w:rsidRPr="0058455C">
        <w:rPr>
          <w:rFonts w:ascii="Times" w:hAnsi="Times" w:cs="Times New Roman"/>
        </w:rPr>
        <w:t>но</w:t>
      </w:r>
      <w:r w:rsidRPr="0058455C">
        <w:rPr>
          <w:rFonts w:ascii="Times" w:hAnsi="Times"/>
        </w:rPr>
        <w:t xml:space="preserve"> </w:t>
      </w:r>
      <w:r w:rsidRPr="0058455C">
        <w:rPr>
          <w:rFonts w:ascii="Times" w:hAnsi="Times" w:cs="Times New Roman"/>
        </w:rPr>
        <w:t>который</w:t>
      </w:r>
      <w:r w:rsidRPr="0058455C">
        <w:rPr>
          <w:rFonts w:ascii="Times" w:hAnsi="Times"/>
        </w:rPr>
        <w:t xml:space="preserve">, </w:t>
      </w:r>
      <w:r w:rsidRPr="0058455C">
        <w:rPr>
          <w:rFonts w:ascii="Times" w:hAnsi="Times" w:cs="Times New Roman"/>
        </w:rPr>
        <w:t>тем</w:t>
      </w:r>
      <w:r w:rsidRPr="0058455C">
        <w:rPr>
          <w:rFonts w:ascii="Times" w:hAnsi="Times"/>
        </w:rPr>
        <w:t xml:space="preserve"> </w:t>
      </w:r>
      <w:r w:rsidRPr="0058455C">
        <w:rPr>
          <w:rFonts w:ascii="Times" w:hAnsi="Times" w:cs="Times New Roman"/>
        </w:rPr>
        <w:t>не</w:t>
      </w:r>
      <w:r w:rsidRPr="0058455C">
        <w:rPr>
          <w:rFonts w:ascii="Times" w:hAnsi="Times"/>
        </w:rPr>
        <w:t xml:space="preserve"> </w:t>
      </w:r>
      <w:r w:rsidRPr="0058455C">
        <w:rPr>
          <w:rFonts w:ascii="Times" w:hAnsi="Times" w:cs="Times New Roman"/>
        </w:rPr>
        <w:t>менее</w:t>
      </w:r>
      <w:r w:rsidRPr="0058455C">
        <w:rPr>
          <w:rFonts w:ascii="Times" w:hAnsi="Times"/>
        </w:rPr>
        <w:t xml:space="preserve">, </w:t>
      </w:r>
      <w:r w:rsidRPr="0058455C">
        <w:rPr>
          <w:rFonts w:ascii="Times" w:hAnsi="Times" w:cs="Times New Roman"/>
        </w:rPr>
        <w:t>связан</w:t>
      </w:r>
      <w:r w:rsidRPr="0058455C">
        <w:rPr>
          <w:rFonts w:ascii="Times" w:hAnsi="Times"/>
        </w:rPr>
        <w:t xml:space="preserve"> </w:t>
      </w:r>
      <w:r w:rsidRPr="0058455C">
        <w:rPr>
          <w:rFonts w:ascii="Times" w:hAnsi="Times" w:cs="Times New Roman"/>
        </w:rPr>
        <w:t>с</w:t>
      </w:r>
      <w:r w:rsidRPr="0058455C">
        <w:rPr>
          <w:rFonts w:ascii="Times" w:hAnsi="Times"/>
        </w:rPr>
        <w:t xml:space="preserve"> </w:t>
      </w:r>
      <w:r w:rsidRPr="0058455C">
        <w:rPr>
          <w:rFonts w:ascii="Times" w:hAnsi="Times" w:cs="Times New Roman"/>
        </w:rPr>
        <w:t>внешними</w:t>
      </w:r>
      <w:r w:rsidRPr="0058455C">
        <w:rPr>
          <w:rFonts w:ascii="Times" w:hAnsi="Times"/>
        </w:rPr>
        <w:t xml:space="preserve"> </w:t>
      </w:r>
      <w:r w:rsidRPr="0058455C">
        <w:rPr>
          <w:rFonts w:ascii="Times" w:hAnsi="Times" w:cs="Times New Roman"/>
        </w:rPr>
        <w:t>рыночными</w:t>
      </w:r>
      <w:r w:rsidRPr="0058455C">
        <w:rPr>
          <w:rFonts w:ascii="Times" w:hAnsi="Times"/>
        </w:rPr>
        <w:t xml:space="preserve"> </w:t>
      </w:r>
      <w:r w:rsidRPr="0058455C">
        <w:rPr>
          <w:rFonts w:ascii="Times" w:hAnsi="Times" w:cs="Times New Roman"/>
        </w:rPr>
        <w:t>факторами</w:t>
      </w:r>
      <w:r w:rsidRPr="0058455C">
        <w:rPr>
          <w:rFonts w:ascii="Times" w:hAnsi="Times"/>
        </w:rPr>
        <w:t xml:space="preserve">, </w:t>
      </w:r>
      <w:r w:rsidRPr="0058455C">
        <w:rPr>
          <w:rFonts w:ascii="Times" w:hAnsi="Times" w:cs="Times New Roman"/>
        </w:rPr>
        <w:t>сильнее</w:t>
      </w:r>
      <w:r w:rsidRPr="0058455C">
        <w:rPr>
          <w:rFonts w:ascii="Times" w:hAnsi="Times"/>
        </w:rPr>
        <w:t xml:space="preserve"> </w:t>
      </w:r>
      <w:r w:rsidRPr="0058455C">
        <w:rPr>
          <w:rFonts w:ascii="Times" w:hAnsi="Times" w:cs="Times New Roman"/>
        </w:rPr>
        <w:t>всего</w:t>
      </w:r>
      <w:r w:rsidRPr="0058455C">
        <w:rPr>
          <w:rFonts w:ascii="Times" w:hAnsi="Times"/>
        </w:rPr>
        <w:t xml:space="preserve"> </w:t>
      </w:r>
      <w:r w:rsidRPr="0058455C">
        <w:rPr>
          <w:rFonts w:ascii="Times" w:hAnsi="Times" w:cs="Times New Roman"/>
        </w:rPr>
        <w:t>проявляется</w:t>
      </w:r>
      <w:r w:rsidRPr="0058455C">
        <w:rPr>
          <w:rFonts w:ascii="Times" w:hAnsi="Times"/>
        </w:rPr>
        <w:t xml:space="preserve"> </w:t>
      </w:r>
      <w:r w:rsidRPr="0058455C">
        <w:rPr>
          <w:rFonts w:ascii="Times" w:hAnsi="Times" w:cs="Times New Roman"/>
        </w:rPr>
        <w:t>в</w:t>
      </w:r>
      <w:r w:rsidRPr="0058455C">
        <w:rPr>
          <w:rFonts w:ascii="Times" w:hAnsi="Times"/>
        </w:rPr>
        <w:t xml:space="preserve"> </w:t>
      </w:r>
      <w:r w:rsidRPr="0058455C">
        <w:rPr>
          <w:rFonts w:ascii="Times" w:hAnsi="Times" w:cs="Times New Roman"/>
        </w:rPr>
        <w:t>период</w:t>
      </w:r>
      <w:r w:rsidRPr="0058455C">
        <w:rPr>
          <w:rFonts w:ascii="Times" w:hAnsi="Times"/>
        </w:rPr>
        <w:t xml:space="preserve"> </w:t>
      </w:r>
      <w:r w:rsidRPr="0058455C">
        <w:rPr>
          <w:rFonts w:ascii="Times" w:hAnsi="Times" w:cs="Times New Roman"/>
        </w:rPr>
        <w:t>кризиса</w:t>
      </w:r>
      <w:r w:rsidRPr="0058455C">
        <w:rPr>
          <w:rFonts w:ascii="Times" w:hAnsi="Times"/>
        </w:rPr>
        <w:t>. Кризисы, которыми так богата экономическая история, представляют удобную возможность для анализа управленческих решений, которые направлены на повышение вероятности выживания компании в условиях высокого специфического риска.</w:t>
      </w:r>
    </w:p>
    <w:p w:rsidR="00B42A3F" w:rsidRPr="0058455C" w:rsidRDefault="00B42A3F" w:rsidP="00B42A3F">
      <w:pPr>
        <w:spacing w:before="120"/>
        <w:ind w:left="0" w:firstLine="567"/>
        <w:jc w:val="both"/>
        <w:rPr>
          <w:rFonts w:ascii="Times" w:hAnsi="Times"/>
        </w:rPr>
      </w:pPr>
      <w:r w:rsidRPr="0058455C">
        <w:rPr>
          <w:rFonts w:ascii="Times" w:hAnsi="Times"/>
        </w:rPr>
        <w:t xml:space="preserve">Управленческие решения в области риск-менеджмента касаются всех видов деятельности компании, но, прежде всего, инвестиционной деятельности. В процессе построения стратегии риск-менеджмента компания выполняет два шага. На первом шаге необходимо оценить ситуацию (угрозу) с которой компании предстоит столкнуться (чем раньше компания </w:t>
      </w:r>
      <w:r>
        <w:rPr>
          <w:rFonts w:ascii="Times" w:hAnsi="Times"/>
        </w:rPr>
        <w:t>«увидит» возможную угрозу, тем больше у неё будет диапазон принятия управленческих решений в случае наступления неблагоприятного события, так как она сможет лучше подготовиться заранее). На втором шаге компания выбирает тип реакции на угрозу. При этом очень важно, чтобы реакция соответствовала «своему» типу угрозы, на который она отвечает.</w:t>
      </w:r>
    </w:p>
    <w:p w:rsidR="00B42A3F" w:rsidRPr="0058455C" w:rsidRDefault="00B42A3F" w:rsidP="00B42A3F">
      <w:pPr>
        <w:spacing w:before="120"/>
        <w:ind w:left="0" w:firstLine="567"/>
        <w:jc w:val="both"/>
        <w:rPr>
          <w:rFonts w:ascii="Times" w:hAnsi="Times"/>
        </w:rPr>
      </w:pPr>
      <w:r w:rsidRPr="0058455C">
        <w:rPr>
          <w:rFonts w:ascii="Times" w:hAnsi="Times"/>
        </w:rPr>
        <w:t>В данной работе предлагается алгоритм построения стратегии риск-менеджмента на основе анализа кризиса в российской экономике 2014-2015 гг.</w:t>
      </w:r>
    </w:p>
    <w:p w:rsidR="00B42A3F" w:rsidRPr="0058455C" w:rsidRDefault="00B42A3F" w:rsidP="00B42A3F">
      <w:pPr>
        <w:spacing w:before="120"/>
        <w:ind w:left="0" w:firstLine="567"/>
        <w:jc w:val="both"/>
        <w:rPr>
          <w:rFonts w:ascii="Times" w:hAnsi="Times"/>
          <w:b/>
        </w:rPr>
      </w:pPr>
      <w:r>
        <w:rPr>
          <w:rFonts w:ascii="Times" w:hAnsi="Times"/>
          <w:b/>
        </w:rPr>
        <w:t>Теория и гипотезы</w:t>
      </w:r>
    </w:p>
    <w:p w:rsidR="00B42A3F" w:rsidRDefault="00B42A3F" w:rsidP="00B42A3F">
      <w:pPr>
        <w:spacing w:before="120"/>
        <w:ind w:left="0" w:firstLine="567"/>
        <w:jc w:val="both"/>
        <w:rPr>
          <w:rFonts w:ascii="Times" w:hAnsi="Times"/>
        </w:rPr>
      </w:pPr>
      <w:r w:rsidRPr="0058455C">
        <w:rPr>
          <w:rFonts w:ascii="Times" w:hAnsi="Times"/>
        </w:rPr>
        <w:t xml:space="preserve">Для того, чтобы индентифицировать ситуацию в экономике как кризисную, компании требуется индикатор, показывающий </w:t>
      </w:r>
      <w:r>
        <w:rPr>
          <w:rFonts w:ascii="Times" w:hAnsi="Times"/>
        </w:rPr>
        <w:t>«степень опасности». Такие индикаторы многократно предлагались и апробировались эмпирически в предыдущих исследованиях.</w:t>
      </w:r>
    </w:p>
    <w:p w:rsidR="00B42A3F" w:rsidRDefault="00B42A3F" w:rsidP="00B42A3F">
      <w:pPr>
        <w:spacing w:before="120"/>
        <w:ind w:left="0" w:firstLine="567"/>
        <w:jc w:val="both"/>
        <w:rPr>
          <w:rFonts w:ascii="Times" w:hAnsi="Times"/>
        </w:rPr>
      </w:pPr>
      <w:r w:rsidRPr="00672E82">
        <w:rPr>
          <w:rFonts w:ascii="Times" w:hAnsi="Times"/>
          <w:b/>
        </w:rPr>
        <w:t>Ф</w:t>
      </w:r>
      <w:r w:rsidRPr="00A1429D">
        <w:rPr>
          <w:rFonts w:ascii="Times" w:hAnsi="Times"/>
          <w:b/>
        </w:rPr>
        <w:t>инансовое заражение</w:t>
      </w:r>
      <w:r>
        <w:rPr>
          <w:rFonts w:ascii="Times" w:hAnsi="Times"/>
          <w:b/>
        </w:rPr>
        <w:t xml:space="preserve"> </w:t>
      </w:r>
      <w:r w:rsidRPr="00672E82">
        <w:rPr>
          <w:rFonts w:ascii="Times" w:hAnsi="Times"/>
        </w:rPr>
        <w:t xml:space="preserve">(определение </w:t>
      </w:r>
      <w:r w:rsidRPr="00672E82">
        <w:rPr>
          <w:rFonts w:ascii="Times" w:hAnsi="Times"/>
          <w:lang w:val="en-US"/>
        </w:rPr>
        <w:t>F</w:t>
      </w:r>
      <w:r w:rsidRPr="0058455C">
        <w:rPr>
          <w:rFonts w:ascii="Times" w:hAnsi="Times"/>
        </w:rPr>
        <w:t>.</w:t>
      </w:r>
      <w:r w:rsidRPr="00672E82">
        <w:rPr>
          <w:rFonts w:ascii="Times" w:hAnsi="Times"/>
          <w:lang w:val="en-US"/>
        </w:rPr>
        <w:t>A</w:t>
      </w:r>
      <w:r w:rsidRPr="0058455C">
        <w:rPr>
          <w:rFonts w:ascii="Times" w:hAnsi="Times"/>
        </w:rPr>
        <w:t xml:space="preserve">. </w:t>
      </w:r>
      <w:r w:rsidRPr="00672E82">
        <w:rPr>
          <w:rFonts w:ascii="Times" w:hAnsi="Times"/>
          <w:lang w:val="en-US"/>
        </w:rPr>
        <w:t>Longstaff</w:t>
      </w:r>
      <w:r w:rsidRPr="00672E82">
        <w:rPr>
          <w:rFonts w:ascii="Times" w:hAnsi="Times"/>
        </w:rPr>
        <w:t>)</w:t>
      </w:r>
      <w:r>
        <w:rPr>
          <w:rFonts w:ascii="Times" w:hAnsi="Times"/>
        </w:rPr>
        <w:t xml:space="preserve"> – ситуация на финансовом рынке, в которой происходит значительное усиление взаимосвязей между разными показателями финансового рынка после шока, который происходит в динамике одного финансового показателя (</w:t>
      </w:r>
      <w:r>
        <w:rPr>
          <w:rFonts w:ascii="Times" w:hAnsi="Times"/>
          <w:lang w:val="en-US"/>
        </w:rPr>
        <w:t>Longstaff</w:t>
      </w:r>
      <w:r>
        <w:rPr>
          <w:rFonts w:ascii="Times" w:hAnsi="Times"/>
        </w:rPr>
        <w:t>, 2010).</w:t>
      </w:r>
    </w:p>
    <w:p w:rsidR="00B42A3F" w:rsidRPr="00F70318" w:rsidRDefault="00B42A3F" w:rsidP="00B42A3F">
      <w:pPr>
        <w:spacing w:before="120"/>
        <w:ind w:left="0" w:firstLine="567"/>
        <w:jc w:val="both"/>
        <w:rPr>
          <w:rFonts w:ascii="Times" w:hAnsi="Times"/>
        </w:rPr>
      </w:pPr>
      <w:r w:rsidRPr="00F70318">
        <w:rPr>
          <w:rFonts w:ascii="Times" w:hAnsi="Times"/>
        </w:rPr>
        <w:t xml:space="preserve">Финансовое заражение не </w:t>
      </w:r>
      <w:r>
        <w:rPr>
          <w:rFonts w:ascii="Times" w:hAnsi="Times"/>
        </w:rPr>
        <w:t xml:space="preserve">является синонимом пониятия «кризис». Финансовое заражение выражается через кризис. Поэтому, присутствие финансового заражения на рынке ещё не означает наличие кризиса в экономике, однако, оно может свидетельсвовать о возможном приближении кризиса, таким образом, быть своеобразным его индикатором. То есть, финансовое заражение может присутствовать в экономике само по себе (в слабой </w:t>
      </w:r>
      <w:r>
        <w:rPr>
          <w:rFonts w:ascii="Times" w:hAnsi="Times"/>
        </w:rPr>
        <w:lastRenderedPageBreak/>
        <w:t>степени), а может и сопутствовать кризису (как предварять его, так и завершать). Сигналом для компании о том, что кризис возможен, будет финансовое заражение без наличия кризиса (три описанные случая).</w:t>
      </w:r>
    </w:p>
    <w:p w:rsidR="00B42A3F" w:rsidRPr="0058455C" w:rsidRDefault="00B42A3F" w:rsidP="00B42A3F">
      <w:pPr>
        <w:spacing w:before="120"/>
        <w:ind w:left="0" w:firstLine="567"/>
        <w:jc w:val="both"/>
        <w:rPr>
          <w:rFonts w:ascii="Times" w:hAnsi="Times"/>
        </w:rPr>
      </w:pPr>
      <w:r w:rsidRPr="0058455C">
        <w:rPr>
          <w:rFonts w:ascii="Times" w:hAnsi="Times"/>
        </w:rPr>
        <w:t xml:space="preserve">Финансовое заражение передаётся от одного рынка к другому при посредстве трёх механизмов (рис. 1). </w:t>
      </w:r>
      <w:r>
        <w:rPr>
          <w:rFonts w:ascii="Times" w:hAnsi="Times"/>
        </w:rPr>
        <w:t xml:space="preserve">Например, </w:t>
      </w:r>
      <w:r w:rsidRPr="00A31277">
        <w:rPr>
          <w:rFonts w:ascii="Times" w:hAnsi="Times"/>
          <w:u w:val="single"/>
        </w:rPr>
        <w:t xml:space="preserve">вывод, что шоки передаются с определённым лагом от менее ликвидных рынков </w:t>
      </w:r>
      <w:r w:rsidRPr="00A31277">
        <w:rPr>
          <w:rFonts w:ascii="Times" w:hAnsi="Times"/>
          <w:u w:val="single"/>
          <w:lang w:val="en-US"/>
        </w:rPr>
        <w:t>ABX</w:t>
      </w:r>
      <w:r w:rsidRPr="0058455C">
        <w:rPr>
          <w:rFonts w:ascii="Times" w:hAnsi="Times"/>
          <w:u w:val="single"/>
        </w:rPr>
        <w:t xml:space="preserve"> (кредитные дефолтные свопы, в основе которых лежат облигации) </w:t>
      </w:r>
      <w:r w:rsidRPr="00A31277">
        <w:rPr>
          <w:rFonts w:ascii="Times" w:hAnsi="Times"/>
          <w:u w:val="single"/>
        </w:rPr>
        <w:t>к рынкам высоколиквидных акций и казначейских облигаций, свидетельствует против информационного канала распространения финансового заражения.</w:t>
      </w:r>
    </w:p>
    <w:p w:rsidR="00B42A3F" w:rsidRPr="000479AB" w:rsidRDefault="00B42A3F" w:rsidP="00B42A3F">
      <w:pPr>
        <w:spacing w:before="120"/>
        <w:ind w:left="0" w:firstLine="567"/>
        <w:jc w:val="both"/>
        <w:rPr>
          <w:rFonts w:ascii="Times" w:hAnsi="Times"/>
        </w:rPr>
      </w:pPr>
      <w:r w:rsidRPr="0058455C">
        <w:rPr>
          <w:rFonts w:ascii="Times" w:hAnsi="Times"/>
        </w:rPr>
        <w:t xml:space="preserve">Можно ожидать, что ценовые эффекты одновременны на рынках высокодиквидных акций и казначейских облигаций, если финансовое заражение распространилось через информационный канал. Поэтому результаты более соответствуют или ликвидному каналу, представленному в работах </w:t>
      </w:r>
      <w:r>
        <w:rPr>
          <w:rFonts w:ascii="Times" w:hAnsi="Times"/>
          <w:lang w:val="en-US"/>
        </w:rPr>
        <w:t>F</w:t>
      </w:r>
      <w:r w:rsidRPr="0058455C">
        <w:rPr>
          <w:rFonts w:ascii="Times" w:hAnsi="Times"/>
        </w:rPr>
        <w:t xml:space="preserve">. </w:t>
      </w:r>
      <w:r>
        <w:rPr>
          <w:rFonts w:ascii="Times" w:hAnsi="Times"/>
          <w:lang w:val="en-US"/>
        </w:rPr>
        <w:t>Allen</w:t>
      </w:r>
      <w:r w:rsidRPr="0058455C">
        <w:rPr>
          <w:rFonts w:ascii="Times" w:hAnsi="Times"/>
        </w:rPr>
        <w:t xml:space="preserve">, </w:t>
      </w:r>
      <w:r>
        <w:rPr>
          <w:rFonts w:ascii="Times" w:hAnsi="Times"/>
          <w:lang w:val="en-US"/>
        </w:rPr>
        <w:t>D</w:t>
      </w:r>
      <w:r w:rsidRPr="0058455C">
        <w:rPr>
          <w:rFonts w:ascii="Times" w:hAnsi="Times"/>
        </w:rPr>
        <w:t xml:space="preserve">. </w:t>
      </w:r>
      <w:r>
        <w:rPr>
          <w:rFonts w:ascii="Times" w:hAnsi="Times"/>
          <w:lang w:val="en-US"/>
        </w:rPr>
        <w:t>Gale</w:t>
      </w:r>
      <w:r w:rsidRPr="0058455C">
        <w:rPr>
          <w:rFonts w:ascii="Times" w:hAnsi="Times"/>
        </w:rPr>
        <w:t xml:space="preserve">, </w:t>
      </w:r>
      <w:r>
        <w:rPr>
          <w:rFonts w:ascii="Times" w:hAnsi="Times"/>
          <w:lang w:val="en-US"/>
        </w:rPr>
        <w:t>L</w:t>
      </w:r>
      <w:r w:rsidRPr="0058455C">
        <w:rPr>
          <w:rFonts w:ascii="Times" w:hAnsi="Times"/>
        </w:rPr>
        <w:t xml:space="preserve">. </w:t>
      </w:r>
      <w:r>
        <w:rPr>
          <w:rFonts w:ascii="Times" w:hAnsi="Times"/>
          <w:lang w:val="en-US"/>
        </w:rPr>
        <w:t>Kodres</w:t>
      </w:r>
      <w:r w:rsidRPr="0058455C">
        <w:rPr>
          <w:rFonts w:ascii="Times" w:hAnsi="Times"/>
        </w:rPr>
        <w:t xml:space="preserve">, </w:t>
      </w:r>
      <w:r>
        <w:rPr>
          <w:rFonts w:ascii="Times" w:hAnsi="Times"/>
          <w:lang w:val="en-US"/>
        </w:rPr>
        <w:t>M</w:t>
      </w:r>
      <w:r w:rsidRPr="0058455C">
        <w:rPr>
          <w:rFonts w:ascii="Times" w:hAnsi="Times"/>
        </w:rPr>
        <w:t xml:space="preserve">. </w:t>
      </w:r>
      <w:r>
        <w:rPr>
          <w:rFonts w:ascii="Times" w:hAnsi="Times"/>
          <w:lang w:val="en-US"/>
        </w:rPr>
        <w:t>Pritsker</w:t>
      </w:r>
      <w:r w:rsidRPr="0058455C">
        <w:rPr>
          <w:rFonts w:ascii="Times" w:hAnsi="Times"/>
        </w:rPr>
        <w:t xml:space="preserve">, </w:t>
      </w:r>
      <w:r>
        <w:rPr>
          <w:rFonts w:ascii="Times" w:hAnsi="Times"/>
          <w:lang w:val="en-US"/>
        </w:rPr>
        <w:t>M</w:t>
      </w:r>
      <w:r w:rsidRPr="0058455C">
        <w:rPr>
          <w:rFonts w:ascii="Times" w:hAnsi="Times"/>
        </w:rPr>
        <w:t xml:space="preserve">. </w:t>
      </w:r>
      <w:r>
        <w:rPr>
          <w:rFonts w:ascii="Times" w:hAnsi="Times"/>
          <w:lang w:val="en-US"/>
        </w:rPr>
        <w:t>Brunnermeier</w:t>
      </w:r>
      <w:r w:rsidRPr="0058455C">
        <w:rPr>
          <w:rFonts w:ascii="Times" w:hAnsi="Times"/>
        </w:rPr>
        <w:t xml:space="preserve"> </w:t>
      </w:r>
      <w:r>
        <w:rPr>
          <w:rFonts w:ascii="Times" w:hAnsi="Times"/>
        </w:rPr>
        <w:t>и</w:t>
      </w:r>
      <w:r w:rsidRPr="0058455C">
        <w:rPr>
          <w:rFonts w:ascii="Times" w:hAnsi="Times"/>
        </w:rPr>
        <w:t xml:space="preserve"> </w:t>
      </w:r>
      <w:r>
        <w:rPr>
          <w:rFonts w:ascii="Times" w:hAnsi="Times"/>
          <w:lang w:val="en-US"/>
        </w:rPr>
        <w:t>L</w:t>
      </w:r>
      <w:r w:rsidRPr="0058455C">
        <w:rPr>
          <w:rFonts w:ascii="Times" w:hAnsi="Times"/>
        </w:rPr>
        <w:t xml:space="preserve">. </w:t>
      </w:r>
      <w:r>
        <w:rPr>
          <w:rFonts w:ascii="Times" w:hAnsi="Times"/>
          <w:lang w:val="en-US"/>
        </w:rPr>
        <w:t>Pedersen</w:t>
      </w:r>
      <w:r>
        <w:rPr>
          <w:rFonts w:ascii="Times" w:hAnsi="Times"/>
        </w:rPr>
        <w:t xml:space="preserve">, или финансовому каналу, представленному в работах </w:t>
      </w:r>
      <w:r>
        <w:rPr>
          <w:rFonts w:ascii="Times" w:hAnsi="Times"/>
          <w:lang w:val="en-US"/>
        </w:rPr>
        <w:t>D</w:t>
      </w:r>
      <w:r w:rsidRPr="0058455C">
        <w:rPr>
          <w:rFonts w:ascii="Times" w:hAnsi="Times"/>
        </w:rPr>
        <w:t xml:space="preserve">. </w:t>
      </w:r>
      <w:r>
        <w:rPr>
          <w:rFonts w:ascii="Times" w:hAnsi="Times"/>
          <w:lang w:val="en-US"/>
        </w:rPr>
        <w:t>Vayanos</w:t>
      </w:r>
      <w:r w:rsidRPr="0058455C">
        <w:rPr>
          <w:rFonts w:ascii="Times" w:hAnsi="Times"/>
        </w:rPr>
        <w:t xml:space="preserve">, </w:t>
      </w:r>
      <w:r>
        <w:rPr>
          <w:rFonts w:ascii="Times" w:hAnsi="Times"/>
          <w:lang w:val="en-US"/>
        </w:rPr>
        <w:t>V</w:t>
      </w:r>
      <w:r w:rsidRPr="0058455C">
        <w:rPr>
          <w:rFonts w:ascii="Times" w:hAnsi="Times"/>
        </w:rPr>
        <w:t xml:space="preserve">. </w:t>
      </w:r>
      <w:r>
        <w:rPr>
          <w:rFonts w:ascii="Times" w:hAnsi="Times"/>
          <w:lang w:val="en-US"/>
        </w:rPr>
        <w:t>Acharya</w:t>
      </w:r>
      <w:r w:rsidRPr="0058455C">
        <w:rPr>
          <w:rFonts w:ascii="Times" w:hAnsi="Times"/>
        </w:rPr>
        <w:t xml:space="preserve">, </w:t>
      </w:r>
      <w:r>
        <w:rPr>
          <w:rFonts w:ascii="Times" w:hAnsi="Times"/>
          <w:lang w:val="en-US"/>
        </w:rPr>
        <w:t>L</w:t>
      </w:r>
      <w:r w:rsidRPr="0058455C">
        <w:rPr>
          <w:rFonts w:ascii="Times" w:hAnsi="Times"/>
        </w:rPr>
        <w:t xml:space="preserve">. </w:t>
      </w:r>
      <w:r>
        <w:rPr>
          <w:rFonts w:ascii="Times" w:hAnsi="Times"/>
          <w:lang w:val="en-US"/>
        </w:rPr>
        <w:t>Pedersen</w:t>
      </w:r>
      <w:r w:rsidRPr="0058455C">
        <w:rPr>
          <w:rFonts w:ascii="Times" w:hAnsi="Times"/>
        </w:rPr>
        <w:t xml:space="preserve"> </w:t>
      </w:r>
      <w:r>
        <w:rPr>
          <w:rFonts w:ascii="Times" w:hAnsi="Times"/>
        </w:rPr>
        <w:t xml:space="preserve">и </w:t>
      </w:r>
      <w:r>
        <w:rPr>
          <w:rFonts w:ascii="Times" w:hAnsi="Times"/>
          <w:lang w:val="en-US"/>
        </w:rPr>
        <w:t>F</w:t>
      </w:r>
      <w:r w:rsidRPr="0058455C">
        <w:rPr>
          <w:rFonts w:ascii="Times" w:hAnsi="Times"/>
        </w:rPr>
        <w:t>.</w:t>
      </w:r>
      <w:r>
        <w:rPr>
          <w:rFonts w:ascii="Times" w:hAnsi="Times"/>
          <w:lang w:val="en-US"/>
        </w:rPr>
        <w:t>A</w:t>
      </w:r>
      <w:r w:rsidRPr="0058455C">
        <w:rPr>
          <w:rFonts w:ascii="Times" w:hAnsi="Times"/>
        </w:rPr>
        <w:t xml:space="preserve">. </w:t>
      </w:r>
      <w:r>
        <w:rPr>
          <w:rFonts w:ascii="Times" w:hAnsi="Times"/>
          <w:lang w:val="en-US"/>
        </w:rPr>
        <w:t>Longstaff</w:t>
      </w:r>
      <w:r w:rsidRPr="0058455C">
        <w:rPr>
          <w:rFonts w:ascii="Times" w:hAnsi="Times"/>
        </w:rPr>
        <w:t xml:space="preserve"> </w:t>
      </w:r>
      <w:r>
        <w:rPr>
          <w:rFonts w:ascii="Times" w:hAnsi="Times"/>
        </w:rPr>
        <w:t>(</w:t>
      </w:r>
      <w:r>
        <w:rPr>
          <w:rFonts w:ascii="Times" w:hAnsi="Times"/>
          <w:lang w:val="en-US"/>
        </w:rPr>
        <w:t>Allen</w:t>
      </w:r>
      <w:r w:rsidRPr="0058455C">
        <w:rPr>
          <w:rFonts w:ascii="Times" w:hAnsi="Times"/>
        </w:rPr>
        <w:t xml:space="preserve">, </w:t>
      </w:r>
      <w:r>
        <w:rPr>
          <w:rFonts w:ascii="Times" w:hAnsi="Times"/>
          <w:lang w:val="en-US"/>
        </w:rPr>
        <w:t>Gale</w:t>
      </w:r>
      <w:r w:rsidRPr="0058455C">
        <w:rPr>
          <w:rFonts w:ascii="Times" w:hAnsi="Times"/>
        </w:rPr>
        <w:t xml:space="preserve">, 2000; </w:t>
      </w:r>
      <w:r>
        <w:rPr>
          <w:rFonts w:ascii="Times" w:hAnsi="Times"/>
          <w:lang w:val="en-US"/>
        </w:rPr>
        <w:t>Kodres</w:t>
      </w:r>
      <w:r w:rsidRPr="0058455C">
        <w:rPr>
          <w:rFonts w:ascii="Times" w:hAnsi="Times"/>
        </w:rPr>
        <w:t xml:space="preserve">, </w:t>
      </w:r>
      <w:r>
        <w:rPr>
          <w:rFonts w:ascii="Times" w:hAnsi="Times"/>
          <w:lang w:val="en-US"/>
        </w:rPr>
        <w:t>Pritsker</w:t>
      </w:r>
      <w:r w:rsidRPr="0058455C">
        <w:rPr>
          <w:rFonts w:ascii="Times" w:hAnsi="Times"/>
        </w:rPr>
        <w:t xml:space="preserve">, 2002; </w:t>
      </w:r>
      <w:r>
        <w:rPr>
          <w:rFonts w:ascii="Times" w:hAnsi="Times"/>
          <w:lang w:val="en-US"/>
        </w:rPr>
        <w:t>Brunnermeier</w:t>
      </w:r>
      <w:r w:rsidRPr="0058455C">
        <w:rPr>
          <w:rFonts w:ascii="Times" w:hAnsi="Times"/>
        </w:rPr>
        <w:t xml:space="preserve">, </w:t>
      </w:r>
      <w:r>
        <w:rPr>
          <w:rFonts w:ascii="Times" w:hAnsi="Times"/>
          <w:lang w:val="en-US"/>
        </w:rPr>
        <w:t>Pedersen</w:t>
      </w:r>
      <w:r w:rsidRPr="0058455C">
        <w:rPr>
          <w:rFonts w:ascii="Times" w:hAnsi="Times"/>
        </w:rPr>
        <w:t xml:space="preserve">, 2005; </w:t>
      </w:r>
      <w:r>
        <w:rPr>
          <w:rFonts w:ascii="Times" w:hAnsi="Times"/>
          <w:lang w:val="en-US"/>
        </w:rPr>
        <w:t>Vayanos</w:t>
      </w:r>
      <w:r w:rsidRPr="0058455C">
        <w:rPr>
          <w:rFonts w:ascii="Times" w:hAnsi="Times"/>
        </w:rPr>
        <w:t xml:space="preserve">, 2004; </w:t>
      </w:r>
      <w:r>
        <w:rPr>
          <w:rFonts w:ascii="Times" w:hAnsi="Times"/>
          <w:lang w:val="en-US"/>
        </w:rPr>
        <w:t>Acharya</w:t>
      </w:r>
      <w:r w:rsidRPr="0058455C">
        <w:rPr>
          <w:rFonts w:ascii="Times" w:hAnsi="Times"/>
        </w:rPr>
        <w:t xml:space="preserve">, </w:t>
      </w:r>
      <w:r>
        <w:rPr>
          <w:rFonts w:ascii="Times" w:hAnsi="Times"/>
          <w:lang w:val="en-US"/>
        </w:rPr>
        <w:t>Pedersen</w:t>
      </w:r>
      <w:r w:rsidRPr="0058455C">
        <w:rPr>
          <w:rFonts w:ascii="Times" w:hAnsi="Times"/>
        </w:rPr>
        <w:t xml:space="preserve">, 2005; </w:t>
      </w:r>
      <w:r>
        <w:rPr>
          <w:rFonts w:ascii="Times" w:hAnsi="Times"/>
          <w:lang w:val="en-US"/>
        </w:rPr>
        <w:t>Longstaff</w:t>
      </w:r>
      <w:r>
        <w:rPr>
          <w:rFonts w:ascii="Times" w:hAnsi="Times"/>
        </w:rPr>
        <w:t>, 2008)</w:t>
      </w:r>
      <w:r w:rsidRPr="0058455C">
        <w:rPr>
          <w:rFonts w:ascii="Times" w:hAnsi="Times"/>
        </w:rPr>
        <w:t>.</w:t>
      </w:r>
    </w:p>
    <w:p w:rsidR="00B42A3F" w:rsidRDefault="00B42A3F" w:rsidP="00B42A3F">
      <w:pPr>
        <w:spacing w:before="120"/>
        <w:ind w:left="0" w:firstLine="567"/>
        <w:jc w:val="both"/>
        <w:rPr>
          <w:rFonts w:ascii="Times" w:hAnsi="Times"/>
        </w:rPr>
      </w:pPr>
      <w:r>
        <w:rPr>
          <w:rFonts w:ascii="Times" w:hAnsi="Times"/>
          <w:lang w:val="en-US"/>
        </w:rPr>
        <w:t>F</w:t>
      </w:r>
      <w:r w:rsidRPr="0058455C">
        <w:rPr>
          <w:rFonts w:ascii="Times" w:hAnsi="Times"/>
        </w:rPr>
        <w:t>.</w:t>
      </w:r>
      <w:r>
        <w:rPr>
          <w:rFonts w:ascii="Times" w:hAnsi="Times"/>
          <w:lang w:val="en-US"/>
        </w:rPr>
        <w:t>A</w:t>
      </w:r>
      <w:r w:rsidRPr="0058455C">
        <w:rPr>
          <w:rFonts w:ascii="Times" w:hAnsi="Times"/>
        </w:rPr>
        <w:t xml:space="preserve">. </w:t>
      </w:r>
      <w:r>
        <w:rPr>
          <w:rFonts w:ascii="Times" w:hAnsi="Times"/>
          <w:lang w:val="en-US"/>
        </w:rPr>
        <w:t>Longstaff</w:t>
      </w:r>
      <w:r w:rsidRPr="0058455C">
        <w:rPr>
          <w:rFonts w:ascii="Times" w:hAnsi="Times"/>
        </w:rPr>
        <w:t xml:space="preserve"> </w:t>
      </w:r>
      <w:r>
        <w:rPr>
          <w:rFonts w:ascii="Times" w:hAnsi="Times"/>
        </w:rPr>
        <w:t xml:space="preserve">использует векторную авторегрессионную модель </w:t>
      </w:r>
      <w:r w:rsidRPr="0058455C">
        <w:rPr>
          <w:rFonts w:ascii="Times" w:hAnsi="Times"/>
        </w:rPr>
        <w:t>(</w:t>
      </w:r>
      <w:r>
        <w:rPr>
          <w:rFonts w:ascii="Times" w:hAnsi="Times"/>
          <w:lang w:val="en-US"/>
        </w:rPr>
        <w:t>VAR</w:t>
      </w:r>
      <w:r w:rsidRPr="0058455C">
        <w:rPr>
          <w:rFonts w:ascii="Times" w:hAnsi="Times"/>
        </w:rPr>
        <w:t xml:space="preserve">) </w:t>
      </w:r>
      <w:r>
        <w:rPr>
          <w:rFonts w:ascii="Times" w:hAnsi="Times"/>
        </w:rPr>
        <w:t xml:space="preserve">для оценки взаимосвязи доходностью индексов </w:t>
      </w:r>
      <w:r>
        <w:rPr>
          <w:rFonts w:ascii="Times" w:hAnsi="Times"/>
          <w:lang w:val="en-US"/>
        </w:rPr>
        <w:t>ABX</w:t>
      </w:r>
      <w:r w:rsidRPr="0058455C">
        <w:rPr>
          <w:rFonts w:ascii="Times" w:hAnsi="Times"/>
        </w:rPr>
        <w:t xml:space="preserve"> </w:t>
      </w:r>
      <w:r>
        <w:rPr>
          <w:rFonts w:ascii="Times" w:hAnsi="Times"/>
        </w:rPr>
        <w:t xml:space="preserve">и различными мерами деловой активности и ликвидности. Согласно его выводам, шоки на рынке </w:t>
      </w:r>
      <w:r>
        <w:rPr>
          <w:rFonts w:ascii="Times" w:hAnsi="Times"/>
          <w:lang w:val="en-US"/>
        </w:rPr>
        <w:t>ABX</w:t>
      </w:r>
      <w:r w:rsidRPr="0058455C">
        <w:rPr>
          <w:rFonts w:ascii="Times" w:hAnsi="Times"/>
        </w:rPr>
        <w:t xml:space="preserve"> </w:t>
      </w:r>
      <w:r>
        <w:rPr>
          <w:rFonts w:ascii="Times" w:hAnsi="Times"/>
        </w:rPr>
        <w:t>могут служить индикатором деловой активности для рынка акций, прерывания торгов на рынках фиксированной доходности и доступности краткосрочного финансирования, обеспеченного активами, в течение кризиса. Эти выводы подтверждают концепцию о том, что эффекты ликвидности на рынке оказывают важнейшее влияние на передачу финансового заражения в течение ипотечного кризиса.</w:t>
      </w:r>
    </w:p>
    <w:p w:rsidR="00B42A3F" w:rsidRPr="006253D2" w:rsidRDefault="00B42A3F" w:rsidP="00B42A3F">
      <w:pPr>
        <w:spacing w:before="120"/>
        <w:ind w:left="0" w:firstLine="567"/>
        <w:jc w:val="both"/>
        <w:rPr>
          <w:rFonts w:ascii="Times" w:hAnsi="Times"/>
        </w:rPr>
      </w:pPr>
      <w:r>
        <w:rPr>
          <w:rFonts w:ascii="Times" w:hAnsi="Times"/>
          <w:lang w:val="en-US"/>
        </w:rPr>
        <w:t>F</w:t>
      </w:r>
      <w:r w:rsidRPr="0058455C">
        <w:rPr>
          <w:rFonts w:ascii="Times" w:hAnsi="Times"/>
        </w:rPr>
        <w:t>.</w:t>
      </w:r>
      <w:r>
        <w:rPr>
          <w:rFonts w:ascii="Times" w:hAnsi="Times"/>
          <w:lang w:val="en-US"/>
        </w:rPr>
        <w:t>A</w:t>
      </w:r>
      <w:r w:rsidRPr="0058455C">
        <w:rPr>
          <w:rFonts w:ascii="Times" w:hAnsi="Times"/>
        </w:rPr>
        <w:t xml:space="preserve">. </w:t>
      </w:r>
      <w:r>
        <w:rPr>
          <w:rFonts w:ascii="Times" w:hAnsi="Times"/>
          <w:lang w:val="en-US"/>
        </w:rPr>
        <w:t>Longstaff</w:t>
      </w:r>
      <w:r w:rsidRPr="0058455C">
        <w:rPr>
          <w:rFonts w:ascii="Times" w:hAnsi="Times"/>
        </w:rPr>
        <w:t xml:space="preserve"> </w:t>
      </w:r>
      <w:r>
        <w:rPr>
          <w:rFonts w:ascii="Times" w:hAnsi="Times"/>
        </w:rPr>
        <w:t>рассматривает рынок ипотечных кредитных дефолтных облигаций для описания эффекта финансового заражения в период кризиса 2008-2009 годов. В тот период наиболее сильно в США несли убытки банки и финансовые компании. В данной работе рассматривается кризис 2014-2015 гг. на примере облигаций российских компаний. Так как наиболее сильно в период кризиса 2014-2015 гг. пострадали нефтегазовые российские компании (из-за значительного снижения цен на нефть), то в данной работе рассматриваются именно они.</w:t>
      </w:r>
    </w:p>
    <w:p w:rsidR="00B42A3F" w:rsidRPr="00931196" w:rsidRDefault="00B42A3F" w:rsidP="00B42A3F">
      <w:pPr>
        <w:spacing w:before="120"/>
        <w:ind w:left="0" w:firstLine="567"/>
        <w:jc w:val="both"/>
        <w:rPr>
          <w:rFonts w:ascii="Times" w:hAnsi="Times"/>
        </w:rPr>
      </w:pPr>
      <w:r>
        <w:rPr>
          <w:rFonts w:ascii="Times" w:hAnsi="Times"/>
        </w:rPr>
        <w:t xml:space="preserve"> В период кризиса 2008-2009 гг. выпуски кредитных дефолтных облигаций, основанных на денежных потоках от портфелей ипотечных займов были главным источником кредитных убытков для многих финансовых компаний.</w:t>
      </w:r>
    </w:p>
    <w:p w:rsidR="00B42A3F" w:rsidRDefault="00B42A3F" w:rsidP="00B42A3F">
      <w:pPr>
        <w:spacing w:before="120"/>
        <w:ind w:left="0" w:firstLine="567"/>
        <w:jc w:val="both"/>
        <w:rPr>
          <w:rFonts w:ascii="Times" w:hAnsi="Times"/>
        </w:rPr>
      </w:pPr>
      <w:r w:rsidRPr="0058455C">
        <w:rPr>
          <w:rFonts w:ascii="Times" w:hAnsi="Times"/>
        </w:rPr>
        <w:t xml:space="preserve">Гипотеза, которую выдвигает </w:t>
      </w:r>
      <w:r>
        <w:rPr>
          <w:rFonts w:ascii="Times" w:hAnsi="Times"/>
          <w:lang w:val="en-US"/>
        </w:rPr>
        <w:t>F</w:t>
      </w:r>
      <w:r w:rsidRPr="0058455C">
        <w:rPr>
          <w:rFonts w:ascii="Times" w:hAnsi="Times"/>
        </w:rPr>
        <w:t>.</w:t>
      </w:r>
      <w:r>
        <w:rPr>
          <w:rFonts w:ascii="Times" w:hAnsi="Times"/>
          <w:lang w:val="en-US"/>
        </w:rPr>
        <w:t>A</w:t>
      </w:r>
      <w:r w:rsidRPr="0058455C">
        <w:rPr>
          <w:rFonts w:ascii="Times" w:hAnsi="Times"/>
        </w:rPr>
        <w:t xml:space="preserve">. </w:t>
      </w:r>
      <w:r>
        <w:rPr>
          <w:rFonts w:ascii="Times" w:hAnsi="Times"/>
          <w:lang w:val="en-US"/>
        </w:rPr>
        <w:t>Longstaff</w:t>
      </w:r>
      <w:r>
        <w:rPr>
          <w:rFonts w:ascii="Times" w:hAnsi="Times"/>
        </w:rPr>
        <w:t>, состоит в том, что финансовое заражение распространялось преимущественно посредством ликвидного канала и финансового канала, чем посредством информационного канала. Его исследование подтвердило эти гипотезы.</w:t>
      </w:r>
    </w:p>
    <w:p w:rsidR="00B42A3F" w:rsidRDefault="00B42A3F" w:rsidP="00B42A3F">
      <w:pPr>
        <w:spacing w:before="120"/>
        <w:ind w:left="0" w:firstLine="567"/>
        <w:jc w:val="both"/>
        <w:rPr>
          <w:rFonts w:ascii="Times" w:hAnsi="Times"/>
        </w:rPr>
      </w:pPr>
      <w:r w:rsidRPr="002766BC">
        <w:rPr>
          <w:rFonts w:ascii="Times" w:hAnsi="Times"/>
        </w:rPr>
        <w:t xml:space="preserve">В </w:t>
      </w:r>
      <w:r>
        <w:rPr>
          <w:rFonts w:ascii="Times" w:hAnsi="Times"/>
        </w:rPr>
        <w:t>данном случае мы предполагаем:</w:t>
      </w:r>
    </w:p>
    <w:p w:rsidR="00B42A3F" w:rsidRDefault="00B42A3F" w:rsidP="00B42A3F">
      <w:pPr>
        <w:spacing w:before="120"/>
        <w:ind w:left="0" w:firstLine="567"/>
        <w:jc w:val="both"/>
        <w:rPr>
          <w:rFonts w:ascii="Times" w:hAnsi="Times"/>
          <w:i/>
        </w:rPr>
      </w:pPr>
      <w:r w:rsidRPr="00BB6792">
        <w:rPr>
          <w:rFonts w:ascii="Times" w:hAnsi="Times"/>
          <w:i/>
        </w:rPr>
        <w:t xml:space="preserve">Гипотеза </w:t>
      </w:r>
      <w:r w:rsidRPr="00BB6792">
        <w:rPr>
          <w:rFonts w:ascii="Times" w:hAnsi="Times"/>
          <w:i/>
          <w:lang w:val="en-US"/>
        </w:rPr>
        <w:t>H</w:t>
      </w:r>
      <w:r w:rsidRPr="0058455C">
        <w:rPr>
          <w:rFonts w:ascii="Times" w:hAnsi="Times"/>
          <w:i/>
          <w:vertAlign w:val="subscript"/>
        </w:rPr>
        <w:t>1</w:t>
      </w:r>
      <w:r w:rsidRPr="0058455C">
        <w:rPr>
          <w:rFonts w:ascii="Times" w:hAnsi="Times"/>
          <w:i/>
        </w:rPr>
        <w:t xml:space="preserve">: </w:t>
      </w:r>
      <w:r>
        <w:rPr>
          <w:rFonts w:ascii="Times" w:hAnsi="Times"/>
          <w:i/>
        </w:rPr>
        <w:t xml:space="preserve">в период </w:t>
      </w:r>
      <w:r w:rsidRPr="00BB6792">
        <w:rPr>
          <w:rFonts w:ascii="Times" w:hAnsi="Times"/>
          <w:i/>
        </w:rPr>
        <w:t>кризиса 2014-2015 гг. в России финансовое заражение не распространялось посредством информационного канала.</w:t>
      </w:r>
    </w:p>
    <w:p w:rsidR="00B42A3F" w:rsidRDefault="00B42A3F" w:rsidP="00B42A3F">
      <w:pPr>
        <w:spacing w:before="120"/>
        <w:ind w:left="0" w:firstLine="567"/>
        <w:jc w:val="both"/>
        <w:rPr>
          <w:rFonts w:ascii="Times" w:hAnsi="Times"/>
        </w:rPr>
      </w:pPr>
      <w:r>
        <w:rPr>
          <w:rFonts w:ascii="Times" w:hAnsi="Times"/>
        </w:rPr>
        <w:t>В 2014-2015 гг. в России уменьшилось количество банков, так как многие банки были закрыты по причине финансовой несостоятельности. В то же время проценты по кредитам возрастали. Поэтому,</w:t>
      </w:r>
    </w:p>
    <w:p w:rsidR="00B42A3F" w:rsidRDefault="00B42A3F" w:rsidP="00B42A3F">
      <w:pPr>
        <w:spacing w:before="120"/>
        <w:ind w:left="0" w:firstLine="567"/>
        <w:jc w:val="both"/>
        <w:rPr>
          <w:rFonts w:ascii="Times" w:hAnsi="Times"/>
          <w:i/>
        </w:rPr>
      </w:pPr>
      <w:r w:rsidRPr="003D7668">
        <w:rPr>
          <w:rFonts w:ascii="Times" w:hAnsi="Times"/>
          <w:i/>
        </w:rPr>
        <w:lastRenderedPageBreak/>
        <w:t xml:space="preserve">Гипотеза </w:t>
      </w:r>
      <w:r w:rsidRPr="003D7668">
        <w:rPr>
          <w:rFonts w:ascii="Times" w:hAnsi="Times"/>
          <w:i/>
          <w:lang w:val="en-US"/>
        </w:rPr>
        <w:t>H</w:t>
      </w:r>
      <w:r w:rsidRPr="0058455C">
        <w:rPr>
          <w:rFonts w:ascii="Times" w:hAnsi="Times"/>
          <w:i/>
          <w:vertAlign w:val="subscript"/>
        </w:rPr>
        <w:t>2</w:t>
      </w:r>
      <w:r w:rsidRPr="0058455C">
        <w:rPr>
          <w:rFonts w:ascii="Times" w:hAnsi="Times"/>
          <w:i/>
        </w:rPr>
        <w:t xml:space="preserve">: </w:t>
      </w:r>
      <w:r>
        <w:rPr>
          <w:rFonts w:ascii="Times" w:hAnsi="Times"/>
          <w:i/>
        </w:rPr>
        <w:t xml:space="preserve">в период </w:t>
      </w:r>
      <w:r w:rsidRPr="003D7668">
        <w:rPr>
          <w:rFonts w:ascii="Times" w:hAnsi="Times"/>
          <w:i/>
        </w:rPr>
        <w:t>кризиса 2014-2015 гг. в России финансовое заражение распространялось посредством ликвидного канала.</w:t>
      </w:r>
    </w:p>
    <w:p w:rsidR="00B42A3F" w:rsidRPr="00103F3B" w:rsidRDefault="00B42A3F" w:rsidP="00B42A3F">
      <w:pPr>
        <w:spacing w:before="120"/>
        <w:ind w:left="0" w:firstLine="567"/>
        <w:jc w:val="both"/>
        <w:rPr>
          <w:rFonts w:ascii="Times" w:hAnsi="Times"/>
        </w:rPr>
      </w:pPr>
      <w:r>
        <w:rPr>
          <w:rFonts w:ascii="Times" w:hAnsi="Times"/>
        </w:rPr>
        <w:t>Санкции западных государств против России привели к тому, что российские компании испытывают трудности с заключением контрактов с западными партнёрами,</w:t>
      </w:r>
      <w:r w:rsidRPr="00B42A3F">
        <w:rPr>
          <w:rFonts w:ascii="Times" w:hAnsi="Times"/>
        </w:rPr>
        <w:t xml:space="preserve"> </w:t>
      </w:r>
      <w:r>
        <w:rPr>
          <w:rFonts w:ascii="Times" w:hAnsi="Times"/>
        </w:rPr>
        <w:t>у которых они получали не только финансирование, но и, главным образом, технологии. В то же время, по причине ослабления курса рубля относительно бивалютной корзины, для российских компаний возросла стоимость товаров и услуг, закупаемых за рубежом. Следовательно,</w:t>
      </w:r>
    </w:p>
    <w:p w:rsidR="00B42A3F" w:rsidRDefault="00B42A3F" w:rsidP="00B42A3F">
      <w:pPr>
        <w:spacing w:before="120"/>
        <w:ind w:left="0" w:firstLine="567"/>
        <w:jc w:val="both"/>
        <w:rPr>
          <w:rFonts w:ascii="Times" w:hAnsi="Times"/>
          <w:i/>
        </w:rPr>
      </w:pPr>
      <w:r w:rsidRPr="00B03AAF">
        <w:rPr>
          <w:rFonts w:ascii="Times" w:hAnsi="Times"/>
          <w:i/>
        </w:rPr>
        <w:t xml:space="preserve">Гипотеза </w:t>
      </w:r>
      <w:r w:rsidRPr="00B03AAF">
        <w:rPr>
          <w:rFonts w:ascii="Times" w:hAnsi="Times"/>
          <w:i/>
          <w:lang w:val="en-US"/>
        </w:rPr>
        <w:t>H</w:t>
      </w:r>
      <w:r w:rsidRPr="0058455C">
        <w:rPr>
          <w:rFonts w:ascii="Times" w:hAnsi="Times"/>
          <w:i/>
          <w:vertAlign w:val="subscript"/>
        </w:rPr>
        <w:t>3</w:t>
      </w:r>
      <w:r w:rsidRPr="0058455C">
        <w:rPr>
          <w:rFonts w:ascii="Times" w:hAnsi="Times"/>
          <w:i/>
        </w:rPr>
        <w:t xml:space="preserve">: </w:t>
      </w:r>
      <w:r w:rsidRPr="00B03AAF">
        <w:rPr>
          <w:rFonts w:ascii="Times" w:hAnsi="Times"/>
          <w:i/>
        </w:rPr>
        <w:t>в период</w:t>
      </w:r>
      <w:r>
        <w:rPr>
          <w:rFonts w:ascii="Times" w:hAnsi="Times"/>
          <w:i/>
        </w:rPr>
        <w:t xml:space="preserve"> </w:t>
      </w:r>
      <w:r w:rsidRPr="00B03AAF">
        <w:rPr>
          <w:rFonts w:ascii="Times" w:hAnsi="Times"/>
          <w:i/>
        </w:rPr>
        <w:t>кризиса 2014-2015 гг. в России финансовое заражение распространялось посредством финансового канала.</w:t>
      </w:r>
    </w:p>
    <w:p w:rsidR="00B42A3F" w:rsidRDefault="00B42A3F" w:rsidP="00B42A3F">
      <w:pPr>
        <w:spacing w:before="120"/>
        <w:ind w:left="0" w:firstLine="567"/>
        <w:jc w:val="both"/>
        <w:rPr>
          <w:rFonts w:ascii="Times" w:hAnsi="Times"/>
        </w:rPr>
      </w:pPr>
      <w:r>
        <w:rPr>
          <w:rFonts w:ascii="Times" w:hAnsi="Times"/>
        </w:rPr>
        <w:t>Графически полная теоретическая модель представлена на рис. 2.</w:t>
      </w:r>
    </w:p>
    <w:p w:rsidR="00B42A3F" w:rsidRDefault="00B42A3F" w:rsidP="00B42A3F">
      <w:pPr>
        <w:ind w:left="0" w:firstLine="567"/>
        <w:jc w:val="both"/>
        <w:rPr>
          <w:rFonts w:ascii="Times" w:hAnsi="Times"/>
        </w:rPr>
      </w:pPr>
    </w:p>
    <w:p w:rsidR="00B42A3F" w:rsidRDefault="00B42A3F" w:rsidP="00B42A3F">
      <w:pPr>
        <w:ind w:left="0" w:firstLine="567"/>
        <w:jc w:val="both"/>
        <w:rPr>
          <w:rFonts w:ascii="Times" w:hAnsi="Times"/>
        </w:rPr>
      </w:pPr>
      <w:r>
        <w:rPr>
          <w:rFonts w:ascii="Times" w:hAnsi="Times"/>
          <w:noProof/>
        </w:rPr>
        <w:drawing>
          <wp:inline distT="0" distB="0" distL="0" distR="0">
            <wp:extent cx="2557568" cy="1499809"/>
            <wp:effectExtent l="0" t="0" r="8255"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57961" cy="1500039"/>
                    </a:xfrm>
                    <a:prstGeom prst="rect">
                      <a:avLst/>
                    </a:prstGeom>
                    <a:noFill/>
                    <a:ln>
                      <a:noFill/>
                    </a:ln>
                  </pic:spPr>
                </pic:pic>
              </a:graphicData>
            </a:graphic>
          </wp:inline>
        </w:drawing>
      </w:r>
    </w:p>
    <w:p w:rsidR="00B42A3F" w:rsidRPr="001D59B2" w:rsidRDefault="00B42A3F" w:rsidP="00B42A3F">
      <w:pPr>
        <w:ind w:left="0" w:firstLine="567"/>
        <w:jc w:val="both"/>
        <w:rPr>
          <w:rFonts w:ascii="Times" w:hAnsi="Times"/>
        </w:rPr>
      </w:pPr>
      <w:r w:rsidRPr="001D59B2">
        <w:rPr>
          <w:rFonts w:ascii="Times" w:hAnsi="Times"/>
        </w:rPr>
        <w:t>Рис. 2 – Теоретическая модель и гипотезы</w:t>
      </w:r>
    </w:p>
    <w:p w:rsidR="00B42A3F" w:rsidRPr="001D59B2" w:rsidRDefault="00B42A3F" w:rsidP="00B42A3F">
      <w:pPr>
        <w:ind w:left="0" w:firstLine="567"/>
        <w:jc w:val="both"/>
        <w:rPr>
          <w:rFonts w:ascii="Times" w:hAnsi="Times"/>
        </w:rPr>
      </w:pPr>
      <w:r w:rsidRPr="001D59B2">
        <w:rPr>
          <w:rFonts w:ascii="Times New Roman" w:hAnsi="Times New Roman" w:cs="Times New Roman"/>
          <w:spacing w:val="40"/>
        </w:rPr>
        <w:t>Источник</w:t>
      </w:r>
      <w:r w:rsidRPr="001D59B2">
        <w:rPr>
          <w:rFonts w:ascii="Times New Roman" w:hAnsi="Times New Roman" w:cs="Times New Roman"/>
        </w:rPr>
        <w:t xml:space="preserve">: </w:t>
      </w:r>
      <w:r>
        <w:rPr>
          <w:rFonts w:ascii="Times New Roman" w:hAnsi="Times New Roman" w:cs="Times New Roman"/>
        </w:rPr>
        <w:t>(Longstaff, 2010)</w:t>
      </w:r>
    </w:p>
    <w:p w:rsidR="00B42A3F" w:rsidRDefault="00B42A3F" w:rsidP="00B42A3F">
      <w:pPr>
        <w:spacing w:before="120"/>
        <w:ind w:left="0" w:firstLine="567"/>
        <w:jc w:val="both"/>
        <w:rPr>
          <w:rFonts w:ascii="Times" w:hAnsi="Times"/>
        </w:rPr>
        <w:sectPr w:rsidR="00B42A3F" w:rsidSect="00B42A3F">
          <w:footerReference w:type="default" r:id="rId53"/>
          <w:pgSz w:w="11900" w:h="16840"/>
          <w:pgMar w:top="964" w:right="1418" w:bottom="1304" w:left="1418" w:header="709" w:footer="907" w:gutter="0"/>
          <w:cols w:space="708"/>
          <w:docGrid w:linePitch="360"/>
        </w:sectPr>
      </w:pPr>
      <w:r>
        <w:rPr>
          <w:rFonts w:ascii="Times" w:hAnsi="Times"/>
        </w:rPr>
        <w:t xml:space="preserve"> </w:t>
      </w:r>
    </w:p>
    <w:p w:rsidR="00B42A3F" w:rsidRPr="009A1915" w:rsidRDefault="00B42A3F" w:rsidP="00B42A3F">
      <w:pPr>
        <w:ind w:left="-284" w:right="-8" w:firstLine="680"/>
        <w:jc w:val="center"/>
        <w:rPr>
          <w:rFonts w:ascii="Times" w:hAnsi="Times"/>
          <w:b/>
        </w:rPr>
      </w:pPr>
      <w:r w:rsidRPr="007406C1">
        <w:rPr>
          <w:rFonts w:ascii="Times" w:hAnsi="Times"/>
          <w:b/>
        </w:rPr>
        <w:lastRenderedPageBreak/>
        <w:t xml:space="preserve">Рис. 1:  </w:t>
      </w:r>
      <w:r w:rsidRPr="009A1915">
        <w:rPr>
          <w:rFonts w:ascii="Times" w:hAnsi="Times"/>
          <w:b/>
        </w:rPr>
        <w:t>Каналы распространения финансового заражения между различными рынками</w:t>
      </w:r>
    </w:p>
    <w:p w:rsidR="00B42A3F" w:rsidRDefault="00B42A3F" w:rsidP="00B42A3F">
      <w:pPr>
        <w:ind w:left="-284" w:right="-8"/>
        <w:jc w:val="both"/>
        <w:rPr>
          <w:rFonts w:ascii="Times" w:hAnsi="Times"/>
          <w:lang w:val="en-US"/>
        </w:rPr>
      </w:pPr>
      <w:r>
        <w:rPr>
          <w:rFonts w:ascii="Times" w:hAnsi="Times"/>
          <w:noProof/>
        </w:rPr>
        <w:drawing>
          <wp:inline distT="0" distB="0" distL="0" distR="0">
            <wp:extent cx="9541565" cy="4968830"/>
            <wp:effectExtent l="19050" t="0" r="2485"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42572" cy="4969354"/>
                    </a:xfrm>
                    <a:prstGeom prst="rect">
                      <a:avLst/>
                    </a:prstGeom>
                    <a:noFill/>
                    <a:ln>
                      <a:noFill/>
                    </a:ln>
                  </pic:spPr>
                </pic:pic>
              </a:graphicData>
            </a:graphic>
          </wp:inline>
        </w:drawing>
      </w:r>
    </w:p>
    <w:p w:rsidR="00B42A3F" w:rsidRPr="00B42A3F" w:rsidRDefault="00B42A3F" w:rsidP="00B42A3F">
      <w:pPr>
        <w:ind w:left="-284" w:right="-8" w:firstLine="680"/>
        <w:rPr>
          <w:rFonts w:ascii="Times" w:hAnsi="Times"/>
        </w:rPr>
      </w:pPr>
      <w:r w:rsidRPr="0058455C">
        <w:rPr>
          <w:rFonts w:ascii="Times" w:hAnsi="Times"/>
        </w:rPr>
        <w:t xml:space="preserve">Рис. 1 - </w:t>
      </w:r>
      <w:r w:rsidRPr="001D59B2">
        <w:rPr>
          <w:rFonts w:ascii="Times" w:hAnsi="Times"/>
        </w:rPr>
        <w:t>Каналы распространения финансового заражения между различными рынками</w:t>
      </w:r>
    </w:p>
    <w:p w:rsidR="00B42A3F" w:rsidRPr="0058455C" w:rsidRDefault="00B42A3F" w:rsidP="00B42A3F">
      <w:pPr>
        <w:ind w:left="-284" w:right="-8" w:firstLine="680"/>
        <w:rPr>
          <w:rFonts w:ascii="Times" w:hAnsi="Times"/>
        </w:rPr>
      </w:pPr>
      <w:r w:rsidRPr="001D59B2">
        <w:rPr>
          <w:rFonts w:ascii="Times New Roman" w:hAnsi="Times New Roman" w:cs="Times New Roman"/>
          <w:spacing w:val="40"/>
        </w:rPr>
        <w:t>Составлено по:</w:t>
      </w:r>
      <w:r w:rsidRPr="0058455C">
        <w:rPr>
          <w:rFonts w:ascii="Times" w:hAnsi="Times"/>
        </w:rPr>
        <w:t xml:space="preserve"> </w:t>
      </w:r>
      <w:r>
        <w:rPr>
          <w:rFonts w:ascii="Times" w:hAnsi="Times"/>
        </w:rPr>
        <w:t>(</w:t>
      </w:r>
      <w:r w:rsidRPr="001D59B2">
        <w:rPr>
          <w:rFonts w:ascii="Times" w:hAnsi="Times"/>
          <w:lang w:val="en-US"/>
        </w:rPr>
        <w:t>Longstaff</w:t>
      </w:r>
      <w:r>
        <w:rPr>
          <w:rFonts w:ascii="Times" w:hAnsi="Times"/>
        </w:rPr>
        <w:t>, 2010)</w:t>
      </w:r>
      <w:r w:rsidRPr="0058455C">
        <w:rPr>
          <w:rFonts w:ascii="Times" w:hAnsi="Times"/>
        </w:rPr>
        <w:t>.</w:t>
      </w:r>
    </w:p>
    <w:p w:rsidR="00B42A3F" w:rsidRDefault="00B42A3F" w:rsidP="00B42A3F">
      <w:pPr>
        <w:ind w:left="-284" w:right="-8" w:firstLine="680"/>
        <w:rPr>
          <w:rFonts w:ascii="Times" w:hAnsi="Times"/>
        </w:rPr>
        <w:sectPr w:rsidR="00B42A3F" w:rsidSect="00B42A3F">
          <w:footerReference w:type="default" r:id="rId55"/>
          <w:pgSz w:w="16840" w:h="11900" w:orient="landscape"/>
          <w:pgMar w:top="993" w:right="964" w:bottom="1418" w:left="1304" w:header="709" w:footer="907" w:gutter="0"/>
          <w:cols w:space="708"/>
          <w:docGrid w:linePitch="360"/>
        </w:sectPr>
      </w:pPr>
    </w:p>
    <w:p w:rsidR="00B42A3F" w:rsidRDefault="00B42A3F" w:rsidP="00B42A3F">
      <w:pPr>
        <w:ind w:right="-8" w:firstLine="2268"/>
        <w:jc w:val="both"/>
        <w:rPr>
          <w:rFonts w:ascii="Times" w:hAnsi="Times"/>
          <w:sz w:val="20"/>
          <w:szCs w:val="20"/>
        </w:rPr>
      </w:pPr>
    </w:p>
    <w:p w:rsidR="00B42A3F" w:rsidRDefault="00B42A3F" w:rsidP="00B42A3F">
      <w:pPr>
        <w:spacing w:before="120"/>
        <w:ind w:firstLine="567"/>
        <w:jc w:val="center"/>
        <w:rPr>
          <w:rFonts w:ascii="Times" w:hAnsi="Times"/>
          <w:b/>
        </w:rPr>
      </w:pPr>
      <w:r w:rsidRPr="00252912">
        <w:rPr>
          <w:rFonts w:ascii="Times" w:hAnsi="Times"/>
          <w:b/>
        </w:rPr>
        <w:t>Методология исследования</w:t>
      </w:r>
    </w:p>
    <w:p w:rsidR="00B42A3F" w:rsidRDefault="00B42A3F" w:rsidP="00B42A3F">
      <w:pPr>
        <w:spacing w:before="120"/>
        <w:ind w:left="0" w:firstLine="567"/>
        <w:jc w:val="both"/>
        <w:rPr>
          <w:rFonts w:ascii="Times" w:hAnsi="Times"/>
          <w:b/>
          <w:i/>
        </w:rPr>
      </w:pPr>
      <w:r w:rsidRPr="00001BD1">
        <w:rPr>
          <w:rFonts w:ascii="Times" w:hAnsi="Times"/>
          <w:b/>
          <w:i/>
        </w:rPr>
        <w:t>Данные</w:t>
      </w:r>
    </w:p>
    <w:p w:rsidR="00B42A3F" w:rsidRDefault="00B42A3F" w:rsidP="00B42A3F">
      <w:pPr>
        <w:spacing w:before="120"/>
        <w:ind w:left="0" w:firstLine="567"/>
        <w:jc w:val="both"/>
        <w:rPr>
          <w:rFonts w:ascii="Times" w:hAnsi="Times"/>
        </w:rPr>
      </w:pPr>
      <w:r>
        <w:rPr>
          <w:rFonts w:ascii="Times" w:hAnsi="Times"/>
        </w:rPr>
        <w:t xml:space="preserve">В исследовании использовались временные ряды индексов облигаций российских нефтегазовых компаний, полученные в базе данных </w:t>
      </w:r>
      <w:r>
        <w:rPr>
          <w:rFonts w:ascii="Times" w:hAnsi="Times"/>
          <w:lang w:val="en-US"/>
        </w:rPr>
        <w:t>Thomson</w:t>
      </w:r>
      <w:r w:rsidRPr="0058455C">
        <w:rPr>
          <w:rFonts w:ascii="Times" w:hAnsi="Times"/>
        </w:rPr>
        <w:t xml:space="preserve"> </w:t>
      </w:r>
      <w:r>
        <w:rPr>
          <w:rFonts w:ascii="Times" w:hAnsi="Times"/>
          <w:lang w:val="en-US"/>
        </w:rPr>
        <w:t>Reuters</w:t>
      </w:r>
      <w:r w:rsidRPr="0058455C">
        <w:rPr>
          <w:rFonts w:ascii="Times" w:hAnsi="Times"/>
        </w:rPr>
        <w:t xml:space="preserve"> </w:t>
      </w:r>
      <w:r>
        <w:rPr>
          <w:rFonts w:ascii="Times" w:hAnsi="Times"/>
          <w:lang w:val="en-US"/>
        </w:rPr>
        <w:t>Datastream</w:t>
      </w:r>
      <w:r>
        <w:rPr>
          <w:rFonts w:ascii="Times" w:hAnsi="Times"/>
        </w:rPr>
        <w:t>. Данные были получены ежедневно в течение периода с 1.01.2010 до 8.06.2015. Это позволило получить выборку достаточной величины (1417 наблюдений) и охватить кризисный период 2014-2015 гг. Индексы измеряются в пунктах, для каждой компании пункты для индекса её облигаций имеют разную стоимость. Для облигаций различных компаний их индекс выражен в величинах различных порядков, поэтому сравнивать индексы по абсолютной величине не даёт смысла. Но имеет смысл сопоставлять изменения (приросты) индексов. Кроме того, визуальных анализ динамики индексов позволил выделить в рассматриваемом промежутке времени три периода, которые отличаются между собой по уровню финансового заражения, что было полезно с точки зрения цели исследования для сопоставления периодов.</w:t>
      </w:r>
    </w:p>
    <w:p w:rsidR="00B42A3F" w:rsidRDefault="00B42A3F" w:rsidP="00B42A3F">
      <w:pPr>
        <w:spacing w:before="120"/>
        <w:ind w:left="0" w:firstLine="567"/>
        <w:jc w:val="both"/>
        <w:rPr>
          <w:rFonts w:ascii="Times" w:hAnsi="Times"/>
        </w:rPr>
      </w:pPr>
      <w:r>
        <w:rPr>
          <w:rFonts w:ascii="Times" w:hAnsi="Times"/>
        </w:rPr>
        <w:t xml:space="preserve">Для данного исследования были отобраны компании, головные офисы которых расположены в России, и которые являются самостоятельными компаниями, а не подразделениями других компаний. Были отобраны компании с различными кредитными рейтингами. Так как не каждая компания из отобранных имеет кредитный рейтинг, данный ей рейтинговым агентством </w:t>
      </w:r>
      <w:r>
        <w:rPr>
          <w:rFonts w:ascii="Times" w:hAnsi="Times"/>
          <w:lang w:val="en-US"/>
        </w:rPr>
        <w:t>Moody</w:t>
      </w:r>
      <w:r w:rsidRPr="0058455C">
        <w:rPr>
          <w:rFonts w:ascii="Times" w:hAnsi="Times"/>
        </w:rPr>
        <w:t>’</w:t>
      </w:r>
      <w:r>
        <w:rPr>
          <w:rFonts w:ascii="Times" w:hAnsi="Times"/>
          <w:lang w:val="en-US"/>
        </w:rPr>
        <w:t>s</w:t>
      </w:r>
      <w:r w:rsidRPr="0058455C">
        <w:rPr>
          <w:rFonts w:ascii="Times" w:hAnsi="Times"/>
        </w:rPr>
        <w:t xml:space="preserve"> </w:t>
      </w:r>
      <w:r>
        <w:rPr>
          <w:rFonts w:ascii="Times" w:hAnsi="Times"/>
        </w:rPr>
        <w:t xml:space="preserve">и </w:t>
      </w:r>
      <w:r>
        <w:rPr>
          <w:rFonts w:ascii="Times" w:hAnsi="Times"/>
          <w:lang w:val="en-US"/>
        </w:rPr>
        <w:t>S</w:t>
      </w:r>
      <w:r w:rsidRPr="0058455C">
        <w:rPr>
          <w:rFonts w:ascii="Times" w:hAnsi="Times"/>
        </w:rPr>
        <w:t>&amp;</w:t>
      </w:r>
      <w:r>
        <w:rPr>
          <w:rFonts w:ascii="Times" w:hAnsi="Times"/>
          <w:lang w:val="en-US"/>
        </w:rPr>
        <w:t>P</w:t>
      </w:r>
      <w:r>
        <w:rPr>
          <w:rFonts w:ascii="Times" w:hAnsi="Times"/>
        </w:rPr>
        <w:t xml:space="preserve">, то для сопоставления компаний по кредитному рейтингу использовались кредитные рейтинги, рассчитываемые с соответствии с моделью </w:t>
      </w:r>
      <w:r>
        <w:rPr>
          <w:rFonts w:ascii="Times" w:hAnsi="Times"/>
          <w:lang w:val="en-US"/>
        </w:rPr>
        <w:t>SmartRatios</w:t>
      </w:r>
      <w:r>
        <w:rPr>
          <w:rFonts w:ascii="Times" w:hAnsi="Times"/>
        </w:rPr>
        <w:t xml:space="preserve">, представленной в </w:t>
      </w:r>
      <w:r>
        <w:rPr>
          <w:rFonts w:ascii="Times" w:hAnsi="Times"/>
          <w:lang w:val="en-US"/>
        </w:rPr>
        <w:t>Thomson</w:t>
      </w:r>
      <w:r w:rsidRPr="003636E3">
        <w:rPr>
          <w:rFonts w:ascii="Times" w:hAnsi="Times"/>
        </w:rPr>
        <w:t xml:space="preserve"> </w:t>
      </w:r>
      <w:r>
        <w:rPr>
          <w:rFonts w:ascii="Times" w:hAnsi="Times"/>
          <w:lang w:val="en-US"/>
        </w:rPr>
        <w:t>Reuters</w:t>
      </w:r>
      <w:r w:rsidRPr="003636E3">
        <w:rPr>
          <w:rFonts w:ascii="Times" w:hAnsi="Times"/>
        </w:rPr>
        <w:t xml:space="preserve"> </w:t>
      </w:r>
      <w:r>
        <w:rPr>
          <w:rFonts w:ascii="Times" w:hAnsi="Times"/>
          <w:lang w:val="en-US"/>
        </w:rPr>
        <w:t>Eikon</w:t>
      </w:r>
      <w:r>
        <w:rPr>
          <w:rFonts w:ascii="Times" w:hAnsi="Times"/>
        </w:rPr>
        <w:t>. Результаты отбора компаний для анализа представлены в Таблице 1.</w:t>
      </w:r>
    </w:p>
    <w:p w:rsidR="00B42A3F" w:rsidRPr="003636E3" w:rsidRDefault="00B42A3F" w:rsidP="00B42A3F">
      <w:pPr>
        <w:ind w:left="0"/>
        <w:rPr>
          <w:rFonts w:ascii="Times" w:hAnsi="Times"/>
        </w:rPr>
      </w:pPr>
      <w:r w:rsidRPr="003636E3">
        <w:rPr>
          <w:rFonts w:ascii="Times" w:hAnsi="Times"/>
        </w:rPr>
        <w:t>Таблица 1: Российские нефтегазовые компании, отобранные для анализа</w:t>
      </w:r>
    </w:p>
    <w:tbl>
      <w:tblPr>
        <w:tblStyle w:val="ae"/>
        <w:tblW w:w="0" w:type="auto"/>
        <w:jc w:val="center"/>
        <w:tblInd w:w="108" w:type="dxa"/>
        <w:tblLook w:val="04A0"/>
      </w:tblPr>
      <w:tblGrid>
        <w:gridCol w:w="1706"/>
        <w:gridCol w:w="6051"/>
      </w:tblGrid>
      <w:tr w:rsidR="00B42A3F" w:rsidRPr="00A1495E" w:rsidTr="00B42A3F">
        <w:trPr>
          <w:jc w:val="center"/>
        </w:trPr>
        <w:tc>
          <w:tcPr>
            <w:tcW w:w="0" w:type="auto"/>
          </w:tcPr>
          <w:p w:rsidR="00B42A3F" w:rsidRPr="00A1495E" w:rsidRDefault="00B42A3F" w:rsidP="00B42A3F">
            <w:pPr>
              <w:jc w:val="both"/>
              <w:rPr>
                <w:rFonts w:ascii="Times" w:hAnsi="Times"/>
                <w:b/>
                <w:sz w:val="22"/>
                <w:szCs w:val="22"/>
                <w:lang w:val="en-US"/>
              </w:rPr>
            </w:pPr>
            <w:r w:rsidRPr="00A1495E">
              <w:rPr>
                <w:rFonts w:ascii="Times" w:hAnsi="Times"/>
                <w:b/>
                <w:sz w:val="22"/>
                <w:szCs w:val="22"/>
                <w:lang w:val="en-US"/>
              </w:rPr>
              <w:t>Компания</w:t>
            </w:r>
          </w:p>
        </w:tc>
        <w:tc>
          <w:tcPr>
            <w:tcW w:w="0" w:type="auto"/>
          </w:tcPr>
          <w:p w:rsidR="00B42A3F" w:rsidRPr="00A1495E" w:rsidRDefault="00B42A3F" w:rsidP="00B42A3F">
            <w:pPr>
              <w:jc w:val="both"/>
              <w:rPr>
                <w:rFonts w:ascii="Times" w:hAnsi="Times"/>
                <w:b/>
                <w:sz w:val="22"/>
                <w:szCs w:val="22"/>
                <w:lang w:val="en-US"/>
              </w:rPr>
            </w:pPr>
            <w:r w:rsidRPr="0058455C">
              <w:rPr>
                <w:rFonts w:ascii="Times" w:hAnsi="Times"/>
                <w:b/>
                <w:sz w:val="22"/>
                <w:szCs w:val="22"/>
              </w:rPr>
              <w:t xml:space="preserve">Кредитный рейтинг в соответствии с моделью </w:t>
            </w:r>
            <w:r w:rsidRPr="00A1495E">
              <w:rPr>
                <w:rFonts w:ascii="Times" w:hAnsi="Times"/>
                <w:b/>
                <w:sz w:val="22"/>
                <w:szCs w:val="22"/>
                <w:lang w:val="en-US"/>
              </w:rPr>
              <w:t>Smartratios</w:t>
            </w:r>
          </w:p>
        </w:tc>
      </w:tr>
      <w:tr w:rsidR="00B42A3F" w:rsidRPr="00A1495E" w:rsidTr="00B42A3F">
        <w:trPr>
          <w:jc w:val="center"/>
        </w:trPr>
        <w:tc>
          <w:tcPr>
            <w:tcW w:w="0" w:type="auto"/>
          </w:tcPr>
          <w:p w:rsidR="00B42A3F" w:rsidRPr="00A1495E" w:rsidRDefault="00B42A3F" w:rsidP="00B42A3F">
            <w:pPr>
              <w:jc w:val="both"/>
              <w:rPr>
                <w:rFonts w:ascii="Times" w:hAnsi="Times"/>
                <w:sz w:val="22"/>
                <w:szCs w:val="22"/>
                <w:lang w:val="en-US"/>
              </w:rPr>
            </w:pPr>
            <w:r w:rsidRPr="00A1495E">
              <w:rPr>
                <w:rFonts w:ascii="Times" w:hAnsi="Times"/>
                <w:sz w:val="22"/>
                <w:szCs w:val="22"/>
                <w:lang w:val="en-US"/>
              </w:rPr>
              <w:t>Лукойл</w:t>
            </w:r>
          </w:p>
        </w:tc>
        <w:tc>
          <w:tcPr>
            <w:tcW w:w="0" w:type="auto"/>
          </w:tcPr>
          <w:p w:rsidR="00B42A3F" w:rsidRPr="00A1495E" w:rsidRDefault="00B42A3F" w:rsidP="00B42A3F">
            <w:pPr>
              <w:jc w:val="both"/>
              <w:rPr>
                <w:rFonts w:ascii="Times" w:hAnsi="Times"/>
                <w:sz w:val="22"/>
                <w:szCs w:val="22"/>
                <w:lang w:val="en-US"/>
              </w:rPr>
            </w:pPr>
            <w:r w:rsidRPr="00A1495E">
              <w:rPr>
                <w:rFonts w:ascii="Times" w:hAnsi="Times"/>
                <w:sz w:val="22"/>
                <w:szCs w:val="22"/>
                <w:lang w:val="en-US"/>
              </w:rPr>
              <w:t>A-</w:t>
            </w:r>
          </w:p>
        </w:tc>
      </w:tr>
      <w:tr w:rsidR="00B42A3F" w:rsidRPr="00A1495E" w:rsidTr="00B42A3F">
        <w:trPr>
          <w:jc w:val="center"/>
        </w:trPr>
        <w:tc>
          <w:tcPr>
            <w:tcW w:w="0" w:type="auto"/>
          </w:tcPr>
          <w:p w:rsidR="00B42A3F" w:rsidRPr="00A1495E" w:rsidRDefault="00B42A3F" w:rsidP="00B42A3F">
            <w:pPr>
              <w:jc w:val="both"/>
              <w:rPr>
                <w:rFonts w:ascii="Times" w:hAnsi="Times"/>
                <w:sz w:val="22"/>
                <w:szCs w:val="22"/>
                <w:lang w:val="en-US"/>
              </w:rPr>
            </w:pPr>
            <w:r w:rsidRPr="00A1495E">
              <w:rPr>
                <w:rFonts w:ascii="Times" w:hAnsi="Times"/>
                <w:sz w:val="22"/>
                <w:szCs w:val="22"/>
                <w:lang w:val="en-US"/>
              </w:rPr>
              <w:t>Сургутнефтегаз</w:t>
            </w:r>
          </w:p>
        </w:tc>
        <w:tc>
          <w:tcPr>
            <w:tcW w:w="0" w:type="auto"/>
          </w:tcPr>
          <w:p w:rsidR="00B42A3F" w:rsidRPr="00A1495E" w:rsidRDefault="00B42A3F" w:rsidP="00B42A3F">
            <w:pPr>
              <w:jc w:val="both"/>
              <w:rPr>
                <w:rFonts w:ascii="Times" w:hAnsi="Times"/>
                <w:sz w:val="22"/>
                <w:szCs w:val="22"/>
                <w:lang w:val="en-US"/>
              </w:rPr>
            </w:pPr>
            <w:r w:rsidRPr="00A1495E">
              <w:rPr>
                <w:rFonts w:ascii="Times" w:hAnsi="Times"/>
                <w:sz w:val="22"/>
                <w:szCs w:val="22"/>
                <w:lang w:val="en-US"/>
              </w:rPr>
              <w:t>BBB+</w:t>
            </w:r>
          </w:p>
        </w:tc>
      </w:tr>
      <w:tr w:rsidR="00B42A3F" w:rsidRPr="00A1495E" w:rsidTr="00B42A3F">
        <w:trPr>
          <w:jc w:val="center"/>
        </w:trPr>
        <w:tc>
          <w:tcPr>
            <w:tcW w:w="0" w:type="auto"/>
          </w:tcPr>
          <w:p w:rsidR="00B42A3F" w:rsidRPr="00A1495E" w:rsidRDefault="00B42A3F" w:rsidP="00B42A3F">
            <w:pPr>
              <w:jc w:val="both"/>
              <w:rPr>
                <w:rFonts w:ascii="Times" w:hAnsi="Times"/>
                <w:sz w:val="22"/>
                <w:szCs w:val="22"/>
                <w:lang w:val="en-US"/>
              </w:rPr>
            </w:pPr>
            <w:r w:rsidRPr="00A1495E">
              <w:rPr>
                <w:rFonts w:ascii="Times" w:hAnsi="Times"/>
                <w:sz w:val="22"/>
                <w:szCs w:val="22"/>
                <w:lang w:val="en-US"/>
              </w:rPr>
              <w:t>Татнефть</w:t>
            </w:r>
          </w:p>
        </w:tc>
        <w:tc>
          <w:tcPr>
            <w:tcW w:w="0" w:type="auto"/>
          </w:tcPr>
          <w:p w:rsidR="00B42A3F" w:rsidRPr="00A1495E" w:rsidRDefault="00B42A3F" w:rsidP="00B42A3F">
            <w:pPr>
              <w:jc w:val="both"/>
              <w:rPr>
                <w:rFonts w:ascii="Times" w:hAnsi="Times"/>
                <w:sz w:val="22"/>
                <w:szCs w:val="22"/>
                <w:lang w:val="en-US"/>
              </w:rPr>
            </w:pPr>
            <w:r w:rsidRPr="00A1495E">
              <w:rPr>
                <w:rFonts w:ascii="Times" w:hAnsi="Times"/>
                <w:sz w:val="22"/>
                <w:szCs w:val="22"/>
                <w:lang w:val="en-US"/>
              </w:rPr>
              <w:t>BBB-</w:t>
            </w:r>
          </w:p>
        </w:tc>
      </w:tr>
      <w:tr w:rsidR="00B42A3F" w:rsidRPr="00A1495E" w:rsidTr="00B42A3F">
        <w:trPr>
          <w:jc w:val="center"/>
        </w:trPr>
        <w:tc>
          <w:tcPr>
            <w:tcW w:w="0" w:type="auto"/>
          </w:tcPr>
          <w:p w:rsidR="00B42A3F" w:rsidRPr="00A1495E" w:rsidRDefault="00B42A3F" w:rsidP="00B42A3F">
            <w:pPr>
              <w:jc w:val="both"/>
              <w:rPr>
                <w:rFonts w:ascii="Times" w:hAnsi="Times"/>
                <w:sz w:val="22"/>
                <w:szCs w:val="22"/>
                <w:lang w:val="en-US"/>
              </w:rPr>
            </w:pPr>
            <w:r w:rsidRPr="00A1495E">
              <w:rPr>
                <w:rFonts w:ascii="Times" w:hAnsi="Times"/>
                <w:sz w:val="22"/>
                <w:szCs w:val="22"/>
                <w:lang w:val="en-US"/>
              </w:rPr>
              <w:t>Башнефть</w:t>
            </w:r>
          </w:p>
        </w:tc>
        <w:tc>
          <w:tcPr>
            <w:tcW w:w="0" w:type="auto"/>
          </w:tcPr>
          <w:p w:rsidR="00B42A3F" w:rsidRPr="00A1495E" w:rsidRDefault="00B42A3F" w:rsidP="00B42A3F">
            <w:pPr>
              <w:jc w:val="both"/>
              <w:rPr>
                <w:rFonts w:ascii="Times" w:hAnsi="Times"/>
                <w:sz w:val="22"/>
                <w:szCs w:val="22"/>
                <w:lang w:val="en-US"/>
              </w:rPr>
            </w:pPr>
            <w:r w:rsidRPr="00A1495E">
              <w:rPr>
                <w:rFonts w:ascii="Times" w:hAnsi="Times"/>
                <w:sz w:val="22"/>
                <w:szCs w:val="22"/>
                <w:lang w:val="en-US"/>
              </w:rPr>
              <w:t>B</w:t>
            </w:r>
          </w:p>
        </w:tc>
      </w:tr>
      <w:tr w:rsidR="00B42A3F" w:rsidRPr="00A1495E" w:rsidTr="00B42A3F">
        <w:trPr>
          <w:jc w:val="center"/>
        </w:trPr>
        <w:tc>
          <w:tcPr>
            <w:tcW w:w="0" w:type="auto"/>
          </w:tcPr>
          <w:p w:rsidR="00B42A3F" w:rsidRPr="00A1495E" w:rsidRDefault="00B42A3F" w:rsidP="00B42A3F">
            <w:pPr>
              <w:jc w:val="both"/>
              <w:rPr>
                <w:rFonts w:ascii="Times" w:hAnsi="Times"/>
                <w:sz w:val="22"/>
                <w:szCs w:val="22"/>
                <w:lang w:val="en-US"/>
              </w:rPr>
            </w:pPr>
            <w:r w:rsidRPr="00A1495E">
              <w:rPr>
                <w:rFonts w:ascii="Times" w:hAnsi="Times"/>
                <w:sz w:val="22"/>
                <w:szCs w:val="22"/>
                <w:lang w:val="en-US"/>
              </w:rPr>
              <w:t>Роснефть</w:t>
            </w:r>
          </w:p>
        </w:tc>
        <w:tc>
          <w:tcPr>
            <w:tcW w:w="0" w:type="auto"/>
          </w:tcPr>
          <w:p w:rsidR="00B42A3F" w:rsidRPr="00A1495E" w:rsidRDefault="00B42A3F" w:rsidP="00B42A3F">
            <w:pPr>
              <w:jc w:val="both"/>
              <w:rPr>
                <w:rFonts w:ascii="Times" w:hAnsi="Times"/>
                <w:sz w:val="22"/>
                <w:szCs w:val="22"/>
                <w:lang w:val="en-US"/>
              </w:rPr>
            </w:pPr>
            <w:r w:rsidRPr="00A1495E">
              <w:rPr>
                <w:rFonts w:ascii="Times" w:hAnsi="Times"/>
                <w:sz w:val="22"/>
                <w:szCs w:val="22"/>
                <w:lang w:val="en-US"/>
              </w:rPr>
              <w:t>B-</w:t>
            </w:r>
          </w:p>
        </w:tc>
      </w:tr>
    </w:tbl>
    <w:p w:rsidR="00B42A3F" w:rsidRPr="001D59B2" w:rsidRDefault="00B42A3F" w:rsidP="00B42A3F">
      <w:pPr>
        <w:ind w:left="0" w:firstLine="709"/>
        <w:jc w:val="both"/>
        <w:rPr>
          <w:rFonts w:ascii="Times" w:hAnsi="Times"/>
          <w:lang w:val="en-US"/>
        </w:rPr>
      </w:pPr>
      <w:r w:rsidRPr="001D59B2">
        <w:rPr>
          <w:rFonts w:ascii="Times New Roman" w:hAnsi="Times New Roman" w:cs="Times New Roman"/>
          <w:spacing w:val="40"/>
        </w:rPr>
        <w:t>Источник</w:t>
      </w:r>
      <w:r w:rsidRPr="001D59B2">
        <w:rPr>
          <w:rFonts w:ascii="Times New Roman" w:hAnsi="Times New Roman" w:cs="Times New Roman"/>
        </w:rPr>
        <w:t xml:space="preserve">: </w:t>
      </w:r>
      <w:r w:rsidRPr="001D59B2">
        <w:rPr>
          <w:rFonts w:ascii="Times New Roman" w:hAnsi="Times New Roman" w:cs="Times New Roman"/>
          <w:lang w:val="en-US"/>
        </w:rPr>
        <w:t>Thomson Reuters Datastream</w:t>
      </w:r>
    </w:p>
    <w:p w:rsidR="00B42A3F" w:rsidRDefault="00B42A3F" w:rsidP="00B42A3F">
      <w:pPr>
        <w:spacing w:before="120"/>
        <w:ind w:left="0" w:firstLine="567"/>
        <w:jc w:val="both"/>
        <w:rPr>
          <w:rFonts w:ascii="Times" w:hAnsi="Times"/>
          <w:b/>
        </w:rPr>
      </w:pPr>
      <w:r w:rsidRPr="00875487">
        <w:rPr>
          <w:rFonts w:ascii="Times" w:hAnsi="Times"/>
          <w:b/>
        </w:rPr>
        <w:t>Переменные</w:t>
      </w:r>
    </w:p>
    <w:p w:rsidR="00B42A3F" w:rsidRDefault="00B42A3F" w:rsidP="00B42A3F">
      <w:pPr>
        <w:spacing w:before="120"/>
        <w:ind w:left="0" w:firstLine="567"/>
        <w:jc w:val="both"/>
        <w:rPr>
          <w:rFonts w:ascii="Times" w:hAnsi="Times"/>
        </w:rPr>
      </w:pPr>
      <w:r>
        <w:rPr>
          <w:rFonts w:ascii="Times" w:hAnsi="Times"/>
        </w:rPr>
        <w:t xml:space="preserve">При рассмотрении графиков с данными можно выделить </w:t>
      </w:r>
      <w:r w:rsidRPr="00470751">
        <w:rPr>
          <w:rFonts w:ascii="Times" w:hAnsi="Times"/>
          <w:b/>
        </w:rPr>
        <w:t>три периода</w:t>
      </w:r>
      <w:r>
        <w:rPr>
          <w:rFonts w:ascii="Times" w:hAnsi="Times"/>
        </w:rPr>
        <w:t>:</w:t>
      </w:r>
    </w:p>
    <w:p w:rsidR="00B42A3F" w:rsidRPr="00F01513" w:rsidRDefault="00B42A3F" w:rsidP="0022187D">
      <w:pPr>
        <w:pStyle w:val="aa"/>
        <w:numPr>
          <w:ilvl w:val="0"/>
          <w:numId w:val="34"/>
        </w:numPr>
        <w:spacing w:before="120"/>
        <w:ind w:left="0" w:firstLine="567"/>
        <w:jc w:val="both"/>
        <w:rPr>
          <w:rFonts w:ascii="Times" w:hAnsi="Times"/>
        </w:rPr>
      </w:pPr>
      <w:r w:rsidRPr="00F01513">
        <w:rPr>
          <w:rFonts w:ascii="Times" w:hAnsi="Times"/>
        </w:rPr>
        <w:t xml:space="preserve">восстановление после кризиса 2008-2009 гг.: </w:t>
      </w:r>
      <w:r>
        <w:rPr>
          <w:rFonts w:ascii="Times" w:hAnsi="Times"/>
        </w:rPr>
        <w:t xml:space="preserve">с 2010 по </w:t>
      </w:r>
      <w:r w:rsidRPr="00F01513">
        <w:rPr>
          <w:rFonts w:ascii="Times" w:hAnsi="Times"/>
        </w:rPr>
        <w:t>2012 гг.</w:t>
      </w:r>
      <w:r>
        <w:rPr>
          <w:rFonts w:ascii="Times" w:hAnsi="Times"/>
        </w:rPr>
        <w:t xml:space="preserve"> (520 наблюдений; рис. 3)</w:t>
      </w:r>
      <w:r w:rsidRPr="00F01513">
        <w:rPr>
          <w:rFonts w:ascii="Times" w:hAnsi="Times"/>
        </w:rPr>
        <w:t>;</w:t>
      </w:r>
    </w:p>
    <w:p w:rsidR="00B42A3F" w:rsidRDefault="00B42A3F" w:rsidP="0022187D">
      <w:pPr>
        <w:pStyle w:val="aa"/>
        <w:numPr>
          <w:ilvl w:val="0"/>
          <w:numId w:val="34"/>
        </w:numPr>
        <w:spacing w:before="120"/>
        <w:ind w:left="0" w:firstLine="567"/>
        <w:jc w:val="both"/>
        <w:rPr>
          <w:rFonts w:ascii="Times" w:hAnsi="Times"/>
        </w:rPr>
      </w:pPr>
      <w:r>
        <w:rPr>
          <w:rFonts w:ascii="Times" w:hAnsi="Times"/>
        </w:rPr>
        <w:t xml:space="preserve">переходный период: с 2012 по </w:t>
      </w:r>
      <w:r w:rsidRPr="00F01513">
        <w:rPr>
          <w:rFonts w:ascii="Times" w:hAnsi="Times"/>
        </w:rPr>
        <w:t>201</w:t>
      </w:r>
      <w:r>
        <w:rPr>
          <w:rFonts w:ascii="Times" w:hAnsi="Times"/>
        </w:rPr>
        <w:t>4 гг. (520 наблюдений</w:t>
      </w:r>
      <w:r>
        <w:rPr>
          <w:rFonts w:ascii="Times" w:hAnsi="Times"/>
          <w:lang w:val="en-US"/>
        </w:rPr>
        <w:t>; рис. 4</w:t>
      </w:r>
      <w:r>
        <w:rPr>
          <w:rFonts w:ascii="Times" w:hAnsi="Times"/>
        </w:rPr>
        <w:t>);</w:t>
      </w:r>
    </w:p>
    <w:p w:rsidR="00B42A3F" w:rsidRDefault="00B42A3F" w:rsidP="0022187D">
      <w:pPr>
        <w:pStyle w:val="aa"/>
        <w:numPr>
          <w:ilvl w:val="0"/>
          <w:numId w:val="34"/>
        </w:numPr>
        <w:spacing w:before="120"/>
        <w:ind w:left="0" w:firstLine="567"/>
        <w:jc w:val="both"/>
        <w:rPr>
          <w:rFonts w:ascii="Times" w:hAnsi="Times"/>
        </w:rPr>
      </w:pPr>
      <w:r>
        <w:rPr>
          <w:rFonts w:ascii="Times" w:hAnsi="Times"/>
        </w:rPr>
        <w:t>кризис: с 2014 по 2015 гг. (374 наблюдения; этот период всего 1,5 года вместо 2 лет в предыдущих двух случаях, и, насколько можно судить, равновесие, которое достигнуто в российской экономике на данный момент, достаточно хрупкое, и кризис ещё не закончился; рис. 5).</w:t>
      </w:r>
    </w:p>
    <w:p w:rsidR="00B42A3F" w:rsidRPr="00EF0411" w:rsidRDefault="00B42A3F" w:rsidP="00B42A3F">
      <w:pPr>
        <w:ind w:left="0"/>
        <w:jc w:val="both"/>
        <w:rPr>
          <w:rFonts w:ascii="Times" w:hAnsi="Times"/>
        </w:rPr>
      </w:pPr>
    </w:p>
    <w:p w:rsidR="00B42A3F" w:rsidRDefault="00B42A3F" w:rsidP="00B42A3F">
      <w:pPr>
        <w:ind w:right="-8"/>
        <w:jc w:val="both"/>
        <w:rPr>
          <w:rFonts w:ascii="Times" w:hAnsi="Times"/>
        </w:rPr>
      </w:pPr>
      <w:r>
        <w:rPr>
          <w:rFonts w:ascii="Times" w:hAnsi="Times"/>
          <w:noProof/>
        </w:rPr>
        <w:lastRenderedPageBreak/>
        <w:drawing>
          <wp:inline distT="0" distB="0" distL="0" distR="0">
            <wp:extent cx="5692563" cy="4074168"/>
            <wp:effectExtent l="25400" t="25400" r="22860" b="15240"/>
            <wp:docPr id="7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2011.pdf"/>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98" t="784" b="1789"/>
                    <a:stretch/>
                  </pic:blipFill>
                  <pic:spPr bwMode="auto">
                    <a:xfrm>
                      <a:off x="0" y="0"/>
                      <a:ext cx="5695121" cy="407599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42A3F" w:rsidRDefault="00B42A3F" w:rsidP="00B42A3F">
      <w:pPr>
        <w:ind w:right="-8" w:firstLine="2552"/>
        <w:jc w:val="both"/>
        <w:rPr>
          <w:rFonts w:ascii="Times" w:hAnsi="Times"/>
        </w:rPr>
      </w:pPr>
      <w:r>
        <w:rPr>
          <w:rFonts w:ascii="Times" w:hAnsi="Times"/>
          <w:noProof/>
        </w:rPr>
        <w:drawing>
          <wp:inline distT="0" distB="0" distL="0" distR="0">
            <wp:extent cx="2389292" cy="561340"/>
            <wp:effectExtent l="25400" t="25400" r="24130" b="22860"/>
            <wp:docPr id="7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й.pdf"/>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89725" cy="561442"/>
                    </a:xfrm>
                    <a:prstGeom prst="rect">
                      <a:avLst/>
                    </a:prstGeom>
                    <a:ln>
                      <a:solidFill>
                        <a:srgbClr val="000000"/>
                      </a:solidFill>
                    </a:ln>
                  </pic:spPr>
                </pic:pic>
              </a:graphicData>
            </a:graphic>
          </wp:inline>
        </w:drawing>
      </w:r>
    </w:p>
    <w:p w:rsidR="00B42A3F" w:rsidRDefault="00B42A3F" w:rsidP="00B42A3F">
      <w:pPr>
        <w:ind w:right="57"/>
        <w:jc w:val="both"/>
        <w:rPr>
          <w:rFonts w:ascii="Times" w:hAnsi="Times"/>
        </w:rPr>
        <w:sectPr w:rsidR="00B42A3F" w:rsidSect="00B42A3F">
          <w:footerReference w:type="default" r:id="rId58"/>
          <w:pgSz w:w="11900" w:h="16840"/>
          <w:pgMar w:top="964" w:right="1418" w:bottom="1304" w:left="1418" w:header="709" w:footer="907" w:gutter="0"/>
          <w:cols w:space="708"/>
          <w:docGrid w:linePitch="360"/>
        </w:sectPr>
      </w:pPr>
      <w:r>
        <w:rPr>
          <w:rFonts w:ascii="Times" w:hAnsi="Times"/>
        </w:rPr>
        <w:t xml:space="preserve">Рис. 3 - </w:t>
      </w:r>
      <w:r w:rsidRPr="00476EB4">
        <w:rPr>
          <w:rFonts w:ascii="Times" w:hAnsi="Times"/>
        </w:rPr>
        <w:t xml:space="preserve">Динамика индексов облигаций российских нефтегезовых компаний, выбранных для анализа, в течение период 2010-2012 гг.: восстановление после кризиса 2008-2009 </w:t>
      </w:r>
      <w:r>
        <w:rPr>
          <w:rFonts w:ascii="Times" w:hAnsi="Times"/>
        </w:rPr>
        <w:t>гг.</w:t>
      </w:r>
    </w:p>
    <w:p w:rsidR="00B42A3F" w:rsidRDefault="00B42A3F" w:rsidP="00B42A3F">
      <w:pPr>
        <w:ind w:right="-8"/>
        <w:jc w:val="both"/>
        <w:rPr>
          <w:rFonts w:ascii="Times" w:hAnsi="Times"/>
        </w:rPr>
      </w:pPr>
      <w:r>
        <w:rPr>
          <w:rFonts w:ascii="Times" w:hAnsi="Times"/>
          <w:noProof/>
        </w:rPr>
        <w:lastRenderedPageBreak/>
        <w:drawing>
          <wp:inline distT="0" distB="0" distL="0" distR="0">
            <wp:extent cx="8308428" cy="4556235"/>
            <wp:effectExtent l="19050" t="19050" r="16510" b="15875"/>
            <wp:docPr id="7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2013.pdf"/>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141" t="1176" b="2381"/>
                    <a:stretch/>
                  </pic:blipFill>
                  <pic:spPr bwMode="auto">
                    <a:xfrm>
                      <a:off x="0" y="0"/>
                      <a:ext cx="8349656" cy="4578844"/>
                    </a:xfrm>
                    <a:prstGeom prst="rect">
                      <a:avLst/>
                    </a:prstGeom>
                    <a:ln>
                      <a:solidFill>
                        <a:srgbClr val="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42A3F" w:rsidRDefault="00B42A3F" w:rsidP="00B42A3F">
      <w:pPr>
        <w:ind w:right="-8" w:firstLine="2552"/>
        <w:jc w:val="both"/>
        <w:rPr>
          <w:rFonts w:ascii="Times" w:hAnsi="Times"/>
        </w:rPr>
      </w:pPr>
      <w:r>
        <w:rPr>
          <w:rFonts w:ascii="Times" w:hAnsi="Times"/>
          <w:noProof/>
        </w:rPr>
        <w:drawing>
          <wp:inline distT="0" distB="0" distL="0" distR="0">
            <wp:extent cx="2389292" cy="561340"/>
            <wp:effectExtent l="25400" t="25400" r="24130" b="22860"/>
            <wp:docPr id="74"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й.pdf"/>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89725" cy="561442"/>
                    </a:xfrm>
                    <a:prstGeom prst="rect">
                      <a:avLst/>
                    </a:prstGeom>
                    <a:ln>
                      <a:solidFill>
                        <a:srgbClr val="000000"/>
                      </a:solidFill>
                    </a:ln>
                  </pic:spPr>
                </pic:pic>
              </a:graphicData>
            </a:graphic>
          </wp:inline>
        </w:drawing>
      </w:r>
    </w:p>
    <w:p w:rsidR="00B42A3F" w:rsidRDefault="00B42A3F" w:rsidP="00B42A3F">
      <w:pPr>
        <w:ind w:right="-8"/>
        <w:jc w:val="both"/>
        <w:rPr>
          <w:rFonts w:ascii="Times" w:hAnsi="Times"/>
        </w:rPr>
        <w:sectPr w:rsidR="00B42A3F" w:rsidSect="00B42A3F">
          <w:footerReference w:type="default" r:id="rId60"/>
          <w:pgSz w:w="16840" w:h="11900" w:orient="landscape"/>
          <w:pgMar w:top="1418" w:right="964" w:bottom="1418" w:left="1304" w:header="709" w:footer="907" w:gutter="0"/>
          <w:cols w:space="708"/>
          <w:docGrid w:linePitch="360"/>
        </w:sectPr>
      </w:pPr>
      <w:r w:rsidRPr="00EF0411">
        <w:rPr>
          <w:rFonts w:ascii="Times" w:hAnsi="Times"/>
        </w:rPr>
        <w:t>Рис. 4 – Динамика индексов облигаций российских нефтегазовых компаний, выбранных для анализа, в течение 2012-2013 гг.: переходный период</w:t>
      </w:r>
    </w:p>
    <w:p w:rsidR="00B42A3F" w:rsidRDefault="00B42A3F" w:rsidP="00B42A3F">
      <w:pPr>
        <w:ind w:right="-8"/>
        <w:jc w:val="center"/>
        <w:rPr>
          <w:rFonts w:ascii="Times" w:hAnsi="Times"/>
        </w:rPr>
      </w:pPr>
    </w:p>
    <w:p w:rsidR="00B42A3F" w:rsidRDefault="00B42A3F" w:rsidP="00B42A3F">
      <w:pPr>
        <w:ind w:right="-8"/>
        <w:jc w:val="center"/>
        <w:rPr>
          <w:rFonts w:ascii="Times" w:hAnsi="Times"/>
          <w:sz w:val="20"/>
          <w:szCs w:val="20"/>
        </w:rPr>
      </w:pPr>
      <w:r>
        <w:rPr>
          <w:rFonts w:ascii="Times" w:hAnsi="Times"/>
          <w:noProof/>
          <w:sz w:val="20"/>
          <w:szCs w:val="20"/>
        </w:rPr>
        <w:drawing>
          <wp:inline distT="0" distB="0" distL="0" distR="0">
            <wp:extent cx="8198069" cy="4312593"/>
            <wp:effectExtent l="19050" t="19050" r="12700" b="12065"/>
            <wp:docPr id="75"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2015.pdf"/>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11" t="1201" b="2488"/>
                    <a:stretch/>
                  </pic:blipFill>
                  <pic:spPr bwMode="auto">
                    <a:xfrm>
                      <a:off x="0" y="0"/>
                      <a:ext cx="8226695" cy="4327652"/>
                    </a:xfrm>
                    <a:prstGeom prst="rect">
                      <a:avLst/>
                    </a:prstGeom>
                    <a:ln>
                      <a:solidFill>
                        <a:srgbClr val="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42A3F" w:rsidRDefault="00B42A3F" w:rsidP="00B42A3F">
      <w:pPr>
        <w:ind w:right="-8"/>
        <w:jc w:val="center"/>
        <w:rPr>
          <w:rFonts w:ascii="Times" w:hAnsi="Times"/>
          <w:sz w:val="20"/>
          <w:szCs w:val="20"/>
        </w:rPr>
      </w:pPr>
      <w:r>
        <w:rPr>
          <w:rFonts w:ascii="Times" w:hAnsi="Times"/>
          <w:noProof/>
        </w:rPr>
        <w:drawing>
          <wp:inline distT="0" distB="0" distL="0" distR="0">
            <wp:extent cx="1828800" cy="551793"/>
            <wp:effectExtent l="19050" t="19050" r="19050" b="20320"/>
            <wp:docPr id="76"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й.pdf"/>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60780" cy="561442"/>
                    </a:xfrm>
                    <a:prstGeom prst="rect">
                      <a:avLst/>
                    </a:prstGeom>
                    <a:ln>
                      <a:solidFill>
                        <a:schemeClr val="tx1"/>
                      </a:solidFill>
                    </a:ln>
                  </pic:spPr>
                </pic:pic>
              </a:graphicData>
            </a:graphic>
          </wp:inline>
        </w:drawing>
      </w:r>
    </w:p>
    <w:p w:rsidR="00B42A3F" w:rsidRDefault="00B42A3F" w:rsidP="00B42A3F">
      <w:pPr>
        <w:ind w:right="-8"/>
        <w:jc w:val="both"/>
        <w:rPr>
          <w:rFonts w:ascii="Times" w:hAnsi="Times"/>
        </w:rPr>
        <w:sectPr w:rsidR="00B42A3F" w:rsidSect="00B42A3F">
          <w:footerReference w:type="default" r:id="rId62"/>
          <w:pgSz w:w="16840" w:h="11900" w:orient="landscape"/>
          <w:pgMar w:top="1418" w:right="964" w:bottom="1418" w:left="1304" w:header="709" w:footer="907" w:gutter="0"/>
          <w:cols w:space="708"/>
          <w:docGrid w:linePitch="360"/>
        </w:sectPr>
      </w:pPr>
      <w:r>
        <w:rPr>
          <w:rFonts w:ascii="Times" w:hAnsi="Times"/>
        </w:rPr>
        <w:t xml:space="preserve">Рис. 5 – Динамика индексов облигаций российских нефтегазовых компаний, выбранных для анализа, в течение периода </w:t>
      </w:r>
      <w:r w:rsidRPr="007A185C">
        <w:rPr>
          <w:rFonts w:ascii="Times" w:hAnsi="Times"/>
        </w:rPr>
        <w:t>2014-2015 гг.: кризис</w:t>
      </w:r>
    </w:p>
    <w:p w:rsidR="00B42A3F" w:rsidRDefault="00B42A3F" w:rsidP="00B42A3F">
      <w:pPr>
        <w:spacing w:before="120"/>
        <w:ind w:firstLine="567"/>
        <w:jc w:val="both"/>
        <w:rPr>
          <w:rFonts w:ascii="Times" w:hAnsi="Times"/>
        </w:rPr>
      </w:pPr>
      <w:r>
        <w:rPr>
          <w:rFonts w:ascii="Times" w:hAnsi="Times"/>
        </w:rPr>
        <w:lastRenderedPageBreak/>
        <w:t xml:space="preserve">Однако, может быть, наличие кризиса можно было установить раньше второй половины 2014 года (когда об этом стали говорить средства массовой информации в России), например, в 2013 году? Это </w:t>
      </w:r>
      <w:r w:rsidRPr="006641DC">
        <w:rPr>
          <w:rFonts w:ascii="Times" w:hAnsi="Times"/>
          <w:b/>
        </w:rPr>
        <w:t>исследовательский вопрос</w:t>
      </w:r>
      <w:r>
        <w:rPr>
          <w:rFonts w:ascii="Times" w:hAnsi="Times"/>
        </w:rPr>
        <w:t xml:space="preserve"> данной работы. Если наличие кризиса можно было установить раньше, то, компании могли бы скорректировать свою инвестиционную стратегию с учётом этой информации (подготовиться к тому, что кризис может наступить).</w:t>
      </w:r>
    </w:p>
    <w:p w:rsidR="00B42A3F" w:rsidRPr="00AA65C6" w:rsidRDefault="00B42A3F" w:rsidP="00B42A3F">
      <w:pPr>
        <w:spacing w:before="120"/>
        <w:ind w:firstLine="567"/>
        <w:jc w:val="both"/>
        <w:rPr>
          <w:rFonts w:ascii="Times" w:hAnsi="Times"/>
          <w:b/>
        </w:rPr>
      </w:pPr>
      <w:r w:rsidRPr="00014584">
        <w:rPr>
          <w:rFonts w:ascii="Times" w:hAnsi="Times"/>
          <w:b/>
          <w:u w:val="single"/>
        </w:rPr>
        <w:t>Независимые переменные</w:t>
      </w:r>
      <w:r>
        <w:rPr>
          <w:rFonts w:ascii="Times" w:hAnsi="Times"/>
          <w:b/>
        </w:rPr>
        <w:t>: доходность индексов</w:t>
      </w:r>
      <w:r w:rsidRPr="00AA65C6">
        <w:rPr>
          <w:rFonts w:ascii="Times" w:hAnsi="Times"/>
          <w:b/>
        </w:rPr>
        <w:t xml:space="preserve"> облигаций российских нефтегазовых компаний</w:t>
      </w:r>
    </w:p>
    <w:p w:rsidR="00B42A3F" w:rsidRDefault="00B42A3F" w:rsidP="00B42A3F">
      <w:pPr>
        <w:spacing w:before="120"/>
        <w:ind w:firstLine="567"/>
        <w:jc w:val="both"/>
        <w:rPr>
          <w:rFonts w:ascii="Times" w:hAnsi="Times"/>
        </w:rPr>
      </w:pPr>
      <w:r>
        <w:rPr>
          <w:rFonts w:ascii="Times" w:hAnsi="Times"/>
        </w:rPr>
        <w:t>Значения индексов различных компаний несопоставимы (и временные ряды, построенные на их основе, нестационарны). Поэтому, для приведения переменных к сопоставимым значениям, потребовалось получить на основе динамики индексов облигаций динамику доходностей индексов (</w:t>
      </w:r>
      <w:r w:rsidRPr="003636E3">
        <w:rPr>
          <w:rFonts w:ascii="Times" w:hAnsi="Times"/>
        </w:rPr>
        <w:t>рис. 6</w:t>
      </w:r>
      <w:r>
        <w:rPr>
          <w:rFonts w:ascii="Times" w:hAnsi="Times"/>
        </w:rPr>
        <w:t xml:space="preserve">). </w:t>
      </w:r>
    </w:p>
    <w:p w:rsidR="00B42A3F" w:rsidRPr="00B42A3F" w:rsidRDefault="00B42A3F" w:rsidP="00B42A3F">
      <w:pPr>
        <w:spacing w:before="120"/>
        <w:ind w:firstLine="567"/>
        <w:jc w:val="both"/>
        <w:rPr>
          <w:rFonts w:ascii="Times" w:hAnsi="Times"/>
          <w:lang w:val="en-US"/>
        </w:rPr>
      </w:pPr>
      <w:r>
        <w:rPr>
          <w:rFonts w:ascii="Times" w:hAnsi="Times"/>
        </w:rPr>
        <w:t xml:space="preserve">На графиках динамики доходностей индексов облигаций можно отметить, что в первом периоде в первой половине 2010 года (на этапе восстановления после кризиса 2009-2010 гг.) происходили колебания доходности индексов, в течение 2012-2013 гг. колебания были относительно умеренными (переходный этап), а во второй половине 2014 года колебания доходностей индексов облигаций были особенно сильны (этап кризиса). </w:t>
      </w:r>
    </w:p>
    <w:p w:rsidR="00B42A3F" w:rsidRDefault="00B42A3F" w:rsidP="00B42A3F">
      <w:pPr>
        <w:ind w:right="-8"/>
        <w:jc w:val="both"/>
        <w:rPr>
          <w:rFonts w:ascii="Times" w:hAnsi="Times"/>
        </w:rPr>
      </w:pPr>
      <w:r>
        <w:rPr>
          <w:rFonts w:ascii="Times" w:hAnsi="Times"/>
          <w:noProof/>
        </w:rPr>
        <w:drawing>
          <wp:inline distT="0" distB="0" distL="0" distR="0">
            <wp:extent cx="5972757" cy="4343823"/>
            <wp:effectExtent l="0" t="0" r="0" b="0"/>
            <wp:docPr id="77"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й.pdf"/>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72757" cy="4343823"/>
                    </a:xfrm>
                    <a:prstGeom prst="rect">
                      <a:avLst/>
                    </a:prstGeom>
                  </pic:spPr>
                </pic:pic>
              </a:graphicData>
            </a:graphic>
          </wp:inline>
        </w:drawing>
      </w:r>
    </w:p>
    <w:p w:rsidR="00B42A3F" w:rsidRDefault="00B42A3F" w:rsidP="00B42A3F">
      <w:pPr>
        <w:ind w:right="-8" w:firstLine="1985"/>
        <w:jc w:val="both"/>
        <w:rPr>
          <w:rFonts w:ascii="Times" w:hAnsi="Times"/>
        </w:rPr>
      </w:pPr>
      <w:r>
        <w:rPr>
          <w:rFonts w:ascii="Times" w:hAnsi="Times"/>
          <w:noProof/>
        </w:rPr>
        <w:drawing>
          <wp:inline distT="0" distB="0" distL="0" distR="0">
            <wp:extent cx="3466769" cy="743719"/>
            <wp:effectExtent l="19050" t="0" r="331" b="0"/>
            <wp:docPr id="7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2011.pdf"/>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9626" t="77469" r="14745" b="3172"/>
                    <a:stretch/>
                  </pic:blipFill>
                  <pic:spPr bwMode="auto">
                    <a:xfrm>
                      <a:off x="0" y="0"/>
                      <a:ext cx="3483980" cy="7474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42A3F" w:rsidRPr="009E31E8" w:rsidRDefault="00B42A3F" w:rsidP="00B42A3F">
      <w:pPr>
        <w:ind w:right="-8"/>
        <w:rPr>
          <w:rFonts w:ascii="Times" w:hAnsi="Times"/>
        </w:rPr>
      </w:pPr>
      <w:r w:rsidRPr="009E31E8">
        <w:rPr>
          <w:rFonts w:ascii="Times" w:hAnsi="Times"/>
        </w:rPr>
        <w:t>Ри</w:t>
      </w:r>
      <w:r>
        <w:rPr>
          <w:rFonts w:ascii="Times" w:hAnsi="Times"/>
        </w:rPr>
        <w:t>с. 6</w:t>
      </w:r>
      <w:r w:rsidRPr="009E31E8">
        <w:rPr>
          <w:rFonts w:ascii="Times" w:hAnsi="Times"/>
        </w:rPr>
        <w:t xml:space="preserve"> – Графики динамики доходностей индексов облигаций</w:t>
      </w:r>
    </w:p>
    <w:p w:rsidR="00B42A3F" w:rsidRDefault="00B42A3F" w:rsidP="00B42A3F">
      <w:pPr>
        <w:ind w:left="0" w:right="-8" w:firstLine="567"/>
        <w:jc w:val="both"/>
        <w:rPr>
          <w:rFonts w:ascii="Times" w:hAnsi="Times"/>
        </w:rPr>
      </w:pPr>
      <w:r>
        <w:rPr>
          <w:rFonts w:ascii="Times" w:hAnsi="Times"/>
        </w:rPr>
        <w:lastRenderedPageBreak/>
        <w:t xml:space="preserve">На </w:t>
      </w:r>
      <w:r w:rsidRPr="003636E3">
        <w:rPr>
          <w:rFonts w:ascii="Times" w:hAnsi="Times"/>
        </w:rPr>
        <w:t xml:space="preserve">рис. 7 </w:t>
      </w:r>
      <w:r>
        <w:rPr>
          <w:rFonts w:ascii="Times" w:hAnsi="Times"/>
        </w:rPr>
        <w:t>изображены графики выборочных автокорреляционных функций для переменных – доходностей индексов облигаций.</w:t>
      </w:r>
    </w:p>
    <w:p w:rsidR="00B42A3F" w:rsidRDefault="00B42A3F" w:rsidP="00B42A3F">
      <w:pPr>
        <w:ind w:left="0" w:right="-8" w:firstLine="0"/>
        <w:jc w:val="both"/>
        <w:rPr>
          <w:rFonts w:ascii="Times" w:hAnsi="Times"/>
        </w:rPr>
      </w:pPr>
      <w:r w:rsidRPr="00B6667F">
        <w:rPr>
          <w:rFonts w:ascii="Times" w:hAnsi="Times"/>
          <w:noProof/>
        </w:rPr>
        <w:drawing>
          <wp:inline distT="0" distB="0" distL="0" distR="0">
            <wp:extent cx="5783580" cy="4206240"/>
            <wp:effectExtent l="25400" t="25400" r="33020" b="35560"/>
            <wp:docPr id="79"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й.pdf"/>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84144" cy="4206650"/>
                    </a:xfrm>
                    <a:prstGeom prst="rect">
                      <a:avLst/>
                    </a:prstGeom>
                    <a:ln>
                      <a:solidFill>
                        <a:schemeClr val="tx1"/>
                      </a:solidFill>
                    </a:ln>
                  </pic:spPr>
                </pic:pic>
              </a:graphicData>
            </a:graphic>
          </wp:inline>
        </w:drawing>
      </w:r>
    </w:p>
    <w:p w:rsidR="00B42A3F" w:rsidRPr="00B6667F" w:rsidRDefault="00B42A3F" w:rsidP="00E06C9A">
      <w:pPr>
        <w:ind w:left="0" w:right="-8" w:firstLine="0"/>
        <w:jc w:val="both"/>
        <w:rPr>
          <w:rFonts w:ascii="Times" w:hAnsi="Times"/>
        </w:rPr>
      </w:pPr>
      <w:r>
        <w:rPr>
          <w:rFonts w:ascii="Times" w:hAnsi="Times"/>
        </w:rPr>
        <w:t>Рис. 7</w:t>
      </w:r>
      <w:r w:rsidRPr="00B6667F">
        <w:rPr>
          <w:rFonts w:ascii="Times" w:hAnsi="Times"/>
        </w:rPr>
        <w:t xml:space="preserve"> – Графики автокорреляционных функций для доходностей индексов облигаций</w:t>
      </w:r>
    </w:p>
    <w:p w:rsidR="00B42A3F" w:rsidRDefault="00B42A3F" w:rsidP="00B42A3F">
      <w:pPr>
        <w:spacing w:before="120"/>
        <w:ind w:left="0" w:right="-8" w:firstLine="567"/>
        <w:jc w:val="both"/>
        <w:rPr>
          <w:rFonts w:ascii="Times" w:hAnsi="Times"/>
        </w:rPr>
      </w:pPr>
      <w:r>
        <w:rPr>
          <w:rFonts w:ascii="Times" w:hAnsi="Times"/>
        </w:rPr>
        <w:t xml:space="preserve">На основе визуального анализа графиков автокорреляционных функций временных рядов можно выдвинуть гипотезу, что ряды доходностей индексов облигаций компаний не содержат автокорреляцию. </w:t>
      </w:r>
    </w:p>
    <w:p w:rsidR="00B42A3F" w:rsidRPr="00B6667F" w:rsidRDefault="00B42A3F" w:rsidP="00B42A3F">
      <w:pPr>
        <w:spacing w:before="120"/>
        <w:ind w:left="0" w:right="-8" w:firstLine="567"/>
        <w:jc w:val="both"/>
        <w:rPr>
          <w:rFonts w:ascii="Times" w:hAnsi="Times"/>
          <w:b/>
          <w:i/>
        </w:rPr>
      </w:pPr>
      <w:r w:rsidRPr="00B6667F">
        <w:rPr>
          <w:rFonts w:ascii="Times" w:hAnsi="Times"/>
          <w:b/>
          <w:i/>
        </w:rPr>
        <w:t>Наличие автокорреляции: тесты Breusch-Godfrey, информационные критерии Акаике, Шварца и Хеннана-Куинна</w:t>
      </w:r>
    </w:p>
    <w:p w:rsidR="00B42A3F" w:rsidRDefault="00B42A3F" w:rsidP="00B42A3F">
      <w:pPr>
        <w:spacing w:before="120"/>
        <w:ind w:left="0" w:right="-8" w:firstLine="567"/>
        <w:jc w:val="both"/>
        <w:rPr>
          <w:rFonts w:ascii="Times" w:hAnsi="Times"/>
          <w:lang w:val="en-US"/>
        </w:rPr>
      </w:pPr>
      <w:r>
        <w:rPr>
          <w:rFonts w:ascii="Times" w:hAnsi="Times"/>
        </w:rPr>
        <w:t xml:space="preserve">Результаты теста </w:t>
      </w:r>
      <w:r w:rsidRPr="00B6667F">
        <w:rPr>
          <w:rFonts w:ascii="Times" w:hAnsi="Times"/>
        </w:rPr>
        <w:t xml:space="preserve">Breush-Godfrey </w:t>
      </w:r>
      <w:r>
        <w:rPr>
          <w:rFonts w:ascii="Times" w:hAnsi="Times"/>
        </w:rPr>
        <w:t xml:space="preserve">для временных рядов доходностей индексов всех облигаций представлены в </w:t>
      </w:r>
      <w:r w:rsidRPr="003636E3">
        <w:rPr>
          <w:rFonts w:ascii="Times" w:hAnsi="Times"/>
        </w:rPr>
        <w:t>Таблице 2.</w:t>
      </w:r>
    </w:p>
    <w:p w:rsidR="00B42A3F" w:rsidRPr="00B42A3F" w:rsidRDefault="00B42A3F" w:rsidP="00B42A3F">
      <w:pPr>
        <w:spacing w:before="120"/>
        <w:ind w:left="0" w:right="-8" w:firstLine="567"/>
        <w:jc w:val="both"/>
        <w:rPr>
          <w:rFonts w:ascii="Times" w:hAnsi="Times"/>
          <w:lang w:val="en-US"/>
        </w:rPr>
      </w:pPr>
    </w:p>
    <w:p w:rsidR="00B42A3F" w:rsidRPr="003636E3" w:rsidRDefault="00B42A3F" w:rsidP="00B42A3F">
      <w:pPr>
        <w:ind w:left="0" w:right="-8" w:firstLine="0"/>
        <w:jc w:val="both"/>
        <w:rPr>
          <w:rFonts w:ascii="Times" w:hAnsi="Times"/>
        </w:rPr>
      </w:pPr>
      <w:r w:rsidRPr="003636E3">
        <w:rPr>
          <w:rFonts w:ascii="Times" w:hAnsi="Times"/>
        </w:rPr>
        <w:t>Таблица 2: Результаты теста Breush-Godfrey для временных рядов доходностей индексов всех облигаций</w:t>
      </w:r>
    </w:p>
    <w:tbl>
      <w:tblPr>
        <w:tblStyle w:val="ae"/>
        <w:tblW w:w="0" w:type="auto"/>
        <w:tblInd w:w="108" w:type="dxa"/>
        <w:tblLook w:val="04A0"/>
      </w:tblPr>
      <w:tblGrid>
        <w:gridCol w:w="2310"/>
        <w:gridCol w:w="703"/>
        <w:gridCol w:w="1299"/>
        <w:gridCol w:w="703"/>
        <w:gridCol w:w="1299"/>
        <w:gridCol w:w="703"/>
        <w:gridCol w:w="1299"/>
      </w:tblGrid>
      <w:tr w:rsidR="00B42A3F" w:rsidRPr="00066AF2" w:rsidTr="00B42A3F">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Период</w:t>
            </w:r>
          </w:p>
        </w:tc>
        <w:tc>
          <w:tcPr>
            <w:tcW w:w="0" w:type="auto"/>
            <w:gridSpan w:val="2"/>
          </w:tcPr>
          <w:p w:rsidR="00B42A3F" w:rsidRPr="00066AF2" w:rsidRDefault="00B42A3F" w:rsidP="00B42A3F">
            <w:pPr>
              <w:ind w:right="-8"/>
              <w:jc w:val="both"/>
              <w:rPr>
                <w:rFonts w:ascii="Times" w:hAnsi="Times"/>
                <w:b/>
                <w:sz w:val="22"/>
                <w:szCs w:val="22"/>
              </w:rPr>
            </w:pPr>
            <w:r w:rsidRPr="00066AF2">
              <w:rPr>
                <w:rFonts w:ascii="Times" w:hAnsi="Times"/>
                <w:b/>
                <w:sz w:val="22"/>
                <w:szCs w:val="22"/>
              </w:rPr>
              <w:t>2014-2015</w:t>
            </w:r>
          </w:p>
        </w:tc>
        <w:tc>
          <w:tcPr>
            <w:tcW w:w="0" w:type="auto"/>
            <w:gridSpan w:val="2"/>
          </w:tcPr>
          <w:p w:rsidR="00B42A3F" w:rsidRPr="00066AF2" w:rsidRDefault="00B42A3F" w:rsidP="00B42A3F">
            <w:pPr>
              <w:ind w:right="-8"/>
              <w:jc w:val="both"/>
              <w:rPr>
                <w:rFonts w:ascii="Times" w:hAnsi="Times"/>
                <w:b/>
                <w:sz w:val="22"/>
                <w:szCs w:val="22"/>
              </w:rPr>
            </w:pPr>
            <w:r w:rsidRPr="00066AF2">
              <w:rPr>
                <w:rFonts w:ascii="Times" w:hAnsi="Times"/>
                <w:b/>
                <w:sz w:val="22"/>
                <w:szCs w:val="22"/>
              </w:rPr>
              <w:t>2012-2013</w:t>
            </w:r>
          </w:p>
        </w:tc>
        <w:tc>
          <w:tcPr>
            <w:tcW w:w="0" w:type="auto"/>
            <w:gridSpan w:val="2"/>
          </w:tcPr>
          <w:p w:rsidR="00B42A3F" w:rsidRPr="00066AF2" w:rsidRDefault="00B42A3F" w:rsidP="00B42A3F">
            <w:pPr>
              <w:ind w:right="-8"/>
              <w:jc w:val="both"/>
              <w:rPr>
                <w:rFonts w:ascii="Times" w:hAnsi="Times"/>
                <w:b/>
                <w:sz w:val="22"/>
                <w:szCs w:val="22"/>
              </w:rPr>
            </w:pPr>
            <w:r w:rsidRPr="00066AF2">
              <w:rPr>
                <w:rFonts w:ascii="Times" w:hAnsi="Times"/>
                <w:b/>
                <w:sz w:val="22"/>
                <w:szCs w:val="22"/>
              </w:rPr>
              <w:t>2010-2011</w:t>
            </w:r>
          </w:p>
        </w:tc>
      </w:tr>
      <w:tr w:rsidR="00B42A3F" w:rsidRPr="00066AF2" w:rsidTr="00B42A3F">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Переменная</w:t>
            </w:r>
          </w:p>
        </w:tc>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chi2</w:t>
            </w:r>
          </w:p>
        </w:tc>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Prob &gt; chi2</w:t>
            </w:r>
          </w:p>
        </w:tc>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chi2</w:t>
            </w:r>
          </w:p>
        </w:tc>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Prob &gt; chi2</w:t>
            </w:r>
          </w:p>
        </w:tc>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chi2</w:t>
            </w:r>
          </w:p>
        </w:tc>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Prob &gt; chi2</w:t>
            </w:r>
          </w:p>
        </w:tc>
      </w:tr>
      <w:tr w:rsidR="00B42A3F" w:rsidRPr="00066AF2" w:rsidTr="00B42A3F">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bashneft_return</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0.371</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0.8308</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0.01</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0.9948</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0.371</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0.8308</w:t>
            </w:r>
          </w:p>
        </w:tc>
      </w:tr>
      <w:tr w:rsidR="00B42A3F" w:rsidRPr="00066AF2" w:rsidTr="00B42A3F">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rosneft_return</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1.098</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0.5775</w:t>
            </w:r>
          </w:p>
        </w:tc>
        <w:tc>
          <w:tcPr>
            <w:tcW w:w="0" w:type="auto"/>
            <w:shd w:val="clear" w:color="auto" w:fill="D9D9D9" w:themeFill="background1" w:themeFillShade="D9"/>
          </w:tcPr>
          <w:p w:rsidR="00B42A3F" w:rsidRPr="00066AF2" w:rsidRDefault="00B42A3F" w:rsidP="00B42A3F">
            <w:pPr>
              <w:ind w:right="-8"/>
              <w:jc w:val="both"/>
              <w:rPr>
                <w:rFonts w:ascii="Times" w:hAnsi="Times"/>
                <w:sz w:val="22"/>
                <w:szCs w:val="22"/>
              </w:rPr>
            </w:pPr>
            <w:r w:rsidRPr="00066AF2">
              <w:rPr>
                <w:rFonts w:ascii="Times" w:hAnsi="Times"/>
                <w:sz w:val="22"/>
                <w:szCs w:val="22"/>
              </w:rPr>
              <w:t>7.694</w:t>
            </w:r>
          </w:p>
        </w:tc>
        <w:tc>
          <w:tcPr>
            <w:tcW w:w="0" w:type="auto"/>
            <w:shd w:val="clear" w:color="auto" w:fill="D9D9D9" w:themeFill="background1" w:themeFillShade="D9"/>
          </w:tcPr>
          <w:p w:rsidR="00B42A3F" w:rsidRPr="00066AF2" w:rsidRDefault="00B42A3F" w:rsidP="00B42A3F">
            <w:pPr>
              <w:ind w:right="-8"/>
              <w:jc w:val="both"/>
              <w:rPr>
                <w:rFonts w:ascii="Times" w:hAnsi="Times"/>
                <w:sz w:val="22"/>
                <w:szCs w:val="22"/>
              </w:rPr>
            </w:pPr>
            <w:r w:rsidRPr="00066AF2">
              <w:rPr>
                <w:rFonts w:ascii="Times" w:hAnsi="Times"/>
                <w:sz w:val="22"/>
                <w:szCs w:val="22"/>
              </w:rPr>
              <w:t>0.0213</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1.098</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0.5775</w:t>
            </w:r>
          </w:p>
        </w:tc>
      </w:tr>
      <w:tr w:rsidR="00B42A3F" w:rsidRPr="00066AF2" w:rsidTr="00B42A3F">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lukoil_return</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0.648</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0.7232</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3.043</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0.2184</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0.648</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0.7232</w:t>
            </w:r>
          </w:p>
        </w:tc>
      </w:tr>
      <w:tr w:rsidR="00B42A3F" w:rsidRPr="00066AF2" w:rsidTr="00B42A3F">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surgutneftegas_return</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3.82</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0.1481</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4.899</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0.0863</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3.82</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0.1481</w:t>
            </w:r>
          </w:p>
        </w:tc>
      </w:tr>
      <w:tr w:rsidR="00B42A3F" w:rsidRPr="00066AF2" w:rsidTr="00B42A3F">
        <w:tc>
          <w:tcPr>
            <w:tcW w:w="0" w:type="auto"/>
          </w:tcPr>
          <w:p w:rsidR="00B42A3F" w:rsidRPr="00066AF2" w:rsidRDefault="00B42A3F" w:rsidP="00B42A3F">
            <w:pPr>
              <w:ind w:right="-8"/>
              <w:jc w:val="both"/>
              <w:rPr>
                <w:rFonts w:ascii="Times" w:hAnsi="Times"/>
                <w:b/>
                <w:sz w:val="22"/>
                <w:szCs w:val="22"/>
              </w:rPr>
            </w:pPr>
            <w:r w:rsidRPr="00066AF2">
              <w:rPr>
                <w:rFonts w:ascii="Times" w:hAnsi="Times"/>
                <w:b/>
                <w:sz w:val="22"/>
                <w:szCs w:val="22"/>
              </w:rPr>
              <w:t>tatneft_return</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0.656</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0.7204</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0.282</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0.8683</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0.656</w:t>
            </w:r>
          </w:p>
        </w:tc>
        <w:tc>
          <w:tcPr>
            <w:tcW w:w="0" w:type="auto"/>
          </w:tcPr>
          <w:p w:rsidR="00B42A3F" w:rsidRPr="00066AF2" w:rsidRDefault="00B42A3F" w:rsidP="00B42A3F">
            <w:pPr>
              <w:ind w:right="-8"/>
              <w:jc w:val="both"/>
              <w:rPr>
                <w:rFonts w:ascii="Times" w:hAnsi="Times"/>
                <w:sz w:val="22"/>
                <w:szCs w:val="22"/>
              </w:rPr>
            </w:pPr>
            <w:r w:rsidRPr="00066AF2">
              <w:rPr>
                <w:rFonts w:ascii="Times" w:hAnsi="Times"/>
                <w:sz w:val="22"/>
                <w:szCs w:val="22"/>
              </w:rPr>
              <w:t>0.7204</w:t>
            </w:r>
          </w:p>
        </w:tc>
      </w:tr>
    </w:tbl>
    <w:p w:rsidR="00B42A3F" w:rsidRPr="00EE2BC7" w:rsidRDefault="00B42A3F" w:rsidP="00B42A3F">
      <w:pPr>
        <w:ind w:left="0" w:right="-8" w:firstLine="567"/>
        <w:jc w:val="both"/>
        <w:rPr>
          <w:rFonts w:ascii="Times" w:hAnsi="Times"/>
          <w:u w:val="single"/>
        </w:rPr>
      </w:pPr>
      <w:r w:rsidRPr="00EE2BC7">
        <w:rPr>
          <w:rFonts w:ascii="Times" w:hAnsi="Times"/>
          <w:u w:val="single"/>
        </w:rPr>
        <w:t>На основе результатов теста Breush-Godfrey можно сделать выводы:</w:t>
      </w:r>
    </w:p>
    <w:p w:rsidR="00B42A3F" w:rsidRPr="00B77059" w:rsidRDefault="00B42A3F" w:rsidP="00B42A3F">
      <w:pPr>
        <w:ind w:left="0" w:right="-8" w:firstLine="567"/>
        <w:jc w:val="both"/>
        <w:rPr>
          <w:rFonts w:ascii="Times" w:hAnsi="Times"/>
        </w:rPr>
      </w:pPr>
      <w:r>
        <w:rPr>
          <w:rFonts w:ascii="Times" w:hAnsi="Times"/>
        </w:rPr>
        <w:lastRenderedPageBreak/>
        <w:t xml:space="preserve">1. </w:t>
      </w:r>
      <w:r w:rsidRPr="00B77059">
        <w:rPr>
          <w:rFonts w:ascii="Times" w:hAnsi="Times"/>
        </w:rPr>
        <w:t xml:space="preserve">Временные ряды доходностей индексов </w:t>
      </w:r>
      <w:r>
        <w:rPr>
          <w:rFonts w:ascii="Times" w:hAnsi="Times"/>
        </w:rPr>
        <w:t xml:space="preserve">всех </w:t>
      </w:r>
      <w:r w:rsidRPr="00B77059">
        <w:rPr>
          <w:rFonts w:ascii="Times" w:hAnsi="Times"/>
        </w:rPr>
        <w:t xml:space="preserve">облигаций </w:t>
      </w:r>
      <w:r>
        <w:rPr>
          <w:rFonts w:ascii="Times" w:hAnsi="Times"/>
        </w:rPr>
        <w:t xml:space="preserve">в периодах 2010-2011 гг. и 2014-2015 гг. </w:t>
      </w:r>
      <w:r w:rsidRPr="00B77059">
        <w:rPr>
          <w:rFonts w:ascii="Times" w:hAnsi="Times"/>
        </w:rPr>
        <w:t>можно считать очищенными от автокорреляции;</w:t>
      </w:r>
    </w:p>
    <w:p w:rsidR="00B42A3F" w:rsidRPr="00B512FA" w:rsidRDefault="00B42A3F" w:rsidP="00B42A3F">
      <w:pPr>
        <w:ind w:left="0" w:right="-8" w:firstLine="567"/>
        <w:jc w:val="both"/>
        <w:rPr>
          <w:rFonts w:ascii="Times" w:hAnsi="Times"/>
        </w:rPr>
      </w:pPr>
      <w:r>
        <w:rPr>
          <w:rFonts w:ascii="Times" w:hAnsi="Times"/>
        </w:rPr>
        <w:t>2. В периоде 2012-2013 гг. временной ряд доходностей индекса облигаций Роснефти содержит серийную автокорреляцию</w:t>
      </w:r>
      <w:r w:rsidRPr="00B512FA">
        <w:rPr>
          <w:rFonts w:ascii="Times" w:hAnsi="Times"/>
        </w:rPr>
        <w:t>.</w:t>
      </w:r>
    </w:p>
    <w:p w:rsidR="00B42A3F" w:rsidRDefault="00B42A3F" w:rsidP="00B42A3F">
      <w:pPr>
        <w:ind w:left="0" w:right="-8" w:firstLine="567"/>
        <w:jc w:val="both"/>
        <w:rPr>
          <w:rFonts w:ascii="Times" w:hAnsi="Times"/>
        </w:rPr>
      </w:pPr>
      <w:r>
        <w:rPr>
          <w:rFonts w:ascii="Times" w:hAnsi="Times"/>
        </w:rPr>
        <w:t xml:space="preserve">3. На основе теста </w:t>
      </w:r>
      <w:r w:rsidRPr="00B6667F">
        <w:rPr>
          <w:rFonts w:ascii="Times" w:hAnsi="Times"/>
        </w:rPr>
        <w:t xml:space="preserve">Breush-Godfrey было принято решение взять первые разности временного ряда доходностей индекса облигаций Роснефти </w:t>
      </w:r>
      <w:r>
        <w:rPr>
          <w:rFonts w:ascii="Times" w:hAnsi="Times"/>
        </w:rPr>
        <w:t>в периоде 2012-2013 гг</w:t>
      </w:r>
      <w:r w:rsidRPr="00B6667F">
        <w:rPr>
          <w:rFonts w:ascii="Times" w:hAnsi="Times"/>
        </w:rPr>
        <w:t xml:space="preserve">. Были получены следующие </w:t>
      </w:r>
      <w:r>
        <w:rPr>
          <w:rFonts w:ascii="Times" w:hAnsi="Times"/>
        </w:rPr>
        <w:t xml:space="preserve">результаты теста </w:t>
      </w:r>
      <w:r>
        <w:rPr>
          <w:rFonts w:ascii="Times" w:hAnsi="Times"/>
          <w:lang w:val="en-US"/>
        </w:rPr>
        <w:t>Breush</w:t>
      </w:r>
      <w:r w:rsidRPr="0058455C">
        <w:rPr>
          <w:rFonts w:ascii="Times" w:hAnsi="Times"/>
        </w:rPr>
        <w:t>-</w:t>
      </w:r>
      <w:r>
        <w:rPr>
          <w:rFonts w:ascii="Times" w:hAnsi="Times"/>
          <w:lang w:val="en-US"/>
        </w:rPr>
        <w:t>Godfrey</w:t>
      </w:r>
      <w:r w:rsidRPr="0058455C">
        <w:rPr>
          <w:rFonts w:ascii="Times" w:hAnsi="Times"/>
        </w:rPr>
        <w:t xml:space="preserve"> </w:t>
      </w:r>
      <w:r>
        <w:rPr>
          <w:rFonts w:ascii="Times" w:hAnsi="Times"/>
        </w:rPr>
        <w:t xml:space="preserve">и оценки информационных критериев для временного ряда </w:t>
      </w:r>
      <w:r>
        <w:rPr>
          <w:rFonts w:ascii="Times" w:hAnsi="Times"/>
          <w:lang w:val="en-US"/>
        </w:rPr>
        <w:t>rosneft</w:t>
      </w:r>
      <w:r w:rsidRPr="0058455C">
        <w:rPr>
          <w:rFonts w:ascii="Times" w:hAnsi="Times"/>
        </w:rPr>
        <w:t>_</w:t>
      </w:r>
      <w:r>
        <w:rPr>
          <w:rFonts w:ascii="Times" w:hAnsi="Times"/>
          <w:lang w:val="en-US"/>
        </w:rPr>
        <w:t>return</w:t>
      </w:r>
      <w:r w:rsidRPr="0058455C">
        <w:rPr>
          <w:rFonts w:ascii="Times" w:hAnsi="Times"/>
        </w:rPr>
        <w:t xml:space="preserve"> </w:t>
      </w:r>
      <w:r>
        <w:rPr>
          <w:rFonts w:ascii="Times" w:hAnsi="Times"/>
        </w:rPr>
        <w:t xml:space="preserve">и </w:t>
      </w:r>
      <w:r>
        <w:rPr>
          <w:rFonts w:ascii="Times" w:hAnsi="Times"/>
          <w:lang w:val="en-US"/>
        </w:rPr>
        <w:t>Drosneft</w:t>
      </w:r>
      <w:r w:rsidRPr="0058455C">
        <w:rPr>
          <w:rFonts w:ascii="Times" w:hAnsi="Times"/>
        </w:rPr>
        <w:t>_</w:t>
      </w:r>
      <w:r>
        <w:rPr>
          <w:rFonts w:ascii="Times" w:hAnsi="Times"/>
          <w:lang w:val="en-US"/>
        </w:rPr>
        <w:t>return</w:t>
      </w:r>
      <w:r w:rsidRPr="00A140DC">
        <w:rPr>
          <w:rStyle w:val="af"/>
        </w:rPr>
        <w:footnoteReference w:id="18"/>
      </w:r>
      <w:r w:rsidRPr="00B6667F">
        <w:rPr>
          <w:rFonts w:ascii="Times" w:hAnsi="Times"/>
        </w:rPr>
        <w:t xml:space="preserve"> (</w:t>
      </w:r>
      <w:r w:rsidRPr="003636E3">
        <w:rPr>
          <w:rFonts w:ascii="Times" w:hAnsi="Times"/>
        </w:rPr>
        <w:t>табл. 3</w:t>
      </w:r>
      <w:r w:rsidRPr="00B6667F">
        <w:rPr>
          <w:rFonts w:ascii="Times" w:hAnsi="Times"/>
        </w:rPr>
        <w:t>).</w:t>
      </w:r>
    </w:p>
    <w:p w:rsidR="00B42A3F" w:rsidRPr="00B6667F" w:rsidRDefault="00B42A3F" w:rsidP="00B42A3F">
      <w:pPr>
        <w:ind w:left="0" w:right="-8" w:firstLine="567"/>
        <w:jc w:val="both"/>
        <w:rPr>
          <w:rFonts w:ascii="Times" w:hAnsi="Times"/>
        </w:rPr>
      </w:pPr>
    </w:p>
    <w:p w:rsidR="00B42A3F" w:rsidRPr="003636E3" w:rsidRDefault="00B42A3F" w:rsidP="00E06C9A">
      <w:pPr>
        <w:ind w:left="0" w:right="-8" w:firstLine="0"/>
        <w:jc w:val="both"/>
        <w:rPr>
          <w:rFonts w:ascii="Times" w:hAnsi="Times"/>
        </w:rPr>
      </w:pPr>
      <w:r w:rsidRPr="003636E3">
        <w:rPr>
          <w:rFonts w:ascii="Times" w:hAnsi="Times"/>
        </w:rPr>
        <w:t>Таблица 3: Характеристики временного ряда доходностей индекса облигаций Роснефти в периоде 2012-2013 гг. и временного ряда, построенного на первых разностях временного ряда доходностей индекса облигаций Роснефти</w:t>
      </w:r>
    </w:p>
    <w:tbl>
      <w:tblPr>
        <w:tblStyle w:val="ae"/>
        <w:tblW w:w="0" w:type="auto"/>
        <w:jc w:val="center"/>
        <w:tblInd w:w="108" w:type="dxa"/>
        <w:tblLook w:val="04A0"/>
      </w:tblPr>
      <w:tblGrid>
        <w:gridCol w:w="5346"/>
        <w:gridCol w:w="1824"/>
        <w:gridCol w:w="1756"/>
      </w:tblGrid>
      <w:tr w:rsidR="00B42A3F" w:rsidRPr="00B6667F" w:rsidTr="00B42A3F">
        <w:trPr>
          <w:jc w:val="center"/>
        </w:trPr>
        <w:tc>
          <w:tcPr>
            <w:tcW w:w="0" w:type="auto"/>
            <w:vAlign w:val="bottom"/>
          </w:tcPr>
          <w:p w:rsidR="00B42A3F" w:rsidRPr="00B6667F" w:rsidRDefault="00B42A3F" w:rsidP="00B42A3F">
            <w:pPr>
              <w:jc w:val="both"/>
              <w:rPr>
                <w:rFonts w:ascii="Times" w:hAnsi="Times"/>
                <w:b/>
                <w:sz w:val="22"/>
                <w:szCs w:val="22"/>
              </w:rPr>
            </w:pPr>
            <w:r w:rsidRPr="00B6667F">
              <w:rPr>
                <w:rFonts w:ascii="Times" w:hAnsi="Times"/>
                <w:b/>
                <w:sz w:val="22"/>
                <w:szCs w:val="22"/>
              </w:rPr>
              <w:t>Характеристика</w:t>
            </w:r>
          </w:p>
        </w:tc>
        <w:tc>
          <w:tcPr>
            <w:tcW w:w="1824" w:type="dxa"/>
            <w:vAlign w:val="bottom"/>
          </w:tcPr>
          <w:p w:rsidR="00B42A3F" w:rsidRPr="00B6667F" w:rsidRDefault="00B42A3F" w:rsidP="00B42A3F">
            <w:pPr>
              <w:jc w:val="both"/>
              <w:rPr>
                <w:rFonts w:ascii="Times" w:hAnsi="Times"/>
                <w:b/>
                <w:sz w:val="22"/>
                <w:szCs w:val="22"/>
              </w:rPr>
            </w:pPr>
            <w:r w:rsidRPr="00B6667F">
              <w:rPr>
                <w:rFonts w:ascii="Times" w:hAnsi="Times"/>
                <w:b/>
                <w:sz w:val="22"/>
                <w:szCs w:val="22"/>
              </w:rPr>
              <w:t>rosneft_return</w:t>
            </w:r>
          </w:p>
        </w:tc>
        <w:tc>
          <w:tcPr>
            <w:tcW w:w="0" w:type="auto"/>
            <w:vAlign w:val="bottom"/>
          </w:tcPr>
          <w:p w:rsidR="00B42A3F" w:rsidRPr="00B6667F" w:rsidRDefault="00B42A3F" w:rsidP="00B42A3F">
            <w:pPr>
              <w:jc w:val="both"/>
              <w:rPr>
                <w:rFonts w:ascii="Times" w:hAnsi="Times"/>
                <w:b/>
                <w:sz w:val="22"/>
                <w:szCs w:val="22"/>
              </w:rPr>
            </w:pPr>
            <w:r w:rsidRPr="00B6667F">
              <w:rPr>
                <w:rFonts w:ascii="Times" w:hAnsi="Times"/>
                <w:b/>
                <w:sz w:val="22"/>
                <w:szCs w:val="22"/>
              </w:rPr>
              <w:t>Drosneft_return</w:t>
            </w:r>
          </w:p>
        </w:tc>
      </w:tr>
      <w:tr w:rsidR="00B42A3F" w:rsidRPr="00B6667F" w:rsidTr="00B42A3F">
        <w:trPr>
          <w:jc w:val="center"/>
        </w:trPr>
        <w:tc>
          <w:tcPr>
            <w:tcW w:w="0" w:type="auto"/>
          </w:tcPr>
          <w:p w:rsidR="00B42A3F" w:rsidRPr="00B6667F" w:rsidRDefault="00B42A3F" w:rsidP="00B42A3F">
            <w:pPr>
              <w:jc w:val="both"/>
              <w:rPr>
                <w:rFonts w:ascii="Times" w:hAnsi="Times"/>
                <w:sz w:val="22"/>
                <w:szCs w:val="22"/>
              </w:rPr>
            </w:pPr>
            <w:r w:rsidRPr="00B6667F">
              <w:rPr>
                <w:rFonts w:ascii="Times" w:hAnsi="Times"/>
                <w:sz w:val="22"/>
                <w:szCs w:val="22"/>
              </w:rPr>
              <w:t>Breush-Godfrey Prob &gt; chi2</w:t>
            </w:r>
          </w:p>
        </w:tc>
        <w:tc>
          <w:tcPr>
            <w:tcW w:w="1824" w:type="dxa"/>
          </w:tcPr>
          <w:p w:rsidR="00B42A3F" w:rsidRPr="00B6667F" w:rsidRDefault="00B42A3F" w:rsidP="00B42A3F">
            <w:pPr>
              <w:jc w:val="both"/>
              <w:rPr>
                <w:rFonts w:ascii="Times" w:hAnsi="Times"/>
                <w:sz w:val="22"/>
                <w:szCs w:val="22"/>
              </w:rPr>
            </w:pPr>
            <w:r w:rsidRPr="00B6667F">
              <w:rPr>
                <w:rFonts w:ascii="Times" w:hAnsi="Times"/>
                <w:sz w:val="22"/>
                <w:szCs w:val="22"/>
              </w:rPr>
              <w:t>0.0213</w:t>
            </w:r>
          </w:p>
        </w:tc>
        <w:tc>
          <w:tcPr>
            <w:tcW w:w="0" w:type="auto"/>
          </w:tcPr>
          <w:p w:rsidR="00B42A3F" w:rsidRPr="00B6667F" w:rsidRDefault="00B42A3F" w:rsidP="00B42A3F">
            <w:pPr>
              <w:jc w:val="both"/>
              <w:rPr>
                <w:rFonts w:ascii="Times" w:hAnsi="Times"/>
                <w:sz w:val="22"/>
                <w:szCs w:val="22"/>
              </w:rPr>
            </w:pPr>
            <w:r w:rsidRPr="00B6667F">
              <w:rPr>
                <w:rFonts w:ascii="Times" w:hAnsi="Times"/>
                <w:sz w:val="22"/>
                <w:szCs w:val="22"/>
              </w:rPr>
              <w:t>0.0213</w:t>
            </w:r>
          </w:p>
        </w:tc>
      </w:tr>
      <w:tr w:rsidR="00B42A3F" w:rsidRPr="00B6667F" w:rsidTr="00B42A3F">
        <w:trPr>
          <w:jc w:val="center"/>
        </w:trPr>
        <w:tc>
          <w:tcPr>
            <w:tcW w:w="0" w:type="auto"/>
          </w:tcPr>
          <w:p w:rsidR="00B42A3F" w:rsidRPr="00B6667F" w:rsidRDefault="00B42A3F" w:rsidP="00B42A3F">
            <w:pPr>
              <w:jc w:val="both"/>
              <w:rPr>
                <w:rFonts w:ascii="Times" w:hAnsi="Times"/>
                <w:sz w:val="22"/>
                <w:szCs w:val="22"/>
              </w:rPr>
            </w:pPr>
            <w:r w:rsidRPr="00B6667F">
              <w:rPr>
                <w:rFonts w:ascii="Times" w:hAnsi="Times"/>
                <w:sz w:val="22"/>
                <w:szCs w:val="22"/>
              </w:rPr>
              <w:t>информационный критерий Акаике (0 лагов)</w:t>
            </w:r>
          </w:p>
        </w:tc>
        <w:tc>
          <w:tcPr>
            <w:tcW w:w="1824" w:type="dxa"/>
          </w:tcPr>
          <w:p w:rsidR="00B42A3F" w:rsidRPr="00B6667F" w:rsidRDefault="00B42A3F" w:rsidP="00B42A3F">
            <w:pPr>
              <w:jc w:val="both"/>
              <w:rPr>
                <w:rFonts w:ascii="Times" w:hAnsi="Times"/>
                <w:sz w:val="22"/>
                <w:szCs w:val="22"/>
              </w:rPr>
            </w:pPr>
            <w:r w:rsidRPr="00B6667F">
              <w:rPr>
                <w:rFonts w:ascii="Times" w:hAnsi="Times"/>
                <w:sz w:val="22"/>
                <w:szCs w:val="22"/>
              </w:rPr>
              <w:t>-11.5348</w:t>
            </w:r>
          </w:p>
        </w:tc>
        <w:tc>
          <w:tcPr>
            <w:tcW w:w="0" w:type="auto"/>
          </w:tcPr>
          <w:p w:rsidR="00B42A3F" w:rsidRPr="00B6667F" w:rsidRDefault="00B42A3F" w:rsidP="00B42A3F">
            <w:pPr>
              <w:jc w:val="both"/>
              <w:rPr>
                <w:rFonts w:ascii="Times" w:hAnsi="Times"/>
                <w:sz w:val="22"/>
                <w:szCs w:val="22"/>
              </w:rPr>
            </w:pPr>
            <w:r w:rsidRPr="00B6667F">
              <w:rPr>
                <w:rFonts w:ascii="Times" w:hAnsi="Times"/>
                <w:sz w:val="22"/>
                <w:szCs w:val="22"/>
              </w:rPr>
              <w:t>-11.5348</w:t>
            </w:r>
          </w:p>
        </w:tc>
      </w:tr>
      <w:tr w:rsidR="00B42A3F" w:rsidRPr="00B6667F" w:rsidTr="00B42A3F">
        <w:trPr>
          <w:jc w:val="center"/>
        </w:trPr>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информационный критерий Акаике (1 лаг)</w:t>
            </w:r>
          </w:p>
        </w:tc>
        <w:tc>
          <w:tcPr>
            <w:tcW w:w="1824" w:type="dxa"/>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-92.4398</w:t>
            </w:r>
          </w:p>
        </w:tc>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-45.7975</w:t>
            </w:r>
          </w:p>
        </w:tc>
      </w:tr>
      <w:tr w:rsidR="00B42A3F" w:rsidRPr="00B6667F" w:rsidTr="00B42A3F">
        <w:trPr>
          <w:jc w:val="center"/>
        </w:trPr>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информационный критерий Акаике (2 лага)</w:t>
            </w:r>
          </w:p>
        </w:tc>
        <w:tc>
          <w:tcPr>
            <w:tcW w:w="1824" w:type="dxa"/>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-92.4447</w:t>
            </w:r>
          </w:p>
        </w:tc>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-45.805</w:t>
            </w:r>
          </w:p>
        </w:tc>
      </w:tr>
      <w:tr w:rsidR="00B42A3F" w:rsidRPr="00B6667F" w:rsidTr="00B42A3F">
        <w:trPr>
          <w:jc w:val="center"/>
        </w:trPr>
        <w:tc>
          <w:tcPr>
            <w:tcW w:w="0" w:type="auto"/>
          </w:tcPr>
          <w:p w:rsidR="00B42A3F" w:rsidRPr="00B6667F" w:rsidRDefault="00B42A3F" w:rsidP="00B42A3F">
            <w:pPr>
              <w:jc w:val="both"/>
              <w:rPr>
                <w:rFonts w:ascii="Times" w:hAnsi="Times"/>
                <w:sz w:val="22"/>
                <w:szCs w:val="22"/>
              </w:rPr>
            </w:pPr>
            <w:r w:rsidRPr="00B6667F">
              <w:rPr>
                <w:rFonts w:ascii="Times" w:hAnsi="Times"/>
                <w:sz w:val="22"/>
                <w:szCs w:val="22"/>
              </w:rPr>
              <w:t>информационный критерий Шварца (0 лагов)</w:t>
            </w:r>
          </w:p>
        </w:tc>
        <w:tc>
          <w:tcPr>
            <w:tcW w:w="1824" w:type="dxa"/>
          </w:tcPr>
          <w:p w:rsidR="00B42A3F" w:rsidRPr="00B6667F" w:rsidRDefault="00B42A3F" w:rsidP="00B42A3F">
            <w:pPr>
              <w:jc w:val="both"/>
              <w:rPr>
                <w:rFonts w:ascii="Times" w:hAnsi="Times"/>
                <w:sz w:val="22"/>
                <w:szCs w:val="22"/>
              </w:rPr>
            </w:pPr>
            <w:r w:rsidRPr="00B6667F">
              <w:rPr>
                <w:rFonts w:ascii="Times" w:hAnsi="Times"/>
                <w:sz w:val="22"/>
                <w:szCs w:val="22"/>
              </w:rPr>
              <w:t>-11.5184</w:t>
            </w:r>
          </w:p>
        </w:tc>
        <w:tc>
          <w:tcPr>
            <w:tcW w:w="0" w:type="auto"/>
          </w:tcPr>
          <w:p w:rsidR="00B42A3F" w:rsidRPr="00B6667F" w:rsidRDefault="00B42A3F" w:rsidP="00B42A3F">
            <w:pPr>
              <w:jc w:val="both"/>
              <w:rPr>
                <w:rFonts w:ascii="Times" w:hAnsi="Times"/>
                <w:sz w:val="22"/>
                <w:szCs w:val="22"/>
              </w:rPr>
            </w:pPr>
            <w:r w:rsidRPr="00B6667F">
              <w:rPr>
                <w:rFonts w:ascii="Times" w:hAnsi="Times"/>
                <w:sz w:val="22"/>
                <w:szCs w:val="22"/>
              </w:rPr>
              <w:t>-11.5184</w:t>
            </w:r>
          </w:p>
        </w:tc>
      </w:tr>
      <w:tr w:rsidR="00B42A3F" w:rsidRPr="00B6667F" w:rsidTr="00B42A3F">
        <w:trPr>
          <w:jc w:val="center"/>
        </w:trPr>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информационный критерий Шварца (1 лаг)</w:t>
            </w:r>
          </w:p>
        </w:tc>
        <w:tc>
          <w:tcPr>
            <w:tcW w:w="1824" w:type="dxa"/>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-92.3907</w:t>
            </w:r>
          </w:p>
        </w:tc>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-45.7484</w:t>
            </w:r>
          </w:p>
        </w:tc>
      </w:tr>
      <w:tr w:rsidR="00B42A3F" w:rsidRPr="00B6667F" w:rsidTr="00B42A3F">
        <w:trPr>
          <w:jc w:val="center"/>
        </w:trPr>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информационный критерий Шварца (2 лага)</w:t>
            </w:r>
          </w:p>
        </w:tc>
        <w:tc>
          <w:tcPr>
            <w:tcW w:w="1824" w:type="dxa"/>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-92.3793</w:t>
            </w:r>
          </w:p>
        </w:tc>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-45.7395</w:t>
            </w:r>
          </w:p>
        </w:tc>
      </w:tr>
      <w:tr w:rsidR="00B42A3F" w:rsidRPr="00B6667F" w:rsidTr="00B42A3F">
        <w:trPr>
          <w:jc w:val="center"/>
        </w:trPr>
        <w:tc>
          <w:tcPr>
            <w:tcW w:w="0" w:type="auto"/>
          </w:tcPr>
          <w:p w:rsidR="00B42A3F" w:rsidRPr="00B6667F" w:rsidRDefault="00B42A3F" w:rsidP="00B42A3F">
            <w:pPr>
              <w:jc w:val="both"/>
              <w:rPr>
                <w:rFonts w:ascii="Times" w:hAnsi="Times"/>
                <w:sz w:val="22"/>
                <w:szCs w:val="22"/>
              </w:rPr>
            </w:pPr>
            <w:r w:rsidRPr="00B6667F">
              <w:rPr>
                <w:rFonts w:ascii="Times" w:hAnsi="Times"/>
                <w:sz w:val="22"/>
                <w:szCs w:val="22"/>
              </w:rPr>
              <w:t>информационный критерий Хеннана-Куинна (0 лагов)</w:t>
            </w:r>
          </w:p>
        </w:tc>
        <w:tc>
          <w:tcPr>
            <w:tcW w:w="1824" w:type="dxa"/>
          </w:tcPr>
          <w:p w:rsidR="00B42A3F" w:rsidRPr="00B6667F" w:rsidRDefault="00B42A3F" w:rsidP="00B42A3F">
            <w:pPr>
              <w:jc w:val="both"/>
              <w:rPr>
                <w:rFonts w:ascii="Times" w:hAnsi="Times"/>
                <w:sz w:val="22"/>
                <w:szCs w:val="22"/>
              </w:rPr>
            </w:pPr>
            <w:r w:rsidRPr="00B6667F">
              <w:rPr>
                <w:rFonts w:ascii="Times" w:hAnsi="Times"/>
                <w:sz w:val="22"/>
                <w:szCs w:val="22"/>
              </w:rPr>
              <w:t>-11.5284</w:t>
            </w:r>
          </w:p>
        </w:tc>
        <w:tc>
          <w:tcPr>
            <w:tcW w:w="0" w:type="auto"/>
          </w:tcPr>
          <w:p w:rsidR="00B42A3F" w:rsidRPr="00B6667F" w:rsidRDefault="00B42A3F" w:rsidP="00B42A3F">
            <w:pPr>
              <w:jc w:val="both"/>
              <w:rPr>
                <w:rFonts w:ascii="Times" w:hAnsi="Times"/>
                <w:sz w:val="22"/>
                <w:szCs w:val="22"/>
              </w:rPr>
            </w:pPr>
            <w:r w:rsidRPr="00B6667F">
              <w:rPr>
                <w:rFonts w:ascii="Times" w:hAnsi="Times"/>
                <w:sz w:val="22"/>
                <w:szCs w:val="22"/>
              </w:rPr>
              <w:t>-11.5284</w:t>
            </w:r>
          </w:p>
        </w:tc>
      </w:tr>
      <w:tr w:rsidR="00B42A3F" w:rsidRPr="00B6667F" w:rsidTr="00B42A3F">
        <w:trPr>
          <w:jc w:val="center"/>
        </w:trPr>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информационный критерий Хеннана-Куинна (1 лаг)</w:t>
            </w:r>
          </w:p>
        </w:tc>
        <w:tc>
          <w:tcPr>
            <w:tcW w:w="1824" w:type="dxa"/>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-92.4206</w:t>
            </w:r>
          </w:p>
        </w:tc>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-45.7783</w:t>
            </w:r>
          </w:p>
        </w:tc>
      </w:tr>
      <w:tr w:rsidR="00B42A3F" w:rsidRPr="00B6667F" w:rsidTr="00B42A3F">
        <w:trPr>
          <w:jc w:val="center"/>
        </w:trPr>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информационный критерий Хеннана-Куинна (2 лага)</w:t>
            </w:r>
          </w:p>
        </w:tc>
        <w:tc>
          <w:tcPr>
            <w:tcW w:w="1824" w:type="dxa"/>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-92.4191</w:t>
            </w:r>
          </w:p>
        </w:tc>
        <w:tc>
          <w:tcPr>
            <w:tcW w:w="0" w:type="auto"/>
            <w:shd w:val="clear" w:color="auto" w:fill="D9D9D9" w:themeFill="background1" w:themeFillShade="D9"/>
          </w:tcPr>
          <w:p w:rsidR="00B42A3F" w:rsidRPr="00B6667F" w:rsidRDefault="00B42A3F" w:rsidP="00B42A3F">
            <w:pPr>
              <w:jc w:val="both"/>
              <w:rPr>
                <w:rFonts w:ascii="Times" w:hAnsi="Times"/>
                <w:sz w:val="22"/>
                <w:szCs w:val="22"/>
              </w:rPr>
            </w:pPr>
            <w:r w:rsidRPr="00B6667F">
              <w:rPr>
                <w:rFonts w:ascii="Times" w:hAnsi="Times"/>
                <w:sz w:val="22"/>
                <w:szCs w:val="22"/>
              </w:rPr>
              <w:t>-45.7793</w:t>
            </w:r>
          </w:p>
        </w:tc>
      </w:tr>
    </w:tbl>
    <w:p w:rsidR="00B42A3F" w:rsidRDefault="00B42A3F" w:rsidP="00B42A3F">
      <w:pPr>
        <w:spacing w:before="120"/>
        <w:ind w:left="0" w:firstLine="567"/>
        <w:jc w:val="both"/>
        <w:rPr>
          <w:rFonts w:ascii="Times" w:hAnsi="Times"/>
        </w:rPr>
      </w:pPr>
      <w:r>
        <w:rPr>
          <w:rFonts w:ascii="Times" w:hAnsi="Times"/>
        </w:rPr>
        <w:t xml:space="preserve">В данном случае величины информационных критериев Акаике, Шварца и Хеннана-Куинна для 1 лага совпадают. Вывод согласно тесту </w:t>
      </w:r>
      <w:r w:rsidRPr="00B6667F">
        <w:rPr>
          <w:rFonts w:ascii="Times" w:hAnsi="Times"/>
        </w:rPr>
        <w:t>Breush-Godfrey одинаков как для временного ряда доходностей индекса облигаций Роснефти, так и для временного ряда первых разностей доходностей индекса облигаций Роснефти (H</w:t>
      </w:r>
      <w:r w:rsidRPr="002A727B">
        <w:rPr>
          <w:rFonts w:ascii="Times" w:hAnsi="Times"/>
          <w:vertAlign w:val="subscript"/>
        </w:rPr>
        <w:t xml:space="preserve">0 </w:t>
      </w:r>
      <w:r>
        <w:rPr>
          <w:rFonts w:ascii="Times" w:hAnsi="Times"/>
        </w:rPr>
        <w:t xml:space="preserve">об отсутствии серийной корреляции во временном ряде отвергнута на основании </w:t>
      </w:r>
      <w:r w:rsidRPr="00B6667F">
        <w:rPr>
          <w:rFonts w:ascii="Times" w:hAnsi="Times"/>
        </w:rPr>
        <w:t>p</w:t>
      </w:r>
      <w:r>
        <w:rPr>
          <w:rFonts w:ascii="Times" w:hAnsi="Times"/>
        </w:rPr>
        <w:t>-</w:t>
      </w:r>
      <w:r w:rsidRPr="00B6667F">
        <w:rPr>
          <w:rFonts w:ascii="Times" w:hAnsi="Times"/>
        </w:rPr>
        <w:t xml:space="preserve">value). Однако, есть отличия в величинах информационного критерия Хеннана-Куинна для 2 и 3 лагов. V. Ivanov </w:t>
      </w:r>
      <w:r>
        <w:rPr>
          <w:rFonts w:ascii="Times" w:hAnsi="Times"/>
        </w:rPr>
        <w:t>и L. </w:t>
      </w:r>
      <w:r w:rsidRPr="00B6667F">
        <w:rPr>
          <w:rFonts w:ascii="Times" w:hAnsi="Times"/>
        </w:rPr>
        <w:t xml:space="preserve">Kilian </w:t>
      </w:r>
      <w:r>
        <w:rPr>
          <w:rFonts w:ascii="Times" w:hAnsi="Times"/>
        </w:rPr>
        <w:t>показали, что для векторных авторегрессионных моделей, информационный критерий Шварца лучше работает, по сравнению с информационными критериями Акаике и Хеннана-Куинна (Ivanov, Kilian, 2005). Согласно критерию Шварца (как и критерию Акаике и критерию Хеннана-Куинна), временной ряд доходностей индекса облигаций Роснефти больше подходит для анализа (векторная авторегрессионная модель, построенная на его основе имеет меньшее значение критерия Шварца), чем временной ряд, построенный на первых разностях доходностей индекса облигаций Роснефти в 2012-2013 гг.</w:t>
      </w:r>
    </w:p>
    <w:p w:rsidR="00B42A3F" w:rsidRPr="00065764" w:rsidRDefault="00B42A3F" w:rsidP="00E06C9A">
      <w:pPr>
        <w:spacing w:before="120"/>
        <w:ind w:left="0" w:firstLine="567"/>
        <w:jc w:val="both"/>
        <w:rPr>
          <w:rFonts w:ascii="Times" w:hAnsi="Times"/>
        </w:rPr>
      </w:pPr>
      <w:r>
        <w:rPr>
          <w:rFonts w:ascii="Times" w:hAnsi="Times"/>
        </w:rPr>
        <w:t xml:space="preserve">Следовательно, на основе информационных критериев можно сделать вывод, что дифференцирование временного ряда доходностей индекса облигаций Роснефти в 2012 2013 гг. </w:t>
      </w:r>
      <w:r>
        <w:rPr>
          <w:rFonts w:ascii="Times" w:hAnsi="Times"/>
        </w:rPr>
        <w:lastRenderedPageBreak/>
        <w:t>не требуется, так как оно не улучшит ситуацию с точки зрения автокорреляции во временном ряду.</w:t>
      </w:r>
    </w:p>
    <w:p w:rsidR="00B42A3F" w:rsidRPr="00CA1F52" w:rsidRDefault="00B42A3F" w:rsidP="00E06C9A">
      <w:pPr>
        <w:spacing w:before="120"/>
        <w:ind w:left="0" w:firstLine="567"/>
        <w:jc w:val="both"/>
        <w:rPr>
          <w:rFonts w:ascii="Times" w:hAnsi="Times"/>
          <w:b/>
          <w:i/>
        </w:rPr>
      </w:pPr>
      <w:r w:rsidRPr="00CA1F52">
        <w:rPr>
          <w:rFonts w:ascii="Times" w:hAnsi="Times"/>
          <w:b/>
          <w:i/>
        </w:rPr>
        <w:t>Стационарность: тесты Дикки-Фуллера и Филлипса–Перрона</w:t>
      </w:r>
    </w:p>
    <w:p w:rsidR="00B42A3F" w:rsidRDefault="00B42A3F" w:rsidP="00E06C9A">
      <w:pPr>
        <w:spacing w:before="120"/>
        <w:ind w:left="0" w:firstLine="567"/>
        <w:jc w:val="both"/>
        <w:rPr>
          <w:rFonts w:ascii="Times" w:hAnsi="Times"/>
        </w:rPr>
      </w:pPr>
      <w:r>
        <w:rPr>
          <w:rFonts w:ascii="Times" w:hAnsi="Times"/>
        </w:rPr>
        <w:t xml:space="preserve">Результаты теста Дикки-Фуллера и расширенного теста Дикки-Фуллера (для количества лагов 1-6) позволили принять гипотезу о наличии стационарности во всех временных рядах. В то же время, применение слишком большого количества лагов увеличивает стандартные ошибки модели, так как увеличение числа оцениваемых параметров увеличивает число степеней свободы. </w:t>
      </w:r>
    </w:p>
    <w:p w:rsidR="00B42A3F" w:rsidRDefault="00B42A3F" w:rsidP="00E06C9A">
      <w:pPr>
        <w:spacing w:before="120"/>
        <w:ind w:left="0" w:firstLine="567"/>
        <w:jc w:val="both"/>
        <w:rPr>
          <w:rFonts w:ascii="Times" w:hAnsi="Times"/>
        </w:rPr>
      </w:pPr>
      <w:r>
        <w:rPr>
          <w:rFonts w:ascii="Times" w:hAnsi="Times"/>
        </w:rPr>
        <w:t>Теория Филлипса-Перрона является более обоснованной по сравнению с теорией Дикки-Фуллера, так как включает корректировки для исключения автокорреляции в остатках модели. Однако, оба подхода достаточно схожи и имеют схожую интерпретацию. Результаты анализа временных рядов на стационарность по методу Филлипса-Перрона с количеством лаговых переменных 0-6 позволили принять гипотезу о наличии стационарности во всех временных рядах.</w:t>
      </w:r>
    </w:p>
    <w:p w:rsidR="00B42A3F" w:rsidRDefault="00B42A3F" w:rsidP="00E06C9A">
      <w:pPr>
        <w:spacing w:before="120"/>
        <w:ind w:left="0" w:firstLine="567"/>
        <w:jc w:val="both"/>
        <w:rPr>
          <w:rFonts w:ascii="Times" w:hAnsi="Times"/>
        </w:rPr>
      </w:pPr>
      <w:r>
        <w:rPr>
          <w:rFonts w:ascii="Times" w:hAnsi="Times"/>
        </w:rPr>
        <w:t xml:space="preserve">Описательная статистика переменных представлена в </w:t>
      </w:r>
      <w:r w:rsidRPr="003636E3">
        <w:rPr>
          <w:rFonts w:ascii="Times" w:hAnsi="Times"/>
        </w:rPr>
        <w:t>Таблице 1 Приложения 2</w:t>
      </w:r>
      <w:r>
        <w:rPr>
          <w:rFonts w:ascii="Times" w:hAnsi="Times"/>
        </w:rPr>
        <w:t xml:space="preserve">. В </w:t>
      </w:r>
      <w:r w:rsidRPr="003636E3">
        <w:rPr>
          <w:rFonts w:ascii="Times" w:hAnsi="Times"/>
        </w:rPr>
        <w:t xml:space="preserve">Таблице 1 Приложения 2 </w:t>
      </w:r>
      <w:r>
        <w:rPr>
          <w:rFonts w:ascii="Times" w:hAnsi="Times"/>
        </w:rPr>
        <w:t>видно, что в основном во время рассматриваемого периода доходности индексов облигаций были положительными. Стандартное отклонение (являющееся мерой единичного риска) доходностей индексов облигаций было больше в 2014-2015 гг. Волатильность доходностей индексов облигаций компаний не монотонно связана с их кредитными рейтингами: доходности индекса облигаций Роснефти (кредитный рейтинг Роснефти «</w:t>
      </w:r>
      <w:r w:rsidRPr="00B6667F">
        <w:rPr>
          <w:rFonts w:ascii="Times" w:hAnsi="Times"/>
        </w:rPr>
        <w:t>B-</w:t>
      </w:r>
      <w:r>
        <w:rPr>
          <w:rFonts w:ascii="Times" w:hAnsi="Times"/>
        </w:rPr>
        <w:t>») были наименее волатильными в период 2014-2015 гг., в то время как в течение периода 2012-2013 гг. наименее волатильны были индексы облигаций Татнефти (кредитный рейтинг Татнефти «</w:t>
      </w:r>
      <w:r w:rsidRPr="00B6667F">
        <w:rPr>
          <w:rFonts w:ascii="Times" w:hAnsi="Times"/>
        </w:rPr>
        <w:t>BBB-</w:t>
      </w:r>
      <w:r>
        <w:rPr>
          <w:rFonts w:ascii="Times" w:hAnsi="Times"/>
        </w:rPr>
        <w:t>»).</w:t>
      </w:r>
    </w:p>
    <w:p w:rsidR="00B42A3F" w:rsidRPr="000F6176" w:rsidRDefault="00B42A3F" w:rsidP="00E06C9A">
      <w:pPr>
        <w:spacing w:before="120"/>
        <w:ind w:left="0" w:firstLine="567"/>
        <w:jc w:val="both"/>
        <w:rPr>
          <w:rFonts w:ascii="Times" w:hAnsi="Times"/>
        </w:rPr>
      </w:pPr>
      <w:r>
        <w:rPr>
          <w:rFonts w:ascii="Times" w:hAnsi="Times"/>
        </w:rPr>
        <w:t xml:space="preserve">В </w:t>
      </w:r>
      <w:r w:rsidRPr="003636E3">
        <w:rPr>
          <w:rFonts w:ascii="Times" w:hAnsi="Times"/>
        </w:rPr>
        <w:t xml:space="preserve">Таблице 1 Приложения 2 </w:t>
      </w:r>
      <w:r>
        <w:rPr>
          <w:rFonts w:ascii="Times" w:hAnsi="Times"/>
        </w:rPr>
        <w:t>также видно, что корреляция между доходностями индексов была выше в 2010-2011 гг. и 2014-2015 гг. (период восстановления после кризиса и период кризиса), чем в 2012-2013 гг. (переходный период).</w:t>
      </w:r>
    </w:p>
    <w:p w:rsidR="00B42A3F" w:rsidRPr="00C55BFE" w:rsidRDefault="00B42A3F" w:rsidP="00E06C9A">
      <w:pPr>
        <w:spacing w:before="120"/>
        <w:ind w:left="0" w:firstLine="567"/>
        <w:jc w:val="both"/>
        <w:rPr>
          <w:rFonts w:ascii="Times" w:hAnsi="Times"/>
          <w:b/>
          <w:i/>
        </w:rPr>
      </w:pPr>
      <w:r w:rsidRPr="00C55BFE">
        <w:rPr>
          <w:rFonts w:ascii="Times" w:hAnsi="Times"/>
          <w:b/>
          <w:i/>
          <w:u w:val="single"/>
        </w:rPr>
        <w:t>Зависимые переменные</w:t>
      </w:r>
      <w:r w:rsidRPr="00874F23">
        <w:rPr>
          <w:rFonts w:ascii="Times" w:hAnsi="Times"/>
          <w:b/>
          <w:i/>
        </w:rPr>
        <w:t xml:space="preserve">: </w:t>
      </w:r>
      <w:r>
        <w:rPr>
          <w:rFonts w:ascii="Times" w:hAnsi="Times"/>
          <w:b/>
          <w:i/>
        </w:rPr>
        <w:t xml:space="preserve">(1) </w:t>
      </w:r>
      <w:r w:rsidRPr="00874F23">
        <w:rPr>
          <w:rFonts w:ascii="Times" w:hAnsi="Times"/>
          <w:b/>
          <w:i/>
        </w:rPr>
        <w:t xml:space="preserve">доходности индексов государственных  и </w:t>
      </w:r>
      <w:r>
        <w:rPr>
          <w:rFonts w:ascii="Times" w:hAnsi="Times"/>
          <w:b/>
          <w:i/>
        </w:rPr>
        <w:t xml:space="preserve">(2) </w:t>
      </w:r>
      <w:r w:rsidRPr="00874F23">
        <w:rPr>
          <w:rFonts w:ascii="Times" w:hAnsi="Times"/>
          <w:b/>
          <w:i/>
        </w:rPr>
        <w:t xml:space="preserve">корпоративных облигаций, </w:t>
      </w:r>
      <w:r>
        <w:rPr>
          <w:rFonts w:ascii="Times" w:hAnsi="Times"/>
          <w:b/>
          <w:i/>
        </w:rPr>
        <w:t xml:space="preserve">(3) </w:t>
      </w:r>
      <w:r w:rsidRPr="00874F23">
        <w:rPr>
          <w:rFonts w:ascii="Times" w:hAnsi="Times"/>
          <w:b/>
          <w:i/>
        </w:rPr>
        <w:t xml:space="preserve">индекса акций компаний нефтегазовой отрасли ММВБ, </w:t>
      </w:r>
      <w:r>
        <w:rPr>
          <w:rFonts w:ascii="Times" w:hAnsi="Times"/>
          <w:b/>
          <w:i/>
        </w:rPr>
        <w:t xml:space="preserve">(4) </w:t>
      </w:r>
      <w:r w:rsidRPr="00874F23">
        <w:rPr>
          <w:rFonts w:ascii="Times" w:hAnsi="Times"/>
          <w:b/>
          <w:i/>
        </w:rPr>
        <w:t>доходность фьючерсов на сырую нефть Brent на российском фондовом рынке</w:t>
      </w:r>
      <w:r>
        <w:rPr>
          <w:rFonts w:ascii="Times" w:hAnsi="Times"/>
          <w:b/>
          <w:i/>
        </w:rPr>
        <w:t xml:space="preserve">; (5) объём торгов фьючерсами на нефть на Московской фондовой бирже; (6) сумма открытых позиций по фьючерсам на нефть на конец дня на ММВБ; (7) средняя процентная ставка для межбанковских займов на 0,5 года </w:t>
      </w:r>
      <w:r>
        <w:rPr>
          <w:rFonts w:ascii="Times" w:hAnsi="Times"/>
          <w:b/>
          <w:i/>
          <w:lang w:val="en-US"/>
        </w:rPr>
        <w:t>Moscow</w:t>
      </w:r>
      <w:r w:rsidRPr="0058455C">
        <w:rPr>
          <w:rFonts w:ascii="Times" w:hAnsi="Times"/>
          <w:b/>
          <w:i/>
        </w:rPr>
        <w:t xml:space="preserve"> </w:t>
      </w:r>
      <w:r>
        <w:rPr>
          <w:rFonts w:ascii="Times" w:hAnsi="Times"/>
          <w:b/>
          <w:i/>
          <w:lang w:val="en-US"/>
        </w:rPr>
        <w:t>Prime</w:t>
      </w:r>
      <w:r w:rsidRPr="0058455C">
        <w:rPr>
          <w:rFonts w:ascii="Times" w:hAnsi="Times"/>
          <w:b/>
          <w:i/>
        </w:rPr>
        <w:t xml:space="preserve"> </w:t>
      </w:r>
      <w:r>
        <w:rPr>
          <w:rFonts w:ascii="Times" w:hAnsi="Times"/>
          <w:b/>
          <w:i/>
          <w:lang w:val="en-US"/>
        </w:rPr>
        <w:t>Rate</w:t>
      </w:r>
    </w:p>
    <w:p w:rsidR="00B42A3F" w:rsidRDefault="00B42A3F" w:rsidP="00E06C9A">
      <w:pPr>
        <w:spacing w:before="120"/>
        <w:ind w:left="0" w:firstLine="567"/>
        <w:jc w:val="both"/>
        <w:rPr>
          <w:rFonts w:ascii="Times" w:hAnsi="Times"/>
        </w:rPr>
      </w:pPr>
      <w:r w:rsidRPr="0059491C">
        <w:rPr>
          <w:rFonts w:ascii="Times" w:hAnsi="Times"/>
        </w:rPr>
        <w:t>Для</w:t>
      </w:r>
      <w:r>
        <w:rPr>
          <w:rFonts w:ascii="Times" w:hAnsi="Times"/>
        </w:rPr>
        <w:t xml:space="preserve"> зависимых переменных требуется провести те же процедуры тестирования на личие автокорреляции и стационарности, что и для независимых переменных (кроме того, так как модель является векторной авторегрессионной, то зависимая переменная в предыдущие моменты времени выступает в качестве лаговой переменной). Все рассматриваемые переменные (зависимые и независимые) представлены в </w:t>
      </w:r>
      <w:r w:rsidRPr="003636E3">
        <w:rPr>
          <w:rFonts w:ascii="Times" w:hAnsi="Times"/>
        </w:rPr>
        <w:t>Таблице 4.</w:t>
      </w:r>
    </w:p>
    <w:p w:rsidR="00E06C9A" w:rsidRDefault="00E06C9A">
      <w:pPr>
        <w:rPr>
          <w:rFonts w:ascii="Times" w:hAnsi="Times"/>
        </w:rPr>
      </w:pPr>
      <w:r>
        <w:rPr>
          <w:rFonts w:ascii="Times" w:hAnsi="Times"/>
        </w:rPr>
        <w:br w:type="page"/>
      </w:r>
    </w:p>
    <w:p w:rsidR="00B42A3F" w:rsidRDefault="00B42A3F" w:rsidP="00E06C9A">
      <w:pPr>
        <w:ind w:left="0" w:firstLine="567"/>
        <w:jc w:val="both"/>
        <w:rPr>
          <w:rFonts w:ascii="Times" w:hAnsi="Times"/>
        </w:rPr>
      </w:pPr>
    </w:p>
    <w:p w:rsidR="00B42A3F" w:rsidRPr="003636E3" w:rsidRDefault="00B42A3F" w:rsidP="00E06C9A">
      <w:pPr>
        <w:ind w:left="0" w:firstLine="0"/>
        <w:jc w:val="both"/>
        <w:rPr>
          <w:rFonts w:ascii="Times" w:hAnsi="Times"/>
        </w:rPr>
      </w:pPr>
      <w:r w:rsidRPr="003636E3">
        <w:rPr>
          <w:rFonts w:ascii="Times" w:hAnsi="Times"/>
        </w:rPr>
        <w:t>Таблица 4: Обозначения переменных, используемых в работе (только оригинальных временных рядов, без дифференцирования)</w:t>
      </w:r>
    </w:p>
    <w:tbl>
      <w:tblPr>
        <w:tblStyle w:val="ae"/>
        <w:tblW w:w="9356" w:type="dxa"/>
        <w:tblInd w:w="108" w:type="dxa"/>
        <w:tblLayout w:type="fixed"/>
        <w:tblLook w:val="04A0"/>
      </w:tblPr>
      <w:tblGrid>
        <w:gridCol w:w="2235"/>
        <w:gridCol w:w="7121"/>
      </w:tblGrid>
      <w:tr w:rsidR="00B42A3F" w:rsidRPr="003B3B41" w:rsidTr="00B42A3F">
        <w:tc>
          <w:tcPr>
            <w:tcW w:w="2235" w:type="dxa"/>
          </w:tcPr>
          <w:p w:rsidR="00B42A3F" w:rsidRPr="003B3B41" w:rsidRDefault="00B42A3F" w:rsidP="00B42A3F">
            <w:pPr>
              <w:jc w:val="both"/>
              <w:rPr>
                <w:rFonts w:ascii="Times" w:hAnsi="Times"/>
                <w:b/>
                <w:sz w:val="22"/>
                <w:szCs w:val="22"/>
              </w:rPr>
            </w:pPr>
            <w:r w:rsidRPr="003B3B41">
              <w:rPr>
                <w:rFonts w:ascii="Times" w:hAnsi="Times"/>
                <w:b/>
                <w:sz w:val="22"/>
                <w:szCs w:val="22"/>
              </w:rPr>
              <w:t>Обозначение</w:t>
            </w:r>
          </w:p>
        </w:tc>
        <w:tc>
          <w:tcPr>
            <w:tcW w:w="7121" w:type="dxa"/>
          </w:tcPr>
          <w:p w:rsidR="00B42A3F" w:rsidRPr="003B3B41" w:rsidRDefault="00B42A3F" w:rsidP="00B42A3F">
            <w:pPr>
              <w:jc w:val="both"/>
              <w:rPr>
                <w:rFonts w:ascii="Times" w:hAnsi="Times"/>
                <w:b/>
                <w:sz w:val="22"/>
                <w:szCs w:val="22"/>
              </w:rPr>
            </w:pPr>
            <w:r w:rsidRPr="003B3B41">
              <w:rPr>
                <w:rFonts w:ascii="Times" w:hAnsi="Times"/>
                <w:b/>
                <w:sz w:val="22"/>
                <w:szCs w:val="22"/>
              </w:rPr>
              <w:t>Название</w:t>
            </w:r>
          </w:p>
        </w:tc>
      </w:tr>
      <w:tr w:rsidR="00B42A3F" w:rsidRPr="003B3B41" w:rsidTr="00B42A3F">
        <w:tc>
          <w:tcPr>
            <w:tcW w:w="9356" w:type="dxa"/>
            <w:gridSpan w:val="2"/>
          </w:tcPr>
          <w:p w:rsidR="00B42A3F" w:rsidRPr="003B3B41" w:rsidRDefault="00B42A3F" w:rsidP="00B42A3F">
            <w:pPr>
              <w:jc w:val="both"/>
              <w:rPr>
                <w:rFonts w:ascii="Times" w:hAnsi="Times"/>
                <w:b/>
                <w:i/>
                <w:sz w:val="22"/>
                <w:szCs w:val="22"/>
              </w:rPr>
            </w:pPr>
            <w:r w:rsidRPr="003B3B41">
              <w:rPr>
                <w:rFonts w:ascii="Times" w:hAnsi="Times"/>
                <w:b/>
                <w:i/>
                <w:sz w:val="22"/>
                <w:szCs w:val="22"/>
              </w:rPr>
              <w:t>независимые</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bashneft_return</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доходность индекса облигаций компании Башнефть</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rosneft_return</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доходность индекса облигаций компании Роснефть</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lukoil_return</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доходность индекса облигаций компании Лукойл</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surgutneftegas_return</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доходность индекса облигаций компании Сургутнефтегаз</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tatneft_return</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доходность индекса облигаций компании Татнефть</w:t>
            </w:r>
          </w:p>
        </w:tc>
      </w:tr>
      <w:tr w:rsidR="00B42A3F" w:rsidRPr="003B3B41" w:rsidTr="00B42A3F">
        <w:tc>
          <w:tcPr>
            <w:tcW w:w="9356" w:type="dxa"/>
            <w:gridSpan w:val="2"/>
          </w:tcPr>
          <w:p w:rsidR="00B42A3F" w:rsidRPr="003B3B41" w:rsidRDefault="00B42A3F" w:rsidP="00B42A3F">
            <w:pPr>
              <w:jc w:val="both"/>
              <w:rPr>
                <w:rFonts w:ascii="Times" w:hAnsi="Times"/>
                <w:b/>
                <w:i/>
                <w:sz w:val="22"/>
                <w:szCs w:val="22"/>
              </w:rPr>
            </w:pPr>
            <w:r w:rsidRPr="003B3B41">
              <w:rPr>
                <w:rFonts w:ascii="Times" w:hAnsi="Times"/>
                <w:b/>
                <w:i/>
                <w:sz w:val="22"/>
                <w:szCs w:val="22"/>
              </w:rPr>
              <w:t>зависимые</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treasury_return</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доходность индекса государственных облигаций</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corporate_return</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доходность индекса корпоративных облигаций</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industry_return</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 xml:space="preserve">доходность отраслевого индекса акций нефтегазовых компаний на ММВБ </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futures_return</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доходность фьючерсов на нефть марки Brent</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open</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сумма открытых позиций по фьючерсам на нефть на конец дня на ММВБ</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volumes</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объём торгов фьючерсами на нефть на ММВБ</w:t>
            </w:r>
          </w:p>
        </w:tc>
      </w:tr>
      <w:tr w:rsidR="00B42A3F" w:rsidRPr="003B3B41" w:rsidTr="00B42A3F">
        <w:tc>
          <w:tcPr>
            <w:tcW w:w="2235" w:type="dxa"/>
          </w:tcPr>
          <w:p w:rsidR="00B42A3F" w:rsidRPr="003B3B41" w:rsidRDefault="00B42A3F" w:rsidP="00B42A3F">
            <w:pPr>
              <w:jc w:val="both"/>
              <w:rPr>
                <w:rFonts w:ascii="Times" w:hAnsi="Times"/>
                <w:sz w:val="22"/>
                <w:szCs w:val="22"/>
              </w:rPr>
            </w:pPr>
            <w:r w:rsidRPr="003B3B41">
              <w:rPr>
                <w:rFonts w:ascii="Times" w:hAnsi="Times"/>
                <w:sz w:val="22"/>
                <w:szCs w:val="22"/>
              </w:rPr>
              <w:t>interest</w:t>
            </w:r>
          </w:p>
        </w:tc>
        <w:tc>
          <w:tcPr>
            <w:tcW w:w="7121" w:type="dxa"/>
          </w:tcPr>
          <w:p w:rsidR="00B42A3F" w:rsidRPr="003B3B41" w:rsidRDefault="00B42A3F" w:rsidP="00B42A3F">
            <w:pPr>
              <w:jc w:val="both"/>
              <w:rPr>
                <w:rFonts w:ascii="Times" w:hAnsi="Times"/>
                <w:sz w:val="22"/>
                <w:szCs w:val="22"/>
              </w:rPr>
            </w:pPr>
            <w:r w:rsidRPr="003B3B41">
              <w:rPr>
                <w:rFonts w:ascii="Times" w:hAnsi="Times"/>
                <w:sz w:val="22"/>
                <w:szCs w:val="22"/>
              </w:rPr>
              <w:t xml:space="preserve">средняя процентная ставка для межбанковских займов на 0,5 года Moscow Prime Rate </w:t>
            </w:r>
          </w:p>
        </w:tc>
      </w:tr>
    </w:tbl>
    <w:p w:rsidR="00E06C9A" w:rsidRDefault="00E06C9A" w:rsidP="00E06C9A">
      <w:pPr>
        <w:ind w:left="0" w:right="-292" w:firstLine="567"/>
        <w:jc w:val="both"/>
        <w:rPr>
          <w:rFonts w:ascii="Times" w:hAnsi="Times"/>
          <w:lang w:val="en-US"/>
        </w:rPr>
      </w:pPr>
    </w:p>
    <w:p w:rsidR="00E06C9A" w:rsidRDefault="00B42A3F" w:rsidP="00E06C9A">
      <w:pPr>
        <w:ind w:left="0" w:right="-292" w:firstLine="567"/>
        <w:jc w:val="both"/>
        <w:rPr>
          <w:rFonts w:ascii="Times" w:hAnsi="Times"/>
          <w:lang w:val="en-US"/>
        </w:rPr>
      </w:pPr>
      <w:r>
        <w:rPr>
          <w:rFonts w:ascii="Times" w:hAnsi="Times"/>
        </w:rPr>
        <w:t xml:space="preserve">На </w:t>
      </w:r>
      <w:r w:rsidRPr="003636E3">
        <w:rPr>
          <w:rFonts w:ascii="Times" w:hAnsi="Times"/>
        </w:rPr>
        <w:t xml:space="preserve">рис. 8 </w:t>
      </w:r>
      <w:r>
        <w:rPr>
          <w:rFonts w:ascii="Times" w:hAnsi="Times"/>
        </w:rPr>
        <w:t xml:space="preserve">представлены графики автокорреляционных функций для доходностей индекса (1) государственных и (2) корпоративных облигаций и (3) индекса акций компаний нефтегазовой отрасли ММВБ, (4) фьючерса на нефть марки </w:t>
      </w:r>
      <w:r w:rsidRPr="000F6176">
        <w:rPr>
          <w:rFonts w:ascii="Times" w:hAnsi="Times"/>
        </w:rPr>
        <w:t>Brent</w:t>
      </w:r>
      <w:r>
        <w:rPr>
          <w:rFonts w:ascii="Times" w:hAnsi="Times"/>
        </w:rPr>
        <w:t xml:space="preserve">, (5) объёма торгов на Московской фондовой бирже фьючерсами на нефть марки </w:t>
      </w:r>
      <w:r w:rsidRPr="000F6176">
        <w:rPr>
          <w:rFonts w:ascii="Times" w:hAnsi="Times"/>
        </w:rPr>
        <w:t>Brent</w:t>
      </w:r>
      <w:r>
        <w:rPr>
          <w:rFonts w:ascii="Times" w:hAnsi="Times"/>
        </w:rPr>
        <w:t xml:space="preserve"> и роста объёма торгов фьючерсами на нефть.</w:t>
      </w:r>
    </w:p>
    <w:p w:rsidR="00E06C9A" w:rsidRPr="00E06C9A" w:rsidRDefault="00E06C9A" w:rsidP="00E06C9A">
      <w:pPr>
        <w:ind w:left="0" w:right="-292" w:firstLine="567"/>
        <w:jc w:val="both"/>
        <w:rPr>
          <w:rFonts w:ascii="Times" w:hAnsi="Times"/>
          <w:lang w:val="en-US"/>
        </w:rPr>
      </w:pPr>
    </w:p>
    <w:p w:rsidR="00B42A3F" w:rsidRDefault="00B42A3F" w:rsidP="00E06C9A">
      <w:pPr>
        <w:ind w:left="0" w:right="-8" w:firstLine="0"/>
        <w:jc w:val="both"/>
        <w:rPr>
          <w:rFonts w:ascii="Times" w:hAnsi="Times"/>
        </w:rPr>
      </w:pPr>
      <w:r w:rsidRPr="000F6176">
        <w:rPr>
          <w:rFonts w:ascii="Times" w:hAnsi="Times"/>
          <w:noProof/>
        </w:rPr>
        <w:lastRenderedPageBreak/>
        <w:drawing>
          <wp:inline distT="0" distB="0" distL="0" distR="0">
            <wp:extent cx="5826760" cy="4237644"/>
            <wp:effectExtent l="19050" t="19050" r="21590" b="10506"/>
            <wp:docPr id="8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й.pdf"/>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827044" cy="4237851"/>
                    </a:xfrm>
                    <a:prstGeom prst="rect">
                      <a:avLst/>
                    </a:prstGeom>
                    <a:ln>
                      <a:solidFill>
                        <a:schemeClr val="tx1"/>
                      </a:solidFill>
                    </a:ln>
                  </pic:spPr>
                </pic:pic>
              </a:graphicData>
            </a:graphic>
          </wp:inline>
        </w:drawing>
      </w:r>
    </w:p>
    <w:p w:rsidR="00B42A3F" w:rsidRPr="00877D7D" w:rsidRDefault="00B42A3F" w:rsidP="00E06C9A">
      <w:pPr>
        <w:spacing w:before="120"/>
        <w:ind w:left="0" w:right="-150" w:firstLine="567"/>
        <w:jc w:val="both"/>
        <w:rPr>
          <w:rFonts w:ascii="Times" w:hAnsi="Times"/>
        </w:rPr>
      </w:pPr>
      <w:r w:rsidRPr="00877D7D">
        <w:rPr>
          <w:rFonts w:ascii="Times" w:hAnsi="Times"/>
        </w:rPr>
        <w:t>Рисунок 8 – Автокорреляционная функция доходностей индекса государственных и корпоративных облигаций, индекса акций компаний нефтегазовой отрасли ММВБ, фьючерса на нефть марки Brent, объёма и роста объёма торгов фьючерсами на сырую нефть марки Brent</w:t>
      </w:r>
    </w:p>
    <w:p w:rsidR="00B42A3F" w:rsidRPr="003B3B41" w:rsidRDefault="00B42A3F" w:rsidP="00E06C9A">
      <w:pPr>
        <w:spacing w:before="120"/>
        <w:ind w:left="0" w:right="-150" w:firstLine="567"/>
        <w:jc w:val="both"/>
        <w:rPr>
          <w:rFonts w:ascii="Times" w:hAnsi="Times"/>
          <w:i/>
        </w:rPr>
      </w:pPr>
      <w:r w:rsidRPr="003B3B41">
        <w:rPr>
          <w:rFonts w:ascii="Times" w:hAnsi="Times"/>
          <w:i/>
        </w:rPr>
        <w:t>Обозначения:</w:t>
      </w:r>
    </w:p>
    <w:p w:rsidR="00B42A3F" w:rsidRPr="00877D7D" w:rsidRDefault="00B42A3F" w:rsidP="00E06C9A">
      <w:pPr>
        <w:spacing w:before="120"/>
        <w:ind w:left="0" w:right="-150" w:firstLine="567"/>
        <w:jc w:val="both"/>
        <w:rPr>
          <w:rFonts w:ascii="Times" w:hAnsi="Times"/>
        </w:rPr>
      </w:pPr>
      <w:r w:rsidRPr="00877D7D">
        <w:rPr>
          <w:rFonts w:ascii="Times" w:hAnsi="Times"/>
        </w:rPr>
        <w:t>1 – автокорреляционная функция временного ряда доходностей  индекса государственных облигаций</w:t>
      </w:r>
      <w:r>
        <w:rPr>
          <w:rFonts w:ascii="Times" w:hAnsi="Times"/>
        </w:rPr>
        <w:t xml:space="preserve"> (</w:t>
      </w:r>
      <w:r w:rsidRPr="003636E3">
        <w:rPr>
          <w:rFonts w:ascii="Times" w:hAnsi="Times"/>
          <w:b/>
          <w:lang w:val="en-US"/>
        </w:rPr>
        <w:t>treasury</w:t>
      </w:r>
      <w:r w:rsidRPr="003636E3">
        <w:rPr>
          <w:rFonts w:ascii="Times" w:hAnsi="Times"/>
          <w:b/>
        </w:rPr>
        <w:t>_</w:t>
      </w:r>
      <w:r w:rsidRPr="003636E3">
        <w:rPr>
          <w:rFonts w:ascii="Times" w:hAnsi="Times"/>
          <w:b/>
          <w:lang w:val="en-US"/>
        </w:rPr>
        <w:t>return</w:t>
      </w:r>
      <w:r w:rsidRPr="003636E3">
        <w:rPr>
          <w:rFonts w:ascii="Times" w:hAnsi="Times"/>
        </w:rPr>
        <w:t>);</w:t>
      </w:r>
    </w:p>
    <w:p w:rsidR="00B42A3F" w:rsidRPr="00877D7D" w:rsidRDefault="00B42A3F" w:rsidP="00E06C9A">
      <w:pPr>
        <w:spacing w:before="120"/>
        <w:ind w:left="0" w:right="-150" w:firstLine="567"/>
        <w:jc w:val="both"/>
        <w:rPr>
          <w:rFonts w:ascii="Times" w:hAnsi="Times"/>
        </w:rPr>
      </w:pPr>
      <w:r w:rsidRPr="00877D7D">
        <w:rPr>
          <w:rFonts w:ascii="Times" w:hAnsi="Times"/>
        </w:rPr>
        <w:t>2 - автокорреляционная функция временного ряда доходностей индекса корпоративных облигаций</w:t>
      </w:r>
      <w:r>
        <w:rPr>
          <w:rFonts w:ascii="Times" w:hAnsi="Times"/>
        </w:rPr>
        <w:t xml:space="preserve"> </w:t>
      </w:r>
      <w:r w:rsidRPr="003636E3">
        <w:rPr>
          <w:rFonts w:ascii="Times" w:hAnsi="Times"/>
        </w:rPr>
        <w:t>(</w:t>
      </w:r>
      <w:r w:rsidRPr="003636E3">
        <w:rPr>
          <w:rFonts w:ascii="Times" w:hAnsi="Times"/>
          <w:b/>
        </w:rPr>
        <w:t>corporate_return</w:t>
      </w:r>
      <w:r>
        <w:rPr>
          <w:rFonts w:ascii="Times" w:hAnsi="Times"/>
        </w:rPr>
        <w:t>)</w:t>
      </w:r>
      <w:r w:rsidRPr="00877D7D">
        <w:rPr>
          <w:rFonts w:ascii="Times" w:hAnsi="Times"/>
        </w:rPr>
        <w:t>;</w:t>
      </w:r>
    </w:p>
    <w:p w:rsidR="00B42A3F" w:rsidRPr="00877D7D" w:rsidRDefault="00B42A3F" w:rsidP="00E06C9A">
      <w:pPr>
        <w:spacing w:before="120"/>
        <w:ind w:left="0" w:right="-150" w:firstLine="567"/>
        <w:jc w:val="both"/>
        <w:rPr>
          <w:rFonts w:ascii="Times" w:hAnsi="Times"/>
        </w:rPr>
      </w:pPr>
      <w:r w:rsidRPr="00877D7D">
        <w:rPr>
          <w:rFonts w:ascii="Times" w:hAnsi="Times"/>
        </w:rPr>
        <w:t>3 - автокорреляционная функция временного ряда доходностей индекса акций компаний нефтегазовой отрасли</w:t>
      </w:r>
      <w:r>
        <w:rPr>
          <w:rFonts w:ascii="Times" w:hAnsi="Times"/>
        </w:rPr>
        <w:t xml:space="preserve"> </w:t>
      </w:r>
      <w:r w:rsidRPr="003636E3">
        <w:rPr>
          <w:rFonts w:ascii="Times" w:hAnsi="Times"/>
        </w:rPr>
        <w:t>(</w:t>
      </w:r>
      <w:r w:rsidRPr="003636E3">
        <w:rPr>
          <w:rFonts w:ascii="Times" w:hAnsi="Times"/>
          <w:b/>
        </w:rPr>
        <w:t>industry_return</w:t>
      </w:r>
      <w:r>
        <w:rPr>
          <w:rFonts w:ascii="Times" w:hAnsi="Times"/>
        </w:rPr>
        <w:t>)</w:t>
      </w:r>
      <w:r w:rsidRPr="00877D7D">
        <w:rPr>
          <w:rFonts w:ascii="Times" w:hAnsi="Times"/>
        </w:rPr>
        <w:t>;</w:t>
      </w:r>
    </w:p>
    <w:p w:rsidR="00B42A3F" w:rsidRPr="00877D7D" w:rsidRDefault="00B42A3F" w:rsidP="00E06C9A">
      <w:pPr>
        <w:spacing w:before="120"/>
        <w:ind w:left="0" w:right="-150" w:firstLine="567"/>
        <w:jc w:val="both"/>
        <w:rPr>
          <w:rFonts w:ascii="Times" w:hAnsi="Times"/>
        </w:rPr>
      </w:pPr>
      <w:r w:rsidRPr="00877D7D">
        <w:rPr>
          <w:rFonts w:ascii="Times" w:hAnsi="Times"/>
        </w:rPr>
        <w:t>4 - автокорреляционная функция временного ряда доходностей фьючерса на нефть марки Brent на Московской фондовой бирже</w:t>
      </w:r>
      <w:r>
        <w:rPr>
          <w:rFonts w:ascii="Times" w:hAnsi="Times"/>
        </w:rPr>
        <w:t xml:space="preserve"> (</w:t>
      </w:r>
      <w:r w:rsidRPr="003636E3">
        <w:rPr>
          <w:rFonts w:ascii="Times" w:hAnsi="Times"/>
          <w:b/>
        </w:rPr>
        <w:t>futures_return</w:t>
      </w:r>
      <w:r>
        <w:rPr>
          <w:rFonts w:ascii="Times" w:hAnsi="Times"/>
        </w:rPr>
        <w:t>)</w:t>
      </w:r>
      <w:r w:rsidRPr="00877D7D">
        <w:rPr>
          <w:rFonts w:ascii="Times" w:hAnsi="Times"/>
        </w:rPr>
        <w:t>;</w:t>
      </w:r>
    </w:p>
    <w:p w:rsidR="00B42A3F" w:rsidRPr="00877D7D" w:rsidRDefault="00B42A3F" w:rsidP="00E06C9A">
      <w:pPr>
        <w:spacing w:before="120"/>
        <w:ind w:left="0" w:right="-150" w:firstLine="567"/>
        <w:jc w:val="both"/>
        <w:rPr>
          <w:rFonts w:ascii="Times" w:hAnsi="Times"/>
        </w:rPr>
      </w:pPr>
      <w:r w:rsidRPr="00877D7D">
        <w:rPr>
          <w:rFonts w:ascii="Times" w:hAnsi="Times"/>
        </w:rPr>
        <w:t>5 - автокорреляционная функция временного ряда объёма торгов фьючерсами на нефть марки Brent на Московской фондовой бирже</w:t>
      </w:r>
      <w:r>
        <w:rPr>
          <w:rFonts w:ascii="Times" w:hAnsi="Times"/>
        </w:rPr>
        <w:t xml:space="preserve"> (</w:t>
      </w:r>
      <w:r w:rsidRPr="003636E3">
        <w:rPr>
          <w:rFonts w:ascii="Times" w:hAnsi="Times"/>
          <w:b/>
        </w:rPr>
        <w:t>volumes</w:t>
      </w:r>
      <w:r>
        <w:rPr>
          <w:rFonts w:ascii="Times" w:hAnsi="Times"/>
        </w:rPr>
        <w:t>)</w:t>
      </w:r>
      <w:r w:rsidRPr="00877D7D">
        <w:rPr>
          <w:rFonts w:ascii="Times" w:hAnsi="Times"/>
        </w:rPr>
        <w:t>;</w:t>
      </w:r>
    </w:p>
    <w:p w:rsidR="00B42A3F" w:rsidRPr="00877D7D" w:rsidRDefault="00B42A3F" w:rsidP="00E06C9A">
      <w:pPr>
        <w:spacing w:before="120"/>
        <w:ind w:left="0" w:right="-150" w:firstLine="567"/>
        <w:jc w:val="both"/>
        <w:rPr>
          <w:rFonts w:ascii="Times" w:hAnsi="Times"/>
        </w:rPr>
      </w:pPr>
      <w:r w:rsidRPr="00877D7D">
        <w:rPr>
          <w:rFonts w:ascii="Times" w:hAnsi="Times"/>
        </w:rPr>
        <w:t>6 - автокорреляционная функция временного ряда роста объёма торгов фьючерсами на нефть марки Brent на Московской фондовой бирже</w:t>
      </w:r>
      <w:r>
        <w:rPr>
          <w:rFonts w:ascii="Times" w:hAnsi="Times"/>
        </w:rPr>
        <w:t xml:space="preserve"> (</w:t>
      </w:r>
      <w:r w:rsidRPr="003636E3">
        <w:rPr>
          <w:rFonts w:ascii="Times" w:hAnsi="Times"/>
          <w:b/>
        </w:rPr>
        <w:t>Dvolumes</w:t>
      </w:r>
      <w:r>
        <w:rPr>
          <w:rFonts w:ascii="Times" w:hAnsi="Times"/>
        </w:rPr>
        <w:t>)</w:t>
      </w:r>
      <w:r w:rsidRPr="00877D7D">
        <w:rPr>
          <w:rFonts w:ascii="Times" w:hAnsi="Times"/>
        </w:rPr>
        <w:t>.</w:t>
      </w:r>
    </w:p>
    <w:p w:rsidR="00B42A3F" w:rsidRDefault="00B42A3F" w:rsidP="00E06C9A">
      <w:pPr>
        <w:spacing w:before="120"/>
        <w:ind w:left="0" w:right="-150" w:firstLine="567"/>
        <w:jc w:val="both"/>
        <w:rPr>
          <w:rFonts w:ascii="Times" w:hAnsi="Times"/>
        </w:rPr>
      </w:pPr>
      <w:r>
        <w:rPr>
          <w:rFonts w:ascii="Times" w:hAnsi="Times"/>
        </w:rPr>
        <w:t xml:space="preserve">На </w:t>
      </w:r>
      <w:r w:rsidRPr="003636E3">
        <w:rPr>
          <w:rFonts w:ascii="Times" w:hAnsi="Times"/>
        </w:rPr>
        <w:t xml:space="preserve">рис. 9 </w:t>
      </w:r>
      <w:r>
        <w:rPr>
          <w:rFonts w:ascii="Times" w:hAnsi="Times"/>
        </w:rPr>
        <w:t xml:space="preserve">представлены графики автокорреляционных функций для временных рядов (6) суммы открытых позиций по фьючерсам на нефть на конец дня на ММВБ; роста суммы открытых позиций по фьючерсам на нефть на конец дня на ММВБ; (7) средней процентной ставки для межбанковских займов на 0,5 года </w:t>
      </w:r>
      <w:r>
        <w:rPr>
          <w:rFonts w:ascii="Times" w:hAnsi="Times"/>
          <w:lang w:val="en-US"/>
        </w:rPr>
        <w:t>Moscow</w:t>
      </w:r>
      <w:r w:rsidRPr="0058455C">
        <w:rPr>
          <w:rFonts w:ascii="Times" w:hAnsi="Times"/>
        </w:rPr>
        <w:t xml:space="preserve"> </w:t>
      </w:r>
      <w:r>
        <w:rPr>
          <w:rFonts w:ascii="Times" w:hAnsi="Times"/>
          <w:lang w:val="en-US"/>
        </w:rPr>
        <w:t>Prime</w:t>
      </w:r>
      <w:r w:rsidRPr="0058455C">
        <w:rPr>
          <w:rFonts w:ascii="Times" w:hAnsi="Times"/>
        </w:rPr>
        <w:t xml:space="preserve"> </w:t>
      </w:r>
      <w:r>
        <w:rPr>
          <w:rFonts w:ascii="Times" w:hAnsi="Times"/>
          <w:lang w:val="en-US"/>
        </w:rPr>
        <w:t>Rate</w:t>
      </w:r>
      <w:r w:rsidRPr="0058455C">
        <w:rPr>
          <w:rFonts w:ascii="Times" w:hAnsi="Times"/>
        </w:rPr>
        <w:t xml:space="preserve">; роста средней процентной ставки для межбанковских займов на 0,5 года </w:t>
      </w:r>
      <w:r>
        <w:rPr>
          <w:rFonts w:ascii="Times" w:hAnsi="Times"/>
          <w:lang w:val="en-US"/>
        </w:rPr>
        <w:t>Moscow</w:t>
      </w:r>
      <w:r w:rsidRPr="0058455C">
        <w:rPr>
          <w:rFonts w:ascii="Times" w:hAnsi="Times"/>
        </w:rPr>
        <w:t xml:space="preserve"> </w:t>
      </w:r>
      <w:r>
        <w:rPr>
          <w:rFonts w:ascii="Times" w:hAnsi="Times"/>
          <w:lang w:val="en-US"/>
        </w:rPr>
        <w:t>Prime</w:t>
      </w:r>
      <w:r w:rsidRPr="0058455C">
        <w:rPr>
          <w:rFonts w:ascii="Times" w:hAnsi="Times"/>
        </w:rPr>
        <w:t xml:space="preserve"> </w:t>
      </w:r>
      <w:r>
        <w:rPr>
          <w:rFonts w:ascii="Times" w:hAnsi="Times"/>
          <w:lang w:val="en-US"/>
        </w:rPr>
        <w:t>Rate</w:t>
      </w:r>
      <w:r>
        <w:rPr>
          <w:rFonts w:ascii="Times" w:hAnsi="Times"/>
        </w:rPr>
        <w:t xml:space="preserve"> (временной ряд, построенный </w:t>
      </w:r>
      <w:r>
        <w:rPr>
          <w:rFonts w:ascii="Times" w:hAnsi="Times"/>
        </w:rPr>
        <w:lastRenderedPageBreak/>
        <w:t xml:space="preserve">на первых разностях временного ряда </w:t>
      </w:r>
      <w:r>
        <w:rPr>
          <w:rFonts w:ascii="Times" w:hAnsi="Times"/>
          <w:lang w:val="en-US"/>
        </w:rPr>
        <w:t>interest</w:t>
      </w:r>
      <w:r w:rsidRPr="0058455C">
        <w:rPr>
          <w:rFonts w:ascii="Times" w:hAnsi="Times"/>
        </w:rPr>
        <w:t>)</w:t>
      </w:r>
      <w:r>
        <w:rPr>
          <w:rFonts w:ascii="Times" w:hAnsi="Times"/>
        </w:rPr>
        <w:t xml:space="preserve">; временного ряда, построенного на вторых разностях временного ряда </w:t>
      </w:r>
      <w:r>
        <w:rPr>
          <w:rFonts w:ascii="Times" w:hAnsi="Times"/>
          <w:lang w:val="en-US"/>
        </w:rPr>
        <w:t>interest</w:t>
      </w:r>
      <w:r w:rsidRPr="0058455C">
        <w:rPr>
          <w:rFonts w:ascii="Times" w:hAnsi="Times"/>
        </w:rPr>
        <w:t>.</w:t>
      </w:r>
      <w:r>
        <w:rPr>
          <w:rFonts w:ascii="Times" w:hAnsi="Times"/>
        </w:rPr>
        <w:t xml:space="preserve"> Визуальный анализ графиков автокорреляционных функций (</w:t>
      </w:r>
      <w:r w:rsidRPr="003636E3">
        <w:rPr>
          <w:rFonts w:ascii="Times" w:hAnsi="Times"/>
        </w:rPr>
        <w:t>рис. 8, 9</w:t>
      </w:r>
      <w:r>
        <w:rPr>
          <w:rFonts w:ascii="Times" w:hAnsi="Times"/>
        </w:rPr>
        <w:t>) позволяет выдвинуть гипотезы (</w:t>
      </w:r>
      <w:r w:rsidRPr="003636E3">
        <w:rPr>
          <w:rFonts w:ascii="Times" w:hAnsi="Times"/>
        </w:rPr>
        <w:t>Таблица 5</w:t>
      </w:r>
      <w:r>
        <w:rPr>
          <w:rFonts w:ascii="Times" w:hAnsi="Times"/>
        </w:rPr>
        <w:t>).</w:t>
      </w:r>
    </w:p>
    <w:p w:rsidR="00B42A3F" w:rsidRDefault="00B42A3F" w:rsidP="00B42A3F">
      <w:pPr>
        <w:spacing w:before="120"/>
        <w:ind w:firstLine="567"/>
        <w:jc w:val="both"/>
        <w:rPr>
          <w:rFonts w:ascii="Times" w:hAnsi="Times"/>
        </w:rPr>
      </w:pPr>
    </w:p>
    <w:p w:rsidR="00B42A3F" w:rsidRDefault="00B42A3F" w:rsidP="00B42A3F">
      <w:pPr>
        <w:ind w:right="-8"/>
        <w:jc w:val="both"/>
        <w:rPr>
          <w:rFonts w:ascii="Times" w:hAnsi="Times"/>
        </w:rPr>
      </w:pPr>
      <w:r w:rsidRPr="000F6176">
        <w:rPr>
          <w:rFonts w:ascii="Times" w:hAnsi="Times"/>
          <w:noProof/>
        </w:rPr>
        <w:drawing>
          <wp:inline distT="0" distB="0" distL="0" distR="0">
            <wp:extent cx="5820543" cy="4233122"/>
            <wp:effectExtent l="19050" t="19050" r="27807" b="15028"/>
            <wp:docPr id="81"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ый общий.pdf"/>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821110" cy="4233535"/>
                    </a:xfrm>
                    <a:prstGeom prst="rect">
                      <a:avLst/>
                    </a:prstGeom>
                    <a:ln>
                      <a:solidFill>
                        <a:schemeClr val="tx1"/>
                      </a:solidFill>
                    </a:ln>
                  </pic:spPr>
                </pic:pic>
              </a:graphicData>
            </a:graphic>
          </wp:inline>
        </w:drawing>
      </w:r>
    </w:p>
    <w:p w:rsidR="00B42A3F" w:rsidRPr="00877D7D" w:rsidRDefault="00B42A3F" w:rsidP="00E06C9A">
      <w:pPr>
        <w:ind w:left="0" w:right="-8" w:firstLine="567"/>
        <w:jc w:val="both"/>
        <w:rPr>
          <w:rFonts w:ascii="Times" w:hAnsi="Times"/>
        </w:rPr>
      </w:pPr>
      <w:r w:rsidRPr="00877D7D">
        <w:rPr>
          <w:rFonts w:ascii="Times" w:hAnsi="Times"/>
        </w:rPr>
        <w:t>Рис. 9 – Автокорреляционная функция временных рядов переменных</w:t>
      </w:r>
    </w:p>
    <w:p w:rsidR="00B42A3F" w:rsidRPr="00970D35" w:rsidRDefault="00B42A3F" w:rsidP="00E06C9A">
      <w:pPr>
        <w:ind w:left="0" w:right="-8" w:firstLine="567"/>
        <w:jc w:val="both"/>
        <w:rPr>
          <w:rFonts w:ascii="Times" w:hAnsi="Times"/>
          <w:lang w:val="en-US"/>
        </w:rPr>
      </w:pPr>
      <w:r w:rsidRPr="003636E3">
        <w:rPr>
          <w:rFonts w:ascii="Times" w:hAnsi="Times"/>
          <w:b/>
          <w:lang w:val="en-US"/>
        </w:rPr>
        <w:t>1</w:t>
      </w:r>
      <w:r w:rsidRPr="0058455C">
        <w:rPr>
          <w:rFonts w:ascii="Times" w:hAnsi="Times"/>
          <w:lang w:val="en-US"/>
        </w:rPr>
        <w:t xml:space="preserve"> – </w:t>
      </w:r>
      <w:r w:rsidRPr="00970D35">
        <w:rPr>
          <w:rFonts w:ascii="Times" w:hAnsi="Times"/>
          <w:b/>
          <w:lang w:val="en-US"/>
        </w:rPr>
        <w:t>open</w:t>
      </w:r>
      <w:r w:rsidRPr="00970D35">
        <w:rPr>
          <w:rFonts w:ascii="Times" w:hAnsi="Times"/>
          <w:lang w:val="en-US"/>
        </w:rPr>
        <w:t>;</w:t>
      </w:r>
    </w:p>
    <w:p w:rsidR="00B42A3F" w:rsidRPr="00970D35" w:rsidRDefault="00B42A3F" w:rsidP="00E06C9A">
      <w:pPr>
        <w:ind w:left="0" w:right="-8" w:firstLine="567"/>
        <w:jc w:val="both"/>
        <w:rPr>
          <w:rFonts w:ascii="Times" w:hAnsi="Times"/>
          <w:lang w:val="en-US"/>
        </w:rPr>
      </w:pPr>
      <w:r w:rsidRPr="00970D35">
        <w:rPr>
          <w:rFonts w:ascii="Times" w:hAnsi="Times"/>
          <w:lang w:val="en-US"/>
        </w:rPr>
        <w:t xml:space="preserve">2 – </w:t>
      </w:r>
      <w:r w:rsidRPr="00970D35">
        <w:rPr>
          <w:rFonts w:ascii="Times" w:hAnsi="Times"/>
          <w:b/>
          <w:lang w:val="en-US"/>
        </w:rPr>
        <w:t>Dopen</w:t>
      </w:r>
      <w:r w:rsidRPr="00970D35">
        <w:rPr>
          <w:rFonts w:ascii="Times" w:hAnsi="Times"/>
          <w:lang w:val="en-US"/>
        </w:rPr>
        <w:t>;</w:t>
      </w:r>
    </w:p>
    <w:p w:rsidR="00B42A3F" w:rsidRPr="00970D35" w:rsidRDefault="00B42A3F" w:rsidP="00E06C9A">
      <w:pPr>
        <w:ind w:left="0" w:right="-8" w:firstLine="567"/>
        <w:jc w:val="both"/>
        <w:rPr>
          <w:rFonts w:ascii="Times" w:hAnsi="Times"/>
          <w:lang w:val="en-US"/>
        </w:rPr>
      </w:pPr>
      <w:r w:rsidRPr="00970D35">
        <w:rPr>
          <w:rFonts w:ascii="Times" w:hAnsi="Times"/>
          <w:lang w:val="en-US"/>
        </w:rPr>
        <w:t xml:space="preserve">3 </w:t>
      </w:r>
      <w:r w:rsidRPr="00970D35">
        <w:rPr>
          <w:rFonts w:ascii="Times" w:hAnsi="Times"/>
          <w:b/>
          <w:lang w:val="en-US"/>
        </w:rPr>
        <w:t>-  interes</w:t>
      </w:r>
      <w:r w:rsidRPr="00970D35">
        <w:rPr>
          <w:rFonts w:ascii="Times" w:hAnsi="Times"/>
          <w:lang w:val="en-US"/>
        </w:rPr>
        <w:t>t;</w:t>
      </w:r>
    </w:p>
    <w:p w:rsidR="00B42A3F" w:rsidRPr="00970D35" w:rsidRDefault="00B42A3F" w:rsidP="00E06C9A">
      <w:pPr>
        <w:ind w:left="0" w:right="-8" w:firstLine="567"/>
        <w:jc w:val="both"/>
        <w:rPr>
          <w:rFonts w:ascii="Times" w:hAnsi="Times"/>
          <w:lang w:val="en-US"/>
        </w:rPr>
      </w:pPr>
      <w:r w:rsidRPr="00970D35">
        <w:rPr>
          <w:rFonts w:ascii="Times" w:hAnsi="Times"/>
          <w:lang w:val="en-US"/>
        </w:rPr>
        <w:t xml:space="preserve">4 – </w:t>
      </w:r>
      <w:r w:rsidRPr="00970D35">
        <w:rPr>
          <w:rFonts w:ascii="Times" w:hAnsi="Times"/>
          <w:b/>
          <w:lang w:val="en-US"/>
        </w:rPr>
        <w:t>Dinterest</w:t>
      </w:r>
      <w:r w:rsidRPr="00970D35">
        <w:rPr>
          <w:rFonts w:ascii="Times" w:hAnsi="Times"/>
          <w:lang w:val="en-US"/>
        </w:rPr>
        <w:t>;</w:t>
      </w:r>
    </w:p>
    <w:p w:rsidR="00B42A3F" w:rsidRPr="0058455C" w:rsidRDefault="00B42A3F" w:rsidP="00E06C9A">
      <w:pPr>
        <w:ind w:left="0" w:right="-8" w:firstLine="567"/>
        <w:jc w:val="both"/>
        <w:rPr>
          <w:rFonts w:ascii="Times" w:hAnsi="Times"/>
          <w:lang w:val="en-US"/>
        </w:rPr>
      </w:pPr>
      <w:r w:rsidRPr="00970D35">
        <w:rPr>
          <w:rFonts w:ascii="Times" w:hAnsi="Times"/>
          <w:lang w:val="en-US"/>
        </w:rPr>
        <w:t xml:space="preserve">5 – </w:t>
      </w:r>
      <w:r w:rsidRPr="00970D35">
        <w:rPr>
          <w:rFonts w:ascii="Times" w:hAnsi="Times"/>
          <w:b/>
          <w:lang w:val="en-US"/>
        </w:rPr>
        <w:t>DDinterest.</w:t>
      </w:r>
    </w:p>
    <w:p w:rsidR="00E06C9A" w:rsidRDefault="00E06C9A">
      <w:pPr>
        <w:rPr>
          <w:rFonts w:ascii="Times" w:hAnsi="Times"/>
        </w:rPr>
      </w:pPr>
      <w:r>
        <w:rPr>
          <w:rFonts w:ascii="Times" w:hAnsi="Times"/>
        </w:rPr>
        <w:br w:type="page"/>
      </w:r>
    </w:p>
    <w:p w:rsidR="00B42A3F" w:rsidRPr="003636E3" w:rsidRDefault="00B42A3F" w:rsidP="00E06C9A">
      <w:pPr>
        <w:ind w:left="0" w:right="-8" w:firstLine="0"/>
        <w:jc w:val="both"/>
        <w:rPr>
          <w:rFonts w:ascii="Times" w:hAnsi="Times"/>
        </w:rPr>
      </w:pPr>
      <w:r w:rsidRPr="003636E3">
        <w:rPr>
          <w:rFonts w:ascii="Times" w:hAnsi="Times"/>
        </w:rPr>
        <w:lastRenderedPageBreak/>
        <w:t>Таблица 5: Гипотезы о «наличии/отсутствии/под вопросом» автокорреляции, которые можно выдвинуть на основе анализа графиков функции автокорреляции</w:t>
      </w:r>
    </w:p>
    <w:tbl>
      <w:tblPr>
        <w:tblStyle w:val="ae"/>
        <w:tblW w:w="9373" w:type="dxa"/>
        <w:jc w:val="center"/>
        <w:tblInd w:w="-1282" w:type="dxa"/>
        <w:tblLayout w:type="fixed"/>
        <w:tblLook w:val="04A0"/>
      </w:tblPr>
      <w:tblGrid>
        <w:gridCol w:w="1856"/>
        <w:gridCol w:w="2555"/>
        <w:gridCol w:w="2835"/>
        <w:gridCol w:w="2127"/>
      </w:tblGrid>
      <w:tr w:rsidR="00B42A3F" w:rsidRPr="003B3B41" w:rsidTr="00B42A3F">
        <w:trPr>
          <w:jc w:val="center"/>
        </w:trPr>
        <w:tc>
          <w:tcPr>
            <w:tcW w:w="1856" w:type="dxa"/>
          </w:tcPr>
          <w:p w:rsidR="00B42A3F" w:rsidRPr="003B3B41" w:rsidRDefault="00B42A3F" w:rsidP="00B42A3F">
            <w:pPr>
              <w:jc w:val="both"/>
              <w:rPr>
                <w:rFonts w:ascii="Times" w:hAnsi="Times"/>
                <w:b/>
                <w:sz w:val="22"/>
                <w:szCs w:val="22"/>
              </w:rPr>
            </w:pPr>
            <w:r w:rsidRPr="003B3B41">
              <w:rPr>
                <w:rFonts w:ascii="Times" w:hAnsi="Times"/>
                <w:b/>
                <w:sz w:val="22"/>
                <w:szCs w:val="22"/>
              </w:rPr>
              <w:t>Переменная</w:t>
            </w:r>
          </w:p>
        </w:tc>
        <w:tc>
          <w:tcPr>
            <w:tcW w:w="7517" w:type="dxa"/>
            <w:gridSpan w:val="3"/>
          </w:tcPr>
          <w:p w:rsidR="00B42A3F" w:rsidRPr="003B3B41" w:rsidRDefault="00B42A3F" w:rsidP="00B42A3F">
            <w:pPr>
              <w:jc w:val="both"/>
              <w:rPr>
                <w:rFonts w:ascii="Times" w:hAnsi="Times"/>
                <w:b/>
                <w:sz w:val="22"/>
                <w:szCs w:val="22"/>
              </w:rPr>
            </w:pPr>
            <w:r w:rsidRPr="003B3B41">
              <w:rPr>
                <w:rFonts w:ascii="Times" w:hAnsi="Times"/>
                <w:b/>
                <w:sz w:val="22"/>
                <w:szCs w:val="22"/>
              </w:rPr>
              <w:t>Гипотеза о «наличии/отсутствии/под вопросом» автокорреляции</w:t>
            </w:r>
          </w:p>
        </w:tc>
      </w:tr>
      <w:tr w:rsidR="00B42A3F" w:rsidRPr="003B3B41" w:rsidTr="00B42A3F">
        <w:trPr>
          <w:jc w:val="center"/>
        </w:trPr>
        <w:tc>
          <w:tcPr>
            <w:tcW w:w="1856" w:type="dxa"/>
          </w:tcPr>
          <w:p w:rsidR="00B42A3F" w:rsidRPr="003B3B41" w:rsidRDefault="00B42A3F" w:rsidP="00B42A3F">
            <w:pPr>
              <w:jc w:val="both"/>
              <w:rPr>
                <w:rFonts w:ascii="Times" w:hAnsi="Times"/>
                <w:b/>
                <w:sz w:val="22"/>
                <w:szCs w:val="22"/>
              </w:rPr>
            </w:pPr>
          </w:p>
        </w:tc>
        <w:tc>
          <w:tcPr>
            <w:tcW w:w="2555" w:type="dxa"/>
          </w:tcPr>
          <w:p w:rsidR="00B42A3F" w:rsidRPr="003B3B41" w:rsidRDefault="00B42A3F" w:rsidP="00B42A3F">
            <w:pPr>
              <w:jc w:val="both"/>
              <w:rPr>
                <w:rFonts w:ascii="Times" w:hAnsi="Times"/>
                <w:b/>
                <w:sz w:val="22"/>
                <w:szCs w:val="22"/>
              </w:rPr>
            </w:pPr>
            <w:r w:rsidRPr="003B3B41">
              <w:rPr>
                <w:rFonts w:ascii="Times" w:hAnsi="Times"/>
                <w:b/>
                <w:sz w:val="22"/>
                <w:szCs w:val="22"/>
              </w:rPr>
              <w:t>2010-2011</w:t>
            </w:r>
          </w:p>
        </w:tc>
        <w:tc>
          <w:tcPr>
            <w:tcW w:w="2835" w:type="dxa"/>
          </w:tcPr>
          <w:p w:rsidR="00B42A3F" w:rsidRPr="003B3B41" w:rsidRDefault="00B42A3F" w:rsidP="00B42A3F">
            <w:pPr>
              <w:jc w:val="both"/>
              <w:rPr>
                <w:rFonts w:ascii="Times" w:hAnsi="Times"/>
                <w:b/>
                <w:sz w:val="22"/>
                <w:szCs w:val="22"/>
              </w:rPr>
            </w:pPr>
            <w:r w:rsidRPr="003B3B41">
              <w:rPr>
                <w:rFonts w:ascii="Times" w:hAnsi="Times"/>
                <w:b/>
                <w:sz w:val="22"/>
                <w:szCs w:val="22"/>
              </w:rPr>
              <w:t>2012-2013</w:t>
            </w:r>
          </w:p>
        </w:tc>
        <w:tc>
          <w:tcPr>
            <w:tcW w:w="2127" w:type="dxa"/>
          </w:tcPr>
          <w:p w:rsidR="00B42A3F" w:rsidRPr="003B3B41" w:rsidRDefault="00B42A3F" w:rsidP="00B42A3F">
            <w:pPr>
              <w:jc w:val="both"/>
              <w:rPr>
                <w:rFonts w:ascii="Times" w:hAnsi="Times"/>
                <w:b/>
                <w:sz w:val="22"/>
                <w:szCs w:val="22"/>
              </w:rPr>
            </w:pPr>
            <w:r w:rsidRPr="003B3B41">
              <w:rPr>
                <w:rFonts w:ascii="Times" w:hAnsi="Times"/>
                <w:b/>
                <w:sz w:val="22"/>
                <w:szCs w:val="22"/>
              </w:rPr>
              <w:t>2014-2015</w:t>
            </w:r>
          </w:p>
        </w:tc>
      </w:tr>
      <w:tr w:rsidR="00B42A3F" w:rsidRPr="003B3B41" w:rsidTr="00B42A3F">
        <w:trPr>
          <w:jc w:val="center"/>
        </w:trPr>
        <w:tc>
          <w:tcPr>
            <w:tcW w:w="1856" w:type="dxa"/>
          </w:tcPr>
          <w:p w:rsidR="00B42A3F" w:rsidRPr="003B3B41" w:rsidRDefault="00B42A3F" w:rsidP="00B42A3F">
            <w:pPr>
              <w:jc w:val="both"/>
              <w:rPr>
                <w:rFonts w:ascii="Times" w:hAnsi="Times"/>
                <w:sz w:val="22"/>
                <w:szCs w:val="22"/>
              </w:rPr>
            </w:pPr>
            <w:r w:rsidRPr="003B3B41">
              <w:rPr>
                <w:rFonts w:ascii="Times" w:hAnsi="Times"/>
                <w:sz w:val="22"/>
                <w:szCs w:val="22"/>
              </w:rPr>
              <w:t>treasury_return</w:t>
            </w:r>
          </w:p>
        </w:tc>
        <w:tc>
          <w:tcPr>
            <w:tcW w:w="2555" w:type="dxa"/>
          </w:tcPr>
          <w:p w:rsidR="00B42A3F" w:rsidRPr="003B3B41" w:rsidRDefault="00B42A3F" w:rsidP="00B42A3F">
            <w:pPr>
              <w:ind w:left="67" w:hanging="67"/>
              <w:jc w:val="both"/>
              <w:rPr>
                <w:rFonts w:ascii="Times" w:hAnsi="Times"/>
                <w:sz w:val="22"/>
                <w:szCs w:val="22"/>
              </w:rPr>
            </w:pPr>
            <w:r w:rsidRPr="003B3B41">
              <w:rPr>
                <w:rFonts w:ascii="Times" w:hAnsi="Times"/>
                <w:sz w:val="22"/>
                <w:szCs w:val="22"/>
              </w:rPr>
              <w:t>отсутствие</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под вопросом</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r>
      <w:tr w:rsidR="00B42A3F" w:rsidRPr="003B3B41" w:rsidTr="00B42A3F">
        <w:trPr>
          <w:jc w:val="center"/>
        </w:trPr>
        <w:tc>
          <w:tcPr>
            <w:tcW w:w="1856" w:type="dxa"/>
          </w:tcPr>
          <w:p w:rsidR="00B42A3F" w:rsidRPr="003B3B41" w:rsidRDefault="00B42A3F" w:rsidP="00B42A3F">
            <w:pPr>
              <w:jc w:val="both"/>
              <w:rPr>
                <w:rFonts w:ascii="Times" w:hAnsi="Times"/>
                <w:sz w:val="22"/>
                <w:szCs w:val="22"/>
              </w:rPr>
            </w:pPr>
            <w:r w:rsidRPr="003B3B41">
              <w:rPr>
                <w:rFonts w:ascii="Times" w:hAnsi="Times"/>
                <w:sz w:val="22"/>
                <w:szCs w:val="22"/>
              </w:rPr>
              <w:t>corporate_return</w:t>
            </w:r>
          </w:p>
        </w:tc>
        <w:tc>
          <w:tcPr>
            <w:tcW w:w="2555" w:type="dxa"/>
          </w:tcPr>
          <w:p w:rsidR="00B42A3F" w:rsidRPr="003B3B41" w:rsidRDefault="00B42A3F" w:rsidP="00B42A3F">
            <w:pPr>
              <w:jc w:val="both"/>
              <w:rPr>
                <w:rFonts w:ascii="Times" w:hAnsi="Times"/>
                <w:sz w:val="22"/>
                <w:szCs w:val="22"/>
              </w:rPr>
            </w:pPr>
            <w:r w:rsidRPr="003B3B41">
              <w:rPr>
                <w:rFonts w:ascii="Times" w:hAnsi="Times"/>
                <w:sz w:val="22"/>
                <w:szCs w:val="22"/>
              </w:rPr>
              <w:t xml:space="preserve">наличие </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r>
      <w:tr w:rsidR="00B42A3F" w:rsidRPr="003B3B41" w:rsidTr="00B42A3F">
        <w:trPr>
          <w:jc w:val="center"/>
        </w:trPr>
        <w:tc>
          <w:tcPr>
            <w:tcW w:w="1856" w:type="dxa"/>
          </w:tcPr>
          <w:p w:rsidR="00B42A3F" w:rsidRPr="003B3B41" w:rsidRDefault="00B42A3F" w:rsidP="00B42A3F">
            <w:pPr>
              <w:ind w:hanging="64"/>
              <w:jc w:val="both"/>
              <w:rPr>
                <w:rFonts w:ascii="Times" w:hAnsi="Times"/>
                <w:sz w:val="22"/>
                <w:szCs w:val="22"/>
              </w:rPr>
            </w:pPr>
            <w:r>
              <w:rPr>
                <w:rFonts w:ascii="Times" w:hAnsi="Times"/>
                <w:sz w:val="22"/>
                <w:szCs w:val="22"/>
              </w:rPr>
              <w:t xml:space="preserve"> </w:t>
            </w:r>
            <w:r w:rsidRPr="003B3B41">
              <w:rPr>
                <w:rFonts w:ascii="Times" w:hAnsi="Times"/>
                <w:sz w:val="22"/>
                <w:szCs w:val="22"/>
              </w:rPr>
              <w:t>industry_return</w:t>
            </w:r>
          </w:p>
        </w:tc>
        <w:tc>
          <w:tcPr>
            <w:tcW w:w="255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отсвутствие</w:t>
            </w:r>
          </w:p>
        </w:tc>
      </w:tr>
      <w:tr w:rsidR="00B42A3F" w:rsidRPr="003B3B41" w:rsidTr="00B42A3F">
        <w:trPr>
          <w:jc w:val="center"/>
        </w:trPr>
        <w:tc>
          <w:tcPr>
            <w:tcW w:w="1856" w:type="dxa"/>
          </w:tcPr>
          <w:p w:rsidR="00B42A3F" w:rsidRPr="003B3B41" w:rsidRDefault="00B42A3F" w:rsidP="00B42A3F">
            <w:pPr>
              <w:jc w:val="both"/>
              <w:rPr>
                <w:rFonts w:ascii="Times" w:hAnsi="Times"/>
                <w:sz w:val="22"/>
                <w:szCs w:val="22"/>
              </w:rPr>
            </w:pPr>
            <w:r w:rsidRPr="003B3B41">
              <w:rPr>
                <w:rFonts w:ascii="Times" w:hAnsi="Times"/>
                <w:sz w:val="22"/>
                <w:szCs w:val="22"/>
              </w:rPr>
              <w:t>futures_return</w:t>
            </w:r>
          </w:p>
        </w:tc>
        <w:tc>
          <w:tcPr>
            <w:tcW w:w="255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под вопросом</w:t>
            </w:r>
          </w:p>
        </w:tc>
      </w:tr>
      <w:tr w:rsidR="00B42A3F" w:rsidRPr="003B3B41" w:rsidTr="00B42A3F">
        <w:trPr>
          <w:jc w:val="center"/>
        </w:trPr>
        <w:tc>
          <w:tcPr>
            <w:tcW w:w="1856" w:type="dxa"/>
          </w:tcPr>
          <w:p w:rsidR="00B42A3F" w:rsidRPr="003B3B41" w:rsidRDefault="00B42A3F" w:rsidP="00B42A3F">
            <w:pPr>
              <w:jc w:val="both"/>
              <w:rPr>
                <w:rFonts w:ascii="Times" w:hAnsi="Times"/>
                <w:sz w:val="22"/>
                <w:szCs w:val="22"/>
              </w:rPr>
            </w:pPr>
            <w:r w:rsidRPr="003B3B41">
              <w:rPr>
                <w:rFonts w:ascii="Times" w:hAnsi="Times"/>
                <w:sz w:val="22"/>
                <w:szCs w:val="22"/>
              </w:rPr>
              <w:t>volumes_increase</w:t>
            </w:r>
          </w:p>
        </w:tc>
        <w:tc>
          <w:tcPr>
            <w:tcW w:w="255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r>
      <w:tr w:rsidR="00B42A3F" w:rsidRPr="003B3B41" w:rsidTr="00B42A3F">
        <w:trPr>
          <w:jc w:val="center"/>
        </w:trPr>
        <w:tc>
          <w:tcPr>
            <w:tcW w:w="1856" w:type="dxa"/>
          </w:tcPr>
          <w:p w:rsidR="00B42A3F" w:rsidRPr="003B3B41" w:rsidRDefault="00B42A3F" w:rsidP="00B42A3F">
            <w:pPr>
              <w:jc w:val="both"/>
              <w:rPr>
                <w:rFonts w:ascii="Times" w:hAnsi="Times"/>
                <w:sz w:val="22"/>
                <w:szCs w:val="22"/>
              </w:rPr>
            </w:pPr>
            <w:r w:rsidRPr="003B3B41">
              <w:rPr>
                <w:rFonts w:ascii="Times" w:hAnsi="Times"/>
                <w:sz w:val="22"/>
                <w:szCs w:val="22"/>
              </w:rPr>
              <w:t>volumes</w:t>
            </w:r>
          </w:p>
        </w:tc>
        <w:tc>
          <w:tcPr>
            <w:tcW w:w="2555"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r>
      <w:tr w:rsidR="00B42A3F" w:rsidRPr="003B3B41" w:rsidTr="00B42A3F">
        <w:trPr>
          <w:jc w:val="center"/>
        </w:trPr>
        <w:tc>
          <w:tcPr>
            <w:tcW w:w="1856" w:type="dxa"/>
          </w:tcPr>
          <w:p w:rsidR="00B42A3F" w:rsidRPr="003B3B41" w:rsidRDefault="00B42A3F" w:rsidP="00B42A3F">
            <w:pPr>
              <w:jc w:val="both"/>
              <w:rPr>
                <w:rFonts w:ascii="Times" w:hAnsi="Times"/>
                <w:sz w:val="22"/>
                <w:szCs w:val="22"/>
              </w:rPr>
            </w:pPr>
            <w:r w:rsidRPr="003B3B41">
              <w:rPr>
                <w:rFonts w:ascii="Times" w:hAnsi="Times"/>
                <w:sz w:val="22"/>
                <w:szCs w:val="22"/>
              </w:rPr>
              <w:t>open</w:t>
            </w:r>
          </w:p>
        </w:tc>
        <w:tc>
          <w:tcPr>
            <w:tcW w:w="255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r>
      <w:tr w:rsidR="00B42A3F" w:rsidRPr="003B3B41" w:rsidTr="00B42A3F">
        <w:trPr>
          <w:jc w:val="center"/>
        </w:trPr>
        <w:tc>
          <w:tcPr>
            <w:tcW w:w="1856" w:type="dxa"/>
          </w:tcPr>
          <w:p w:rsidR="00B42A3F" w:rsidRPr="003B3B41" w:rsidRDefault="00B42A3F" w:rsidP="00B42A3F">
            <w:pPr>
              <w:jc w:val="both"/>
              <w:rPr>
                <w:rFonts w:ascii="Times" w:hAnsi="Times"/>
                <w:sz w:val="22"/>
                <w:szCs w:val="22"/>
              </w:rPr>
            </w:pPr>
            <w:r w:rsidRPr="003B3B41">
              <w:rPr>
                <w:rFonts w:ascii="Times" w:hAnsi="Times"/>
                <w:sz w:val="22"/>
                <w:szCs w:val="22"/>
              </w:rPr>
              <w:t>Dopen</w:t>
            </w:r>
          </w:p>
        </w:tc>
        <w:tc>
          <w:tcPr>
            <w:tcW w:w="255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r>
      <w:tr w:rsidR="00B42A3F" w:rsidRPr="003B3B41" w:rsidTr="00B42A3F">
        <w:trPr>
          <w:jc w:val="center"/>
        </w:trPr>
        <w:tc>
          <w:tcPr>
            <w:tcW w:w="1856" w:type="dxa"/>
          </w:tcPr>
          <w:p w:rsidR="00B42A3F" w:rsidRPr="003B3B41" w:rsidRDefault="00B42A3F" w:rsidP="00B42A3F">
            <w:pPr>
              <w:jc w:val="both"/>
              <w:rPr>
                <w:rFonts w:ascii="Times" w:hAnsi="Times"/>
                <w:sz w:val="22"/>
                <w:szCs w:val="22"/>
              </w:rPr>
            </w:pPr>
            <w:r w:rsidRPr="003B3B41">
              <w:rPr>
                <w:rFonts w:ascii="Times" w:hAnsi="Times"/>
                <w:sz w:val="22"/>
                <w:szCs w:val="22"/>
              </w:rPr>
              <w:t>interest</w:t>
            </w:r>
          </w:p>
        </w:tc>
        <w:tc>
          <w:tcPr>
            <w:tcW w:w="2555"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r>
      <w:tr w:rsidR="00B42A3F" w:rsidRPr="003B3B41" w:rsidTr="00B42A3F">
        <w:trPr>
          <w:jc w:val="center"/>
        </w:trPr>
        <w:tc>
          <w:tcPr>
            <w:tcW w:w="1856" w:type="dxa"/>
          </w:tcPr>
          <w:p w:rsidR="00B42A3F" w:rsidRPr="003B3B41" w:rsidRDefault="00B42A3F" w:rsidP="00B42A3F">
            <w:pPr>
              <w:jc w:val="both"/>
              <w:rPr>
                <w:rFonts w:ascii="Times" w:hAnsi="Times"/>
                <w:sz w:val="22"/>
                <w:szCs w:val="22"/>
              </w:rPr>
            </w:pPr>
            <w:r w:rsidRPr="003B3B41">
              <w:rPr>
                <w:rFonts w:ascii="Times" w:hAnsi="Times"/>
                <w:sz w:val="22"/>
                <w:szCs w:val="22"/>
              </w:rPr>
              <w:t>Dinterest</w:t>
            </w:r>
          </w:p>
        </w:tc>
        <w:tc>
          <w:tcPr>
            <w:tcW w:w="2555" w:type="dxa"/>
          </w:tcPr>
          <w:p w:rsidR="00B42A3F" w:rsidRPr="003B3B41" w:rsidRDefault="00B42A3F" w:rsidP="00B42A3F">
            <w:pPr>
              <w:jc w:val="both"/>
              <w:rPr>
                <w:rFonts w:ascii="Times" w:hAnsi="Times"/>
                <w:sz w:val="22"/>
                <w:szCs w:val="22"/>
              </w:rPr>
            </w:pPr>
            <w:r w:rsidRPr="003B3B41">
              <w:rPr>
                <w:rFonts w:ascii="Times" w:hAnsi="Times"/>
                <w:sz w:val="22"/>
                <w:szCs w:val="22"/>
              </w:rPr>
              <w:t>наличие</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под вопросом</w:t>
            </w:r>
          </w:p>
        </w:tc>
      </w:tr>
      <w:tr w:rsidR="00B42A3F" w:rsidRPr="003B3B41" w:rsidTr="00B42A3F">
        <w:trPr>
          <w:jc w:val="center"/>
        </w:trPr>
        <w:tc>
          <w:tcPr>
            <w:tcW w:w="1856" w:type="dxa"/>
          </w:tcPr>
          <w:p w:rsidR="00B42A3F" w:rsidRPr="003B3B41" w:rsidRDefault="00B42A3F" w:rsidP="00B42A3F">
            <w:pPr>
              <w:jc w:val="both"/>
              <w:rPr>
                <w:rFonts w:ascii="Times" w:hAnsi="Times"/>
                <w:sz w:val="22"/>
                <w:szCs w:val="22"/>
              </w:rPr>
            </w:pPr>
            <w:r w:rsidRPr="003B3B41">
              <w:rPr>
                <w:rFonts w:ascii="Times" w:hAnsi="Times"/>
                <w:sz w:val="22"/>
                <w:szCs w:val="22"/>
              </w:rPr>
              <w:t>DDinterest</w:t>
            </w:r>
          </w:p>
        </w:tc>
        <w:tc>
          <w:tcPr>
            <w:tcW w:w="2555" w:type="dxa"/>
          </w:tcPr>
          <w:p w:rsidR="00B42A3F" w:rsidRPr="003B3B41" w:rsidRDefault="00B42A3F" w:rsidP="00B42A3F">
            <w:pPr>
              <w:jc w:val="both"/>
              <w:rPr>
                <w:rFonts w:ascii="Times" w:hAnsi="Times"/>
                <w:sz w:val="22"/>
                <w:szCs w:val="22"/>
              </w:rPr>
            </w:pPr>
            <w:r w:rsidRPr="003B3B41">
              <w:rPr>
                <w:rFonts w:ascii="Times" w:hAnsi="Times"/>
                <w:sz w:val="22"/>
                <w:szCs w:val="22"/>
              </w:rPr>
              <w:t>под вопросом</w:t>
            </w:r>
          </w:p>
        </w:tc>
        <w:tc>
          <w:tcPr>
            <w:tcW w:w="2835"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c>
          <w:tcPr>
            <w:tcW w:w="2127" w:type="dxa"/>
          </w:tcPr>
          <w:p w:rsidR="00B42A3F" w:rsidRPr="003B3B41" w:rsidRDefault="00B42A3F" w:rsidP="00B42A3F">
            <w:pPr>
              <w:jc w:val="both"/>
              <w:rPr>
                <w:rFonts w:ascii="Times" w:hAnsi="Times"/>
                <w:sz w:val="22"/>
                <w:szCs w:val="22"/>
              </w:rPr>
            </w:pPr>
            <w:r w:rsidRPr="003B3B41">
              <w:rPr>
                <w:rFonts w:ascii="Times" w:hAnsi="Times"/>
                <w:sz w:val="22"/>
                <w:szCs w:val="22"/>
              </w:rPr>
              <w:t>отсутствие</w:t>
            </w:r>
          </w:p>
        </w:tc>
      </w:tr>
    </w:tbl>
    <w:p w:rsidR="00B42A3F" w:rsidRPr="000F6176" w:rsidRDefault="00B42A3F" w:rsidP="00E06C9A">
      <w:pPr>
        <w:spacing w:before="120"/>
        <w:ind w:left="0" w:firstLine="567"/>
        <w:jc w:val="both"/>
        <w:rPr>
          <w:rFonts w:ascii="Times" w:hAnsi="Times"/>
        </w:rPr>
      </w:pPr>
      <w:r>
        <w:rPr>
          <w:rFonts w:ascii="Times" w:hAnsi="Times"/>
        </w:rPr>
        <w:t xml:space="preserve">Результаты теста </w:t>
      </w:r>
      <w:r w:rsidRPr="000F6176">
        <w:rPr>
          <w:rFonts w:ascii="Times" w:hAnsi="Times"/>
        </w:rPr>
        <w:t>Breush-Godfrey для временных рядов зависимых переменных пред</w:t>
      </w:r>
      <w:r>
        <w:rPr>
          <w:rFonts w:ascii="Times" w:hAnsi="Times"/>
        </w:rPr>
        <w:t xml:space="preserve">ставлены в </w:t>
      </w:r>
      <w:r w:rsidRPr="003636E3">
        <w:rPr>
          <w:rFonts w:ascii="Times" w:hAnsi="Times"/>
        </w:rPr>
        <w:t>Таблице 6</w:t>
      </w:r>
      <w:r w:rsidRPr="000F6176">
        <w:rPr>
          <w:rFonts w:ascii="Times" w:hAnsi="Times"/>
        </w:rPr>
        <w:t>.</w:t>
      </w:r>
    </w:p>
    <w:p w:rsidR="00B42A3F" w:rsidRPr="003636E3" w:rsidRDefault="00B42A3F" w:rsidP="00E06C9A">
      <w:pPr>
        <w:spacing w:before="120"/>
        <w:ind w:left="0"/>
        <w:jc w:val="both"/>
        <w:rPr>
          <w:rFonts w:ascii="Times" w:hAnsi="Times"/>
        </w:rPr>
      </w:pPr>
      <w:r w:rsidRPr="003636E3">
        <w:rPr>
          <w:rFonts w:ascii="Times" w:hAnsi="Times"/>
        </w:rPr>
        <w:t xml:space="preserve">Таблица 6: Результаты теста Breush-Godfrey для временных рядов (1) доходностей индексов государственных и (2) корпоративных облигаций, (3) индексов акций компаний нефтегазовой отрасли, (4) доходности фьючерсов на нефть на Московской фондовой бирже и (5) объёмов торгов фьючерсами на нефть на московской фондовой бирже, (6) открытых позиций на фьючерсы на нефть марки Brent на Московской фондовой бирже, (7) средней процентной ставки для межбанковских займов на 0,5 года </w:t>
      </w:r>
      <w:r w:rsidRPr="003636E3">
        <w:rPr>
          <w:rFonts w:ascii="Times" w:hAnsi="Times"/>
          <w:lang w:val="en-US"/>
        </w:rPr>
        <w:t>Moscow</w:t>
      </w:r>
      <w:r w:rsidRPr="003636E3">
        <w:rPr>
          <w:rFonts w:ascii="Times" w:hAnsi="Times"/>
        </w:rPr>
        <w:t xml:space="preserve"> </w:t>
      </w:r>
      <w:r w:rsidRPr="003636E3">
        <w:rPr>
          <w:rFonts w:ascii="Times" w:hAnsi="Times"/>
          <w:lang w:val="en-US"/>
        </w:rPr>
        <w:t>Prime</w:t>
      </w:r>
      <w:r w:rsidRPr="003636E3">
        <w:rPr>
          <w:rFonts w:ascii="Times" w:hAnsi="Times"/>
        </w:rPr>
        <w:t xml:space="preserve"> </w:t>
      </w:r>
      <w:r w:rsidRPr="003636E3">
        <w:rPr>
          <w:rFonts w:ascii="Times" w:hAnsi="Times"/>
          <w:lang w:val="en-US"/>
        </w:rPr>
        <w:t>Rate</w:t>
      </w:r>
      <w:r w:rsidRPr="003636E3">
        <w:rPr>
          <w:rFonts w:ascii="Times" w:hAnsi="Times"/>
        </w:rPr>
        <w:t>, а также первых и вторых разностей, построенных на некоторых из этих временных рядах</w:t>
      </w:r>
    </w:p>
    <w:tbl>
      <w:tblPr>
        <w:tblStyle w:val="ae"/>
        <w:tblpPr w:leftFromText="180" w:rightFromText="180" w:vertAnchor="text" w:tblpY="1"/>
        <w:tblOverlap w:val="never"/>
        <w:tblW w:w="0" w:type="auto"/>
        <w:tblInd w:w="108" w:type="dxa"/>
        <w:tblLayout w:type="fixed"/>
        <w:tblLook w:val="04A0"/>
      </w:tblPr>
      <w:tblGrid>
        <w:gridCol w:w="2221"/>
        <w:gridCol w:w="1031"/>
        <w:gridCol w:w="1336"/>
        <w:gridCol w:w="1031"/>
        <w:gridCol w:w="1336"/>
        <w:gridCol w:w="1031"/>
        <w:gridCol w:w="1228"/>
      </w:tblGrid>
      <w:tr w:rsidR="00B42A3F" w:rsidRPr="00181C46" w:rsidTr="00B42A3F">
        <w:tc>
          <w:tcPr>
            <w:tcW w:w="2221" w:type="dxa"/>
            <w:tcBorders>
              <w:bottom w:val="single" w:sz="4" w:space="0" w:color="auto"/>
            </w:tcBorders>
          </w:tcPr>
          <w:p w:rsidR="00B42A3F" w:rsidRPr="00181C46" w:rsidRDefault="00B42A3F" w:rsidP="00E06C9A">
            <w:pPr>
              <w:jc w:val="both"/>
              <w:rPr>
                <w:rFonts w:ascii="Times" w:hAnsi="Times"/>
                <w:b/>
                <w:sz w:val="22"/>
                <w:szCs w:val="22"/>
              </w:rPr>
            </w:pPr>
            <w:r w:rsidRPr="00181C46">
              <w:rPr>
                <w:rFonts w:ascii="Times" w:hAnsi="Times"/>
                <w:b/>
                <w:sz w:val="22"/>
                <w:szCs w:val="22"/>
              </w:rPr>
              <w:t>Период</w:t>
            </w:r>
          </w:p>
        </w:tc>
        <w:tc>
          <w:tcPr>
            <w:tcW w:w="2367" w:type="dxa"/>
            <w:gridSpan w:val="2"/>
            <w:tcBorders>
              <w:bottom w:val="single" w:sz="4" w:space="0" w:color="auto"/>
            </w:tcBorders>
          </w:tcPr>
          <w:p w:rsidR="00B42A3F" w:rsidRPr="00181C46" w:rsidRDefault="00B42A3F" w:rsidP="00E06C9A">
            <w:pPr>
              <w:jc w:val="both"/>
              <w:rPr>
                <w:rFonts w:ascii="Times" w:hAnsi="Times"/>
                <w:b/>
                <w:sz w:val="22"/>
                <w:szCs w:val="22"/>
              </w:rPr>
            </w:pPr>
            <w:r w:rsidRPr="00181C46">
              <w:rPr>
                <w:rFonts w:ascii="Times" w:hAnsi="Times"/>
                <w:b/>
                <w:sz w:val="22"/>
                <w:szCs w:val="22"/>
              </w:rPr>
              <w:t>2014-2015</w:t>
            </w:r>
          </w:p>
        </w:tc>
        <w:tc>
          <w:tcPr>
            <w:tcW w:w="2367" w:type="dxa"/>
            <w:gridSpan w:val="2"/>
            <w:tcBorders>
              <w:bottom w:val="single" w:sz="4" w:space="0" w:color="auto"/>
            </w:tcBorders>
          </w:tcPr>
          <w:p w:rsidR="00B42A3F" w:rsidRPr="00181C46" w:rsidRDefault="00B42A3F" w:rsidP="00E06C9A">
            <w:pPr>
              <w:jc w:val="both"/>
              <w:rPr>
                <w:rFonts w:ascii="Times" w:hAnsi="Times"/>
                <w:b/>
                <w:sz w:val="22"/>
                <w:szCs w:val="22"/>
              </w:rPr>
            </w:pPr>
            <w:r w:rsidRPr="00181C46">
              <w:rPr>
                <w:rFonts w:ascii="Times" w:hAnsi="Times"/>
                <w:b/>
                <w:sz w:val="22"/>
                <w:szCs w:val="22"/>
              </w:rPr>
              <w:t>2012-2013</w:t>
            </w:r>
          </w:p>
        </w:tc>
        <w:tc>
          <w:tcPr>
            <w:tcW w:w="2259" w:type="dxa"/>
            <w:gridSpan w:val="2"/>
            <w:tcBorders>
              <w:bottom w:val="single" w:sz="4" w:space="0" w:color="auto"/>
            </w:tcBorders>
          </w:tcPr>
          <w:p w:rsidR="00B42A3F" w:rsidRPr="00181C46" w:rsidRDefault="00B42A3F" w:rsidP="00E06C9A">
            <w:pPr>
              <w:jc w:val="both"/>
              <w:rPr>
                <w:rFonts w:ascii="Times" w:hAnsi="Times"/>
                <w:b/>
                <w:sz w:val="22"/>
                <w:szCs w:val="22"/>
              </w:rPr>
            </w:pPr>
            <w:r w:rsidRPr="00181C46">
              <w:rPr>
                <w:rFonts w:ascii="Times" w:hAnsi="Times"/>
                <w:b/>
                <w:sz w:val="22"/>
                <w:szCs w:val="22"/>
              </w:rPr>
              <w:t>2010-2011</w:t>
            </w:r>
          </w:p>
        </w:tc>
      </w:tr>
      <w:tr w:rsidR="00B42A3F" w:rsidRPr="00181C46" w:rsidTr="00B42A3F">
        <w:tc>
          <w:tcPr>
            <w:tcW w:w="2221" w:type="dxa"/>
            <w:tcBorders>
              <w:bottom w:val="thinThickSmallGap" w:sz="24" w:space="0" w:color="auto"/>
            </w:tcBorders>
          </w:tcPr>
          <w:p w:rsidR="00B42A3F" w:rsidRPr="003B3B41" w:rsidRDefault="00B42A3F" w:rsidP="00E06C9A">
            <w:pPr>
              <w:jc w:val="both"/>
              <w:rPr>
                <w:rFonts w:ascii="Times" w:hAnsi="Times"/>
                <w:b/>
                <w:sz w:val="22"/>
                <w:szCs w:val="22"/>
              </w:rPr>
            </w:pPr>
            <w:r w:rsidRPr="003B3B41">
              <w:rPr>
                <w:rFonts w:ascii="Times" w:hAnsi="Times"/>
                <w:b/>
                <w:sz w:val="22"/>
                <w:szCs w:val="22"/>
              </w:rPr>
              <w:t>Переменная</w:t>
            </w:r>
          </w:p>
        </w:tc>
        <w:tc>
          <w:tcPr>
            <w:tcW w:w="1031" w:type="dxa"/>
            <w:tcBorders>
              <w:bottom w:val="thinThickSmallGap" w:sz="24" w:space="0" w:color="auto"/>
            </w:tcBorders>
          </w:tcPr>
          <w:p w:rsidR="00B42A3F" w:rsidRPr="003B3B41" w:rsidRDefault="00B42A3F" w:rsidP="00E06C9A">
            <w:pPr>
              <w:jc w:val="both"/>
              <w:rPr>
                <w:rFonts w:ascii="Times" w:hAnsi="Times"/>
                <w:b/>
                <w:sz w:val="22"/>
                <w:szCs w:val="22"/>
              </w:rPr>
            </w:pPr>
            <w:r w:rsidRPr="003B3B41">
              <w:rPr>
                <w:rFonts w:ascii="Times" w:hAnsi="Times"/>
                <w:b/>
                <w:sz w:val="22"/>
                <w:szCs w:val="22"/>
              </w:rPr>
              <w:t>chi2</w:t>
            </w:r>
          </w:p>
        </w:tc>
        <w:tc>
          <w:tcPr>
            <w:tcW w:w="1336" w:type="dxa"/>
            <w:tcBorders>
              <w:bottom w:val="thinThickSmallGap" w:sz="24" w:space="0" w:color="auto"/>
            </w:tcBorders>
          </w:tcPr>
          <w:p w:rsidR="00B42A3F" w:rsidRPr="003B3B41" w:rsidRDefault="00B42A3F" w:rsidP="00E06C9A">
            <w:pPr>
              <w:jc w:val="both"/>
              <w:rPr>
                <w:rFonts w:ascii="Times" w:hAnsi="Times"/>
                <w:b/>
                <w:sz w:val="22"/>
                <w:szCs w:val="22"/>
              </w:rPr>
            </w:pPr>
            <w:r w:rsidRPr="003B3B41">
              <w:rPr>
                <w:rFonts w:ascii="Times" w:hAnsi="Times"/>
                <w:b/>
                <w:sz w:val="22"/>
                <w:szCs w:val="22"/>
              </w:rPr>
              <w:t>Prob &gt; chi2</w:t>
            </w:r>
          </w:p>
        </w:tc>
        <w:tc>
          <w:tcPr>
            <w:tcW w:w="1031" w:type="dxa"/>
            <w:tcBorders>
              <w:bottom w:val="thinThickSmallGap" w:sz="24" w:space="0" w:color="auto"/>
            </w:tcBorders>
          </w:tcPr>
          <w:p w:rsidR="00B42A3F" w:rsidRPr="003B3B41" w:rsidRDefault="00B42A3F" w:rsidP="00E06C9A">
            <w:pPr>
              <w:jc w:val="both"/>
              <w:rPr>
                <w:rFonts w:ascii="Times" w:hAnsi="Times"/>
                <w:b/>
                <w:sz w:val="22"/>
                <w:szCs w:val="22"/>
              </w:rPr>
            </w:pPr>
            <w:r w:rsidRPr="003B3B41">
              <w:rPr>
                <w:rFonts w:ascii="Times" w:hAnsi="Times"/>
                <w:b/>
                <w:sz w:val="22"/>
                <w:szCs w:val="22"/>
              </w:rPr>
              <w:t>chi2</w:t>
            </w:r>
          </w:p>
        </w:tc>
        <w:tc>
          <w:tcPr>
            <w:tcW w:w="1336" w:type="dxa"/>
            <w:tcBorders>
              <w:bottom w:val="thinThickSmallGap" w:sz="24" w:space="0" w:color="auto"/>
            </w:tcBorders>
          </w:tcPr>
          <w:p w:rsidR="00B42A3F" w:rsidRPr="003B3B41" w:rsidRDefault="00B42A3F" w:rsidP="00E06C9A">
            <w:pPr>
              <w:jc w:val="both"/>
              <w:rPr>
                <w:rFonts w:ascii="Times" w:hAnsi="Times"/>
                <w:b/>
                <w:sz w:val="22"/>
                <w:szCs w:val="22"/>
              </w:rPr>
            </w:pPr>
            <w:r w:rsidRPr="003B3B41">
              <w:rPr>
                <w:rFonts w:ascii="Times" w:hAnsi="Times"/>
                <w:b/>
                <w:sz w:val="22"/>
                <w:szCs w:val="22"/>
              </w:rPr>
              <w:t>Prob &gt; chi2</w:t>
            </w:r>
          </w:p>
        </w:tc>
        <w:tc>
          <w:tcPr>
            <w:tcW w:w="1031" w:type="dxa"/>
            <w:tcBorders>
              <w:bottom w:val="thinThickSmallGap" w:sz="24" w:space="0" w:color="auto"/>
            </w:tcBorders>
          </w:tcPr>
          <w:p w:rsidR="00B42A3F" w:rsidRPr="003B3B41" w:rsidRDefault="00B42A3F" w:rsidP="00E06C9A">
            <w:pPr>
              <w:jc w:val="both"/>
              <w:rPr>
                <w:rFonts w:ascii="Times" w:hAnsi="Times"/>
                <w:b/>
                <w:sz w:val="22"/>
                <w:szCs w:val="22"/>
              </w:rPr>
            </w:pPr>
            <w:r w:rsidRPr="003B3B41">
              <w:rPr>
                <w:rFonts w:ascii="Times" w:hAnsi="Times"/>
                <w:b/>
                <w:sz w:val="22"/>
                <w:szCs w:val="22"/>
              </w:rPr>
              <w:t>chi2</w:t>
            </w:r>
          </w:p>
        </w:tc>
        <w:tc>
          <w:tcPr>
            <w:tcW w:w="1228" w:type="dxa"/>
            <w:tcBorders>
              <w:bottom w:val="thinThickSmallGap" w:sz="24" w:space="0" w:color="auto"/>
            </w:tcBorders>
          </w:tcPr>
          <w:p w:rsidR="00B42A3F" w:rsidRPr="003B3B41" w:rsidRDefault="00B42A3F" w:rsidP="00E06C9A">
            <w:pPr>
              <w:jc w:val="both"/>
              <w:rPr>
                <w:rFonts w:ascii="Times" w:hAnsi="Times"/>
                <w:b/>
                <w:sz w:val="22"/>
                <w:szCs w:val="22"/>
              </w:rPr>
            </w:pPr>
            <w:r w:rsidRPr="003B3B41">
              <w:rPr>
                <w:rFonts w:ascii="Times" w:hAnsi="Times"/>
                <w:b/>
                <w:sz w:val="22"/>
                <w:szCs w:val="22"/>
              </w:rPr>
              <w:t>Prob &gt; chi2</w:t>
            </w:r>
          </w:p>
        </w:tc>
      </w:tr>
      <w:tr w:rsidR="00B42A3F" w:rsidRPr="00181C46" w:rsidTr="00B42A3F">
        <w:tc>
          <w:tcPr>
            <w:tcW w:w="2221" w:type="dxa"/>
            <w:tcBorders>
              <w:top w:val="thinThickSmallGap" w:sz="24" w:space="0" w:color="auto"/>
            </w:tcBorders>
          </w:tcPr>
          <w:p w:rsidR="00B42A3F" w:rsidRPr="00181C46" w:rsidRDefault="00B42A3F" w:rsidP="00E06C9A">
            <w:pPr>
              <w:jc w:val="both"/>
              <w:rPr>
                <w:rFonts w:ascii="Times" w:hAnsi="Times"/>
                <w:sz w:val="22"/>
                <w:szCs w:val="22"/>
              </w:rPr>
            </w:pPr>
            <w:r w:rsidRPr="00181C46">
              <w:rPr>
                <w:rFonts w:ascii="Times" w:hAnsi="Times"/>
                <w:sz w:val="22"/>
                <w:szCs w:val="22"/>
              </w:rPr>
              <w:t>treasury_return</w:t>
            </w:r>
          </w:p>
        </w:tc>
        <w:tc>
          <w:tcPr>
            <w:tcW w:w="1031" w:type="dxa"/>
            <w:tcBorders>
              <w:top w:val="thinThickSmallGap" w:sz="24" w:space="0" w:color="auto"/>
            </w:tcBorders>
          </w:tcPr>
          <w:p w:rsidR="00B42A3F" w:rsidRPr="00181C46" w:rsidRDefault="00B42A3F" w:rsidP="00E06C9A">
            <w:pPr>
              <w:jc w:val="both"/>
              <w:rPr>
                <w:rFonts w:ascii="Times" w:hAnsi="Times"/>
                <w:sz w:val="22"/>
                <w:szCs w:val="22"/>
              </w:rPr>
            </w:pPr>
            <w:r w:rsidRPr="00181C46">
              <w:rPr>
                <w:rFonts w:ascii="Times" w:hAnsi="Times"/>
                <w:sz w:val="22"/>
                <w:szCs w:val="22"/>
              </w:rPr>
              <w:t>1.316</w:t>
            </w:r>
          </w:p>
        </w:tc>
        <w:tc>
          <w:tcPr>
            <w:tcW w:w="1336" w:type="dxa"/>
            <w:tcBorders>
              <w:top w:val="thinThickSmallGap" w:sz="24" w:space="0" w:color="auto"/>
            </w:tcBorders>
          </w:tcPr>
          <w:p w:rsidR="00B42A3F" w:rsidRPr="006C5287" w:rsidRDefault="00B42A3F" w:rsidP="00E06C9A">
            <w:pPr>
              <w:jc w:val="both"/>
              <w:rPr>
                <w:rFonts w:ascii="Times" w:hAnsi="Times"/>
                <w:b/>
                <w:sz w:val="22"/>
                <w:szCs w:val="22"/>
              </w:rPr>
            </w:pPr>
            <w:r w:rsidRPr="006C5287">
              <w:rPr>
                <w:rFonts w:ascii="Times" w:hAnsi="Times"/>
                <w:b/>
                <w:sz w:val="22"/>
                <w:szCs w:val="22"/>
              </w:rPr>
              <w:t>0.5179</w:t>
            </w:r>
          </w:p>
        </w:tc>
        <w:tc>
          <w:tcPr>
            <w:tcW w:w="1031" w:type="dxa"/>
            <w:tcBorders>
              <w:top w:val="thinThickSmallGap" w:sz="24" w:space="0" w:color="auto"/>
            </w:tcBorders>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8.046</w:t>
            </w:r>
          </w:p>
        </w:tc>
        <w:tc>
          <w:tcPr>
            <w:tcW w:w="1336" w:type="dxa"/>
            <w:tcBorders>
              <w:top w:val="thinThickSmallGap" w:sz="24" w:space="0" w:color="auto"/>
            </w:tcBorders>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0.018</w:t>
            </w:r>
          </w:p>
        </w:tc>
        <w:tc>
          <w:tcPr>
            <w:tcW w:w="1031" w:type="dxa"/>
            <w:tcBorders>
              <w:top w:val="thinThickSmallGap" w:sz="24" w:space="0" w:color="auto"/>
            </w:tcBorders>
          </w:tcPr>
          <w:p w:rsidR="00B42A3F" w:rsidRPr="00181C46" w:rsidRDefault="00B42A3F" w:rsidP="00E06C9A">
            <w:pPr>
              <w:jc w:val="both"/>
              <w:rPr>
                <w:rFonts w:ascii="Times" w:hAnsi="Times"/>
                <w:sz w:val="22"/>
                <w:szCs w:val="22"/>
              </w:rPr>
            </w:pPr>
            <w:r w:rsidRPr="00181C46">
              <w:rPr>
                <w:rFonts w:ascii="Times" w:hAnsi="Times"/>
                <w:sz w:val="22"/>
                <w:szCs w:val="22"/>
              </w:rPr>
              <w:t>5.872</w:t>
            </w:r>
          </w:p>
        </w:tc>
        <w:tc>
          <w:tcPr>
            <w:tcW w:w="1228" w:type="dxa"/>
            <w:tcBorders>
              <w:top w:val="thinThickSmallGap" w:sz="24" w:space="0" w:color="auto"/>
            </w:tcBorders>
          </w:tcPr>
          <w:p w:rsidR="00B42A3F" w:rsidRPr="006C5287" w:rsidRDefault="00B42A3F" w:rsidP="00E06C9A">
            <w:pPr>
              <w:jc w:val="both"/>
              <w:rPr>
                <w:rFonts w:ascii="Times" w:hAnsi="Times"/>
                <w:b/>
                <w:sz w:val="22"/>
                <w:szCs w:val="22"/>
              </w:rPr>
            </w:pPr>
            <w:r w:rsidRPr="006C5287">
              <w:rPr>
                <w:rFonts w:ascii="Times" w:hAnsi="Times"/>
                <w:b/>
                <w:sz w:val="22"/>
                <w:szCs w:val="22"/>
              </w:rPr>
              <w:t>0.053</w:t>
            </w:r>
          </w:p>
        </w:tc>
      </w:tr>
      <w:tr w:rsidR="00B42A3F" w:rsidRPr="00181C46" w:rsidTr="00B42A3F">
        <w:tc>
          <w:tcPr>
            <w:tcW w:w="2221" w:type="dxa"/>
          </w:tcPr>
          <w:p w:rsidR="00B42A3F" w:rsidRPr="00181C46" w:rsidRDefault="00B42A3F" w:rsidP="00E06C9A">
            <w:pPr>
              <w:jc w:val="both"/>
              <w:rPr>
                <w:rFonts w:ascii="Times" w:hAnsi="Times"/>
                <w:sz w:val="22"/>
                <w:szCs w:val="22"/>
              </w:rPr>
            </w:pPr>
            <w:r w:rsidRPr="00181C46">
              <w:rPr>
                <w:rFonts w:ascii="Times" w:hAnsi="Times"/>
                <w:sz w:val="22"/>
                <w:szCs w:val="22"/>
              </w:rPr>
              <w:t xml:space="preserve">Dtreasury_return </w:t>
            </w:r>
          </w:p>
        </w:tc>
        <w:tc>
          <w:tcPr>
            <w:tcW w:w="2367" w:type="dxa"/>
            <w:gridSpan w:val="2"/>
            <w:vMerge w:val="restart"/>
          </w:tcPr>
          <w:p w:rsidR="00B42A3F" w:rsidRPr="00181C46" w:rsidRDefault="00B42A3F" w:rsidP="00E06C9A">
            <w:pPr>
              <w:jc w:val="both"/>
              <w:rPr>
                <w:rFonts w:ascii="Times" w:hAnsi="Times"/>
                <w:sz w:val="22"/>
                <w:szCs w:val="22"/>
              </w:rPr>
            </w:pPr>
            <w:r w:rsidRPr="00181C46">
              <w:rPr>
                <w:rFonts w:ascii="Times" w:hAnsi="Times"/>
                <w:sz w:val="22"/>
                <w:szCs w:val="22"/>
              </w:rPr>
              <w:t>дифференцирование не требуется</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7.694</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0.021</w:t>
            </w:r>
          </w:p>
        </w:tc>
        <w:tc>
          <w:tcPr>
            <w:tcW w:w="2259" w:type="dxa"/>
            <w:gridSpan w:val="2"/>
            <w:vMerge w:val="restart"/>
          </w:tcPr>
          <w:p w:rsidR="00B42A3F" w:rsidRPr="00181C46" w:rsidRDefault="00B42A3F" w:rsidP="00E06C9A">
            <w:pPr>
              <w:jc w:val="both"/>
              <w:rPr>
                <w:rFonts w:ascii="Times" w:hAnsi="Times"/>
                <w:sz w:val="22"/>
                <w:szCs w:val="22"/>
              </w:rPr>
            </w:pPr>
            <w:r w:rsidRPr="00181C46">
              <w:rPr>
                <w:rFonts w:ascii="Times" w:hAnsi="Times"/>
                <w:sz w:val="22"/>
                <w:szCs w:val="22"/>
              </w:rPr>
              <w:t>дифференцирование не требуется</w:t>
            </w:r>
          </w:p>
        </w:tc>
      </w:tr>
      <w:tr w:rsidR="00B42A3F" w:rsidRPr="00181C46" w:rsidTr="00B42A3F">
        <w:tc>
          <w:tcPr>
            <w:tcW w:w="2221" w:type="dxa"/>
          </w:tcPr>
          <w:p w:rsidR="00B42A3F" w:rsidRPr="00181C46" w:rsidRDefault="00B42A3F" w:rsidP="00E06C9A">
            <w:pPr>
              <w:jc w:val="both"/>
              <w:rPr>
                <w:rFonts w:ascii="Times" w:hAnsi="Times"/>
                <w:sz w:val="22"/>
                <w:szCs w:val="22"/>
              </w:rPr>
            </w:pPr>
            <w:r w:rsidRPr="00181C46">
              <w:rPr>
                <w:rFonts w:ascii="Times" w:hAnsi="Times"/>
                <w:sz w:val="22"/>
                <w:szCs w:val="22"/>
              </w:rPr>
              <w:t xml:space="preserve">DDtreasury_return </w:t>
            </w:r>
          </w:p>
        </w:tc>
        <w:tc>
          <w:tcPr>
            <w:tcW w:w="2367" w:type="dxa"/>
            <w:gridSpan w:val="2"/>
            <w:vMerge/>
          </w:tcPr>
          <w:p w:rsidR="00B42A3F" w:rsidRPr="00181C46" w:rsidRDefault="00B42A3F" w:rsidP="00E06C9A">
            <w:pPr>
              <w:jc w:val="both"/>
              <w:rPr>
                <w:rFonts w:ascii="Times" w:hAnsi="Times"/>
                <w:sz w:val="22"/>
                <w:szCs w:val="22"/>
              </w:rPr>
            </w:pP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130.404</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w:t>
            </w:r>
          </w:p>
        </w:tc>
        <w:tc>
          <w:tcPr>
            <w:tcW w:w="2259" w:type="dxa"/>
            <w:gridSpan w:val="2"/>
            <w:vMerge/>
          </w:tcPr>
          <w:p w:rsidR="00B42A3F" w:rsidRPr="00181C46" w:rsidRDefault="00B42A3F" w:rsidP="00E06C9A">
            <w:pPr>
              <w:jc w:val="both"/>
              <w:rPr>
                <w:rFonts w:ascii="Times" w:hAnsi="Times"/>
                <w:sz w:val="22"/>
                <w:szCs w:val="22"/>
              </w:rPr>
            </w:pPr>
          </w:p>
        </w:tc>
      </w:tr>
      <w:tr w:rsidR="00B42A3F" w:rsidRPr="00181C46" w:rsidTr="00B42A3F">
        <w:tc>
          <w:tcPr>
            <w:tcW w:w="2221" w:type="dxa"/>
          </w:tcPr>
          <w:p w:rsidR="00B42A3F" w:rsidRPr="00181C46" w:rsidRDefault="00B42A3F" w:rsidP="00E06C9A">
            <w:pPr>
              <w:jc w:val="both"/>
              <w:rPr>
                <w:rFonts w:ascii="Times" w:hAnsi="Times"/>
                <w:sz w:val="22"/>
                <w:szCs w:val="22"/>
              </w:rPr>
            </w:pPr>
            <w:r w:rsidRPr="00181C46">
              <w:rPr>
                <w:rFonts w:ascii="Times" w:hAnsi="Times"/>
                <w:sz w:val="22"/>
                <w:szCs w:val="22"/>
              </w:rPr>
              <w:t>corporate_return</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10.741</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0.0047</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5.350</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0.0689</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8.393</w:t>
            </w:r>
          </w:p>
        </w:tc>
        <w:tc>
          <w:tcPr>
            <w:tcW w:w="1228"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0.0150</w:t>
            </w:r>
          </w:p>
        </w:tc>
      </w:tr>
      <w:tr w:rsidR="00B42A3F" w:rsidRPr="00181C46" w:rsidTr="00B42A3F">
        <w:tc>
          <w:tcPr>
            <w:tcW w:w="222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Dcorporate_return</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97.063</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c>
          <w:tcPr>
            <w:tcW w:w="2367" w:type="dxa"/>
            <w:gridSpan w:val="2"/>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дифференцирование не требуется</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85.888</w:t>
            </w:r>
          </w:p>
        </w:tc>
        <w:tc>
          <w:tcPr>
            <w:tcW w:w="1228"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r>
      <w:tr w:rsidR="00B42A3F" w:rsidRPr="00181C46" w:rsidTr="00B42A3F">
        <w:tc>
          <w:tcPr>
            <w:tcW w:w="222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industry_return</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0.372</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0.8303</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2.336</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0.3110</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0.713</w:t>
            </w:r>
          </w:p>
        </w:tc>
        <w:tc>
          <w:tcPr>
            <w:tcW w:w="1228"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0.7001</w:t>
            </w:r>
          </w:p>
        </w:tc>
      </w:tr>
      <w:tr w:rsidR="00B42A3F" w:rsidRPr="00181C46" w:rsidTr="00B42A3F">
        <w:tc>
          <w:tcPr>
            <w:tcW w:w="222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futures_return</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3.574</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0.1674</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2.959</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0.2278</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1.378</w:t>
            </w:r>
          </w:p>
        </w:tc>
        <w:tc>
          <w:tcPr>
            <w:tcW w:w="1228"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0.5022</w:t>
            </w:r>
          </w:p>
        </w:tc>
      </w:tr>
      <w:tr w:rsidR="00B42A3F" w:rsidRPr="00181C46" w:rsidTr="00B42A3F">
        <w:tc>
          <w:tcPr>
            <w:tcW w:w="222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volumes</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323.349</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151.639</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214.454</w:t>
            </w:r>
          </w:p>
        </w:tc>
        <w:tc>
          <w:tcPr>
            <w:tcW w:w="1228"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r>
      <w:tr w:rsidR="00B42A3F" w:rsidRPr="00181C46" w:rsidTr="00B42A3F">
        <w:tc>
          <w:tcPr>
            <w:tcW w:w="222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Dvolumes</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28.636</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69.804</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56.961</w:t>
            </w:r>
          </w:p>
        </w:tc>
        <w:tc>
          <w:tcPr>
            <w:tcW w:w="1228"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r>
      <w:tr w:rsidR="00B42A3F" w:rsidRPr="00181C46" w:rsidTr="00B42A3F">
        <w:tc>
          <w:tcPr>
            <w:tcW w:w="222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open</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5.178</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0.0751</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0.381</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0.8266</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2.646</w:t>
            </w:r>
          </w:p>
        </w:tc>
        <w:tc>
          <w:tcPr>
            <w:tcW w:w="1228"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0.2663</w:t>
            </w:r>
          </w:p>
        </w:tc>
      </w:tr>
      <w:tr w:rsidR="00B42A3F" w:rsidRPr="00181C46" w:rsidTr="00B42A3F">
        <w:tc>
          <w:tcPr>
            <w:tcW w:w="222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Dopen</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3.327</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0.1895</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0.435</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0.8047</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83.119</w:t>
            </w:r>
          </w:p>
        </w:tc>
        <w:tc>
          <w:tcPr>
            <w:tcW w:w="1228"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r>
      <w:tr w:rsidR="00B42A3F" w:rsidRPr="00181C46" w:rsidTr="00B42A3F">
        <w:tc>
          <w:tcPr>
            <w:tcW w:w="222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interest</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63.080</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40.598</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2.596</w:t>
            </w:r>
          </w:p>
        </w:tc>
        <w:tc>
          <w:tcPr>
            <w:tcW w:w="1228"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0.2731</w:t>
            </w:r>
          </w:p>
        </w:tc>
      </w:tr>
      <w:tr w:rsidR="00B42A3F" w:rsidRPr="00181C46" w:rsidTr="00B42A3F">
        <w:tc>
          <w:tcPr>
            <w:tcW w:w="222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Dinterest</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59.170</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2.734</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0.2548</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0.349</w:t>
            </w:r>
          </w:p>
        </w:tc>
        <w:tc>
          <w:tcPr>
            <w:tcW w:w="1228"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0.8399</w:t>
            </w:r>
          </w:p>
        </w:tc>
      </w:tr>
      <w:tr w:rsidR="00B42A3F" w:rsidRPr="00181C46" w:rsidTr="00B42A3F">
        <w:tc>
          <w:tcPr>
            <w:tcW w:w="222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DDinterest</w:t>
            </w:r>
          </w:p>
        </w:tc>
        <w:tc>
          <w:tcPr>
            <w:tcW w:w="1031" w:type="dxa"/>
            <w:shd w:val="clear" w:color="auto" w:fill="auto"/>
          </w:tcPr>
          <w:p w:rsidR="00B42A3F" w:rsidRPr="00181C46" w:rsidRDefault="00B42A3F" w:rsidP="00E06C9A">
            <w:pPr>
              <w:jc w:val="both"/>
              <w:rPr>
                <w:rFonts w:ascii="Times" w:hAnsi="Times"/>
                <w:sz w:val="22"/>
                <w:szCs w:val="22"/>
              </w:rPr>
            </w:pPr>
            <w:r w:rsidRPr="00181C46">
              <w:rPr>
                <w:rFonts w:ascii="Times" w:hAnsi="Times"/>
                <w:sz w:val="22"/>
                <w:szCs w:val="22"/>
              </w:rPr>
              <w:t>1.244</w:t>
            </w:r>
          </w:p>
        </w:tc>
        <w:tc>
          <w:tcPr>
            <w:tcW w:w="1336" w:type="dxa"/>
            <w:shd w:val="clear" w:color="auto" w:fill="auto"/>
          </w:tcPr>
          <w:p w:rsidR="00B42A3F" w:rsidRPr="006C5287" w:rsidRDefault="00B42A3F" w:rsidP="00E06C9A">
            <w:pPr>
              <w:jc w:val="both"/>
              <w:rPr>
                <w:rFonts w:ascii="Times" w:hAnsi="Times"/>
                <w:b/>
                <w:sz w:val="22"/>
                <w:szCs w:val="22"/>
              </w:rPr>
            </w:pPr>
            <w:r w:rsidRPr="006C5287">
              <w:rPr>
                <w:rFonts w:ascii="Times" w:hAnsi="Times"/>
                <w:b/>
                <w:sz w:val="22"/>
                <w:szCs w:val="22"/>
              </w:rPr>
              <w:t>0.5368</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110.195</w:t>
            </w:r>
          </w:p>
        </w:tc>
        <w:tc>
          <w:tcPr>
            <w:tcW w:w="1336"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c>
          <w:tcPr>
            <w:tcW w:w="1031" w:type="dxa"/>
            <w:shd w:val="clear" w:color="auto" w:fill="D9D9D9" w:themeFill="background1" w:themeFillShade="D9"/>
          </w:tcPr>
          <w:p w:rsidR="00B42A3F" w:rsidRPr="00181C46" w:rsidRDefault="00B42A3F" w:rsidP="00E06C9A">
            <w:pPr>
              <w:jc w:val="both"/>
              <w:rPr>
                <w:rFonts w:ascii="Times" w:hAnsi="Times"/>
                <w:sz w:val="22"/>
                <w:szCs w:val="22"/>
              </w:rPr>
            </w:pPr>
            <w:r w:rsidRPr="00181C46">
              <w:rPr>
                <w:rFonts w:ascii="Times" w:hAnsi="Times"/>
                <w:sz w:val="22"/>
                <w:szCs w:val="22"/>
              </w:rPr>
              <w:t>86.818</w:t>
            </w:r>
          </w:p>
        </w:tc>
        <w:tc>
          <w:tcPr>
            <w:tcW w:w="1228" w:type="dxa"/>
            <w:shd w:val="clear" w:color="auto" w:fill="D9D9D9" w:themeFill="background1" w:themeFillShade="D9"/>
          </w:tcPr>
          <w:p w:rsidR="00B42A3F" w:rsidRPr="006C5287" w:rsidRDefault="00B42A3F" w:rsidP="00E06C9A">
            <w:pPr>
              <w:jc w:val="both"/>
              <w:rPr>
                <w:rFonts w:ascii="Times" w:hAnsi="Times"/>
                <w:b/>
                <w:sz w:val="22"/>
                <w:szCs w:val="22"/>
              </w:rPr>
            </w:pPr>
            <w:r w:rsidRPr="006C5287">
              <w:rPr>
                <w:rFonts w:ascii="Times" w:hAnsi="Times"/>
                <w:b/>
                <w:sz w:val="22"/>
                <w:szCs w:val="22"/>
              </w:rPr>
              <w:t>0.0000</w:t>
            </w:r>
          </w:p>
        </w:tc>
      </w:tr>
    </w:tbl>
    <w:p w:rsidR="00B42A3F" w:rsidRPr="000F6176" w:rsidRDefault="00B42A3F" w:rsidP="00E06C9A">
      <w:pPr>
        <w:spacing w:before="120"/>
        <w:ind w:left="0" w:firstLine="567"/>
        <w:jc w:val="both"/>
        <w:rPr>
          <w:rFonts w:ascii="Times" w:hAnsi="Times"/>
        </w:rPr>
      </w:pPr>
      <w:r w:rsidRPr="007B1A70">
        <w:rPr>
          <w:rFonts w:ascii="Times" w:hAnsi="Times"/>
        </w:rPr>
        <w:t xml:space="preserve">На </w:t>
      </w:r>
      <w:r>
        <w:rPr>
          <w:rFonts w:ascii="Times" w:hAnsi="Times"/>
        </w:rPr>
        <w:t xml:space="preserve">основе теста </w:t>
      </w:r>
      <w:r w:rsidRPr="000F6176">
        <w:rPr>
          <w:rFonts w:ascii="Times" w:hAnsi="Times"/>
        </w:rPr>
        <w:t xml:space="preserve">Breush-Godfrey можно сделать вывод, что серийная корреляция присутствует во временном ряде </w:t>
      </w:r>
      <w:r w:rsidRPr="003636E3">
        <w:rPr>
          <w:rFonts w:ascii="Times" w:hAnsi="Times"/>
          <w:b/>
          <w:lang w:val="en-US"/>
        </w:rPr>
        <w:t>treasury</w:t>
      </w:r>
      <w:r w:rsidRPr="003636E3">
        <w:rPr>
          <w:rFonts w:ascii="Times" w:hAnsi="Times"/>
          <w:b/>
        </w:rPr>
        <w:t>_</w:t>
      </w:r>
      <w:r w:rsidRPr="003636E3">
        <w:rPr>
          <w:rFonts w:ascii="Times" w:hAnsi="Times"/>
          <w:b/>
          <w:lang w:val="en-US"/>
        </w:rPr>
        <w:t>return</w:t>
      </w:r>
      <w:r w:rsidRPr="003636E3">
        <w:rPr>
          <w:rFonts w:ascii="Times" w:hAnsi="Times"/>
        </w:rPr>
        <w:t xml:space="preserve"> </w:t>
      </w:r>
      <w:r w:rsidRPr="000F6176">
        <w:rPr>
          <w:rFonts w:ascii="Times" w:hAnsi="Times"/>
        </w:rPr>
        <w:t xml:space="preserve">на промежутке 2012-2013 гг. и отсутствует на во временном ряде </w:t>
      </w:r>
      <w:r w:rsidRPr="003636E3">
        <w:rPr>
          <w:rFonts w:ascii="Times" w:hAnsi="Times"/>
          <w:b/>
        </w:rPr>
        <w:t>treasury_return</w:t>
      </w:r>
      <w:r w:rsidRPr="003636E3">
        <w:rPr>
          <w:rFonts w:ascii="Times" w:hAnsi="Times"/>
        </w:rPr>
        <w:t xml:space="preserve"> </w:t>
      </w:r>
      <w:r w:rsidRPr="000F6176">
        <w:rPr>
          <w:rFonts w:ascii="Times" w:hAnsi="Times"/>
        </w:rPr>
        <w:t xml:space="preserve">на промежутках 2010-2011 гг. и 2014-2015 гг. (это поддерживает гипотезы, выдвинутые на основе визуального анализа автокорреляционной функции временного ряда). Следовательно, необходимо дифференцирование временного ряда </w:t>
      </w:r>
      <w:r w:rsidRPr="003636E3">
        <w:rPr>
          <w:rFonts w:ascii="Times" w:hAnsi="Times"/>
          <w:b/>
        </w:rPr>
        <w:t>treasury_return</w:t>
      </w:r>
      <w:r w:rsidRPr="003636E3">
        <w:rPr>
          <w:rFonts w:ascii="Times" w:hAnsi="Times"/>
        </w:rPr>
        <w:t xml:space="preserve"> </w:t>
      </w:r>
      <w:r w:rsidRPr="000F6176">
        <w:rPr>
          <w:rFonts w:ascii="Times" w:hAnsi="Times"/>
        </w:rPr>
        <w:t>2012-2013 гг.</w:t>
      </w:r>
    </w:p>
    <w:p w:rsidR="00B42A3F" w:rsidRDefault="00B42A3F" w:rsidP="00E06C9A">
      <w:pPr>
        <w:spacing w:before="120"/>
        <w:ind w:left="0" w:firstLine="567"/>
        <w:jc w:val="both"/>
        <w:rPr>
          <w:rFonts w:ascii="Times" w:hAnsi="Times"/>
        </w:rPr>
      </w:pPr>
      <w:r>
        <w:rPr>
          <w:rFonts w:ascii="Times" w:hAnsi="Times"/>
        </w:rPr>
        <w:lastRenderedPageBreak/>
        <w:t xml:space="preserve">Как видно из </w:t>
      </w:r>
      <w:r w:rsidRPr="003636E3">
        <w:rPr>
          <w:rFonts w:ascii="Times" w:hAnsi="Times"/>
        </w:rPr>
        <w:t>Таблицы 6</w:t>
      </w:r>
      <w:r>
        <w:rPr>
          <w:rFonts w:ascii="Times" w:hAnsi="Times"/>
        </w:rPr>
        <w:t xml:space="preserve">, после дифференцирования первого порядка временного ряда </w:t>
      </w:r>
      <w:r w:rsidRPr="003636E3">
        <w:rPr>
          <w:rFonts w:ascii="Times" w:hAnsi="Times"/>
          <w:b/>
          <w:lang w:val="en-US"/>
        </w:rPr>
        <w:t>treasury</w:t>
      </w:r>
      <w:r w:rsidRPr="003636E3">
        <w:rPr>
          <w:rFonts w:ascii="Times" w:hAnsi="Times"/>
          <w:b/>
        </w:rPr>
        <w:t>_</w:t>
      </w:r>
      <w:r w:rsidRPr="003636E3">
        <w:rPr>
          <w:rFonts w:ascii="Times" w:hAnsi="Times"/>
          <w:b/>
          <w:lang w:val="en-US"/>
        </w:rPr>
        <w:t>return</w:t>
      </w:r>
      <w:r>
        <w:rPr>
          <w:rFonts w:ascii="Times" w:hAnsi="Times"/>
        </w:rPr>
        <w:t xml:space="preserve">, для полученного в результате взятия первых разностей временного ряда </w:t>
      </w:r>
      <w:r w:rsidRPr="003636E3">
        <w:rPr>
          <w:rFonts w:ascii="Times" w:hAnsi="Times"/>
          <w:b/>
          <w:lang w:val="en-US"/>
        </w:rPr>
        <w:t>Dtreasury</w:t>
      </w:r>
      <w:r w:rsidRPr="003636E3">
        <w:rPr>
          <w:rFonts w:ascii="Times" w:hAnsi="Times"/>
          <w:b/>
        </w:rPr>
        <w:t>_</w:t>
      </w:r>
      <w:r w:rsidRPr="003636E3">
        <w:rPr>
          <w:rFonts w:ascii="Times" w:hAnsi="Times"/>
          <w:b/>
          <w:lang w:val="en-US"/>
        </w:rPr>
        <w:t>return</w:t>
      </w:r>
      <w:r>
        <w:rPr>
          <w:rFonts w:ascii="Times" w:hAnsi="Times"/>
        </w:rPr>
        <w:t xml:space="preserve">, </w:t>
      </w:r>
      <w:r w:rsidRPr="000F6176">
        <w:rPr>
          <w:rFonts w:ascii="Times" w:hAnsi="Times"/>
        </w:rPr>
        <w:t>p-value, согласно тесту Breush-Godfrey, возросло, однако, по-прежнему меньше 0,05</w:t>
      </w:r>
      <w:r>
        <w:rPr>
          <w:rFonts w:ascii="Times" w:hAnsi="Times"/>
        </w:rPr>
        <w:t xml:space="preserve"> (это значит, что нет оснований для принятия гипотезы </w:t>
      </w:r>
      <w:r w:rsidRPr="000F6176">
        <w:rPr>
          <w:rFonts w:ascii="Times" w:hAnsi="Times"/>
        </w:rPr>
        <w:t>H</w:t>
      </w:r>
      <w:r w:rsidRPr="00877D7D">
        <w:rPr>
          <w:rFonts w:ascii="Times" w:hAnsi="Times"/>
          <w:vertAlign w:val="subscript"/>
        </w:rPr>
        <w:t>0</w:t>
      </w:r>
      <w:r w:rsidRPr="000F6176">
        <w:rPr>
          <w:rFonts w:ascii="Times" w:hAnsi="Times"/>
        </w:rPr>
        <w:t xml:space="preserve"> </w:t>
      </w:r>
      <w:r>
        <w:rPr>
          <w:rFonts w:ascii="Times" w:hAnsi="Times"/>
        </w:rPr>
        <w:t xml:space="preserve">об отсутствии серийной корреляции во временном ряду </w:t>
      </w:r>
      <w:r w:rsidRPr="00ED26F7">
        <w:rPr>
          <w:rFonts w:ascii="Times" w:hAnsi="Times"/>
          <w:b/>
          <w:lang w:val="en-US"/>
        </w:rPr>
        <w:t>Dtreasury</w:t>
      </w:r>
      <w:r w:rsidRPr="00ED26F7">
        <w:rPr>
          <w:rFonts w:ascii="Times" w:hAnsi="Times"/>
          <w:b/>
        </w:rPr>
        <w:t>_</w:t>
      </w:r>
      <w:r w:rsidRPr="00ED26F7">
        <w:rPr>
          <w:rFonts w:ascii="Times" w:hAnsi="Times"/>
          <w:b/>
          <w:lang w:val="en-US"/>
        </w:rPr>
        <w:t>return</w:t>
      </w:r>
      <w:r w:rsidRPr="0058455C">
        <w:rPr>
          <w:rFonts w:ascii="Times" w:hAnsi="Times"/>
        </w:rPr>
        <w:t>)</w:t>
      </w:r>
      <w:r>
        <w:rPr>
          <w:rFonts w:ascii="Times" w:hAnsi="Times"/>
        </w:rPr>
        <w:t xml:space="preserve">. После дифференцирования второго порядка </w:t>
      </w:r>
      <w:r w:rsidRPr="000F6176">
        <w:rPr>
          <w:rFonts w:ascii="Times" w:hAnsi="Times"/>
        </w:rPr>
        <w:t>p-value</w:t>
      </w:r>
      <w:r>
        <w:rPr>
          <w:rFonts w:ascii="Times" w:hAnsi="Times"/>
        </w:rPr>
        <w:t xml:space="preserve">, согласно тесту </w:t>
      </w:r>
      <w:r w:rsidRPr="000F6176">
        <w:rPr>
          <w:rFonts w:ascii="Times" w:hAnsi="Times"/>
        </w:rPr>
        <w:t>Breush-Godfrey</w:t>
      </w:r>
      <w:r>
        <w:rPr>
          <w:rFonts w:ascii="Times" w:hAnsi="Times"/>
        </w:rPr>
        <w:t xml:space="preserve">, снизилось до 0.00. На основании данных результатов можно выдвинуть гипотезу о том, что для последующего анализа более всего подходит временной ряд </w:t>
      </w:r>
      <w:r w:rsidRPr="00ED26F7">
        <w:rPr>
          <w:rFonts w:ascii="Times" w:hAnsi="Times"/>
          <w:b/>
        </w:rPr>
        <w:t>Dtreasury_return</w:t>
      </w:r>
      <w:r>
        <w:rPr>
          <w:rFonts w:ascii="Times" w:hAnsi="Times"/>
        </w:rPr>
        <w:t>. Необходимо провести тестирование этой гипотезы при помощи информационных критериев.</w:t>
      </w:r>
    </w:p>
    <w:p w:rsidR="00B42A3F" w:rsidRPr="000F6176" w:rsidRDefault="00B42A3F" w:rsidP="00E06C9A">
      <w:pPr>
        <w:spacing w:before="120"/>
        <w:ind w:left="0" w:firstLine="567"/>
        <w:jc w:val="both"/>
        <w:rPr>
          <w:rFonts w:ascii="Times" w:hAnsi="Times"/>
        </w:rPr>
      </w:pPr>
      <w:r>
        <w:rPr>
          <w:rFonts w:ascii="Times" w:hAnsi="Times"/>
        </w:rPr>
        <w:t xml:space="preserve">Результаты теста </w:t>
      </w:r>
      <w:r w:rsidRPr="000F6176">
        <w:rPr>
          <w:rFonts w:ascii="Times" w:hAnsi="Times"/>
        </w:rPr>
        <w:t xml:space="preserve">Breush-Godfrey </w:t>
      </w:r>
      <w:r>
        <w:rPr>
          <w:rFonts w:ascii="Times" w:hAnsi="Times"/>
        </w:rPr>
        <w:t xml:space="preserve">для </w:t>
      </w:r>
      <w:r w:rsidRPr="00ED26F7">
        <w:rPr>
          <w:rFonts w:ascii="Times" w:hAnsi="Times"/>
          <w:b/>
        </w:rPr>
        <w:t>corporate_return</w:t>
      </w:r>
      <w:r w:rsidRPr="00ED26F7">
        <w:rPr>
          <w:rFonts w:ascii="Times" w:hAnsi="Times"/>
        </w:rPr>
        <w:t xml:space="preserve"> </w:t>
      </w:r>
      <w:r>
        <w:rPr>
          <w:rFonts w:ascii="Times" w:hAnsi="Times"/>
        </w:rPr>
        <w:t xml:space="preserve">позволяют принять гипотезу о наличии серийной корреляции во временном ряду </w:t>
      </w:r>
      <w:r w:rsidRPr="00ED26F7">
        <w:rPr>
          <w:rFonts w:ascii="Times" w:hAnsi="Times"/>
          <w:b/>
        </w:rPr>
        <w:t>corporate_return</w:t>
      </w:r>
      <w:r w:rsidRPr="00ED26F7">
        <w:rPr>
          <w:rFonts w:ascii="Times" w:hAnsi="Times"/>
        </w:rPr>
        <w:t xml:space="preserve"> </w:t>
      </w:r>
      <w:r>
        <w:rPr>
          <w:rFonts w:ascii="Times" w:hAnsi="Times"/>
        </w:rPr>
        <w:t xml:space="preserve">в периодах 2010-2011 гг. и 2014-2015 гг. и отклонить гипотезу о наличии серийной корреляции в этом временном ряду в периоде 2012-2013 гг. Однако, временные ряды </w:t>
      </w:r>
      <w:r w:rsidRPr="00ED26F7">
        <w:rPr>
          <w:rFonts w:ascii="Times" w:hAnsi="Times"/>
          <w:b/>
          <w:lang w:val="en-US"/>
        </w:rPr>
        <w:t>Dcorporate</w:t>
      </w:r>
      <w:r w:rsidRPr="00ED26F7">
        <w:rPr>
          <w:rFonts w:ascii="Times" w:hAnsi="Times"/>
          <w:b/>
        </w:rPr>
        <w:t>_</w:t>
      </w:r>
      <w:r w:rsidRPr="00ED26F7">
        <w:rPr>
          <w:rFonts w:ascii="Times" w:hAnsi="Times"/>
          <w:b/>
          <w:lang w:val="en-US"/>
        </w:rPr>
        <w:t>return</w:t>
      </w:r>
      <w:r>
        <w:rPr>
          <w:rFonts w:ascii="Times" w:hAnsi="Times"/>
        </w:rPr>
        <w:t xml:space="preserve"> в 2014-2015 гг. и 2010-2011 гг. также несвободны от автокорреляции и, более того, их </w:t>
      </w:r>
      <w:r w:rsidRPr="000F6176">
        <w:rPr>
          <w:rFonts w:ascii="Times" w:hAnsi="Times"/>
        </w:rPr>
        <w:t>p-value, согласно тесту Breush-Godfrey, ниже, чем p-value</w:t>
      </w:r>
      <w:r>
        <w:rPr>
          <w:rFonts w:ascii="Times" w:hAnsi="Times"/>
        </w:rPr>
        <w:t xml:space="preserve"> для временных рядов </w:t>
      </w:r>
      <w:r w:rsidRPr="00ED26F7">
        <w:rPr>
          <w:rFonts w:ascii="Times" w:hAnsi="Times"/>
          <w:b/>
        </w:rPr>
        <w:t>corporate_return</w:t>
      </w:r>
      <w:r w:rsidRPr="00ED26F7">
        <w:rPr>
          <w:rFonts w:ascii="Times" w:hAnsi="Times"/>
        </w:rPr>
        <w:t xml:space="preserve"> </w:t>
      </w:r>
      <w:r>
        <w:rPr>
          <w:rFonts w:ascii="Times" w:hAnsi="Times"/>
        </w:rPr>
        <w:t xml:space="preserve">в 2014-2015 гг. и 2010-2011 гг. Следовательно, предпочтительнее использовать для построения модели временные ряды </w:t>
      </w:r>
      <w:r w:rsidRPr="00ED26F7">
        <w:rPr>
          <w:rFonts w:ascii="Times" w:hAnsi="Times"/>
          <w:b/>
        </w:rPr>
        <w:t>corporate_return</w:t>
      </w:r>
      <w:r w:rsidRPr="00ED26F7">
        <w:rPr>
          <w:rFonts w:ascii="Times" w:hAnsi="Times"/>
        </w:rPr>
        <w:t xml:space="preserve"> </w:t>
      </w:r>
      <w:r>
        <w:rPr>
          <w:rFonts w:ascii="Times" w:hAnsi="Times"/>
        </w:rPr>
        <w:t xml:space="preserve">в 2010-2011 и 2014-2015 гг., чем </w:t>
      </w:r>
      <w:r w:rsidRPr="00ED26F7">
        <w:rPr>
          <w:rFonts w:ascii="Times" w:hAnsi="Times"/>
          <w:b/>
        </w:rPr>
        <w:t>Dcorporate_return</w:t>
      </w:r>
      <w:r w:rsidRPr="00ED26F7">
        <w:rPr>
          <w:rFonts w:ascii="Times" w:hAnsi="Times"/>
        </w:rPr>
        <w:t xml:space="preserve"> </w:t>
      </w:r>
      <w:r>
        <w:rPr>
          <w:rFonts w:ascii="Times" w:hAnsi="Times"/>
        </w:rPr>
        <w:t xml:space="preserve">согласно тесту </w:t>
      </w:r>
      <w:r w:rsidRPr="000F6176">
        <w:rPr>
          <w:rFonts w:ascii="Times" w:hAnsi="Times"/>
        </w:rPr>
        <w:t>Breush-Godfrey.</w:t>
      </w:r>
    </w:p>
    <w:p w:rsidR="00B42A3F" w:rsidRDefault="00B42A3F" w:rsidP="00E06C9A">
      <w:pPr>
        <w:spacing w:before="120"/>
        <w:ind w:left="0" w:firstLine="567"/>
        <w:jc w:val="both"/>
        <w:rPr>
          <w:rFonts w:ascii="Times" w:hAnsi="Times"/>
        </w:rPr>
      </w:pPr>
      <w:r>
        <w:rPr>
          <w:rFonts w:ascii="Times" w:hAnsi="Times"/>
        </w:rPr>
        <w:t xml:space="preserve">Для </w:t>
      </w:r>
      <w:r w:rsidRPr="00ED26F7">
        <w:rPr>
          <w:rFonts w:ascii="Times" w:hAnsi="Times"/>
          <w:b/>
        </w:rPr>
        <w:t>industry_return</w:t>
      </w:r>
      <w:r w:rsidRPr="00ED26F7">
        <w:rPr>
          <w:rFonts w:ascii="Times" w:hAnsi="Times"/>
        </w:rPr>
        <w:t xml:space="preserve"> </w:t>
      </w:r>
      <w:r>
        <w:rPr>
          <w:rFonts w:ascii="Times" w:hAnsi="Times"/>
        </w:rPr>
        <w:t xml:space="preserve">и </w:t>
      </w:r>
      <w:r w:rsidRPr="00ED26F7">
        <w:rPr>
          <w:rFonts w:ascii="Times" w:hAnsi="Times"/>
          <w:b/>
        </w:rPr>
        <w:t>furutes_return</w:t>
      </w:r>
      <w:r w:rsidRPr="00ED26F7">
        <w:rPr>
          <w:rFonts w:ascii="Times" w:hAnsi="Times"/>
        </w:rPr>
        <w:t xml:space="preserve"> </w:t>
      </w:r>
      <w:r>
        <w:rPr>
          <w:rFonts w:ascii="Times" w:hAnsi="Times"/>
        </w:rPr>
        <w:t xml:space="preserve">во всех периодах времени результаты теста </w:t>
      </w:r>
      <w:r w:rsidRPr="000F6176">
        <w:rPr>
          <w:rFonts w:ascii="Times" w:hAnsi="Times"/>
        </w:rPr>
        <w:t xml:space="preserve">Breush-Godfrey позволяют приять гипотезу о отсутствии автокорреляции во временном ряду. </w:t>
      </w:r>
      <w:r>
        <w:rPr>
          <w:rFonts w:ascii="Times" w:hAnsi="Times"/>
        </w:rPr>
        <w:t xml:space="preserve">Также подтверждается гипотеза о наличии серийной корреляции во временных рядах </w:t>
      </w:r>
      <w:r w:rsidRPr="00ED26F7">
        <w:rPr>
          <w:rFonts w:ascii="Times" w:hAnsi="Times"/>
          <w:b/>
        </w:rPr>
        <w:t>volumes</w:t>
      </w:r>
      <w:r>
        <w:rPr>
          <w:rFonts w:ascii="Times" w:hAnsi="Times"/>
        </w:rPr>
        <w:t xml:space="preserve"> и </w:t>
      </w:r>
      <w:r w:rsidRPr="00ED26F7">
        <w:rPr>
          <w:rFonts w:ascii="Times" w:hAnsi="Times"/>
          <w:b/>
        </w:rPr>
        <w:t>Dvolumes</w:t>
      </w:r>
      <w:r>
        <w:rPr>
          <w:rFonts w:ascii="Times" w:hAnsi="Times"/>
        </w:rPr>
        <w:t>.</w:t>
      </w:r>
    </w:p>
    <w:p w:rsidR="00B42A3F" w:rsidRDefault="00B42A3F" w:rsidP="00E06C9A">
      <w:pPr>
        <w:spacing w:before="120"/>
        <w:ind w:left="0" w:firstLine="567"/>
        <w:jc w:val="both"/>
        <w:rPr>
          <w:rFonts w:ascii="Times" w:hAnsi="Times"/>
        </w:rPr>
      </w:pPr>
      <w:r>
        <w:rPr>
          <w:rFonts w:ascii="Times" w:hAnsi="Times"/>
        </w:rPr>
        <w:t xml:space="preserve">Тест </w:t>
      </w:r>
      <w:r w:rsidRPr="000F6176">
        <w:rPr>
          <w:rFonts w:ascii="Times" w:hAnsi="Times"/>
        </w:rPr>
        <w:t xml:space="preserve">Breush-Godfrey показывает, что может быть принята гипотеза об отсутствии серийной корреляции для </w:t>
      </w:r>
      <w:r w:rsidRPr="00ED26F7">
        <w:rPr>
          <w:rFonts w:ascii="Times" w:hAnsi="Times"/>
          <w:b/>
        </w:rPr>
        <w:t>open</w:t>
      </w:r>
      <w:r>
        <w:rPr>
          <w:rFonts w:ascii="Times" w:hAnsi="Times"/>
        </w:rPr>
        <w:t xml:space="preserve"> и временного ряда </w:t>
      </w:r>
      <w:r w:rsidRPr="00ED26F7">
        <w:rPr>
          <w:rFonts w:ascii="Times" w:hAnsi="Times"/>
          <w:b/>
        </w:rPr>
        <w:t>Dopen</w:t>
      </w:r>
      <w:r>
        <w:rPr>
          <w:rFonts w:ascii="Times" w:hAnsi="Times"/>
        </w:rPr>
        <w:t xml:space="preserve"> в 2014-2015 и 2012-2013 годах, а также для временного ряда </w:t>
      </w:r>
      <w:r w:rsidRPr="00ED26F7">
        <w:rPr>
          <w:rFonts w:ascii="Times" w:hAnsi="Times"/>
          <w:b/>
        </w:rPr>
        <w:t>open</w:t>
      </w:r>
      <w:r>
        <w:rPr>
          <w:rFonts w:ascii="Times" w:hAnsi="Times"/>
        </w:rPr>
        <w:t xml:space="preserve"> – в 2010-2011 гг. В то же время, для временного ряда </w:t>
      </w:r>
      <w:r w:rsidRPr="00ED26F7">
        <w:rPr>
          <w:rFonts w:ascii="Times" w:hAnsi="Times"/>
          <w:b/>
        </w:rPr>
        <w:t>Dopen</w:t>
      </w:r>
      <w:r>
        <w:rPr>
          <w:rFonts w:ascii="Times" w:hAnsi="Times"/>
        </w:rPr>
        <w:t xml:space="preserve"> не может быть принята гипотеза об отсутствии серийной корреляции в периоде 2010-2011 гг.</w:t>
      </w:r>
    </w:p>
    <w:p w:rsidR="00B42A3F" w:rsidRPr="000F6176" w:rsidRDefault="00B42A3F" w:rsidP="00E06C9A">
      <w:pPr>
        <w:spacing w:before="120"/>
        <w:ind w:left="0" w:firstLine="567"/>
        <w:jc w:val="both"/>
        <w:rPr>
          <w:rFonts w:ascii="Times" w:hAnsi="Times"/>
        </w:rPr>
      </w:pPr>
      <w:r>
        <w:rPr>
          <w:rFonts w:ascii="Times" w:hAnsi="Times"/>
        </w:rPr>
        <w:t xml:space="preserve">Тест </w:t>
      </w:r>
      <w:r w:rsidRPr="000F6176">
        <w:rPr>
          <w:rFonts w:ascii="Times" w:hAnsi="Times"/>
        </w:rPr>
        <w:t xml:space="preserve">Breush-Godfrey также показывает, что для переменной </w:t>
      </w:r>
      <w:r w:rsidRPr="00ED26F7">
        <w:rPr>
          <w:rFonts w:ascii="Times" w:hAnsi="Times"/>
          <w:b/>
        </w:rPr>
        <w:t>interest</w:t>
      </w:r>
      <w:r w:rsidRPr="000F6176">
        <w:rPr>
          <w:rFonts w:ascii="Times" w:hAnsi="Times"/>
        </w:rPr>
        <w:t xml:space="preserve"> предпочтительнее является использование первых разностей временного ряда. </w:t>
      </w:r>
    </w:p>
    <w:p w:rsidR="00B42A3F" w:rsidRPr="00181C46" w:rsidRDefault="00B42A3F" w:rsidP="00E06C9A">
      <w:pPr>
        <w:spacing w:before="120"/>
        <w:ind w:left="0" w:firstLine="567"/>
        <w:jc w:val="both"/>
        <w:rPr>
          <w:rFonts w:ascii="Times" w:hAnsi="Times"/>
          <w:b/>
          <w:i/>
        </w:rPr>
      </w:pPr>
      <w:r w:rsidRPr="00181C46">
        <w:rPr>
          <w:rFonts w:ascii="Times" w:hAnsi="Times"/>
          <w:b/>
          <w:i/>
        </w:rPr>
        <w:t>Информационные критерии Акаике, Шварца и Хеннана-Куинна</w:t>
      </w:r>
    </w:p>
    <w:p w:rsidR="00B42A3F" w:rsidRDefault="00B42A3F" w:rsidP="00E06C9A">
      <w:pPr>
        <w:spacing w:before="120"/>
        <w:ind w:left="0" w:firstLine="567"/>
        <w:jc w:val="both"/>
        <w:rPr>
          <w:rFonts w:ascii="Times" w:hAnsi="Times"/>
        </w:rPr>
      </w:pPr>
      <w:r w:rsidRPr="000F6176">
        <w:rPr>
          <w:rFonts w:ascii="Times" w:hAnsi="Times"/>
        </w:rPr>
        <w:t xml:space="preserve">Результаты оценки информационных критериев Акаике, Шварца и Хеннана-Куинна для временных рядов </w:t>
      </w:r>
      <w:r>
        <w:rPr>
          <w:rFonts w:ascii="Times" w:hAnsi="Times"/>
        </w:rPr>
        <w:t xml:space="preserve">представлены в </w:t>
      </w:r>
      <w:r w:rsidRPr="00ED26F7">
        <w:rPr>
          <w:rFonts w:ascii="Times" w:hAnsi="Times"/>
        </w:rPr>
        <w:t>Таблице 1 Приложения 3</w:t>
      </w:r>
      <w:r w:rsidRPr="000F6176">
        <w:rPr>
          <w:rFonts w:ascii="Times" w:hAnsi="Times"/>
        </w:rPr>
        <w:t>.</w:t>
      </w:r>
    </w:p>
    <w:p w:rsidR="00B42A3F" w:rsidRDefault="00B42A3F" w:rsidP="00E06C9A">
      <w:pPr>
        <w:spacing w:before="120"/>
        <w:ind w:left="0" w:firstLine="567"/>
        <w:jc w:val="both"/>
        <w:rPr>
          <w:rFonts w:ascii="Times" w:hAnsi="Times"/>
        </w:rPr>
      </w:pPr>
      <w:r>
        <w:rPr>
          <w:rFonts w:ascii="Times" w:hAnsi="Times"/>
        </w:rPr>
        <w:t>Н</w:t>
      </w:r>
      <w:r w:rsidRPr="006C4991">
        <w:rPr>
          <w:rFonts w:ascii="Times" w:hAnsi="Times"/>
        </w:rPr>
        <w:t xml:space="preserve">а основе анализа </w:t>
      </w:r>
      <w:r>
        <w:rPr>
          <w:rFonts w:ascii="Times" w:hAnsi="Times"/>
        </w:rPr>
        <w:t xml:space="preserve">информационных критериев можно сделать вывод, что предпочтительнее использовать для анализа временной ряд </w:t>
      </w:r>
      <w:r w:rsidRPr="00ED26F7">
        <w:rPr>
          <w:rFonts w:ascii="Times" w:hAnsi="Times"/>
          <w:b/>
          <w:lang w:val="en-US"/>
        </w:rPr>
        <w:t>treasury</w:t>
      </w:r>
      <w:r w:rsidRPr="00ED26F7">
        <w:rPr>
          <w:rFonts w:ascii="Times" w:hAnsi="Times"/>
          <w:b/>
        </w:rPr>
        <w:t>_</w:t>
      </w:r>
      <w:r w:rsidRPr="00ED26F7">
        <w:rPr>
          <w:rFonts w:ascii="Times" w:hAnsi="Times"/>
          <w:b/>
          <w:lang w:val="en-US"/>
        </w:rPr>
        <w:t>return</w:t>
      </w:r>
      <w:r w:rsidRPr="00ED26F7">
        <w:rPr>
          <w:rFonts w:ascii="Times" w:hAnsi="Times"/>
        </w:rPr>
        <w:t xml:space="preserve"> </w:t>
      </w:r>
      <w:r>
        <w:rPr>
          <w:rFonts w:ascii="Times" w:hAnsi="Times"/>
        </w:rPr>
        <w:t xml:space="preserve">(так как сопоставление значений информационных критериев, рассчитанных для линейных моделей, построенных по временному ряду </w:t>
      </w:r>
      <w:r w:rsidRPr="00ED26F7">
        <w:rPr>
          <w:rFonts w:ascii="Times" w:hAnsi="Times"/>
          <w:b/>
        </w:rPr>
        <w:t>treasury_return</w:t>
      </w:r>
      <w:r>
        <w:rPr>
          <w:rFonts w:ascii="Times" w:hAnsi="Times"/>
        </w:rPr>
        <w:t xml:space="preserve">, а также по временным рядам </w:t>
      </w:r>
      <w:r w:rsidRPr="00ED26F7">
        <w:rPr>
          <w:rFonts w:ascii="Times" w:hAnsi="Times"/>
          <w:b/>
        </w:rPr>
        <w:t>Dtreasury_return</w:t>
      </w:r>
      <w:r w:rsidRPr="00ED26F7">
        <w:rPr>
          <w:rFonts w:ascii="Times" w:hAnsi="Times"/>
        </w:rPr>
        <w:t xml:space="preserve"> </w:t>
      </w:r>
      <w:r>
        <w:rPr>
          <w:rFonts w:ascii="Times" w:hAnsi="Times"/>
        </w:rPr>
        <w:t xml:space="preserve">и </w:t>
      </w:r>
      <w:r w:rsidRPr="00ED26F7">
        <w:rPr>
          <w:rFonts w:ascii="Times" w:hAnsi="Times"/>
          <w:b/>
          <w:lang w:val="en-US"/>
        </w:rPr>
        <w:t>DDtreasury</w:t>
      </w:r>
      <w:r w:rsidRPr="00ED26F7">
        <w:rPr>
          <w:rFonts w:ascii="Times" w:hAnsi="Times"/>
          <w:b/>
        </w:rPr>
        <w:t>_</w:t>
      </w:r>
      <w:r w:rsidRPr="00ED26F7">
        <w:rPr>
          <w:rFonts w:ascii="Times" w:hAnsi="Times"/>
          <w:b/>
          <w:lang w:val="en-US"/>
        </w:rPr>
        <w:t>return</w:t>
      </w:r>
      <w:r w:rsidRPr="00ED26F7">
        <w:rPr>
          <w:rFonts w:ascii="Times" w:hAnsi="Times"/>
        </w:rPr>
        <w:t xml:space="preserve"> </w:t>
      </w:r>
      <w:r>
        <w:rPr>
          <w:rFonts w:ascii="Times" w:hAnsi="Times"/>
        </w:rPr>
        <w:t xml:space="preserve">позволяют принять гипотезу о меньшей автокорреляции во временном ряду </w:t>
      </w:r>
      <w:r w:rsidRPr="00ED26F7">
        <w:rPr>
          <w:rFonts w:ascii="Times" w:hAnsi="Times"/>
          <w:b/>
        </w:rPr>
        <w:t>treasury_return</w:t>
      </w:r>
      <w:r>
        <w:rPr>
          <w:rFonts w:ascii="Times" w:hAnsi="Times"/>
        </w:rPr>
        <w:t xml:space="preserve">, чем во временных рядах </w:t>
      </w:r>
      <w:r w:rsidRPr="00ED26F7">
        <w:rPr>
          <w:rFonts w:ascii="Times" w:hAnsi="Times"/>
          <w:b/>
        </w:rPr>
        <w:t>Dtreasury_return</w:t>
      </w:r>
      <w:r w:rsidRPr="00ED26F7">
        <w:rPr>
          <w:rFonts w:ascii="Times" w:hAnsi="Times"/>
        </w:rPr>
        <w:t xml:space="preserve"> </w:t>
      </w:r>
      <w:r>
        <w:rPr>
          <w:rFonts w:ascii="Times" w:hAnsi="Times"/>
        </w:rPr>
        <w:t xml:space="preserve">и </w:t>
      </w:r>
      <w:r w:rsidRPr="00ED26F7">
        <w:rPr>
          <w:rFonts w:ascii="Times" w:hAnsi="Times"/>
          <w:b/>
          <w:lang w:val="en-US"/>
        </w:rPr>
        <w:t>DDtreasury</w:t>
      </w:r>
      <w:r w:rsidRPr="00ED26F7">
        <w:rPr>
          <w:rFonts w:ascii="Times" w:hAnsi="Times"/>
          <w:b/>
        </w:rPr>
        <w:t>_</w:t>
      </w:r>
      <w:r w:rsidRPr="00ED26F7">
        <w:rPr>
          <w:rFonts w:ascii="Times" w:hAnsi="Times"/>
          <w:b/>
          <w:lang w:val="en-US"/>
        </w:rPr>
        <w:t>return</w:t>
      </w:r>
      <w:r>
        <w:rPr>
          <w:rFonts w:ascii="Times" w:hAnsi="Times"/>
        </w:rPr>
        <w:t>).</w:t>
      </w:r>
    </w:p>
    <w:p w:rsidR="00B42A3F" w:rsidRPr="000F6176" w:rsidRDefault="00B42A3F" w:rsidP="00E06C9A">
      <w:pPr>
        <w:spacing w:before="120"/>
        <w:ind w:left="0" w:firstLine="567"/>
        <w:jc w:val="both"/>
        <w:rPr>
          <w:rFonts w:ascii="Times" w:hAnsi="Times"/>
        </w:rPr>
      </w:pPr>
      <w:r>
        <w:rPr>
          <w:rFonts w:ascii="Times" w:hAnsi="Times"/>
        </w:rPr>
        <w:t xml:space="preserve">Для </w:t>
      </w:r>
      <w:r w:rsidRPr="00ED26F7">
        <w:rPr>
          <w:rFonts w:ascii="Times" w:hAnsi="Times"/>
          <w:b/>
        </w:rPr>
        <w:t>corporate_return</w:t>
      </w:r>
      <w:r w:rsidRPr="00ED26F7">
        <w:rPr>
          <w:rFonts w:ascii="Times" w:hAnsi="Times"/>
        </w:rPr>
        <w:t xml:space="preserve"> </w:t>
      </w:r>
      <w:r>
        <w:rPr>
          <w:rFonts w:ascii="Times" w:hAnsi="Times"/>
        </w:rPr>
        <w:t xml:space="preserve">в 2010-2011 гг., согласно информационный критериям для модели линейной регрессии по временному ряду с 0 количеством лагов, лучше использовать для дальнейшего анализа временной ряд </w:t>
      </w:r>
      <w:r w:rsidRPr="00ED26F7">
        <w:rPr>
          <w:rFonts w:ascii="Times" w:hAnsi="Times"/>
          <w:b/>
        </w:rPr>
        <w:t>corporate_return</w:t>
      </w:r>
      <w:r>
        <w:rPr>
          <w:rFonts w:ascii="Times" w:hAnsi="Times"/>
        </w:rPr>
        <w:t xml:space="preserve">, а согласно информационным критериям для модели линейной регрессии с 1 и 2 лагами, лучше использовать </w:t>
      </w:r>
      <w:r w:rsidRPr="00ED26F7">
        <w:rPr>
          <w:rFonts w:ascii="Times" w:hAnsi="Times"/>
          <w:b/>
        </w:rPr>
        <w:t>Dcorporate_return</w:t>
      </w:r>
      <w:r>
        <w:rPr>
          <w:rFonts w:ascii="Times" w:hAnsi="Times"/>
        </w:rPr>
        <w:t xml:space="preserve">. Однако, подводя общий итог анализа временного ряда </w:t>
      </w:r>
      <w:r w:rsidRPr="00ED26F7">
        <w:rPr>
          <w:rFonts w:ascii="Times" w:hAnsi="Times"/>
          <w:b/>
        </w:rPr>
        <w:t>corporate_return</w:t>
      </w:r>
      <w:r w:rsidRPr="00ED26F7">
        <w:rPr>
          <w:rFonts w:ascii="Times" w:hAnsi="Times"/>
        </w:rPr>
        <w:t xml:space="preserve"> </w:t>
      </w:r>
      <w:r>
        <w:rPr>
          <w:rFonts w:ascii="Times" w:hAnsi="Times"/>
        </w:rPr>
        <w:t xml:space="preserve">с учётом результатов </w:t>
      </w:r>
      <w:r>
        <w:rPr>
          <w:rFonts w:ascii="Times" w:hAnsi="Times"/>
        </w:rPr>
        <w:lastRenderedPageBreak/>
        <w:t xml:space="preserve">теста </w:t>
      </w:r>
      <w:r w:rsidRPr="000F6176">
        <w:rPr>
          <w:rFonts w:ascii="Times" w:hAnsi="Times"/>
        </w:rPr>
        <w:t xml:space="preserve">Breush-Godfrey, можно сделать вывод, что предпочтительнее использовать для дальнейшего анализа временной ряд </w:t>
      </w:r>
      <w:r w:rsidRPr="00ED26F7">
        <w:rPr>
          <w:rFonts w:ascii="Times" w:hAnsi="Times"/>
          <w:b/>
        </w:rPr>
        <w:t>corporate_return</w:t>
      </w:r>
      <w:r w:rsidRPr="000F6176">
        <w:rPr>
          <w:rFonts w:ascii="Times" w:hAnsi="Times"/>
        </w:rPr>
        <w:t>.</w:t>
      </w:r>
    </w:p>
    <w:p w:rsidR="00B42A3F" w:rsidRDefault="00B42A3F" w:rsidP="00E06C9A">
      <w:pPr>
        <w:spacing w:before="120"/>
        <w:ind w:left="0" w:firstLine="567"/>
        <w:jc w:val="both"/>
        <w:rPr>
          <w:rFonts w:ascii="Times" w:hAnsi="Times"/>
        </w:rPr>
      </w:pPr>
      <w:r w:rsidRPr="000F6176">
        <w:rPr>
          <w:rFonts w:ascii="Times" w:hAnsi="Times"/>
        </w:rPr>
        <w:t xml:space="preserve">Для временного ряда </w:t>
      </w:r>
      <w:r w:rsidRPr="00ED26F7">
        <w:rPr>
          <w:rFonts w:ascii="Times" w:hAnsi="Times"/>
          <w:b/>
        </w:rPr>
        <w:t>corporate_return</w:t>
      </w:r>
      <w:r w:rsidRPr="00ED26F7">
        <w:rPr>
          <w:rFonts w:ascii="Times" w:hAnsi="Times"/>
        </w:rPr>
        <w:t xml:space="preserve"> </w:t>
      </w:r>
      <w:r w:rsidRPr="000F6176">
        <w:rPr>
          <w:rFonts w:ascii="Times" w:hAnsi="Times"/>
        </w:rPr>
        <w:t xml:space="preserve">в 2014-2015 гг. все информационные критерии (и это совпадает с результатами теста Breush-Godfrey) показывают, что для дальнейшего анализа предпочтительнее использовать временной ряд </w:t>
      </w:r>
      <w:r w:rsidRPr="00ED26F7">
        <w:rPr>
          <w:rFonts w:ascii="Times" w:hAnsi="Times"/>
          <w:b/>
        </w:rPr>
        <w:t>corporate_return</w:t>
      </w:r>
      <w:r w:rsidRPr="000F6176">
        <w:rPr>
          <w:rFonts w:ascii="Times" w:hAnsi="Times"/>
        </w:rPr>
        <w:t xml:space="preserve">. </w:t>
      </w:r>
      <w:r>
        <w:rPr>
          <w:rFonts w:ascii="Times" w:hAnsi="Times"/>
        </w:rPr>
        <w:t xml:space="preserve">Для временного ряда </w:t>
      </w:r>
      <w:r w:rsidRPr="00ED26F7">
        <w:rPr>
          <w:rFonts w:ascii="Times" w:hAnsi="Times"/>
          <w:b/>
        </w:rPr>
        <w:t>open</w:t>
      </w:r>
      <w:r>
        <w:rPr>
          <w:rFonts w:ascii="Times" w:hAnsi="Times"/>
        </w:rPr>
        <w:t xml:space="preserve"> в сравнении с временным рядом </w:t>
      </w:r>
      <w:r w:rsidRPr="00ED26F7">
        <w:rPr>
          <w:rFonts w:ascii="Times" w:hAnsi="Times"/>
          <w:b/>
        </w:rPr>
        <w:t>Dopen</w:t>
      </w:r>
      <w:r>
        <w:rPr>
          <w:rFonts w:ascii="Times" w:hAnsi="Times"/>
        </w:rPr>
        <w:t xml:space="preserve"> информационные критерии показывают, что временной ряд </w:t>
      </w:r>
      <w:r w:rsidRPr="00ED26F7">
        <w:rPr>
          <w:rFonts w:ascii="Times" w:hAnsi="Times"/>
          <w:b/>
        </w:rPr>
        <w:t>open</w:t>
      </w:r>
      <w:r>
        <w:rPr>
          <w:rFonts w:ascii="Times" w:hAnsi="Times"/>
        </w:rPr>
        <w:t xml:space="preserve"> предпочтительнее использовать для моделирования в периоде 2010-2011 гг. В 2012-2013 гг. результаты теста </w:t>
      </w:r>
      <w:r w:rsidRPr="000F6176">
        <w:rPr>
          <w:rFonts w:ascii="Times" w:hAnsi="Times"/>
        </w:rPr>
        <w:t>Breush-Godfrey не дают однозначного ответа на вопрос, какой именно временной ряд использовать (</w:t>
      </w:r>
      <w:r w:rsidRPr="00ED26F7">
        <w:rPr>
          <w:rFonts w:ascii="Times" w:hAnsi="Times"/>
          <w:b/>
        </w:rPr>
        <w:t>open</w:t>
      </w:r>
      <w:r w:rsidRPr="000F6176">
        <w:rPr>
          <w:rFonts w:ascii="Times" w:hAnsi="Times"/>
        </w:rPr>
        <w:t xml:space="preserve"> </w:t>
      </w:r>
      <w:r>
        <w:rPr>
          <w:rFonts w:ascii="Times" w:hAnsi="Times"/>
        </w:rPr>
        <w:t xml:space="preserve">или </w:t>
      </w:r>
      <w:r w:rsidRPr="00ED26F7">
        <w:rPr>
          <w:rFonts w:ascii="Times" w:hAnsi="Times"/>
          <w:b/>
        </w:rPr>
        <w:t>Dopen</w:t>
      </w:r>
      <w:r>
        <w:rPr>
          <w:rFonts w:ascii="Times" w:hAnsi="Times"/>
        </w:rPr>
        <w:t xml:space="preserve">). В 2014-2015 гг. вывод однозначный: временной ряд </w:t>
      </w:r>
      <w:r w:rsidRPr="00ED26F7">
        <w:rPr>
          <w:rFonts w:ascii="Times" w:hAnsi="Times"/>
          <w:b/>
        </w:rPr>
        <w:t>Dopen</w:t>
      </w:r>
      <w:r>
        <w:rPr>
          <w:rFonts w:ascii="Times" w:hAnsi="Times"/>
        </w:rPr>
        <w:t>.</w:t>
      </w:r>
    </w:p>
    <w:p w:rsidR="00B42A3F" w:rsidRDefault="00B42A3F" w:rsidP="00E06C9A">
      <w:pPr>
        <w:spacing w:before="120"/>
        <w:ind w:left="0" w:firstLine="567"/>
        <w:jc w:val="both"/>
        <w:rPr>
          <w:rFonts w:ascii="Times" w:hAnsi="Times"/>
        </w:rPr>
      </w:pPr>
      <w:r>
        <w:rPr>
          <w:rFonts w:ascii="Times" w:hAnsi="Times"/>
        </w:rPr>
        <w:t xml:space="preserve">Информационные критерии для временных рядов </w:t>
      </w:r>
      <w:r w:rsidRPr="00ED26F7">
        <w:rPr>
          <w:rFonts w:ascii="Times" w:hAnsi="Times"/>
          <w:b/>
        </w:rPr>
        <w:t xml:space="preserve">interest, Dinterest </w:t>
      </w:r>
      <w:r>
        <w:rPr>
          <w:rFonts w:ascii="Times" w:hAnsi="Times"/>
        </w:rPr>
        <w:t xml:space="preserve">и </w:t>
      </w:r>
      <w:r w:rsidRPr="00ED26F7">
        <w:rPr>
          <w:rFonts w:ascii="Times" w:hAnsi="Times"/>
          <w:b/>
        </w:rPr>
        <w:t xml:space="preserve">DDinterest </w:t>
      </w:r>
      <w:r>
        <w:rPr>
          <w:rFonts w:ascii="Times" w:hAnsi="Times"/>
        </w:rPr>
        <w:t xml:space="preserve">показывают, что предпочтительнее использовать </w:t>
      </w:r>
      <w:r w:rsidRPr="00ED26F7">
        <w:rPr>
          <w:rFonts w:ascii="Times" w:hAnsi="Times"/>
          <w:b/>
        </w:rPr>
        <w:t>Dinterest</w:t>
      </w:r>
      <w:r>
        <w:rPr>
          <w:rFonts w:ascii="Times" w:hAnsi="Times"/>
        </w:rPr>
        <w:t>.</w:t>
      </w:r>
    </w:p>
    <w:p w:rsidR="00B42A3F" w:rsidRPr="00877D7D" w:rsidRDefault="00B42A3F" w:rsidP="00E06C9A">
      <w:pPr>
        <w:spacing w:before="120"/>
        <w:ind w:left="0" w:firstLine="567"/>
        <w:jc w:val="both"/>
        <w:rPr>
          <w:rFonts w:ascii="Times" w:hAnsi="Times"/>
          <w:b/>
          <w:i/>
        </w:rPr>
      </w:pPr>
      <w:r w:rsidRPr="00877D7D">
        <w:rPr>
          <w:rFonts w:ascii="Times" w:hAnsi="Times"/>
          <w:b/>
          <w:i/>
        </w:rPr>
        <w:t>Тест Дикки-Фуллера</w:t>
      </w:r>
    </w:p>
    <w:p w:rsidR="00B42A3F" w:rsidRDefault="00B42A3F" w:rsidP="00E06C9A">
      <w:pPr>
        <w:spacing w:before="120"/>
        <w:ind w:left="0" w:firstLine="567"/>
        <w:jc w:val="both"/>
        <w:rPr>
          <w:rFonts w:ascii="Times" w:hAnsi="Times"/>
        </w:rPr>
      </w:pPr>
      <w:r>
        <w:rPr>
          <w:rFonts w:ascii="Times" w:hAnsi="Times"/>
        </w:rPr>
        <w:t>Результаты теста Дикки-Фуллера для некоторых из зависимых переменных представлены в Таблице 2 Приложения 3.</w:t>
      </w:r>
    </w:p>
    <w:p w:rsidR="00B42A3F" w:rsidRPr="00144895" w:rsidRDefault="00B42A3F" w:rsidP="00E06C9A">
      <w:pPr>
        <w:spacing w:before="120"/>
        <w:ind w:left="0" w:firstLine="567"/>
        <w:jc w:val="both"/>
        <w:rPr>
          <w:rFonts w:ascii="Times" w:hAnsi="Times"/>
        </w:rPr>
      </w:pPr>
      <w:r>
        <w:rPr>
          <w:rFonts w:ascii="Times" w:hAnsi="Times"/>
        </w:rPr>
        <w:t xml:space="preserve">Тест Дикки-Фуллера показывает, что, с точки зрения наличия автокорреляции, временной ряд </w:t>
      </w:r>
      <w:r w:rsidRPr="00ED26F7">
        <w:rPr>
          <w:rFonts w:ascii="Times" w:hAnsi="Times"/>
          <w:b/>
        </w:rPr>
        <w:t>Dvolumes</w:t>
      </w:r>
      <w:r>
        <w:rPr>
          <w:rFonts w:ascii="Times" w:hAnsi="Times"/>
        </w:rPr>
        <w:t xml:space="preserve"> более подходит для построения модели, чем временной ряд </w:t>
      </w:r>
      <w:r w:rsidRPr="00ED26F7">
        <w:rPr>
          <w:rFonts w:ascii="Times" w:hAnsi="Times"/>
          <w:b/>
        </w:rPr>
        <w:t>volumes</w:t>
      </w:r>
      <w:r>
        <w:rPr>
          <w:rFonts w:ascii="Times" w:hAnsi="Times"/>
        </w:rPr>
        <w:t>.</w:t>
      </w:r>
    </w:p>
    <w:p w:rsidR="00B42A3F" w:rsidRDefault="00B42A3F" w:rsidP="00E06C9A">
      <w:pPr>
        <w:spacing w:before="120"/>
        <w:ind w:left="0" w:firstLine="567"/>
        <w:jc w:val="both"/>
        <w:rPr>
          <w:rFonts w:ascii="Times" w:hAnsi="Times"/>
        </w:rPr>
      </w:pPr>
      <w:r>
        <w:rPr>
          <w:rFonts w:ascii="Times" w:hAnsi="Times"/>
        </w:rPr>
        <w:t xml:space="preserve">Результаты теста Дикки-Фуллера и Филлипса-Перрона позволяют принять гипотезу о наличии стационарности во временных рядах </w:t>
      </w:r>
      <w:r w:rsidRPr="00ED26F7">
        <w:rPr>
          <w:rFonts w:ascii="Times" w:hAnsi="Times"/>
          <w:b/>
          <w:lang w:val="en-US"/>
        </w:rPr>
        <w:t>treasury</w:t>
      </w:r>
      <w:r w:rsidRPr="00ED26F7">
        <w:rPr>
          <w:rFonts w:ascii="Times" w:hAnsi="Times"/>
          <w:b/>
        </w:rPr>
        <w:t>_</w:t>
      </w:r>
      <w:r w:rsidRPr="00ED26F7">
        <w:rPr>
          <w:rFonts w:ascii="Times" w:hAnsi="Times"/>
          <w:b/>
          <w:lang w:val="en-US"/>
        </w:rPr>
        <w:t>return</w:t>
      </w:r>
      <w:r w:rsidRPr="00ED26F7">
        <w:rPr>
          <w:rFonts w:ascii="Times" w:hAnsi="Times"/>
        </w:rPr>
        <w:t xml:space="preserve"> </w:t>
      </w:r>
      <w:r>
        <w:rPr>
          <w:rFonts w:ascii="Times" w:hAnsi="Times"/>
        </w:rPr>
        <w:t xml:space="preserve">во всех периодах и временных рядах </w:t>
      </w:r>
      <w:r w:rsidRPr="00ED26F7">
        <w:rPr>
          <w:rFonts w:ascii="Times" w:hAnsi="Times"/>
          <w:b/>
          <w:lang w:val="en-US"/>
        </w:rPr>
        <w:t>Dtreasury</w:t>
      </w:r>
      <w:r w:rsidRPr="00ED26F7">
        <w:rPr>
          <w:rFonts w:ascii="Times" w:hAnsi="Times"/>
          <w:b/>
        </w:rPr>
        <w:t>_</w:t>
      </w:r>
      <w:r w:rsidRPr="00ED26F7">
        <w:rPr>
          <w:rFonts w:ascii="Times" w:hAnsi="Times"/>
          <w:b/>
          <w:lang w:val="en-US"/>
        </w:rPr>
        <w:t>return</w:t>
      </w:r>
      <w:r w:rsidRPr="00ED26F7">
        <w:rPr>
          <w:rFonts w:ascii="Times" w:hAnsi="Times"/>
        </w:rPr>
        <w:t xml:space="preserve"> </w:t>
      </w:r>
      <w:r>
        <w:rPr>
          <w:rFonts w:ascii="Times" w:hAnsi="Times"/>
        </w:rPr>
        <w:t xml:space="preserve">и </w:t>
      </w:r>
      <w:r w:rsidRPr="00ED26F7">
        <w:rPr>
          <w:rFonts w:ascii="Times" w:hAnsi="Times"/>
          <w:b/>
          <w:lang w:val="en-US"/>
        </w:rPr>
        <w:t>DDtreasury</w:t>
      </w:r>
      <w:r w:rsidRPr="00ED26F7">
        <w:rPr>
          <w:rFonts w:ascii="Times" w:hAnsi="Times"/>
          <w:b/>
        </w:rPr>
        <w:t>_</w:t>
      </w:r>
      <w:r w:rsidRPr="00ED26F7">
        <w:rPr>
          <w:rFonts w:ascii="Times" w:hAnsi="Times"/>
          <w:b/>
          <w:lang w:val="en-US"/>
        </w:rPr>
        <w:t>return</w:t>
      </w:r>
      <w:r>
        <w:rPr>
          <w:rFonts w:ascii="Times" w:hAnsi="Times"/>
        </w:rPr>
        <w:t xml:space="preserve"> в 2012-2013 гг., а также временных рядах </w:t>
      </w:r>
      <w:r w:rsidRPr="00ED26F7">
        <w:rPr>
          <w:rFonts w:ascii="Times" w:hAnsi="Times"/>
          <w:b/>
        </w:rPr>
        <w:t>futures_return</w:t>
      </w:r>
      <w:r w:rsidRPr="00ED26F7">
        <w:rPr>
          <w:rFonts w:ascii="Times" w:hAnsi="Times"/>
        </w:rPr>
        <w:t xml:space="preserve"> </w:t>
      </w:r>
      <w:r>
        <w:rPr>
          <w:rFonts w:ascii="Times" w:hAnsi="Times"/>
        </w:rPr>
        <w:t xml:space="preserve">во всех периодах. Следовательно, обобщив выводы по тестам на стационарность и наличие автокорреляции во временных рядах, можно в заключение сказать, что временной ряд </w:t>
      </w:r>
      <w:r w:rsidRPr="00ED26F7">
        <w:rPr>
          <w:rFonts w:ascii="Times" w:hAnsi="Times"/>
          <w:b/>
        </w:rPr>
        <w:t xml:space="preserve">treasury_return </w:t>
      </w:r>
      <w:r>
        <w:rPr>
          <w:rFonts w:ascii="Times" w:hAnsi="Times"/>
        </w:rPr>
        <w:t xml:space="preserve">предпочтительнее для моделирования, чем </w:t>
      </w:r>
      <w:r w:rsidRPr="00ED26F7">
        <w:rPr>
          <w:rFonts w:ascii="Times" w:hAnsi="Times"/>
          <w:b/>
        </w:rPr>
        <w:t>Dtreasury_return</w:t>
      </w:r>
      <w:r w:rsidRPr="00ED26F7">
        <w:rPr>
          <w:rFonts w:ascii="Times" w:hAnsi="Times"/>
        </w:rPr>
        <w:t xml:space="preserve"> </w:t>
      </w:r>
      <w:r>
        <w:rPr>
          <w:rFonts w:ascii="Times" w:hAnsi="Times"/>
        </w:rPr>
        <w:t xml:space="preserve">и </w:t>
      </w:r>
      <w:r w:rsidRPr="00ED26F7">
        <w:rPr>
          <w:rFonts w:ascii="Times" w:hAnsi="Times"/>
          <w:b/>
          <w:lang w:val="en-US"/>
        </w:rPr>
        <w:t>DDtreasury</w:t>
      </w:r>
      <w:r w:rsidRPr="00ED26F7">
        <w:rPr>
          <w:rFonts w:ascii="Times" w:hAnsi="Times"/>
          <w:b/>
        </w:rPr>
        <w:t>_</w:t>
      </w:r>
      <w:r w:rsidRPr="00ED26F7">
        <w:rPr>
          <w:rFonts w:ascii="Times" w:hAnsi="Times"/>
          <w:b/>
          <w:lang w:val="en-US"/>
        </w:rPr>
        <w:t>return</w:t>
      </w:r>
      <w:r>
        <w:rPr>
          <w:rFonts w:ascii="Times" w:hAnsi="Times"/>
        </w:rPr>
        <w:t xml:space="preserve">, а временные ряды </w:t>
      </w:r>
      <w:r w:rsidRPr="00ED26F7">
        <w:rPr>
          <w:rFonts w:ascii="Times" w:hAnsi="Times"/>
          <w:b/>
        </w:rPr>
        <w:t>futures_return</w:t>
      </w:r>
      <w:r w:rsidRPr="00ED26F7">
        <w:rPr>
          <w:rFonts w:ascii="Times" w:hAnsi="Times"/>
        </w:rPr>
        <w:t xml:space="preserve"> </w:t>
      </w:r>
      <w:r>
        <w:rPr>
          <w:rFonts w:ascii="Times" w:hAnsi="Times"/>
        </w:rPr>
        <w:t>могут быть использованы для дальнейшего моделирования.</w:t>
      </w:r>
    </w:p>
    <w:p w:rsidR="00B42A3F" w:rsidRDefault="00B42A3F" w:rsidP="00E06C9A">
      <w:pPr>
        <w:spacing w:before="120"/>
        <w:ind w:left="0" w:firstLine="567"/>
        <w:jc w:val="both"/>
        <w:rPr>
          <w:rFonts w:ascii="Times" w:hAnsi="Times"/>
        </w:rPr>
      </w:pPr>
      <w:r>
        <w:rPr>
          <w:rFonts w:ascii="Times" w:hAnsi="Times"/>
        </w:rPr>
        <w:t xml:space="preserve">Для временного ряда </w:t>
      </w:r>
      <w:r w:rsidRPr="00ED26F7">
        <w:rPr>
          <w:rFonts w:ascii="Times" w:hAnsi="Times"/>
          <w:b/>
        </w:rPr>
        <w:t>corporate_return</w:t>
      </w:r>
      <w:r w:rsidRPr="00ED26F7">
        <w:rPr>
          <w:rFonts w:ascii="Times" w:hAnsi="Times"/>
        </w:rPr>
        <w:t xml:space="preserve"> </w:t>
      </w:r>
      <w:r>
        <w:rPr>
          <w:rFonts w:ascii="Times" w:hAnsi="Times"/>
        </w:rPr>
        <w:t xml:space="preserve">и </w:t>
      </w:r>
      <w:r w:rsidRPr="00ED26F7">
        <w:rPr>
          <w:rFonts w:ascii="Times" w:hAnsi="Times"/>
          <w:b/>
        </w:rPr>
        <w:t>industry_return</w:t>
      </w:r>
      <w:r w:rsidRPr="00ED26F7">
        <w:rPr>
          <w:rFonts w:ascii="Times" w:hAnsi="Times"/>
        </w:rPr>
        <w:t xml:space="preserve"> </w:t>
      </w:r>
      <w:r>
        <w:rPr>
          <w:rFonts w:ascii="Times" w:hAnsi="Times"/>
        </w:rPr>
        <w:t xml:space="preserve">тесты Дикки-Фуллера и Филлипса-Перрона показывают стационарность как самих временных рядов, так и временных рядов, построенных на первых разностях. Следовательно, обобщив все результаты тестов на наличие автокорреляции и стационарность можно сделать вывод, что предпочтительнее использовать для анализа во всех трёх периодах времени временные ряды </w:t>
      </w:r>
      <w:r w:rsidRPr="00ED26F7">
        <w:rPr>
          <w:rFonts w:ascii="Times" w:hAnsi="Times"/>
          <w:b/>
        </w:rPr>
        <w:t>corporate_return</w:t>
      </w:r>
      <w:r>
        <w:rPr>
          <w:rFonts w:ascii="Times" w:hAnsi="Times"/>
        </w:rPr>
        <w:t xml:space="preserve">, а не </w:t>
      </w:r>
      <w:r w:rsidRPr="00ED26F7">
        <w:rPr>
          <w:rFonts w:ascii="Times" w:hAnsi="Times"/>
          <w:b/>
        </w:rPr>
        <w:t>Dcorporate_return</w:t>
      </w:r>
      <w:r>
        <w:rPr>
          <w:rFonts w:ascii="Times" w:hAnsi="Times"/>
        </w:rPr>
        <w:t xml:space="preserve">, а также что временные ряды </w:t>
      </w:r>
      <w:r w:rsidRPr="00ED26F7">
        <w:rPr>
          <w:rFonts w:ascii="Times" w:hAnsi="Times"/>
          <w:b/>
        </w:rPr>
        <w:t>industry_return</w:t>
      </w:r>
      <w:r w:rsidRPr="00ED26F7">
        <w:rPr>
          <w:rFonts w:ascii="Times" w:hAnsi="Times"/>
        </w:rPr>
        <w:t xml:space="preserve"> </w:t>
      </w:r>
      <w:r>
        <w:rPr>
          <w:rFonts w:ascii="Times" w:hAnsi="Times"/>
        </w:rPr>
        <w:t>подходят для дальнейшего анализа.</w:t>
      </w:r>
    </w:p>
    <w:p w:rsidR="00B42A3F" w:rsidRDefault="00B42A3F" w:rsidP="00E06C9A">
      <w:pPr>
        <w:spacing w:before="120"/>
        <w:ind w:left="0" w:firstLine="567"/>
        <w:jc w:val="both"/>
        <w:rPr>
          <w:rFonts w:ascii="Times" w:hAnsi="Times"/>
        </w:rPr>
      </w:pPr>
      <w:r>
        <w:rPr>
          <w:rFonts w:ascii="Times" w:hAnsi="Times"/>
        </w:rPr>
        <w:t>Для временного ряда</w:t>
      </w:r>
      <w:r w:rsidRPr="0058455C">
        <w:rPr>
          <w:rFonts w:ascii="Times" w:hAnsi="Times"/>
        </w:rPr>
        <w:t xml:space="preserve"> </w:t>
      </w:r>
      <w:r w:rsidRPr="00ED26F7">
        <w:rPr>
          <w:rFonts w:ascii="Times" w:hAnsi="Times"/>
          <w:b/>
          <w:lang w:val="en-US"/>
        </w:rPr>
        <w:t>volumes</w:t>
      </w:r>
      <w:r>
        <w:rPr>
          <w:rFonts w:ascii="Times" w:hAnsi="Times"/>
        </w:rPr>
        <w:t xml:space="preserve"> в периоде 2014-2015 гг. тест Дикки-Фуллера  показывает следующие результаты (Таблица 2 Приложения 3), а тест Филлипса-Перрона показывает похожие результаты с результатами теста Дикки-Фуллера.</w:t>
      </w:r>
    </w:p>
    <w:p w:rsidR="00B42A3F" w:rsidRDefault="00B42A3F" w:rsidP="00E06C9A">
      <w:pPr>
        <w:spacing w:before="120"/>
        <w:ind w:left="0" w:firstLine="567"/>
        <w:jc w:val="both"/>
        <w:rPr>
          <w:rFonts w:ascii="Times" w:hAnsi="Times"/>
        </w:rPr>
      </w:pPr>
      <w:r>
        <w:rPr>
          <w:rFonts w:ascii="Times" w:hAnsi="Times"/>
        </w:rPr>
        <w:t xml:space="preserve">Гипотеза о наличии стационарности может быть принята только в ограниченном количестве случаев, в то время как для временного ряда, задаваемого переменной </w:t>
      </w:r>
      <w:r w:rsidRPr="000F6176">
        <w:rPr>
          <w:rFonts w:ascii="Times" w:hAnsi="Times"/>
        </w:rPr>
        <w:t>Dvolumes</w:t>
      </w:r>
      <w:r>
        <w:rPr>
          <w:rFonts w:ascii="Times" w:hAnsi="Times"/>
        </w:rPr>
        <w:t>, она может быть принята во всех случаях.</w:t>
      </w:r>
    </w:p>
    <w:p w:rsidR="00B42A3F" w:rsidRPr="000F6176" w:rsidRDefault="00B42A3F" w:rsidP="00E06C9A">
      <w:pPr>
        <w:spacing w:before="120"/>
        <w:ind w:left="0" w:firstLine="567"/>
        <w:jc w:val="both"/>
        <w:rPr>
          <w:rFonts w:ascii="Times" w:hAnsi="Times"/>
        </w:rPr>
      </w:pPr>
      <w:r>
        <w:rPr>
          <w:rFonts w:ascii="Times" w:hAnsi="Times"/>
        </w:rPr>
        <w:t xml:space="preserve">Результаты теста Дикки-Фуллера для временного ряда </w:t>
      </w:r>
      <w:r w:rsidRPr="000F6176">
        <w:rPr>
          <w:rFonts w:ascii="Times" w:hAnsi="Times"/>
        </w:rPr>
        <w:t xml:space="preserve">open </w:t>
      </w:r>
      <w:r>
        <w:rPr>
          <w:rFonts w:ascii="Times" w:hAnsi="Times"/>
        </w:rPr>
        <w:t xml:space="preserve">неоднозначны (Таблица 2 Приложения 3). А после дифференцирования временного ряда </w:t>
      </w:r>
      <w:r w:rsidRPr="000F6176">
        <w:rPr>
          <w:rFonts w:ascii="Times" w:hAnsi="Times"/>
        </w:rPr>
        <w:t>open</w:t>
      </w:r>
      <w:r>
        <w:rPr>
          <w:rFonts w:ascii="Times" w:hAnsi="Times"/>
        </w:rPr>
        <w:t xml:space="preserve"> и проверки по тесту Дикки-Фуллера временного ряда </w:t>
      </w:r>
      <w:r w:rsidRPr="000F6176">
        <w:rPr>
          <w:rFonts w:ascii="Times" w:hAnsi="Times"/>
        </w:rPr>
        <w:t xml:space="preserve">Dopen, гипотезу о присутствии стационарности во временном ряду </w:t>
      </w:r>
      <w:r w:rsidRPr="000F6176">
        <w:rPr>
          <w:rFonts w:ascii="Times" w:hAnsi="Times"/>
        </w:rPr>
        <w:lastRenderedPageBreak/>
        <w:t xml:space="preserve">Dope </w:t>
      </w:r>
      <w:r w:rsidRPr="00A953E0">
        <w:rPr>
          <w:rFonts w:ascii="Times" w:hAnsi="Times"/>
        </w:rPr>
        <w:t>можно принять.</w:t>
      </w:r>
      <w:r>
        <w:rPr>
          <w:rFonts w:ascii="Times" w:hAnsi="Times"/>
        </w:rPr>
        <w:t xml:space="preserve"> В 2010-2011 гг. временной ряд суммы </w:t>
      </w:r>
      <w:r w:rsidRPr="000F6176">
        <w:rPr>
          <w:rFonts w:ascii="Times" w:hAnsi="Times"/>
        </w:rPr>
        <w:t>open</w:t>
      </w:r>
      <w:r>
        <w:rPr>
          <w:rFonts w:ascii="Times" w:hAnsi="Times"/>
        </w:rPr>
        <w:t>, согласно гипотезе, которую можно принять на основе теста Дикки-Фуллера.</w:t>
      </w:r>
    </w:p>
    <w:p w:rsidR="00B42A3F" w:rsidRPr="006402C0" w:rsidRDefault="00B42A3F" w:rsidP="00E06C9A">
      <w:pPr>
        <w:spacing w:before="120"/>
        <w:ind w:left="0" w:firstLine="567"/>
        <w:jc w:val="both"/>
        <w:rPr>
          <w:rFonts w:ascii="Times" w:hAnsi="Times"/>
          <w:b/>
          <w:i/>
        </w:rPr>
      </w:pPr>
      <w:r w:rsidRPr="006402C0">
        <w:rPr>
          <w:rFonts w:ascii="Times" w:hAnsi="Times"/>
          <w:b/>
          <w:i/>
        </w:rPr>
        <w:t>Тест Филлипса-Перрона</w:t>
      </w:r>
    </w:p>
    <w:p w:rsidR="00B42A3F" w:rsidRDefault="00B42A3F" w:rsidP="00E06C9A">
      <w:pPr>
        <w:spacing w:before="120"/>
        <w:ind w:left="0" w:firstLine="567"/>
        <w:jc w:val="both"/>
        <w:rPr>
          <w:rFonts w:ascii="Times" w:hAnsi="Times"/>
        </w:rPr>
      </w:pPr>
      <w:r>
        <w:rPr>
          <w:rFonts w:ascii="Times" w:hAnsi="Times"/>
        </w:rPr>
        <w:t xml:space="preserve">То же самое было сделано для рассмотрения проверки на стационарность по методу Филлипса-Перрона. Тест Филлипса-Перрона показывает похожие результаты: в некоторых случаях для переменной </w:t>
      </w:r>
      <w:r w:rsidRPr="000F6176">
        <w:rPr>
          <w:rFonts w:ascii="Times" w:hAnsi="Times"/>
        </w:rPr>
        <w:t xml:space="preserve">volumes </w:t>
      </w:r>
      <w:r>
        <w:rPr>
          <w:rFonts w:ascii="Times" w:hAnsi="Times"/>
        </w:rPr>
        <w:t xml:space="preserve">можно отвергнуть гипотезу о наличии стационарности. В противоположность, для переменной </w:t>
      </w:r>
      <w:r w:rsidRPr="000F6176">
        <w:rPr>
          <w:rFonts w:ascii="Times" w:hAnsi="Times"/>
        </w:rPr>
        <w:t>Dvolumes</w:t>
      </w:r>
      <w:r>
        <w:rPr>
          <w:rFonts w:ascii="Times" w:hAnsi="Times"/>
        </w:rPr>
        <w:t xml:space="preserve"> гипотеза о наличии стационарности может быть принята для всех случаев. Таким образом, тесты Дикки-Фуллера и Филлипса-Перрона на наличие стационарности во временном ряду показывают, что временной ряд </w:t>
      </w:r>
      <w:r w:rsidRPr="000F6176">
        <w:rPr>
          <w:rFonts w:ascii="Times" w:hAnsi="Times"/>
        </w:rPr>
        <w:t xml:space="preserve">Dvolumes </w:t>
      </w:r>
      <w:r>
        <w:rPr>
          <w:rFonts w:ascii="Times" w:hAnsi="Times"/>
        </w:rPr>
        <w:t xml:space="preserve">больше подходит для моделирования, чем временной ряд </w:t>
      </w:r>
      <w:r w:rsidRPr="000F6176">
        <w:rPr>
          <w:rFonts w:ascii="Times" w:hAnsi="Times"/>
        </w:rPr>
        <w:t xml:space="preserve">volumes. Рассмотрев эти результаты совместно с результатами теста Breush-Godfrey можно сделать вывод, что </w:t>
      </w:r>
      <w:r w:rsidRPr="0088380B">
        <w:rPr>
          <w:rFonts w:ascii="Times" w:hAnsi="Times"/>
        </w:rPr>
        <w:t xml:space="preserve">временной ряд, который задаётся переменной </w:t>
      </w:r>
      <w:r w:rsidRPr="000F6176">
        <w:rPr>
          <w:rFonts w:ascii="Times" w:hAnsi="Times"/>
        </w:rPr>
        <w:t>Dvolumes (рост объёмов торгов фьючерсами на нефть на Московской бирже)</w:t>
      </w:r>
      <w:r>
        <w:rPr>
          <w:rFonts w:ascii="Times" w:hAnsi="Times"/>
        </w:rPr>
        <w:t xml:space="preserve"> лучше подходит для моделирования.</w:t>
      </w:r>
    </w:p>
    <w:p w:rsidR="00B42A3F" w:rsidRDefault="00B42A3F" w:rsidP="00E06C9A">
      <w:pPr>
        <w:spacing w:before="120"/>
        <w:ind w:left="0" w:firstLine="567"/>
        <w:jc w:val="both"/>
        <w:rPr>
          <w:rFonts w:ascii="Times" w:hAnsi="Times"/>
        </w:rPr>
      </w:pPr>
      <w:r>
        <w:rPr>
          <w:rFonts w:ascii="Times" w:hAnsi="Times"/>
        </w:rPr>
        <w:t xml:space="preserve">Для временных рядов, задаваемых переменной </w:t>
      </w:r>
      <w:r w:rsidRPr="000F6176">
        <w:rPr>
          <w:rFonts w:ascii="Times" w:hAnsi="Times"/>
        </w:rPr>
        <w:t>open, согласно тесту Филлипса-Перрона, можно получить неоднозначные результаты. Однако, для переменной Dopen все модели, согласно тесту Филлипса-Перрона, позволяют принять гипотезу о наличии стационарности во временном ряду.</w:t>
      </w:r>
    </w:p>
    <w:p w:rsidR="00B42A3F" w:rsidRDefault="00B42A3F" w:rsidP="00B42A3F">
      <w:pPr>
        <w:rPr>
          <w:rFonts w:ascii="Times" w:hAnsi="Times"/>
        </w:rPr>
      </w:pPr>
      <w:r>
        <w:rPr>
          <w:rFonts w:ascii="Times" w:hAnsi="Times"/>
        </w:rPr>
        <w:br w:type="page"/>
      </w:r>
    </w:p>
    <w:p w:rsidR="00B42A3F" w:rsidRPr="00693519" w:rsidRDefault="00B42A3F" w:rsidP="00B42A3F">
      <w:pPr>
        <w:spacing w:before="120"/>
        <w:ind w:firstLine="567"/>
        <w:jc w:val="both"/>
        <w:rPr>
          <w:rFonts w:ascii="Times" w:hAnsi="Times"/>
        </w:rPr>
      </w:pPr>
    </w:p>
    <w:p w:rsidR="00B42A3F" w:rsidRPr="00ED26F7" w:rsidRDefault="00B42A3F" w:rsidP="00B42A3F">
      <w:pPr>
        <w:tabs>
          <w:tab w:val="left" w:pos="426"/>
        </w:tabs>
        <w:spacing w:before="120"/>
        <w:rPr>
          <w:rFonts w:ascii="Times" w:hAnsi="Times"/>
        </w:rPr>
      </w:pPr>
      <w:r w:rsidRPr="00ED26F7">
        <w:rPr>
          <w:rFonts w:ascii="Times" w:hAnsi="Times"/>
        </w:rPr>
        <w:t>Таблица 7: Список переменных</w:t>
      </w:r>
    </w:p>
    <w:tbl>
      <w:tblPr>
        <w:tblStyle w:val="ae"/>
        <w:tblpPr w:leftFromText="180" w:rightFromText="180" w:vertAnchor="text" w:horzAnchor="page" w:tblpX="1410" w:tblpY="18"/>
        <w:tblW w:w="9322" w:type="dxa"/>
        <w:tblLayout w:type="fixed"/>
        <w:tblLook w:val="04A0"/>
      </w:tblPr>
      <w:tblGrid>
        <w:gridCol w:w="1985"/>
        <w:gridCol w:w="4144"/>
        <w:gridCol w:w="3193"/>
      </w:tblGrid>
      <w:tr w:rsidR="00B42A3F" w:rsidRPr="00E4284F" w:rsidTr="00B42A3F">
        <w:tc>
          <w:tcPr>
            <w:tcW w:w="1985" w:type="dxa"/>
            <w:vAlign w:val="bottom"/>
          </w:tcPr>
          <w:p w:rsidR="00B42A3F" w:rsidRPr="00ED26F7" w:rsidRDefault="00B42A3F" w:rsidP="00B42A3F">
            <w:pPr>
              <w:ind w:right="-8"/>
              <w:jc w:val="center"/>
              <w:rPr>
                <w:rFonts w:ascii="Times" w:hAnsi="Times"/>
                <w:b/>
                <w:sz w:val="20"/>
                <w:szCs w:val="20"/>
                <w:lang w:val="en-US"/>
              </w:rPr>
            </w:pPr>
            <w:r w:rsidRPr="00ED26F7">
              <w:rPr>
                <w:rFonts w:ascii="Times" w:hAnsi="Times"/>
                <w:b/>
                <w:sz w:val="20"/>
                <w:szCs w:val="20"/>
                <w:lang w:val="en-US"/>
              </w:rPr>
              <w:t>Обозначение</w:t>
            </w:r>
          </w:p>
        </w:tc>
        <w:tc>
          <w:tcPr>
            <w:tcW w:w="4144" w:type="dxa"/>
            <w:vAlign w:val="bottom"/>
          </w:tcPr>
          <w:p w:rsidR="00B42A3F" w:rsidRPr="00ED26F7" w:rsidRDefault="00B42A3F" w:rsidP="00B42A3F">
            <w:pPr>
              <w:ind w:right="-8"/>
              <w:jc w:val="center"/>
              <w:rPr>
                <w:rFonts w:ascii="Times" w:hAnsi="Times"/>
                <w:b/>
                <w:sz w:val="20"/>
                <w:szCs w:val="20"/>
              </w:rPr>
            </w:pPr>
            <w:r w:rsidRPr="00ED26F7">
              <w:rPr>
                <w:rFonts w:ascii="Times" w:hAnsi="Times"/>
                <w:b/>
                <w:sz w:val="20"/>
                <w:szCs w:val="20"/>
                <w:lang w:val="en-US"/>
              </w:rPr>
              <w:t xml:space="preserve">Название выбранной </w:t>
            </w:r>
            <w:r w:rsidRPr="00ED26F7">
              <w:rPr>
                <w:rFonts w:ascii="Times" w:hAnsi="Times"/>
                <w:b/>
                <w:sz w:val="20"/>
                <w:szCs w:val="20"/>
              </w:rPr>
              <w:t>переменной</w:t>
            </w:r>
          </w:p>
        </w:tc>
        <w:tc>
          <w:tcPr>
            <w:tcW w:w="3193" w:type="dxa"/>
            <w:vAlign w:val="bottom"/>
          </w:tcPr>
          <w:p w:rsidR="00B42A3F" w:rsidRPr="00ED26F7" w:rsidRDefault="00B42A3F" w:rsidP="00B42A3F">
            <w:pPr>
              <w:ind w:right="-8"/>
              <w:jc w:val="center"/>
              <w:rPr>
                <w:rFonts w:ascii="Times" w:hAnsi="Times"/>
                <w:b/>
                <w:sz w:val="20"/>
                <w:szCs w:val="20"/>
              </w:rPr>
            </w:pPr>
            <w:r w:rsidRPr="00ED26F7">
              <w:rPr>
                <w:rFonts w:ascii="Times" w:hAnsi="Times"/>
                <w:b/>
                <w:sz w:val="20"/>
                <w:szCs w:val="20"/>
              </w:rPr>
              <w:t>Переменные, которые были отвергнуты в пользу выбранной</w:t>
            </w:r>
          </w:p>
          <w:p w:rsidR="00B42A3F" w:rsidRPr="00ED26F7" w:rsidRDefault="00B42A3F" w:rsidP="00B42A3F">
            <w:pPr>
              <w:ind w:right="-8"/>
              <w:jc w:val="center"/>
              <w:rPr>
                <w:rFonts w:ascii="Times" w:hAnsi="Times"/>
                <w:b/>
                <w:sz w:val="20"/>
                <w:szCs w:val="20"/>
                <w:lang w:val="en-US"/>
              </w:rPr>
            </w:pPr>
            <w:r w:rsidRPr="00ED26F7">
              <w:rPr>
                <w:rFonts w:ascii="Times" w:hAnsi="Times"/>
                <w:b/>
                <w:sz w:val="20"/>
                <w:szCs w:val="20"/>
                <w:lang w:val="en-US"/>
              </w:rPr>
              <w:t>(если есть)</w:t>
            </w:r>
          </w:p>
        </w:tc>
      </w:tr>
      <w:tr w:rsidR="00B42A3F" w:rsidRPr="00E4284F" w:rsidTr="00B42A3F">
        <w:tc>
          <w:tcPr>
            <w:tcW w:w="9322" w:type="dxa"/>
            <w:gridSpan w:val="3"/>
            <w:shd w:val="clear" w:color="auto" w:fill="D9D9D9" w:themeFill="background1" w:themeFillShade="D9"/>
          </w:tcPr>
          <w:p w:rsidR="00B42A3F" w:rsidRPr="00E4284F" w:rsidRDefault="00B42A3F" w:rsidP="00B42A3F">
            <w:pPr>
              <w:ind w:right="-8"/>
              <w:rPr>
                <w:rFonts w:ascii="Times" w:hAnsi="Times"/>
                <w:b/>
                <w:sz w:val="22"/>
                <w:szCs w:val="22"/>
              </w:rPr>
            </w:pPr>
            <w:r w:rsidRPr="00E4284F">
              <w:rPr>
                <w:rFonts w:ascii="Times" w:hAnsi="Times"/>
                <w:b/>
                <w:sz w:val="22"/>
                <w:szCs w:val="22"/>
              </w:rPr>
              <w:t>независимые</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bashneft_</w:t>
            </w:r>
          </w:p>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return</w:t>
            </w:r>
          </w:p>
        </w:tc>
        <w:tc>
          <w:tcPr>
            <w:tcW w:w="4144" w:type="dxa"/>
          </w:tcPr>
          <w:p w:rsidR="00B42A3F" w:rsidRPr="00E4284F" w:rsidRDefault="00B42A3F" w:rsidP="00B42A3F">
            <w:pPr>
              <w:ind w:right="-8"/>
              <w:rPr>
                <w:rFonts w:ascii="Times" w:hAnsi="Times"/>
                <w:sz w:val="22"/>
                <w:szCs w:val="22"/>
              </w:rPr>
            </w:pPr>
            <w:r w:rsidRPr="00E4284F">
              <w:rPr>
                <w:rFonts w:ascii="Times" w:hAnsi="Times"/>
                <w:sz w:val="22"/>
                <w:szCs w:val="22"/>
              </w:rPr>
              <w:t>доходность индекса облигаций компании Башнефть</w:t>
            </w:r>
          </w:p>
        </w:tc>
        <w:tc>
          <w:tcPr>
            <w:tcW w:w="3193" w:type="dxa"/>
          </w:tcPr>
          <w:p w:rsidR="00B42A3F" w:rsidRPr="00E4284F" w:rsidRDefault="00B42A3F" w:rsidP="00B42A3F">
            <w:pPr>
              <w:ind w:right="-8"/>
              <w:rPr>
                <w:rFonts w:ascii="Times" w:hAnsi="Times"/>
                <w:sz w:val="22"/>
                <w:szCs w:val="22"/>
              </w:rPr>
            </w:pPr>
            <w:r w:rsidRPr="00E4284F">
              <w:rPr>
                <w:rFonts w:ascii="Times" w:hAnsi="Times"/>
                <w:sz w:val="22"/>
                <w:szCs w:val="22"/>
              </w:rPr>
              <w:t>нет</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rosneft_return</w:t>
            </w:r>
          </w:p>
        </w:tc>
        <w:tc>
          <w:tcPr>
            <w:tcW w:w="4144" w:type="dxa"/>
          </w:tcPr>
          <w:p w:rsidR="00B42A3F" w:rsidRPr="0058455C" w:rsidRDefault="00B42A3F" w:rsidP="00B42A3F">
            <w:pPr>
              <w:ind w:right="-8"/>
              <w:rPr>
                <w:rFonts w:ascii="Times" w:hAnsi="Times"/>
                <w:sz w:val="22"/>
                <w:szCs w:val="22"/>
              </w:rPr>
            </w:pPr>
            <w:r w:rsidRPr="00E4284F">
              <w:rPr>
                <w:rFonts w:ascii="Times" w:hAnsi="Times"/>
                <w:sz w:val="22"/>
                <w:szCs w:val="22"/>
              </w:rPr>
              <w:t>доходность индекса облигаций компании Роснефть</w:t>
            </w:r>
          </w:p>
        </w:tc>
        <w:tc>
          <w:tcPr>
            <w:tcW w:w="3193" w:type="dxa"/>
          </w:tcPr>
          <w:p w:rsidR="00B42A3F" w:rsidRPr="00E4284F" w:rsidRDefault="00B42A3F" w:rsidP="00B42A3F">
            <w:pPr>
              <w:ind w:right="-8"/>
              <w:rPr>
                <w:rFonts w:ascii="Times" w:hAnsi="Times"/>
                <w:sz w:val="22"/>
                <w:szCs w:val="22"/>
              </w:rPr>
            </w:pPr>
            <w:r w:rsidRPr="00E4284F">
              <w:rPr>
                <w:rFonts w:ascii="Times" w:hAnsi="Times"/>
                <w:sz w:val="22"/>
                <w:szCs w:val="22"/>
              </w:rPr>
              <w:t>нет</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lukoil_return</w:t>
            </w:r>
          </w:p>
        </w:tc>
        <w:tc>
          <w:tcPr>
            <w:tcW w:w="4144" w:type="dxa"/>
          </w:tcPr>
          <w:p w:rsidR="00B42A3F" w:rsidRPr="0058455C" w:rsidRDefault="00B42A3F" w:rsidP="00B42A3F">
            <w:pPr>
              <w:ind w:right="-8"/>
              <w:rPr>
                <w:rFonts w:ascii="Times" w:hAnsi="Times"/>
                <w:sz w:val="22"/>
                <w:szCs w:val="22"/>
              </w:rPr>
            </w:pPr>
            <w:r w:rsidRPr="00E4284F">
              <w:rPr>
                <w:rFonts w:ascii="Times" w:hAnsi="Times"/>
                <w:sz w:val="22"/>
                <w:szCs w:val="22"/>
              </w:rPr>
              <w:t>доходность индекса облигаций компании Лукойл</w:t>
            </w:r>
          </w:p>
        </w:tc>
        <w:tc>
          <w:tcPr>
            <w:tcW w:w="3193" w:type="dxa"/>
          </w:tcPr>
          <w:p w:rsidR="00B42A3F" w:rsidRPr="00E4284F" w:rsidRDefault="00B42A3F" w:rsidP="00B42A3F">
            <w:pPr>
              <w:ind w:right="-8"/>
              <w:rPr>
                <w:rFonts w:ascii="Times" w:hAnsi="Times"/>
                <w:sz w:val="22"/>
                <w:szCs w:val="22"/>
              </w:rPr>
            </w:pPr>
            <w:r w:rsidRPr="00E4284F">
              <w:rPr>
                <w:rFonts w:ascii="Times" w:hAnsi="Times"/>
                <w:sz w:val="22"/>
                <w:szCs w:val="22"/>
              </w:rPr>
              <w:t>нет</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surgutneftegas_return</w:t>
            </w:r>
          </w:p>
        </w:tc>
        <w:tc>
          <w:tcPr>
            <w:tcW w:w="4144" w:type="dxa"/>
          </w:tcPr>
          <w:p w:rsidR="00B42A3F" w:rsidRPr="0058455C" w:rsidRDefault="00B42A3F" w:rsidP="00B42A3F">
            <w:pPr>
              <w:ind w:right="-8"/>
              <w:rPr>
                <w:rFonts w:ascii="Times" w:hAnsi="Times"/>
                <w:sz w:val="22"/>
                <w:szCs w:val="22"/>
              </w:rPr>
            </w:pPr>
            <w:r w:rsidRPr="00E4284F">
              <w:rPr>
                <w:rFonts w:ascii="Times" w:hAnsi="Times"/>
                <w:sz w:val="22"/>
                <w:szCs w:val="22"/>
              </w:rPr>
              <w:t>доходность индекса облигаций компании Сургутнефтегаз</w:t>
            </w:r>
          </w:p>
        </w:tc>
        <w:tc>
          <w:tcPr>
            <w:tcW w:w="3193" w:type="dxa"/>
          </w:tcPr>
          <w:p w:rsidR="00B42A3F" w:rsidRPr="00E4284F" w:rsidRDefault="00B42A3F" w:rsidP="00B42A3F">
            <w:pPr>
              <w:ind w:right="-8"/>
              <w:rPr>
                <w:rFonts w:ascii="Times" w:hAnsi="Times"/>
                <w:sz w:val="22"/>
                <w:szCs w:val="22"/>
              </w:rPr>
            </w:pPr>
            <w:r w:rsidRPr="00E4284F">
              <w:rPr>
                <w:rFonts w:ascii="Times" w:hAnsi="Times"/>
                <w:sz w:val="22"/>
                <w:szCs w:val="22"/>
              </w:rPr>
              <w:t>нет</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tatneft_return</w:t>
            </w:r>
          </w:p>
        </w:tc>
        <w:tc>
          <w:tcPr>
            <w:tcW w:w="4144" w:type="dxa"/>
          </w:tcPr>
          <w:p w:rsidR="00B42A3F" w:rsidRPr="0058455C" w:rsidRDefault="00B42A3F" w:rsidP="00B42A3F">
            <w:pPr>
              <w:ind w:right="-8"/>
              <w:rPr>
                <w:rFonts w:ascii="Times" w:hAnsi="Times"/>
                <w:sz w:val="22"/>
                <w:szCs w:val="22"/>
              </w:rPr>
            </w:pPr>
            <w:r w:rsidRPr="00E4284F">
              <w:rPr>
                <w:rFonts w:ascii="Times" w:hAnsi="Times"/>
                <w:sz w:val="22"/>
                <w:szCs w:val="22"/>
              </w:rPr>
              <w:t>доходность индекса облигаций компании Татнефть</w:t>
            </w:r>
          </w:p>
        </w:tc>
        <w:tc>
          <w:tcPr>
            <w:tcW w:w="3193" w:type="dxa"/>
          </w:tcPr>
          <w:p w:rsidR="00B42A3F" w:rsidRPr="00E4284F" w:rsidRDefault="00B42A3F" w:rsidP="00B42A3F">
            <w:pPr>
              <w:ind w:right="-8"/>
              <w:rPr>
                <w:rFonts w:ascii="Times" w:hAnsi="Times"/>
                <w:sz w:val="22"/>
                <w:szCs w:val="22"/>
              </w:rPr>
            </w:pPr>
            <w:r w:rsidRPr="00E4284F">
              <w:rPr>
                <w:rFonts w:ascii="Times" w:hAnsi="Times"/>
                <w:sz w:val="22"/>
                <w:szCs w:val="22"/>
              </w:rPr>
              <w:t>нет</w:t>
            </w:r>
          </w:p>
        </w:tc>
      </w:tr>
      <w:tr w:rsidR="00B42A3F" w:rsidRPr="00E4284F" w:rsidTr="00B42A3F">
        <w:tc>
          <w:tcPr>
            <w:tcW w:w="9322" w:type="dxa"/>
            <w:gridSpan w:val="3"/>
            <w:shd w:val="clear" w:color="auto" w:fill="D9D9D9" w:themeFill="background1" w:themeFillShade="D9"/>
          </w:tcPr>
          <w:p w:rsidR="00B42A3F" w:rsidRPr="00E4284F" w:rsidRDefault="00B42A3F" w:rsidP="00B42A3F">
            <w:pPr>
              <w:ind w:right="-8"/>
              <w:rPr>
                <w:rFonts w:ascii="Times" w:hAnsi="Times"/>
                <w:b/>
                <w:sz w:val="22"/>
                <w:szCs w:val="22"/>
                <w:lang w:val="en-US"/>
              </w:rPr>
            </w:pPr>
            <w:r w:rsidRPr="00E4284F">
              <w:rPr>
                <w:rFonts w:ascii="Times" w:hAnsi="Times"/>
                <w:b/>
                <w:sz w:val="22"/>
                <w:szCs w:val="22"/>
                <w:lang w:val="en-US"/>
              </w:rPr>
              <w:t>зависимые</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treasury_</w:t>
            </w:r>
          </w:p>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return</w:t>
            </w:r>
          </w:p>
        </w:tc>
        <w:tc>
          <w:tcPr>
            <w:tcW w:w="4144"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доходность индекса государственных облигаций</w:t>
            </w:r>
          </w:p>
        </w:tc>
        <w:tc>
          <w:tcPr>
            <w:tcW w:w="3193" w:type="dxa"/>
          </w:tcPr>
          <w:p w:rsidR="00B42A3F" w:rsidRPr="00E4284F" w:rsidRDefault="00B42A3F" w:rsidP="00B42A3F">
            <w:pPr>
              <w:rPr>
                <w:rFonts w:ascii="Times" w:hAnsi="Times"/>
                <w:sz w:val="22"/>
                <w:szCs w:val="22"/>
                <w:lang w:val="en-US"/>
              </w:rPr>
            </w:pPr>
            <w:r w:rsidRPr="00E4284F">
              <w:rPr>
                <w:rFonts w:ascii="Times" w:hAnsi="Times"/>
                <w:sz w:val="22"/>
                <w:szCs w:val="22"/>
                <w:lang w:val="en-US"/>
              </w:rPr>
              <w:t>Dtreasury_return</w:t>
            </w:r>
            <w:r w:rsidRPr="00E4284F">
              <w:rPr>
                <w:rFonts w:ascii="Times" w:hAnsi="Times"/>
                <w:sz w:val="22"/>
                <w:szCs w:val="22"/>
              </w:rPr>
              <w:t>,</w:t>
            </w:r>
            <w:r w:rsidRPr="00E4284F">
              <w:rPr>
                <w:rFonts w:ascii="Times" w:hAnsi="Times"/>
                <w:sz w:val="22"/>
                <w:szCs w:val="22"/>
                <w:lang w:val="en-US"/>
              </w:rPr>
              <w:t xml:space="preserve"> DDtreasury_return </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corporate_</w:t>
            </w:r>
          </w:p>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return</w:t>
            </w:r>
          </w:p>
        </w:tc>
        <w:tc>
          <w:tcPr>
            <w:tcW w:w="4144"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доходность индекса корпоративных облигаций</w:t>
            </w:r>
          </w:p>
        </w:tc>
        <w:tc>
          <w:tcPr>
            <w:tcW w:w="3193" w:type="dxa"/>
          </w:tcPr>
          <w:p w:rsidR="00B42A3F" w:rsidRPr="00E4284F" w:rsidRDefault="00B42A3F" w:rsidP="00B42A3F">
            <w:pPr>
              <w:ind w:right="-8"/>
              <w:rPr>
                <w:rFonts w:ascii="Times" w:hAnsi="Times"/>
                <w:sz w:val="22"/>
                <w:szCs w:val="22"/>
              </w:rPr>
            </w:pPr>
            <w:r w:rsidRPr="00E4284F">
              <w:rPr>
                <w:rFonts w:ascii="Times" w:hAnsi="Times"/>
                <w:sz w:val="22"/>
                <w:szCs w:val="22"/>
                <w:lang w:val="en-US"/>
              </w:rPr>
              <w:t>Dcorporate_return</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industry_</w:t>
            </w:r>
          </w:p>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return</w:t>
            </w:r>
          </w:p>
        </w:tc>
        <w:tc>
          <w:tcPr>
            <w:tcW w:w="4144" w:type="dxa"/>
          </w:tcPr>
          <w:p w:rsidR="00B42A3F" w:rsidRPr="0058455C" w:rsidRDefault="00B42A3F" w:rsidP="00B42A3F">
            <w:pPr>
              <w:ind w:right="-8"/>
              <w:rPr>
                <w:rFonts w:ascii="Times" w:hAnsi="Times"/>
                <w:sz w:val="22"/>
                <w:szCs w:val="22"/>
              </w:rPr>
            </w:pPr>
            <w:r w:rsidRPr="0058455C">
              <w:rPr>
                <w:rFonts w:ascii="Times" w:hAnsi="Times"/>
                <w:sz w:val="22"/>
                <w:szCs w:val="22"/>
              </w:rPr>
              <w:t xml:space="preserve">доходность отраслевого индекса акций нефтегазовых компаний на ММВБ </w:t>
            </w:r>
          </w:p>
        </w:tc>
        <w:tc>
          <w:tcPr>
            <w:tcW w:w="3193"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нет</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futures_return</w:t>
            </w:r>
          </w:p>
        </w:tc>
        <w:tc>
          <w:tcPr>
            <w:tcW w:w="4144" w:type="dxa"/>
          </w:tcPr>
          <w:p w:rsidR="00B42A3F" w:rsidRPr="0058455C" w:rsidRDefault="00B42A3F" w:rsidP="00B42A3F">
            <w:pPr>
              <w:ind w:right="-8"/>
              <w:rPr>
                <w:rFonts w:ascii="Times" w:hAnsi="Times"/>
                <w:sz w:val="22"/>
                <w:szCs w:val="22"/>
              </w:rPr>
            </w:pPr>
            <w:r w:rsidRPr="0058455C">
              <w:rPr>
                <w:rFonts w:ascii="Times" w:hAnsi="Times"/>
                <w:sz w:val="22"/>
                <w:szCs w:val="22"/>
              </w:rPr>
              <w:t xml:space="preserve">доходность фьючерсов на нефть марки </w:t>
            </w:r>
            <w:r w:rsidRPr="00E4284F">
              <w:rPr>
                <w:rFonts w:ascii="Times" w:hAnsi="Times"/>
                <w:sz w:val="22"/>
                <w:szCs w:val="22"/>
                <w:lang w:val="en-US"/>
              </w:rPr>
              <w:t>Brent</w:t>
            </w:r>
          </w:p>
        </w:tc>
        <w:tc>
          <w:tcPr>
            <w:tcW w:w="3193"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нет</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Dvolumes</w:t>
            </w:r>
          </w:p>
        </w:tc>
        <w:tc>
          <w:tcPr>
            <w:tcW w:w="4144" w:type="dxa"/>
          </w:tcPr>
          <w:p w:rsidR="00B42A3F" w:rsidRPr="0058455C" w:rsidRDefault="00B42A3F" w:rsidP="00B42A3F">
            <w:pPr>
              <w:ind w:right="-8"/>
              <w:rPr>
                <w:rFonts w:ascii="Times" w:hAnsi="Times"/>
                <w:sz w:val="22"/>
                <w:szCs w:val="22"/>
              </w:rPr>
            </w:pPr>
            <w:r w:rsidRPr="00E4284F">
              <w:rPr>
                <w:rFonts w:ascii="Times" w:hAnsi="Times"/>
                <w:sz w:val="22"/>
                <w:szCs w:val="22"/>
              </w:rPr>
              <w:t xml:space="preserve">рост объёмов торгов фьючерсами на нефть марки </w:t>
            </w:r>
            <w:r w:rsidRPr="00E4284F">
              <w:rPr>
                <w:rFonts w:ascii="Times" w:hAnsi="Times"/>
                <w:sz w:val="22"/>
                <w:szCs w:val="22"/>
                <w:lang w:val="en-US"/>
              </w:rPr>
              <w:t>Brent</w:t>
            </w:r>
          </w:p>
        </w:tc>
        <w:tc>
          <w:tcPr>
            <w:tcW w:w="3193" w:type="dxa"/>
          </w:tcPr>
          <w:p w:rsidR="00B42A3F" w:rsidRPr="00E4284F" w:rsidRDefault="00B42A3F" w:rsidP="00B42A3F">
            <w:pPr>
              <w:ind w:right="-8"/>
              <w:rPr>
                <w:rFonts w:ascii="Times" w:hAnsi="Times"/>
                <w:sz w:val="22"/>
                <w:szCs w:val="22"/>
              </w:rPr>
            </w:pPr>
            <w:r w:rsidRPr="00E4284F">
              <w:rPr>
                <w:rFonts w:ascii="Times" w:hAnsi="Times"/>
                <w:sz w:val="22"/>
                <w:szCs w:val="22"/>
              </w:rPr>
              <w:t>volumes</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Dopen</w:t>
            </w:r>
          </w:p>
        </w:tc>
        <w:tc>
          <w:tcPr>
            <w:tcW w:w="4144" w:type="dxa"/>
          </w:tcPr>
          <w:p w:rsidR="00B42A3F" w:rsidRPr="00E4284F" w:rsidRDefault="00B42A3F" w:rsidP="00B42A3F">
            <w:pPr>
              <w:ind w:right="-8"/>
              <w:rPr>
                <w:rFonts w:ascii="Times" w:hAnsi="Times"/>
                <w:sz w:val="22"/>
                <w:szCs w:val="22"/>
              </w:rPr>
            </w:pPr>
            <w:r w:rsidRPr="00E4284F">
              <w:rPr>
                <w:rFonts w:ascii="Times" w:hAnsi="Times"/>
                <w:sz w:val="22"/>
                <w:szCs w:val="22"/>
              </w:rPr>
              <w:t>сумма открытых позиций по фьючерсам на нефть на конец дня на ММВБ</w:t>
            </w:r>
          </w:p>
        </w:tc>
        <w:tc>
          <w:tcPr>
            <w:tcW w:w="3193" w:type="dxa"/>
          </w:tcPr>
          <w:p w:rsidR="00B42A3F" w:rsidRPr="00E4284F" w:rsidRDefault="00B42A3F" w:rsidP="00B42A3F">
            <w:pPr>
              <w:ind w:right="-8"/>
              <w:rPr>
                <w:rFonts w:ascii="Times" w:hAnsi="Times"/>
                <w:sz w:val="22"/>
                <w:szCs w:val="22"/>
              </w:rPr>
            </w:pPr>
            <w:r w:rsidRPr="00E4284F">
              <w:rPr>
                <w:rFonts w:ascii="Times" w:hAnsi="Times"/>
                <w:sz w:val="22"/>
                <w:szCs w:val="22"/>
              </w:rPr>
              <w:t>open</w:t>
            </w:r>
          </w:p>
        </w:tc>
      </w:tr>
      <w:tr w:rsidR="00B42A3F" w:rsidRPr="00E4284F" w:rsidTr="00B42A3F">
        <w:tc>
          <w:tcPr>
            <w:tcW w:w="1985" w:type="dxa"/>
          </w:tcPr>
          <w:p w:rsidR="00B42A3F" w:rsidRPr="00E4284F" w:rsidRDefault="00B42A3F" w:rsidP="00B42A3F">
            <w:pPr>
              <w:ind w:right="-8"/>
              <w:rPr>
                <w:rFonts w:ascii="Times" w:hAnsi="Times"/>
                <w:sz w:val="22"/>
                <w:szCs w:val="22"/>
                <w:lang w:val="en-US"/>
              </w:rPr>
            </w:pPr>
            <w:r w:rsidRPr="00E4284F">
              <w:rPr>
                <w:rFonts w:ascii="Times" w:hAnsi="Times"/>
                <w:sz w:val="22"/>
                <w:szCs w:val="22"/>
                <w:lang w:val="en-US"/>
              </w:rPr>
              <w:t>Dinterest</w:t>
            </w:r>
          </w:p>
        </w:tc>
        <w:tc>
          <w:tcPr>
            <w:tcW w:w="4144" w:type="dxa"/>
          </w:tcPr>
          <w:p w:rsidR="00B42A3F" w:rsidRPr="0058455C" w:rsidRDefault="00B42A3F" w:rsidP="00B42A3F">
            <w:pPr>
              <w:ind w:right="-8"/>
              <w:rPr>
                <w:rFonts w:ascii="Times" w:hAnsi="Times"/>
                <w:sz w:val="22"/>
                <w:szCs w:val="22"/>
              </w:rPr>
            </w:pPr>
            <w:r w:rsidRPr="00E4284F">
              <w:rPr>
                <w:rFonts w:ascii="Times" w:hAnsi="Times"/>
                <w:sz w:val="22"/>
                <w:szCs w:val="22"/>
              </w:rPr>
              <w:t xml:space="preserve">прирост процентной ставки межбанковских кредитов на 6 месяцев </w:t>
            </w:r>
            <w:r w:rsidRPr="00E4284F">
              <w:rPr>
                <w:rFonts w:ascii="Times" w:hAnsi="Times"/>
                <w:sz w:val="22"/>
                <w:szCs w:val="22"/>
                <w:lang w:val="en-US"/>
              </w:rPr>
              <w:t>Moscow</w:t>
            </w:r>
            <w:r w:rsidRPr="0058455C">
              <w:rPr>
                <w:rFonts w:ascii="Times" w:hAnsi="Times"/>
                <w:sz w:val="22"/>
                <w:szCs w:val="22"/>
              </w:rPr>
              <w:t xml:space="preserve"> </w:t>
            </w:r>
            <w:r w:rsidRPr="00E4284F">
              <w:rPr>
                <w:rFonts w:ascii="Times" w:hAnsi="Times"/>
                <w:sz w:val="22"/>
                <w:szCs w:val="22"/>
                <w:lang w:val="en-US"/>
              </w:rPr>
              <w:t>Prime</w:t>
            </w:r>
            <w:r w:rsidRPr="0058455C">
              <w:rPr>
                <w:rFonts w:ascii="Times" w:hAnsi="Times"/>
                <w:sz w:val="22"/>
                <w:szCs w:val="22"/>
              </w:rPr>
              <w:t xml:space="preserve"> </w:t>
            </w:r>
            <w:r w:rsidRPr="00E4284F">
              <w:rPr>
                <w:rFonts w:ascii="Times" w:hAnsi="Times"/>
                <w:sz w:val="22"/>
                <w:szCs w:val="22"/>
                <w:lang w:val="en-US"/>
              </w:rPr>
              <w:t>Rate</w:t>
            </w:r>
          </w:p>
        </w:tc>
        <w:tc>
          <w:tcPr>
            <w:tcW w:w="3193" w:type="dxa"/>
          </w:tcPr>
          <w:p w:rsidR="00B42A3F" w:rsidRPr="00E4284F" w:rsidRDefault="00B42A3F" w:rsidP="00B42A3F">
            <w:pPr>
              <w:ind w:right="-8"/>
              <w:rPr>
                <w:rFonts w:ascii="Times" w:hAnsi="Times"/>
                <w:sz w:val="22"/>
                <w:szCs w:val="22"/>
              </w:rPr>
            </w:pPr>
            <w:r w:rsidRPr="00E4284F">
              <w:rPr>
                <w:rFonts w:ascii="Times" w:hAnsi="Times"/>
                <w:sz w:val="22"/>
                <w:szCs w:val="22"/>
              </w:rPr>
              <w:t>interest, DDinterest</w:t>
            </w:r>
          </w:p>
        </w:tc>
      </w:tr>
    </w:tbl>
    <w:p w:rsidR="00E06C9A" w:rsidRDefault="00E06C9A" w:rsidP="00B42A3F">
      <w:pPr>
        <w:tabs>
          <w:tab w:val="left" w:pos="426"/>
        </w:tabs>
        <w:ind w:right="-8" w:firstLine="567"/>
        <w:jc w:val="both"/>
        <w:rPr>
          <w:rFonts w:ascii="Times" w:hAnsi="Times"/>
          <w:u w:val="single"/>
          <w:lang w:val="en-US"/>
        </w:rPr>
      </w:pPr>
    </w:p>
    <w:p w:rsidR="00B42A3F" w:rsidRDefault="00B42A3F" w:rsidP="00E06C9A">
      <w:pPr>
        <w:tabs>
          <w:tab w:val="left" w:pos="0"/>
        </w:tabs>
        <w:ind w:left="0" w:right="-8" w:firstLine="567"/>
        <w:jc w:val="both"/>
        <w:rPr>
          <w:rFonts w:ascii="Times" w:hAnsi="Times"/>
          <w:u w:val="single"/>
        </w:rPr>
      </w:pPr>
      <w:r w:rsidRPr="006D550F">
        <w:rPr>
          <w:rFonts w:ascii="Times" w:hAnsi="Times"/>
          <w:u w:val="single"/>
        </w:rPr>
        <w:t>Выводы по выбору переменных для моделирования</w:t>
      </w:r>
    </w:p>
    <w:p w:rsidR="00B42A3F" w:rsidRPr="00EF0411" w:rsidRDefault="00B42A3F" w:rsidP="00E06C9A">
      <w:pPr>
        <w:tabs>
          <w:tab w:val="left" w:pos="0"/>
        </w:tabs>
        <w:ind w:left="0" w:right="-8" w:firstLine="567"/>
        <w:jc w:val="both"/>
        <w:rPr>
          <w:rFonts w:ascii="Times" w:hAnsi="Times"/>
        </w:rPr>
      </w:pPr>
      <w:r w:rsidRPr="006D550F">
        <w:rPr>
          <w:rFonts w:ascii="Times" w:hAnsi="Times"/>
        </w:rPr>
        <w:t xml:space="preserve">Не </w:t>
      </w:r>
      <w:r>
        <w:rPr>
          <w:rFonts w:ascii="Times" w:hAnsi="Times"/>
        </w:rPr>
        <w:t xml:space="preserve">в каждом случае результаты всех тестов на отсутствие автокорреляции и наличие стационарности (проводились тесты </w:t>
      </w:r>
      <w:r>
        <w:rPr>
          <w:rFonts w:ascii="Times" w:hAnsi="Times"/>
          <w:lang w:val="en-US"/>
        </w:rPr>
        <w:t>Breush</w:t>
      </w:r>
      <w:r w:rsidRPr="0058455C">
        <w:rPr>
          <w:rFonts w:ascii="Times" w:hAnsi="Times"/>
        </w:rPr>
        <w:t>-</w:t>
      </w:r>
      <w:r>
        <w:rPr>
          <w:rFonts w:ascii="Times" w:hAnsi="Times"/>
          <w:lang w:val="en-US"/>
        </w:rPr>
        <w:t>Godfrey</w:t>
      </w:r>
      <w:r>
        <w:rPr>
          <w:rFonts w:ascii="Times" w:hAnsi="Times"/>
        </w:rPr>
        <w:t>, Дикки-Фуллера, Филлипса-Перрона, рассчитывались информационные критерии) говорят в пользу выбора переменных для анализа однозначно (результаты некоторых тестов могут отличаться с точностью до наоборот). Но, задачей является выбор переменной, которая более подходит для моделирования. С другой стороны, невозможно использовать разные временные ряды для построения моделей с одной и той же независимой переменной (речь идёт о случаях, когда, согласно тестам, временной ряд подходит для моделирования в одном периоде, например, 2010-2011 гг., а в остальных периодах для моделирования больше подходит дифференцированный временной ряд. На основе этих соображений были отобраны переменные, на основе которых будут строиться дальнейшие модели (табл. 7)</w:t>
      </w:r>
    </w:p>
    <w:p w:rsidR="00B42A3F" w:rsidRDefault="00B42A3F" w:rsidP="00E06C9A">
      <w:pPr>
        <w:tabs>
          <w:tab w:val="left" w:pos="0"/>
        </w:tabs>
        <w:ind w:left="0" w:right="-8" w:firstLine="709"/>
        <w:jc w:val="center"/>
        <w:rPr>
          <w:rFonts w:ascii="Times" w:hAnsi="Times"/>
          <w:b/>
        </w:rPr>
      </w:pPr>
      <w:r w:rsidRPr="000203F3">
        <w:rPr>
          <w:rFonts w:ascii="Times" w:hAnsi="Times"/>
          <w:b/>
        </w:rPr>
        <w:t>Результаты</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 xml:space="preserve">Как отмечает </w:t>
      </w:r>
      <w:r w:rsidRPr="00770426">
        <w:rPr>
          <w:rFonts w:ascii="Times" w:hAnsi="Times"/>
          <w:lang w:val="en-US"/>
        </w:rPr>
        <w:t>F</w:t>
      </w:r>
      <w:r w:rsidRPr="0058455C">
        <w:rPr>
          <w:rFonts w:ascii="Times" w:hAnsi="Times"/>
        </w:rPr>
        <w:t>.</w:t>
      </w:r>
      <w:r w:rsidRPr="00770426">
        <w:rPr>
          <w:rFonts w:ascii="Times" w:hAnsi="Times"/>
          <w:lang w:val="en-US"/>
        </w:rPr>
        <w:t>A</w:t>
      </w:r>
      <w:r w:rsidRPr="0058455C">
        <w:rPr>
          <w:rFonts w:ascii="Times" w:hAnsi="Times"/>
        </w:rPr>
        <w:t xml:space="preserve">. </w:t>
      </w:r>
      <w:r w:rsidRPr="00770426">
        <w:rPr>
          <w:rFonts w:ascii="Times" w:hAnsi="Times"/>
          <w:lang w:val="en-US"/>
        </w:rPr>
        <w:t>Longstaff</w:t>
      </w:r>
      <w:r w:rsidRPr="0058455C">
        <w:rPr>
          <w:rFonts w:ascii="Times" w:hAnsi="Times"/>
        </w:rPr>
        <w:t xml:space="preserve">, при изучении природы финансового заражения полезно учесть два основных элемента. Первый – определить </w:t>
      </w:r>
      <w:r w:rsidRPr="0058455C">
        <w:rPr>
          <w:rFonts w:ascii="Times" w:hAnsi="Times"/>
          <w:b/>
        </w:rPr>
        <w:t>окно события</w:t>
      </w:r>
      <w:r w:rsidRPr="0058455C">
        <w:rPr>
          <w:rFonts w:ascii="Times" w:hAnsi="Times"/>
        </w:rPr>
        <w:t xml:space="preserve"> (в данном случае период кризиса 2014-2015 гг.). Второй – определить </w:t>
      </w:r>
      <w:r w:rsidRPr="0058455C">
        <w:rPr>
          <w:rFonts w:ascii="Times" w:hAnsi="Times"/>
          <w:b/>
        </w:rPr>
        <w:t>вектор финансового заражения</w:t>
      </w:r>
      <w:r w:rsidRPr="0058455C">
        <w:rPr>
          <w:rFonts w:ascii="Times" w:hAnsi="Times"/>
        </w:rPr>
        <w:t xml:space="preserve">, который может </w:t>
      </w:r>
      <w:r w:rsidRPr="0058455C">
        <w:rPr>
          <w:rFonts w:ascii="Times" w:hAnsi="Times"/>
        </w:rPr>
        <w:lastRenderedPageBreak/>
        <w:t>быть использован для тестирования изменений взаимосвязей между рынками, связанными с кризисным событием [</w:t>
      </w:r>
      <w:r w:rsidRPr="007C2949">
        <w:rPr>
          <w:rFonts w:ascii="Times" w:hAnsi="Times"/>
          <w:lang w:val="en-US"/>
        </w:rPr>
        <w:t>Longstaff</w:t>
      </w:r>
      <w:r w:rsidRPr="0058455C">
        <w:rPr>
          <w:rFonts w:ascii="Times" w:hAnsi="Times"/>
        </w:rPr>
        <w:t xml:space="preserve">, 2010]. </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Кризис в российской экономике 2014-2015 годов был вызван (</w:t>
      </w:r>
      <w:r w:rsidRPr="0058455C">
        <w:rPr>
          <w:rFonts w:ascii="Times" w:hAnsi="Times"/>
          <w:b/>
        </w:rPr>
        <w:t>причины</w:t>
      </w:r>
      <w:r w:rsidRPr="0058455C">
        <w:rPr>
          <w:rFonts w:ascii="Times" w:hAnsi="Times"/>
        </w:rPr>
        <w:t>):</w:t>
      </w:r>
    </w:p>
    <w:p w:rsidR="00B42A3F" w:rsidRDefault="00B42A3F" w:rsidP="0022187D">
      <w:pPr>
        <w:pStyle w:val="aa"/>
        <w:numPr>
          <w:ilvl w:val="0"/>
          <w:numId w:val="35"/>
        </w:numPr>
        <w:tabs>
          <w:tab w:val="left" w:pos="0"/>
        </w:tabs>
        <w:spacing w:before="120"/>
        <w:ind w:left="0" w:right="-8" w:firstLine="567"/>
        <w:jc w:val="both"/>
        <w:rPr>
          <w:rFonts w:ascii="Times" w:hAnsi="Times"/>
        </w:rPr>
      </w:pPr>
      <w:r w:rsidRPr="0058455C">
        <w:rPr>
          <w:rFonts w:ascii="Times" w:hAnsi="Times"/>
        </w:rPr>
        <w:t xml:space="preserve">чрезмерно высокой долей добывающей отрасли в ВВП, </w:t>
      </w:r>
    </w:p>
    <w:p w:rsidR="00B42A3F" w:rsidRPr="007C2949" w:rsidRDefault="00B42A3F" w:rsidP="0022187D">
      <w:pPr>
        <w:pStyle w:val="aa"/>
        <w:numPr>
          <w:ilvl w:val="0"/>
          <w:numId w:val="35"/>
        </w:numPr>
        <w:tabs>
          <w:tab w:val="left" w:pos="0"/>
        </w:tabs>
        <w:spacing w:before="120"/>
        <w:ind w:left="0" w:right="-8" w:firstLine="567"/>
        <w:jc w:val="both"/>
        <w:rPr>
          <w:rFonts w:ascii="Times" w:hAnsi="Times"/>
        </w:rPr>
      </w:pPr>
      <w:r w:rsidRPr="0058455C">
        <w:rPr>
          <w:rFonts w:ascii="Times" w:hAnsi="Times"/>
        </w:rPr>
        <w:t>большой зависимостью экономики России от импорта (и готовой продукции, и технологий).</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 xml:space="preserve">Справедливо то, что обе эти причины многократно обсуждались в российской научной литературе, риски рассматривались, и причины эти не являются новыми. Однако, </w:t>
      </w:r>
      <w:r w:rsidRPr="0058455C">
        <w:rPr>
          <w:rFonts w:ascii="Times" w:hAnsi="Times"/>
          <w:b/>
        </w:rPr>
        <w:t>поводом</w:t>
      </w:r>
      <w:r w:rsidRPr="0058455C">
        <w:rPr>
          <w:rFonts w:ascii="Times" w:hAnsi="Times"/>
        </w:rPr>
        <w:t>, спровоцировавшим кризисное событие, стали санкции США, Евросоюза, Австралии, Новой Зеландии и Канады против России, введённые в марте 2014 года.</w:t>
      </w:r>
    </w:p>
    <w:p w:rsidR="00B42A3F" w:rsidRDefault="00B42A3F" w:rsidP="00E06C9A">
      <w:pPr>
        <w:tabs>
          <w:tab w:val="left" w:pos="0"/>
        </w:tabs>
        <w:spacing w:before="120"/>
        <w:ind w:left="0" w:right="-8" w:firstLine="567"/>
        <w:jc w:val="both"/>
        <w:rPr>
          <w:rFonts w:ascii="Times" w:hAnsi="Times"/>
        </w:rPr>
      </w:pPr>
      <w:r w:rsidRPr="0058455C">
        <w:rPr>
          <w:rFonts w:ascii="Times" w:hAnsi="Times"/>
        </w:rPr>
        <w:t xml:space="preserve">Санкции содаржади в себе в том числе запрет компаниям этих стран поддерживать деловые отношения с лицами и организациями, которые были включены в соответствующие списки. То есть, санкции привели к затруднению отношений российских компаний со своими зарубежными партнёрами. Это сказалось на ценах закупаемых товаров и услуг зарубежом. Так как нефтегазовые российские компании при заключении проектов по разработке месторождений в России и зарубежом используют закупаемые у своих партнёров из западных стран технологии, что </w:t>
      </w:r>
      <w:r>
        <w:rPr>
          <w:rFonts w:ascii="Times" w:hAnsi="Times"/>
        </w:rPr>
        <w:t>привело к тому, что их расходы на разработку новых месторождений возросли.</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 xml:space="preserve"> Во время текущего кризиса достаточно сильно упали цены на нефть и курс рубля относительно доллара и евро. Хотя наличие одновременности не означает причинно-следственную связь, но, так как в экономике России нефегазовая отрасль играет большую роль (не только сама по себе, но как источник сырья для строительной, жилищно-коммунальной, транспортной и других отраслей, и особенно экспорта).</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b/>
        </w:rPr>
        <w:t>Падение цен на нефть</w:t>
      </w:r>
      <w:r w:rsidRPr="0058455C">
        <w:rPr>
          <w:rFonts w:ascii="Times" w:hAnsi="Times"/>
        </w:rPr>
        <w:t xml:space="preserve"> в 2014 году вызвано рядом причин (поличитическими, экономическими, природными):</w:t>
      </w:r>
    </w:p>
    <w:p w:rsidR="00B42A3F" w:rsidRPr="0058455C" w:rsidRDefault="00B42A3F" w:rsidP="0022187D">
      <w:pPr>
        <w:pStyle w:val="aa"/>
        <w:numPr>
          <w:ilvl w:val="0"/>
          <w:numId w:val="35"/>
        </w:numPr>
        <w:tabs>
          <w:tab w:val="left" w:pos="0"/>
        </w:tabs>
        <w:spacing w:before="120"/>
        <w:ind w:left="0" w:right="-8" w:firstLine="567"/>
        <w:jc w:val="both"/>
        <w:rPr>
          <w:rFonts w:ascii="Times" w:hAnsi="Times"/>
        </w:rPr>
      </w:pPr>
      <w:r w:rsidRPr="0058455C">
        <w:rPr>
          <w:rFonts w:ascii="Times" w:hAnsi="Times"/>
        </w:rPr>
        <w:t>цена на нефть до 2014 года была во многом спекулятивно завышена (вследствие роста цен на фьючерсы на нефть), в 2014 году деньги начали выводиться из нефтяных фьючерсов (снижения нефтяных спекуляций);</w:t>
      </w:r>
    </w:p>
    <w:p w:rsidR="00B42A3F" w:rsidRPr="0058455C" w:rsidRDefault="00B42A3F" w:rsidP="0022187D">
      <w:pPr>
        <w:pStyle w:val="aa"/>
        <w:numPr>
          <w:ilvl w:val="0"/>
          <w:numId w:val="35"/>
        </w:numPr>
        <w:tabs>
          <w:tab w:val="left" w:pos="0"/>
        </w:tabs>
        <w:spacing w:before="120"/>
        <w:ind w:left="0" w:right="-8" w:firstLine="567"/>
        <w:jc w:val="both"/>
        <w:rPr>
          <w:rFonts w:ascii="Times" w:hAnsi="Times"/>
        </w:rPr>
      </w:pPr>
      <w:r w:rsidRPr="0058455C">
        <w:rPr>
          <w:rFonts w:ascii="Times" w:hAnsi="Times"/>
        </w:rPr>
        <w:t>с 1975 года запрещён экспорт нефти из США (импорт нефти в США снизился);</w:t>
      </w:r>
    </w:p>
    <w:p w:rsidR="00B42A3F" w:rsidRPr="0058455C" w:rsidRDefault="00B42A3F" w:rsidP="0022187D">
      <w:pPr>
        <w:pStyle w:val="aa"/>
        <w:numPr>
          <w:ilvl w:val="0"/>
          <w:numId w:val="35"/>
        </w:numPr>
        <w:tabs>
          <w:tab w:val="left" w:pos="0"/>
        </w:tabs>
        <w:spacing w:before="120"/>
        <w:ind w:left="0" w:right="-8" w:firstLine="567"/>
        <w:jc w:val="both"/>
        <w:rPr>
          <w:rFonts w:ascii="Times" w:hAnsi="Times"/>
        </w:rPr>
      </w:pPr>
      <w:r w:rsidRPr="0058455C">
        <w:rPr>
          <w:rFonts w:ascii="Times" w:hAnsi="Times"/>
        </w:rPr>
        <w:t>укрепление доллара (большинство нефтяных контрактов оформляются в долларах);</w:t>
      </w:r>
    </w:p>
    <w:p w:rsidR="00B42A3F" w:rsidRPr="0058455C" w:rsidRDefault="00B42A3F" w:rsidP="0022187D">
      <w:pPr>
        <w:pStyle w:val="aa"/>
        <w:numPr>
          <w:ilvl w:val="0"/>
          <w:numId w:val="35"/>
        </w:numPr>
        <w:tabs>
          <w:tab w:val="left" w:pos="0"/>
        </w:tabs>
        <w:spacing w:before="120"/>
        <w:ind w:left="0" w:right="-8" w:firstLine="567"/>
        <w:jc w:val="both"/>
        <w:rPr>
          <w:rFonts w:ascii="Times" w:hAnsi="Times"/>
        </w:rPr>
      </w:pPr>
      <w:r w:rsidRPr="0058455C">
        <w:rPr>
          <w:rFonts w:ascii="Times" w:hAnsi="Times"/>
        </w:rPr>
        <w:t>политические события (войны в Ираке, Иране, Ливии, Сирии), которые привели к нестабильности [</w:t>
      </w:r>
      <w:r>
        <w:rPr>
          <w:rFonts w:ascii="Times" w:hAnsi="Times"/>
        </w:rPr>
        <w:t>Кузнецов, Савельев, Бахтизина, 2012</w:t>
      </w:r>
      <w:r w:rsidRPr="0058455C">
        <w:rPr>
          <w:rFonts w:ascii="Times" w:hAnsi="Times"/>
        </w:rPr>
        <w:t>].</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Таким образом, санкции не являются причиной кризиса в России 2014-2015 гг., однако, они послужили поводом, который усугубил действие вышеназванных причин, что и выразилось в наступлении кризиса.</w:t>
      </w:r>
    </w:p>
    <w:p w:rsidR="00B42A3F" w:rsidRPr="007C2949" w:rsidRDefault="00B42A3F" w:rsidP="00E06C9A">
      <w:pPr>
        <w:tabs>
          <w:tab w:val="left" w:pos="0"/>
        </w:tabs>
        <w:spacing w:before="120"/>
        <w:ind w:left="0" w:right="-8" w:firstLine="567"/>
        <w:jc w:val="both"/>
        <w:rPr>
          <w:rFonts w:ascii="Times" w:hAnsi="Times"/>
        </w:rPr>
      </w:pPr>
      <w:r w:rsidRPr="0058455C">
        <w:rPr>
          <w:rFonts w:ascii="Times" w:hAnsi="Times"/>
        </w:rPr>
        <w:t xml:space="preserve">Поэтому первыми на себе </w:t>
      </w:r>
      <w:r w:rsidRPr="007C2949">
        <w:rPr>
          <w:rFonts w:ascii="Times" w:hAnsi="Times"/>
        </w:rPr>
        <w:t xml:space="preserve">«ощутили» кризис нефтегазовые компании, которые получают доходы от продажи углеводородного сырья. Но, с другой стороны, доходы нефтегазовых компаний в рублях возросли за счёт падения курса рубля (и роста курса доллара). Этим может объясняться рост индексов облигаций нефтегазовых компаний с начала 2015 года (во всё ещё продолжающийся период кризиса). В то время, как экономике погружается в кризис, нефтегазовые компании оказались в несколько лучшем положении относительно остальных за счёт получения высоких (относительно всей экономики) доходов. Однако, индексы облигаций </w:t>
      </w:r>
      <w:r w:rsidRPr="007C2949">
        <w:rPr>
          <w:rFonts w:ascii="Times" w:hAnsi="Times"/>
        </w:rPr>
        <w:lastRenderedPageBreak/>
        <w:t>нефтегазовых компаний достаточно сильно снизились во второй половине 2014 года (но быстро возросли потом).</w:t>
      </w:r>
    </w:p>
    <w:p w:rsidR="00B42A3F" w:rsidRPr="0058455C" w:rsidRDefault="00B42A3F" w:rsidP="00E06C9A">
      <w:pPr>
        <w:tabs>
          <w:tab w:val="left" w:pos="0"/>
        </w:tabs>
        <w:spacing w:before="120"/>
        <w:ind w:left="0" w:right="-8" w:firstLine="567"/>
        <w:jc w:val="both"/>
        <w:rPr>
          <w:rFonts w:ascii="Times" w:hAnsi="Times"/>
        </w:rPr>
      </w:pPr>
      <w:r>
        <w:rPr>
          <w:rFonts w:ascii="Times" w:hAnsi="Times"/>
        </w:rPr>
        <w:t xml:space="preserve">В литературе по эмпирическом исследованию финансового заражения достаточно широко используется индикатор финансового заражения как возрастание взаимосвязей между различными рынками. Этот подход объясняется наиболее широко используемым в литературе определением финансового заражения как возникновением и возрастанием взаимосвязей между рынками вследствие кризисного события. Вектроная авторегрессионная модель, которую использовал </w:t>
      </w:r>
      <w:r w:rsidRPr="00770426">
        <w:rPr>
          <w:rFonts w:ascii="Times" w:hAnsi="Times"/>
          <w:lang w:val="en-US"/>
        </w:rPr>
        <w:t>F</w:t>
      </w:r>
      <w:r w:rsidRPr="0058455C">
        <w:rPr>
          <w:rFonts w:ascii="Times" w:hAnsi="Times"/>
        </w:rPr>
        <w:t>.</w:t>
      </w:r>
      <w:r w:rsidRPr="00770426">
        <w:rPr>
          <w:rFonts w:ascii="Times" w:hAnsi="Times"/>
          <w:lang w:val="en-US"/>
        </w:rPr>
        <w:t>A</w:t>
      </w:r>
      <w:r w:rsidRPr="0058455C">
        <w:rPr>
          <w:rFonts w:ascii="Times" w:hAnsi="Times"/>
        </w:rPr>
        <w:t xml:space="preserve">. </w:t>
      </w:r>
      <w:r w:rsidRPr="00770426">
        <w:rPr>
          <w:rFonts w:ascii="Times" w:hAnsi="Times"/>
          <w:lang w:val="en-US"/>
        </w:rPr>
        <w:t>Longstaff</w:t>
      </w:r>
      <w:r w:rsidRPr="0058455C">
        <w:rPr>
          <w:rFonts w:ascii="Times" w:hAnsi="Times"/>
        </w:rPr>
        <w:t xml:space="preserve">, позволила оценить взаимосвязь между раныками отдельно во время трёх периодов в рассматриваемом промежутке времени. Такой подход позволяет определить, отличались ли взаимосвязи между рынками во время кризиса и других двух периодов </w:t>
      </w:r>
      <w:r>
        <w:rPr>
          <w:rFonts w:ascii="Times" w:hAnsi="Times"/>
        </w:rPr>
        <w:t>(</w:t>
      </w:r>
      <w:r>
        <w:rPr>
          <w:rFonts w:ascii="Times" w:hAnsi="Times"/>
          <w:lang w:val="en-US"/>
        </w:rPr>
        <w:t>Longstaff</w:t>
      </w:r>
      <w:r>
        <w:rPr>
          <w:rFonts w:ascii="Times" w:hAnsi="Times"/>
        </w:rPr>
        <w:t>, 2010)</w:t>
      </w:r>
      <w:r w:rsidRPr="0058455C">
        <w:rPr>
          <w:rFonts w:ascii="Times" w:hAnsi="Times"/>
        </w:rPr>
        <w:t>.</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 xml:space="preserve">В качестве меры доходности на пострадавшем от кризиса секторе нефтегазовых компаний использовались доходности индексов облигаций нефтегазовых компаний. Точнее, использовались ежедневные (за исключением праздничных и выходных дней) доходности. Также, рассматривались облигации компаний, имеющих разный кредитный рейтинг. </w:t>
      </w:r>
    </w:p>
    <w:p w:rsidR="00B42A3F" w:rsidRDefault="00B42A3F" w:rsidP="00E06C9A">
      <w:pPr>
        <w:tabs>
          <w:tab w:val="left" w:pos="0"/>
        </w:tabs>
        <w:spacing w:before="120"/>
        <w:ind w:left="0" w:right="-8" w:firstLine="567"/>
        <w:jc w:val="both"/>
        <w:rPr>
          <w:rFonts w:ascii="Times" w:hAnsi="Times"/>
          <w:lang w:val="en-US"/>
        </w:rPr>
      </w:pPr>
      <w:r w:rsidRPr="0058455C">
        <w:rPr>
          <w:rFonts w:ascii="Times" w:hAnsi="Times"/>
        </w:rPr>
        <w:t xml:space="preserve">Для учёта тенденция на рынке государственных облигаций использовались ежедневные доходности (за тот же период, что и доходности индексов облигаций нефтегазовых компаний) индекса обсударственных облигаций Московской Биржи. Как и все индексы доходности, рассчитываемые на Московской Бирже, индекс доходности государственных облигаций рассчитывается ежедневно в момент зарктия торгов на основе средневзвешенных цен выпусков облигаций, включённых в базу расчёта для индикаторов доходности. </w:t>
      </w:r>
      <w:r>
        <w:rPr>
          <w:rFonts w:ascii="Times" w:hAnsi="Times"/>
          <w:lang w:val="en-US"/>
        </w:rPr>
        <w:t>Формула расчёта индекса государственных облигаций Московской Биржи:</w:t>
      </w:r>
    </w:p>
    <w:p w:rsidR="00B42A3F" w:rsidRPr="00577C12" w:rsidRDefault="00B42A3F" w:rsidP="00E06C9A">
      <w:pPr>
        <w:tabs>
          <w:tab w:val="left" w:pos="0"/>
        </w:tabs>
        <w:ind w:left="0" w:right="-8" w:firstLine="567"/>
        <w:jc w:val="both"/>
        <w:rPr>
          <w:rFonts w:ascii="Times" w:hAnsi="Times"/>
        </w:rPr>
      </w:pPr>
      <m:oMathPara>
        <m:oMath>
          <m:sSub>
            <m:sSubPr>
              <m:ctrlPr>
                <w:rPr>
                  <w:rFonts w:ascii="Cambria Math" w:hAnsi="Cambria Math"/>
                  <w:i/>
                </w:rPr>
              </m:ctrlPr>
            </m:sSubPr>
            <m:e>
              <m:r>
                <w:rPr>
                  <w:rFonts w:ascii="Cambria Math" w:hAnsi="Cambria Math"/>
                  <w:lang w:val="en-US"/>
                </w:rPr>
                <m:t>PI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PI</m:t>
              </m:r>
            </m:e>
            <m:sub>
              <m:r>
                <w:rPr>
                  <w:rFonts w:ascii="Cambria Math" w:hAnsi="Cambria Math"/>
                </w:rPr>
                <m:t>t-1</m:t>
              </m:r>
            </m:sub>
          </m:sSub>
          <m:r>
            <w:rPr>
              <w:rFonts w:ascii="Cambria Math" w:hAnsi="Cambria Math"/>
            </w:rPr>
            <m:t>∙</m:t>
          </m:r>
          <m:f>
            <m:fPr>
              <m:ctrlPr>
                <w:rPr>
                  <w:rFonts w:ascii="Cambria Math" w:hAnsi="Cambria Math"/>
                  <w:i/>
                </w:rPr>
              </m:ctrlPr>
            </m:fPr>
            <m:num>
              <m:nary>
                <m:naryPr>
                  <m:chr m:val="∑"/>
                  <m:limLoc m:val="undOvr"/>
                  <m:supHide m:val="on"/>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i,t-1</m:t>
                      </m:r>
                    </m:sub>
                  </m:sSub>
                </m:e>
              </m:nary>
            </m:num>
            <m:den>
              <m:nary>
                <m:naryPr>
                  <m:chr m:val="∑"/>
                  <m:limLoc m:val="undOvr"/>
                  <m:supHide m:val="on"/>
                  <m:ctrlPr>
                    <w:rPr>
                      <w:rFonts w:ascii="Cambria Math" w:hAnsi="Cambria Math"/>
                      <w:i/>
                    </w:rPr>
                  </m:ctrlPr>
                </m:naryPr>
                <m:sub>
                  <m:r>
                    <w:rPr>
                      <w:rFonts w:ascii="Cambria Math" w:hAnsi="Cambria Math"/>
                      <w:lang w:val="en-US"/>
                    </w:rPr>
                    <m:t>i</m:t>
                  </m:r>
                </m:sub>
                <m:sup/>
                <m:e>
                  <m:sSub>
                    <m:sSubPr>
                      <m:ctrlPr>
                        <w:rPr>
                          <w:rFonts w:ascii="Cambria Math" w:hAnsi="Cambria Math"/>
                          <w:i/>
                        </w:rPr>
                      </m:ctrlPr>
                    </m:sSubPr>
                    <m:e>
                      <m:r>
                        <w:rPr>
                          <w:rFonts w:ascii="Cambria Math" w:hAnsi="Cambria Math"/>
                        </w:rPr>
                        <m:t>P</m:t>
                      </m:r>
                    </m:e>
                    <m:sub>
                      <m:r>
                        <w:rPr>
                          <w:rFonts w:ascii="Cambria Math" w:hAnsi="Cambria Math"/>
                        </w:rPr>
                        <m:t>i,t-1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i,t-1</m:t>
                      </m:r>
                    </m:sub>
                  </m:sSub>
                </m:e>
              </m:nary>
            </m:den>
          </m:f>
        </m:oMath>
      </m:oMathPara>
    </w:p>
    <w:p w:rsidR="00B42A3F" w:rsidRDefault="00B42A3F" w:rsidP="00E06C9A">
      <w:pPr>
        <w:tabs>
          <w:tab w:val="left" w:pos="0"/>
        </w:tabs>
        <w:spacing w:before="120"/>
        <w:ind w:left="0" w:right="-8" w:firstLine="567"/>
        <w:rPr>
          <w:rFonts w:ascii="Times" w:hAnsi="Times"/>
        </w:rPr>
      </w:pPr>
      <w:r w:rsidRPr="007307E5">
        <w:rPr>
          <w:rFonts w:ascii="Times" w:hAnsi="Times"/>
        </w:rPr>
        <w:t>где</w:t>
      </w:r>
      <w:r>
        <w:rPr>
          <w:rFonts w:ascii="Times" w:hAnsi="Times"/>
        </w:rPr>
        <w:t xml:space="preserve"> </w:t>
      </w:r>
      <w:r>
        <w:rPr>
          <w:rFonts w:ascii="Times" w:hAnsi="Times"/>
          <w:lang w:val="en-US"/>
        </w:rPr>
        <w:t>P</w:t>
      </w:r>
      <w:r>
        <w:rPr>
          <w:rFonts w:ascii="Times" w:hAnsi="Times"/>
          <w:vertAlign w:val="subscript"/>
          <w:lang w:val="en-US"/>
        </w:rPr>
        <w:t>i</w:t>
      </w:r>
      <w:r w:rsidRPr="0058455C">
        <w:rPr>
          <w:rFonts w:ascii="Times" w:hAnsi="Times"/>
          <w:vertAlign w:val="subscript"/>
        </w:rPr>
        <w:t>,</w:t>
      </w:r>
      <w:r>
        <w:rPr>
          <w:rFonts w:ascii="Times" w:hAnsi="Times"/>
          <w:vertAlign w:val="subscript"/>
          <w:lang w:val="en-US"/>
        </w:rPr>
        <w:t>t</w:t>
      </w:r>
      <w:r w:rsidRPr="0058455C">
        <w:rPr>
          <w:rFonts w:ascii="Times" w:hAnsi="Times"/>
          <w:vertAlign w:val="subscript"/>
        </w:rPr>
        <w:t xml:space="preserve"> </w:t>
      </w:r>
      <w:r w:rsidRPr="0058455C">
        <w:rPr>
          <w:rFonts w:ascii="Times" w:hAnsi="Times"/>
        </w:rPr>
        <w:t xml:space="preserve">– </w:t>
      </w:r>
      <w:r>
        <w:rPr>
          <w:rFonts w:ascii="Times" w:hAnsi="Times"/>
        </w:rPr>
        <w:t xml:space="preserve">средневзвешенная цена облигации </w:t>
      </w:r>
      <w:r>
        <w:rPr>
          <w:rFonts w:ascii="Times" w:hAnsi="Times"/>
          <w:lang w:val="en-US"/>
        </w:rPr>
        <w:t>i</w:t>
      </w:r>
      <w:r w:rsidRPr="0058455C">
        <w:rPr>
          <w:rFonts w:ascii="Times" w:hAnsi="Times"/>
        </w:rPr>
        <w:t>-</w:t>
      </w:r>
      <w:r>
        <w:rPr>
          <w:rFonts w:ascii="Times" w:hAnsi="Times"/>
        </w:rPr>
        <w:t xml:space="preserve">ого выпуска в день </w:t>
      </w:r>
      <w:r>
        <w:rPr>
          <w:rFonts w:ascii="Times" w:hAnsi="Times"/>
          <w:lang w:val="en-US"/>
        </w:rPr>
        <w:t>t</w:t>
      </w:r>
      <w:r>
        <w:rPr>
          <w:rFonts w:ascii="Times" w:hAnsi="Times"/>
        </w:rPr>
        <w:t>, выраженная в рублях;</w:t>
      </w:r>
    </w:p>
    <w:p w:rsidR="00B42A3F" w:rsidRDefault="00B42A3F" w:rsidP="00E06C9A">
      <w:pPr>
        <w:tabs>
          <w:tab w:val="left" w:pos="0"/>
        </w:tabs>
        <w:spacing w:before="120"/>
        <w:ind w:left="0" w:right="-8" w:firstLine="567"/>
        <w:rPr>
          <w:rFonts w:ascii="Times" w:hAnsi="Times"/>
        </w:rPr>
      </w:pPr>
      <w:r>
        <w:rPr>
          <w:rFonts w:ascii="Times" w:hAnsi="Times"/>
          <w:lang w:val="en-US"/>
        </w:rPr>
        <w:t>N</w:t>
      </w:r>
      <w:r>
        <w:rPr>
          <w:rFonts w:ascii="Times" w:hAnsi="Times"/>
          <w:vertAlign w:val="subscript"/>
          <w:lang w:val="en-US"/>
        </w:rPr>
        <w:t>i</w:t>
      </w:r>
      <w:r w:rsidRPr="0058455C">
        <w:rPr>
          <w:rFonts w:ascii="Times" w:hAnsi="Times"/>
          <w:vertAlign w:val="subscript"/>
        </w:rPr>
        <w:t>,</w:t>
      </w:r>
      <w:r>
        <w:rPr>
          <w:rFonts w:ascii="Times" w:hAnsi="Times"/>
          <w:vertAlign w:val="subscript"/>
          <w:lang w:val="en-US"/>
        </w:rPr>
        <w:t>t</w:t>
      </w:r>
      <w:r w:rsidRPr="0058455C">
        <w:rPr>
          <w:rFonts w:ascii="Times" w:hAnsi="Times"/>
          <w:vertAlign w:val="subscript"/>
        </w:rPr>
        <w:t xml:space="preserve">-1 </w:t>
      </w:r>
      <w:r w:rsidRPr="0058455C">
        <w:rPr>
          <w:rFonts w:ascii="Times" w:hAnsi="Times"/>
        </w:rPr>
        <w:t xml:space="preserve">– </w:t>
      </w:r>
      <w:r>
        <w:rPr>
          <w:rFonts w:ascii="Times" w:hAnsi="Times"/>
        </w:rPr>
        <w:t xml:space="preserve">размещённый объём </w:t>
      </w:r>
      <w:r>
        <w:rPr>
          <w:rFonts w:ascii="Times" w:hAnsi="Times"/>
          <w:lang w:val="en-US"/>
        </w:rPr>
        <w:t>i</w:t>
      </w:r>
      <w:r w:rsidRPr="0058455C">
        <w:rPr>
          <w:rFonts w:ascii="Times" w:hAnsi="Times"/>
        </w:rPr>
        <w:t>-</w:t>
      </w:r>
      <w:r>
        <w:rPr>
          <w:rFonts w:ascii="Times" w:hAnsi="Times"/>
        </w:rPr>
        <w:t>ого выпуска облигаций, определённый в день t-1, выраженный в количестве ценных бумаг (единиц)</w:t>
      </w:r>
      <w:r w:rsidRPr="00A140DC">
        <w:rPr>
          <w:rStyle w:val="af"/>
        </w:rPr>
        <w:footnoteReference w:id="19"/>
      </w:r>
      <w:r>
        <w:rPr>
          <w:rFonts w:ascii="Times" w:hAnsi="Times"/>
        </w:rPr>
        <w:t>.</w:t>
      </w:r>
    </w:p>
    <w:p w:rsidR="00B42A3F" w:rsidRDefault="00B42A3F" w:rsidP="00E06C9A">
      <w:pPr>
        <w:tabs>
          <w:tab w:val="left" w:pos="0"/>
        </w:tabs>
        <w:spacing w:before="120"/>
        <w:ind w:left="0" w:right="-8" w:firstLine="567"/>
        <w:rPr>
          <w:rFonts w:ascii="Times" w:hAnsi="Times"/>
        </w:rPr>
      </w:pPr>
      <w:r>
        <w:rPr>
          <w:rFonts w:ascii="Times" w:hAnsi="Times"/>
        </w:rPr>
        <w:t>Для ответа на вопрос, присутствует ли взаимосвязь между кризисными событиями в российской экономике и усилением зависимости между доходностью индексов облигаций российских компаний, была оценена следующая теоретическая модель:</w:t>
      </w:r>
    </w:p>
    <w:p w:rsidR="00B42A3F" w:rsidRPr="009E31E8" w:rsidRDefault="00B42A3F" w:rsidP="00E06C9A">
      <w:pPr>
        <w:tabs>
          <w:tab w:val="left" w:pos="0"/>
        </w:tabs>
        <w:ind w:left="0" w:right="-8" w:firstLine="567"/>
        <w:rPr>
          <w:rFonts w:ascii="Times" w:hAnsi="Time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=α+</m:t>
          </m:r>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4</m:t>
              </m:r>
            </m:sup>
            <m:e>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k</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k</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e>
          </m:nary>
        </m:oMath>
      </m:oMathPara>
    </w:p>
    <w:p w:rsidR="00B42A3F" w:rsidRPr="00A43532" w:rsidRDefault="00B42A3F" w:rsidP="00E06C9A">
      <w:pPr>
        <w:tabs>
          <w:tab w:val="left" w:pos="0"/>
        </w:tabs>
        <w:spacing w:before="120"/>
        <w:ind w:left="0" w:right="-8" w:firstLine="567"/>
        <w:jc w:val="both"/>
        <w:rPr>
          <w:rFonts w:ascii="Times" w:hAnsi="Times"/>
        </w:rPr>
      </w:pPr>
      <w:r w:rsidRPr="0058455C">
        <w:rPr>
          <w:rFonts w:ascii="Times" w:hAnsi="Times"/>
        </w:rPr>
        <w:t xml:space="preserve">где </w:t>
      </w:r>
      <w:r>
        <w:rPr>
          <w:rFonts w:ascii="Times" w:hAnsi="Times"/>
          <w:lang w:val="en-US"/>
        </w:rPr>
        <w:t>Y</w:t>
      </w:r>
      <w:r>
        <w:rPr>
          <w:rFonts w:ascii="Times" w:hAnsi="Times"/>
          <w:vertAlign w:val="subscript"/>
          <w:lang w:val="en-US"/>
        </w:rPr>
        <w:t>t</w:t>
      </w:r>
      <w:r w:rsidRPr="0058455C">
        <w:rPr>
          <w:rFonts w:ascii="Times" w:hAnsi="Times"/>
          <w:vertAlign w:val="subscript"/>
        </w:rPr>
        <w:t xml:space="preserve"> </w:t>
      </w:r>
      <w:r w:rsidRPr="0058455C">
        <w:rPr>
          <w:rFonts w:ascii="Times" w:hAnsi="Times"/>
        </w:rPr>
        <w:t xml:space="preserve"> - </w:t>
      </w:r>
      <w:r>
        <w:rPr>
          <w:rFonts w:ascii="Times" w:hAnsi="Times"/>
        </w:rPr>
        <w:t xml:space="preserve">доходность индекса государственных облигаций Московской Биржи. Четыре лага в авторегрессионной модели были выбраны на основе того, что информационный критерий Акаике показывает более точные оценки для периодов в 4 недели, по сравнению с информационными критериями Шварца и Хеннана-Куинна </w:t>
      </w:r>
      <w:r w:rsidRPr="0058455C">
        <w:rPr>
          <w:rFonts w:ascii="Times" w:hAnsi="Times"/>
        </w:rPr>
        <w:t>[</w:t>
      </w:r>
      <w:r>
        <w:rPr>
          <w:rFonts w:ascii="Times" w:hAnsi="Times"/>
          <w:lang w:val="en-US"/>
        </w:rPr>
        <w:t>Ivanov</w:t>
      </w:r>
      <w:r w:rsidRPr="0058455C">
        <w:rPr>
          <w:rFonts w:ascii="Times" w:hAnsi="Times"/>
        </w:rPr>
        <w:t xml:space="preserve">, </w:t>
      </w:r>
      <w:r>
        <w:rPr>
          <w:rFonts w:ascii="Times" w:hAnsi="Times"/>
          <w:lang w:val="en-US"/>
        </w:rPr>
        <w:t>Kilian</w:t>
      </w:r>
      <w:r w:rsidRPr="0058455C">
        <w:rPr>
          <w:rFonts w:ascii="Times" w:hAnsi="Times"/>
        </w:rPr>
        <w:t>, 2005</w:t>
      </w:r>
      <w:r>
        <w:rPr>
          <w:rFonts w:ascii="Times" w:hAnsi="Times"/>
        </w:rPr>
        <w:t xml:space="preserve">; </w:t>
      </w:r>
      <w:r>
        <w:rPr>
          <w:rFonts w:ascii="Times" w:hAnsi="Times"/>
          <w:lang w:val="en-US"/>
        </w:rPr>
        <w:t>Longstaff</w:t>
      </w:r>
      <w:r w:rsidRPr="0058455C">
        <w:rPr>
          <w:rFonts w:ascii="Times" w:hAnsi="Times"/>
        </w:rPr>
        <w:t xml:space="preserve">, 2010]. </w:t>
      </w:r>
      <w:r>
        <w:rPr>
          <w:rFonts w:ascii="Times" w:hAnsi="Times"/>
          <w:lang w:val="en-US"/>
        </w:rPr>
        <w:t>B</w:t>
      </w:r>
      <w:r>
        <w:rPr>
          <w:rFonts w:ascii="Times" w:hAnsi="Times"/>
          <w:vertAlign w:val="subscript"/>
          <w:lang w:val="en-US"/>
        </w:rPr>
        <w:t>t</w:t>
      </w:r>
      <w:r w:rsidRPr="0058455C">
        <w:rPr>
          <w:rFonts w:ascii="Times" w:hAnsi="Times"/>
          <w:vertAlign w:val="subscript"/>
        </w:rPr>
        <w:t>-</w:t>
      </w:r>
      <w:r>
        <w:rPr>
          <w:rFonts w:ascii="Times" w:hAnsi="Times"/>
          <w:vertAlign w:val="subscript"/>
          <w:lang w:val="en-US"/>
        </w:rPr>
        <w:t>k</w:t>
      </w:r>
      <w:r w:rsidRPr="0058455C">
        <w:rPr>
          <w:rFonts w:ascii="Times" w:hAnsi="Times"/>
          <w:vertAlign w:val="subscript"/>
        </w:rPr>
        <w:t xml:space="preserve"> </w:t>
      </w:r>
      <w:r>
        <w:rPr>
          <w:rFonts w:ascii="Times" w:hAnsi="Times"/>
        </w:rPr>
        <w:t xml:space="preserve">– доходность индекса облигаций компании (для каждого индекса, то есть для каждой компании, такое уравнение оценивалось отдельно); </w:t>
      </w:r>
      <m:oMath>
        <m:sSub>
          <m:sSubPr>
            <m:ctrlPr>
              <w:rPr>
                <w:rFonts w:ascii="Cambria Math" w:hAnsi="Cambria Math"/>
                <w:i/>
              </w:rPr>
            </m:ctrlPr>
          </m:sSubPr>
          <m:e>
            <m:r>
              <w:rPr>
                <w:rFonts w:ascii="Cambria Math" w:hAnsi="Cambria Math"/>
              </w:rPr>
              <m:t>ε</m:t>
            </m:r>
          </m:e>
          <m:sub>
            <m:r>
              <w:rPr>
                <w:rFonts w:ascii="Cambria Math" w:hAnsi="Cambria Math"/>
                <w:lang w:val="en-US"/>
              </w:rPr>
              <m:t>t</m:t>
            </m:r>
          </m:sub>
        </m:sSub>
      </m:oMath>
      <w:r>
        <w:rPr>
          <w:rFonts w:ascii="Times" w:hAnsi="Times"/>
        </w:rPr>
        <w:t xml:space="preserve"> – случайная ошибка.</w:t>
      </w:r>
    </w:p>
    <w:p w:rsidR="00B42A3F" w:rsidRDefault="00B42A3F" w:rsidP="00E06C9A">
      <w:pPr>
        <w:tabs>
          <w:tab w:val="left" w:pos="0"/>
        </w:tabs>
        <w:spacing w:before="120"/>
        <w:ind w:left="0" w:right="-8" w:firstLine="567"/>
        <w:jc w:val="both"/>
        <w:rPr>
          <w:rFonts w:ascii="Times" w:hAnsi="Times"/>
        </w:rPr>
      </w:pPr>
      <w:r>
        <w:rPr>
          <w:rFonts w:ascii="Times" w:hAnsi="Times"/>
          <w:lang w:val="en-US"/>
        </w:rPr>
        <w:lastRenderedPageBreak/>
        <w:t>VAR</w:t>
      </w:r>
      <w:r w:rsidRPr="0058455C">
        <w:rPr>
          <w:rFonts w:ascii="Times" w:hAnsi="Times"/>
        </w:rPr>
        <w:t xml:space="preserve"> </w:t>
      </w:r>
      <w:r>
        <w:rPr>
          <w:rFonts w:ascii="Times" w:hAnsi="Times"/>
        </w:rPr>
        <w:t>(векторная авторегрессионная модель) оценивалась отдельно для доходности индекса каждой облигации и для каждого этапа (2010-2011 гг., 2012-2013 гг., 2014-2015 гг.).</w:t>
      </w:r>
    </w:p>
    <w:p w:rsidR="00B42A3F" w:rsidRDefault="00B42A3F" w:rsidP="00E06C9A">
      <w:pPr>
        <w:tabs>
          <w:tab w:val="left" w:pos="0"/>
        </w:tabs>
        <w:spacing w:before="120"/>
        <w:ind w:left="0" w:right="-8" w:firstLine="567"/>
        <w:jc w:val="both"/>
        <w:rPr>
          <w:rFonts w:ascii="Times" w:hAnsi="Times"/>
        </w:rPr>
      </w:pPr>
      <w:r>
        <w:rPr>
          <w:rFonts w:ascii="Times" w:hAnsi="Times"/>
        </w:rPr>
        <w:t xml:space="preserve">В </w:t>
      </w:r>
      <w:r w:rsidRPr="00ED26F7">
        <w:rPr>
          <w:rFonts w:ascii="Times" w:hAnsi="Times"/>
        </w:rPr>
        <w:t xml:space="preserve">Таблице 1 Приложения 2 </w:t>
      </w:r>
      <w:r>
        <w:rPr>
          <w:rFonts w:ascii="Times" w:hAnsi="Times"/>
        </w:rPr>
        <w:t xml:space="preserve">представлены результаты оценивания </w:t>
      </w:r>
      <w:r>
        <w:rPr>
          <w:rFonts w:ascii="Times" w:hAnsi="Times"/>
          <w:lang w:val="en-US"/>
        </w:rPr>
        <w:t>VAR</w:t>
      </w:r>
      <w:r w:rsidRPr="0058455C">
        <w:rPr>
          <w:rFonts w:ascii="Times" w:hAnsi="Times"/>
        </w:rPr>
        <w:t xml:space="preserve">. Для каждого из рассматриваемых периодов представлена </w:t>
      </w:r>
      <w:r>
        <w:rPr>
          <w:rFonts w:ascii="Times" w:hAnsi="Times"/>
          <w:lang w:val="en-US"/>
        </w:rPr>
        <w:t>t</w:t>
      </w:r>
      <w:r w:rsidRPr="0058455C">
        <w:rPr>
          <w:rFonts w:ascii="Times" w:hAnsi="Times"/>
        </w:rPr>
        <w:t>-</w:t>
      </w:r>
      <w:r>
        <w:rPr>
          <w:rFonts w:ascii="Times" w:hAnsi="Times"/>
        </w:rPr>
        <w:t xml:space="preserve">статистика </w:t>
      </w:r>
      <w:r>
        <w:rPr>
          <w:rFonts w:ascii="Times" w:hAnsi="Times"/>
          <w:lang w:val="en-US"/>
        </w:rPr>
        <w:t>Newey</w:t>
      </w:r>
      <w:r w:rsidRPr="0058455C">
        <w:rPr>
          <w:rFonts w:ascii="Times" w:hAnsi="Times"/>
        </w:rPr>
        <w:t>-</w:t>
      </w:r>
      <w:r>
        <w:rPr>
          <w:rFonts w:ascii="Times" w:hAnsi="Times"/>
          <w:lang w:val="en-US"/>
        </w:rPr>
        <w:t>West</w:t>
      </w:r>
      <w:r w:rsidRPr="0058455C">
        <w:rPr>
          <w:rFonts w:ascii="Times" w:hAnsi="Times"/>
        </w:rPr>
        <w:t xml:space="preserve"> </w:t>
      </w:r>
      <w:r>
        <w:rPr>
          <w:rFonts w:ascii="Times" w:hAnsi="Times"/>
        </w:rPr>
        <w:t xml:space="preserve">для коэффициентов </w:t>
      </w:r>
      <m:oMath>
        <m:sSub>
          <m:sSubPr>
            <m:ctrlPr>
              <w:rPr>
                <w:rFonts w:ascii="Cambria Math" w:hAnsi="Cambria Math"/>
                <w:i/>
              </w:rPr>
            </m:ctrlPr>
          </m:sSubPr>
          <m:e>
            <m:r>
              <w:rPr>
                <w:rFonts w:ascii="Cambria Math" w:hAnsi="Cambria Math"/>
              </w:rPr>
              <m:t>γ</m:t>
            </m:r>
          </m:e>
          <m:sub>
            <m:r>
              <w:rPr>
                <w:rFonts w:ascii="Cambria Math" w:hAnsi="Cambria Math"/>
                <w:lang w:val="en-US"/>
              </w:rPr>
              <m:t>k</m:t>
            </m:r>
          </m:sub>
        </m:sSub>
      </m:oMath>
      <w:r>
        <w:rPr>
          <w:rFonts w:ascii="Times" w:hAnsi="Times"/>
        </w:rPr>
        <w:t xml:space="preserve"> в формуле (2) и </w:t>
      </w:r>
      <w:r>
        <w:rPr>
          <w:rFonts w:ascii="Times" w:hAnsi="Times"/>
          <w:lang w:val="en-US"/>
        </w:rPr>
        <w:t>R</w:t>
      </w:r>
      <w:r w:rsidRPr="0058455C">
        <w:rPr>
          <w:rFonts w:ascii="Times" w:hAnsi="Times"/>
          <w:vertAlign w:val="superscript"/>
        </w:rPr>
        <w:t>2</w:t>
      </w:r>
      <w:r w:rsidRPr="0058455C">
        <w:rPr>
          <w:rFonts w:ascii="Times" w:hAnsi="Times"/>
        </w:rPr>
        <w:t xml:space="preserve"> </w:t>
      </w:r>
      <w:r>
        <w:rPr>
          <w:rFonts w:ascii="Times" w:hAnsi="Times"/>
        </w:rPr>
        <w:t xml:space="preserve">для моделей </w:t>
      </w:r>
      <w:r>
        <w:rPr>
          <w:rFonts w:ascii="Times" w:hAnsi="Times"/>
          <w:lang w:val="en-US"/>
        </w:rPr>
        <w:t>VAR</w:t>
      </w:r>
      <w:r>
        <w:rPr>
          <w:rFonts w:ascii="Times" w:hAnsi="Times"/>
        </w:rPr>
        <w:t xml:space="preserve">. Таблица </w:t>
      </w:r>
      <w:r w:rsidRPr="0058455C">
        <w:rPr>
          <w:rFonts w:ascii="Times" w:hAnsi="Times"/>
        </w:rPr>
        <w:t xml:space="preserve">1 Приложения 2 </w:t>
      </w:r>
      <w:r>
        <w:rPr>
          <w:rFonts w:ascii="Times" w:hAnsi="Times"/>
        </w:rPr>
        <w:t xml:space="preserve">также показывает </w:t>
      </w:r>
      <w:r>
        <w:rPr>
          <w:rFonts w:ascii="Times" w:hAnsi="Times"/>
          <w:lang w:val="en-US"/>
        </w:rPr>
        <w:t>p</w:t>
      </w:r>
      <w:r w:rsidRPr="0058455C">
        <w:rPr>
          <w:rFonts w:ascii="Times" w:hAnsi="Times"/>
        </w:rPr>
        <w:t>-</w:t>
      </w:r>
      <w:r>
        <w:rPr>
          <w:rFonts w:ascii="Times" w:hAnsi="Times"/>
          <w:lang w:val="en-US"/>
        </w:rPr>
        <w:t>value</w:t>
      </w:r>
      <w:r w:rsidRPr="0058455C">
        <w:rPr>
          <w:rFonts w:ascii="Times" w:hAnsi="Times"/>
        </w:rPr>
        <w:t xml:space="preserve"> </w:t>
      </w:r>
      <w:r>
        <w:rPr>
          <w:rFonts w:ascii="Times" w:hAnsi="Times"/>
        </w:rPr>
        <w:t xml:space="preserve">для </w:t>
      </w:r>
      <w:r>
        <w:rPr>
          <w:rFonts w:ascii="Times" w:hAnsi="Times"/>
          <w:lang w:val="en-US"/>
        </w:rPr>
        <w:t>F</w:t>
      </w:r>
      <w:r w:rsidRPr="0058455C">
        <w:rPr>
          <w:rFonts w:ascii="Times" w:hAnsi="Times"/>
        </w:rPr>
        <w:t>-</w:t>
      </w:r>
      <w:r>
        <w:rPr>
          <w:rFonts w:ascii="Times" w:hAnsi="Times"/>
        </w:rPr>
        <w:t xml:space="preserve">теста о том, что коэффициенты </w:t>
      </w:r>
      <m:oMath>
        <m:sSub>
          <m:sSubPr>
            <m:ctrlPr>
              <w:rPr>
                <w:rFonts w:ascii="Cambria Math" w:hAnsi="Cambria Math"/>
                <w:i/>
              </w:rPr>
            </m:ctrlPr>
          </m:sSubPr>
          <m:e>
            <m:r>
              <w:rPr>
                <w:rFonts w:ascii="Cambria Math" w:hAnsi="Cambria Math"/>
              </w:rPr>
              <m:t>γ</m:t>
            </m:r>
          </m:e>
          <m:sub>
            <m:r>
              <w:rPr>
                <w:rFonts w:ascii="Cambria Math" w:hAnsi="Cambria Math"/>
                <w:lang w:val="en-US"/>
              </w:rPr>
              <m:t>k</m:t>
            </m:r>
          </m:sub>
        </m:sSub>
      </m:oMath>
      <w:r>
        <w:rPr>
          <w:rFonts w:ascii="Times" w:hAnsi="Times"/>
        </w:rPr>
        <w:t xml:space="preserve"> одновременно нулевые. </w:t>
      </w:r>
      <w:r>
        <w:rPr>
          <w:rFonts w:ascii="Times" w:hAnsi="Times"/>
          <w:lang w:val="en-US"/>
        </w:rPr>
        <w:t>F</w:t>
      </w:r>
      <w:r w:rsidRPr="0058455C">
        <w:rPr>
          <w:rFonts w:ascii="Times" w:hAnsi="Times"/>
        </w:rPr>
        <w:t>-</w:t>
      </w:r>
      <w:r>
        <w:rPr>
          <w:rFonts w:ascii="Times" w:hAnsi="Times"/>
        </w:rPr>
        <w:t>тест можно рассматривать как тест гипотезы о том, что доходности индексов облигаций нефтегазовых компаний являются причиной по Гренджеру для последующих изменений в доходностях на других финансовых рынках. Эти тесты также позволяют определить, существует ли значимая разница во взаимосвязи между доходностями индексов облигаций нефтегазовых компаний и другими финансовыми рынками во время кризиса.</w:t>
      </w:r>
    </w:p>
    <w:p w:rsidR="00B42A3F" w:rsidRDefault="00B42A3F" w:rsidP="00E06C9A">
      <w:pPr>
        <w:tabs>
          <w:tab w:val="left" w:pos="0"/>
        </w:tabs>
        <w:spacing w:before="120"/>
        <w:ind w:left="0" w:right="-8" w:firstLine="567"/>
        <w:jc w:val="both"/>
        <w:rPr>
          <w:rFonts w:ascii="Times" w:hAnsi="Times"/>
        </w:rPr>
      </w:pPr>
      <w:r>
        <w:rPr>
          <w:rFonts w:ascii="Times" w:hAnsi="Times"/>
        </w:rPr>
        <w:t xml:space="preserve">Обращаясь сначала к результатам моделей </w:t>
      </w:r>
      <w:r>
        <w:rPr>
          <w:rFonts w:ascii="Times" w:hAnsi="Times"/>
          <w:lang w:val="en-US"/>
        </w:rPr>
        <w:t>VAR</w:t>
      </w:r>
      <w:r w:rsidRPr="0058455C">
        <w:rPr>
          <w:rFonts w:ascii="Times" w:hAnsi="Times"/>
        </w:rPr>
        <w:t xml:space="preserve"> </w:t>
      </w:r>
      <w:r>
        <w:rPr>
          <w:rFonts w:ascii="Times" w:hAnsi="Times"/>
        </w:rPr>
        <w:t xml:space="preserve">для государственных облигаций, Таблица 1 Приложения 2 показывает, что присутствует финансовое заражение во время кризиса. В частности, только одна из индивидуальных </w:t>
      </w:r>
      <w:r>
        <w:rPr>
          <w:rFonts w:ascii="Times" w:hAnsi="Times"/>
          <w:lang w:val="en-US"/>
        </w:rPr>
        <w:t>t</w:t>
      </w:r>
      <w:r w:rsidRPr="0058455C">
        <w:rPr>
          <w:rFonts w:ascii="Times" w:hAnsi="Times"/>
        </w:rPr>
        <w:t>-</w:t>
      </w:r>
      <w:r>
        <w:rPr>
          <w:rFonts w:ascii="Times" w:hAnsi="Times"/>
        </w:rPr>
        <w:t xml:space="preserve">статистик для лаговых переменных – доходностей индексов нефтегазовых компаний является значимой для моделей 2010-2011 и 2012-2013 гг. Соответственно, только две из пяти </w:t>
      </w:r>
      <w:r>
        <w:rPr>
          <w:rFonts w:ascii="Times" w:hAnsi="Times"/>
          <w:lang w:val="en-US"/>
        </w:rPr>
        <w:t>F</w:t>
      </w:r>
      <w:r>
        <w:rPr>
          <w:rFonts w:ascii="Times" w:hAnsi="Times"/>
        </w:rPr>
        <w:t xml:space="preserve">-статистик значимы в период 2010-2011 гг. (восстановление после кризиса 2008-2009 гг.) на 5%-ом уровне значимости, и одна </w:t>
      </w:r>
      <w:r>
        <w:rPr>
          <w:rFonts w:ascii="Times" w:hAnsi="Times"/>
          <w:lang w:val="en-US"/>
        </w:rPr>
        <w:t>F</w:t>
      </w:r>
      <w:r w:rsidRPr="0058455C">
        <w:rPr>
          <w:rFonts w:ascii="Times" w:hAnsi="Times"/>
        </w:rPr>
        <w:t>-</w:t>
      </w:r>
      <w:r>
        <w:rPr>
          <w:rFonts w:ascii="Times" w:hAnsi="Times"/>
        </w:rPr>
        <w:t>статистика значима на 10</w:t>
      </w:r>
      <w:r w:rsidRPr="0058455C">
        <w:rPr>
          <w:rFonts w:ascii="Times" w:hAnsi="Times"/>
        </w:rPr>
        <w:t>%</w:t>
      </w:r>
      <w:r>
        <w:rPr>
          <w:rFonts w:ascii="Times" w:hAnsi="Times"/>
        </w:rPr>
        <w:t xml:space="preserve">-ом уровне. Это можно объяснить тем, что рынок корпоративных облигаций менее ликвиден, чем рынок государственных облигаций (согласно теории). Поэтому, при прочих равных условиях, можно утверждать, что будет достаточно слабая взаимосвязь между динамикой доходности индекса государственных облигаций и динамикой доходности индексов нефтегазовых компаний. </w:t>
      </w:r>
    </w:p>
    <w:p w:rsidR="00B42A3F" w:rsidRPr="0058455C" w:rsidRDefault="00B42A3F" w:rsidP="00E06C9A">
      <w:pPr>
        <w:tabs>
          <w:tab w:val="left" w:pos="0"/>
        </w:tabs>
        <w:spacing w:before="120"/>
        <w:ind w:left="0" w:right="-8" w:firstLine="567"/>
        <w:jc w:val="both"/>
        <w:rPr>
          <w:rFonts w:ascii="Times" w:hAnsi="Times"/>
        </w:rPr>
      </w:pPr>
      <w:r>
        <w:rPr>
          <w:rFonts w:ascii="Times" w:hAnsi="Times"/>
        </w:rPr>
        <w:t xml:space="preserve">Напротив, в 2012-2013 гг. все </w:t>
      </w:r>
      <w:r>
        <w:rPr>
          <w:rFonts w:ascii="Times" w:hAnsi="Times"/>
          <w:lang w:val="en-US"/>
        </w:rPr>
        <w:t>F</w:t>
      </w:r>
      <w:r w:rsidRPr="0058455C">
        <w:rPr>
          <w:rFonts w:ascii="Times" w:hAnsi="Times"/>
        </w:rPr>
        <w:t>-</w:t>
      </w:r>
      <w:r>
        <w:rPr>
          <w:rFonts w:ascii="Times" w:hAnsi="Times"/>
        </w:rPr>
        <w:t xml:space="preserve">статистики для моделей </w:t>
      </w:r>
      <w:r>
        <w:rPr>
          <w:rFonts w:ascii="Times" w:hAnsi="Times"/>
          <w:lang w:val="en-US"/>
        </w:rPr>
        <w:t>VAR</w:t>
      </w:r>
      <w:r w:rsidRPr="0058455C">
        <w:rPr>
          <w:rFonts w:ascii="Times" w:hAnsi="Times"/>
        </w:rPr>
        <w:t xml:space="preserve"> являются значимыми на 5%-</w:t>
      </w:r>
      <w:r>
        <w:rPr>
          <w:rFonts w:ascii="Times" w:hAnsi="Times"/>
        </w:rPr>
        <w:t>ом уровне</w:t>
      </w:r>
      <w:r w:rsidRPr="0058455C">
        <w:rPr>
          <w:rFonts w:ascii="Times" w:hAnsi="Times"/>
        </w:rPr>
        <w:t xml:space="preserve"> </w:t>
      </w:r>
      <w:r>
        <w:rPr>
          <w:rFonts w:ascii="Times" w:hAnsi="Times"/>
        </w:rPr>
        <w:t>значимости</w:t>
      </w:r>
      <w:r w:rsidRPr="0058455C">
        <w:rPr>
          <w:rFonts w:ascii="Times" w:hAnsi="Times"/>
        </w:rPr>
        <w:t xml:space="preserve">, что говорит о том, что доходности индексов нефтегазовых компаний являются причиной по Гренджеру для  доходностей индексов государственных облигаций. Однако, наличие причинности по Гренджеру не означает, что между временными рядами существует причинно-следственная связь. Однако, если одна переменная, задающая временной ряд, не является причиной по Гренджеру для переменной, задающей другой временной ряд, то можно отвергнуть гипотезу о том, что между ними может существовать причинно-следственная связь (то есть, между ними точно не существует причинно-следственной связи). </w:t>
      </w:r>
    </w:p>
    <w:p w:rsidR="00B42A3F" w:rsidRDefault="00B42A3F" w:rsidP="00E06C9A">
      <w:pPr>
        <w:tabs>
          <w:tab w:val="left" w:pos="0"/>
        </w:tabs>
        <w:spacing w:before="120"/>
        <w:ind w:left="0" w:right="-8" w:firstLine="567"/>
        <w:jc w:val="both"/>
        <w:rPr>
          <w:rFonts w:ascii="Times" w:hAnsi="Times"/>
        </w:rPr>
      </w:pPr>
      <w:r>
        <w:rPr>
          <w:rFonts w:ascii="Times" w:hAnsi="Times"/>
        </w:rPr>
        <w:t xml:space="preserve">В дополнение, в 2012-2013 гг. только одна из индивидуальных </w:t>
      </w:r>
      <w:r>
        <w:rPr>
          <w:rFonts w:ascii="Times" w:hAnsi="Times"/>
          <w:lang w:val="en-US"/>
        </w:rPr>
        <w:t>t</w:t>
      </w:r>
      <w:r w:rsidRPr="0058455C">
        <w:rPr>
          <w:rFonts w:ascii="Times" w:hAnsi="Times"/>
        </w:rPr>
        <w:t>-</w:t>
      </w:r>
      <w:r>
        <w:rPr>
          <w:rFonts w:ascii="Times" w:hAnsi="Times"/>
        </w:rPr>
        <w:t xml:space="preserve">статистик в моделях </w:t>
      </w:r>
      <w:r>
        <w:rPr>
          <w:rFonts w:ascii="Times" w:hAnsi="Times"/>
          <w:lang w:val="en-US"/>
        </w:rPr>
        <w:t>VAR</w:t>
      </w:r>
      <w:r w:rsidRPr="0058455C">
        <w:rPr>
          <w:rFonts w:ascii="Times" w:hAnsi="Times"/>
        </w:rPr>
        <w:t xml:space="preserve"> для государственных облигаций</w:t>
      </w:r>
      <w:r>
        <w:rPr>
          <w:rFonts w:ascii="Times" w:hAnsi="Times"/>
        </w:rPr>
        <w:t xml:space="preserve"> была значима (у доходностей индекса облигаций Лукойла, имеющего самый высокий кредитный рейтинг из рассмотренных компаний). Это может свидетельствовать о том, что доходность индексов облигаций Лукойла может быть причиной по Гренджеру для доходностей индекса государственных облигаций. При этом лаг переменной, регрессионный коэффициент при которой обладает значимостью на 10</w:t>
      </w:r>
      <w:r w:rsidRPr="0058455C">
        <w:rPr>
          <w:rFonts w:ascii="Times" w:hAnsi="Times"/>
        </w:rPr>
        <w:t>%</w:t>
      </w:r>
      <w:r>
        <w:rPr>
          <w:rFonts w:ascii="Times" w:hAnsi="Times"/>
        </w:rPr>
        <w:t xml:space="preserve">-ом уровне, является 1 лаг. Этот коэффициент обладает положительным знаком, что означает, что отрицательная динамика доходности индекса облигаций Лукойла совпадает с отрицательной динамикой доходности индекса государственных облигаций, что подразумевает возрастание стоимости государственных облигаций. Коэффициенты </w:t>
      </w:r>
      <w:r>
        <w:rPr>
          <w:rFonts w:ascii="Times" w:hAnsi="Times"/>
          <w:lang w:val="en-US"/>
        </w:rPr>
        <w:t>R</w:t>
      </w:r>
      <w:r w:rsidRPr="0058455C">
        <w:rPr>
          <w:rFonts w:ascii="Times" w:hAnsi="Times"/>
          <w:vertAlign w:val="superscript"/>
        </w:rPr>
        <w:t>2</w:t>
      </w:r>
      <w:r>
        <w:rPr>
          <w:rFonts w:ascii="Times" w:hAnsi="Times"/>
        </w:rPr>
        <w:t xml:space="preserve"> для моделей в 2012-2013 гг. также выше коэффициентов </w:t>
      </w:r>
      <w:r>
        <w:rPr>
          <w:rFonts w:ascii="Times" w:hAnsi="Times"/>
          <w:lang w:val="en-US"/>
        </w:rPr>
        <w:t>R</w:t>
      </w:r>
      <w:r w:rsidRPr="0058455C">
        <w:rPr>
          <w:rFonts w:ascii="Times" w:hAnsi="Times"/>
          <w:vertAlign w:val="superscript"/>
        </w:rPr>
        <w:t>2</w:t>
      </w:r>
      <w:r>
        <w:rPr>
          <w:rFonts w:ascii="Times" w:hAnsi="Times"/>
        </w:rPr>
        <w:t xml:space="preserve"> для моделей в 2011-2011 гг.</w:t>
      </w:r>
    </w:p>
    <w:p w:rsidR="00B42A3F" w:rsidRDefault="00B42A3F" w:rsidP="00E06C9A">
      <w:pPr>
        <w:tabs>
          <w:tab w:val="left" w:pos="0"/>
        </w:tabs>
        <w:spacing w:before="120"/>
        <w:ind w:left="0" w:right="-8" w:firstLine="567"/>
        <w:jc w:val="both"/>
        <w:rPr>
          <w:rFonts w:ascii="Times" w:hAnsi="Times"/>
        </w:rPr>
      </w:pPr>
      <w:r>
        <w:rPr>
          <w:rFonts w:ascii="Times" w:hAnsi="Times"/>
        </w:rPr>
        <w:t xml:space="preserve">Наконец, таблица 8 показывает, что в 2014-2015 гг. модели в целом значимы и одновременно несколько индивидуальных </w:t>
      </w:r>
      <w:r>
        <w:rPr>
          <w:rFonts w:ascii="Times" w:hAnsi="Times"/>
          <w:lang w:val="en-US"/>
        </w:rPr>
        <w:t>t</w:t>
      </w:r>
      <w:r w:rsidRPr="0058455C">
        <w:rPr>
          <w:rFonts w:ascii="Times" w:hAnsi="Times"/>
        </w:rPr>
        <w:t>-</w:t>
      </w:r>
      <w:r>
        <w:rPr>
          <w:rFonts w:ascii="Times" w:hAnsi="Times"/>
        </w:rPr>
        <w:t xml:space="preserve">статистик </w:t>
      </w:r>
      <w:r>
        <w:rPr>
          <w:rFonts w:ascii="Times" w:hAnsi="Times"/>
          <w:lang w:val="en-US"/>
        </w:rPr>
        <w:t>Newey</w:t>
      </w:r>
      <w:r w:rsidRPr="0058455C">
        <w:rPr>
          <w:rFonts w:ascii="Times" w:hAnsi="Times"/>
        </w:rPr>
        <w:t>-</w:t>
      </w:r>
      <w:r>
        <w:rPr>
          <w:rFonts w:ascii="Times" w:hAnsi="Times"/>
          <w:lang w:val="en-US"/>
        </w:rPr>
        <w:t>West</w:t>
      </w:r>
      <w:r w:rsidRPr="0058455C">
        <w:rPr>
          <w:rFonts w:ascii="Times" w:hAnsi="Times"/>
        </w:rPr>
        <w:t xml:space="preserve"> </w:t>
      </w:r>
      <w:r>
        <w:rPr>
          <w:rFonts w:ascii="Times" w:hAnsi="Times"/>
        </w:rPr>
        <w:t xml:space="preserve">показывают высокую значимость коэффициентов регрессии. Подводя итог, несмотря на то, что в 2012-2013 гг. о </w:t>
      </w:r>
      <w:r>
        <w:rPr>
          <w:rFonts w:ascii="Times" w:hAnsi="Times"/>
        </w:rPr>
        <w:lastRenderedPageBreak/>
        <w:t xml:space="preserve">кризисе не говорилось в средствах массовой информации в России, санкции были приняты в марте 2014 года, но модели в целом являются значимыми (хотя и коэффициенты регрессий относительно малы, и индивидуальные значения </w:t>
      </w:r>
      <w:r>
        <w:rPr>
          <w:rFonts w:ascii="Times" w:hAnsi="Times"/>
          <w:lang w:val="en-US"/>
        </w:rPr>
        <w:t>t</w:t>
      </w:r>
      <w:r w:rsidRPr="0058455C">
        <w:rPr>
          <w:rFonts w:ascii="Times" w:hAnsi="Times"/>
        </w:rPr>
        <w:t>-</w:t>
      </w:r>
      <w:r>
        <w:rPr>
          <w:rFonts w:ascii="Times" w:hAnsi="Times"/>
        </w:rPr>
        <w:t>статистик являются незначимыми для всех, за исключением одного, коэффициентов). Это говорит о том, что кризиса, конечно, ещё не было видно фактически, однако, модели показывают присутствие финансового заражения. Может ли это отвечать на исследовательский вопрос утвердительно и свидетельствовать о том, что в 2013 году, оценив динамику рыночных индексов, можно было «предсказать» наступление кризиса в 2014 году? Предсказать невозможно, так как данное исследование не способно ответить на такой вопрос (это является ограничением исследования и вызвано спецификой применяемого метода), однако, используя такой индикатор, руководство компании могло бы более осторожно принимать инвестиционные решения (так как в целом стратегия компании в области риск-менеджмента более всего пересекается с её инвестиционной стратегией).</w:t>
      </w:r>
    </w:p>
    <w:p w:rsidR="00B42A3F" w:rsidRDefault="00B42A3F" w:rsidP="00E06C9A">
      <w:pPr>
        <w:tabs>
          <w:tab w:val="left" w:pos="0"/>
        </w:tabs>
        <w:spacing w:before="120"/>
        <w:ind w:left="0" w:right="-8" w:firstLine="567"/>
        <w:jc w:val="both"/>
        <w:rPr>
          <w:rFonts w:ascii="Times" w:hAnsi="Times"/>
        </w:rPr>
      </w:pPr>
      <w:r>
        <w:rPr>
          <w:rFonts w:ascii="Times" w:hAnsi="Times"/>
        </w:rPr>
        <w:t xml:space="preserve">Сосредоточившись далее на корпоративном рынке облигаций, Таблица 1 Приложения 2 показывает, что присутствует причинность по Гренджеру и коэффициенты с высокой значимостью в уравнениях </w:t>
      </w:r>
      <w:r>
        <w:rPr>
          <w:rFonts w:ascii="Times" w:hAnsi="Times"/>
          <w:lang w:val="en-US"/>
        </w:rPr>
        <w:t>VAR</w:t>
      </w:r>
      <w:r>
        <w:rPr>
          <w:rFonts w:ascii="Times" w:hAnsi="Times"/>
        </w:rPr>
        <w:t xml:space="preserve"> в периоде 2010-2011 гг. Также в течение периода 2012-2013 гг. доходности индексов облигаций нефтегазовых компаний являлись причиной по Гренджеру для доходностей индекса корпоративных облигаций ММВБ, однако, во втором периоде наблюдается гораздо меньше значимых индивидуальных </w:t>
      </w:r>
      <w:r>
        <w:rPr>
          <w:rFonts w:ascii="Times" w:hAnsi="Times"/>
          <w:lang w:val="en-US"/>
        </w:rPr>
        <w:t>t</w:t>
      </w:r>
      <w:r w:rsidRPr="0058455C">
        <w:rPr>
          <w:rFonts w:ascii="Times" w:hAnsi="Times"/>
        </w:rPr>
        <w:t>-</w:t>
      </w:r>
      <w:r>
        <w:rPr>
          <w:rFonts w:ascii="Times" w:hAnsi="Times"/>
        </w:rPr>
        <w:t xml:space="preserve">статистик </w:t>
      </w:r>
      <w:r>
        <w:rPr>
          <w:rFonts w:ascii="Times" w:hAnsi="Times"/>
          <w:lang w:val="en-US"/>
        </w:rPr>
        <w:t>Newey</w:t>
      </w:r>
      <w:r w:rsidRPr="0058455C">
        <w:rPr>
          <w:rFonts w:ascii="Times" w:hAnsi="Times"/>
        </w:rPr>
        <w:t>-</w:t>
      </w:r>
      <w:r>
        <w:rPr>
          <w:rFonts w:ascii="Times" w:hAnsi="Times"/>
          <w:lang w:val="en-US"/>
        </w:rPr>
        <w:t>West</w:t>
      </w:r>
      <w:r w:rsidRPr="0058455C">
        <w:rPr>
          <w:rFonts w:ascii="Times" w:hAnsi="Times"/>
        </w:rPr>
        <w:t xml:space="preserve">, чем в 2010-2011 гг. Большая часть значимых коэффициентов в моделях </w:t>
      </w:r>
      <w:r>
        <w:rPr>
          <w:rFonts w:ascii="Times" w:hAnsi="Times"/>
          <w:lang w:val="en-US"/>
        </w:rPr>
        <w:t>VAR</w:t>
      </w:r>
      <w:r w:rsidRPr="0058455C">
        <w:rPr>
          <w:rFonts w:ascii="Times" w:hAnsi="Times"/>
        </w:rPr>
        <w:t xml:space="preserve"> </w:t>
      </w:r>
      <w:r>
        <w:rPr>
          <w:rFonts w:ascii="Times" w:hAnsi="Times"/>
        </w:rPr>
        <w:t xml:space="preserve">положительны по знаку, что значит, что снижение доходности индексов облигаций компаний совпадало преимущественно с понижением доходности индекса корпоративных облигаций. В течение периода 2014-2015 гг. модели взаимосвязи доходности индекса корпоративных облигаций и доходностей индексов нефтегазовых компаний по-прежнему значимы (однако, как и в случае с </w:t>
      </w:r>
      <w:r>
        <w:rPr>
          <w:rFonts w:ascii="Times" w:hAnsi="Times"/>
          <w:lang w:val="en-US"/>
        </w:rPr>
        <w:t>VAR</w:t>
      </w:r>
      <w:r w:rsidRPr="0058455C">
        <w:rPr>
          <w:rFonts w:ascii="Times" w:hAnsi="Times"/>
        </w:rPr>
        <w:t xml:space="preserve"> </w:t>
      </w:r>
      <w:r>
        <w:rPr>
          <w:rFonts w:ascii="Times" w:hAnsi="Times"/>
        </w:rPr>
        <w:t xml:space="preserve">для государственных облигаций, наименьшие значения </w:t>
      </w:r>
      <w:r>
        <w:rPr>
          <w:rFonts w:ascii="Times" w:hAnsi="Times"/>
          <w:lang w:val="en-US"/>
        </w:rPr>
        <w:t>p</w:t>
      </w:r>
      <w:r w:rsidRPr="0058455C">
        <w:rPr>
          <w:rFonts w:ascii="Times" w:hAnsi="Times"/>
        </w:rPr>
        <w:t>-</w:t>
      </w:r>
      <w:r>
        <w:rPr>
          <w:rFonts w:ascii="Times" w:hAnsi="Times"/>
          <w:lang w:val="en-US"/>
        </w:rPr>
        <w:t>value</w:t>
      </w:r>
      <w:r w:rsidRPr="0058455C">
        <w:rPr>
          <w:rFonts w:ascii="Times" w:hAnsi="Times"/>
        </w:rPr>
        <w:t xml:space="preserve"> </w:t>
      </w:r>
      <w:r>
        <w:rPr>
          <w:rFonts w:ascii="Times" w:hAnsi="Times"/>
        </w:rPr>
        <w:t xml:space="preserve">для </w:t>
      </w:r>
      <w:r>
        <w:rPr>
          <w:rFonts w:ascii="Times" w:hAnsi="Times"/>
          <w:lang w:val="en-US"/>
        </w:rPr>
        <w:t>F</w:t>
      </w:r>
      <w:r w:rsidRPr="0058455C">
        <w:rPr>
          <w:rFonts w:ascii="Times" w:hAnsi="Times"/>
        </w:rPr>
        <w:t>-</w:t>
      </w:r>
      <w:r>
        <w:rPr>
          <w:rFonts w:ascii="Times" w:hAnsi="Times"/>
        </w:rPr>
        <w:t>статистики и, соответственно, наибольший уровень значимости, имеют модели для периода 2012-2013 гг.). То есть, индикатор финансового заражения в экономике показывает наличие определённой степени эффекта финансового заражения в период, который не считался кризисным (2012-2013 гг.) в российской экономике.</w:t>
      </w:r>
    </w:p>
    <w:p w:rsidR="00B42A3F" w:rsidRDefault="00B42A3F" w:rsidP="00E06C9A">
      <w:pPr>
        <w:tabs>
          <w:tab w:val="left" w:pos="0"/>
        </w:tabs>
        <w:spacing w:before="120"/>
        <w:ind w:left="0" w:right="-8" w:firstLine="567"/>
        <w:jc w:val="both"/>
        <w:rPr>
          <w:rFonts w:ascii="Times" w:hAnsi="Times"/>
        </w:rPr>
      </w:pPr>
      <w:r>
        <w:rPr>
          <w:rFonts w:ascii="Times" w:hAnsi="Times"/>
        </w:rPr>
        <w:t xml:space="preserve">Переходя к результатам для модели </w:t>
      </w:r>
      <w:r>
        <w:rPr>
          <w:rFonts w:ascii="Times" w:hAnsi="Times"/>
          <w:lang w:val="en-US"/>
        </w:rPr>
        <w:t>VAR</w:t>
      </w:r>
      <w:r w:rsidRPr="0058455C">
        <w:rPr>
          <w:rFonts w:ascii="Times" w:hAnsi="Times"/>
        </w:rPr>
        <w:t xml:space="preserve"> </w:t>
      </w:r>
      <w:r>
        <w:rPr>
          <w:rFonts w:ascii="Times" w:hAnsi="Times"/>
        </w:rPr>
        <w:t xml:space="preserve">для доходностей индекса акций нефтегазовых компаний ММВБ, Таблица 1 Приложения 2 показывает, что только одна модель из пяти была значима в периоде 2010-2011 гг. (с кредитным рейтингом компании </w:t>
      </w:r>
      <w:r>
        <w:rPr>
          <w:rFonts w:ascii="Times" w:hAnsi="Times"/>
          <w:lang w:val="en-US"/>
        </w:rPr>
        <w:t>BBB</w:t>
      </w:r>
      <w:r w:rsidRPr="0058455C">
        <w:rPr>
          <w:rFonts w:ascii="Times" w:hAnsi="Times"/>
        </w:rPr>
        <w:t>-</w:t>
      </w:r>
      <w:r>
        <w:rPr>
          <w:rFonts w:ascii="Times" w:hAnsi="Times"/>
        </w:rPr>
        <w:t>). В периоде 2012-2013 гг. также была значима единственная модель (с кредитным рейтингом компании А- и уровнем значимости 5</w:t>
      </w:r>
      <w:r w:rsidRPr="0058455C">
        <w:rPr>
          <w:rFonts w:ascii="Times" w:hAnsi="Times"/>
        </w:rPr>
        <w:t>%</w:t>
      </w:r>
      <w:r>
        <w:rPr>
          <w:rFonts w:ascii="Times" w:hAnsi="Times"/>
        </w:rPr>
        <w:t>). Значимые на 10</w:t>
      </w:r>
      <w:r w:rsidRPr="0058455C">
        <w:rPr>
          <w:rFonts w:ascii="Times" w:hAnsi="Times"/>
        </w:rPr>
        <w:t>%-</w:t>
      </w:r>
      <w:r>
        <w:rPr>
          <w:rFonts w:ascii="Times" w:hAnsi="Times"/>
        </w:rPr>
        <w:t>ом уровне коэффициенты имеют положительные знаки, говоря о том, что отрицательный шок в доходности индексов облигаций нефтегазовых компаний совпадает обычно с отрицательным шоком в доходности индекса акций нефтегазовых компаний ММВБ). Достаточно странно, что в моделях с индексом нефтегазовых компаний ММВБ наблюдается гораздо более низкая значимость, так как практически все из рассмотренных в исследовании компаний входят в базу расчёта индекса акций нефтегазовых компаний ММВБ</w:t>
      </w:r>
      <w:r w:rsidRPr="00A140DC">
        <w:rPr>
          <w:rStyle w:val="af"/>
        </w:rPr>
        <w:footnoteReference w:id="20"/>
      </w:r>
      <w:r>
        <w:rPr>
          <w:rFonts w:ascii="Times" w:hAnsi="Times"/>
        </w:rPr>
        <w:t xml:space="preserve"> (за исключением Башнефти). Пока результаты расчёта моделей показывают, что кризис распространился (если верить гипотезе о том, что кризис пришёл на российский рынок через падение курса нефти) от рынка облигаций нефтегазовых компаний на рынок государственных и корпоративных облигаций, но не на рынок акций нефтегазовых компаний. </w:t>
      </w:r>
      <w:r>
        <w:rPr>
          <w:rFonts w:ascii="Times" w:hAnsi="Times"/>
        </w:rPr>
        <w:lastRenderedPageBreak/>
        <w:t xml:space="preserve">Рынок акций в теории считается более большим по объёму и более ликвидным рынком, чем рынок облигаций. Получается, что кризис распространился с рынка корпоративных облигаций нефтегазовых компаний на рынок государственных и корпоративных облигаций в целом, но не на рынок акций нефтегазовых компаний. С одной стороны, следует задать вопрос, почему в качестве независимых переменных использовались не курсы акций, а курсы облигаций нефтегазовых компаний? Курс акций компании показывает рыночную стоимость её активов (собственный капитал), а курс облигаций компании показывает рыночную стоимость её заимствований (заёмный капитал). Акции более подвержены спекуляциям, чем облигации (в которые инвестируют преимущественно более консервативные инвесторы, чем инвесторы, вкладывающие в акции). Поэтому облигации представляются более «достоверным» индикатором кризисности экономики, чем акции (они менее волатильны). Это одна из причин выбора именно облигаций компаний в качестве независимых переменных. Вторая причина заключается в том, что используемая в исследовании методология позаимоствована у </w:t>
      </w:r>
      <w:r>
        <w:rPr>
          <w:rFonts w:ascii="Times" w:hAnsi="Times"/>
          <w:lang w:val="en-US"/>
        </w:rPr>
        <w:t>F</w:t>
      </w:r>
      <w:r w:rsidRPr="0058455C">
        <w:rPr>
          <w:rFonts w:ascii="Times" w:hAnsi="Times"/>
        </w:rPr>
        <w:t>.</w:t>
      </w:r>
      <w:r>
        <w:rPr>
          <w:rFonts w:ascii="Times" w:hAnsi="Times"/>
          <w:lang w:val="en-US"/>
        </w:rPr>
        <w:t>A</w:t>
      </w:r>
      <w:r w:rsidRPr="0058455C">
        <w:rPr>
          <w:rFonts w:ascii="Times" w:hAnsi="Times"/>
        </w:rPr>
        <w:t xml:space="preserve">. </w:t>
      </w:r>
      <w:r>
        <w:rPr>
          <w:rFonts w:ascii="Times" w:hAnsi="Times"/>
          <w:lang w:val="en-US"/>
        </w:rPr>
        <w:t>Longstaff</w:t>
      </w:r>
      <w:r>
        <w:rPr>
          <w:rFonts w:ascii="Times" w:hAnsi="Times"/>
        </w:rPr>
        <w:t>, который использовал доходность индексов облигаций.</w:t>
      </w:r>
    </w:p>
    <w:p w:rsidR="00B42A3F" w:rsidRDefault="00B42A3F" w:rsidP="00E06C9A">
      <w:pPr>
        <w:tabs>
          <w:tab w:val="left" w:pos="0"/>
        </w:tabs>
        <w:spacing w:before="120"/>
        <w:ind w:left="0" w:right="-8" w:firstLine="567"/>
        <w:jc w:val="both"/>
        <w:rPr>
          <w:rFonts w:ascii="Times" w:hAnsi="Times"/>
        </w:rPr>
      </w:pPr>
      <w:r>
        <w:rPr>
          <w:rFonts w:ascii="Times" w:hAnsi="Times"/>
        </w:rPr>
        <w:t xml:space="preserve">Результаты оценки </w:t>
      </w:r>
      <w:r>
        <w:rPr>
          <w:rFonts w:ascii="Times" w:hAnsi="Times"/>
          <w:lang w:val="en-US"/>
        </w:rPr>
        <w:t>VAR</w:t>
      </w:r>
      <w:r w:rsidRPr="0058455C">
        <w:rPr>
          <w:rFonts w:ascii="Times" w:hAnsi="Times"/>
        </w:rPr>
        <w:t xml:space="preserve"> </w:t>
      </w:r>
      <w:r>
        <w:rPr>
          <w:rFonts w:ascii="Times" w:hAnsi="Times"/>
        </w:rPr>
        <w:t xml:space="preserve">для доходности индекса акций нефтегазовых компаний также показывают, что отсутствует или очень слаба взаимосвязь между доходностями индексов облигаций нефтегазовых компаний и доходностью индекса акций нефтегазовых компаний. </w:t>
      </w:r>
      <w:r>
        <w:rPr>
          <w:rFonts w:ascii="Times" w:hAnsi="Times"/>
          <w:lang w:val="en-US"/>
        </w:rPr>
        <w:t>R</w:t>
      </w:r>
      <w:r w:rsidRPr="0058455C">
        <w:rPr>
          <w:rFonts w:ascii="Times" w:hAnsi="Times"/>
          <w:vertAlign w:val="superscript"/>
        </w:rPr>
        <w:t xml:space="preserve">2  </w:t>
      </w:r>
      <w:r>
        <w:rPr>
          <w:rFonts w:ascii="Times" w:hAnsi="Times"/>
        </w:rPr>
        <w:t xml:space="preserve">для всех моделей </w:t>
      </w:r>
      <w:r>
        <w:rPr>
          <w:rFonts w:ascii="Times" w:hAnsi="Times"/>
          <w:lang w:val="en-US"/>
        </w:rPr>
        <w:t>VAR</w:t>
      </w:r>
      <w:r w:rsidRPr="0058455C">
        <w:rPr>
          <w:rFonts w:ascii="Times" w:hAnsi="Times"/>
        </w:rPr>
        <w:t xml:space="preserve"> </w:t>
      </w:r>
      <w:r>
        <w:rPr>
          <w:rFonts w:ascii="Times" w:hAnsi="Times"/>
        </w:rPr>
        <w:t xml:space="preserve">с доходностью индекса акций нефтегазовых компаний относительно малы. Однако, если в 2010-2011 гг. и 2012-2013 гг. хотя бы одна из пяти моделей была значима для доходностей индекса акций нефтегазовых компаний, то в 2014-2015 гг. уже все модели являются незначимыми, согласно </w:t>
      </w:r>
      <w:r>
        <w:rPr>
          <w:rFonts w:ascii="Times" w:hAnsi="Times"/>
          <w:lang w:val="en-US"/>
        </w:rPr>
        <w:t>p</w:t>
      </w:r>
      <w:r w:rsidRPr="0058455C">
        <w:rPr>
          <w:rFonts w:ascii="Times" w:hAnsi="Times"/>
        </w:rPr>
        <w:t>-</w:t>
      </w:r>
      <w:r>
        <w:rPr>
          <w:rFonts w:ascii="Times" w:hAnsi="Times"/>
          <w:lang w:val="en-US"/>
        </w:rPr>
        <w:t>value</w:t>
      </w:r>
      <w:r w:rsidRPr="0058455C">
        <w:rPr>
          <w:rFonts w:ascii="Times" w:hAnsi="Times"/>
        </w:rPr>
        <w:t xml:space="preserve"> </w:t>
      </w:r>
      <w:r>
        <w:rPr>
          <w:rFonts w:ascii="Times" w:hAnsi="Times"/>
        </w:rPr>
        <w:t xml:space="preserve">для </w:t>
      </w:r>
      <w:r>
        <w:rPr>
          <w:rFonts w:ascii="Times" w:hAnsi="Times"/>
          <w:lang w:val="en-US"/>
        </w:rPr>
        <w:t>F</w:t>
      </w:r>
      <w:r w:rsidRPr="0058455C">
        <w:rPr>
          <w:rFonts w:ascii="Times" w:hAnsi="Times"/>
        </w:rPr>
        <w:t>-</w:t>
      </w:r>
      <w:r>
        <w:rPr>
          <w:rFonts w:ascii="Times" w:hAnsi="Times"/>
        </w:rPr>
        <w:t>критерия (при этом два из коэффициентов регрессии в модели значимы на 10</w:t>
      </w:r>
      <w:r w:rsidRPr="0058455C">
        <w:rPr>
          <w:rFonts w:ascii="Times" w:hAnsi="Times"/>
        </w:rPr>
        <w:t>%</w:t>
      </w:r>
      <w:r>
        <w:rPr>
          <w:rFonts w:ascii="Times" w:hAnsi="Times"/>
        </w:rPr>
        <w:t>-ом уровне, и один из коэффициентов регрессии значим на 5</w:t>
      </w:r>
      <w:r w:rsidRPr="0058455C">
        <w:rPr>
          <w:rFonts w:ascii="Times" w:hAnsi="Times"/>
        </w:rPr>
        <w:t>%-</w:t>
      </w:r>
      <w:r>
        <w:rPr>
          <w:rFonts w:ascii="Times" w:hAnsi="Times"/>
        </w:rPr>
        <w:t>ом уровне значимости).</w:t>
      </w:r>
    </w:p>
    <w:p w:rsidR="00B42A3F" w:rsidRDefault="00B42A3F" w:rsidP="00E06C9A">
      <w:pPr>
        <w:tabs>
          <w:tab w:val="left" w:pos="0"/>
        </w:tabs>
        <w:spacing w:before="120"/>
        <w:ind w:left="0" w:right="-8" w:firstLine="567"/>
        <w:jc w:val="both"/>
        <w:rPr>
          <w:rFonts w:ascii="Times" w:hAnsi="Times"/>
        </w:rPr>
      </w:pPr>
      <w:r>
        <w:rPr>
          <w:rFonts w:ascii="Times" w:hAnsi="Times"/>
        </w:rPr>
        <w:t>Наконец, Таблица 1 Приложения 2 показывает, что результаты оценки моделей для доходности фьючерсов на нефть свидетельствуют о значимости модели в период кризиса 2014-2015 гг., модель в 2012-2013 годах была значима только для отдельных облигаций нефтегазовых компаний, а в 2010-2011 годах модель была незначима для всех облигаций нефтегазовых компаний. Отрицательные знаки для всех значимых коэффициентов регрессии в периоде 2012-2013 гг. свидетельствуют о том, что доходность фьючерсов на нефть возрастает в случае отрицательной динамики доходности индексов облигаций нефтегазовых компаний. Это можно объяснить тем, что цены фьючерсов на нефть на российском рынке отражают «опасения» инвесторов; негативные финансовые новости часто совпадают с ростом волатильности на рынках, которая сказывается на доходности фьючерсов на нефть.</w:t>
      </w:r>
    </w:p>
    <w:p w:rsidR="00B42A3F" w:rsidRPr="001E36B1" w:rsidRDefault="00B42A3F" w:rsidP="00E06C9A">
      <w:pPr>
        <w:tabs>
          <w:tab w:val="left" w:pos="0"/>
        </w:tabs>
        <w:spacing w:before="120"/>
        <w:ind w:left="0" w:right="-8" w:firstLine="567"/>
        <w:jc w:val="both"/>
        <w:rPr>
          <w:rFonts w:ascii="Times" w:hAnsi="Times"/>
        </w:rPr>
      </w:pPr>
      <w:r>
        <w:rPr>
          <w:rFonts w:ascii="Times" w:hAnsi="Times"/>
        </w:rPr>
        <w:t xml:space="preserve">На основе анализа всех моделей можно сделать вывод, что для оценки индикатора кризиса (который является значимостью модели в целом и индивидуальной значимостью коэффициентов регрессии в модели) подходят в качестве зависимых переменных доходность индекса государственных облигаций и доходность фьючерсов на нефть </w:t>
      </w:r>
      <w:r>
        <w:rPr>
          <w:rFonts w:ascii="Times" w:hAnsi="Times"/>
          <w:lang w:val="en-US"/>
        </w:rPr>
        <w:t>Brent</w:t>
      </w:r>
      <w:r>
        <w:rPr>
          <w:rFonts w:ascii="Times" w:hAnsi="Times"/>
        </w:rPr>
        <w:t xml:space="preserve">. При этом модели с зависимыми переменными – доходностью индекса корпоративных облигаций и доходностью индекса акций нефтегазовых компаний – не показывают способности быть использованными для определения степени финансового заражения экономики. Модель с зависимой переменной – доходностью индекса корпоративных облигаций – показывает наибольшую значимость в периоде восстановления после кризиса 2008-2009 годов (в данном исследовании: 2010-2011 гг. период), что может указывать на то, что взаимосвязь между доходностями индексов корпоративных облигаций и облигаций нефтегазовых компаний (по отдельности) оценивает степень финансового заражения на послекризисном периоде. Такая модель также имеет смысл с точки зрения анализа степени финансового заражения в экономике, однако, в качестве </w:t>
      </w:r>
      <w:r>
        <w:rPr>
          <w:rFonts w:ascii="Times" w:hAnsi="Times"/>
        </w:rPr>
        <w:lastRenderedPageBreak/>
        <w:t>индикатора кризиса, позволяющего увидеть наступление опасности заранее (с целью принятия управленческих решений по корректировке инвестиционной стратегии компании) она неприемлема.</w:t>
      </w:r>
    </w:p>
    <w:p w:rsidR="00B42A3F" w:rsidRPr="008531A9" w:rsidRDefault="00B42A3F" w:rsidP="00E06C9A">
      <w:pPr>
        <w:tabs>
          <w:tab w:val="left" w:pos="0"/>
        </w:tabs>
        <w:spacing w:before="120"/>
        <w:ind w:left="0" w:right="-8" w:firstLine="567"/>
        <w:jc w:val="center"/>
        <w:rPr>
          <w:rFonts w:ascii="Times" w:hAnsi="Times"/>
          <w:b/>
        </w:rPr>
      </w:pPr>
      <w:r w:rsidRPr="008531A9">
        <w:rPr>
          <w:rFonts w:ascii="Times" w:hAnsi="Times"/>
          <w:b/>
        </w:rPr>
        <w:t>Обсуждение</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Результаты исследования показывают, что в течение рассматриваемого периода присутствовали сопутствующие эффекты (</w:t>
      </w:r>
      <w:r>
        <w:rPr>
          <w:rFonts w:ascii="Times" w:hAnsi="Times"/>
          <w:lang w:val="en-US"/>
        </w:rPr>
        <w:t>spillover</w:t>
      </w:r>
      <w:r w:rsidRPr="0058455C">
        <w:rPr>
          <w:rFonts w:ascii="Times" w:hAnsi="Times"/>
        </w:rPr>
        <w:t xml:space="preserve"> </w:t>
      </w:r>
      <w:r>
        <w:rPr>
          <w:rFonts w:ascii="Times" w:hAnsi="Times"/>
          <w:lang w:val="en-US"/>
        </w:rPr>
        <w:t>effects</w:t>
      </w:r>
      <w:r w:rsidRPr="0058455C">
        <w:rPr>
          <w:rFonts w:ascii="Times" w:hAnsi="Times"/>
        </w:rPr>
        <w:t>). Взаимосвязи между рынками стали значительно сильнее и значительнее во время кризисного периода, что соответствует традиционному определению финансового заражения. Это равносильно тому, что доходности индексов нефтегазовах компаний способны быть причиной по Гренджеру для доходностей индекса государственных облигаций.</w:t>
      </w:r>
    </w:p>
    <w:p w:rsidR="00B42A3F" w:rsidRDefault="00B42A3F" w:rsidP="00E06C9A">
      <w:pPr>
        <w:tabs>
          <w:tab w:val="left" w:pos="0"/>
        </w:tabs>
        <w:spacing w:before="120"/>
        <w:ind w:left="0" w:right="-8" w:firstLine="567"/>
        <w:jc w:val="both"/>
        <w:rPr>
          <w:rFonts w:ascii="Times" w:hAnsi="Times"/>
        </w:rPr>
      </w:pPr>
      <w:r w:rsidRPr="0058455C">
        <w:rPr>
          <w:rFonts w:ascii="Times" w:hAnsi="Times"/>
        </w:rPr>
        <w:t>Эти результаты дополняют теорию механизма заражения на финансовых рынках. В теории финансового заражения выделяются как минимум три возможных канала, посредством которых заражение на финансовых ранках может распространяться: информационный (</w:t>
      </w:r>
      <w:r>
        <w:rPr>
          <w:rFonts w:ascii="Times" w:hAnsi="Times"/>
          <w:lang w:val="en-US"/>
        </w:rPr>
        <w:t>the</w:t>
      </w:r>
      <w:r w:rsidRPr="0058455C">
        <w:rPr>
          <w:rFonts w:ascii="Times" w:hAnsi="Times"/>
        </w:rPr>
        <w:t xml:space="preserve"> </w:t>
      </w:r>
      <w:r>
        <w:rPr>
          <w:rFonts w:ascii="Times" w:hAnsi="Times"/>
          <w:lang w:val="en-US"/>
        </w:rPr>
        <w:t>correlated</w:t>
      </w:r>
      <w:r w:rsidRPr="0058455C">
        <w:rPr>
          <w:rFonts w:ascii="Times" w:hAnsi="Times"/>
        </w:rPr>
        <w:t>-</w:t>
      </w:r>
      <w:r>
        <w:rPr>
          <w:rFonts w:ascii="Times" w:hAnsi="Times"/>
          <w:lang w:val="en-US"/>
        </w:rPr>
        <w:t>information</w:t>
      </w:r>
      <w:r w:rsidRPr="0058455C">
        <w:rPr>
          <w:rFonts w:ascii="Times" w:hAnsi="Times"/>
        </w:rPr>
        <w:t xml:space="preserve"> </w:t>
      </w:r>
      <w:r>
        <w:rPr>
          <w:rFonts w:ascii="Times" w:hAnsi="Times"/>
          <w:lang w:val="en-US"/>
        </w:rPr>
        <w:t>channel</w:t>
      </w:r>
      <w:r>
        <w:rPr>
          <w:rFonts w:ascii="Times" w:hAnsi="Times"/>
        </w:rPr>
        <w:t xml:space="preserve">), ликвидный </w:t>
      </w:r>
      <w:r w:rsidRPr="0058455C">
        <w:rPr>
          <w:rFonts w:ascii="Times" w:hAnsi="Times"/>
        </w:rPr>
        <w:t>(</w:t>
      </w:r>
      <w:r>
        <w:rPr>
          <w:rFonts w:ascii="Times" w:hAnsi="Times"/>
          <w:lang w:val="en-US"/>
        </w:rPr>
        <w:t>the</w:t>
      </w:r>
      <w:r w:rsidRPr="0058455C">
        <w:rPr>
          <w:rFonts w:ascii="Times" w:hAnsi="Times"/>
        </w:rPr>
        <w:t xml:space="preserve"> </w:t>
      </w:r>
      <w:r>
        <w:rPr>
          <w:rFonts w:ascii="Times" w:hAnsi="Times"/>
          <w:lang w:val="en-US"/>
        </w:rPr>
        <w:t>liquidity</w:t>
      </w:r>
      <w:r w:rsidRPr="0058455C">
        <w:rPr>
          <w:rFonts w:ascii="Times" w:hAnsi="Times"/>
        </w:rPr>
        <w:t xml:space="preserve"> </w:t>
      </w:r>
      <w:r>
        <w:rPr>
          <w:rFonts w:ascii="Times" w:hAnsi="Times"/>
          <w:lang w:val="en-US"/>
        </w:rPr>
        <w:t>channel</w:t>
      </w:r>
      <w:r w:rsidRPr="0058455C">
        <w:rPr>
          <w:rFonts w:ascii="Times" w:hAnsi="Times"/>
        </w:rPr>
        <w:t>)</w:t>
      </w:r>
      <w:r>
        <w:rPr>
          <w:rFonts w:ascii="Times" w:hAnsi="Times"/>
        </w:rPr>
        <w:t xml:space="preserve"> и финансовый </w:t>
      </w:r>
      <w:r w:rsidRPr="0058455C">
        <w:rPr>
          <w:rFonts w:ascii="Times" w:hAnsi="Times"/>
        </w:rPr>
        <w:t>(</w:t>
      </w:r>
      <w:r>
        <w:rPr>
          <w:rFonts w:ascii="Times" w:hAnsi="Times"/>
          <w:lang w:val="en-US"/>
        </w:rPr>
        <w:t>the</w:t>
      </w:r>
      <w:r w:rsidRPr="0058455C">
        <w:rPr>
          <w:rFonts w:ascii="Times" w:hAnsi="Times"/>
        </w:rPr>
        <w:t xml:space="preserve"> </w:t>
      </w:r>
      <w:r>
        <w:rPr>
          <w:rFonts w:ascii="Times" w:hAnsi="Times"/>
          <w:lang w:val="en-US"/>
        </w:rPr>
        <w:t>risk</w:t>
      </w:r>
      <w:r w:rsidRPr="0058455C">
        <w:rPr>
          <w:rFonts w:ascii="Times" w:hAnsi="Times"/>
        </w:rPr>
        <w:t>-</w:t>
      </w:r>
      <w:r>
        <w:rPr>
          <w:rFonts w:ascii="Times" w:hAnsi="Times"/>
          <w:lang w:val="en-US"/>
        </w:rPr>
        <w:t>premium</w:t>
      </w:r>
      <w:r w:rsidRPr="0058455C">
        <w:rPr>
          <w:rFonts w:ascii="Times" w:hAnsi="Times"/>
        </w:rPr>
        <w:t xml:space="preserve"> </w:t>
      </w:r>
      <w:r>
        <w:rPr>
          <w:rFonts w:ascii="Times" w:hAnsi="Times"/>
          <w:lang w:val="en-US"/>
        </w:rPr>
        <w:t>channel</w:t>
      </w:r>
      <w:r>
        <w:rPr>
          <w:rFonts w:ascii="Times" w:hAnsi="Times"/>
        </w:rPr>
        <w:t>) каналы.</w:t>
      </w:r>
    </w:p>
    <w:p w:rsidR="00B42A3F" w:rsidRDefault="00B42A3F" w:rsidP="00E06C9A">
      <w:pPr>
        <w:tabs>
          <w:tab w:val="left" w:pos="0"/>
        </w:tabs>
        <w:spacing w:before="120"/>
        <w:ind w:left="0" w:right="-8" w:firstLine="567"/>
        <w:jc w:val="both"/>
        <w:rPr>
          <w:rFonts w:ascii="Times" w:hAnsi="Times"/>
        </w:rPr>
      </w:pPr>
      <w:r>
        <w:rPr>
          <w:rFonts w:ascii="Times" w:hAnsi="Times"/>
        </w:rPr>
        <w:t>Доказательство того, что динамика индексов облигаций нефтегазовых компаний взаимосвязана с несколькими лагами с показателями больших по объёму и имеющих большую ликвидность рынков во время кризиса (являлась причиной по Гренджеру для этих показателей) возражает против информационного канала распространения кризиса на российском рынке в периоде 2010-2015 гг. Возможно, причиной этого является то, что для подтверждения действия информационного канала распространения финансового заражения необходимо, чтобы соответствующая информация с рынка облигаций нефтегазовых компаний очень быстро переместилась на рынки акций и государственных облигаций. Следовательно, можно бы было ожидать, что существовала бы практически одновременная взаимосвязь между динамикой индексов облигаций нефтегазовых компаний и другими финансовыми рынками, если бы финансовое заражение распространялось посредством информационного канала.</w:t>
      </w:r>
    </w:p>
    <w:p w:rsidR="00B42A3F" w:rsidRDefault="00B42A3F" w:rsidP="00E06C9A">
      <w:pPr>
        <w:tabs>
          <w:tab w:val="left" w:pos="0"/>
        </w:tabs>
        <w:spacing w:before="120"/>
        <w:ind w:left="0" w:right="-8" w:firstLine="567"/>
        <w:jc w:val="both"/>
        <w:rPr>
          <w:rFonts w:ascii="Times" w:hAnsi="Times"/>
        </w:rPr>
      </w:pPr>
      <w:r>
        <w:rPr>
          <w:rFonts w:ascii="Times" w:hAnsi="Times"/>
        </w:rPr>
        <w:t>Отклоняя гипотезу о распространении финансового заражения на российском рынке путём информационного канала в 2010-2015 годах, необходимо рассмотреть гипотезы о распространении финансового заражения посредством ликвидного и финансового каналов. Для этого требуется рассмотреть более глубоко взаимосвязи между доходностью индексов облигаций нефтегазовых компаний и торговыми, ликвидными и финансовыми механизмами на других рынках, которые возникали в рассматриваемый период.</w:t>
      </w:r>
    </w:p>
    <w:p w:rsidR="00B42A3F" w:rsidRPr="00F16E66" w:rsidRDefault="00B42A3F" w:rsidP="00E06C9A">
      <w:pPr>
        <w:tabs>
          <w:tab w:val="left" w:pos="0"/>
        </w:tabs>
        <w:spacing w:before="120"/>
        <w:ind w:left="0" w:right="-8" w:firstLine="567"/>
        <w:jc w:val="center"/>
        <w:rPr>
          <w:rFonts w:ascii="Times" w:hAnsi="Times"/>
          <w:b/>
        </w:rPr>
      </w:pPr>
      <w:r w:rsidRPr="00F16E66">
        <w:rPr>
          <w:rFonts w:ascii="Times" w:hAnsi="Times"/>
          <w:b/>
        </w:rPr>
        <w:t>Ликвидный канал распространения финансового заражения</w:t>
      </w:r>
    </w:p>
    <w:p w:rsidR="00B42A3F" w:rsidRDefault="00B42A3F" w:rsidP="00E06C9A">
      <w:pPr>
        <w:tabs>
          <w:tab w:val="left" w:pos="0"/>
        </w:tabs>
        <w:spacing w:before="120"/>
        <w:ind w:left="0" w:right="-8" w:firstLine="567"/>
        <w:jc w:val="both"/>
        <w:rPr>
          <w:rFonts w:ascii="Times" w:hAnsi="Times"/>
        </w:rPr>
      </w:pPr>
      <w:r w:rsidRPr="0058455C">
        <w:rPr>
          <w:rFonts w:ascii="Times" w:hAnsi="Times"/>
        </w:rPr>
        <w:t xml:space="preserve">Для изучения эффектов кризиса на рыночную ликвидность использовалась модель </w:t>
      </w:r>
      <w:r>
        <w:rPr>
          <w:rFonts w:ascii="Times" w:hAnsi="Times"/>
          <w:lang w:val="en-US"/>
        </w:rPr>
        <w:t>VAR</w:t>
      </w:r>
      <w:r>
        <w:rPr>
          <w:rFonts w:ascii="Times" w:hAnsi="Times"/>
        </w:rPr>
        <w:t>, представленная выше. Вместо использования доходности активов или индексов в качестве зависимых переменных, в данной секции используются ряд мер, которые отражают изменения в торговых процессах и ликвидность финансовых рынков.</w:t>
      </w:r>
    </w:p>
    <w:p w:rsidR="00B42A3F" w:rsidRDefault="00B42A3F" w:rsidP="00E06C9A">
      <w:pPr>
        <w:tabs>
          <w:tab w:val="left" w:pos="0"/>
        </w:tabs>
        <w:spacing w:before="120"/>
        <w:ind w:left="0" w:right="-8" w:firstLine="567"/>
        <w:jc w:val="both"/>
        <w:rPr>
          <w:rFonts w:ascii="Times" w:hAnsi="Times"/>
        </w:rPr>
      </w:pPr>
      <w:r>
        <w:rPr>
          <w:rFonts w:ascii="Times" w:hAnsi="Times"/>
        </w:rPr>
        <w:t xml:space="preserve">Вначале для того, чтобы ответить на вопрос, взаимосвязан ли кризис на российском рынке с изменениями в торговых стратегиях на рынках капитала, использовался прирост объёма торгов фьючерсами на нефть марки Brent на российском фондовом рынке. </w:t>
      </w:r>
    </w:p>
    <w:p w:rsidR="00B42A3F" w:rsidRPr="0058455C" w:rsidRDefault="00B42A3F" w:rsidP="00E06C9A">
      <w:pPr>
        <w:tabs>
          <w:tab w:val="left" w:pos="0"/>
        </w:tabs>
        <w:spacing w:before="120"/>
        <w:ind w:left="0" w:right="-8" w:firstLine="567"/>
        <w:jc w:val="both"/>
        <w:rPr>
          <w:rFonts w:ascii="Times" w:hAnsi="Times"/>
        </w:rPr>
      </w:pPr>
      <w:r>
        <w:rPr>
          <w:rFonts w:ascii="Times" w:hAnsi="Times"/>
        </w:rPr>
        <w:t xml:space="preserve">Далее, как одна из мер деловой активности и ликвидности на рынках использовалась сумма открытых позиций на фьючерс на нефть марки </w:t>
      </w:r>
      <w:r>
        <w:rPr>
          <w:rFonts w:ascii="Times" w:hAnsi="Times"/>
          <w:lang w:val="en-US"/>
        </w:rPr>
        <w:t>Brent</w:t>
      </w:r>
      <w:r w:rsidRPr="0058455C">
        <w:rPr>
          <w:rFonts w:ascii="Times" w:hAnsi="Times"/>
        </w:rPr>
        <w:t xml:space="preserve"> </w:t>
      </w:r>
      <w:r>
        <w:rPr>
          <w:rFonts w:ascii="Times" w:hAnsi="Times"/>
        </w:rPr>
        <w:t xml:space="preserve">на Московской фондовой бирже, который традиционно является индикатором ликвидности фондового рынка. Сумма открытых </w:t>
      </w:r>
      <w:r>
        <w:rPr>
          <w:rFonts w:ascii="Times" w:hAnsi="Times"/>
        </w:rPr>
        <w:lastRenderedPageBreak/>
        <w:t xml:space="preserve">позиций на конец дня показывает количество контрактов, по которым не был </w:t>
      </w:r>
      <w:r w:rsidRPr="0058455C">
        <w:rPr>
          <w:rFonts w:ascii="Times" w:hAnsi="Times"/>
        </w:rPr>
        <w:t>произведён расчёт. Так как для покупки ценной бумаги требуются денежные средства, то возрастание количества незакрытых контрактов может быть вызвано нехваткой требуемых денежных средств. Это подразумевает, что количество открытых контрактов на конец дня может представлять собой меру ликвидности данного контракта на рынке фьючерсов на нефть.</w:t>
      </w:r>
    </w:p>
    <w:p w:rsidR="00B42A3F" w:rsidRPr="00246176" w:rsidRDefault="00B42A3F" w:rsidP="00E06C9A">
      <w:pPr>
        <w:tabs>
          <w:tab w:val="left" w:pos="0"/>
        </w:tabs>
        <w:spacing w:before="120"/>
        <w:ind w:left="0" w:right="-8" w:firstLine="567"/>
        <w:jc w:val="both"/>
        <w:rPr>
          <w:rFonts w:ascii="Times" w:hAnsi="Times"/>
          <w:u w:val="single"/>
        </w:rPr>
      </w:pPr>
      <w:r w:rsidRPr="00246176">
        <w:rPr>
          <w:rFonts w:ascii="Times" w:hAnsi="Times"/>
          <w:u w:val="single"/>
        </w:rPr>
        <w:t>Объёмы торгов фьючерсами на нефть на российском финансовом рынке</w:t>
      </w:r>
    </w:p>
    <w:p w:rsidR="00B42A3F" w:rsidRDefault="00B42A3F" w:rsidP="00E06C9A">
      <w:pPr>
        <w:tabs>
          <w:tab w:val="left" w:pos="0"/>
        </w:tabs>
        <w:spacing w:before="120"/>
        <w:ind w:left="0" w:right="-8" w:firstLine="567"/>
        <w:jc w:val="both"/>
        <w:rPr>
          <w:rFonts w:ascii="Times" w:hAnsi="Times"/>
        </w:rPr>
      </w:pPr>
      <w:r>
        <w:rPr>
          <w:rFonts w:ascii="Times" w:hAnsi="Times"/>
        </w:rPr>
        <w:t xml:space="preserve">В </w:t>
      </w:r>
      <w:r w:rsidRPr="00ED26F7">
        <w:rPr>
          <w:rFonts w:ascii="Times" w:hAnsi="Times"/>
        </w:rPr>
        <w:t xml:space="preserve">Таблице 2 Приложения 2 </w:t>
      </w:r>
      <w:r>
        <w:rPr>
          <w:rFonts w:ascii="Times" w:hAnsi="Times"/>
        </w:rPr>
        <w:t xml:space="preserve">показаны результаты оценки моделей </w:t>
      </w:r>
      <w:r>
        <w:rPr>
          <w:rFonts w:ascii="Times" w:hAnsi="Times"/>
          <w:lang w:val="en-US"/>
        </w:rPr>
        <w:t>VAR</w:t>
      </w:r>
      <w:r>
        <w:rPr>
          <w:rFonts w:ascii="Times" w:hAnsi="Times"/>
        </w:rPr>
        <w:t xml:space="preserve"> для переменных, отражающих ликвидность и доступность финансовых ресурсов. Рассматривая сначала зависимую переменную, отражающую изменение объёмов торгов фьючерсами на нефть на Московской фондовой бирже, Таблица 2 Приложения 2 показывает, что в 2010-2011 гг. существует сильная взаимосвязь между доходностью индексов облигаций нефтегазовых компаний и изменением объёмов торгов фьючерсами на нефть на российском финансовом рынке. Однако, индивидуальные </w:t>
      </w:r>
      <w:r>
        <w:rPr>
          <w:rFonts w:ascii="Times" w:hAnsi="Times"/>
          <w:lang w:val="en-US"/>
        </w:rPr>
        <w:t>t</w:t>
      </w:r>
      <w:r>
        <w:rPr>
          <w:rFonts w:ascii="Times" w:hAnsi="Times"/>
        </w:rPr>
        <w:t xml:space="preserve">-статистики практически ни у одной переменной (за исключением переменной с 1 лагом для Роснефти) не показывают значимости. Однако, в 2012-2013 гг. при по-прежнему значимых моделях в общем добавляется значимость индивидуальных коэффициентов регрессии (в том числе лаговых), причём, как с положительными, так и с отрицательными знаками. В 2014-2015 гг. модели в целом значимы и присутствует значимость индивидуальных коэффициентов регрессии (стоит отметить, что несколько меньшая, чем в периоде 2012-2013 гг.) Усиление значимости коэффициентов регрессий модели (при общей высокой значимости модели) в предкризисный период 2012-2013 гг., а также повышение объясняющей силы модели (выражающейся в </w:t>
      </w:r>
      <w:r>
        <w:rPr>
          <w:rFonts w:ascii="Times" w:hAnsi="Times"/>
          <w:lang w:val="en-US"/>
        </w:rPr>
        <w:t>R</w:t>
      </w:r>
      <w:r w:rsidRPr="0058455C">
        <w:rPr>
          <w:rFonts w:ascii="Times" w:hAnsi="Times"/>
          <w:vertAlign w:val="superscript"/>
        </w:rPr>
        <w:t>2</w:t>
      </w:r>
      <w:r w:rsidRPr="0058455C">
        <w:rPr>
          <w:rFonts w:ascii="Times" w:hAnsi="Times"/>
        </w:rPr>
        <w:t>)</w:t>
      </w:r>
      <w:r>
        <w:rPr>
          <w:rFonts w:ascii="Times" w:hAnsi="Times"/>
        </w:rPr>
        <w:t xml:space="preserve"> позволяет предположить, что модель с переменной </w:t>
      </w:r>
      <w:r>
        <w:rPr>
          <w:rFonts w:ascii="Times" w:hAnsi="Times"/>
          <w:lang w:val="en-US"/>
        </w:rPr>
        <w:t>Dvolumes</w:t>
      </w:r>
      <w:r>
        <w:rPr>
          <w:rFonts w:ascii="Times" w:hAnsi="Times"/>
        </w:rPr>
        <w:t xml:space="preserve"> может использоваться в качестве индикатора финансового заражения (которое является сопутствующим эффектом кризиса в экономике).</w:t>
      </w:r>
    </w:p>
    <w:p w:rsidR="00B42A3F" w:rsidRPr="00B20F76" w:rsidRDefault="00B42A3F" w:rsidP="00E06C9A">
      <w:pPr>
        <w:tabs>
          <w:tab w:val="left" w:pos="0"/>
        </w:tabs>
        <w:spacing w:before="120"/>
        <w:ind w:left="0" w:right="-8" w:firstLine="567"/>
        <w:jc w:val="both"/>
        <w:rPr>
          <w:rFonts w:ascii="Times" w:hAnsi="Times"/>
          <w:u w:val="single"/>
        </w:rPr>
      </w:pPr>
      <w:r w:rsidRPr="00B20F76">
        <w:rPr>
          <w:rFonts w:ascii="Times" w:hAnsi="Times"/>
          <w:u w:val="single"/>
        </w:rPr>
        <w:t>Сумма открытых позиций по торгам фьючерсами на нефть на Московской фондовой бирже</w:t>
      </w:r>
    </w:p>
    <w:p w:rsidR="00B42A3F" w:rsidRDefault="00B42A3F" w:rsidP="00E06C9A">
      <w:pPr>
        <w:tabs>
          <w:tab w:val="left" w:pos="0"/>
        </w:tabs>
        <w:spacing w:before="120"/>
        <w:ind w:left="0" w:right="-8" w:firstLine="567"/>
        <w:jc w:val="both"/>
        <w:rPr>
          <w:rFonts w:ascii="Times" w:hAnsi="Times"/>
        </w:rPr>
      </w:pPr>
      <w:r w:rsidRPr="0058455C">
        <w:rPr>
          <w:rFonts w:ascii="Times" w:hAnsi="Times"/>
        </w:rPr>
        <w:t xml:space="preserve">Модели с зависимой переменной </w:t>
      </w:r>
      <w:r>
        <w:rPr>
          <w:rFonts w:ascii="Times" w:hAnsi="Times"/>
          <w:lang w:val="en-US"/>
        </w:rPr>
        <w:t>Dopen</w:t>
      </w:r>
      <w:r>
        <w:rPr>
          <w:rFonts w:ascii="Times" w:hAnsi="Times"/>
        </w:rPr>
        <w:t xml:space="preserve"> показывают смешанные результаты. В первом периоде наблюдений присутствуют значимые коэффициенты регрессии в моделях, во втором периоде их становится меньше, в третьем периоде – снова больше. Наибольшую объясняющую силу модель имела в первом периоде, во втором – наименьшую, в третьем – снова возрастание объясняющей силы. Модель может использоваться в качестве индикатора финансового заражения, однако, (и это согласно с тем, что большая часть значимых переменных – лаговые), в данном случае индикатор работает с лагом, то есть, если смотреть с точки зрения принятия управленческих решений в области риск-менеджмента, уже будет поздно принимать решение, так как кризис уже наступил, компания уже потеряла время и уже понесла убытки, и модель в данном случае только констатирует этот факт.</w:t>
      </w:r>
    </w:p>
    <w:p w:rsidR="00B42A3F" w:rsidRPr="0058455C" w:rsidRDefault="00B42A3F" w:rsidP="00E06C9A">
      <w:pPr>
        <w:tabs>
          <w:tab w:val="left" w:pos="0"/>
        </w:tabs>
        <w:spacing w:before="120"/>
        <w:ind w:left="0" w:right="-8" w:firstLine="567"/>
        <w:jc w:val="both"/>
        <w:rPr>
          <w:rFonts w:ascii="Times" w:hAnsi="Times"/>
          <w:u w:val="single"/>
        </w:rPr>
      </w:pPr>
      <w:r w:rsidRPr="00E27456">
        <w:rPr>
          <w:rFonts w:ascii="Times" w:hAnsi="Times"/>
          <w:u w:val="single"/>
        </w:rPr>
        <w:t xml:space="preserve">Изменение процентной ставки по межбанковским кредитам </w:t>
      </w:r>
      <w:r w:rsidRPr="00E27456">
        <w:rPr>
          <w:rFonts w:ascii="Times" w:hAnsi="Times"/>
          <w:u w:val="single"/>
          <w:lang w:val="en-US"/>
        </w:rPr>
        <w:t>Moscow</w:t>
      </w:r>
      <w:r w:rsidRPr="0058455C">
        <w:rPr>
          <w:rFonts w:ascii="Times" w:hAnsi="Times"/>
          <w:u w:val="single"/>
        </w:rPr>
        <w:t xml:space="preserve"> </w:t>
      </w:r>
      <w:r w:rsidRPr="00E27456">
        <w:rPr>
          <w:rFonts w:ascii="Times" w:hAnsi="Times"/>
          <w:u w:val="single"/>
          <w:lang w:val="en-US"/>
        </w:rPr>
        <w:t>Prime</w:t>
      </w:r>
      <w:r w:rsidRPr="0058455C">
        <w:rPr>
          <w:rFonts w:ascii="Times" w:hAnsi="Times"/>
          <w:u w:val="single"/>
        </w:rPr>
        <w:t xml:space="preserve"> </w:t>
      </w:r>
      <w:r w:rsidRPr="00E27456">
        <w:rPr>
          <w:rFonts w:ascii="Times" w:hAnsi="Times"/>
          <w:u w:val="single"/>
          <w:lang w:val="en-US"/>
        </w:rPr>
        <w:t>Rate</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 xml:space="preserve">Как и в предыдущих двух случаях, все модели обладают самой высокой общей значимостью во все периоды. Некоторые индивидуальные коэффициенты корреляции имеют значимость в первом периоде времени. Объясняющая сила модели понижается во втором периоде, а в третьем периоде она является наиболее высокой при значимых отдельных коэффициентах (во втором периоде также наблюдается индивидуальная значимость отдельных коэффициентов. В данном случае модель также может служить индикатором финансового заражения, однако, в данном случае она не может быть полезна при принятии управленческих </w:t>
      </w:r>
      <w:r w:rsidRPr="0058455C">
        <w:rPr>
          <w:rFonts w:ascii="Times" w:hAnsi="Times"/>
        </w:rPr>
        <w:lastRenderedPageBreak/>
        <w:t>решений, так как при наступлении кризиса компании может быть полезна информация, которую она получает заранее от индикатора финансового заражения.</w:t>
      </w:r>
    </w:p>
    <w:p w:rsidR="00B42A3F" w:rsidRPr="0058455C" w:rsidRDefault="00B42A3F" w:rsidP="00E06C9A">
      <w:pPr>
        <w:tabs>
          <w:tab w:val="left" w:pos="0"/>
        </w:tabs>
        <w:spacing w:before="120"/>
        <w:ind w:left="0" w:right="-8" w:firstLine="567"/>
        <w:jc w:val="both"/>
        <w:rPr>
          <w:rFonts w:ascii="Times" w:hAnsi="Times"/>
          <w:u w:val="single"/>
        </w:rPr>
      </w:pPr>
      <w:r w:rsidRPr="0058455C">
        <w:rPr>
          <w:rFonts w:ascii="Times" w:hAnsi="Times"/>
          <w:u w:val="single"/>
        </w:rPr>
        <w:t>Вывод по тестированию ликвидного и финансового эффекта:</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 xml:space="preserve">Эти результаты не противоречат тем, которые получил </w:t>
      </w:r>
      <w:r>
        <w:rPr>
          <w:rFonts w:ascii="Times" w:hAnsi="Times"/>
          <w:lang w:val="en-US"/>
        </w:rPr>
        <w:t>F</w:t>
      </w:r>
      <w:r w:rsidRPr="0058455C">
        <w:rPr>
          <w:rFonts w:ascii="Times" w:hAnsi="Times"/>
        </w:rPr>
        <w:t>.</w:t>
      </w:r>
      <w:r>
        <w:rPr>
          <w:rFonts w:ascii="Times" w:hAnsi="Times"/>
          <w:lang w:val="en-US"/>
        </w:rPr>
        <w:t>A</w:t>
      </w:r>
      <w:r w:rsidRPr="0058455C">
        <w:rPr>
          <w:rFonts w:ascii="Times" w:hAnsi="Times"/>
        </w:rPr>
        <w:t xml:space="preserve">. </w:t>
      </w:r>
      <w:r>
        <w:rPr>
          <w:rFonts w:ascii="Times" w:hAnsi="Times"/>
          <w:lang w:val="en-US"/>
        </w:rPr>
        <w:t>Longstaff</w:t>
      </w:r>
      <w:r>
        <w:rPr>
          <w:rFonts w:ascii="Times" w:hAnsi="Times"/>
        </w:rPr>
        <w:t xml:space="preserve">, а также </w:t>
      </w:r>
      <w:r w:rsidRPr="0058455C">
        <w:rPr>
          <w:rFonts w:ascii="Times" w:hAnsi="Times"/>
        </w:rPr>
        <w:t>[</w:t>
      </w:r>
      <w:r w:rsidRPr="005936DF">
        <w:rPr>
          <w:rFonts w:ascii="Times" w:hAnsi="Times"/>
          <w:lang w:val="en-US"/>
        </w:rPr>
        <w:t>Brunnermeier</w:t>
      </w:r>
      <w:r w:rsidRPr="0058455C">
        <w:rPr>
          <w:rFonts w:ascii="Times" w:hAnsi="Times"/>
        </w:rPr>
        <w:t xml:space="preserve">, </w:t>
      </w:r>
      <w:r w:rsidRPr="005936DF">
        <w:rPr>
          <w:rFonts w:ascii="Times" w:hAnsi="Times"/>
          <w:lang w:val="en-US"/>
        </w:rPr>
        <w:t>Pedersen</w:t>
      </w:r>
      <w:r w:rsidRPr="0058455C">
        <w:rPr>
          <w:rFonts w:ascii="Times" w:hAnsi="Times"/>
        </w:rPr>
        <w:t>, 2005]</w:t>
      </w:r>
      <w:r>
        <w:rPr>
          <w:rFonts w:ascii="Times" w:hAnsi="Times"/>
        </w:rPr>
        <w:t xml:space="preserve">. В работе </w:t>
      </w:r>
      <w:r>
        <w:rPr>
          <w:rFonts w:ascii="Times" w:hAnsi="Times"/>
          <w:lang w:val="en-US"/>
        </w:rPr>
        <w:t>M</w:t>
      </w:r>
      <w:r w:rsidRPr="0058455C">
        <w:rPr>
          <w:rFonts w:ascii="Times" w:hAnsi="Times"/>
        </w:rPr>
        <w:t xml:space="preserve">. </w:t>
      </w:r>
      <w:r w:rsidRPr="009E6822">
        <w:rPr>
          <w:rFonts w:ascii="Times" w:hAnsi="Times"/>
          <w:lang w:val="en-US"/>
        </w:rPr>
        <w:t>Brunnermeier</w:t>
      </w:r>
      <w:r w:rsidRPr="0058455C">
        <w:rPr>
          <w:rFonts w:ascii="Times" w:hAnsi="Times"/>
        </w:rPr>
        <w:t xml:space="preserve"> и </w:t>
      </w:r>
      <w:r w:rsidRPr="009E6822">
        <w:rPr>
          <w:rFonts w:ascii="Times" w:hAnsi="Times"/>
          <w:lang w:val="en-US"/>
        </w:rPr>
        <w:t>L</w:t>
      </w:r>
      <w:r w:rsidRPr="0058455C">
        <w:rPr>
          <w:rFonts w:ascii="Times" w:hAnsi="Times"/>
        </w:rPr>
        <w:t xml:space="preserve">. </w:t>
      </w:r>
      <w:r w:rsidRPr="009E6822">
        <w:rPr>
          <w:rFonts w:ascii="Times" w:hAnsi="Times"/>
          <w:lang w:val="en-US"/>
        </w:rPr>
        <w:t>Pedersen</w:t>
      </w:r>
      <w:r w:rsidRPr="0058455C">
        <w:rPr>
          <w:rFonts w:ascii="Times" w:hAnsi="Times"/>
        </w:rPr>
        <w:t xml:space="preserve"> сильные изменения в финансовом обеспечении на одном рынке могут переходить в широкие ликвидные оценочные шоки на других рынках, тем самым провоцируя значительное финансовое заражение на финансовых рынках. В данном случае действие финансового и ликвидного механизмов выражается в высокой значимости моделей. </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 xml:space="preserve">В заключение, эти результаты действительно предоставляют доказательство того, что кризис в российской экономике привёл к значительным изменениям в динамике деловой активности, ликвидности, и заимствований на финансовом рынке. Эти результаты подтверждают результаты, полученные ранее  </w:t>
      </w:r>
      <w:r>
        <w:rPr>
          <w:rFonts w:ascii="Times" w:hAnsi="Times"/>
          <w:lang w:val="en-US"/>
        </w:rPr>
        <w:t>M</w:t>
      </w:r>
      <w:r w:rsidRPr="0058455C">
        <w:rPr>
          <w:rFonts w:ascii="Times" w:hAnsi="Times"/>
        </w:rPr>
        <w:t xml:space="preserve">. </w:t>
      </w:r>
      <w:r w:rsidRPr="009E6822">
        <w:rPr>
          <w:rFonts w:ascii="Times" w:hAnsi="Times"/>
          <w:lang w:val="en-US"/>
        </w:rPr>
        <w:t>Brunnermeier</w:t>
      </w:r>
      <w:r w:rsidRPr="0058455C">
        <w:rPr>
          <w:rFonts w:ascii="Times" w:hAnsi="Times"/>
        </w:rPr>
        <w:t xml:space="preserve"> и </w:t>
      </w:r>
      <w:r w:rsidRPr="009E6822">
        <w:rPr>
          <w:rFonts w:ascii="Times" w:hAnsi="Times"/>
          <w:lang w:val="en-US"/>
        </w:rPr>
        <w:t>L</w:t>
      </w:r>
      <w:r w:rsidRPr="0058455C">
        <w:rPr>
          <w:rFonts w:ascii="Times" w:hAnsi="Times"/>
        </w:rPr>
        <w:t xml:space="preserve">. </w:t>
      </w:r>
      <w:r w:rsidRPr="009E6822">
        <w:rPr>
          <w:rFonts w:ascii="Times" w:hAnsi="Times"/>
          <w:lang w:val="en-US"/>
        </w:rPr>
        <w:t>Pedersen</w:t>
      </w:r>
      <w:r w:rsidRPr="0058455C">
        <w:rPr>
          <w:rFonts w:ascii="Times" w:hAnsi="Times"/>
        </w:rPr>
        <w:t xml:space="preserve"> о финансовом заражении, которое распространяется через ликвидный механизм. Также полученные здесь результаты не противоречат результатам, полученным </w:t>
      </w:r>
      <w:r>
        <w:rPr>
          <w:rFonts w:ascii="Times" w:hAnsi="Times"/>
          <w:lang w:val="en-US"/>
        </w:rPr>
        <w:t>F</w:t>
      </w:r>
      <w:r w:rsidRPr="0058455C">
        <w:rPr>
          <w:rFonts w:ascii="Times" w:hAnsi="Times"/>
        </w:rPr>
        <w:t xml:space="preserve">. </w:t>
      </w:r>
      <w:r w:rsidRPr="00272E9A">
        <w:rPr>
          <w:rFonts w:ascii="Times" w:hAnsi="Times"/>
          <w:lang w:val="en-US"/>
        </w:rPr>
        <w:t>Allen</w:t>
      </w:r>
      <w:r w:rsidRPr="0058455C">
        <w:rPr>
          <w:rFonts w:ascii="Times" w:hAnsi="Times"/>
        </w:rPr>
        <w:t xml:space="preserve"> </w:t>
      </w:r>
      <w:r>
        <w:rPr>
          <w:rFonts w:ascii="Times" w:hAnsi="Times"/>
        </w:rPr>
        <w:t xml:space="preserve">и </w:t>
      </w:r>
      <w:r w:rsidRPr="00272E9A">
        <w:rPr>
          <w:rFonts w:ascii="Times" w:hAnsi="Times"/>
          <w:lang w:val="en-US"/>
        </w:rPr>
        <w:t>D</w:t>
      </w:r>
      <w:r w:rsidRPr="0058455C">
        <w:rPr>
          <w:rFonts w:ascii="Times" w:hAnsi="Times"/>
        </w:rPr>
        <w:t xml:space="preserve">. </w:t>
      </w:r>
      <w:r w:rsidRPr="00272E9A">
        <w:rPr>
          <w:rFonts w:ascii="Times" w:hAnsi="Times"/>
          <w:lang w:val="en-US"/>
        </w:rPr>
        <w:t>Gale</w:t>
      </w:r>
      <w:r w:rsidRPr="0058455C">
        <w:rPr>
          <w:rFonts w:ascii="Times" w:hAnsi="Times"/>
        </w:rPr>
        <w:t xml:space="preserve"> о механизме корректировки структуры инвестиционного портфеля. Похожие результаты были получены </w:t>
      </w:r>
      <w:r>
        <w:rPr>
          <w:rFonts w:ascii="Times" w:hAnsi="Times"/>
          <w:lang w:val="en-US"/>
        </w:rPr>
        <w:t>L</w:t>
      </w:r>
      <w:r w:rsidRPr="0058455C">
        <w:rPr>
          <w:rFonts w:ascii="Times" w:hAnsi="Times"/>
        </w:rPr>
        <w:t xml:space="preserve">. </w:t>
      </w:r>
      <w:r w:rsidRPr="00D00EA3">
        <w:rPr>
          <w:rFonts w:ascii="Times" w:hAnsi="Times"/>
          <w:lang w:val="en-US"/>
        </w:rPr>
        <w:t>Kodres</w:t>
      </w:r>
      <w:r w:rsidRPr="0058455C">
        <w:rPr>
          <w:rFonts w:ascii="Times" w:hAnsi="Times"/>
        </w:rPr>
        <w:t xml:space="preserve"> и </w:t>
      </w:r>
      <w:r w:rsidRPr="00D00EA3">
        <w:rPr>
          <w:rFonts w:ascii="Times" w:hAnsi="Times"/>
          <w:lang w:val="en-US"/>
        </w:rPr>
        <w:t>M</w:t>
      </w:r>
      <w:r w:rsidRPr="0058455C">
        <w:rPr>
          <w:rFonts w:ascii="Times" w:hAnsi="Times"/>
        </w:rPr>
        <w:t xml:space="preserve">. </w:t>
      </w:r>
      <w:r w:rsidRPr="00D00EA3">
        <w:rPr>
          <w:rFonts w:ascii="Times" w:hAnsi="Times"/>
          <w:lang w:val="en-US"/>
        </w:rPr>
        <w:t>Pritsker</w:t>
      </w:r>
      <w:r w:rsidRPr="0058455C">
        <w:rPr>
          <w:rFonts w:ascii="Times" w:hAnsi="Times"/>
        </w:rPr>
        <w:t xml:space="preserve"> о том, что финансовое заражение во время кризиса 2006-2008 годов в США распространялось через ликвидный канал, который в свою очередь, ассоциировался со значительными корректировками инвестиционного портфеля рыночными участниками. Также эти результаты соответствуют результатам, полученным </w:t>
      </w:r>
      <w:r>
        <w:rPr>
          <w:rFonts w:ascii="Times" w:hAnsi="Times"/>
          <w:lang w:val="en-US"/>
        </w:rPr>
        <w:t>G</w:t>
      </w:r>
      <w:r w:rsidRPr="0058455C">
        <w:rPr>
          <w:rFonts w:ascii="Times" w:hAnsi="Times"/>
        </w:rPr>
        <w:t xml:space="preserve">. </w:t>
      </w:r>
      <w:r w:rsidRPr="00FC71DC">
        <w:rPr>
          <w:rFonts w:ascii="Times" w:hAnsi="Times"/>
          <w:lang w:val="en-US"/>
        </w:rPr>
        <w:t>Aragon</w:t>
      </w:r>
      <w:r w:rsidRPr="0058455C">
        <w:rPr>
          <w:rFonts w:ascii="Times" w:hAnsi="Times"/>
        </w:rPr>
        <w:t xml:space="preserve"> и </w:t>
      </w:r>
      <w:r w:rsidRPr="00FC71DC">
        <w:rPr>
          <w:rFonts w:ascii="Times" w:hAnsi="Times"/>
          <w:lang w:val="en-US"/>
        </w:rPr>
        <w:t>P</w:t>
      </w:r>
      <w:r w:rsidRPr="0058455C">
        <w:rPr>
          <w:rFonts w:ascii="Times" w:hAnsi="Times"/>
        </w:rPr>
        <w:t xml:space="preserve">. </w:t>
      </w:r>
      <w:r w:rsidRPr="00FC71DC">
        <w:rPr>
          <w:rFonts w:ascii="Times" w:hAnsi="Times"/>
          <w:lang w:val="en-US"/>
        </w:rPr>
        <w:t>Strahan</w:t>
      </w:r>
      <w:r w:rsidRPr="0058455C">
        <w:rPr>
          <w:rFonts w:ascii="Times" w:hAnsi="Times"/>
        </w:rPr>
        <w:t xml:space="preserve">, которые изучали влияние банкротства банка </w:t>
      </w:r>
      <w:r w:rsidRPr="00FC71DC">
        <w:rPr>
          <w:rFonts w:ascii="Times" w:hAnsi="Times"/>
          <w:lang w:val="en-US"/>
        </w:rPr>
        <w:t>Lehman</w:t>
      </w:r>
      <w:r w:rsidRPr="0058455C">
        <w:rPr>
          <w:rFonts w:ascii="Times" w:hAnsi="Times"/>
        </w:rPr>
        <w:t xml:space="preserve"> </w:t>
      </w:r>
      <w:r w:rsidRPr="00FC71DC">
        <w:rPr>
          <w:rFonts w:ascii="Times" w:hAnsi="Times"/>
          <w:lang w:val="en-US"/>
        </w:rPr>
        <w:t>Breothers</w:t>
      </w:r>
      <w:r w:rsidRPr="0058455C">
        <w:rPr>
          <w:rFonts w:ascii="Times" w:hAnsi="Times"/>
        </w:rPr>
        <w:t xml:space="preserve"> на хедж-фонды.</w:t>
      </w:r>
    </w:p>
    <w:p w:rsidR="00B42A3F" w:rsidRPr="0058455C" w:rsidRDefault="00B42A3F" w:rsidP="00E06C9A">
      <w:pPr>
        <w:tabs>
          <w:tab w:val="left" w:pos="0"/>
        </w:tabs>
        <w:spacing w:before="120"/>
        <w:ind w:left="0" w:right="-8" w:firstLine="567"/>
        <w:jc w:val="center"/>
        <w:rPr>
          <w:rFonts w:ascii="Times" w:hAnsi="Times"/>
          <w:b/>
        </w:rPr>
      </w:pPr>
      <w:r w:rsidRPr="0058455C">
        <w:rPr>
          <w:rFonts w:ascii="Times" w:hAnsi="Times"/>
          <w:b/>
        </w:rPr>
        <w:t>Приложение теории финансового заражения в менеджменте</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Применение теории финансового заражения на практике позволяет компании определить состояние бизнес-среды, в которой она функционирует, и которое задаётся внешними (систематическими, рыночными) факторами, действие которых выражается в специфическом риске, который эта компания несёт. При этом специфический риск компании оптередяется специфичностью её активов,</w:t>
      </w:r>
      <w:r w:rsidRPr="0058455C">
        <w:rPr>
          <w:rFonts w:ascii="Times" w:hAnsi="Times"/>
          <w:color w:val="FF0000"/>
        </w:rPr>
        <w:t xml:space="preserve"> </w:t>
      </w:r>
      <w:r w:rsidRPr="0058455C">
        <w:rPr>
          <w:rFonts w:ascii="Times" w:hAnsi="Times"/>
        </w:rPr>
        <w:t>как известно из неоинституциональной экономической теории.</w:t>
      </w:r>
    </w:p>
    <w:p w:rsidR="00B42A3F" w:rsidRPr="0058455C" w:rsidRDefault="00B42A3F" w:rsidP="00E06C9A">
      <w:pPr>
        <w:tabs>
          <w:tab w:val="left" w:pos="0"/>
        </w:tabs>
        <w:spacing w:before="120"/>
        <w:ind w:left="0" w:right="-8" w:firstLine="567"/>
        <w:jc w:val="both"/>
        <w:rPr>
          <w:rFonts w:ascii="Times" w:hAnsi="Times"/>
        </w:rPr>
      </w:pPr>
      <w:r w:rsidRPr="0058455C">
        <w:rPr>
          <w:rFonts w:ascii="Times" w:hAnsi="Times"/>
        </w:rPr>
        <w:t>Выделение каналов респространения финансового заражения позволяет определить стратегическую область, на которую компания в первую очередь должна обратить внимание (</w:t>
      </w:r>
      <w:r w:rsidRPr="0058455C">
        <w:rPr>
          <w:rFonts w:ascii="Times" w:hAnsi="Times"/>
          <w:b/>
        </w:rPr>
        <w:t>алгоритм, который компания может использовать при построении стратегии риск-менеджмента</w:t>
      </w:r>
      <w:r w:rsidRPr="0058455C">
        <w:rPr>
          <w:rFonts w:ascii="Times" w:hAnsi="Times"/>
        </w:rPr>
        <w:t>):</w:t>
      </w:r>
    </w:p>
    <w:p w:rsidR="00B42A3F" w:rsidRPr="0058455C" w:rsidRDefault="00B42A3F" w:rsidP="0022187D">
      <w:pPr>
        <w:pStyle w:val="aa"/>
        <w:numPr>
          <w:ilvl w:val="0"/>
          <w:numId w:val="36"/>
        </w:numPr>
        <w:tabs>
          <w:tab w:val="left" w:pos="0"/>
        </w:tabs>
        <w:spacing w:before="120"/>
        <w:ind w:left="0" w:right="-8" w:firstLine="567"/>
        <w:jc w:val="both"/>
        <w:rPr>
          <w:rFonts w:ascii="Times" w:hAnsi="Times"/>
        </w:rPr>
      </w:pPr>
      <w:r w:rsidRPr="0058455C">
        <w:rPr>
          <w:rFonts w:ascii="Times" w:hAnsi="Times"/>
        </w:rPr>
        <w:t>Если действует информационный канал, то влияние кризиса скажется прежде всего на инвестиционной деятельности компании (характерно то, что, в России на текущий момент не отмечается резкого снижения инвестиций, напротив, Россия не перестаёт быть интересной для зарубежных инвесторов – и исследование показывает, что информационный канал не активен);</w:t>
      </w:r>
    </w:p>
    <w:p w:rsidR="00B42A3F" w:rsidRDefault="00B42A3F" w:rsidP="0022187D">
      <w:pPr>
        <w:pStyle w:val="aa"/>
        <w:numPr>
          <w:ilvl w:val="0"/>
          <w:numId w:val="36"/>
        </w:numPr>
        <w:tabs>
          <w:tab w:val="left" w:pos="0"/>
        </w:tabs>
        <w:spacing w:before="120"/>
        <w:ind w:left="0" w:right="-8" w:firstLine="567"/>
        <w:jc w:val="both"/>
        <w:rPr>
          <w:rFonts w:ascii="Times" w:hAnsi="Times"/>
        </w:rPr>
      </w:pPr>
      <w:r w:rsidRPr="00BE51B2">
        <w:rPr>
          <w:rFonts w:ascii="Times" w:hAnsi="Times"/>
        </w:rPr>
        <w:t>Если финансовое заражение распространяется посредством ликвидного канала, то страдает прежде всего операционная деятельность</w:t>
      </w:r>
      <w:r>
        <w:rPr>
          <w:rFonts w:ascii="Times" w:hAnsi="Times"/>
        </w:rPr>
        <w:t>. Компании не хватает денежных средств, чтобы заплатить своим поставщикам, сотрудникам, проценты банкам – это затрудняет её операционные процессы;</w:t>
      </w:r>
    </w:p>
    <w:p w:rsidR="00B42A3F" w:rsidRDefault="00B42A3F" w:rsidP="0022187D">
      <w:pPr>
        <w:pStyle w:val="aa"/>
        <w:numPr>
          <w:ilvl w:val="0"/>
          <w:numId w:val="36"/>
        </w:numPr>
        <w:tabs>
          <w:tab w:val="left" w:pos="0"/>
        </w:tabs>
        <w:spacing w:before="120"/>
        <w:ind w:left="0" w:right="-8" w:firstLine="567"/>
        <w:jc w:val="both"/>
        <w:rPr>
          <w:rFonts w:ascii="Times" w:hAnsi="Times"/>
        </w:rPr>
      </w:pPr>
      <w:r>
        <w:rPr>
          <w:rFonts w:ascii="Times" w:hAnsi="Times"/>
        </w:rPr>
        <w:t>В случае, когда основным каналом финансового заражения является финансовый канал, компании следует обратить особое внимание на отношения с кредиторами, так как это означает рост процентных ставок по кредитам и займам.</w:t>
      </w:r>
    </w:p>
    <w:p w:rsidR="00B42A3F" w:rsidRDefault="00B42A3F" w:rsidP="00E06C9A">
      <w:pPr>
        <w:tabs>
          <w:tab w:val="left" w:pos="0"/>
        </w:tabs>
        <w:spacing w:before="120"/>
        <w:ind w:left="0" w:right="-8" w:firstLine="567"/>
        <w:jc w:val="both"/>
        <w:rPr>
          <w:rFonts w:ascii="Times" w:hAnsi="Times"/>
        </w:rPr>
      </w:pPr>
      <w:r>
        <w:rPr>
          <w:rFonts w:ascii="Times" w:hAnsi="Times"/>
        </w:rPr>
        <w:lastRenderedPageBreak/>
        <w:t xml:space="preserve">Важно учесть, что в случае, когда действуют два или все три канала – компании придётся труднее, так как она должна не просто принять необходимые меры в разных областях деятельности, но ещё и согласовать их между собой. </w:t>
      </w:r>
    </w:p>
    <w:p w:rsidR="00B42A3F" w:rsidRPr="0058455C" w:rsidRDefault="00B42A3F" w:rsidP="00E06C9A">
      <w:pPr>
        <w:tabs>
          <w:tab w:val="left" w:pos="0"/>
        </w:tabs>
        <w:spacing w:before="120"/>
        <w:ind w:left="0" w:right="-8" w:firstLine="567"/>
        <w:jc w:val="center"/>
        <w:rPr>
          <w:rFonts w:ascii="Times" w:hAnsi="Times"/>
          <w:b/>
        </w:rPr>
      </w:pPr>
      <w:r w:rsidRPr="0058455C">
        <w:rPr>
          <w:rFonts w:ascii="Times" w:hAnsi="Times"/>
          <w:b/>
        </w:rPr>
        <w:t>Заключение</w:t>
      </w:r>
    </w:p>
    <w:p w:rsidR="00B42A3F" w:rsidRDefault="00B42A3F" w:rsidP="00E06C9A">
      <w:pPr>
        <w:tabs>
          <w:tab w:val="left" w:pos="0"/>
        </w:tabs>
        <w:spacing w:before="120"/>
        <w:ind w:left="0" w:right="-8" w:firstLine="567"/>
        <w:jc w:val="both"/>
        <w:rPr>
          <w:rFonts w:ascii="Times" w:hAnsi="Times"/>
        </w:rPr>
      </w:pPr>
      <w:r w:rsidRPr="0058455C">
        <w:rPr>
          <w:rFonts w:ascii="Times" w:hAnsi="Times"/>
        </w:rPr>
        <w:t xml:space="preserve">Кризис в на российском рынке 2014-2015 гг. даёт возможность для изучения эффектов финансового заражения на финансовых рынках. Были использованы данные базы </w:t>
      </w:r>
      <w:r>
        <w:rPr>
          <w:rFonts w:ascii="Times" w:hAnsi="Times"/>
          <w:lang w:val="en-US"/>
        </w:rPr>
        <w:t>Thomson</w:t>
      </w:r>
      <w:r w:rsidRPr="0058455C">
        <w:rPr>
          <w:rFonts w:ascii="Times" w:hAnsi="Times"/>
        </w:rPr>
        <w:t xml:space="preserve"> </w:t>
      </w:r>
      <w:r>
        <w:rPr>
          <w:rFonts w:ascii="Times" w:hAnsi="Times"/>
          <w:lang w:val="en-US"/>
        </w:rPr>
        <w:t>Reuters</w:t>
      </w:r>
      <w:r w:rsidRPr="0058455C">
        <w:rPr>
          <w:rFonts w:ascii="Times" w:hAnsi="Times"/>
        </w:rPr>
        <w:t xml:space="preserve"> </w:t>
      </w:r>
      <w:r>
        <w:rPr>
          <w:rFonts w:ascii="Times" w:hAnsi="Times"/>
          <w:lang w:val="en-US"/>
        </w:rPr>
        <w:t>Datastream</w:t>
      </w:r>
      <w:r>
        <w:rPr>
          <w:rFonts w:ascii="Times" w:hAnsi="Times"/>
        </w:rPr>
        <w:t xml:space="preserve"> для динамики индексов облигаций российских нефтегазовых компаний для изучения эффекта финансового заражения, развивавшегося с развитием кризиса. Начиная с определения эффекта финансового заражения как сопутствующего кризису усиления значимости взаимосвязи между различными рынками  после значительного шокового события, далее использовались модели </w:t>
      </w:r>
      <w:r>
        <w:rPr>
          <w:rFonts w:ascii="Times" w:hAnsi="Times"/>
          <w:lang w:val="en-US"/>
        </w:rPr>
        <w:t>VAR</w:t>
      </w:r>
      <w:r>
        <w:rPr>
          <w:rFonts w:ascii="Times" w:hAnsi="Times"/>
        </w:rPr>
        <w:t xml:space="preserve"> (векторной авторегрессии) для тестирования изменений во взаимоотношениях между рынком облигаций нефтегазовых компаний и другими финансовыми рынками до и во время кризиса.</w:t>
      </w:r>
    </w:p>
    <w:p w:rsidR="00B42A3F" w:rsidRDefault="00B42A3F" w:rsidP="00E06C9A">
      <w:pPr>
        <w:tabs>
          <w:tab w:val="left" w:pos="0"/>
        </w:tabs>
        <w:spacing w:before="120"/>
        <w:ind w:left="0" w:right="-8" w:firstLine="567"/>
        <w:jc w:val="both"/>
        <w:rPr>
          <w:rFonts w:ascii="Times" w:hAnsi="Times"/>
        </w:rPr>
      </w:pPr>
      <w:r>
        <w:rPr>
          <w:rFonts w:ascii="Times" w:hAnsi="Times"/>
        </w:rPr>
        <w:t xml:space="preserve">Результаты позволяют принять гипотезу о наличии статистически значимого усиления взаимосвязей между рынками. До начала кризиса индексы облигаций российских нефтегазовых компаний реже являлись причиной по Гренджеру для агрегированных показателей финансового рынка (динамика доходностей индексов облигаций содержит меньше полезной информации для суждений о возможности начала кризиса). Однако, непосредственно перед началом финансового кризиса (в периоде 2012-2013 гг.) увеличилось количество индивидуально значимых коэффициентов регрессии в моделях </w:t>
      </w:r>
      <w:r>
        <w:rPr>
          <w:rFonts w:ascii="Times" w:hAnsi="Times"/>
          <w:lang w:val="en-US"/>
        </w:rPr>
        <w:t>VAR</w:t>
      </w:r>
      <w:r>
        <w:rPr>
          <w:rFonts w:ascii="Times" w:hAnsi="Times"/>
        </w:rPr>
        <w:t>. Таким образом, можно с уверенностью принять гипотезу о том, что статистическая значимость модели взаимосвязи между доходностю индексов облигаций нефтегазовых компаний и основными показателями финансовых ранков может служить индикатором финансового заражения, и, в определённых случаях может использоваться для предупреждения компании о том, что необходимо корректировать стратегию. Разделение эффекта финансового заражения между тремя каналами распространения позволяет понять, какую именно стратегию компании необходимо корректировать.</w:t>
      </w:r>
    </w:p>
    <w:p w:rsidR="00B42A3F" w:rsidRDefault="00B42A3F" w:rsidP="00E06C9A">
      <w:pPr>
        <w:tabs>
          <w:tab w:val="left" w:pos="0"/>
        </w:tabs>
        <w:spacing w:before="120"/>
        <w:ind w:left="0" w:right="-8" w:firstLine="567"/>
        <w:jc w:val="both"/>
        <w:rPr>
          <w:rFonts w:ascii="Times" w:hAnsi="Times"/>
        </w:rPr>
      </w:pPr>
      <w:r>
        <w:rPr>
          <w:rFonts w:ascii="Times" w:hAnsi="Times"/>
        </w:rPr>
        <w:t>Значимость индивидуальных коэффициентов в моделях регрессии вплоть до 4 лага, с достаточно высокой степенью объяснения моделью данных. Эти результаты позволяют решительно принять гипотезу о том, что эффект финансового заражения сопутствует кризису. Так как данное исследование фокусируется только на российском кризисе 2014-2015 гг., следует отметить, что результаты ограничены этим конкретным эпизодом на рынке.</w:t>
      </w:r>
    </w:p>
    <w:p w:rsidR="00B42A3F" w:rsidRDefault="00B42A3F" w:rsidP="00E06C9A">
      <w:pPr>
        <w:tabs>
          <w:tab w:val="left" w:pos="0"/>
        </w:tabs>
        <w:spacing w:before="120"/>
        <w:ind w:left="0" w:right="-8" w:firstLine="567"/>
        <w:jc w:val="both"/>
        <w:rPr>
          <w:rFonts w:ascii="Times" w:hAnsi="Times"/>
        </w:rPr>
      </w:pPr>
      <w:r>
        <w:rPr>
          <w:rFonts w:ascii="Times" w:hAnsi="Times"/>
        </w:rPr>
        <w:t>Ключевым аспектом исследования является то, что полученные результаты отличаются от других результатов, полученных при тестировании других моделей эффетка финансового заражения (</w:t>
      </w:r>
      <w:r>
        <w:rPr>
          <w:rFonts w:ascii="Times" w:hAnsi="Times"/>
          <w:lang w:val="en-US"/>
        </w:rPr>
        <w:t>GARCH</w:t>
      </w:r>
      <w:r>
        <w:rPr>
          <w:rFonts w:ascii="Times" w:hAnsi="Times"/>
        </w:rPr>
        <w:t xml:space="preserve">, статистические модели, биномиальные модели, модели непрерывной волатильности, </w:t>
      </w:r>
      <w:r>
        <w:rPr>
          <w:rFonts w:ascii="Times" w:hAnsi="Times"/>
          <w:lang w:val="en-US"/>
        </w:rPr>
        <w:t>copula</w:t>
      </w:r>
      <w:r w:rsidRPr="0058455C">
        <w:rPr>
          <w:rFonts w:ascii="Times" w:hAnsi="Times"/>
        </w:rPr>
        <w:t xml:space="preserve"> </w:t>
      </w:r>
      <w:r>
        <w:rPr>
          <w:rFonts w:ascii="Times" w:hAnsi="Times"/>
          <w:lang w:val="en-US"/>
        </w:rPr>
        <w:t>models</w:t>
      </w:r>
      <w:r w:rsidRPr="0058455C">
        <w:rPr>
          <w:rFonts w:ascii="Times" w:hAnsi="Times"/>
        </w:rPr>
        <w:t>)</w:t>
      </w:r>
      <w:r>
        <w:rPr>
          <w:rFonts w:ascii="Times" w:hAnsi="Times"/>
        </w:rPr>
        <w:t xml:space="preserve">, которые предлагаются в обширной литературе по данной теме. Например, тот факт, что длина лага часто больше 1 недели, </w:t>
      </w:r>
      <w:r w:rsidRPr="008A4EE9">
        <w:rPr>
          <w:rFonts w:ascii="Times" w:hAnsi="Times"/>
          <w:u w:val="single"/>
        </w:rPr>
        <w:t>свидетельствует против точки зрения, что финансовое заражение распространяется посредством информационного канала</w:t>
      </w:r>
      <w:r>
        <w:rPr>
          <w:rFonts w:ascii="Times" w:hAnsi="Times"/>
          <w:u w:val="single"/>
        </w:rPr>
        <w:t xml:space="preserve">. </w:t>
      </w:r>
      <w:r w:rsidRPr="008A4EE9">
        <w:rPr>
          <w:rFonts w:ascii="Times" w:hAnsi="Times"/>
        </w:rPr>
        <w:t>Причина такого вывода состоит в том, что в случае распространения финансового заражения через информационный канал, взаимозависимоть между такими высоколиквидными инструментами финансового рынка, как государственные облигации</w:t>
      </w:r>
      <w:r>
        <w:rPr>
          <w:rFonts w:ascii="Times" w:hAnsi="Times"/>
        </w:rPr>
        <w:t>, фьючерсы на нефть, корпоративные облигации, возникла бы гораздо быстрее, чем можно наблюдать.</w:t>
      </w:r>
    </w:p>
    <w:p w:rsidR="00B42A3F" w:rsidRPr="0058455C" w:rsidRDefault="00B42A3F" w:rsidP="00E06C9A">
      <w:pPr>
        <w:tabs>
          <w:tab w:val="left" w:pos="0"/>
        </w:tabs>
        <w:spacing w:before="120"/>
        <w:ind w:left="0" w:right="-8" w:firstLine="567"/>
        <w:jc w:val="both"/>
        <w:rPr>
          <w:rFonts w:ascii="Times" w:hAnsi="Times"/>
        </w:rPr>
      </w:pPr>
      <w:r>
        <w:rPr>
          <w:rFonts w:ascii="Times" w:hAnsi="Times"/>
        </w:rPr>
        <w:t xml:space="preserve">Более того, доказательство того, что изменения в доходности индексов облигаций нефтегазовых компаний во время кризиса становятся взаимосвязаны с динамикой на рынках </w:t>
      </w:r>
      <w:r>
        <w:rPr>
          <w:rFonts w:ascii="Times" w:hAnsi="Times"/>
        </w:rPr>
        <w:lastRenderedPageBreak/>
        <w:t xml:space="preserve">активов и инструментов с фиксированной доходностью, подтверждает гипотезу о том, что финансовое заражение распространяется через ликвидный и финансовый каналы, что согласно с выводами, полученными </w:t>
      </w:r>
      <w:r>
        <w:rPr>
          <w:rFonts w:ascii="Times" w:hAnsi="Times"/>
          <w:lang w:val="en-US"/>
        </w:rPr>
        <w:t>F</w:t>
      </w:r>
      <w:r w:rsidRPr="0058455C">
        <w:rPr>
          <w:rFonts w:ascii="Times" w:hAnsi="Times"/>
        </w:rPr>
        <w:t xml:space="preserve">. </w:t>
      </w:r>
      <w:r w:rsidRPr="00272E9A">
        <w:rPr>
          <w:rFonts w:ascii="Times" w:hAnsi="Times"/>
          <w:lang w:val="en-US"/>
        </w:rPr>
        <w:t>Allen</w:t>
      </w:r>
      <w:r w:rsidRPr="0058455C">
        <w:rPr>
          <w:rFonts w:ascii="Times" w:hAnsi="Times"/>
        </w:rPr>
        <w:t xml:space="preserve"> </w:t>
      </w:r>
      <w:r>
        <w:rPr>
          <w:rFonts w:ascii="Times" w:hAnsi="Times"/>
        </w:rPr>
        <w:t xml:space="preserve">и </w:t>
      </w:r>
      <w:r w:rsidRPr="00272E9A">
        <w:rPr>
          <w:rFonts w:ascii="Times" w:hAnsi="Times"/>
          <w:lang w:val="en-US"/>
        </w:rPr>
        <w:t>D</w:t>
      </w:r>
      <w:r w:rsidRPr="0058455C">
        <w:rPr>
          <w:rFonts w:ascii="Times" w:hAnsi="Times"/>
        </w:rPr>
        <w:t xml:space="preserve">. </w:t>
      </w:r>
      <w:r w:rsidRPr="00272E9A">
        <w:rPr>
          <w:rFonts w:ascii="Times" w:hAnsi="Times"/>
          <w:lang w:val="en-US"/>
        </w:rPr>
        <w:t>Gale</w:t>
      </w:r>
      <w:r w:rsidRPr="0058455C">
        <w:rPr>
          <w:rFonts w:ascii="Times" w:hAnsi="Times"/>
        </w:rPr>
        <w:t xml:space="preserve">, </w:t>
      </w:r>
      <w:r>
        <w:rPr>
          <w:rFonts w:ascii="Times" w:hAnsi="Times"/>
          <w:lang w:val="en-US"/>
        </w:rPr>
        <w:t>M</w:t>
      </w:r>
      <w:r w:rsidRPr="0058455C">
        <w:rPr>
          <w:rFonts w:ascii="Times" w:hAnsi="Times"/>
        </w:rPr>
        <w:t xml:space="preserve">. </w:t>
      </w:r>
      <w:r w:rsidRPr="009E6822">
        <w:rPr>
          <w:rFonts w:ascii="Times" w:hAnsi="Times"/>
          <w:lang w:val="en-US"/>
        </w:rPr>
        <w:t>Brunnermeier</w:t>
      </w:r>
      <w:r w:rsidRPr="0058455C">
        <w:rPr>
          <w:rFonts w:ascii="Times" w:hAnsi="Times"/>
        </w:rPr>
        <w:t xml:space="preserve"> и </w:t>
      </w:r>
      <w:r w:rsidRPr="009E6822">
        <w:rPr>
          <w:rFonts w:ascii="Times" w:hAnsi="Times"/>
          <w:lang w:val="en-US"/>
        </w:rPr>
        <w:t>L</w:t>
      </w:r>
      <w:r w:rsidRPr="0058455C">
        <w:rPr>
          <w:rFonts w:ascii="Times" w:hAnsi="Times"/>
        </w:rPr>
        <w:t xml:space="preserve">. </w:t>
      </w:r>
      <w:r w:rsidRPr="009E6822">
        <w:rPr>
          <w:rFonts w:ascii="Times" w:hAnsi="Times"/>
          <w:lang w:val="en-US"/>
        </w:rPr>
        <w:t>Pedersen</w:t>
      </w:r>
      <w:r w:rsidRPr="0058455C">
        <w:rPr>
          <w:rFonts w:ascii="Times" w:hAnsi="Times"/>
        </w:rPr>
        <w:t xml:space="preserve"> и другими исследователями.</w:t>
      </w:r>
    </w:p>
    <w:p w:rsidR="00B42A3F" w:rsidRDefault="00B42A3F" w:rsidP="00E06C9A">
      <w:pPr>
        <w:tabs>
          <w:tab w:val="left" w:pos="0"/>
        </w:tabs>
        <w:spacing w:before="120"/>
        <w:ind w:left="0" w:right="-8" w:firstLine="567"/>
        <w:jc w:val="both"/>
        <w:rPr>
          <w:rFonts w:ascii="Times" w:hAnsi="Times"/>
        </w:rPr>
      </w:pPr>
      <w:r w:rsidRPr="0058455C">
        <w:rPr>
          <w:rFonts w:ascii="Times" w:hAnsi="Times"/>
        </w:rPr>
        <w:t>Полученные результаты могут использоваться в качестве поддержки принятия управленческих решений. Компания может не только идентифицировать финансовое заражение, которое сопутствует кризису, но и понять, с какой именно стороны ей нужно ждать проблем. Поэтому компания может подготовиться к сложной ситуации заранее.</w:t>
      </w:r>
    </w:p>
    <w:p w:rsidR="00B42A3F" w:rsidRPr="0058455C" w:rsidRDefault="00B42A3F" w:rsidP="00E06C9A">
      <w:pPr>
        <w:tabs>
          <w:tab w:val="left" w:pos="0"/>
        </w:tabs>
        <w:spacing w:before="120"/>
        <w:ind w:left="0" w:right="-8" w:firstLine="567"/>
        <w:jc w:val="center"/>
        <w:rPr>
          <w:rFonts w:ascii="Times" w:hAnsi="Times"/>
        </w:rPr>
      </w:pPr>
      <w:r w:rsidRPr="0058455C">
        <w:rPr>
          <w:rFonts w:ascii="Times" w:hAnsi="Times"/>
          <w:b/>
        </w:rPr>
        <w:t>Литература</w:t>
      </w:r>
    </w:p>
    <w:p w:rsidR="00B42A3F" w:rsidRPr="000279EC" w:rsidRDefault="00B42A3F" w:rsidP="00E06C9A">
      <w:pPr>
        <w:tabs>
          <w:tab w:val="left" w:pos="0"/>
        </w:tabs>
        <w:spacing w:before="120"/>
        <w:ind w:left="0" w:right="-8" w:firstLine="567"/>
        <w:jc w:val="both"/>
        <w:rPr>
          <w:rFonts w:ascii="Times" w:hAnsi="Times"/>
        </w:rPr>
      </w:pPr>
      <w:r w:rsidRPr="000279EC">
        <w:rPr>
          <w:rFonts w:ascii="Times" w:hAnsi="Times"/>
        </w:rPr>
        <w:t xml:space="preserve">Канторович, Г.Г. </w:t>
      </w:r>
      <w:r>
        <w:rPr>
          <w:rFonts w:ascii="Times" w:hAnsi="Times"/>
        </w:rPr>
        <w:t>(</w:t>
      </w:r>
      <w:r w:rsidRPr="000279EC">
        <w:rPr>
          <w:rFonts w:ascii="Times" w:hAnsi="Times"/>
        </w:rPr>
        <w:t>2002</w:t>
      </w:r>
      <w:r>
        <w:rPr>
          <w:rFonts w:ascii="Times" w:hAnsi="Times"/>
        </w:rPr>
        <w:t>)</w:t>
      </w:r>
      <w:r w:rsidRPr="000279EC">
        <w:rPr>
          <w:rFonts w:ascii="Times" w:hAnsi="Times"/>
        </w:rPr>
        <w:t xml:space="preserve">. Анализ временных рядов. </w:t>
      </w:r>
      <w:r w:rsidRPr="00ED26F7">
        <w:rPr>
          <w:rFonts w:ascii="Times" w:hAnsi="Times"/>
        </w:rPr>
        <w:t>Экономический журнал ВШЭ</w:t>
      </w:r>
      <w:r>
        <w:rPr>
          <w:rFonts w:ascii="Times" w:hAnsi="Times"/>
          <w:i/>
        </w:rPr>
        <w:t>,</w:t>
      </w:r>
      <w:r w:rsidRPr="000279EC">
        <w:rPr>
          <w:rFonts w:ascii="Times" w:hAnsi="Times"/>
        </w:rPr>
        <w:t xml:space="preserve"> 2, 251-273.</w:t>
      </w:r>
    </w:p>
    <w:p w:rsidR="00B42A3F" w:rsidRPr="0058455C" w:rsidRDefault="00B42A3F" w:rsidP="00E06C9A">
      <w:pPr>
        <w:tabs>
          <w:tab w:val="left" w:pos="0"/>
        </w:tabs>
        <w:spacing w:before="120"/>
        <w:ind w:left="0" w:right="-8" w:firstLine="567"/>
        <w:jc w:val="both"/>
        <w:rPr>
          <w:rFonts w:ascii="Times" w:hAnsi="Times"/>
          <w:lang w:val="en-US"/>
        </w:rPr>
      </w:pPr>
      <w:r w:rsidRPr="000279EC">
        <w:rPr>
          <w:rFonts w:ascii="Times" w:hAnsi="Times"/>
        </w:rPr>
        <w:t xml:space="preserve">Кузнецов, А.М., Савельев, В.И., Бахтизина, Н.В. </w:t>
      </w:r>
      <w:r>
        <w:rPr>
          <w:rFonts w:ascii="Times" w:hAnsi="Times"/>
        </w:rPr>
        <w:t>(</w:t>
      </w:r>
      <w:r w:rsidRPr="000279EC">
        <w:rPr>
          <w:rFonts w:ascii="Times" w:hAnsi="Times"/>
        </w:rPr>
        <w:t>2012</w:t>
      </w:r>
      <w:r>
        <w:rPr>
          <w:rFonts w:ascii="Times" w:hAnsi="Times"/>
        </w:rPr>
        <w:t>)</w:t>
      </w:r>
      <w:r w:rsidRPr="000279EC">
        <w:rPr>
          <w:rFonts w:ascii="Times" w:hAnsi="Times"/>
        </w:rPr>
        <w:t xml:space="preserve">. Мировой рынок природного газа: современные тенденции и перспективы развития. </w:t>
      </w:r>
      <w:r w:rsidRPr="00ED26F7">
        <w:rPr>
          <w:rFonts w:ascii="Times" w:hAnsi="Times"/>
        </w:rPr>
        <w:t>Вестник</w:t>
      </w:r>
      <w:r w:rsidRPr="00ED26F7">
        <w:rPr>
          <w:rFonts w:ascii="Times" w:hAnsi="Times"/>
          <w:lang w:val="en-US"/>
        </w:rPr>
        <w:t xml:space="preserve"> </w:t>
      </w:r>
      <w:r w:rsidRPr="00ED26F7">
        <w:rPr>
          <w:rFonts w:ascii="Times" w:hAnsi="Times"/>
        </w:rPr>
        <w:t>МГИМО</w:t>
      </w:r>
      <w:r w:rsidRPr="00ED26F7">
        <w:rPr>
          <w:rFonts w:ascii="Times" w:hAnsi="Times"/>
          <w:lang w:val="en-US"/>
        </w:rPr>
        <w:t>-</w:t>
      </w:r>
      <w:r w:rsidRPr="00ED26F7">
        <w:rPr>
          <w:rFonts w:ascii="Times" w:hAnsi="Times"/>
        </w:rPr>
        <w:t>Университета</w:t>
      </w:r>
      <w:r w:rsidRPr="0058455C">
        <w:rPr>
          <w:rFonts w:ascii="Times" w:hAnsi="Times"/>
          <w:i/>
          <w:lang w:val="en-US"/>
        </w:rPr>
        <w:t>,</w:t>
      </w:r>
      <w:r w:rsidRPr="0058455C">
        <w:rPr>
          <w:rFonts w:ascii="Times" w:hAnsi="Times"/>
          <w:lang w:val="en-US"/>
        </w:rPr>
        <w:t xml:space="preserve"> 1, 273-277.</w:t>
      </w:r>
    </w:p>
    <w:p w:rsidR="00B42A3F" w:rsidRPr="000279EC" w:rsidRDefault="00B42A3F" w:rsidP="00E06C9A">
      <w:pPr>
        <w:tabs>
          <w:tab w:val="left" w:pos="0"/>
        </w:tabs>
        <w:spacing w:before="120"/>
        <w:ind w:left="0" w:right="-8" w:firstLine="567"/>
        <w:jc w:val="both"/>
        <w:rPr>
          <w:rFonts w:ascii="Times" w:hAnsi="Times"/>
          <w:lang w:val="en-US"/>
        </w:rPr>
      </w:pPr>
      <w:r>
        <w:rPr>
          <w:rFonts w:ascii="Times" w:hAnsi="Times"/>
          <w:lang w:val="en-US"/>
        </w:rPr>
        <w:t>Acharya, V., Pedersen, L.</w:t>
      </w:r>
      <w:r w:rsidRPr="000279EC">
        <w:rPr>
          <w:rFonts w:ascii="Times" w:hAnsi="Times"/>
          <w:lang w:val="en-US"/>
        </w:rPr>
        <w:t xml:space="preserve"> </w:t>
      </w:r>
      <w:r>
        <w:rPr>
          <w:rFonts w:ascii="Times" w:hAnsi="Times"/>
          <w:lang w:val="en-US"/>
        </w:rPr>
        <w:t>(</w:t>
      </w:r>
      <w:r w:rsidRPr="000279EC">
        <w:rPr>
          <w:rFonts w:ascii="Times" w:hAnsi="Times"/>
          <w:lang w:val="en-US"/>
        </w:rPr>
        <w:t>2005</w:t>
      </w:r>
      <w:r>
        <w:rPr>
          <w:rFonts w:ascii="Times" w:hAnsi="Times"/>
          <w:lang w:val="en-US"/>
        </w:rPr>
        <w:t>)</w:t>
      </w:r>
      <w:r w:rsidRPr="000279EC">
        <w:rPr>
          <w:rFonts w:ascii="Times" w:hAnsi="Times"/>
          <w:lang w:val="en-US"/>
        </w:rPr>
        <w:t>.</w:t>
      </w:r>
      <w:r>
        <w:rPr>
          <w:rFonts w:ascii="Times" w:hAnsi="Times"/>
          <w:lang w:val="en-US"/>
        </w:rPr>
        <w:t xml:space="preserve"> </w:t>
      </w:r>
      <w:r w:rsidRPr="000279EC">
        <w:rPr>
          <w:rFonts w:ascii="Times" w:hAnsi="Times"/>
          <w:lang w:val="en-US"/>
        </w:rPr>
        <w:t>Asset pricing with liquidity risk</w:t>
      </w:r>
      <w:r w:rsidRPr="00ED26F7">
        <w:rPr>
          <w:rFonts w:ascii="Times" w:hAnsi="Times"/>
          <w:lang w:val="en-US"/>
        </w:rPr>
        <w:t>. Journal of Financial Economics, 77</w:t>
      </w:r>
      <w:r w:rsidRPr="000279EC">
        <w:rPr>
          <w:rFonts w:ascii="Times" w:hAnsi="Times"/>
          <w:lang w:val="en-US"/>
        </w:rPr>
        <w:t>, 375-410.</w:t>
      </w:r>
    </w:p>
    <w:p w:rsidR="00B42A3F" w:rsidRPr="000279EC" w:rsidRDefault="00B42A3F" w:rsidP="00E06C9A">
      <w:pPr>
        <w:tabs>
          <w:tab w:val="left" w:pos="0"/>
        </w:tabs>
        <w:spacing w:before="120"/>
        <w:ind w:left="0" w:right="-8" w:firstLine="567"/>
        <w:jc w:val="both"/>
        <w:rPr>
          <w:rFonts w:ascii="Times" w:hAnsi="Times"/>
          <w:lang w:val="en-US"/>
        </w:rPr>
      </w:pPr>
      <w:r>
        <w:rPr>
          <w:rFonts w:ascii="Times" w:hAnsi="Times"/>
          <w:lang w:val="en-US"/>
        </w:rPr>
        <w:t>Allen, F., Gale, D. (</w:t>
      </w:r>
      <w:r w:rsidRPr="000279EC">
        <w:rPr>
          <w:rFonts w:ascii="Times" w:hAnsi="Times"/>
          <w:lang w:val="en-US"/>
        </w:rPr>
        <w:t>2000</w:t>
      </w:r>
      <w:r>
        <w:rPr>
          <w:rFonts w:ascii="Times" w:hAnsi="Times"/>
          <w:lang w:val="en-US"/>
        </w:rPr>
        <w:t>)</w:t>
      </w:r>
      <w:r w:rsidRPr="000279EC">
        <w:rPr>
          <w:rFonts w:ascii="Times" w:hAnsi="Times"/>
          <w:lang w:val="en-US"/>
        </w:rPr>
        <w:t xml:space="preserve">. Financial contagion. </w:t>
      </w:r>
      <w:r w:rsidRPr="00ED26F7">
        <w:rPr>
          <w:rFonts w:ascii="Times" w:hAnsi="Times"/>
          <w:lang w:val="en-US"/>
        </w:rPr>
        <w:t>Journal of Political Economy</w:t>
      </w:r>
      <w:r>
        <w:rPr>
          <w:rFonts w:ascii="Times" w:hAnsi="Times"/>
          <w:i/>
          <w:lang w:val="en-US"/>
        </w:rPr>
        <w:t>,</w:t>
      </w:r>
      <w:r w:rsidRPr="000279EC">
        <w:rPr>
          <w:rFonts w:ascii="Times" w:hAnsi="Times"/>
          <w:lang w:val="en-US"/>
        </w:rPr>
        <w:t xml:space="preserve"> 108, 1-33.</w:t>
      </w:r>
    </w:p>
    <w:p w:rsidR="00B42A3F" w:rsidRPr="0058455C" w:rsidRDefault="00B42A3F" w:rsidP="00E06C9A">
      <w:pPr>
        <w:tabs>
          <w:tab w:val="left" w:pos="0"/>
        </w:tabs>
        <w:spacing w:before="120"/>
        <w:ind w:left="0" w:right="-8" w:firstLine="567"/>
        <w:jc w:val="both"/>
        <w:rPr>
          <w:rFonts w:ascii="Times" w:hAnsi="Times"/>
          <w:lang w:val="en-US"/>
        </w:rPr>
      </w:pPr>
      <w:r>
        <w:rPr>
          <w:rFonts w:ascii="Times" w:hAnsi="Times"/>
          <w:lang w:val="en-US"/>
        </w:rPr>
        <w:t>Aragon, G., Strahan, P.</w:t>
      </w:r>
      <w:r w:rsidRPr="000279EC">
        <w:rPr>
          <w:rFonts w:ascii="Times" w:hAnsi="Times"/>
          <w:lang w:val="en-US"/>
        </w:rPr>
        <w:t xml:space="preserve"> </w:t>
      </w:r>
      <w:r>
        <w:rPr>
          <w:rFonts w:ascii="Times" w:hAnsi="Times"/>
          <w:lang w:val="en-US"/>
        </w:rPr>
        <w:t>(</w:t>
      </w:r>
      <w:r w:rsidRPr="000279EC">
        <w:rPr>
          <w:rFonts w:ascii="Times" w:hAnsi="Times"/>
          <w:lang w:val="en-US"/>
        </w:rPr>
        <w:t>2009</w:t>
      </w:r>
      <w:r>
        <w:rPr>
          <w:rFonts w:ascii="Times" w:hAnsi="Times"/>
          <w:lang w:val="en-US"/>
        </w:rPr>
        <w:t>)</w:t>
      </w:r>
      <w:r w:rsidRPr="000279EC">
        <w:rPr>
          <w:rFonts w:ascii="Times" w:hAnsi="Times"/>
          <w:lang w:val="en-US"/>
        </w:rPr>
        <w:t xml:space="preserve">. Hedge funds as liquidity providers: evidence from the Lehman bankruptcy. </w:t>
      </w:r>
      <w:r w:rsidRPr="00ED26F7">
        <w:rPr>
          <w:rFonts w:ascii="Times" w:hAnsi="Times"/>
          <w:lang w:val="en-US"/>
        </w:rPr>
        <w:t>Unpublished working paper</w:t>
      </w:r>
      <w:r w:rsidRPr="000279EC">
        <w:rPr>
          <w:rFonts w:ascii="Times" w:hAnsi="Times"/>
          <w:lang w:val="en-US"/>
        </w:rPr>
        <w:t>, University of Arizona.</w:t>
      </w:r>
    </w:p>
    <w:p w:rsidR="00B42A3F" w:rsidRPr="00ED26F7" w:rsidRDefault="00B42A3F" w:rsidP="00E06C9A">
      <w:pPr>
        <w:tabs>
          <w:tab w:val="left" w:pos="0"/>
        </w:tabs>
        <w:spacing w:before="120"/>
        <w:ind w:left="0" w:right="-8" w:firstLine="567"/>
        <w:jc w:val="both"/>
        <w:rPr>
          <w:rFonts w:ascii="Times" w:hAnsi="Times"/>
          <w:lang w:val="en-US"/>
        </w:rPr>
      </w:pPr>
      <w:r w:rsidRPr="000279EC">
        <w:rPr>
          <w:rFonts w:ascii="Times" w:hAnsi="Times"/>
          <w:lang w:val="en-US"/>
        </w:rPr>
        <w:t xml:space="preserve">Bonne, G., et al. </w:t>
      </w:r>
      <w:r>
        <w:rPr>
          <w:rFonts w:ascii="Times" w:hAnsi="Times"/>
          <w:lang w:val="en-US"/>
        </w:rPr>
        <w:t>(</w:t>
      </w:r>
      <w:r w:rsidRPr="000279EC">
        <w:rPr>
          <w:rFonts w:ascii="Times" w:hAnsi="Times"/>
          <w:lang w:val="en-US"/>
        </w:rPr>
        <w:t>2007</w:t>
      </w:r>
      <w:r>
        <w:rPr>
          <w:rFonts w:ascii="Times" w:hAnsi="Times"/>
          <w:lang w:val="en-US"/>
        </w:rPr>
        <w:t>).</w:t>
      </w:r>
      <w:r w:rsidRPr="000279EC">
        <w:rPr>
          <w:rFonts w:ascii="Times" w:hAnsi="Times"/>
          <w:lang w:val="en-US"/>
        </w:rPr>
        <w:t xml:space="preserve"> StarMine Analyst Revisions Model (ARM), </w:t>
      </w:r>
      <w:r w:rsidRPr="00ED26F7">
        <w:rPr>
          <w:rFonts w:ascii="Times" w:hAnsi="Times"/>
          <w:lang w:val="en-US"/>
        </w:rPr>
        <w:t>StarMine Whitepaper.</w:t>
      </w:r>
    </w:p>
    <w:p w:rsidR="00B42A3F" w:rsidRPr="000279EC" w:rsidRDefault="00B42A3F" w:rsidP="00E06C9A">
      <w:pPr>
        <w:tabs>
          <w:tab w:val="left" w:pos="0"/>
        </w:tabs>
        <w:spacing w:before="120"/>
        <w:ind w:left="0" w:right="-8" w:firstLine="567"/>
        <w:jc w:val="both"/>
        <w:rPr>
          <w:rFonts w:ascii="Times" w:hAnsi="Times"/>
          <w:lang w:val="en-US"/>
        </w:rPr>
      </w:pPr>
      <w:r>
        <w:rPr>
          <w:rFonts w:ascii="Times" w:hAnsi="Times"/>
          <w:lang w:val="en-US"/>
        </w:rPr>
        <w:t>Brunnermeier, M., Pedersen, L. (</w:t>
      </w:r>
      <w:r w:rsidRPr="000279EC">
        <w:rPr>
          <w:rFonts w:ascii="Times" w:hAnsi="Times"/>
          <w:lang w:val="en-US"/>
        </w:rPr>
        <w:t>2005</w:t>
      </w:r>
      <w:r>
        <w:rPr>
          <w:rFonts w:ascii="Times" w:hAnsi="Times"/>
          <w:lang w:val="en-US"/>
        </w:rPr>
        <w:t>)</w:t>
      </w:r>
      <w:r w:rsidRPr="000279EC">
        <w:rPr>
          <w:rFonts w:ascii="Times" w:hAnsi="Times"/>
          <w:lang w:val="en-US"/>
        </w:rPr>
        <w:t xml:space="preserve">. Predatory trading. </w:t>
      </w:r>
      <w:r w:rsidRPr="00ED26F7">
        <w:rPr>
          <w:rFonts w:ascii="Times" w:hAnsi="Times"/>
          <w:lang w:val="en-US"/>
        </w:rPr>
        <w:t>Journal of Finance</w:t>
      </w:r>
      <w:r>
        <w:rPr>
          <w:rFonts w:ascii="Times" w:hAnsi="Times"/>
          <w:i/>
          <w:lang w:val="en-US"/>
        </w:rPr>
        <w:t>,</w:t>
      </w:r>
      <w:r w:rsidRPr="000279EC">
        <w:rPr>
          <w:rFonts w:ascii="Times" w:hAnsi="Times"/>
          <w:lang w:val="en-US"/>
        </w:rPr>
        <w:t xml:space="preserve"> 60, 1825-1863.</w:t>
      </w:r>
    </w:p>
    <w:p w:rsidR="00B42A3F" w:rsidRPr="000279EC" w:rsidRDefault="00B42A3F" w:rsidP="00E06C9A">
      <w:pPr>
        <w:tabs>
          <w:tab w:val="left" w:pos="0"/>
        </w:tabs>
        <w:spacing w:before="120"/>
        <w:ind w:left="0" w:right="-8" w:firstLine="567"/>
        <w:jc w:val="both"/>
        <w:rPr>
          <w:rFonts w:ascii="Times" w:hAnsi="Times"/>
          <w:lang w:val="en-US"/>
        </w:rPr>
      </w:pPr>
      <w:r w:rsidRPr="000279EC">
        <w:rPr>
          <w:rFonts w:ascii="Times" w:hAnsi="Times"/>
          <w:lang w:val="en-US"/>
        </w:rPr>
        <w:t>Judge G. G., Griffits W. E., Hill R. C., Lutkepohl H., Lee Tsoung-Chao. The Theory and Practice of Econometrics. Second edition. NY: John Willey and Sons, 1985.</w:t>
      </w:r>
    </w:p>
    <w:p w:rsidR="00B42A3F" w:rsidRPr="000279EC" w:rsidRDefault="00B42A3F" w:rsidP="00E06C9A">
      <w:pPr>
        <w:tabs>
          <w:tab w:val="left" w:pos="0"/>
        </w:tabs>
        <w:spacing w:before="120"/>
        <w:ind w:left="0" w:right="-8" w:firstLine="567"/>
        <w:jc w:val="both"/>
        <w:rPr>
          <w:rFonts w:ascii="Times" w:hAnsi="Times"/>
          <w:lang w:val="en-US"/>
        </w:rPr>
      </w:pPr>
      <w:r w:rsidRPr="000279EC">
        <w:rPr>
          <w:rFonts w:ascii="Times" w:hAnsi="Times"/>
          <w:lang w:val="en-US"/>
        </w:rPr>
        <w:t xml:space="preserve">Ivanov, V., Kilian, L. </w:t>
      </w:r>
      <w:r>
        <w:rPr>
          <w:rFonts w:ascii="Times" w:hAnsi="Times"/>
          <w:lang w:val="en-US"/>
        </w:rPr>
        <w:t>(</w:t>
      </w:r>
      <w:r w:rsidRPr="000279EC">
        <w:rPr>
          <w:rFonts w:ascii="Times" w:hAnsi="Times"/>
          <w:lang w:val="en-US"/>
        </w:rPr>
        <w:t>2005</w:t>
      </w:r>
      <w:r>
        <w:rPr>
          <w:rFonts w:ascii="Times" w:hAnsi="Times"/>
          <w:lang w:val="en-US"/>
        </w:rPr>
        <w:t>)</w:t>
      </w:r>
      <w:r w:rsidRPr="000279EC">
        <w:rPr>
          <w:rFonts w:ascii="Times" w:hAnsi="Times"/>
          <w:lang w:val="en-US"/>
        </w:rPr>
        <w:t xml:space="preserve">. A Practitioner’s Guide to Lag Order Selection For VAR Impulse Response Analysis. </w:t>
      </w:r>
      <w:r w:rsidRPr="00ED26F7">
        <w:rPr>
          <w:rFonts w:ascii="Times" w:hAnsi="Times"/>
          <w:lang w:val="en-US"/>
        </w:rPr>
        <w:t>Studies in Nonlinear Dynamics &amp; Econometrics</w:t>
      </w:r>
      <w:r>
        <w:rPr>
          <w:rFonts w:ascii="Times" w:hAnsi="Times"/>
          <w:i/>
          <w:lang w:val="en-US"/>
        </w:rPr>
        <w:t>,</w:t>
      </w:r>
      <w:r w:rsidRPr="000279EC">
        <w:rPr>
          <w:rFonts w:ascii="Times" w:hAnsi="Times"/>
          <w:lang w:val="en-US"/>
        </w:rPr>
        <w:t xml:space="preserve"> 9(1), 1-34.</w:t>
      </w:r>
    </w:p>
    <w:p w:rsidR="00B42A3F" w:rsidRPr="000279EC" w:rsidRDefault="00B42A3F" w:rsidP="00E06C9A">
      <w:pPr>
        <w:tabs>
          <w:tab w:val="left" w:pos="0"/>
        </w:tabs>
        <w:spacing w:before="120"/>
        <w:ind w:left="0" w:right="-8" w:firstLine="567"/>
        <w:jc w:val="both"/>
        <w:rPr>
          <w:rFonts w:ascii="Times" w:hAnsi="Times"/>
          <w:lang w:val="en-US"/>
        </w:rPr>
      </w:pPr>
      <w:r>
        <w:rPr>
          <w:rFonts w:ascii="Times" w:hAnsi="Times"/>
          <w:lang w:val="en-US"/>
        </w:rPr>
        <w:t>Kodres, L., Pritsker, M. (</w:t>
      </w:r>
      <w:r w:rsidRPr="000279EC">
        <w:rPr>
          <w:rFonts w:ascii="Times" w:hAnsi="Times"/>
          <w:lang w:val="en-US"/>
        </w:rPr>
        <w:t>2002</w:t>
      </w:r>
      <w:r>
        <w:rPr>
          <w:rFonts w:ascii="Times" w:hAnsi="Times"/>
          <w:lang w:val="en-US"/>
        </w:rPr>
        <w:t>)</w:t>
      </w:r>
      <w:r w:rsidRPr="000279EC">
        <w:rPr>
          <w:rFonts w:ascii="Times" w:hAnsi="Times"/>
          <w:lang w:val="en-US"/>
        </w:rPr>
        <w:t xml:space="preserve">. A rational expectations model of financial contagion. </w:t>
      </w:r>
      <w:r w:rsidRPr="00ED26F7">
        <w:rPr>
          <w:rFonts w:ascii="Times" w:hAnsi="Times"/>
          <w:lang w:val="en-US"/>
        </w:rPr>
        <w:t>Journal of Finance</w:t>
      </w:r>
      <w:r>
        <w:rPr>
          <w:rFonts w:ascii="Times" w:hAnsi="Times"/>
          <w:i/>
          <w:lang w:val="en-US"/>
        </w:rPr>
        <w:t>,</w:t>
      </w:r>
      <w:r w:rsidRPr="000279EC">
        <w:rPr>
          <w:rFonts w:ascii="Times" w:hAnsi="Times"/>
          <w:lang w:val="en-US"/>
        </w:rPr>
        <w:t xml:space="preserve"> 57, 769-800.</w:t>
      </w:r>
    </w:p>
    <w:p w:rsidR="00B42A3F" w:rsidRPr="000279EC" w:rsidRDefault="00B42A3F" w:rsidP="00E06C9A">
      <w:pPr>
        <w:tabs>
          <w:tab w:val="left" w:pos="0"/>
        </w:tabs>
        <w:spacing w:before="120"/>
        <w:ind w:left="0" w:right="-8" w:firstLine="567"/>
        <w:jc w:val="both"/>
        <w:rPr>
          <w:rFonts w:ascii="Times" w:hAnsi="Times"/>
          <w:lang w:val="en-US"/>
        </w:rPr>
      </w:pPr>
      <w:r w:rsidRPr="000279EC">
        <w:rPr>
          <w:rFonts w:ascii="Times" w:hAnsi="Times"/>
          <w:lang w:val="en-US"/>
        </w:rPr>
        <w:t xml:space="preserve">Longstaff, F.A. </w:t>
      </w:r>
      <w:r>
        <w:rPr>
          <w:rFonts w:ascii="Times" w:hAnsi="Times"/>
          <w:lang w:val="en-US"/>
        </w:rPr>
        <w:t>(</w:t>
      </w:r>
      <w:r w:rsidRPr="000279EC">
        <w:rPr>
          <w:rFonts w:ascii="Times" w:hAnsi="Times"/>
          <w:lang w:val="en-US"/>
        </w:rPr>
        <w:t>2008</w:t>
      </w:r>
      <w:r>
        <w:rPr>
          <w:rFonts w:ascii="Times" w:hAnsi="Times"/>
          <w:lang w:val="en-US"/>
        </w:rPr>
        <w:t>)</w:t>
      </w:r>
      <w:r w:rsidRPr="000279EC">
        <w:rPr>
          <w:rFonts w:ascii="Times" w:hAnsi="Times"/>
          <w:lang w:val="en-US"/>
        </w:rPr>
        <w:t xml:space="preserve">. Flight-from-leverage in distressed asset markets. </w:t>
      </w:r>
      <w:r w:rsidRPr="00ED26F7">
        <w:rPr>
          <w:rFonts w:ascii="Times" w:hAnsi="Times"/>
          <w:lang w:val="en-US"/>
        </w:rPr>
        <w:t>Unpublished working paper</w:t>
      </w:r>
      <w:r w:rsidRPr="000279EC">
        <w:rPr>
          <w:rFonts w:ascii="Times" w:hAnsi="Times"/>
          <w:lang w:val="en-US"/>
        </w:rPr>
        <w:t>, UCLA.</w:t>
      </w:r>
    </w:p>
    <w:p w:rsidR="00B42A3F" w:rsidRPr="000279EC" w:rsidRDefault="00B42A3F" w:rsidP="00E06C9A">
      <w:pPr>
        <w:tabs>
          <w:tab w:val="left" w:pos="0"/>
        </w:tabs>
        <w:spacing w:before="120"/>
        <w:ind w:left="0" w:right="-8" w:firstLine="567"/>
        <w:jc w:val="both"/>
        <w:rPr>
          <w:rFonts w:ascii="Times" w:hAnsi="Times"/>
          <w:lang w:val="en-US"/>
        </w:rPr>
      </w:pPr>
      <w:r w:rsidRPr="000279EC">
        <w:rPr>
          <w:rFonts w:ascii="Times" w:hAnsi="Times"/>
          <w:lang w:val="en-US"/>
        </w:rPr>
        <w:t xml:space="preserve">Longstaff, F.A. </w:t>
      </w:r>
      <w:r>
        <w:rPr>
          <w:rFonts w:ascii="Times" w:hAnsi="Times"/>
          <w:lang w:val="en-US"/>
        </w:rPr>
        <w:t>(</w:t>
      </w:r>
      <w:r w:rsidRPr="000279EC">
        <w:rPr>
          <w:rFonts w:ascii="Times" w:hAnsi="Times"/>
          <w:lang w:val="en-US"/>
        </w:rPr>
        <w:t>2010</w:t>
      </w:r>
      <w:r>
        <w:rPr>
          <w:rFonts w:ascii="Times" w:hAnsi="Times"/>
          <w:lang w:val="en-US"/>
        </w:rPr>
        <w:t>).</w:t>
      </w:r>
      <w:r w:rsidRPr="000279EC">
        <w:rPr>
          <w:rFonts w:ascii="Times" w:hAnsi="Times"/>
          <w:lang w:val="en-US"/>
        </w:rPr>
        <w:t xml:space="preserve"> The subprime credit crisis and contagion in financial markets, </w:t>
      </w:r>
      <w:r w:rsidRPr="00ED26F7">
        <w:rPr>
          <w:rFonts w:ascii="Times" w:hAnsi="Times"/>
          <w:lang w:val="en-US"/>
        </w:rPr>
        <w:t>Journal of Financial Economics</w:t>
      </w:r>
      <w:r>
        <w:rPr>
          <w:rFonts w:ascii="Times" w:hAnsi="Times"/>
          <w:i/>
          <w:lang w:val="en-US"/>
        </w:rPr>
        <w:t>,</w:t>
      </w:r>
      <w:r w:rsidRPr="000279EC">
        <w:rPr>
          <w:rFonts w:ascii="Times" w:hAnsi="Times"/>
          <w:lang w:val="en-US"/>
        </w:rPr>
        <w:t xml:space="preserve"> 97, 436-450.</w:t>
      </w:r>
    </w:p>
    <w:p w:rsidR="00B42A3F" w:rsidRPr="000279EC" w:rsidRDefault="00B42A3F" w:rsidP="00E06C9A">
      <w:pPr>
        <w:tabs>
          <w:tab w:val="left" w:pos="0"/>
        </w:tabs>
        <w:spacing w:before="120"/>
        <w:ind w:left="0" w:right="-8" w:firstLine="567"/>
        <w:jc w:val="both"/>
        <w:rPr>
          <w:rFonts w:ascii="Times" w:hAnsi="Times"/>
          <w:lang w:val="en-US"/>
        </w:rPr>
      </w:pPr>
      <w:r w:rsidRPr="000279EC">
        <w:rPr>
          <w:rFonts w:ascii="Times" w:hAnsi="Times"/>
          <w:lang w:val="en-US"/>
        </w:rPr>
        <w:t xml:space="preserve">Shibata, R. </w:t>
      </w:r>
      <w:r>
        <w:rPr>
          <w:rFonts w:ascii="Times" w:hAnsi="Times"/>
          <w:lang w:val="en-US"/>
        </w:rPr>
        <w:t>(</w:t>
      </w:r>
      <w:r w:rsidRPr="000279EC">
        <w:rPr>
          <w:rFonts w:ascii="Times" w:hAnsi="Times"/>
          <w:lang w:val="en-US"/>
        </w:rPr>
        <w:t>1976</w:t>
      </w:r>
      <w:r>
        <w:rPr>
          <w:rFonts w:ascii="Times" w:hAnsi="Times"/>
          <w:lang w:val="en-US"/>
        </w:rPr>
        <w:t>)</w:t>
      </w:r>
      <w:r w:rsidRPr="000279EC">
        <w:rPr>
          <w:rFonts w:ascii="Times" w:hAnsi="Times"/>
          <w:lang w:val="en-US"/>
        </w:rPr>
        <w:t xml:space="preserve">. Selection of the Order on an Autoregressive Model by Akaike’s Information Criterion. </w:t>
      </w:r>
      <w:r w:rsidRPr="00ED26F7">
        <w:rPr>
          <w:rFonts w:ascii="Times" w:hAnsi="Times"/>
          <w:lang w:val="en-US"/>
        </w:rPr>
        <w:t>Biometrika</w:t>
      </w:r>
      <w:r>
        <w:rPr>
          <w:rFonts w:ascii="Times" w:hAnsi="Times"/>
          <w:i/>
          <w:lang w:val="en-US"/>
        </w:rPr>
        <w:t>,</w:t>
      </w:r>
      <w:r w:rsidRPr="000279EC">
        <w:rPr>
          <w:rFonts w:ascii="Times" w:hAnsi="Times"/>
          <w:lang w:val="en-US"/>
        </w:rPr>
        <w:t xml:space="preserve"> 63, 147–164.</w:t>
      </w:r>
    </w:p>
    <w:p w:rsidR="00B42A3F" w:rsidRPr="000279EC" w:rsidRDefault="00B42A3F" w:rsidP="00E06C9A">
      <w:pPr>
        <w:tabs>
          <w:tab w:val="left" w:pos="0"/>
        </w:tabs>
        <w:spacing w:before="120"/>
        <w:ind w:left="0" w:right="-8" w:firstLine="567"/>
        <w:jc w:val="both"/>
        <w:rPr>
          <w:rFonts w:ascii="Times" w:hAnsi="Times"/>
          <w:lang w:val="en-US"/>
        </w:rPr>
      </w:pPr>
      <w:r>
        <w:rPr>
          <w:rFonts w:ascii="Times" w:hAnsi="Times"/>
          <w:lang w:val="en-US"/>
        </w:rPr>
        <w:t>Vayanos, D.</w:t>
      </w:r>
      <w:r w:rsidRPr="000279EC">
        <w:rPr>
          <w:rFonts w:ascii="Times" w:hAnsi="Times"/>
          <w:lang w:val="en-US"/>
        </w:rPr>
        <w:t xml:space="preserve"> </w:t>
      </w:r>
      <w:r>
        <w:rPr>
          <w:rFonts w:ascii="Times" w:hAnsi="Times"/>
          <w:lang w:val="en-US"/>
        </w:rPr>
        <w:t>(</w:t>
      </w:r>
      <w:r w:rsidRPr="000279EC">
        <w:rPr>
          <w:rFonts w:ascii="Times" w:hAnsi="Times"/>
          <w:lang w:val="en-US"/>
        </w:rPr>
        <w:t>2004</w:t>
      </w:r>
      <w:r>
        <w:rPr>
          <w:rFonts w:ascii="Times" w:hAnsi="Times"/>
          <w:lang w:val="en-US"/>
        </w:rPr>
        <w:t>)</w:t>
      </w:r>
      <w:r w:rsidRPr="000279EC">
        <w:rPr>
          <w:rFonts w:ascii="Times" w:hAnsi="Times"/>
          <w:lang w:val="en-US"/>
        </w:rPr>
        <w:t xml:space="preserve">. Flight to quality, flight to liquidity, and the pricing of risk. </w:t>
      </w:r>
      <w:r w:rsidRPr="00ED26F7">
        <w:rPr>
          <w:rFonts w:ascii="Times" w:hAnsi="Times"/>
          <w:lang w:val="en-US"/>
        </w:rPr>
        <w:t>Unpublished working paper</w:t>
      </w:r>
      <w:r w:rsidRPr="000279EC">
        <w:rPr>
          <w:rFonts w:ascii="Times" w:hAnsi="Times"/>
          <w:lang w:val="en-US"/>
        </w:rPr>
        <w:t>, London School of Economics.</w:t>
      </w:r>
    </w:p>
    <w:p w:rsidR="00E06C9A" w:rsidRDefault="00E06C9A">
      <w:pPr>
        <w:rPr>
          <w:rFonts w:ascii="Times" w:hAnsi="Times"/>
          <w:b/>
          <w:lang w:val="en-US"/>
        </w:rPr>
      </w:pPr>
      <w:r>
        <w:rPr>
          <w:rFonts w:ascii="Times" w:hAnsi="Times"/>
          <w:b/>
          <w:lang w:val="en-US"/>
        </w:rPr>
        <w:br w:type="page"/>
      </w:r>
    </w:p>
    <w:p w:rsidR="00B42A3F" w:rsidRPr="007406C1" w:rsidRDefault="00B42A3F" w:rsidP="00E06C9A">
      <w:pPr>
        <w:ind w:left="0" w:right="-292" w:firstLine="0"/>
        <w:jc w:val="center"/>
        <w:rPr>
          <w:rFonts w:ascii="Times" w:eastAsia="MS Mincho" w:hAnsi="Times" w:cs="Times New Roman"/>
          <w:b/>
          <w:lang w:val="en-US"/>
        </w:rPr>
      </w:pPr>
      <w:r w:rsidRPr="007406C1">
        <w:rPr>
          <w:rFonts w:ascii="Times" w:eastAsia="MS Mincho" w:hAnsi="Times" w:cs="Times New Roman"/>
          <w:b/>
          <w:lang w:val="en-US"/>
        </w:rPr>
        <w:lastRenderedPageBreak/>
        <w:t>Executive summary</w:t>
      </w:r>
    </w:p>
    <w:p w:rsidR="00B42A3F" w:rsidRPr="007406C1" w:rsidRDefault="00B42A3F" w:rsidP="00E06C9A">
      <w:pPr>
        <w:ind w:left="0" w:right="-292" w:firstLine="0"/>
        <w:rPr>
          <w:rFonts w:ascii="Times" w:eastAsia="MS Mincho" w:hAnsi="Times" w:cs="Times New Roman"/>
          <w:b/>
          <w:lang w:val="en-US"/>
        </w:rPr>
      </w:pPr>
    </w:p>
    <w:p w:rsidR="00B42A3F" w:rsidRPr="007406C1" w:rsidRDefault="00B42A3F" w:rsidP="00E06C9A">
      <w:pPr>
        <w:widowControl w:val="0"/>
        <w:autoSpaceDE w:val="0"/>
        <w:autoSpaceDN w:val="0"/>
        <w:adjustRightInd w:val="0"/>
        <w:ind w:left="0" w:right="-292" w:firstLine="0"/>
        <w:jc w:val="both"/>
        <w:rPr>
          <w:rFonts w:ascii="Times New Roman" w:eastAsia="MS Mincho" w:hAnsi="Times New Roman" w:cs="Times New Roman"/>
          <w:lang w:val="en-US"/>
        </w:rPr>
      </w:pPr>
      <w:r w:rsidRPr="007406C1">
        <w:rPr>
          <w:rFonts w:ascii="Times New Roman" w:eastAsia="MS Mincho" w:hAnsi="Times New Roman" w:cs="Times New Roman"/>
          <w:lang w:val="en-US"/>
        </w:rPr>
        <w:t xml:space="preserve">The aim of the paper is to find the industry indicators of the coming economic crisis. </w:t>
      </w:r>
    </w:p>
    <w:p w:rsidR="00B42A3F" w:rsidRPr="007406C1" w:rsidRDefault="00B42A3F" w:rsidP="00E06C9A">
      <w:pPr>
        <w:widowControl w:val="0"/>
        <w:autoSpaceDE w:val="0"/>
        <w:autoSpaceDN w:val="0"/>
        <w:adjustRightInd w:val="0"/>
        <w:ind w:left="0" w:right="-292" w:firstLine="0"/>
        <w:jc w:val="both"/>
        <w:rPr>
          <w:rFonts w:ascii="Times" w:eastAsia="MS Mincho" w:hAnsi="Times" w:cs="Times New Roman"/>
          <w:lang w:val="en-US"/>
        </w:rPr>
      </w:pPr>
      <w:r w:rsidRPr="007406C1">
        <w:rPr>
          <w:rFonts w:ascii="Times" w:eastAsia="MS Mincho" w:hAnsi="Times" w:cs="Times New Roman"/>
          <w:lang w:val="en-US"/>
        </w:rPr>
        <w:t xml:space="preserve">In the paper the financial contagion indicators are presented, which are working on Russian market. The revelation of the crisis indicators will enable the company to define how much the current situation is closer to crisis. It will also help to understand, in which particular area the problems may occur. </w:t>
      </w:r>
    </w:p>
    <w:p w:rsidR="00B42A3F" w:rsidRPr="007406C1" w:rsidRDefault="00B42A3F" w:rsidP="00E06C9A">
      <w:pPr>
        <w:widowControl w:val="0"/>
        <w:autoSpaceDE w:val="0"/>
        <w:autoSpaceDN w:val="0"/>
        <w:adjustRightInd w:val="0"/>
        <w:ind w:left="0" w:right="-292" w:firstLine="0"/>
        <w:jc w:val="both"/>
        <w:rPr>
          <w:rFonts w:ascii="Times" w:eastAsia="MS Mincho" w:hAnsi="Times" w:cs="Times New Roman"/>
          <w:lang w:val="en-US"/>
        </w:rPr>
      </w:pPr>
      <w:r w:rsidRPr="007406C1">
        <w:rPr>
          <w:rFonts w:ascii="Times" w:eastAsia="MS Mincho" w:hAnsi="Times" w:cs="Times New Roman"/>
          <w:lang w:val="en-US"/>
        </w:rPr>
        <w:t xml:space="preserve">On the base of the financial contagion effect model, proposed dy F.A. Longstaff [Longstaff, 2010], the financial contagion was divided into three different channels of spreading: the risk-premium channel, the liquidity channel and the correlation-information channel. The hypotheses were that the financial contagion on Russian market was distributed throw this channels (3 hypotheses, each goes to one particular channel), and two of them were accepted on the base of vector autoregression model (VAR) testing. </w:t>
      </w:r>
    </w:p>
    <w:p w:rsidR="00B42A3F" w:rsidRPr="007406C1" w:rsidRDefault="00B42A3F" w:rsidP="00E06C9A">
      <w:pPr>
        <w:widowControl w:val="0"/>
        <w:autoSpaceDE w:val="0"/>
        <w:autoSpaceDN w:val="0"/>
        <w:adjustRightInd w:val="0"/>
        <w:ind w:left="0" w:right="-292" w:firstLine="0"/>
        <w:jc w:val="both"/>
        <w:rPr>
          <w:rFonts w:ascii="Times" w:eastAsia="MS Mincho" w:hAnsi="Times" w:cs="Times New Roman"/>
          <w:lang w:val="en-US"/>
        </w:rPr>
      </w:pPr>
      <w:r w:rsidRPr="007406C1">
        <w:rPr>
          <w:rFonts w:ascii="Times" w:eastAsia="MS Mincho" w:hAnsi="Times" w:cs="Times New Roman"/>
          <w:lang w:val="en-US"/>
        </w:rPr>
        <w:t>So, the first result of the study is that it was proved, that during the 2014-2015 years crisis on Russian market two financial contagion distribution channels were active: the risk-premium and the liquidity channels. The information-correlation channel was passive (this is consistent with the situation of foreign investors’ high interest in Russia as in the country of investing into).</w:t>
      </w:r>
    </w:p>
    <w:p w:rsidR="00B42A3F" w:rsidRPr="007406C1" w:rsidRDefault="00B42A3F" w:rsidP="00E06C9A">
      <w:pPr>
        <w:widowControl w:val="0"/>
        <w:autoSpaceDE w:val="0"/>
        <w:autoSpaceDN w:val="0"/>
        <w:adjustRightInd w:val="0"/>
        <w:ind w:left="0" w:right="-292" w:firstLine="0"/>
        <w:jc w:val="both"/>
        <w:rPr>
          <w:rFonts w:ascii="Times" w:eastAsia="MS Mincho" w:hAnsi="Times" w:cs="Times New Roman"/>
          <w:lang w:val="en-US"/>
        </w:rPr>
      </w:pPr>
      <w:r w:rsidRPr="007406C1">
        <w:rPr>
          <w:rFonts w:ascii="Times" w:eastAsia="MS Mincho" w:hAnsi="Times" w:cs="Times New Roman"/>
          <w:lang w:val="en-US"/>
        </w:rPr>
        <w:t>The second result of the study is the algorithm developed, that can de used in the process of company’s risk-management strategy building. The idea is that each of the financial contagion distribution channel is associated with one particular strategic dimension of the company’s policy: the risk-premium channel is connected with the financial strategy, the information-correlated channel is connected with the investment strategy, and the liquidity channel is connected with the operation strategy.</w:t>
      </w:r>
    </w:p>
    <w:p w:rsidR="00B42A3F" w:rsidRPr="007406C1" w:rsidRDefault="00B42A3F" w:rsidP="00E06C9A">
      <w:pPr>
        <w:widowControl w:val="0"/>
        <w:autoSpaceDE w:val="0"/>
        <w:autoSpaceDN w:val="0"/>
        <w:adjustRightInd w:val="0"/>
        <w:ind w:left="0" w:right="-292" w:firstLine="0"/>
        <w:jc w:val="both"/>
        <w:rPr>
          <w:rFonts w:ascii="Times" w:eastAsia="MS Mincho" w:hAnsi="Times" w:cs="Times New Roman"/>
          <w:lang w:val="en-US"/>
        </w:rPr>
      </w:pPr>
      <w:r w:rsidRPr="007406C1">
        <w:rPr>
          <w:rFonts w:ascii="Times" w:eastAsia="MS Mincho" w:hAnsi="Times" w:cs="Times New Roman"/>
          <w:lang w:val="en-US"/>
        </w:rPr>
        <w:t>The research was conducted with the use of Russian oil &amp; gas companies’ bond indexes dynamic data.</w:t>
      </w:r>
    </w:p>
    <w:p w:rsidR="00B42A3F" w:rsidRPr="007406C1" w:rsidRDefault="00B42A3F" w:rsidP="00E06C9A">
      <w:pPr>
        <w:widowControl w:val="0"/>
        <w:autoSpaceDE w:val="0"/>
        <w:autoSpaceDN w:val="0"/>
        <w:adjustRightInd w:val="0"/>
        <w:ind w:left="0" w:right="-292" w:firstLine="0"/>
        <w:jc w:val="both"/>
        <w:rPr>
          <w:rFonts w:ascii="Times New Roman" w:eastAsia="MS Mincho" w:hAnsi="Times New Roman" w:cs="Times New Roman"/>
          <w:lang w:val="en-US"/>
        </w:rPr>
      </w:pPr>
      <w:r w:rsidRPr="007406C1">
        <w:rPr>
          <w:rFonts w:ascii="Times New Roman" w:eastAsia="MS Mincho" w:hAnsi="Times New Roman" w:cs="Times New Roman"/>
          <w:lang w:val="en-US"/>
        </w:rPr>
        <w:t xml:space="preserve">This research is one of the first such attempts to find the indicators of the coming economic crisis for Russian market, in particular. </w:t>
      </w:r>
    </w:p>
    <w:p w:rsidR="00B42A3F" w:rsidRPr="007406C1" w:rsidRDefault="00B42A3F" w:rsidP="00E06C9A">
      <w:pPr>
        <w:widowControl w:val="0"/>
        <w:autoSpaceDE w:val="0"/>
        <w:autoSpaceDN w:val="0"/>
        <w:adjustRightInd w:val="0"/>
        <w:ind w:left="0" w:right="-292" w:firstLine="0"/>
        <w:jc w:val="both"/>
        <w:rPr>
          <w:rFonts w:ascii="Times New Roman" w:eastAsia="MS Mincho" w:hAnsi="Times New Roman" w:cs="Times New Roman"/>
          <w:lang w:val="en-US"/>
        </w:rPr>
      </w:pPr>
      <w:r w:rsidRPr="007406C1">
        <w:rPr>
          <w:rFonts w:ascii="Times New Roman" w:eastAsia="MS Mincho" w:hAnsi="Times New Roman" w:cs="Times New Roman"/>
          <w:lang w:val="en-US"/>
        </w:rPr>
        <w:t>The research is based on the econometric methods of the time series analysis. The results obtained can be used for the economic dynamics forecasting in the further academic research.</w:t>
      </w:r>
    </w:p>
    <w:p w:rsidR="00B42A3F" w:rsidRPr="00A65EF2" w:rsidRDefault="00B42A3F" w:rsidP="00E06C9A">
      <w:pPr>
        <w:spacing w:before="120"/>
        <w:ind w:left="0" w:right="-292" w:firstLine="0"/>
        <w:jc w:val="center"/>
        <w:rPr>
          <w:rFonts w:ascii="Times" w:hAnsi="Times"/>
          <w:b/>
        </w:rPr>
      </w:pPr>
      <w:r>
        <w:rPr>
          <w:rFonts w:ascii="Times" w:hAnsi="Times"/>
          <w:b/>
        </w:rPr>
        <w:t>ПРИЛОЖЕНИЯ</w:t>
      </w:r>
    </w:p>
    <w:p w:rsidR="00B42A3F" w:rsidRPr="00A65EF2" w:rsidRDefault="00B42A3F" w:rsidP="00E06C9A">
      <w:pPr>
        <w:spacing w:before="120"/>
        <w:ind w:left="0" w:right="-292" w:firstLine="0"/>
        <w:jc w:val="right"/>
        <w:rPr>
          <w:rFonts w:ascii="Times" w:hAnsi="Times"/>
          <w:b/>
        </w:rPr>
      </w:pPr>
      <w:r w:rsidRPr="00A65EF2">
        <w:rPr>
          <w:rFonts w:ascii="Times" w:hAnsi="Times"/>
          <w:b/>
        </w:rPr>
        <w:t xml:space="preserve">Приложение 1 </w:t>
      </w:r>
    </w:p>
    <w:p w:rsidR="00B42A3F" w:rsidRPr="00A65EF2" w:rsidRDefault="00B42A3F" w:rsidP="00E06C9A">
      <w:pPr>
        <w:spacing w:before="120"/>
        <w:ind w:left="0" w:right="-292" w:firstLine="0"/>
        <w:jc w:val="right"/>
        <w:rPr>
          <w:rFonts w:ascii="Times" w:hAnsi="Times"/>
          <w:b/>
        </w:rPr>
      </w:pPr>
    </w:p>
    <w:p w:rsidR="00B42A3F" w:rsidRPr="00A65EF2" w:rsidRDefault="00B42A3F" w:rsidP="00E06C9A">
      <w:pPr>
        <w:spacing w:before="120"/>
        <w:ind w:left="0" w:right="-292" w:firstLine="0"/>
        <w:jc w:val="center"/>
        <w:rPr>
          <w:rFonts w:ascii="Times" w:hAnsi="Times"/>
          <w:b/>
        </w:rPr>
      </w:pPr>
      <w:r w:rsidRPr="00A65EF2">
        <w:rPr>
          <w:rFonts w:ascii="Times" w:hAnsi="Times"/>
          <w:b/>
        </w:rPr>
        <w:t xml:space="preserve">Модель </w:t>
      </w:r>
      <w:r>
        <w:rPr>
          <w:rFonts w:ascii="Times" w:hAnsi="Times"/>
          <w:b/>
          <w:lang w:val="en-US"/>
        </w:rPr>
        <w:t>Smartratios</w:t>
      </w:r>
      <w:r w:rsidRPr="00A65EF2">
        <w:rPr>
          <w:rFonts w:ascii="Times" w:hAnsi="Times"/>
          <w:b/>
        </w:rPr>
        <w:t xml:space="preserve">, </w:t>
      </w:r>
      <w:r>
        <w:rPr>
          <w:rFonts w:ascii="Times" w:hAnsi="Times"/>
          <w:b/>
        </w:rPr>
        <w:t>представленная</w:t>
      </w:r>
      <w:r w:rsidRPr="00A65EF2">
        <w:rPr>
          <w:rFonts w:ascii="Times" w:hAnsi="Times"/>
          <w:b/>
        </w:rPr>
        <w:t xml:space="preserve"> </w:t>
      </w:r>
      <w:r>
        <w:rPr>
          <w:rFonts w:ascii="Times" w:hAnsi="Times"/>
          <w:b/>
        </w:rPr>
        <w:t>в</w:t>
      </w:r>
      <w:r w:rsidRPr="00A65EF2">
        <w:rPr>
          <w:rFonts w:ascii="Times" w:hAnsi="Times"/>
          <w:b/>
        </w:rPr>
        <w:t xml:space="preserve"> </w:t>
      </w:r>
      <w:r>
        <w:rPr>
          <w:rFonts w:ascii="Times" w:hAnsi="Times"/>
          <w:b/>
          <w:lang w:val="en-US"/>
        </w:rPr>
        <w:t>Thomson</w:t>
      </w:r>
      <w:r w:rsidRPr="00A65EF2">
        <w:rPr>
          <w:rFonts w:ascii="Times" w:hAnsi="Times"/>
          <w:b/>
        </w:rPr>
        <w:t xml:space="preserve"> </w:t>
      </w:r>
      <w:r>
        <w:rPr>
          <w:rFonts w:ascii="Times" w:hAnsi="Times"/>
          <w:b/>
          <w:lang w:val="en-US"/>
        </w:rPr>
        <w:t>Reuters</w:t>
      </w:r>
      <w:r w:rsidRPr="00A65EF2">
        <w:rPr>
          <w:rFonts w:ascii="Times" w:hAnsi="Times"/>
          <w:b/>
        </w:rPr>
        <w:t xml:space="preserve"> </w:t>
      </w:r>
      <w:r>
        <w:rPr>
          <w:rFonts w:ascii="Times" w:hAnsi="Times"/>
          <w:b/>
          <w:lang w:val="en-US"/>
        </w:rPr>
        <w:t>Eikon</w:t>
      </w:r>
    </w:p>
    <w:p w:rsidR="00B42A3F" w:rsidRPr="00A277BD" w:rsidRDefault="00B42A3F" w:rsidP="00E06C9A">
      <w:pPr>
        <w:spacing w:before="120"/>
        <w:ind w:left="0" w:right="-292" w:firstLine="0"/>
        <w:jc w:val="both"/>
        <w:rPr>
          <w:rFonts w:ascii="Times" w:hAnsi="Times"/>
        </w:rPr>
      </w:pPr>
      <w:r w:rsidRPr="0058455C">
        <w:rPr>
          <w:rFonts w:ascii="Times" w:hAnsi="Times"/>
        </w:rPr>
        <w:t xml:space="preserve">Согласно описанию </w:t>
      </w:r>
      <w:r>
        <w:rPr>
          <w:rFonts w:ascii="Times" w:hAnsi="Times"/>
          <w:lang w:val="en-US"/>
        </w:rPr>
        <w:t>Thomson</w:t>
      </w:r>
      <w:r w:rsidRPr="0058455C">
        <w:rPr>
          <w:rFonts w:ascii="Times" w:hAnsi="Times"/>
        </w:rPr>
        <w:t xml:space="preserve"> </w:t>
      </w:r>
      <w:r>
        <w:rPr>
          <w:rFonts w:ascii="Times" w:hAnsi="Times"/>
          <w:lang w:val="en-US"/>
        </w:rPr>
        <w:t>Reuters</w:t>
      </w:r>
      <w:r w:rsidRPr="0058455C">
        <w:rPr>
          <w:rFonts w:ascii="Times" w:hAnsi="Times"/>
        </w:rPr>
        <w:t xml:space="preserve"> </w:t>
      </w:r>
      <w:r>
        <w:rPr>
          <w:rFonts w:ascii="Times" w:hAnsi="Times"/>
          <w:lang w:val="en-US"/>
        </w:rPr>
        <w:t>Eikon</w:t>
      </w:r>
      <w:r>
        <w:rPr>
          <w:rFonts w:ascii="Times" w:hAnsi="Times"/>
        </w:rPr>
        <w:t xml:space="preserve">, модель </w:t>
      </w:r>
      <w:r>
        <w:rPr>
          <w:rFonts w:ascii="Times" w:hAnsi="Times"/>
          <w:lang w:val="en-US"/>
        </w:rPr>
        <w:t>Smartratios</w:t>
      </w:r>
      <w:r w:rsidRPr="0058455C">
        <w:rPr>
          <w:rFonts w:ascii="Times" w:hAnsi="Times"/>
        </w:rPr>
        <w:t xml:space="preserve"> </w:t>
      </w:r>
      <w:r>
        <w:rPr>
          <w:rFonts w:ascii="Times" w:hAnsi="Times"/>
        </w:rPr>
        <w:t>имеет следующие преимущества:</w:t>
      </w:r>
    </w:p>
    <w:p w:rsidR="00B42A3F" w:rsidRPr="0058455C" w:rsidRDefault="00B42A3F" w:rsidP="0022187D">
      <w:pPr>
        <w:pStyle w:val="aa"/>
        <w:numPr>
          <w:ilvl w:val="0"/>
          <w:numId w:val="31"/>
        </w:numPr>
        <w:spacing w:before="120"/>
        <w:ind w:left="0" w:right="-292" w:firstLine="0"/>
        <w:jc w:val="both"/>
        <w:rPr>
          <w:rFonts w:ascii="Times" w:hAnsi="Times"/>
        </w:rPr>
      </w:pPr>
      <w:r w:rsidRPr="0058455C">
        <w:rPr>
          <w:rFonts w:ascii="Times" w:hAnsi="Times"/>
        </w:rPr>
        <w:t>Устойчивые прогнозы, основанные на бухгалтерских показателях;</w:t>
      </w:r>
    </w:p>
    <w:p w:rsidR="00B42A3F" w:rsidRPr="0058455C" w:rsidRDefault="00B42A3F" w:rsidP="0022187D">
      <w:pPr>
        <w:pStyle w:val="aa"/>
        <w:numPr>
          <w:ilvl w:val="0"/>
          <w:numId w:val="31"/>
        </w:numPr>
        <w:spacing w:before="120"/>
        <w:ind w:left="0" w:right="-292" w:firstLine="0"/>
        <w:jc w:val="both"/>
        <w:rPr>
          <w:rFonts w:ascii="Times" w:hAnsi="Times"/>
        </w:rPr>
      </w:pPr>
      <w:r w:rsidRPr="0058455C">
        <w:rPr>
          <w:rFonts w:ascii="Times" w:hAnsi="Times"/>
        </w:rPr>
        <w:t>Объединяет информацию как из фактических, так и из прогнозных оценок аналитиков;</w:t>
      </w:r>
    </w:p>
    <w:p w:rsidR="00B42A3F" w:rsidRPr="0058455C" w:rsidRDefault="00B42A3F" w:rsidP="0022187D">
      <w:pPr>
        <w:pStyle w:val="aa"/>
        <w:numPr>
          <w:ilvl w:val="0"/>
          <w:numId w:val="31"/>
        </w:numPr>
        <w:spacing w:before="120"/>
        <w:ind w:left="0" w:right="-292" w:firstLine="0"/>
        <w:jc w:val="both"/>
        <w:rPr>
          <w:rFonts w:ascii="Times" w:hAnsi="Times"/>
        </w:rPr>
      </w:pPr>
      <w:r w:rsidRPr="0058455C">
        <w:rPr>
          <w:rFonts w:ascii="Times" w:hAnsi="Times"/>
        </w:rPr>
        <w:t>Использует оценки, специфические для отрасли;</w:t>
      </w:r>
    </w:p>
    <w:p w:rsidR="00B42A3F" w:rsidRPr="0058455C" w:rsidRDefault="00B42A3F" w:rsidP="0022187D">
      <w:pPr>
        <w:pStyle w:val="aa"/>
        <w:numPr>
          <w:ilvl w:val="0"/>
          <w:numId w:val="31"/>
        </w:numPr>
        <w:spacing w:before="120"/>
        <w:ind w:left="0" w:right="-292" w:firstLine="0"/>
        <w:jc w:val="both"/>
        <w:rPr>
          <w:rFonts w:ascii="Times" w:hAnsi="Times"/>
        </w:rPr>
      </w:pPr>
      <w:r w:rsidRPr="0058455C">
        <w:rPr>
          <w:rFonts w:ascii="Times" w:hAnsi="Times"/>
        </w:rPr>
        <w:t>Объединяет бухгалтерские оценки с учётом весов, что позволяет придать наиболее значимой оценке для данного сектора наибольший вес;</w:t>
      </w:r>
    </w:p>
    <w:p w:rsidR="00B42A3F" w:rsidRPr="0058455C" w:rsidRDefault="00B42A3F" w:rsidP="0022187D">
      <w:pPr>
        <w:pStyle w:val="aa"/>
        <w:numPr>
          <w:ilvl w:val="0"/>
          <w:numId w:val="31"/>
        </w:numPr>
        <w:spacing w:before="120"/>
        <w:ind w:left="0" w:right="-292" w:firstLine="0"/>
        <w:jc w:val="both"/>
        <w:rPr>
          <w:rFonts w:ascii="Times" w:hAnsi="Times"/>
        </w:rPr>
      </w:pPr>
      <w:r w:rsidRPr="0058455C">
        <w:rPr>
          <w:rFonts w:ascii="Times" w:hAnsi="Times"/>
        </w:rPr>
        <w:t>Исключает выбросы и пропущенные значения без разрывов массивов данных и осторожно.</w:t>
      </w:r>
    </w:p>
    <w:p w:rsidR="00B42A3F" w:rsidRDefault="00B42A3F" w:rsidP="00E06C9A">
      <w:pPr>
        <w:spacing w:before="120"/>
        <w:ind w:left="0" w:right="-292" w:firstLine="0"/>
        <w:jc w:val="both"/>
        <w:rPr>
          <w:rFonts w:ascii="Times" w:hAnsi="Times"/>
        </w:rPr>
      </w:pPr>
      <w:r w:rsidRPr="0058455C">
        <w:rPr>
          <w:rFonts w:ascii="Times" w:hAnsi="Times"/>
        </w:rPr>
        <w:lastRenderedPageBreak/>
        <w:t xml:space="preserve">Модель </w:t>
      </w:r>
      <w:r>
        <w:rPr>
          <w:rFonts w:ascii="Times" w:hAnsi="Times"/>
          <w:lang w:val="en-US"/>
        </w:rPr>
        <w:t>Smartratios</w:t>
      </w:r>
      <w:r w:rsidRPr="0058455C">
        <w:rPr>
          <w:rFonts w:ascii="Times" w:hAnsi="Times"/>
        </w:rPr>
        <w:t xml:space="preserve"> </w:t>
      </w:r>
      <w:r>
        <w:rPr>
          <w:rFonts w:ascii="Times" w:hAnsi="Times"/>
        </w:rPr>
        <w:t>объединяет некоторые бухгалтерские оценки и специфические для отрасли показатели метрики (системы измерений) в модели логистической регрессии. В модели все переменные разделены на 5 групп:</w:t>
      </w:r>
    </w:p>
    <w:p w:rsidR="00B42A3F" w:rsidRPr="00E32074" w:rsidRDefault="00B42A3F" w:rsidP="0022187D">
      <w:pPr>
        <w:pStyle w:val="aa"/>
        <w:numPr>
          <w:ilvl w:val="0"/>
          <w:numId w:val="32"/>
        </w:numPr>
        <w:spacing w:before="120"/>
        <w:ind w:left="0" w:right="-292" w:firstLine="0"/>
        <w:jc w:val="both"/>
        <w:rPr>
          <w:rFonts w:ascii="Times" w:hAnsi="Times"/>
        </w:rPr>
      </w:pPr>
      <w:r w:rsidRPr="00E32074">
        <w:rPr>
          <w:rFonts w:ascii="Times" w:hAnsi="Times"/>
        </w:rPr>
        <w:t>Доходность;</w:t>
      </w:r>
    </w:p>
    <w:p w:rsidR="00B42A3F" w:rsidRDefault="00B42A3F" w:rsidP="0022187D">
      <w:pPr>
        <w:pStyle w:val="aa"/>
        <w:numPr>
          <w:ilvl w:val="0"/>
          <w:numId w:val="32"/>
        </w:numPr>
        <w:spacing w:before="120"/>
        <w:ind w:left="0" w:right="-292" w:firstLine="0"/>
        <w:jc w:val="both"/>
        <w:rPr>
          <w:rFonts w:ascii="Times" w:hAnsi="Times"/>
        </w:rPr>
      </w:pPr>
      <w:r>
        <w:rPr>
          <w:rFonts w:ascii="Times" w:hAnsi="Times"/>
        </w:rPr>
        <w:t>Финансовый рычаг (леверидж);</w:t>
      </w:r>
    </w:p>
    <w:p w:rsidR="00B42A3F" w:rsidRDefault="00B42A3F" w:rsidP="0022187D">
      <w:pPr>
        <w:pStyle w:val="aa"/>
        <w:numPr>
          <w:ilvl w:val="0"/>
          <w:numId w:val="32"/>
        </w:numPr>
        <w:spacing w:before="120"/>
        <w:ind w:left="0" w:right="-292" w:firstLine="0"/>
        <w:jc w:val="both"/>
        <w:rPr>
          <w:rFonts w:ascii="Times" w:hAnsi="Times"/>
        </w:rPr>
      </w:pPr>
      <w:r>
        <w:rPr>
          <w:rFonts w:ascii="Times" w:hAnsi="Times"/>
        </w:rPr>
        <w:t>Покрытие;</w:t>
      </w:r>
    </w:p>
    <w:p w:rsidR="00B42A3F" w:rsidRDefault="00B42A3F" w:rsidP="0022187D">
      <w:pPr>
        <w:pStyle w:val="aa"/>
        <w:numPr>
          <w:ilvl w:val="0"/>
          <w:numId w:val="32"/>
        </w:numPr>
        <w:spacing w:before="120"/>
        <w:ind w:left="0" w:right="-292" w:firstLine="0"/>
        <w:jc w:val="both"/>
        <w:rPr>
          <w:rFonts w:ascii="Times" w:hAnsi="Times"/>
        </w:rPr>
      </w:pPr>
      <w:r>
        <w:rPr>
          <w:rFonts w:ascii="Times" w:hAnsi="Times"/>
        </w:rPr>
        <w:t>Ликвидность;</w:t>
      </w:r>
    </w:p>
    <w:p w:rsidR="00B42A3F" w:rsidRPr="00E32074" w:rsidRDefault="00B42A3F" w:rsidP="0022187D">
      <w:pPr>
        <w:pStyle w:val="aa"/>
        <w:numPr>
          <w:ilvl w:val="0"/>
          <w:numId w:val="32"/>
        </w:numPr>
        <w:spacing w:before="120"/>
        <w:ind w:left="0" w:right="-292" w:firstLine="0"/>
        <w:jc w:val="both"/>
        <w:rPr>
          <w:rFonts w:ascii="Times" w:hAnsi="Times"/>
        </w:rPr>
      </w:pPr>
      <w:r>
        <w:rPr>
          <w:rFonts w:ascii="Times" w:hAnsi="Times"/>
        </w:rPr>
        <w:t>Рост и устойчивость (Таблица 1).</w:t>
      </w:r>
    </w:p>
    <w:p w:rsidR="00B42A3F" w:rsidRDefault="00B42A3F" w:rsidP="00E06C9A">
      <w:pPr>
        <w:ind w:left="0" w:right="-292" w:firstLine="0"/>
        <w:jc w:val="both"/>
        <w:rPr>
          <w:rFonts w:ascii="Times" w:hAnsi="Times"/>
          <w:lang w:val="en-US"/>
        </w:rPr>
      </w:pPr>
    </w:p>
    <w:p w:rsidR="00B42A3F" w:rsidRPr="00ED26F7" w:rsidRDefault="00B42A3F" w:rsidP="00E06C9A">
      <w:pPr>
        <w:ind w:left="0" w:right="-292" w:firstLine="0"/>
        <w:rPr>
          <w:rFonts w:ascii="Times" w:hAnsi="Times"/>
        </w:rPr>
      </w:pPr>
      <w:r w:rsidRPr="00ED26F7">
        <w:rPr>
          <w:rFonts w:ascii="Times" w:hAnsi="Times"/>
          <w:lang w:val="en-US"/>
        </w:rPr>
        <w:t>Таблица 1. Строение модели Smartratios</w:t>
      </w:r>
    </w:p>
    <w:p w:rsidR="00B42A3F" w:rsidRPr="00E32074" w:rsidRDefault="00B42A3F" w:rsidP="00E06C9A">
      <w:pPr>
        <w:ind w:left="0" w:right="-292" w:firstLine="0"/>
        <w:jc w:val="both"/>
        <w:rPr>
          <w:rFonts w:ascii="Times" w:hAnsi="Times"/>
          <w:b/>
          <w:sz w:val="20"/>
        </w:rPr>
      </w:pPr>
    </w:p>
    <w:tbl>
      <w:tblPr>
        <w:tblStyle w:val="ae"/>
        <w:tblW w:w="9356" w:type="dxa"/>
        <w:tblInd w:w="108" w:type="dxa"/>
        <w:tblLook w:val="04A0"/>
      </w:tblPr>
      <w:tblGrid>
        <w:gridCol w:w="1484"/>
        <w:gridCol w:w="3434"/>
        <w:gridCol w:w="4438"/>
      </w:tblGrid>
      <w:tr w:rsidR="00B42A3F" w:rsidRPr="0036597B" w:rsidTr="00B42A3F">
        <w:tc>
          <w:tcPr>
            <w:tcW w:w="0" w:type="auto"/>
          </w:tcPr>
          <w:p w:rsidR="00B42A3F" w:rsidRPr="0036597B" w:rsidRDefault="00B42A3F" w:rsidP="00B42A3F">
            <w:pPr>
              <w:jc w:val="both"/>
              <w:rPr>
                <w:rFonts w:ascii="Times" w:hAnsi="Times"/>
                <w:b/>
                <w:sz w:val="22"/>
                <w:szCs w:val="22"/>
                <w:lang w:val="en-US"/>
              </w:rPr>
            </w:pPr>
            <w:r w:rsidRPr="0036597B">
              <w:rPr>
                <w:rFonts w:ascii="Times" w:hAnsi="Times"/>
                <w:b/>
                <w:sz w:val="22"/>
                <w:szCs w:val="22"/>
                <w:lang w:val="en-US"/>
              </w:rPr>
              <w:t>Группа</w:t>
            </w:r>
          </w:p>
        </w:tc>
        <w:tc>
          <w:tcPr>
            <w:tcW w:w="0" w:type="auto"/>
          </w:tcPr>
          <w:p w:rsidR="00B42A3F" w:rsidRPr="0036597B" w:rsidRDefault="00B42A3F" w:rsidP="00B42A3F">
            <w:pPr>
              <w:jc w:val="both"/>
              <w:rPr>
                <w:rFonts w:ascii="Times" w:hAnsi="Times"/>
                <w:b/>
                <w:sz w:val="22"/>
                <w:szCs w:val="22"/>
                <w:lang w:val="en-US"/>
              </w:rPr>
            </w:pPr>
            <w:r w:rsidRPr="0036597B">
              <w:rPr>
                <w:rFonts w:ascii="Times" w:hAnsi="Times"/>
                <w:b/>
                <w:sz w:val="22"/>
                <w:szCs w:val="22"/>
                <w:lang w:val="en-US"/>
              </w:rPr>
              <w:t>Переменная</w:t>
            </w:r>
          </w:p>
        </w:tc>
        <w:tc>
          <w:tcPr>
            <w:tcW w:w="5909" w:type="dxa"/>
          </w:tcPr>
          <w:p w:rsidR="00B42A3F" w:rsidRPr="0036597B" w:rsidRDefault="00B42A3F" w:rsidP="00B42A3F">
            <w:pPr>
              <w:jc w:val="both"/>
              <w:rPr>
                <w:rFonts w:ascii="Times" w:hAnsi="Times"/>
                <w:b/>
                <w:sz w:val="22"/>
                <w:szCs w:val="22"/>
                <w:lang w:val="en-US"/>
              </w:rPr>
            </w:pPr>
            <w:r w:rsidRPr="0036597B">
              <w:rPr>
                <w:rFonts w:ascii="Times" w:hAnsi="Times"/>
                <w:b/>
                <w:sz w:val="22"/>
                <w:szCs w:val="22"/>
                <w:lang w:val="en-US"/>
              </w:rPr>
              <w:t>Описание</w:t>
            </w:r>
          </w:p>
        </w:tc>
      </w:tr>
      <w:tr w:rsidR="00B42A3F" w:rsidRPr="0036597B" w:rsidTr="00B42A3F">
        <w:tc>
          <w:tcPr>
            <w:tcW w:w="0" w:type="auto"/>
            <w:vMerge w:val="restart"/>
          </w:tcPr>
          <w:p w:rsidR="00B42A3F" w:rsidRPr="0036597B" w:rsidRDefault="00B42A3F" w:rsidP="00B42A3F">
            <w:pPr>
              <w:jc w:val="both"/>
              <w:rPr>
                <w:rFonts w:ascii="Times" w:hAnsi="Times"/>
                <w:sz w:val="22"/>
                <w:szCs w:val="22"/>
                <w:lang w:val="en-US"/>
              </w:rPr>
            </w:pPr>
            <w:r w:rsidRPr="0036597B">
              <w:rPr>
                <w:rFonts w:ascii="Times" w:hAnsi="Times"/>
                <w:sz w:val="22"/>
                <w:szCs w:val="22"/>
                <w:lang w:val="en-US"/>
              </w:rPr>
              <w:t>доходность</w:t>
            </w:r>
          </w:p>
        </w:tc>
        <w:tc>
          <w:tcPr>
            <w:tcW w:w="0" w:type="auto"/>
          </w:tcPr>
          <w:p w:rsidR="00B42A3F" w:rsidRPr="0036597B" w:rsidRDefault="00B42A3F" w:rsidP="00B42A3F">
            <w:pPr>
              <w:jc w:val="both"/>
              <w:rPr>
                <w:rFonts w:ascii="Times New Roman" w:eastAsia="Times New Roman" w:hAnsi="Times New Roman" w:cs="Times New Roman"/>
                <w:sz w:val="22"/>
                <w:szCs w:val="22"/>
              </w:rPr>
            </w:pPr>
            <w:r w:rsidRPr="0036597B">
              <w:rPr>
                <w:rFonts w:ascii="Times New Roman" w:eastAsia="Times New Roman" w:hAnsi="Times New Roman" w:cs="Times New Roman"/>
                <w:sz w:val="22"/>
                <w:szCs w:val="22"/>
              </w:rPr>
              <w:t>Доход на реальный капитал (</w:t>
            </w:r>
            <w:r w:rsidRPr="0036597B">
              <w:rPr>
                <w:rFonts w:ascii="Times New Roman" w:eastAsia="Times New Roman" w:hAnsi="Times New Roman" w:cs="Times New Roman"/>
                <w:sz w:val="22"/>
                <w:szCs w:val="22"/>
                <w:lang w:val="en-US"/>
              </w:rPr>
              <w:t>ROTC; Return on tangible capital</w:t>
            </w:r>
            <w:r w:rsidRPr="0036597B">
              <w:rPr>
                <w:rFonts w:ascii="Times New Roman" w:eastAsia="Times New Roman" w:hAnsi="Times New Roman" w:cs="Times New Roman"/>
                <w:sz w:val="22"/>
                <w:szCs w:val="22"/>
              </w:rPr>
              <w:t>)</w:t>
            </w:r>
          </w:p>
          <w:p w:rsidR="00B42A3F" w:rsidRPr="0036597B" w:rsidRDefault="00B42A3F" w:rsidP="00B42A3F">
            <w:pPr>
              <w:jc w:val="both"/>
              <w:rPr>
                <w:rFonts w:ascii="Times" w:hAnsi="Times"/>
                <w:sz w:val="22"/>
                <w:szCs w:val="22"/>
                <w:lang w:val="en-US"/>
              </w:rPr>
            </w:pPr>
          </w:p>
        </w:tc>
        <w:tc>
          <w:tcPr>
            <w:tcW w:w="5909" w:type="dxa"/>
          </w:tcPr>
          <w:p w:rsidR="00B42A3F" w:rsidRPr="0058455C" w:rsidRDefault="00B42A3F" w:rsidP="00B42A3F">
            <w:pPr>
              <w:spacing w:before="100" w:beforeAutospacing="1" w:after="100" w:afterAutospacing="1"/>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Доход на вложенный капитал после налогов используется как для объявляемых фактических, так и для аналитических оценок дохода, и вычисляется по формуле:</w:t>
            </w:r>
          </w:p>
          <w:p w:rsidR="00B42A3F" w:rsidRPr="00F455A0" w:rsidRDefault="00B42A3F" w:rsidP="00B42A3F">
            <w:pPr>
              <w:spacing w:before="100" w:beforeAutospacing="1" w:after="100" w:afterAutospacing="1"/>
              <w:rPr>
                <w:rFonts w:ascii="Times New Roman" w:eastAsia="Times New Roman" w:hAnsi="Times New Roman" w:cs="Times New Roman"/>
                <w:sz w:val="22"/>
                <w:szCs w:val="22"/>
              </w:rPr>
            </w:pPr>
            <m:oMathPara>
              <m:oMath>
                <m:r>
                  <w:rPr>
                    <w:rFonts w:ascii="Cambria Math" w:eastAsia="Times New Roman" w:hAnsi="Cambria Math" w:cs="Times New Roman"/>
                    <w:sz w:val="22"/>
                    <w:szCs w:val="22"/>
                  </w:rPr>
                  <m:t>ROTC==</m:t>
                </m:r>
                <m:f>
                  <m:fPr>
                    <m:ctrlPr>
                      <w:rPr>
                        <w:rFonts w:ascii="Cambria Math" w:eastAsia="Times New Roman" w:hAnsi="Cambria Math" w:cs="Times New Roman"/>
                        <w:i/>
                        <w:sz w:val="22"/>
                        <w:szCs w:val="22"/>
                      </w:rPr>
                    </m:ctrlPr>
                  </m:fPr>
                  <m:num>
                    <m:eqArr>
                      <m:eqArrPr>
                        <m:ctrlPr>
                          <w:rPr>
                            <w:rFonts w:ascii="Cambria Math" w:eastAsia="Times New Roman" w:hAnsi="Cambria Math" w:cs="Times New Roman"/>
                            <w:i/>
                            <w:sz w:val="22"/>
                            <w:szCs w:val="22"/>
                          </w:rPr>
                        </m:ctrlPr>
                      </m:eqArrPr>
                      <m:e>
                        <m:r>
                          <w:rPr>
                            <w:rFonts w:ascii="Cambria Math" w:eastAsia="Times New Roman" w:hAnsi="Cambria Math" w:cs="Times New Roman"/>
                            <w:sz w:val="22"/>
                            <w:szCs w:val="22"/>
                          </w:rPr>
                          <m:t xml:space="preserve">Доход до вычета </m:t>
                        </m:r>
                      </m:e>
                      <m:e>
                        <m:r>
                          <w:rPr>
                            <w:rFonts w:ascii="Cambria Math" w:eastAsia="Times New Roman" w:hAnsi="Cambria Math" w:cs="Times New Roman"/>
                            <w:sz w:val="22"/>
                            <w:szCs w:val="22"/>
                          </w:rPr>
                          <m:t xml:space="preserve">чрезвычайных расходов-  </m:t>
                        </m:r>
                        <m:ctrlPr>
                          <w:rPr>
                            <w:rFonts w:ascii="Cambria Math" w:eastAsia="Cambria Math" w:hAnsi="Cambria Math" w:cs="Cambria Math"/>
                            <w:i/>
                            <w:sz w:val="22"/>
                            <w:szCs w:val="22"/>
                          </w:rPr>
                        </m:ctrlPr>
                      </m:e>
                      <m:e>
                        <m:r>
                          <w:rPr>
                            <w:rFonts w:ascii="Cambria Math" w:eastAsia="Times New Roman" w:hAnsi="Cambria Math" w:cs="Times New Roman"/>
                            <w:sz w:val="22"/>
                            <w:szCs w:val="22"/>
                          </w:rPr>
                          <m:t>специальные расходы (доходы)</m:t>
                        </m:r>
                        <m:r>
                          <m:rPr>
                            <m:sty m:val="p"/>
                          </m:rPr>
                          <w:rPr>
                            <w:rStyle w:val="af"/>
                          </w:rPr>
                          <w:footnoteReference w:id="21"/>
                        </m:r>
                      </m:e>
                    </m:eqArr>
                  </m:num>
                  <m:den>
                    <m:eqArr>
                      <m:eqArrPr>
                        <m:ctrlPr>
                          <w:rPr>
                            <w:rFonts w:ascii="Cambria Math" w:eastAsia="Times New Roman" w:hAnsi="Cambria Math" w:cs="Times New Roman"/>
                            <w:i/>
                            <w:sz w:val="22"/>
                            <w:szCs w:val="22"/>
                          </w:rPr>
                        </m:ctrlPr>
                      </m:eqArrPr>
                      <m:e>
                        <m:r>
                          <w:rPr>
                            <w:rFonts w:ascii="Cambria Math" w:eastAsia="Times New Roman" w:hAnsi="Cambria Math" w:cs="Times New Roman"/>
                            <w:sz w:val="22"/>
                            <w:szCs w:val="22"/>
                          </w:rPr>
                          <m:t>Все активы+все обязательства-</m:t>
                        </m:r>
                      </m:e>
                      <m:e>
                        <m:r>
                          <w:rPr>
                            <w:rFonts w:ascii="Cambria Math" w:eastAsia="Times New Roman" w:hAnsi="Cambria Math" w:cs="Times New Roman"/>
                            <w:sz w:val="22"/>
                            <w:szCs w:val="22"/>
                          </w:rPr>
                          <m:t xml:space="preserve">деловая репутация </m:t>
                        </m:r>
                        <m:d>
                          <m:dPr>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гудвил</m:t>
                            </m:r>
                          </m:e>
                        </m:d>
                        <m:r>
                          <w:rPr>
                            <w:rFonts w:ascii="Cambria Math" w:eastAsia="Times New Roman" w:hAnsi="Cambria Math" w:cs="Times New Roman"/>
                            <w:sz w:val="22"/>
                            <w:szCs w:val="22"/>
                          </w:rPr>
                          <m:t xml:space="preserve"> и </m:t>
                        </m:r>
                        <m:ctrlPr>
                          <w:rPr>
                            <w:rFonts w:ascii="Cambria Math" w:eastAsia="Cambria Math" w:hAnsi="Cambria Math" w:cs="Cambria Math"/>
                            <w:i/>
                            <w:sz w:val="22"/>
                            <w:szCs w:val="22"/>
                          </w:rPr>
                        </m:ctrlPr>
                      </m:e>
                      <m:e>
                        <m:r>
                          <w:rPr>
                            <w:rFonts w:ascii="Cambria Math" w:eastAsia="Times New Roman" w:hAnsi="Cambria Math" w:cs="Times New Roman"/>
                            <w:sz w:val="22"/>
                            <w:szCs w:val="22"/>
                          </w:rPr>
                          <m:t>нематериальные активы</m:t>
                        </m:r>
                      </m:e>
                    </m:eqArr>
                  </m:den>
                </m:f>
                <w:bookmarkStart w:id="20" w:name="Xhz550497"/>
                <w:bookmarkEnd w:id="20"/>
              </m:oMath>
            </m:oMathPara>
          </w:p>
        </w:tc>
      </w:tr>
      <w:tr w:rsidR="00B42A3F" w:rsidRPr="0036597B" w:rsidTr="00B42A3F">
        <w:tc>
          <w:tcPr>
            <w:tcW w:w="0" w:type="auto"/>
            <w:vMerge/>
          </w:tcPr>
          <w:p w:rsidR="00B42A3F" w:rsidRPr="0036597B" w:rsidRDefault="00B42A3F" w:rsidP="00B42A3F">
            <w:pPr>
              <w:jc w:val="both"/>
              <w:rPr>
                <w:rFonts w:ascii="Times" w:hAnsi="Times"/>
                <w:sz w:val="22"/>
                <w:szCs w:val="22"/>
                <w:lang w:val="en-US"/>
              </w:rPr>
            </w:pPr>
          </w:p>
        </w:tc>
        <w:tc>
          <w:tcPr>
            <w:tcW w:w="0" w:type="auto"/>
          </w:tcPr>
          <w:p w:rsidR="00B42A3F" w:rsidRPr="0036597B" w:rsidRDefault="00B42A3F" w:rsidP="00B42A3F">
            <w:pPr>
              <w:jc w:val="both"/>
              <w:rPr>
                <w:rFonts w:ascii="Times" w:hAnsi="Times"/>
                <w:sz w:val="22"/>
                <w:szCs w:val="22"/>
                <w:lang w:val="en-US"/>
              </w:rPr>
            </w:pPr>
            <w:r w:rsidRPr="0036597B">
              <w:rPr>
                <w:rFonts w:ascii="Times New Roman" w:eastAsia="Times New Roman" w:hAnsi="Times New Roman" w:cs="Times New Roman"/>
                <w:sz w:val="22"/>
                <w:szCs w:val="22"/>
              </w:rPr>
              <w:t>Чистая маржа прибыли (%)</w:t>
            </w:r>
          </w:p>
        </w:tc>
        <w:tc>
          <w:tcPr>
            <w:tcW w:w="5909" w:type="dxa"/>
          </w:tcPr>
          <w:p w:rsidR="00B42A3F" w:rsidRPr="0058455C" w:rsidRDefault="00B42A3F" w:rsidP="00B42A3F">
            <w:pPr>
              <w:spacing w:before="100" w:beforeAutospacing="1" w:after="100" w:afterAutospacing="1"/>
              <w:ind w:firstLine="567"/>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Чистый доход как процент от чистой выручки (используются как объявленные фактические, так и аналитические оценки для дохода и выручки), рассчитывается по формуле:</w:t>
            </w:r>
          </w:p>
          <w:p w:rsidR="00B42A3F" w:rsidRPr="00DD35BB" w:rsidRDefault="00B42A3F" w:rsidP="00B42A3F">
            <w:pPr>
              <w:spacing w:before="100" w:beforeAutospacing="1" w:after="100" w:afterAutospacing="1"/>
              <w:rPr>
                <w:rFonts w:ascii="Times New Roman" w:eastAsia="Times New Roman" w:hAnsi="Times New Roman" w:cs="Times New Roman"/>
                <w:sz w:val="22"/>
                <w:szCs w:val="22"/>
                <w:lang w:val="en-US"/>
              </w:rPr>
            </w:pPr>
            <m:oMathPara>
              <m:oMath>
                <m:r>
                  <w:rPr>
                    <w:rFonts w:ascii="Cambria Math" w:eastAsia="Times New Roman" w:hAnsi="Cambria Math" w:cs="Times New Roman"/>
                    <w:sz w:val="22"/>
                    <w:szCs w:val="22"/>
                    <w:lang w:val="en-US"/>
                  </w:rPr>
                  <m:t>Маржа прибыли==</m:t>
                </m:r>
                <m:f>
                  <m:fPr>
                    <m:ctrlPr>
                      <w:rPr>
                        <w:rFonts w:ascii="Cambria Math" w:eastAsia="Times New Roman" w:hAnsi="Cambria Math" w:cs="Times New Roman"/>
                        <w:i/>
                        <w:sz w:val="22"/>
                        <w:szCs w:val="22"/>
                        <w:lang w:val="en-US"/>
                      </w:rPr>
                    </m:ctrlPr>
                  </m:fPr>
                  <m:num>
                    <m:eqArr>
                      <m:eqArrPr>
                        <m:ctrlPr>
                          <w:rPr>
                            <w:rFonts w:ascii="Cambria Math" w:eastAsia="Times New Roman" w:hAnsi="Cambria Math" w:cs="Times New Roman"/>
                            <w:i/>
                            <w:sz w:val="22"/>
                            <w:szCs w:val="22"/>
                            <w:lang w:val="en-US"/>
                          </w:rPr>
                        </m:ctrlPr>
                      </m:eqArrPr>
                      <m:e>
                        <m:r>
                          <w:rPr>
                            <w:rFonts w:ascii="Cambria Math" w:eastAsia="Times New Roman" w:hAnsi="Cambria Math" w:cs="Times New Roman"/>
                            <w:sz w:val="22"/>
                            <w:szCs w:val="22"/>
                            <w:lang w:val="en-US"/>
                          </w:rPr>
                          <m:t xml:space="preserve">Доход до вычета </m:t>
                        </m:r>
                      </m:e>
                      <m:e>
                        <m:r>
                          <w:rPr>
                            <w:rFonts w:ascii="Cambria Math" w:eastAsia="Times New Roman" w:hAnsi="Cambria Math" w:cs="Times New Roman"/>
                            <w:sz w:val="22"/>
                            <w:szCs w:val="22"/>
                            <w:lang w:val="en-US"/>
                          </w:rPr>
                          <m:t>чрезвычайных расходов—</m:t>
                        </m:r>
                        <m:ctrlPr>
                          <w:rPr>
                            <w:rFonts w:ascii="Cambria Math" w:eastAsia="Cambria Math" w:hAnsi="Cambria Math" w:cs="Cambria Math"/>
                            <w:i/>
                            <w:sz w:val="22"/>
                            <w:szCs w:val="22"/>
                          </w:rPr>
                        </m:ctrlPr>
                      </m:e>
                      <m:e>
                        <m:r>
                          <w:rPr>
                            <w:rFonts w:ascii="Cambria Math" w:eastAsia="Cambria Math" w:hAnsi="Cambria Math" w:cs="Cambria Math"/>
                            <w:sz w:val="22"/>
                            <w:szCs w:val="22"/>
                          </w:rPr>
                          <m:t>специальные расходы (доходы)</m:t>
                        </m:r>
                      </m:e>
                    </m:eqArr>
                  </m:num>
                  <m:den>
                    <m:r>
                      <w:rPr>
                        <w:rFonts w:ascii="Cambria Math" w:eastAsia="Times New Roman" w:hAnsi="Cambria Math" w:cs="Times New Roman"/>
                        <w:sz w:val="22"/>
                        <w:szCs w:val="22"/>
                        <w:lang w:val="en-US"/>
                      </w:rPr>
                      <m:t>Выручка</m:t>
                    </m:r>
                  </m:den>
                </m:f>
                <w:bookmarkStart w:id="21" w:name="Xhz550502"/>
                <w:bookmarkEnd w:id="21"/>
              </m:oMath>
            </m:oMathPara>
          </w:p>
        </w:tc>
      </w:tr>
      <w:tr w:rsidR="00B42A3F" w:rsidRPr="0036597B" w:rsidTr="00B42A3F">
        <w:tc>
          <w:tcPr>
            <w:tcW w:w="0" w:type="auto"/>
            <w:vMerge/>
          </w:tcPr>
          <w:p w:rsidR="00B42A3F" w:rsidRPr="0036597B" w:rsidRDefault="00B42A3F" w:rsidP="00B42A3F">
            <w:pPr>
              <w:jc w:val="both"/>
              <w:rPr>
                <w:rFonts w:ascii="Times" w:hAnsi="Times"/>
                <w:sz w:val="22"/>
                <w:szCs w:val="22"/>
                <w:lang w:val="en-US"/>
              </w:rPr>
            </w:pPr>
          </w:p>
        </w:tc>
        <w:tc>
          <w:tcPr>
            <w:tcW w:w="0" w:type="auto"/>
          </w:tcPr>
          <w:p w:rsidR="00B42A3F" w:rsidRPr="0036597B" w:rsidRDefault="00B42A3F" w:rsidP="00B42A3F">
            <w:pPr>
              <w:jc w:val="both"/>
              <w:rPr>
                <w:rFonts w:ascii="Times New Roman" w:eastAsia="Times New Roman" w:hAnsi="Times New Roman" w:cs="Times New Roman"/>
                <w:sz w:val="22"/>
                <w:szCs w:val="22"/>
              </w:rPr>
            </w:pPr>
            <m:oMathPara>
              <m:oMath>
                <m:f>
                  <m:fPr>
                    <m:ctrlPr>
                      <w:rPr>
                        <w:rFonts w:ascii="Cambria Math" w:eastAsia="Times New Roman" w:hAnsi="Cambria Math" w:cs="Times New Roman"/>
                        <w:i/>
                        <w:sz w:val="22"/>
                        <w:szCs w:val="22"/>
                      </w:rPr>
                    </m:ctrlPr>
                  </m:fPr>
                  <m:num>
                    <m:r>
                      <w:rPr>
                        <w:rFonts w:ascii="Cambria Math" w:eastAsia="Times New Roman" w:hAnsi="Cambria Math" w:cs="Times New Roman"/>
                        <w:sz w:val="22"/>
                        <w:szCs w:val="22"/>
                      </w:rPr>
                      <m:t>Непризнанные убытки</m:t>
                    </m:r>
                  </m:num>
                  <m:den>
                    <m:r>
                      <w:rPr>
                        <w:rFonts w:ascii="Cambria Math" w:eastAsia="Times New Roman" w:hAnsi="Cambria Math" w:cs="Times New Roman"/>
                        <w:sz w:val="22"/>
                        <w:szCs w:val="22"/>
                      </w:rPr>
                      <m:t>Реальный капитал</m:t>
                    </m:r>
                  </m:den>
                </m:f>
              </m:oMath>
            </m:oMathPara>
          </w:p>
          <w:p w:rsidR="00B42A3F" w:rsidRPr="0036597B" w:rsidRDefault="00B42A3F" w:rsidP="00B42A3F">
            <w:pPr>
              <w:jc w:val="both"/>
              <w:rPr>
                <w:rFonts w:ascii="Times" w:hAnsi="Times"/>
                <w:sz w:val="22"/>
                <w:szCs w:val="22"/>
                <w:lang w:val="en-US"/>
              </w:rPr>
            </w:pPr>
          </w:p>
        </w:tc>
        <w:tc>
          <w:tcPr>
            <w:tcW w:w="5909" w:type="dxa"/>
          </w:tcPr>
          <w:p w:rsidR="00B42A3F"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Доля непризнанных доходов (убытков), как часть обобщённого дохода (</w:t>
            </w:r>
            <w:r>
              <w:rPr>
                <w:rFonts w:ascii="Times New Roman" w:eastAsia="Times New Roman" w:hAnsi="Times New Roman" w:cs="Times New Roman"/>
                <w:sz w:val="22"/>
                <w:szCs w:val="22"/>
                <w:lang w:val="en-US"/>
              </w:rPr>
              <w:t>comprehensive</w:t>
            </w:r>
            <w:r w:rsidRPr="0058455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income</w:t>
            </w:r>
            <w:r>
              <w:rPr>
                <w:rFonts w:ascii="Times New Roman" w:eastAsia="Times New Roman" w:hAnsi="Times New Roman" w:cs="Times New Roman"/>
                <w:sz w:val="22"/>
                <w:szCs w:val="22"/>
              </w:rPr>
              <w:t>)</w:t>
            </w:r>
            <w:r w:rsidRPr="00A140DC">
              <w:rPr>
                <w:rStyle w:val="af"/>
              </w:rPr>
              <w:footnoteReference w:id="22"/>
            </w:r>
            <w:r>
              <w:rPr>
                <w:rFonts w:ascii="Times New Roman" w:eastAsia="Times New Roman" w:hAnsi="Times New Roman" w:cs="Times New Roman"/>
                <w:sz w:val="22"/>
                <w:szCs w:val="22"/>
              </w:rPr>
              <w:t>, по отношению к реальному капиталу.</w:t>
            </w:r>
          </w:p>
          <w:p w:rsidR="00B42A3F" w:rsidRPr="00890DF9" w:rsidRDefault="00B42A3F" w:rsidP="00B42A3F">
            <w:pPr>
              <w:ind w:firstLine="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Это отношение вместе с доходом на реальный капитал в модели кредита </w:t>
            </w:r>
            <w:r>
              <w:rPr>
                <w:rFonts w:ascii="Times New Roman" w:eastAsia="Times New Roman" w:hAnsi="Times New Roman" w:cs="Times New Roman"/>
                <w:sz w:val="22"/>
                <w:szCs w:val="22"/>
                <w:lang w:val="en-US"/>
              </w:rPr>
              <w:t>Smartratios</w:t>
            </w:r>
            <w:r>
              <w:rPr>
                <w:rFonts w:ascii="Times New Roman" w:eastAsia="Times New Roman" w:hAnsi="Times New Roman" w:cs="Times New Roman"/>
                <w:sz w:val="22"/>
                <w:szCs w:val="22"/>
              </w:rPr>
              <w:t xml:space="preserve"> даёт более полную картину дохода на инвестиции компании.</w:t>
            </w:r>
          </w:p>
          <w:p w:rsidR="00B42A3F" w:rsidRPr="00890DF9" w:rsidRDefault="00B42A3F" w:rsidP="00B42A3F">
            <w:pPr>
              <w:ind w:firstLine="567"/>
              <w:jc w:val="both"/>
              <w:rPr>
                <w:rFonts w:ascii="Times New Roman" w:eastAsia="Times New Roman" w:hAnsi="Times New Roman" w:cs="Times New Roman"/>
                <w:sz w:val="22"/>
                <w:szCs w:val="22"/>
              </w:rPr>
            </w:pPr>
            <w:bookmarkStart w:id="22" w:name="Xhz550507"/>
            <w:bookmarkStart w:id="23" w:name="Xhz550508"/>
            <w:bookmarkEnd w:id="22"/>
            <w:bookmarkEnd w:id="23"/>
            <w:r w:rsidRPr="0058455C">
              <w:rPr>
                <w:rFonts w:ascii="Times New Roman" w:eastAsia="Times New Roman" w:hAnsi="Times New Roman" w:cs="Times New Roman"/>
                <w:sz w:val="22"/>
                <w:szCs w:val="22"/>
              </w:rPr>
              <w:t xml:space="preserve">Минимальный делитель - $ </w:t>
            </w:r>
            <w:r>
              <w:rPr>
                <w:rFonts w:ascii="Times New Roman" w:eastAsia="Times New Roman" w:hAnsi="Times New Roman" w:cs="Times New Roman"/>
                <w:sz w:val="22"/>
                <w:szCs w:val="22"/>
              </w:rPr>
              <w:t>10 млн применяется для сокращения больших значений.</w:t>
            </w:r>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lang w:val="en-US"/>
              </w:rPr>
            </w:pPr>
            <m:oMathPara>
              <m:oMath>
                <m:f>
                  <m:fPr>
                    <m:ctrlPr>
                      <w:rPr>
                        <w:rFonts w:ascii="Cambria Math" w:eastAsia="Times New Roman" w:hAnsi="Cambria Math" w:cs="Times New Roman"/>
                        <w:i/>
                        <w:sz w:val="22"/>
                        <w:szCs w:val="22"/>
                      </w:rPr>
                    </m:ctrlPr>
                  </m:fPr>
                  <m:num>
                    <m:r>
                      <w:rPr>
                        <w:rFonts w:ascii="Cambria Math" w:eastAsia="Times New Roman" w:hAnsi="Cambria Math" w:cs="Times New Roman"/>
                        <w:sz w:val="22"/>
                        <w:szCs w:val="22"/>
                      </w:rPr>
                      <m:t>Непризнанные убытки</m:t>
                    </m:r>
                  </m:num>
                  <m:den>
                    <m:r>
                      <w:rPr>
                        <w:rFonts w:ascii="Cambria Math" w:eastAsia="Times New Roman" w:hAnsi="Cambria Math" w:cs="Times New Roman"/>
                        <w:sz w:val="22"/>
                        <w:szCs w:val="22"/>
                      </w:rPr>
                      <m:t>Выручка</m:t>
                    </m:r>
                  </m:den>
                </m:f>
                <m:r>
                  <w:rPr>
                    <w:rFonts w:ascii="Cambria Math" w:eastAsia="Times New Roman" w:hAnsi="Cambria Math" w:cs="Times New Roman"/>
                    <w:sz w:val="22"/>
                    <w:szCs w:val="22"/>
                  </w:rPr>
                  <m:t>(%)</m:t>
                </m:r>
              </m:oMath>
            </m:oMathPara>
          </w:p>
        </w:tc>
        <w:tc>
          <w:tcPr>
            <w:tcW w:w="5909" w:type="dxa"/>
          </w:tcPr>
          <w:p w:rsidR="00B42A3F" w:rsidRPr="00112F2B"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Непризнанные доходы (убытки) как часть обобщённого дохода (</w:t>
            </w:r>
            <w:r>
              <w:rPr>
                <w:rFonts w:ascii="Times New Roman" w:eastAsia="Times New Roman" w:hAnsi="Times New Roman" w:cs="Times New Roman"/>
                <w:sz w:val="22"/>
                <w:szCs w:val="22"/>
                <w:lang w:val="en-US"/>
              </w:rPr>
              <w:t>comprehensive</w:t>
            </w:r>
            <w:r w:rsidRPr="0058455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income</w:t>
            </w:r>
            <w:r w:rsidRPr="0058455C">
              <w:rPr>
                <w:rFonts w:ascii="Times New Roman" w:eastAsia="Times New Roman" w:hAnsi="Times New Roman" w:cs="Times New Roman"/>
                <w:sz w:val="22"/>
                <w:szCs w:val="22"/>
              </w:rPr>
              <w:t>), как процент от чистой выручки.</w:t>
            </w:r>
          </w:p>
          <w:p w:rsidR="00B42A3F" w:rsidRPr="005A6131"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 xml:space="preserve">Это отношение вместе с маржой прибыли в модели кредита </w:t>
            </w:r>
            <w:r>
              <w:rPr>
                <w:rFonts w:ascii="Times New Roman" w:eastAsia="Times New Roman" w:hAnsi="Times New Roman" w:cs="Times New Roman"/>
                <w:sz w:val="22"/>
                <w:szCs w:val="22"/>
                <w:lang w:val="en-US"/>
              </w:rPr>
              <w:t>Smartratios</w:t>
            </w:r>
            <w:r w:rsidRPr="0058455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даёт более полную картину прибыльности компании.</w:t>
            </w:r>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lang w:val="en-US"/>
              </w:rPr>
            </w:pPr>
            <m:oMathPara>
              <m:oMath>
                <m:f>
                  <m:fPr>
                    <m:ctrlPr>
                      <w:rPr>
                        <w:rFonts w:ascii="Cambria Math" w:eastAsia="Times New Roman" w:hAnsi="Cambria Math" w:cs="Times New Roman"/>
                        <w:i/>
                        <w:sz w:val="22"/>
                        <w:szCs w:val="22"/>
                      </w:rPr>
                    </m:ctrlPr>
                  </m:fPr>
                  <m:num>
                    <m:eqArr>
                      <m:eqArrPr>
                        <m:ctrlPr>
                          <w:rPr>
                            <w:rFonts w:ascii="Cambria Math" w:eastAsia="Times New Roman" w:hAnsi="Cambria Math" w:cs="Times New Roman"/>
                            <w:i/>
                            <w:sz w:val="22"/>
                            <w:szCs w:val="22"/>
                          </w:rPr>
                        </m:ctrlPr>
                      </m:eqArrPr>
                      <m:e>
                        <m:r>
                          <w:rPr>
                            <w:rFonts w:ascii="Cambria Math" w:eastAsia="Times New Roman" w:hAnsi="Cambria Math" w:cs="Times New Roman"/>
                            <w:sz w:val="22"/>
                            <w:szCs w:val="22"/>
                          </w:rPr>
                          <m:t xml:space="preserve">Изменение в </m:t>
                        </m:r>
                      </m:e>
                      <m:e>
                        <m:r>
                          <w:rPr>
                            <w:rFonts w:ascii="Cambria Math" w:eastAsia="Times New Roman" w:hAnsi="Cambria Math" w:cs="Times New Roman"/>
                            <w:sz w:val="22"/>
                            <w:szCs w:val="22"/>
                          </w:rPr>
                          <m:t xml:space="preserve">объёме активов, </m:t>
                        </m:r>
                        <m:ctrlPr>
                          <w:rPr>
                            <w:rFonts w:ascii="Cambria Math" w:eastAsia="Cambria Math" w:hAnsi="Cambria Math" w:cs="Cambria Math"/>
                            <w:i/>
                            <w:sz w:val="22"/>
                            <w:szCs w:val="22"/>
                          </w:rPr>
                        </m:ctrlPr>
                      </m:e>
                      <m:e>
                        <m:r>
                          <w:rPr>
                            <w:rFonts w:ascii="Cambria Math" w:eastAsia="Times New Roman" w:hAnsi="Cambria Math" w:cs="Times New Roman"/>
                            <w:sz w:val="22"/>
                            <w:szCs w:val="22"/>
                          </w:rPr>
                          <m:t>списанных по методу ЛИФО</m:t>
                        </m:r>
                      </m:e>
                    </m:eqArr>
                  </m:num>
                  <m:den>
                    <m:r>
                      <w:rPr>
                        <w:rFonts w:ascii="Cambria Math" w:eastAsia="Times New Roman" w:hAnsi="Cambria Math" w:cs="Times New Roman"/>
                        <w:sz w:val="22"/>
                        <w:szCs w:val="22"/>
                      </w:rPr>
                      <m:t>Выручка</m:t>
                    </m:r>
                  </m:den>
                </m:f>
                <m:r>
                  <w:rPr>
                    <w:rFonts w:ascii="Cambria Math" w:eastAsia="Times New Roman" w:hAnsi="Cambria Math" w:cs="Times New Roman"/>
                    <w:sz w:val="22"/>
                    <w:szCs w:val="22"/>
                  </w:rPr>
                  <m:t>(</m:t>
                </m:r>
                <m:r>
                  <w:rPr>
                    <w:rFonts w:ascii="Cambria Math" w:eastAsia="Times New Roman" w:hAnsi="Cambria Math" w:cs="Times New Roman"/>
                    <w:sz w:val="22"/>
                    <w:szCs w:val="22"/>
                    <w:lang w:val="en-US"/>
                  </w:rPr>
                  <m:t>%)</m:t>
                </m:r>
              </m:oMath>
            </m:oMathPara>
          </w:p>
          <w:p w:rsidR="00B42A3F" w:rsidRPr="0036597B" w:rsidRDefault="00B42A3F" w:rsidP="00B42A3F">
            <w:pPr>
              <w:jc w:val="both"/>
              <w:rPr>
                <w:rFonts w:ascii="Times New Roman" w:eastAsia="Times New Roman" w:hAnsi="Times New Roman" w:cs="Times New Roman"/>
                <w:sz w:val="22"/>
                <w:szCs w:val="22"/>
              </w:rPr>
            </w:pPr>
          </w:p>
          <w:p w:rsidR="00B42A3F" w:rsidRPr="0036597B" w:rsidRDefault="00B42A3F" w:rsidP="00B42A3F">
            <w:pPr>
              <w:jc w:val="both"/>
              <w:rPr>
                <w:rFonts w:ascii="Times" w:hAnsi="Times"/>
                <w:sz w:val="22"/>
                <w:szCs w:val="22"/>
                <w:lang w:val="en-US"/>
              </w:rPr>
            </w:pPr>
          </w:p>
        </w:tc>
        <w:tc>
          <w:tcPr>
            <w:tcW w:w="5909" w:type="dxa"/>
          </w:tcPr>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Изменение резерве для списания активов по методу ЛИФО как процент от чистой выручки.</w:t>
            </w:r>
          </w:p>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 xml:space="preserve">Если изменение положительное, оно устанавливается равных нулю. Стоимость для данного отношения может быть только нулевой или отрицательной. </w:t>
            </w:r>
          </w:p>
          <w:p w:rsidR="00B42A3F" w:rsidRPr="0058455C" w:rsidRDefault="00B42A3F" w:rsidP="00B42A3F">
            <w:pPr>
              <w:ind w:firstLine="567"/>
              <w:jc w:val="both"/>
              <w:rPr>
                <w:rFonts w:ascii="Times New Roman" w:eastAsia="Times New Roman" w:hAnsi="Times New Roman" w:cs="Times New Roman"/>
                <w:sz w:val="22"/>
                <w:szCs w:val="22"/>
              </w:rPr>
            </w:pPr>
            <w:bookmarkStart w:id="24" w:name="Xhz550517"/>
            <w:bookmarkStart w:id="25" w:name="Xhz550518"/>
            <w:bookmarkEnd w:id="24"/>
            <w:bookmarkEnd w:id="25"/>
            <w:r w:rsidRPr="0058455C">
              <w:rPr>
                <w:rFonts w:ascii="Times New Roman" w:eastAsia="Times New Roman" w:hAnsi="Times New Roman" w:cs="Times New Roman"/>
                <w:sz w:val="22"/>
                <w:szCs w:val="22"/>
              </w:rPr>
              <w:t>Отношение оценивает степень, до которой маржа прибыли искусственно возрастает при списании методом ЛИФО, где компания продаёт больше, чем было куплено в текущем периоде. Чем более это отношение отклоняется от нуля в отрицательную сторону, тем более мержа прибыли компании оказывается завышенной.</w:t>
            </w:r>
          </w:p>
        </w:tc>
      </w:tr>
      <w:tr w:rsidR="00B42A3F" w:rsidRPr="0036597B" w:rsidTr="00B42A3F">
        <w:tc>
          <w:tcPr>
            <w:tcW w:w="0" w:type="auto"/>
            <w:vMerge w:val="restart"/>
          </w:tcPr>
          <w:p w:rsidR="00B42A3F" w:rsidRPr="0036597B" w:rsidRDefault="00B42A3F" w:rsidP="00B42A3F">
            <w:pPr>
              <w:jc w:val="both"/>
              <w:rPr>
                <w:rFonts w:ascii="Times" w:hAnsi="Times"/>
                <w:sz w:val="22"/>
                <w:szCs w:val="22"/>
                <w:lang w:val="en-US"/>
              </w:rPr>
            </w:pPr>
            <w:r w:rsidRPr="0036597B">
              <w:rPr>
                <w:rFonts w:ascii="Times" w:hAnsi="Times"/>
                <w:sz w:val="22"/>
                <w:szCs w:val="22"/>
                <w:lang w:val="en-US"/>
              </w:rPr>
              <w:t>финансовый рычаг (леверидж)</w:t>
            </w:r>
          </w:p>
        </w:tc>
        <w:tc>
          <w:tcPr>
            <w:tcW w:w="0" w:type="auto"/>
          </w:tcPr>
          <w:p w:rsidR="00B42A3F" w:rsidRPr="0036597B" w:rsidRDefault="00B42A3F" w:rsidP="00B42A3F">
            <w:pPr>
              <w:jc w:val="both"/>
              <w:rPr>
                <w:rFonts w:ascii="Times New Roman" w:eastAsia="Times New Roman" w:hAnsi="Times New Roman" w:cs="Times New Roman"/>
                <w:sz w:val="22"/>
                <w:szCs w:val="22"/>
              </w:rPr>
            </w:pPr>
            <m:oMathPara>
              <m:oMath>
                <m:f>
                  <m:fPr>
                    <m:ctrlPr>
                      <w:rPr>
                        <w:rFonts w:ascii="Cambria Math" w:eastAsia="Times New Roman" w:hAnsi="Cambria Math" w:cs="Times New Roman"/>
                        <w:i/>
                        <w:sz w:val="22"/>
                        <w:szCs w:val="22"/>
                      </w:rPr>
                    </m:ctrlPr>
                  </m:fPr>
                  <m:num>
                    <m:r>
                      <w:rPr>
                        <w:rFonts w:ascii="Cambria Math" w:eastAsia="Times New Roman" w:hAnsi="Cambria Math" w:cs="Times New Roman"/>
                        <w:sz w:val="22"/>
                        <w:szCs w:val="22"/>
                      </w:rPr>
                      <m:t>Собственный капитал</m:t>
                    </m:r>
                  </m:num>
                  <m:den>
                    <m:r>
                      <w:rPr>
                        <w:rFonts w:ascii="Cambria Math" w:eastAsia="Times New Roman" w:hAnsi="Cambria Math" w:cs="Times New Roman"/>
                        <w:sz w:val="22"/>
                        <w:szCs w:val="22"/>
                      </w:rPr>
                      <m:t>Активы</m:t>
                    </m:r>
                  </m:den>
                </m:f>
              </m:oMath>
            </m:oMathPara>
          </w:p>
          <w:p w:rsidR="00B42A3F" w:rsidRPr="0036597B" w:rsidRDefault="00B42A3F" w:rsidP="00B42A3F">
            <w:pPr>
              <w:jc w:val="both"/>
              <w:rPr>
                <w:rFonts w:ascii="Times New Roman" w:eastAsia="Times New Roman" w:hAnsi="Times New Roman" w:cs="Times New Roman"/>
                <w:sz w:val="22"/>
                <w:szCs w:val="22"/>
              </w:rPr>
            </w:pPr>
          </w:p>
          <w:p w:rsidR="00B42A3F" w:rsidRPr="0036597B" w:rsidRDefault="00B42A3F" w:rsidP="00B42A3F">
            <w:pPr>
              <w:jc w:val="both"/>
              <w:rPr>
                <w:rFonts w:ascii="Times" w:hAnsi="Times"/>
                <w:sz w:val="22"/>
                <w:szCs w:val="22"/>
                <w:lang w:val="en-US"/>
              </w:rPr>
            </w:pPr>
          </w:p>
        </w:tc>
        <w:tc>
          <w:tcPr>
            <w:tcW w:w="5909" w:type="dxa"/>
          </w:tcPr>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Общая величина капитала как процент от общей величины активов, при этом оценка капитала может быть как объявленной фактически (сто стороны компании), так и оценкой аналитиков.</w:t>
            </w:r>
          </w:p>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Чем ниже отношение, тем выше финансовый рычаг компании.</w:t>
            </w:r>
            <w:bookmarkStart w:id="26" w:name="Xhz550563"/>
            <w:bookmarkEnd w:id="26"/>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rPr>
            </w:pPr>
            <m:oMathPara>
              <m:oMath>
                <m:f>
                  <m:fPr>
                    <m:ctrlPr>
                      <w:rPr>
                        <w:rFonts w:ascii="Cambria Math" w:eastAsia="Times New Roman" w:hAnsi="Cambria Math" w:cs="Times New Roman"/>
                        <w:i/>
                        <w:sz w:val="22"/>
                        <w:szCs w:val="22"/>
                      </w:rPr>
                    </m:ctrlPr>
                  </m:fPr>
                  <m:num>
                    <m:r>
                      <w:rPr>
                        <w:rFonts w:ascii="Cambria Math" w:eastAsia="Times New Roman" w:hAnsi="Cambria Math" w:cs="Times New Roman"/>
                        <w:sz w:val="22"/>
                        <w:szCs w:val="22"/>
                      </w:rPr>
                      <m:t>Чистый долг</m:t>
                    </m:r>
                  </m:num>
                  <m:den>
                    <m:r>
                      <w:rPr>
                        <w:rFonts w:ascii="Cambria Math" w:eastAsia="Times New Roman" w:hAnsi="Cambria Math" w:cs="Times New Roman"/>
                        <w:sz w:val="22"/>
                        <w:szCs w:val="22"/>
                      </w:rPr>
                      <m:t>Собственный капитал</m:t>
                    </m:r>
                  </m:den>
                </m:f>
              </m:oMath>
            </m:oMathPara>
          </w:p>
          <w:p w:rsidR="00B42A3F" w:rsidRPr="0036597B" w:rsidRDefault="00B42A3F" w:rsidP="00B42A3F">
            <w:pPr>
              <w:jc w:val="both"/>
              <w:rPr>
                <w:rFonts w:ascii="Times New Roman" w:eastAsia="Times New Roman" w:hAnsi="Times New Roman" w:cs="Times New Roman"/>
                <w:sz w:val="22"/>
                <w:szCs w:val="22"/>
              </w:rPr>
            </w:pPr>
          </w:p>
          <w:p w:rsidR="00B42A3F" w:rsidRPr="0036597B" w:rsidRDefault="00B42A3F" w:rsidP="00B42A3F">
            <w:pPr>
              <w:jc w:val="both"/>
              <w:rPr>
                <w:rFonts w:ascii="Times" w:hAnsi="Times"/>
                <w:sz w:val="22"/>
                <w:szCs w:val="22"/>
                <w:lang w:val="en-US"/>
              </w:rPr>
            </w:pPr>
          </w:p>
        </w:tc>
        <w:tc>
          <w:tcPr>
            <w:tcW w:w="5909" w:type="dxa"/>
          </w:tcPr>
          <w:p w:rsidR="00B42A3F"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Эффективный долг</w:t>
            </w:r>
            <w:r w:rsidRPr="00A140DC">
              <w:rPr>
                <w:rStyle w:val="af"/>
              </w:rPr>
              <w:footnoteReference w:id="23"/>
            </w:r>
            <w:r>
              <w:rPr>
                <w:rFonts w:ascii="Times New Roman" w:eastAsia="Times New Roman" w:hAnsi="Times New Roman" w:cs="Times New Roman"/>
                <w:sz w:val="22"/>
                <w:szCs w:val="22"/>
              </w:rPr>
              <w:t>, который вынуждена нести компания, если все доступные наличные средства были использованы для того, чтобы оплатить имеющийся долг (то есть, сумма долга, которая осталась после того, как компания заплатила на выплату долга все имеющиеся наличные средства).</w:t>
            </w:r>
          </w:p>
          <w:p w:rsidR="00B42A3F" w:rsidRPr="005B249D" w:rsidRDefault="00B42A3F" w:rsidP="00B42A3F">
            <w:pPr>
              <w:ind w:firstLine="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Отношение использует как фактические, так и аналитические оценки для чистого долга и капитала.</w:t>
            </w:r>
            <w:bookmarkStart w:id="27" w:name="Xhz550568"/>
            <w:bookmarkEnd w:id="27"/>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rPr>
            </w:pPr>
            <m:oMathPara>
              <m:oMath>
                <m:f>
                  <m:fPr>
                    <m:ctrlPr>
                      <w:rPr>
                        <w:rFonts w:ascii="Cambria Math" w:eastAsia="Times New Roman" w:hAnsi="Cambria Math" w:cs="Times New Roman"/>
                        <w:i/>
                        <w:sz w:val="22"/>
                        <w:szCs w:val="22"/>
                      </w:rPr>
                    </m:ctrlPr>
                  </m:fPr>
                  <m:num>
                    <m:eqArr>
                      <m:eqArrPr>
                        <m:ctrlPr>
                          <w:rPr>
                            <w:rFonts w:ascii="Cambria Math" w:eastAsia="Times New Roman" w:hAnsi="Cambria Math" w:cs="Times New Roman"/>
                            <w:i/>
                            <w:sz w:val="22"/>
                            <w:szCs w:val="22"/>
                          </w:rPr>
                        </m:ctrlPr>
                      </m:eqArrPr>
                      <m:e>
                        <m:r>
                          <w:rPr>
                            <w:rFonts w:ascii="Cambria Math" w:eastAsia="Times New Roman" w:hAnsi="Cambria Math" w:cs="Times New Roman"/>
                            <w:sz w:val="22"/>
                            <w:szCs w:val="22"/>
                          </w:rPr>
                          <m:t xml:space="preserve">Неоплаченные </m:t>
                        </m:r>
                      </m:e>
                      <m:e>
                        <m:r>
                          <w:rPr>
                            <w:rFonts w:ascii="Cambria Math" w:eastAsia="Times New Roman" w:hAnsi="Cambria Math" w:cs="Times New Roman"/>
                            <w:sz w:val="22"/>
                            <w:szCs w:val="22"/>
                          </w:rPr>
                          <m:t xml:space="preserve">пенсионные </m:t>
                        </m:r>
                        <m:ctrlPr>
                          <w:rPr>
                            <w:rFonts w:ascii="Cambria Math" w:eastAsia="Cambria Math" w:hAnsi="Cambria Math" w:cs="Cambria Math"/>
                            <w:i/>
                            <w:sz w:val="22"/>
                            <w:szCs w:val="22"/>
                          </w:rPr>
                        </m:ctrlPr>
                      </m:e>
                      <m:e>
                        <m:r>
                          <w:rPr>
                            <w:rFonts w:ascii="Cambria Math" w:eastAsia="Times New Roman" w:hAnsi="Cambria Math" w:cs="Times New Roman"/>
                            <w:sz w:val="22"/>
                            <w:szCs w:val="22"/>
                          </w:rPr>
                          <m:t>обязательства</m:t>
                        </m:r>
                      </m:e>
                    </m:eqArr>
                  </m:num>
                  <m:den>
                    <m:r>
                      <w:rPr>
                        <w:rFonts w:ascii="Cambria Math" w:eastAsia="Times New Roman" w:hAnsi="Cambria Math" w:cs="Times New Roman"/>
                        <w:sz w:val="22"/>
                        <w:szCs w:val="22"/>
                      </w:rPr>
                      <m:t>Собственный капитал</m:t>
                    </m:r>
                  </m:den>
                </m:f>
              </m:oMath>
            </m:oMathPara>
          </w:p>
          <w:p w:rsidR="00B42A3F" w:rsidRPr="0036597B" w:rsidRDefault="00B42A3F" w:rsidP="00B42A3F">
            <w:pPr>
              <w:jc w:val="both"/>
              <w:rPr>
                <w:rFonts w:ascii="Times New Roman" w:eastAsia="Times New Roman" w:hAnsi="Times New Roman" w:cs="Times New Roman"/>
                <w:sz w:val="22"/>
                <w:szCs w:val="22"/>
              </w:rPr>
            </w:pPr>
          </w:p>
          <w:p w:rsidR="00B42A3F" w:rsidRPr="0036597B" w:rsidRDefault="00B42A3F" w:rsidP="00B42A3F">
            <w:pPr>
              <w:jc w:val="both"/>
              <w:rPr>
                <w:rFonts w:ascii="Times" w:hAnsi="Times"/>
                <w:sz w:val="22"/>
                <w:szCs w:val="22"/>
                <w:lang w:val="en-US"/>
              </w:rPr>
            </w:pPr>
          </w:p>
        </w:tc>
        <w:tc>
          <w:tcPr>
            <w:tcW w:w="5909" w:type="dxa"/>
          </w:tcPr>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Неоплаченные пенсионные обязательства в процентах от капитала.</w:t>
            </w:r>
          </w:p>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Неоплаченные пенсионные обязательства являются эффективной частью долга компании, который она вынуждена нести и оплачивать в будущем.</w:t>
            </w:r>
          </w:p>
          <w:p w:rsidR="00B42A3F" w:rsidRPr="00DD41D1"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 xml:space="preserve">Этот коэффициент, также как и чистый долг/капитал в соответствии с кредитной моделью </w:t>
            </w:r>
            <w:r>
              <w:rPr>
                <w:rFonts w:ascii="Times New Roman" w:eastAsia="Times New Roman" w:hAnsi="Times New Roman" w:cs="Times New Roman"/>
                <w:sz w:val="22"/>
                <w:szCs w:val="22"/>
                <w:lang w:val="en-US"/>
              </w:rPr>
              <w:t>Smartratios</w:t>
            </w:r>
            <w:r>
              <w:rPr>
                <w:rFonts w:ascii="Times New Roman" w:eastAsia="Times New Roman" w:hAnsi="Times New Roman" w:cs="Times New Roman"/>
                <w:sz w:val="22"/>
                <w:szCs w:val="22"/>
              </w:rPr>
              <w:t>, даёт более полную картину рычага компании.</w:t>
            </w:r>
            <w:bookmarkStart w:id="28" w:name="Xhz550573"/>
            <w:bookmarkStart w:id="29" w:name="Xhz550574"/>
            <w:bookmarkEnd w:id="28"/>
            <w:bookmarkEnd w:id="29"/>
          </w:p>
        </w:tc>
      </w:tr>
      <w:tr w:rsidR="00B42A3F" w:rsidRPr="0036597B" w:rsidTr="00B42A3F">
        <w:tc>
          <w:tcPr>
            <w:tcW w:w="0" w:type="auto"/>
            <w:vMerge/>
          </w:tcPr>
          <w:p w:rsidR="00B42A3F" w:rsidRPr="0036597B" w:rsidRDefault="00B42A3F" w:rsidP="00B42A3F">
            <w:pPr>
              <w:jc w:val="both"/>
              <w:rPr>
                <w:rFonts w:ascii="Times" w:hAnsi="Times"/>
                <w:sz w:val="22"/>
                <w:szCs w:val="22"/>
                <w:lang w:val="en-US"/>
              </w:rPr>
            </w:pPr>
          </w:p>
        </w:tc>
        <w:tc>
          <w:tcPr>
            <w:tcW w:w="0" w:type="auto"/>
          </w:tcPr>
          <w:p w:rsidR="00B42A3F" w:rsidRPr="00D71AF1" w:rsidRDefault="00B42A3F" w:rsidP="00B42A3F">
            <w:pPr>
              <w:jc w:val="both"/>
              <w:rPr>
                <w:rFonts w:ascii="Times New Roman" w:eastAsia="Times New Roman" w:hAnsi="Times New Roman" w:cs="Times New Roman"/>
                <w:sz w:val="22"/>
                <w:szCs w:val="22"/>
              </w:rPr>
            </w:pPr>
            <m:oMathPara>
              <m:oMath>
                <m:f>
                  <m:fPr>
                    <m:ctrlPr>
                      <w:rPr>
                        <w:rFonts w:ascii="Cambria Math" w:eastAsia="Times New Roman" w:hAnsi="Cambria Math" w:cs="Times New Roman"/>
                        <w:i/>
                        <w:sz w:val="22"/>
                        <w:szCs w:val="22"/>
                      </w:rPr>
                    </m:ctrlPr>
                  </m:fPr>
                  <m:num>
                    <m:r>
                      <w:rPr>
                        <w:rFonts w:ascii="Cambria Math" w:eastAsia="Times New Roman" w:hAnsi="Cambria Math" w:cs="Times New Roman"/>
                        <w:sz w:val="22"/>
                        <w:szCs w:val="22"/>
                      </w:rPr>
                      <m:t>Нематериальный активы</m:t>
                    </m:r>
                  </m:num>
                  <m:den>
                    <m:r>
                      <w:rPr>
                        <w:rFonts w:ascii="Cambria Math" w:eastAsia="Times New Roman" w:hAnsi="Cambria Math" w:cs="Times New Roman"/>
                        <w:sz w:val="22"/>
                        <w:szCs w:val="22"/>
                      </w:rPr>
                      <m:t>Все активы</m:t>
                    </m:r>
                  </m:den>
                </m:f>
              </m:oMath>
            </m:oMathPara>
          </w:p>
          <w:p w:rsidR="00B42A3F" w:rsidRPr="0036597B" w:rsidRDefault="00B42A3F" w:rsidP="00B42A3F">
            <w:pPr>
              <w:jc w:val="both"/>
              <w:rPr>
                <w:rFonts w:ascii="Times New Roman" w:eastAsia="Times New Roman" w:hAnsi="Times New Roman" w:cs="Times New Roman"/>
                <w:sz w:val="22"/>
                <w:szCs w:val="22"/>
              </w:rPr>
            </w:pPr>
          </w:p>
        </w:tc>
        <w:tc>
          <w:tcPr>
            <w:tcW w:w="5909" w:type="dxa"/>
          </w:tcPr>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Деловая репутация и нематериальные активы как процент от общих активов.</w:t>
            </w:r>
          </w:p>
        </w:tc>
      </w:tr>
      <w:tr w:rsidR="00B42A3F" w:rsidRPr="0036597B" w:rsidTr="00B42A3F">
        <w:tc>
          <w:tcPr>
            <w:tcW w:w="0" w:type="auto"/>
            <w:vMerge w:val="restart"/>
          </w:tcPr>
          <w:p w:rsidR="00B42A3F" w:rsidRPr="0036597B" w:rsidRDefault="00B42A3F" w:rsidP="00B42A3F">
            <w:pPr>
              <w:jc w:val="both"/>
              <w:rPr>
                <w:rFonts w:ascii="Times" w:hAnsi="Times"/>
                <w:sz w:val="22"/>
                <w:szCs w:val="22"/>
                <w:lang w:val="en-US"/>
              </w:rPr>
            </w:pPr>
            <w:r w:rsidRPr="0036597B">
              <w:rPr>
                <w:rFonts w:ascii="Times" w:hAnsi="Times"/>
                <w:sz w:val="22"/>
                <w:szCs w:val="22"/>
                <w:lang w:val="en-US"/>
              </w:rPr>
              <w:t>покрытие</w:t>
            </w:r>
          </w:p>
        </w:tc>
        <w:tc>
          <w:tcPr>
            <w:tcW w:w="0" w:type="auto"/>
          </w:tcPr>
          <w:p w:rsidR="00B42A3F" w:rsidRPr="0036597B" w:rsidRDefault="00B42A3F" w:rsidP="00B42A3F">
            <w:pPr>
              <w:jc w:val="both"/>
              <w:rPr>
                <w:rFonts w:ascii="Times New Roman" w:eastAsia="Times New Roman" w:hAnsi="Times New Roman" w:cs="Times New Roman"/>
                <w:sz w:val="22"/>
                <w:szCs w:val="22"/>
              </w:rPr>
            </w:pPr>
            <m:oMathPara>
              <m:oMath>
                <m:f>
                  <m:fPr>
                    <m:ctrlPr>
                      <w:rPr>
                        <w:rFonts w:ascii="Cambria Math" w:eastAsia="Times New Roman" w:hAnsi="Cambria Math" w:cs="Times New Roman"/>
                        <w:i/>
                        <w:sz w:val="22"/>
                        <w:szCs w:val="22"/>
                      </w:rPr>
                    </m:ctrlPr>
                  </m:fPr>
                  <m:num>
                    <m:r>
                      <w:rPr>
                        <w:rFonts w:ascii="Cambria Math" w:eastAsia="Times New Roman" w:hAnsi="Cambria Math" w:cs="Times New Roman"/>
                        <w:sz w:val="22"/>
                        <w:szCs w:val="22"/>
                        <w:lang w:val="en-US"/>
                      </w:rPr>
                      <m:t>EBIT</m:t>
                    </m:r>
                  </m:num>
                  <m:den>
                    <m:eqArr>
                      <m:eqArrPr>
                        <m:ctrlPr>
                          <w:rPr>
                            <w:rFonts w:ascii="Cambria Math" w:eastAsia="Times New Roman" w:hAnsi="Cambria Math" w:cs="Times New Roman"/>
                            <w:i/>
                            <w:sz w:val="22"/>
                            <w:szCs w:val="22"/>
                          </w:rPr>
                        </m:ctrlPr>
                      </m:eqArrPr>
                      <m:e>
                        <m:r>
                          <w:rPr>
                            <w:rFonts w:ascii="Cambria Math" w:eastAsia="Times New Roman" w:hAnsi="Cambria Math" w:cs="Times New Roman"/>
                            <w:sz w:val="22"/>
                            <w:szCs w:val="22"/>
                          </w:rPr>
                          <m:t xml:space="preserve">Расходы на выплату </m:t>
                        </m:r>
                      </m:e>
                      <m:e>
                        <m:r>
                          <w:rPr>
                            <w:rFonts w:ascii="Cambria Math" w:eastAsia="Times New Roman" w:hAnsi="Cambria Math" w:cs="Times New Roman"/>
                            <w:sz w:val="22"/>
                            <w:szCs w:val="22"/>
                          </w:rPr>
                          <m:t>процентов</m:t>
                        </m:r>
                      </m:e>
                    </m:eqArr>
                  </m:den>
                </m:f>
              </m:oMath>
            </m:oMathPara>
          </w:p>
          <w:p w:rsidR="00B42A3F" w:rsidRPr="0036597B" w:rsidRDefault="00B42A3F" w:rsidP="00B42A3F">
            <w:pPr>
              <w:jc w:val="both"/>
              <w:rPr>
                <w:rFonts w:ascii="Times New Roman" w:eastAsia="Times New Roman" w:hAnsi="Times New Roman" w:cs="Times New Roman"/>
                <w:sz w:val="22"/>
                <w:szCs w:val="22"/>
              </w:rPr>
            </w:pPr>
          </w:p>
          <w:p w:rsidR="00B42A3F" w:rsidRPr="0036597B" w:rsidRDefault="00B42A3F" w:rsidP="00B42A3F">
            <w:pPr>
              <w:jc w:val="both"/>
              <w:rPr>
                <w:rFonts w:ascii="Times" w:hAnsi="Times"/>
                <w:sz w:val="22"/>
                <w:szCs w:val="22"/>
                <w:lang w:val="en-US"/>
              </w:rPr>
            </w:pPr>
          </w:p>
        </w:tc>
        <w:tc>
          <w:tcPr>
            <w:tcW w:w="5909" w:type="dxa"/>
          </w:tcPr>
          <w:p w:rsidR="00B42A3F"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Показывает, насколько легко компания может оплатить расходы на выплату процентов по неоплаченному долгу, используя доходы до выплаты процентов и налогов (</w:t>
            </w:r>
            <w:r>
              <w:rPr>
                <w:rFonts w:ascii="Times New Roman" w:eastAsia="Times New Roman" w:hAnsi="Times New Roman" w:cs="Times New Roman"/>
                <w:sz w:val="22"/>
                <w:szCs w:val="22"/>
                <w:lang w:val="en-US"/>
              </w:rPr>
              <w:t>EBIT</w:t>
            </w:r>
            <w:r w:rsidRPr="0058455C">
              <w:rPr>
                <w:rFonts w:ascii="Times New Roman" w:eastAsia="Times New Roman" w:hAnsi="Times New Roman" w:cs="Times New Roman"/>
                <w:sz w:val="22"/>
                <w:szCs w:val="22"/>
              </w:rPr>
              <w:t>)</w:t>
            </w:r>
            <w:r>
              <w:rPr>
                <w:rFonts w:ascii="Times New Roman" w:eastAsia="Times New Roman" w:hAnsi="Times New Roman" w:cs="Times New Roman"/>
                <w:sz w:val="22"/>
                <w:szCs w:val="22"/>
              </w:rPr>
              <w:t>.</w:t>
            </w:r>
          </w:p>
          <w:p w:rsidR="00B42A3F" w:rsidRPr="00D71AF1" w:rsidRDefault="00B42A3F" w:rsidP="00B42A3F">
            <w:pPr>
              <w:ind w:firstLine="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Могут использоваться как заявленные компанией величины, так и оценки аналитиков.</w:t>
            </w:r>
          </w:p>
          <w:p w:rsidR="00B42A3F" w:rsidRDefault="00B42A3F" w:rsidP="00B42A3F">
            <w:pPr>
              <w:ind w:firstLine="567"/>
              <w:jc w:val="both"/>
              <w:rPr>
                <w:rFonts w:ascii="Times New Roman" w:eastAsia="Times New Roman" w:hAnsi="Times New Roman" w:cs="Times New Roman"/>
                <w:sz w:val="22"/>
                <w:szCs w:val="22"/>
              </w:rPr>
            </w:pPr>
            <w:bookmarkStart w:id="30" w:name="Xhz550603"/>
            <w:bookmarkEnd w:id="30"/>
            <w:r w:rsidRPr="0058455C">
              <w:rPr>
                <w:rFonts w:ascii="Times New Roman" w:eastAsia="Times New Roman" w:hAnsi="Times New Roman" w:cs="Times New Roman"/>
                <w:sz w:val="22"/>
                <w:szCs w:val="22"/>
              </w:rPr>
              <w:t xml:space="preserve">Как правило, отрицательное величина коэффициента не имеет значения, когда </w:t>
            </w:r>
            <w:r>
              <w:rPr>
                <w:rFonts w:ascii="Times New Roman" w:eastAsia="Times New Roman" w:hAnsi="Times New Roman" w:cs="Times New Roman"/>
                <w:sz w:val="22"/>
                <w:szCs w:val="22"/>
                <w:lang w:val="en-US"/>
              </w:rPr>
              <w:t>EBIT</w:t>
            </w:r>
            <w:r>
              <w:rPr>
                <w:rFonts w:ascii="Times New Roman" w:eastAsia="Times New Roman" w:hAnsi="Times New Roman" w:cs="Times New Roman"/>
                <w:sz w:val="22"/>
                <w:szCs w:val="22"/>
              </w:rPr>
              <w:t xml:space="preserve"> отрицательная. </w:t>
            </w:r>
          </w:p>
          <w:p w:rsidR="00B42A3F" w:rsidRPr="0094618E" w:rsidRDefault="00B42A3F" w:rsidP="00B42A3F">
            <w:pPr>
              <w:ind w:firstLine="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 таком случае для целей расчёта модели коэффициент расчитывается путём умножения </w:t>
            </w:r>
            <w:r>
              <w:rPr>
                <w:rFonts w:ascii="Times New Roman" w:eastAsia="Times New Roman" w:hAnsi="Times New Roman" w:cs="Times New Roman"/>
                <w:sz w:val="22"/>
                <w:szCs w:val="22"/>
                <w:lang w:val="en-US"/>
              </w:rPr>
              <w:t>EBIT</w:t>
            </w:r>
            <w:r w:rsidRPr="0058455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на расходы на выплату процентов для обеспечения правильного порядка среди компаний.</w:t>
            </w:r>
          </w:p>
          <w:p w:rsidR="00B42A3F" w:rsidRPr="0094618E" w:rsidRDefault="00B42A3F" w:rsidP="00B42A3F">
            <w:pPr>
              <w:ind w:firstLine="567"/>
              <w:jc w:val="both"/>
              <w:rPr>
                <w:rFonts w:ascii="Times New Roman" w:eastAsia="Times New Roman" w:hAnsi="Times New Roman" w:cs="Times New Roman"/>
                <w:sz w:val="22"/>
                <w:szCs w:val="22"/>
              </w:rPr>
            </w:pPr>
            <w:bookmarkStart w:id="31" w:name="Xhz550604"/>
            <w:bookmarkStart w:id="32" w:name="Xhz550605"/>
            <w:bookmarkEnd w:id="31"/>
            <w:bookmarkEnd w:id="32"/>
            <w:r>
              <w:rPr>
                <w:rFonts w:ascii="Times New Roman" w:eastAsia="Times New Roman" w:hAnsi="Times New Roman" w:cs="Times New Roman"/>
                <w:sz w:val="22"/>
                <w:szCs w:val="22"/>
              </w:rPr>
              <w:t>Чем выше отношение, тем больше способность компании платить её расходы на выплату процентов.</w:t>
            </w:r>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rPr>
            </w:pPr>
            <m:oMathPara>
              <m:oMath>
                <m:f>
                  <m:fPr>
                    <m:ctrlPr>
                      <w:rPr>
                        <w:rFonts w:ascii="Cambria Math" w:eastAsia="Times New Roman" w:hAnsi="Cambria Math" w:cs="Times New Roman"/>
                        <w:i/>
                        <w:sz w:val="22"/>
                        <w:szCs w:val="22"/>
                      </w:rPr>
                    </m:ctrlPr>
                  </m:fPr>
                  <m:num>
                    <m:r>
                      <w:rPr>
                        <w:rFonts w:ascii="Cambria Math" w:eastAsia="Times New Roman" w:hAnsi="Cambria Math" w:cs="Times New Roman"/>
                        <w:sz w:val="22"/>
                        <w:szCs w:val="22"/>
                        <w:lang w:val="en-US"/>
                      </w:rPr>
                      <m:t>EBITDA</m:t>
                    </m:r>
                  </m:num>
                  <m:den>
                    <m:eqArr>
                      <m:eqArrPr>
                        <m:ctrlPr>
                          <w:rPr>
                            <w:rFonts w:ascii="Cambria Math" w:eastAsia="Times New Roman" w:hAnsi="Cambria Math" w:cs="Times New Roman"/>
                            <w:i/>
                            <w:sz w:val="22"/>
                            <w:szCs w:val="22"/>
                          </w:rPr>
                        </m:ctrlPr>
                      </m:eqArrPr>
                      <m:e>
                        <m:r>
                          <w:rPr>
                            <w:rFonts w:ascii="Cambria Math" w:eastAsia="Times New Roman" w:hAnsi="Cambria Math" w:cs="Times New Roman"/>
                            <w:sz w:val="22"/>
                            <w:szCs w:val="22"/>
                          </w:rPr>
                          <m:t xml:space="preserve">Расходы на выплату </m:t>
                        </m:r>
                      </m:e>
                      <m:e>
                        <m:r>
                          <w:rPr>
                            <w:rFonts w:ascii="Cambria Math" w:eastAsia="Times New Roman" w:hAnsi="Cambria Math" w:cs="Times New Roman"/>
                            <w:sz w:val="22"/>
                            <w:szCs w:val="22"/>
                          </w:rPr>
                          <m:t>процентов</m:t>
                        </m:r>
                      </m:e>
                    </m:eqArr>
                  </m:den>
                </m:f>
              </m:oMath>
            </m:oMathPara>
          </w:p>
          <w:p w:rsidR="00B42A3F" w:rsidRPr="0036597B" w:rsidRDefault="00B42A3F" w:rsidP="00B42A3F">
            <w:pPr>
              <w:jc w:val="both"/>
              <w:rPr>
                <w:rFonts w:ascii="Times New Roman" w:eastAsia="Times New Roman" w:hAnsi="Times New Roman" w:cs="Times New Roman"/>
                <w:sz w:val="22"/>
                <w:szCs w:val="22"/>
              </w:rPr>
            </w:pPr>
          </w:p>
          <w:p w:rsidR="00B42A3F" w:rsidRPr="0036597B" w:rsidRDefault="00B42A3F" w:rsidP="00B42A3F">
            <w:pPr>
              <w:jc w:val="both"/>
              <w:rPr>
                <w:rFonts w:ascii="Times" w:hAnsi="Times"/>
                <w:sz w:val="22"/>
                <w:szCs w:val="22"/>
                <w:lang w:val="en-US"/>
              </w:rPr>
            </w:pPr>
          </w:p>
        </w:tc>
        <w:tc>
          <w:tcPr>
            <w:tcW w:w="5909" w:type="dxa"/>
          </w:tcPr>
          <w:p w:rsidR="00B42A3F" w:rsidRPr="0094618E"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 xml:space="preserve">Оценивает насколько легко компания может выплачивать расходы по процентам на неоплаченный долг, используя </w:t>
            </w:r>
            <w:r>
              <w:rPr>
                <w:rFonts w:ascii="Times New Roman" w:eastAsia="Times New Roman" w:hAnsi="Times New Roman" w:cs="Times New Roman"/>
                <w:sz w:val="22"/>
                <w:szCs w:val="22"/>
                <w:lang w:val="en-US"/>
              </w:rPr>
              <w:t>EBITDA</w:t>
            </w:r>
            <w:r w:rsidRPr="0058455C">
              <w:rPr>
                <w:rFonts w:ascii="Times New Roman" w:eastAsia="Times New Roman" w:hAnsi="Times New Roman" w:cs="Times New Roman"/>
                <w:sz w:val="22"/>
                <w:szCs w:val="22"/>
              </w:rPr>
              <w:t xml:space="preserve"> (</w:t>
            </w:r>
            <w:r w:rsidRPr="0036597B">
              <w:rPr>
                <w:rFonts w:ascii="Times New Roman" w:eastAsia="Times New Roman" w:hAnsi="Times New Roman" w:cs="Times New Roman"/>
                <w:sz w:val="22"/>
                <w:szCs w:val="22"/>
                <w:lang w:val="en-US"/>
              </w:rPr>
              <w:t>earnings</w:t>
            </w:r>
            <w:r w:rsidRPr="0058455C">
              <w:rPr>
                <w:rFonts w:ascii="Times New Roman" w:eastAsia="Times New Roman" w:hAnsi="Times New Roman" w:cs="Times New Roman"/>
                <w:sz w:val="22"/>
                <w:szCs w:val="22"/>
              </w:rPr>
              <w:t xml:space="preserve"> </w:t>
            </w:r>
            <w:r w:rsidRPr="0036597B">
              <w:rPr>
                <w:rFonts w:ascii="Times New Roman" w:eastAsia="Times New Roman" w:hAnsi="Times New Roman" w:cs="Times New Roman"/>
                <w:sz w:val="22"/>
                <w:szCs w:val="22"/>
                <w:lang w:val="en-US"/>
              </w:rPr>
              <w:t>before</w:t>
            </w:r>
            <w:r w:rsidRPr="0058455C">
              <w:rPr>
                <w:rFonts w:ascii="Times New Roman" w:eastAsia="Times New Roman" w:hAnsi="Times New Roman" w:cs="Times New Roman"/>
                <w:sz w:val="22"/>
                <w:szCs w:val="22"/>
              </w:rPr>
              <w:t xml:space="preserve"> </w:t>
            </w:r>
            <w:r w:rsidRPr="0036597B">
              <w:rPr>
                <w:rFonts w:ascii="Times New Roman" w:eastAsia="Times New Roman" w:hAnsi="Times New Roman" w:cs="Times New Roman"/>
                <w:sz w:val="22"/>
                <w:szCs w:val="22"/>
                <w:lang w:val="en-US"/>
              </w:rPr>
              <w:t>interest</w:t>
            </w:r>
            <w:r w:rsidRPr="0058455C">
              <w:rPr>
                <w:rFonts w:ascii="Times New Roman" w:eastAsia="Times New Roman" w:hAnsi="Times New Roman" w:cs="Times New Roman"/>
                <w:sz w:val="22"/>
                <w:szCs w:val="22"/>
              </w:rPr>
              <w:t xml:space="preserve">, </w:t>
            </w:r>
            <w:r w:rsidRPr="0036597B">
              <w:rPr>
                <w:rFonts w:ascii="Times New Roman" w:eastAsia="Times New Roman" w:hAnsi="Times New Roman" w:cs="Times New Roman"/>
                <w:sz w:val="22"/>
                <w:szCs w:val="22"/>
                <w:lang w:val="en-US"/>
              </w:rPr>
              <w:t>taxes</w:t>
            </w:r>
            <w:r w:rsidRPr="0058455C">
              <w:rPr>
                <w:rFonts w:ascii="Times New Roman" w:eastAsia="Times New Roman" w:hAnsi="Times New Roman" w:cs="Times New Roman"/>
                <w:sz w:val="22"/>
                <w:szCs w:val="22"/>
              </w:rPr>
              <w:t xml:space="preserve"> </w:t>
            </w:r>
            <w:r w:rsidRPr="0036597B">
              <w:rPr>
                <w:rFonts w:ascii="Times New Roman" w:eastAsia="Times New Roman" w:hAnsi="Times New Roman" w:cs="Times New Roman"/>
                <w:sz w:val="22"/>
                <w:szCs w:val="22"/>
                <w:lang w:val="en-US"/>
              </w:rPr>
              <w:t>and</w:t>
            </w:r>
            <w:r w:rsidRPr="0058455C">
              <w:rPr>
                <w:rFonts w:ascii="Times New Roman" w:eastAsia="Times New Roman" w:hAnsi="Times New Roman" w:cs="Times New Roman"/>
                <w:sz w:val="22"/>
                <w:szCs w:val="22"/>
              </w:rPr>
              <w:t xml:space="preserve"> </w:t>
            </w:r>
            <w:r w:rsidRPr="0036597B">
              <w:rPr>
                <w:rFonts w:ascii="Times New Roman" w:eastAsia="Times New Roman" w:hAnsi="Times New Roman" w:cs="Times New Roman"/>
                <w:sz w:val="22"/>
                <w:szCs w:val="22"/>
                <w:lang w:val="en-US"/>
              </w:rPr>
              <w:t>depreciation</w:t>
            </w:r>
            <w:r w:rsidRPr="0058455C">
              <w:rPr>
                <w:rFonts w:ascii="Times New Roman" w:eastAsia="Times New Roman" w:hAnsi="Times New Roman" w:cs="Times New Roman"/>
                <w:sz w:val="22"/>
                <w:szCs w:val="22"/>
              </w:rPr>
              <w:t xml:space="preserve"> &amp; </w:t>
            </w:r>
            <w:r w:rsidRPr="0036597B">
              <w:rPr>
                <w:rFonts w:ascii="Times New Roman" w:eastAsia="Times New Roman" w:hAnsi="Times New Roman" w:cs="Times New Roman"/>
                <w:sz w:val="22"/>
                <w:szCs w:val="22"/>
                <w:lang w:val="en-US"/>
              </w:rPr>
              <w:t>amortization</w:t>
            </w:r>
            <w:r w:rsidRPr="0058455C">
              <w:rPr>
                <w:rFonts w:ascii="Times New Roman" w:eastAsia="Times New Roman" w:hAnsi="Times New Roman" w:cs="Times New Roman"/>
                <w:sz w:val="22"/>
                <w:szCs w:val="22"/>
              </w:rPr>
              <w:t xml:space="preserve"> – доходы до вычета процентов, налогов, снижения стоимости и амортизации).</w:t>
            </w:r>
          </w:p>
          <w:p w:rsidR="00B42A3F" w:rsidRPr="0094618E" w:rsidRDefault="00B42A3F" w:rsidP="00B42A3F">
            <w:pPr>
              <w:ind w:firstLine="567"/>
              <w:jc w:val="both"/>
              <w:rPr>
                <w:rFonts w:ascii="Times New Roman" w:eastAsia="Times New Roman" w:hAnsi="Times New Roman" w:cs="Times New Roman"/>
                <w:sz w:val="22"/>
                <w:szCs w:val="22"/>
              </w:rPr>
            </w:pPr>
            <w:bookmarkStart w:id="33" w:name="Xhz550610"/>
            <w:bookmarkEnd w:id="33"/>
            <w:r w:rsidRPr="0058455C">
              <w:rPr>
                <w:rFonts w:ascii="Times New Roman" w:eastAsia="Times New Roman" w:hAnsi="Times New Roman" w:cs="Times New Roman"/>
                <w:sz w:val="22"/>
                <w:szCs w:val="22"/>
              </w:rPr>
              <w:t xml:space="preserve">Для показателя </w:t>
            </w:r>
            <w:r>
              <w:rPr>
                <w:rFonts w:ascii="Times New Roman" w:eastAsia="Times New Roman" w:hAnsi="Times New Roman" w:cs="Times New Roman"/>
                <w:sz w:val="22"/>
                <w:szCs w:val="22"/>
                <w:lang w:val="en-US"/>
              </w:rPr>
              <w:t>EBITDA</w:t>
            </w:r>
            <w:r w:rsidRPr="0058455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используются и фактические, и аналитические оценки.</w:t>
            </w:r>
          </w:p>
          <w:p w:rsidR="00B42A3F" w:rsidRPr="0094618E" w:rsidRDefault="00B42A3F" w:rsidP="00B42A3F">
            <w:pPr>
              <w:ind w:firstLine="567"/>
              <w:jc w:val="both"/>
              <w:rPr>
                <w:rFonts w:ascii="Times New Roman" w:eastAsia="Times New Roman" w:hAnsi="Times New Roman" w:cs="Times New Roman"/>
                <w:sz w:val="22"/>
                <w:szCs w:val="22"/>
              </w:rPr>
            </w:pPr>
            <w:bookmarkStart w:id="34" w:name="Xhz550611"/>
            <w:bookmarkEnd w:id="34"/>
            <w:r w:rsidRPr="0058455C">
              <w:rPr>
                <w:rFonts w:ascii="Times New Roman" w:eastAsia="Times New Roman" w:hAnsi="Times New Roman" w:cs="Times New Roman"/>
                <w:sz w:val="22"/>
                <w:szCs w:val="22"/>
              </w:rPr>
              <w:t xml:space="preserve">Как правило, отрицательные величины коэффициента не имеют значения, когда </w:t>
            </w:r>
            <w:r>
              <w:rPr>
                <w:rFonts w:ascii="Times New Roman" w:eastAsia="Times New Roman" w:hAnsi="Times New Roman" w:cs="Times New Roman"/>
                <w:sz w:val="22"/>
                <w:szCs w:val="22"/>
                <w:lang w:val="en-US"/>
              </w:rPr>
              <w:t>EBITDA</w:t>
            </w:r>
            <w:r w:rsidRPr="0058455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отрицательная. В этом случае для целей расчёта модели коэффициент рассчитывается путём умножения </w:t>
            </w:r>
            <w:r>
              <w:rPr>
                <w:rFonts w:ascii="Times New Roman" w:eastAsia="Times New Roman" w:hAnsi="Times New Roman" w:cs="Times New Roman"/>
                <w:sz w:val="22"/>
                <w:szCs w:val="22"/>
                <w:lang w:val="en-US"/>
              </w:rPr>
              <w:t>EBITDA</w:t>
            </w:r>
            <w:r w:rsidRPr="0058455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на расходы по выплате процентов для созранения правильного порядка среди компаний.</w:t>
            </w:r>
          </w:p>
          <w:p w:rsidR="00B42A3F" w:rsidRPr="0058455C" w:rsidRDefault="00B42A3F" w:rsidP="00B42A3F">
            <w:pPr>
              <w:ind w:firstLine="567"/>
              <w:jc w:val="both"/>
              <w:rPr>
                <w:rFonts w:ascii="Times New Roman" w:eastAsia="Times New Roman" w:hAnsi="Times New Roman" w:cs="Times New Roman"/>
                <w:sz w:val="22"/>
                <w:szCs w:val="22"/>
              </w:rPr>
            </w:pPr>
            <w:bookmarkStart w:id="35" w:name="Xhz550612"/>
            <w:bookmarkStart w:id="36" w:name="Xhz550613"/>
            <w:bookmarkEnd w:id="35"/>
            <w:bookmarkEnd w:id="36"/>
            <w:r w:rsidRPr="0058455C">
              <w:rPr>
                <w:rFonts w:ascii="Times New Roman" w:eastAsia="Times New Roman" w:hAnsi="Times New Roman" w:cs="Times New Roman"/>
                <w:sz w:val="22"/>
                <w:szCs w:val="22"/>
              </w:rPr>
              <w:t>Чем выше этот коэффициент, тем больше способность компании оплачивать расходы на выплату процентов.</w:t>
            </w:r>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rPr>
            </w:pPr>
            <m:oMathPara>
              <m:oMath>
                <m:f>
                  <m:fPr>
                    <m:ctrlPr>
                      <w:rPr>
                        <w:rFonts w:ascii="Cambria Math" w:eastAsia="Times New Roman" w:hAnsi="Cambria Math" w:cs="Times New Roman"/>
                        <w:i/>
                        <w:sz w:val="22"/>
                        <w:szCs w:val="22"/>
                      </w:rPr>
                    </m:ctrlPr>
                  </m:fPr>
                  <m:num>
                    <m:eqArr>
                      <m:eqArrPr>
                        <m:ctrlPr>
                          <w:rPr>
                            <w:rFonts w:ascii="Cambria Math" w:eastAsia="Times New Roman" w:hAnsi="Cambria Math" w:cs="Times New Roman"/>
                            <w:i/>
                            <w:sz w:val="22"/>
                            <w:szCs w:val="22"/>
                          </w:rPr>
                        </m:ctrlPr>
                      </m:eqArrPr>
                      <m:e>
                        <m:r>
                          <w:rPr>
                            <w:rFonts w:ascii="Cambria Math" w:eastAsia="Times New Roman" w:hAnsi="Cambria Math" w:cs="Times New Roman"/>
                            <w:sz w:val="22"/>
                            <w:szCs w:val="22"/>
                          </w:rPr>
                          <m:t xml:space="preserve">Свободный </m:t>
                        </m:r>
                      </m:e>
                      <m:e>
                        <m:r>
                          <w:rPr>
                            <w:rFonts w:ascii="Cambria Math" w:eastAsia="Times New Roman" w:hAnsi="Cambria Math" w:cs="Times New Roman"/>
                            <w:sz w:val="22"/>
                            <w:szCs w:val="22"/>
                          </w:rPr>
                          <m:t>денежный поток</m:t>
                        </m:r>
                      </m:e>
                    </m:eqArr>
                  </m:num>
                  <m:den>
                    <m:r>
                      <w:rPr>
                        <w:rFonts w:ascii="Cambria Math" w:eastAsia="Times New Roman" w:hAnsi="Cambria Math" w:cs="Times New Roman"/>
                        <w:sz w:val="22"/>
                        <w:szCs w:val="22"/>
                      </w:rPr>
                      <m:t>Долг</m:t>
                    </m:r>
                  </m:den>
                </m:f>
              </m:oMath>
            </m:oMathPara>
          </w:p>
          <w:p w:rsidR="00B42A3F" w:rsidRPr="0036597B" w:rsidRDefault="00B42A3F" w:rsidP="00B42A3F">
            <w:pPr>
              <w:jc w:val="both"/>
              <w:rPr>
                <w:rFonts w:ascii="Times New Roman" w:eastAsia="Times New Roman" w:hAnsi="Times New Roman" w:cs="Times New Roman"/>
                <w:sz w:val="22"/>
                <w:szCs w:val="22"/>
              </w:rPr>
            </w:pPr>
          </w:p>
          <w:p w:rsidR="00B42A3F" w:rsidRPr="0036597B" w:rsidRDefault="00B42A3F" w:rsidP="00B42A3F">
            <w:pPr>
              <w:jc w:val="both"/>
              <w:rPr>
                <w:rFonts w:ascii="Times New Roman" w:eastAsia="Times New Roman" w:hAnsi="Times New Roman" w:cs="Times New Roman"/>
                <w:sz w:val="22"/>
                <w:szCs w:val="22"/>
              </w:rPr>
            </w:pPr>
          </w:p>
          <w:p w:rsidR="00B42A3F" w:rsidRPr="0036597B" w:rsidRDefault="00B42A3F" w:rsidP="00B42A3F">
            <w:pPr>
              <w:jc w:val="both"/>
              <w:rPr>
                <w:rFonts w:ascii="Times" w:hAnsi="Times"/>
                <w:sz w:val="22"/>
                <w:szCs w:val="22"/>
                <w:lang w:val="en-US"/>
              </w:rPr>
            </w:pPr>
          </w:p>
        </w:tc>
        <w:tc>
          <w:tcPr>
            <w:tcW w:w="5909" w:type="dxa"/>
          </w:tcPr>
          <w:p w:rsidR="00B42A3F" w:rsidRPr="0074008E"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lastRenderedPageBreak/>
              <w:t xml:space="preserve">Оценивает насколько быстро компания может оплачивать все свои долги, в предположении, что она использует весь </w:t>
            </w:r>
            <w:r w:rsidRPr="0058455C">
              <w:rPr>
                <w:rFonts w:ascii="Times New Roman" w:eastAsia="Times New Roman" w:hAnsi="Times New Roman" w:cs="Times New Roman"/>
                <w:sz w:val="22"/>
                <w:szCs w:val="22"/>
              </w:rPr>
              <w:lastRenderedPageBreak/>
              <w:t>свободный денежный поток от операций (</w:t>
            </w:r>
            <w:r>
              <w:rPr>
                <w:rFonts w:ascii="Times New Roman" w:eastAsia="Times New Roman" w:hAnsi="Times New Roman" w:cs="Times New Roman"/>
                <w:sz w:val="22"/>
                <w:szCs w:val="22"/>
                <w:lang w:val="en-US"/>
              </w:rPr>
              <w:t>FCF</w:t>
            </w:r>
            <w:r w:rsidRPr="0058455C">
              <w:rPr>
                <w:rFonts w:ascii="Times New Roman" w:eastAsia="Times New Roman" w:hAnsi="Times New Roman" w:cs="Times New Roman"/>
                <w:sz w:val="22"/>
                <w:szCs w:val="22"/>
              </w:rPr>
              <w:t>)</w:t>
            </w:r>
            <w:r>
              <w:rPr>
                <w:rFonts w:ascii="Times New Roman" w:eastAsia="Times New Roman" w:hAnsi="Times New Roman" w:cs="Times New Roman"/>
                <w:sz w:val="22"/>
                <w:szCs w:val="22"/>
              </w:rPr>
              <w:t>.</w:t>
            </w:r>
          </w:p>
          <w:p w:rsidR="00B42A3F" w:rsidRPr="0058455C" w:rsidRDefault="00B42A3F" w:rsidP="00B42A3F">
            <w:pPr>
              <w:ind w:firstLine="567"/>
              <w:jc w:val="both"/>
              <w:rPr>
                <w:rFonts w:ascii="Times New Roman" w:eastAsia="Times New Roman" w:hAnsi="Times New Roman" w:cs="Times New Roman"/>
                <w:sz w:val="22"/>
                <w:szCs w:val="22"/>
              </w:rPr>
            </w:pPr>
            <w:bookmarkStart w:id="37" w:name="Xhz550618"/>
            <w:bookmarkEnd w:id="37"/>
            <w:r w:rsidRPr="0058455C">
              <w:rPr>
                <w:rFonts w:ascii="Times New Roman" w:eastAsia="Times New Roman" w:hAnsi="Times New Roman" w:cs="Times New Roman"/>
                <w:sz w:val="22"/>
                <w:szCs w:val="22"/>
              </w:rPr>
              <w:t>Для оценки денежного потока от операций используются как заявленные компанией величины, так и оценки аналитиков.</w:t>
            </w:r>
          </w:p>
          <w:p w:rsidR="00B42A3F" w:rsidRPr="0058455C" w:rsidRDefault="00B42A3F" w:rsidP="00B42A3F">
            <w:pPr>
              <w:ind w:firstLine="567"/>
              <w:jc w:val="both"/>
              <w:rPr>
                <w:rFonts w:ascii="Times New Roman" w:eastAsia="Times New Roman" w:hAnsi="Times New Roman" w:cs="Times New Roman"/>
                <w:sz w:val="22"/>
                <w:szCs w:val="22"/>
              </w:rPr>
            </w:pPr>
            <w:bookmarkStart w:id="38" w:name="Xhz550619"/>
            <w:bookmarkEnd w:id="38"/>
            <w:r w:rsidRPr="0058455C">
              <w:rPr>
                <w:rFonts w:ascii="Times New Roman" w:eastAsia="Times New Roman" w:hAnsi="Times New Roman" w:cs="Times New Roman"/>
                <w:sz w:val="22"/>
                <w:szCs w:val="22"/>
              </w:rPr>
              <w:t>Как правило, отрицательная величина коэффициента не имеет значения при отрицательном свободном денежном потоке.</w:t>
            </w:r>
          </w:p>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В этом случае в целях расчёта модели коэффициент вычисляется умножением свободного денежного потока на общую величину долга для обеспечения правильного порядка среди компаний.</w:t>
            </w:r>
          </w:p>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Чем выше коэффициент, тем быстрее компания может оплалить свой долг, используя свободный денежный поток.</w:t>
            </w:r>
          </w:p>
          <w:p w:rsidR="00B42A3F" w:rsidRPr="00F3506D" w:rsidRDefault="00B42A3F" w:rsidP="00B42A3F">
            <w:pPr>
              <w:jc w:val="both"/>
              <w:rPr>
                <w:rFonts w:ascii="Times New Roman" w:eastAsia="Times New Roman" w:hAnsi="Times New Roman" w:cs="Times New Roman"/>
                <w:sz w:val="22"/>
                <w:szCs w:val="22"/>
                <w:lang w:val="en-US"/>
              </w:rPr>
            </w:pPr>
            <m:oMathPara>
              <m:oMath>
                <w:bookmarkStart w:id="39" w:name="Xhz550621"/>
                <w:bookmarkEnd w:id="39"/>
                <m:f>
                  <m:fPr>
                    <m:ctrlPr>
                      <w:rPr>
                        <w:rFonts w:ascii="Cambria Math" w:eastAsia="Times New Roman" w:hAnsi="Cambria Math" w:cs="Times New Roman"/>
                        <w:i/>
                        <w:sz w:val="22"/>
                        <w:szCs w:val="22"/>
                        <w:lang w:val="en-US"/>
                      </w:rPr>
                    </m:ctrlPr>
                  </m:fPr>
                  <m:num>
                    <m:r>
                      <w:rPr>
                        <w:rFonts w:ascii="Cambria Math" w:eastAsia="Times New Roman" w:hAnsi="Cambria Math" w:cs="Times New Roman"/>
                        <w:sz w:val="22"/>
                        <w:szCs w:val="22"/>
                        <w:lang w:val="en-US"/>
                      </w:rPr>
                      <m:t>FCF</m:t>
                    </m:r>
                  </m:num>
                  <m:den>
                    <m:r>
                      <w:rPr>
                        <w:rFonts w:ascii="Cambria Math" w:eastAsia="Times New Roman" w:hAnsi="Cambria Math" w:cs="Times New Roman"/>
                        <w:sz w:val="22"/>
                        <w:szCs w:val="22"/>
                      </w:rPr>
                      <m:t>Долг</m:t>
                    </m:r>
                  </m:den>
                </m:f>
                <m:r>
                  <w:rPr>
                    <w:rFonts w:ascii="Cambria Math" w:eastAsia="Times New Roman" w:hAnsi="Cambria Math" w:cs="Times New Roman"/>
                    <w:sz w:val="22"/>
                    <w:szCs w:val="22"/>
                    <w:lang w:val="en-US"/>
                  </w:rPr>
                  <m:t>=</m:t>
                </m:r>
                <m:f>
                  <m:fPr>
                    <m:ctrlPr>
                      <w:rPr>
                        <w:rFonts w:ascii="Cambria Math" w:eastAsia="Times New Roman" w:hAnsi="Cambria Math" w:cs="Times New Roman"/>
                        <w:i/>
                        <w:sz w:val="22"/>
                        <w:szCs w:val="22"/>
                        <w:lang w:val="en-US"/>
                      </w:rPr>
                    </m:ctrlPr>
                  </m:fPr>
                  <m:num>
                    <m:eqArr>
                      <m:eqArrPr>
                        <m:ctrlPr>
                          <w:rPr>
                            <w:rFonts w:ascii="Cambria Math" w:eastAsia="Times New Roman" w:hAnsi="Cambria Math" w:cs="Times New Roman"/>
                            <w:i/>
                            <w:sz w:val="22"/>
                            <w:szCs w:val="22"/>
                            <w:lang w:val="en-US"/>
                          </w:rPr>
                        </m:ctrlPr>
                      </m:eqArrPr>
                      <m:e>
                        <m:r>
                          <w:rPr>
                            <w:rFonts w:ascii="Cambria Math" w:eastAsia="Times New Roman" w:hAnsi="Cambria Math" w:cs="Times New Roman"/>
                            <w:sz w:val="22"/>
                            <w:szCs w:val="22"/>
                            <w:lang w:val="en-US"/>
                          </w:rPr>
                          <m:t xml:space="preserve">(Денежный поток </m:t>
                        </m:r>
                      </m:e>
                      <m:e>
                        <m:r>
                          <w:rPr>
                            <w:rFonts w:ascii="Cambria Math" w:eastAsia="Times New Roman" w:hAnsi="Cambria Math" w:cs="Times New Roman"/>
                            <w:sz w:val="22"/>
                            <w:szCs w:val="22"/>
                            <w:lang w:val="en-US"/>
                          </w:rPr>
                          <m:t>от операций-Capex</m:t>
                        </m:r>
                        <m:r>
                          <m:rPr>
                            <m:sty m:val="p"/>
                          </m:rPr>
                          <w:rPr>
                            <w:rStyle w:val="af"/>
                          </w:rPr>
                          <w:footnoteReference w:id="24"/>
                        </m:r>
                        <m:r>
                          <w:rPr>
                            <w:rFonts w:ascii="Cambria Math" w:eastAsia="Times New Roman" w:hAnsi="Cambria Math" w:cs="Times New Roman"/>
                            <w:sz w:val="22"/>
                            <w:szCs w:val="22"/>
                            <w:lang w:val="en-US"/>
                          </w:rPr>
                          <m:t>)</m:t>
                        </m:r>
                      </m:e>
                    </m:eqArr>
                  </m:num>
                  <m:den>
                    <m:r>
                      <w:rPr>
                        <w:rFonts w:ascii="Cambria Math" w:eastAsia="Times New Roman" w:hAnsi="Cambria Math" w:cs="Times New Roman"/>
                        <w:sz w:val="22"/>
                        <w:szCs w:val="22"/>
                        <w:lang w:val="en-US"/>
                      </w:rPr>
                      <m:t>Общая сумма долга</m:t>
                    </m:r>
                  </m:den>
                </m:f>
              </m:oMath>
            </m:oMathPara>
          </w:p>
        </w:tc>
      </w:tr>
      <w:tr w:rsidR="00B42A3F" w:rsidRPr="0036597B" w:rsidTr="00B42A3F">
        <w:tc>
          <w:tcPr>
            <w:tcW w:w="0" w:type="auto"/>
            <w:vMerge w:val="restart"/>
          </w:tcPr>
          <w:p w:rsidR="00B42A3F" w:rsidRPr="0036597B" w:rsidRDefault="00B42A3F" w:rsidP="00B42A3F">
            <w:pPr>
              <w:jc w:val="both"/>
              <w:rPr>
                <w:rFonts w:ascii="Times" w:hAnsi="Times"/>
                <w:sz w:val="22"/>
                <w:szCs w:val="22"/>
                <w:lang w:val="en-US"/>
              </w:rPr>
            </w:pPr>
            <w:r w:rsidRPr="0036597B">
              <w:rPr>
                <w:rFonts w:ascii="Times" w:hAnsi="Times"/>
                <w:sz w:val="22"/>
                <w:szCs w:val="22"/>
                <w:lang w:val="en-US"/>
              </w:rPr>
              <w:lastRenderedPageBreak/>
              <w:t>ликвидность</w:t>
            </w:r>
          </w:p>
        </w:tc>
        <w:tc>
          <w:tcPr>
            <w:tcW w:w="0" w:type="auto"/>
          </w:tcPr>
          <w:p w:rsidR="00B42A3F" w:rsidRPr="0036597B" w:rsidRDefault="00B42A3F" w:rsidP="00B42A3F">
            <w:pPr>
              <w:jc w:val="both"/>
              <w:rPr>
                <w:rFonts w:ascii="Times New Roman" w:eastAsia="Times New Roman" w:hAnsi="Times New Roman" w:cs="Times New Roman"/>
                <w:sz w:val="22"/>
                <w:szCs w:val="22"/>
              </w:rPr>
            </w:pPr>
            <m:oMathPara>
              <m:oMath>
                <m:f>
                  <m:fPr>
                    <m:ctrlPr>
                      <w:rPr>
                        <w:rFonts w:ascii="Cambria Math" w:eastAsia="Times New Roman" w:hAnsi="Cambria Math" w:cs="Times New Roman"/>
                        <w:i/>
                        <w:sz w:val="22"/>
                        <w:szCs w:val="22"/>
                      </w:rPr>
                    </m:ctrlPr>
                  </m:fPr>
                  <m:num>
                    <m:r>
                      <w:rPr>
                        <w:rFonts w:ascii="Cambria Math" w:eastAsia="Times New Roman" w:hAnsi="Cambria Math" w:cs="Times New Roman"/>
                        <w:sz w:val="22"/>
                        <w:szCs w:val="22"/>
                      </w:rPr>
                      <m:t>Наличные деньги</m:t>
                    </m:r>
                  </m:num>
                  <m:den>
                    <m:eqArr>
                      <m:eqArrPr>
                        <m:ctrlPr>
                          <w:rPr>
                            <w:rFonts w:ascii="Cambria Math" w:eastAsia="Times New Roman" w:hAnsi="Cambria Math" w:cs="Times New Roman"/>
                            <w:i/>
                            <w:sz w:val="22"/>
                            <w:szCs w:val="22"/>
                          </w:rPr>
                        </m:ctrlPr>
                      </m:eqArrPr>
                      <m:e>
                        <m:r>
                          <w:rPr>
                            <w:rFonts w:ascii="Cambria Math" w:eastAsia="Times New Roman" w:hAnsi="Cambria Math" w:cs="Times New Roman"/>
                            <w:sz w:val="22"/>
                            <w:szCs w:val="22"/>
                          </w:rPr>
                          <m:t xml:space="preserve">Общая </m:t>
                        </m:r>
                      </m:e>
                      <m:e>
                        <m:r>
                          <w:rPr>
                            <w:rFonts w:ascii="Cambria Math" w:eastAsia="Times New Roman" w:hAnsi="Cambria Math" w:cs="Times New Roman"/>
                            <w:sz w:val="22"/>
                            <w:szCs w:val="22"/>
                          </w:rPr>
                          <m:t>сумма долга</m:t>
                        </m:r>
                      </m:e>
                    </m:eqArr>
                  </m:den>
                </m:f>
              </m:oMath>
            </m:oMathPara>
          </w:p>
          <w:p w:rsidR="00B42A3F" w:rsidRPr="0036597B" w:rsidRDefault="00B42A3F" w:rsidP="00B42A3F">
            <w:pPr>
              <w:jc w:val="both"/>
              <w:rPr>
                <w:rFonts w:ascii="Times New Roman" w:eastAsia="Times New Roman" w:hAnsi="Times New Roman" w:cs="Times New Roman"/>
                <w:sz w:val="22"/>
                <w:szCs w:val="22"/>
              </w:rPr>
            </w:pPr>
          </w:p>
        </w:tc>
        <w:tc>
          <w:tcPr>
            <w:tcW w:w="5909" w:type="dxa"/>
          </w:tcPr>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Отношение денег и денежных эквивалентов к общему долгу.</w:t>
            </w:r>
          </w:p>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Коэффициент измеряет, наколько быстро компания может оплатить свой долг, используя все наличиные деньги.</w:t>
            </w:r>
          </w:p>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Чем выше коэффициент, тем более ликвидной является компания.</w:t>
            </w:r>
          </w:p>
          <w:p w:rsidR="00B42A3F" w:rsidRPr="004500E4" w:rsidRDefault="00B42A3F" w:rsidP="00B42A3F">
            <w:pPr>
              <w:ind w:firstLine="567"/>
              <w:jc w:val="both"/>
              <w:rPr>
                <w:rFonts w:ascii="Times New Roman" w:eastAsia="Times New Roman" w:hAnsi="Times New Roman" w:cs="Times New Roman"/>
                <w:sz w:val="22"/>
                <w:szCs w:val="22"/>
              </w:rPr>
            </w:pPr>
            <w:bookmarkStart w:id="40" w:name="Xhz550655"/>
            <w:bookmarkStart w:id="41" w:name="Xhz550656"/>
            <w:bookmarkStart w:id="42" w:name="Xhz550657"/>
            <w:bookmarkEnd w:id="40"/>
            <w:bookmarkEnd w:id="41"/>
            <w:bookmarkEnd w:id="42"/>
            <w:r w:rsidRPr="0058455C">
              <w:rPr>
                <w:rFonts w:ascii="Times New Roman" w:eastAsia="Times New Roman" w:hAnsi="Times New Roman" w:cs="Times New Roman"/>
                <w:sz w:val="22"/>
                <w:szCs w:val="22"/>
              </w:rPr>
              <w:t xml:space="preserve">Коэффициент использует минимальный делитель, равный $ 1 </w:t>
            </w:r>
            <w:r>
              <w:rPr>
                <w:rFonts w:ascii="Times New Roman" w:eastAsia="Times New Roman" w:hAnsi="Times New Roman" w:cs="Times New Roman"/>
                <w:sz w:val="22"/>
                <w:szCs w:val="22"/>
              </w:rPr>
              <w:t>млн, для избежания очень больших значений.</w:t>
            </w:r>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lang w:val="en-US"/>
              </w:rPr>
            </w:pPr>
            <m:oMathPara>
              <m:oMath>
                <m:f>
                  <m:fPr>
                    <m:ctrlPr>
                      <w:rPr>
                        <w:rFonts w:ascii="Cambria Math" w:eastAsia="Times New Roman" w:hAnsi="Cambria Math" w:cs="Times New Roman"/>
                        <w:i/>
                        <w:sz w:val="22"/>
                        <w:szCs w:val="22"/>
                        <w:lang w:val="en-US"/>
                      </w:rPr>
                    </m:ctrlPr>
                  </m:fPr>
                  <m:num>
                    <m:eqArr>
                      <m:eqArrPr>
                        <m:ctrlPr>
                          <w:rPr>
                            <w:rFonts w:ascii="Cambria Math" w:eastAsia="Times New Roman" w:hAnsi="Cambria Math" w:cs="Times New Roman"/>
                            <w:i/>
                            <w:sz w:val="22"/>
                            <w:szCs w:val="22"/>
                            <w:lang w:val="en-US"/>
                          </w:rPr>
                        </m:ctrlPr>
                      </m:eqArrPr>
                      <m:e>
                        <m:r>
                          <w:rPr>
                            <w:rFonts w:ascii="Cambria Math" w:eastAsia="Times New Roman" w:hAnsi="Cambria Math" w:cs="Times New Roman"/>
                            <w:sz w:val="22"/>
                            <w:szCs w:val="22"/>
                            <w:lang w:val="en-US"/>
                          </w:rPr>
                          <m:t xml:space="preserve">Краткосрочные </m:t>
                        </m:r>
                      </m:e>
                      <m:e>
                        <m:r>
                          <w:rPr>
                            <w:rFonts w:ascii="Cambria Math" w:eastAsia="Times New Roman" w:hAnsi="Cambria Math" w:cs="Times New Roman"/>
                            <w:sz w:val="22"/>
                            <w:szCs w:val="22"/>
                            <w:lang w:val="en-US"/>
                          </w:rPr>
                          <m:t>обязательства</m:t>
                        </m:r>
                      </m:e>
                    </m:eqArr>
                  </m:num>
                  <m:den>
                    <m:eqArr>
                      <m:eqArrPr>
                        <m:ctrlPr>
                          <w:rPr>
                            <w:rFonts w:ascii="Cambria Math" w:eastAsia="Times New Roman" w:hAnsi="Cambria Math" w:cs="Times New Roman"/>
                            <w:i/>
                            <w:sz w:val="22"/>
                            <w:szCs w:val="22"/>
                            <w:lang w:val="en-US"/>
                          </w:rPr>
                        </m:ctrlPr>
                      </m:eqArrPr>
                      <m:e>
                        <m:r>
                          <w:rPr>
                            <w:rFonts w:ascii="Cambria Math" w:eastAsia="Times New Roman" w:hAnsi="Cambria Math" w:cs="Times New Roman"/>
                            <w:sz w:val="22"/>
                            <w:szCs w:val="22"/>
                            <w:lang w:val="en-US"/>
                          </w:rPr>
                          <m:t xml:space="preserve">Все </m:t>
                        </m:r>
                      </m:e>
                      <m:e>
                        <m:r>
                          <w:rPr>
                            <w:rFonts w:ascii="Cambria Math" w:eastAsia="Times New Roman" w:hAnsi="Cambria Math" w:cs="Times New Roman"/>
                            <w:sz w:val="22"/>
                            <w:szCs w:val="22"/>
                            <w:lang w:val="en-US"/>
                          </w:rPr>
                          <m:t>обязательства</m:t>
                        </m:r>
                      </m:e>
                    </m:eqArr>
                  </m:den>
                </m:f>
              </m:oMath>
            </m:oMathPara>
          </w:p>
          <w:p w:rsidR="00B42A3F" w:rsidRPr="0036597B" w:rsidRDefault="00B42A3F" w:rsidP="00B42A3F">
            <w:pPr>
              <w:jc w:val="both"/>
              <w:rPr>
                <w:rFonts w:ascii="Times New Roman" w:eastAsia="Times New Roman" w:hAnsi="Times New Roman" w:cs="Times New Roman"/>
                <w:sz w:val="22"/>
                <w:szCs w:val="22"/>
                <w:lang w:val="en-US"/>
              </w:rPr>
            </w:pPr>
          </w:p>
        </w:tc>
        <w:tc>
          <w:tcPr>
            <w:tcW w:w="5909" w:type="dxa"/>
          </w:tcPr>
          <w:p w:rsidR="00B42A3F" w:rsidRPr="0058455C" w:rsidRDefault="00B42A3F" w:rsidP="00B42A3F">
            <w:pPr>
              <w:spacing w:before="100" w:beforeAutospacing="1" w:after="100" w:afterAutospacing="1"/>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Краткосрочные обязательства как процент от Всех обязательств, отражающий структуру долга компании.</w:t>
            </w:r>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rPr>
            </w:pPr>
            <w:r w:rsidRPr="0036597B">
              <w:rPr>
                <w:rFonts w:ascii="Times New Roman" w:eastAsia="Times New Roman" w:hAnsi="Times New Roman" w:cs="Times New Roman"/>
                <w:sz w:val="22"/>
                <w:szCs w:val="22"/>
              </w:rPr>
              <w:t>Коэффициент ликвидности</w:t>
            </w:r>
          </w:p>
          <w:p w:rsidR="00B42A3F" w:rsidRPr="0036597B" w:rsidRDefault="00B42A3F" w:rsidP="00B42A3F">
            <w:pPr>
              <w:jc w:val="both"/>
              <w:rPr>
                <w:rFonts w:ascii="Times New Roman" w:eastAsia="Times New Roman" w:hAnsi="Times New Roman" w:cs="Times New Roman"/>
                <w:sz w:val="22"/>
                <w:szCs w:val="22"/>
              </w:rPr>
            </w:pPr>
          </w:p>
          <w:p w:rsidR="00B42A3F" w:rsidRPr="0036597B" w:rsidRDefault="00B42A3F" w:rsidP="00B42A3F">
            <w:pPr>
              <w:jc w:val="both"/>
              <w:rPr>
                <w:rFonts w:ascii="Times New Roman" w:eastAsia="Times New Roman" w:hAnsi="Times New Roman" w:cs="Times New Roman"/>
                <w:sz w:val="22"/>
                <w:szCs w:val="22"/>
              </w:rPr>
            </w:pPr>
          </w:p>
        </w:tc>
        <w:tc>
          <w:tcPr>
            <w:tcW w:w="5909" w:type="dxa"/>
          </w:tcPr>
          <w:p w:rsidR="00B42A3F" w:rsidRPr="0058455C" w:rsidRDefault="00B42A3F" w:rsidP="00B42A3F">
            <w:pPr>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Измеряет то, в какой степени активы могут быть быстро конвертированы в денежные средства в ближайшем времени или текущие обязательства.</w:t>
            </w:r>
          </w:p>
          <w:p w:rsidR="00B42A3F" w:rsidRDefault="00B42A3F" w:rsidP="00B42A3F">
            <w:pPr>
              <w:ind w:firstLine="567"/>
              <w:jc w:val="both"/>
              <w:rPr>
                <w:rFonts w:ascii="Times New Roman" w:eastAsia="Times New Roman" w:hAnsi="Times New Roman" w:cs="Times New Roman"/>
                <w:sz w:val="22"/>
                <w:szCs w:val="22"/>
                <w:lang w:val="en-US"/>
              </w:rPr>
            </w:pPr>
            <w:bookmarkStart w:id="43" w:name="Xhz550666"/>
            <w:bookmarkEnd w:id="43"/>
            <w:r>
              <w:rPr>
                <w:rFonts w:ascii="Times New Roman" w:eastAsia="Times New Roman" w:hAnsi="Times New Roman" w:cs="Times New Roman"/>
                <w:sz w:val="22"/>
                <w:szCs w:val="22"/>
                <w:lang w:val="en-US"/>
              </w:rPr>
              <w:t>Коэффициент рассчитывается как:</w:t>
            </w:r>
          </w:p>
          <w:p w:rsidR="00B42A3F" w:rsidRDefault="00B42A3F" w:rsidP="00B42A3F">
            <w:pPr>
              <w:ind w:firstLine="567"/>
              <w:jc w:val="both"/>
              <w:rPr>
                <w:rFonts w:ascii="Times New Roman" w:eastAsia="Times New Roman" w:hAnsi="Times New Roman" w:cs="Times New Roman"/>
                <w:sz w:val="22"/>
                <w:szCs w:val="22"/>
                <w:lang w:val="en-US"/>
              </w:rPr>
            </w:pPr>
            <m:oMathPara>
              <m:oMath>
                <m:f>
                  <m:fPr>
                    <m:ctrlPr>
                      <w:rPr>
                        <w:rFonts w:ascii="Cambria Math" w:eastAsia="Times New Roman" w:hAnsi="Cambria Math" w:cs="Times New Roman"/>
                        <w:i/>
                        <w:sz w:val="22"/>
                        <w:szCs w:val="22"/>
                        <w:lang w:val="en-US"/>
                      </w:rPr>
                    </m:ctrlPr>
                  </m:fPr>
                  <m:num>
                    <m:eqArr>
                      <m:eqArrPr>
                        <m:ctrlPr>
                          <w:rPr>
                            <w:rFonts w:ascii="Cambria Math" w:eastAsia="Times New Roman" w:hAnsi="Cambria Math" w:cs="Times New Roman"/>
                            <w:i/>
                            <w:sz w:val="22"/>
                            <w:szCs w:val="22"/>
                            <w:lang w:val="en-US"/>
                          </w:rPr>
                        </m:ctrlPr>
                      </m:eqArrPr>
                      <m:e>
                        <m:r>
                          <w:rPr>
                            <w:rFonts w:ascii="Cambria Math" w:eastAsia="Times New Roman" w:hAnsi="Cambria Math" w:cs="Times New Roman"/>
                            <w:sz w:val="22"/>
                            <w:szCs w:val="22"/>
                            <w:lang w:val="en-US"/>
                          </w:rPr>
                          <m:t>(Текущие активы-</m:t>
                        </m:r>
                      </m:e>
                      <m:e>
                        <m:r>
                          <w:rPr>
                            <w:rFonts w:ascii="Cambria Math" w:eastAsia="Times New Roman" w:hAnsi="Cambria Math" w:cs="Times New Roman"/>
                            <w:sz w:val="22"/>
                            <w:szCs w:val="22"/>
                            <w:lang w:val="en-US"/>
                          </w:rPr>
                          <m:t>Оборотные активы)</m:t>
                        </m:r>
                      </m:e>
                    </m:eqArr>
                  </m:num>
                  <m:den>
                    <m:r>
                      <w:rPr>
                        <w:rFonts w:ascii="Cambria Math" w:eastAsia="Times New Roman" w:hAnsi="Cambria Math" w:cs="Times New Roman"/>
                        <w:sz w:val="22"/>
                        <w:szCs w:val="22"/>
                        <w:lang w:val="en-US"/>
                      </w:rPr>
                      <m:t>Текущие обязательства</m:t>
                    </m:r>
                  </m:den>
                </m:f>
              </m:oMath>
            </m:oMathPara>
          </w:p>
          <w:p w:rsidR="00B42A3F" w:rsidRDefault="00B42A3F" w:rsidP="00B42A3F">
            <w:pPr>
              <w:ind w:firstLine="567"/>
              <w:jc w:val="both"/>
              <w:rPr>
                <w:rFonts w:ascii="Times New Roman" w:eastAsia="Times New Roman" w:hAnsi="Times New Roman" w:cs="Times New Roman"/>
                <w:sz w:val="22"/>
                <w:szCs w:val="22"/>
              </w:rPr>
            </w:pPr>
            <w:bookmarkStart w:id="44" w:name="Xhz550667"/>
            <w:bookmarkStart w:id="45" w:name="Xhz550668"/>
            <w:bookmarkEnd w:id="44"/>
            <w:bookmarkEnd w:id="45"/>
            <w:r w:rsidRPr="0058455C">
              <w:rPr>
                <w:rFonts w:ascii="Times New Roman" w:eastAsia="Times New Roman" w:hAnsi="Times New Roman" w:cs="Times New Roman"/>
                <w:sz w:val="22"/>
                <w:szCs w:val="22"/>
              </w:rPr>
              <w:t>Более высокие коэффициенты отражают более высокую ликвидность.</w:t>
            </w:r>
          </w:p>
          <w:p w:rsidR="00B42A3F" w:rsidRDefault="00B42A3F" w:rsidP="00B42A3F">
            <w:pPr>
              <w:ind w:firstLine="567"/>
              <w:jc w:val="both"/>
              <w:rPr>
                <w:rFonts w:ascii="Times New Roman" w:eastAsia="Times New Roman" w:hAnsi="Times New Roman" w:cs="Times New Roman"/>
                <w:sz w:val="22"/>
                <w:szCs w:val="22"/>
              </w:rPr>
            </w:pPr>
          </w:p>
          <w:p w:rsidR="00B42A3F" w:rsidRDefault="00B42A3F" w:rsidP="00B42A3F">
            <w:pPr>
              <w:ind w:firstLine="567"/>
              <w:jc w:val="both"/>
              <w:rPr>
                <w:rFonts w:ascii="Times New Roman" w:eastAsia="Times New Roman" w:hAnsi="Times New Roman" w:cs="Times New Roman"/>
                <w:sz w:val="22"/>
                <w:szCs w:val="22"/>
              </w:rPr>
            </w:pPr>
          </w:p>
          <w:p w:rsidR="00B42A3F" w:rsidRDefault="00B42A3F" w:rsidP="00B42A3F">
            <w:pPr>
              <w:ind w:firstLine="567"/>
              <w:jc w:val="both"/>
              <w:rPr>
                <w:rFonts w:ascii="Times New Roman" w:eastAsia="Times New Roman" w:hAnsi="Times New Roman" w:cs="Times New Roman"/>
                <w:sz w:val="22"/>
                <w:szCs w:val="22"/>
              </w:rPr>
            </w:pPr>
          </w:p>
          <w:p w:rsidR="00B42A3F" w:rsidRPr="0058455C" w:rsidRDefault="00B42A3F" w:rsidP="00B42A3F">
            <w:pPr>
              <w:ind w:firstLine="567"/>
              <w:jc w:val="both"/>
              <w:rPr>
                <w:rFonts w:ascii="Times New Roman" w:eastAsia="Times New Roman" w:hAnsi="Times New Roman" w:cs="Times New Roman"/>
                <w:sz w:val="22"/>
                <w:szCs w:val="22"/>
              </w:rPr>
            </w:pPr>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rPr>
            </w:pPr>
            <w:r w:rsidRPr="0036597B">
              <w:rPr>
                <w:rFonts w:ascii="Times New Roman" w:eastAsia="Times New Roman" w:hAnsi="Times New Roman" w:cs="Times New Roman"/>
                <w:sz w:val="22"/>
                <w:szCs w:val="22"/>
              </w:rPr>
              <w:t>Изменение коэффициента ликвидности</w:t>
            </w:r>
          </w:p>
        </w:tc>
        <w:tc>
          <w:tcPr>
            <w:tcW w:w="5909" w:type="dxa"/>
          </w:tcPr>
          <w:p w:rsidR="00B42A3F" w:rsidRPr="0058455C" w:rsidRDefault="00B42A3F" w:rsidP="00B42A3F">
            <w:pPr>
              <w:spacing w:before="100" w:beforeAutospacing="1" w:after="100" w:afterAutospacing="1"/>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 xml:space="preserve">Простое изменение коэффициента ликвидности в течение последных </w:t>
            </w:r>
            <w:r w:rsidRPr="0058455C">
              <w:rPr>
                <w:rFonts w:ascii="Times New Roman" w:eastAsia="Times New Roman" w:hAnsi="Times New Roman" w:cs="Times New Roman"/>
                <w:sz w:val="22"/>
                <w:szCs w:val="22"/>
              </w:rPr>
              <w:lastRenderedPageBreak/>
              <w:t>доступных последовательных периодов.</w:t>
            </w:r>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spacing w:before="100" w:beforeAutospacing="1" w:after="100" w:afterAutospacing="1"/>
              <w:rPr>
                <w:rFonts w:ascii="Times New Roman" w:eastAsia="Times New Roman" w:hAnsi="Times New Roman" w:cs="Times New Roman"/>
                <w:sz w:val="22"/>
                <w:szCs w:val="22"/>
                <w:lang w:val="en-US"/>
              </w:rPr>
            </w:pPr>
            <m:oMathPara>
              <m:oMath>
                <m:f>
                  <m:fPr>
                    <m:ctrlPr>
                      <w:rPr>
                        <w:rFonts w:ascii="Cambria Math" w:eastAsia="Times New Roman" w:hAnsi="Cambria Math" w:cs="Times New Roman"/>
                        <w:i/>
                        <w:sz w:val="22"/>
                        <w:szCs w:val="22"/>
                        <w:lang w:val="en-US"/>
                      </w:rPr>
                    </m:ctrlPr>
                  </m:fPr>
                  <m:num>
                    <m:r>
                      <w:rPr>
                        <w:rFonts w:ascii="Cambria Math" w:eastAsia="Times New Roman" w:hAnsi="Cambria Math" w:cs="Times New Roman"/>
                        <w:sz w:val="22"/>
                        <w:szCs w:val="22"/>
                        <w:lang w:val="en-US"/>
                      </w:rPr>
                      <m:t>Запасы нефти и газа</m:t>
                    </m:r>
                  </m:num>
                  <m:den>
                    <m:r>
                      <w:rPr>
                        <w:rFonts w:ascii="Cambria Math" w:eastAsia="Times New Roman" w:hAnsi="Cambria Math" w:cs="Times New Roman"/>
                        <w:sz w:val="22"/>
                        <w:szCs w:val="22"/>
                        <w:lang w:val="en-US"/>
                      </w:rPr>
                      <m:t>Производство</m:t>
                    </m:r>
                  </m:den>
                </m:f>
              </m:oMath>
            </m:oMathPara>
          </w:p>
          <w:p w:rsidR="00B42A3F" w:rsidRPr="0036597B" w:rsidRDefault="00B42A3F" w:rsidP="00B42A3F">
            <w:pPr>
              <w:spacing w:before="100" w:beforeAutospacing="1" w:after="100" w:afterAutospacing="1"/>
              <w:rPr>
                <w:rFonts w:ascii="Times New Roman" w:eastAsia="Times New Roman" w:hAnsi="Times New Roman" w:cs="Times New Roman"/>
                <w:sz w:val="22"/>
                <w:szCs w:val="22"/>
                <w:lang w:val="en-US"/>
              </w:rPr>
            </w:pPr>
            <w:r w:rsidRPr="0036597B">
              <w:rPr>
                <w:rFonts w:ascii="Times New Roman" w:eastAsia="Times New Roman" w:hAnsi="Times New Roman" w:cs="Times New Roman"/>
                <w:sz w:val="22"/>
                <w:szCs w:val="22"/>
                <w:lang w:val="en-US"/>
              </w:rPr>
              <w:t>(для нефтегазовой отрасли)</w:t>
            </w:r>
          </w:p>
        </w:tc>
        <w:tc>
          <w:tcPr>
            <w:tcW w:w="5909" w:type="dxa"/>
          </w:tcPr>
          <w:p w:rsidR="00B42A3F" w:rsidRPr="0058455C" w:rsidRDefault="00B42A3F" w:rsidP="00B42A3F">
            <w:pPr>
              <w:spacing w:before="100" w:beforeAutospacing="1" w:after="100" w:afterAutospacing="1"/>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Отношение доказанных запасов и вероятных запасов (не доказанных) ресурсов нефти и газа к общему производству (для нефтегазовых компаний)</w:t>
            </w:r>
          </w:p>
        </w:tc>
      </w:tr>
      <w:tr w:rsidR="00B42A3F" w:rsidRPr="0036597B" w:rsidTr="00B42A3F">
        <w:tc>
          <w:tcPr>
            <w:tcW w:w="0" w:type="auto"/>
            <w:vMerge w:val="restart"/>
          </w:tcPr>
          <w:p w:rsidR="00B42A3F" w:rsidRPr="0036597B" w:rsidRDefault="00B42A3F" w:rsidP="00B42A3F">
            <w:pPr>
              <w:jc w:val="both"/>
              <w:rPr>
                <w:rFonts w:ascii="Times" w:hAnsi="Times"/>
                <w:sz w:val="22"/>
                <w:szCs w:val="22"/>
                <w:lang w:val="en-US"/>
              </w:rPr>
            </w:pPr>
            <w:r w:rsidRPr="0036597B">
              <w:rPr>
                <w:rFonts w:ascii="Times" w:hAnsi="Times"/>
                <w:sz w:val="22"/>
                <w:szCs w:val="22"/>
                <w:lang w:val="en-US"/>
              </w:rPr>
              <w:t>рост и устойчивость</w:t>
            </w:r>
          </w:p>
        </w:tc>
        <w:tc>
          <w:tcPr>
            <w:tcW w:w="0" w:type="auto"/>
          </w:tcPr>
          <w:p w:rsidR="00B42A3F" w:rsidRPr="0058455C" w:rsidRDefault="00B42A3F" w:rsidP="00B42A3F">
            <w:pPr>
              <w:jc w:val="both"/>
              <w:rPr>
                <w:rFonts w:ascii="Times New Roman" w:eastAsia="Times New Roman" w:hAnsi="Times New Roman" w:cs="Times New Roman"/>
                <w:sz w:val="22"/>
                <w:szCs w:val="22"/>
              </w:rPr>
            </w:pPr>
            <w:r w:rsidRPr="0036597B">
              <w:rPr>
                <w:rFonts w:ascii="Times New Roman" w:eastAsia="Times New Roman" w:hAnsi="Times New Roman" w:cs="Times New Roman"/>
                <w:sz w:val="22"/>
                <w:szCs w:val="22"/>
              </w:rPr>
              <w:t xml:space="preserve">Устойчивый рост </w:t>
            </w:r>
            <w:r w:rsidRPr="0036597B">
              <w:rPr>
                <w:rFonts w:ascii="Times New Roman" w:eastAsia="Times New Roman" w:hAnsi="Times New Roman" w:cs="Times New Roman"/>
                <w:sz w:val="22"/>
                <w:szCs w:val="22"/>
                <w:lang w:val="en-US"/>
              </w:rPr>
              <w:t>ROE</w:t>
            </w:r>
            <w:r w:rsidRPr="0058455C">
              <w:rPr>
                <w:rFonts w:ascii="Times New Roman" w:eastAsia="Times New Roman" w:hAnsi="Times New Roman" w:cs="Times New Roman"/>
                <w:sz w:val="22"/>
                <w:szCs w:val="22"/>
              </w:rPr>
              <w:t xml:space="preserve"> (</w:t>
            </w:r>
            <w:r w:rsidRPr="0036597B">
              <w:rPr>
                <w:rFonts w:ascii="Times New Roman" w:eastAsia="Times New Roman" w:hAnsi="Times New Roman" w:cs="Times New Roman"/>
                <w:sz w:val="22"/>
                <w:szCs w:val="22"/>
                <w:lang w:val="en-US"/>
              </w:rPr>
              <w:t>Return</w:t>
            </w:r>
            <w:r w:rsidRPr="0058455C">
              <w:rPr>
                <w:rFonts w:ascii="Times New Roman" w:eastAsia="Times New Roman" w:hAnsi="Times New Roman" w:cs="Times New Roman"/>
                <w:sz w:val="22"/>
                <w:szCs w:val="22"/>
              </w:rPr>
              <w:t xml:space="preserve"> </w:t>
            </w:r>
            <w:r w:rsidRPr="0036597B">
              <w:rPr>
                <w:rFonts w:ascii="Times New Roman" w:eastAsia="Times New Roman" w:hAnsi="Times New Roman" w:cs="Times New Roman"/>
                <w:sz w:val="22"/>
                <w:szCs w:val="22"/>
                <w:lang w:val="en-US"/>
              </w:rPr>
              <w:t>on</w:t>
            </w:r>
            <w:r w:rsidRPr="0058455C">
              <w:rPr>
                <w:rFonts w:ascii="Times New Roman" w:eastAsia="Times New Roman" w:hAnsi="Times New Roman" w:cs="Times New Roman"/>
                <w:sz w:val="22"/>
                <w:szCs w:val="22"/>
              </w:rPr>
              <w:t xml:space="preserve"> </w:t>
            </w:r>
            <w:r w:rsidRPr="0036597B">
              <w:rPr>
                <w:rFonts w:ascii="Times New Roman" w:eastAsia="Times New Roman" w:hAnsi="Times New Roman" w:cs="Times New Roman"/>
                <w:sz w:val="22"/>
                <w:szCs w:val="22"/>
                <w:lang w:val="en-US"/>
              </w:rPr>
              <w:t>Equity</w:t>
            </w:r>
            <w:r w:rsidRPr="0058455C">
              <w:rPr>
                <w:rFonts w:ascii="Times New Roman" w:eastAsia="Times New Roman" w:hAnsi="Times New Roman" w:cs="Times New Roman"/>
                <w:sz w:val="22"/>
                <w:szCs w:val="22"/>
              </w:rPr>
              <w:t xml:space="preserve">, </w:t>
            </w:r>
            <w:r w:rsidRPr="0036597B">
              <w:rPr>
                <w:rFonts w:ascii="Times New Roman" w:eastAsia="Times New Roman" w:hAnsi="Times New Roman" w:cs="Times New Roman"/>
                <w:sz w:val="22"/>
                <w:szCs w:val="22"/>
              </w:rPr>
              <w:t>доход на вложенный капитал</w:t>
            </w:r>
            <w:r w:rsidRPr="0058455C">
              <w:rPr>
                <w:rFonts w:ascii="Times New Roman" w:eastAsia="Times New Roman" w:hAnsi="Times New Roman" w:cs="Times New Roman"/>
                <w:sz w:val="22"/>
                <w:szCs w:val="22"/>
              </w:rPr>
              <w:t xml:space="preserve">) </w:t>
            </w:r>
          </w:p>
          <w:p w:rsidR="00B42A3F" w:rsidRPr="0036597B" w:rsidRDefault="00B42A3F" w:rsidP="00B42A3F">
            <w:pPr>
              <w:jc w:val="both"/>
              <w:rPr>
                <w:rFonts w:ascii="Times New Roman" w:eastAsia="Times New Roman" w:hAnsi="Times New Roman" w:cs="Times New Roman"/>
                <w:sz w:val="22"/>
                <w:szCs w:val="22"/>
              </w:rPr>
            </w:pPr>
          </w:p>
        </w:tc>
        <w:tc>
          <w:tcPr>
            <w:tcW w:w="5909" w:type="dxa"/>
          </w:tcPr>
          <w:p w:rsidR="00B42A3F" w:rsidRPr="008D6F96" w:rsidRDefault="00B42A3F" w:rsidP="00B42A3F">
            <w:pPr>
              <w:spacing w:before="100" w:beforeAutospacing="1" w:after="100" w:afterAutospacing="1"/>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 xml:space="preserve">Изменение показателя </w:t>
            </w:r>
            <w:r>
              <w:rPr>
                <w:rFonts w:ascii="Times New Roman" w:eastAsia="Times New Roman" w:hAnsi="Times New Roman" w:cs="Times New Roman"/>
                <w:sz w:val="22"/>
                <w:szCs w:val="22"/>
                <w:lang w:val="en-US"/>
              </w:rPr>
              <w:t>ROE</w:t>
            </w:r>
            <w:r w:rsidRPr="0058455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между следующим налоговым годом и 5 годами назад, нормализованное делением на стандартное отклонение ежегодного показателя за следующий налоговый год, текущий налоговый год и предыдущие 5 лет. Чем выше этот коэффициент, тем более стабильный рост имеет показатель </w:t>
            </w:r>
            <w:r>
              <w:rPr>
                <w:rFonts w:ascii="Times New Roman" w:eastAsia="Times New Roman" w:hAnsi="Times New Roman" w:cs="Times New Roman"/>
                <w:sz w:val="22"/>
                <w:szCs w:val="22"/>
                <w:lang w:val="en-US"/>
              </w:rPr>
              <w:t>ROE</w:t>
            </w:r>
            <w:r>
              <w:rPr>
                <w:rFonts w:ascii="Times New Roman" w:eastAsia="Times New Roman" w:hAnsi="Times New Roman" w:cs="Times New Roman"/>
                <w:sz w:val="22"/>
                <w:szCs w:val="22"/>
              </w:rPr>
              <w:t xml:space="preserve"> компании.</w:t>
            </w:r>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lang w:val="en-US"/>
              </w:rPr>
            </w:pPr>
            <w:r w:rsidRPr="0036597B">
              <w:rPr>
                <w:rFonts w:ascii="Times New Roman" w:eastAsia="Times New Roman" w:hAnsi="Times New Roman" w:cs="Times New Roman"/>
                <w:sz w:val="22"/>
                <w:szCs w:val="22"/>
              </w:rPr>
              <w:t xml:space="preserve">Стандартное отклонение роста прибыли на акцию </w:t>
            </w:r>
            <w:r w:rsidRPr="0036597B">
              <w:rPr>
                <w:rFonts w:ascii="Times New Roman" w:eastAsia="Times New Roman" w:hAnsi="Times New Roman" w:cs="Times New Roman"/>
                <w:sz w:val="22"/>
                <w:szCs w:val="22"/>
                <w:lang w:val="en-US"/>
              </w:rPr>
              <w:t>(Earning per share, EPS)</w:t>
            </w:r>
          </w:p>
          <w:p w:rsidR="00B42A3F" w:rsidRPr="0036597B" w:rsidRDefault="00B42A3F" w:rsidP="00B42A3F">
            <w:pPr>
              <w:jc w:val="both"/>
              <w:rPr>
                <w:rFonts w:ascii="Times New Roman" w:eastAsia="Times New Roman" w:hAnsi="Times New Roman" w:cs="Times New Roman"/>
                <w:sz w:val="22"/>
                <w:szCs w:val="22"/>
              </w:rPr>
            </w:pPr>
          </w:p>
        </w:tc>
        <w:tc>
          <w:tcPr>
            <w:tcW w:w="5909" w:type="dxa"/>
          </w:tcPr>
          <w:p w:rsidR="00B42A3F" w:rsidRPr="0058455C" w:rsidRDefault="00B42A3F" w:rsidP="00B42A3F">
            <w:pPr>
              <w:spacing w:before="100" w:beforeAutospacing="1" w:after="100" w:afterAutospacing="1"/>
              <w:ind w:firstLine="567"/>
              <w:jc w:val="both"/>
              <w:rPr>
                <w:rFonts w:ascii="Times New Roman" w:eastAsia="Times New Roman" w:hAnsi="Times New Roman" w:cs="Times New Roman"/>
                <w:sz w:val="22"/>
                <w:szCs w:val="22"/>
              </w:rPr>
            </w:pPr>
            <w:r w:rsidRPr="0058455C">
              <w:rPr>
                <w:rFonts w:ascii="Times New Roman" w:eastAsia="Times New Roman" w:hAnsi="Times New Roman" w:cs="Times New Roman"/>
                <w:sz w:val="22"/>
                <w:szCs w:val="22"/>
              </w:rPr>
              <w:t xml:space="preserve">Стандартное отклоенение </w:t>
            </w:r>
            <w:r>
              <w:rPr>
                <w:rFonts w:ascii="Times New Roman" w:eastAsia="Times New Roman" w:hAnsi="Times New Roman" w:cs="Times New Roman"/>
                <w:sz w:val="22"/>
                <w:szCs w:val="22"/>
              </w:rPr>
              <w:t xml:space="preserve">роста </w:t>
            </w:r>
            <w:r>
              <w:rPr>
                <w:rFonts w:ascii="Times New Roman" w:eastAsia="Times New Roman" w:hAnsi="Times New Roman" w:cs="Times New Roman"/>
                <w:sz w:val="22"/>
                <w:szCs w:val="22"/>
                <w:lang w:val="en-US"/>
              </w:rPr>
              <w:t>EPS</w:t>
            </w:r>
            <w:r w:rsidRPr="0058455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от года к году между следующим налоговым годов, текущим налоговым годов и предыдущими 5 годами. Чем ниже этот коэффициент, тем более стабилен рост </w:t>
            </w:r>
            <w:r>
              <w:rPr>
                <w:rFonts w:ascii="Times New Roman" w:eastAsia="Times New Roman" w:hAnsi="Times New Roman" w:cs="Times New Roman"/>
                <w:sz w:val="22"/>
                <w:szCs w:val="22"/>
                <w:lang w:val="en-US"/>
              </w:rPr>
              <w:t>EPS</w:t>
            </w:r>
            <w:r w:rsidRPr="0058455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компании.</w:t>
            </w:r>
          </w:p>
        </w:tc>
      </w:tr>
      <w:tr w:rsidR="00B42A3F" w:rsidRPr="0036597B" w:rsidTr="00B42A3F">
        <w:tc>
          <w:tcPr>
            <w:tcW w:w="0" w:type="auto"/>
            <w:vMerge/>
          </w:tcPr>
          <w:p w:rsidR="00B42A3F" w:rsidRPr="0058455C" w:rsidRDefault="00B42A3F" w:rsidP="00B42A3F">
            <w:pPr>
              <w:jc w:val="both"/>
              <w:rPr>
                <w:rFonts w:ascii="Times" w:hAnsi="Times"/>
                <w:sz w:val="22"/>
                <w:szCs w:val="22"/>
              </w:rPr>
            </w:pPr>
          </w:p>
        </w:tc>
        <w:tc>
          <w:tcPr>
            <w:tcW w:w="0" w:type="auto"/>
          </w:tcPr>
          <w:p w:rsidR="00B42A3F" w:rsidRPr="0036597B" w:rsidRDefault="00B42A3F" w:rsidP="00B42A3F">
            <w:pPr>
              <w:jc w:val="both"/>
              <w:rPr>
                <w:rFonts w:ascii="Times New Roman" w:eastAsia="Times New Roman" w:hAnsi="Times New Roman" w:cs="Times New Roman"/>
                <w:sz w:val="22"/>
                <w:szCs w:val="22"/>
              </w:rPr>
            </w:pPr>
            <w:r w:rsidRPr="0036597B">
              <w:rPr>
                <w:rFonts w:ascii="Times New Roman" w:eastAsia="Times New Roman" w:hAnsi="Times New Roman" w:cs="Times New Roman"/>
                <w:sz w:val="22"/>
                <w:szCs w:val="22"/>
              </w:rPr>
              <w:t>Стандартное отклонение роста выручки</w:t>
            </w:r>
          </w:p>
          <w:p w:rsidR="00B42A3F" w:rsidRPr="0036597B" w:rsidRDefault="00B42A3F" w:rsidP="00B42A3F">
            <w:pPr>
              <w:jc w:val="both"/>
              <w:rPr>
                <w:rFonts w:ascii="Times New Roman" w:eastAsia="Times New Roman" w:hAnsi="Times New Roman" w:cs="Times New Roman"/>
                <w:sz w:val="22"/>
                <w:szCs w:val="22"/>
              </w:rPr>
            </w:pPr>
          </w:p>
        </w:tc>
        <w:tc>
          <w:tcPr>
            <w:tcW w:w="5909" w:type="dxa"/>
          </w:tcPr>
          <w:p w:rsidR="00B42A3F" w:rsidRPr="004D37D2" w:rsidRDefault="00B42A3F" w:rsidP="00B42A3F">
            <w:pPr>
              <w:spacing w:before="100" w:beforeAutospacing="1" w:after="100" w:afterAutospacing="1"/>
              <w:ind w:firstLine="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Стандартное отклонение роста выручки от года к году между следующим налоговым годом, текущим налоговым годом и предыдущими 5 годами. Чем ниже этот коэффициент, тем более стабилен рост выручки компании.</w:t>
            </w:r>
          </w:p>
        </w:tc>
      </w:tr>
    </w:tbl>
    <w:p w:rsidR="00B42A3F" w:rsidRPr="0058455C" w:rsidRDefault="00B42A3F" w:rsidP="00B42A3F">
      <w:pPr>
        <w:ind w:left="-284" w:right="-8"/>
        <w:rPr>
          <w:rFonts w:ascii="Times" w:hAnsi="Times"/>
        </w:rPr>
      </w:pPr>
    </w:p>
    <w:p w:rsidR="00B42A3F" w:rsidRPr="0058455C" w:rsidRDefault="00B42A3F" w:rsidP="00B42A3F">
      <w:pPr>
        <w:ind w:left="-284" w:right="-8"/>
        <w:rPr>
          <w:rFonts w:ascii="Times" w:hAnsi="Times"/>
        </w:rPr>
      </w:pPr>
    </w:p>
    <w:p w:rsidR="00B42A3F" w:rsidRPr="0058455C" w:rsidRDefault="00B42A3F" w:rsidP="00B42A3F">
      <w:pPr>
        <w:ind w:left="-284" w:right="-8"/>
        <w:rPr>
          <w:rFonts w:ascii="Times" w:hAnsi="Times"/>
        </w:rPr>
        <w:sectPr w:rsidR="00B42A3F" w:rsidRPr="0058455C" w:rsidSect="00B42A3F">
          <w:footerReference w:type="default" r:id="rId68"/>
          <w:pgSz w:w="11900" w:h="16840"/>
          <w:pgMar w:top="964" w:right="1418" w:bottom="1304" w:left="1418" w:header="709" w:footer="907" w:gutter="0"/>
          <w:cols w:space="708"/>
          <w:docGrid w:linePitch="360"/>
        </w:sectPr>
      </w:pPr>
    </w:p>
    <w:p w:rsidR="00B42A3F" w:rsidRDefault="00B42A3F" w:rsidP="00B42A3F">
      <w:pPr>
        <w:ind w:left="142" w:right="538"/>
        <w:jc w:val="right"/>
        <w:rPr>
          <w:rFonts w:ascii="Times" w:hAnsi="Times"/>
          <w:b/>
        </w:rPr>
      </w:pPr>
      <w:r w:rsidRPr="00F47082">
        <w:rPr>
          <w:rFonts w:ascii="Times" w:hAnsi="Times"/>
          <w:b/>
        </w:rPr>
        <w:lastRenderedPageBreak/>
        <w:t>Приложение 2</w:t>
      </w:r>
    </w:p>
    <w:p w:rsidR="00B42A3F" w:rsidRPr="00ED26F7" w:rsidRDefault="00B42A3F" w:rsidP="00B42A3F">
      <w:pPr>
        <w:ind w:right="-8"/>
        <w:jc w:val="center"/>
        <w:rPr>
          <w:rFonts w:ascii="Times" w:hAnsi="Times"/>
        </w:rPr>
      </w:pPr>
      <w:r w:rsidRPr="00ED26F7">
        <w:rPr>
          <w:rFonts w:ascii="Times" w:hAnsi="Times"/>
        </w:rPr>
        <w:t>Описательная статистика независимых переменных – доходностей индексов облигаций компаний</w:t>
      </w:r>
    </w:p>
    <w:p w:rsidR="00B42A3F" w:rsidRPr="00ED26F7" w:rsidRDefault="00B42A3F" w:rsidP="00B42A3F">
      <w:pPr>
        <w:ind w:right="-8"/>
        <w:jc w:val="center"/>
        <w:rPr>
          <w:rFonts w:ascii="Times" w:hAnsi="Times"/>
        </w:rPr>
      </w:pPr>
      <w:r w:rsidRPr="00ED26F7">
        <w:rPr>
          <w:rFonts w:ascii="Times" w:hAnsi="Times"/>
        </w:rPr>
        <w:t>Таблица 1: Описательная статистика переменных – доходностей индексов облигаций компаний</w:t>
      </w:r>
    </w:p>
    <w:tbl>
      <w:tblPr>
        <w:tblStyle w:val="ae"/>
        <w:tblW w:w="0" w:type="auto"/>
        <w:tblInd w:w="2376" w:type="dxa"/>
        <w:tblLayout w:type="fixed"/>
        <w:tblLook w:val="04A0"/>
      </w:tblPr>
      <w:tblGrid>
        <w:gridCol w:w="959"/>
        <w:gridCol w:w="2210"/>
        <w:gridCol w:w="1192"/>
        <w:gridCol w:w="1559"/>
        <w:gridCol w:w="1701"/>
        <w:gridCol w:w="1701"/>
        <w:gridCol w:w="1307"/>
      </w:tblGrid>
      <w:tr w:rsidR="00B42A3F" w:rsidRPr="000F6176" w:rsidTr="00B42A3F">
        <w:trPr>
          <w:gridAfter w:val="1"/>
          <w:wAfter w:w="1307" w:type="dxa"/>
          <w:trHeight w:val="277"/>
        </w:trPr>
        <w:tc>
          <w:tcPr>
            <w:tcW w:w="959" w:type="dxa"/>
            <w:vMerge w:val="restart"/>
            <w:tcBorders>
              <w:right w:val="thinThickSmallGap" w:sz="24" w:space="0" w:color="auto"/>
            </w:tcBorders>
            <w:vAlign w:val="bottom"/>
          </w:tcPr>
          <w:p w:rsidR="00B42A3F" w:rsidRPr="00491B01" w:rsidRDefault="00B42A3F" w:rsidP="00B42A3F">
            <w:pPr>
              <w:rPr>
                <w:rFonts w:ascii="Times" w:hAnsi="Times"/>
                <w:b/>
                <w:sz w:val="22"/>
                <w:szCs w:val="22"/>
              </w:rPr>
            </w:pPr>
            <w:r w:rsidRPr="00491B01">
              <w:rPr>
                <w:rFonts w:ascii="Times" w:hAnsi="Times"/>
                <w:b/>
                <w:sz w:val="22"/>
                <w:szCs w:val="22"/>
              </w:rPr>
              <w:t>Период</w:t>
            </w:r>
          </w:p>
        </w:tc>
        <w:tc>
          <w:tcPr>
            <w:tcW w:w="2210" w:type="dxa"/>
            <w:vMerge w:val="restart"/>
            <w:tcBorders>
              <w:left w:val="thinThickSmallGap" w:sz="24" w:space="0" w:color="auto"/>
            </w:tcBorders>
            <w:vAlign w:val="bottom"/>
          </w:tcPr>
          <w:p w:rsidR="00B42A3F" w:rsidRPr="00491B01" w:rsidRDefault="00B42A3F" w:rsidP="00B42A3F">
            <w:pPr>
              <w:rPr>
                <w:rFonts w:ascii="Times" w:hAnsi="Times"/>
                <w:b/>
                <w:sz w:val="22"/>
                <w:szCs w:val="22"/>
              </w:rPr>
            </w:pPr>
            <w:r w:rsidRPr="00491B01">
              <w:rPr>
                <w:rFonts w:ascii="Times" w:hAnsi="Times"/>
                <w:b/>
                <w:sz w:val="22"/>
                <w:szCs w:val="22"/>
              </w:rPr>
              <w:t>Компания (кредитный рейтинг)</w:t>
            </w:r>
          </w:p>
        </w:tc>
        <w:tc>
          <w:tcPr>
            <w:tcW w:w="1192" w:type="dxa"/>
            <w:vMerge w:val="restart"/>
            <w:vAlign w:val="bottom"/>
          </w:tcPr>
          <w:p w:rsidR="00B42A3F" w:rsidRPr="00491B01" w:rsidRDefault="00B42A3F" w:rsidP="00B42A3F">
            <w:pPr>
              <w:rPr>
                <w:rFonts w:ascii="Times" w:hAnsi="Times"/>
                <w:b/>
                <w:sz w:val="22"/>
                <w:szCs w:val="22"/>
              </w:rPr>
            </w:pPr>
            <w:r w:rsidRPr="00491B01">
              <w:rPr>
                <w:rFonts w:ascii="Times" w:hAnsi="Times"/>
                <w:b/>
                <w:sz w:val="22"/>
                <w:szCs w:val="22"/>
              </w:rPr>
              <w:t>Среднее значение</w:t>
            </w:r>
          </w:p>
        </w:tc>
        <w:tc>
          <w:tcPr>
            <w:tcW w:w="1559" w:type="dxa"/>
            <w:vMerge w:val="restart"/>
            <w:vAlign w:val="bottom"/>
          </w:tcPr>
          <w:p w:rsidR="00B42A3F" w:rsidRPr="00491B01" w:rsidRDefault="00B42A3F" w:rsidP="00B42A3F">
            <w:pPr>
              <w:rPr>
                <w:rFonts w:ascii="Times" w:hAnsi="Times"/>
                <w:b/>
                <w:sz w:val="22"/>
                <w:szCs w:val="22"/>
              </w:rPr>
            </w:pPr>
            <w:r w:rsidRPr="00491B01">
              <w:rPr>
                <w:rFonts w:ascii="Times" w:hAnsi="Times"/>
                <w:b/>
                <w:sz w:val="22"/>
                <w:szCs w:val="22"/>
              </w:rPr>
              <w:t>Стандартное отклонение</w:t>
            </w:r>
          </w:p>
        </w:tc>
        <w:tc>
          <w:tcPr>
            <w:tcW w:w="1701" w:type="dxa"/>
            <w:vMerge w:val="restart"/>
            <w:vAlign w:val="bottom"/>
          </w:tcPr>
          <w:p w:rsidR="00B42A3F" w:rsidRPr="00491B01" w:rsidRDefault="00B42A3F" w:rsidP="00B42A3F">
            <w:pPr>
              <w:rPr>
                <w:rFonts w:ascii="Times" w:hAnsi="Times"/>
                <w:b/>
                <w:sz w:val="22"/>
                <w:szCs w:val="22"/>
              </w:rPr>
            </w:pPr>
            <w:r w:rsidRPr="00491B01">
              <w:rPr>
                <w:rFonts w:ascii="Times" w:hAnsi="Times"/>
                <w:b/>
                <w:sz w:val="22"/>
                <w:szCs w:val="22"/>
              </w:rPr>
              <w:t>Минимальное значение</w:t>
            </w:r>
          </w:p>
        </w:tc>
        <w:tc>
          <w:tcPr>
            <w:tcW w:w="1701" w:type="dxa"/>
            <w:vMerge w:val="restart"/>
            <w:tcBorders>
              <w:right w:val="thinThickSmallGap" w:sz="24" w:space="0" w:color="auto"/>
            </w:tcBorders>
            <w:vAlign w:val="bottom"/>
          </w:tcPr>
          <w:p w:rsidR="00B42A3F" w:rsidRPr="00491B01" w:rsidRDefault="00B42A3F" w:rsidP="00B42A3F">
            <w:pPr>
              <w:rPr>
                <w:rFonts w:ascii="Times" w:hAnsi="Times"/>
                <w:b/>
                <w:sz w:val="22"/>
                <w:szCs w:val="22"/>
              </w:rPr>
            </w:pPr>
            <w:r w:rsidRPr="00491B01">
              <w:rPr>
                <w:rFonts w:ascii="Times" w:hAnsi="Times"/>
                <w:b/>
                <w:sz w:val="22"/>
                <w:szCs w:val="22"/>
              </w:rPr>
              <w:t>Максимальное значение</w:t>
            </w:r>
          </w:p>
        </w:tc>
      </w:tr>
      <w:tr w:rsidR="00B42A3F" w:rsidRPr="000F6176" w:rsidTr="00B42A3F">
        <w:tc>
          <w:tcPr>
            <w:tcW w:w="959" w:type="dxa"/>
            <w:vMerge/>
            <w:tcBorders>
              <w:bottom w:val="thinThickSmallGap" w:sz="24" w:space="0" w:color="auto"/>
              <w:right w:val="thinThickSmallGap" w:sz="24" w:space="0" w:color="auto"/>
            </w:tcBorders>
            <w:vAlign w:val="bottom"/>
          </w:tcPr>
          <w:p w:rsidR="00B42A3F" w:rsidRPr="00491B01" w:rsidRDefault="00B42A3F" w:rsidP="00B42A3F">
            <w:pPr>
              <w:rPr>
                <w:rFonts w:ascii="Times" w:hAnsi="Times"/>
                <w:b/>
                <w:sz w:val="22"/>
                <w:szCs w:val="22"/>
              </w:rPr>
            </w:pPr>
          </w:p>
        </w:tc>
        <w:tc>
          <w:tcPr>
            <w:tcW w:w="2210" w:type="dxa"/>
            <w:vMerge/>
            <w:tcBorders>
              <w:left w:val="thinThickSmallGap" w:sz="24" w:space="0" w:color="auto"/>
              <w:bottom w:val="thinThickSmallGap" w:sz="24" w:space="0" w:color="auto"/>
            </w:tcBorders>
            <w:vAlign w:val="bottom"/>
          </w:tcPr>
          <w:p w:rsidR="00B42A3F" w:rsidRPr="00491B01" w:rsidRDefault="00B42A3F" w:rsidP="00B42A3F">
            <w:pPr>
              <w:rPr>
                <w:rFonts w:ascii="Times" w:hAnsi="Times"/>
                <w:b/>
                <w:sz w:val="22"/>
                <w:szCs w:val="22"/>
              </w:rPr>
            </w:pPr>
          </w:p>
        </w:tc>
        <w:tc>
          <w:tcPr>
            <w:tcW w:w="1192" w:type="dxa"/>
            <w:vMerge/>
            <w:tcBorders>
              <w:bottom w:val="thinThickSmallGap" w:sz="24" w:space="0" w:color="auto"/>
            </w:tcBorders>
            <w:vAlign w:val="bottom"/>
          </w:tcPr>
          <w:p w:rsidR="00B42A3F" w:rsidRPr="00491B01" w:rsidRDefault="00B42A3F" w:rsidP="00B42A3F">
            <w:pPr>
              <w:rPr>
                <w:rFonts w:ascii="Times" w:hAnsi="Times"/>
                <w:b/>
                <w:sz w:val="22"/>
                <w:szCs w:val="22"/>
              </w:rPr>
            </w:pPr>
          </w:p>
        </w:tc>
        <w:tc>
          <w:tcPr>
            <w:tcW w:w="1559" w:type="dxa"/>
            <w:vMerge/>
            <w:tcBorders>
              <w:bottom w:val="thinThickSmallGap" w:sz="24" w:space="0" w:color="auto"/>
            </w:tcBorders>
            <w:vAlign w:val="bottom"/>
          </w:tcPr>
          <w:p w:rsidR="00B42A3F" w:rsidRPr="00491B01" w:rsidRDefault="00B42A3F" w:rsidP="00B42A3F">
            <w:pPr>
              <w:rPr>
                <w:rFonts w:ascii="Times" w:hAnsi="Times"/>
                <w:b/>
                <w:sz w:val="22"/>
                <w:szCs w:val="22"/>
              </w:rPr>
            </w:pPr>
          </w:p>
        </w:tc>
        <w:tc>
          <w:tcPr>
            <w:tcW w:w="1701" w:type="dxa"/>
            <w:vMerge/>
            <w:tcBorders>
              <w:bottom w:val="thinThickSmallGap" w:sz="24" w:space="0" w:color="auto"/>
            </w:tcBorders>
            <w:vAlign w:val="bottom"/>
          </w:tcPr>
          <w:p w:rsidR="00B42A3F" w:rsidRPr="00491B01" w:rsidRDefault="00B42A3F" w:rsidP="00B42A3F">
            <w:pPr>
              <w:rPr>
                <w:rFonts w:ascii="Times" w:hAnsi="Times"/>
                <w:b/>
                <w:sz w:val="22"/>
                <w:szCs w:val="22"/>
              </w:rPr>
            </w:pPr>
          </w:p>
        </w:tc>
        <w:tc>
          <w:tcPr>
            <w:tcW w:w="1701" w:type="dxa"/>
            <w:vMerge/>
            <w:tcBorders>
              <w:bottom w:val="thinThickSmallGap" w:sz="24" w:space="0" w:color="auto"/>
              <w:right w:val="thinThickSmallGap" w:sz="24" w:space="0" w:color="auto"/>
            </w:tcBorders>
            <w:vAlign w:val="bottom"/>
          </w:tcPr>
          <w:p w:rsidR="00B42A3F" w:rsidRPr="00491B01" w:rsidRDefault="00B42A3F" w:rsidP="00B42A3F">
            <w:pPr>
              <w:rPr>
                <w:rFonts w:ascii="Times" w:hAnsi="Times"/>
                <w:b/>
                <w:sz w:val="22"/>
                <w:szCs w:val="22"/>
              </w:rPr>
            </w:pPr>
          </w:p>
        </w:tc>
        <w:tc>
          <w:tcPr>
            <w:tcW w:w="1307" w:type="dxa"/>
            <w:tcBorders>
              <w:top w:val="nil"/>
              <w:left w:val="thinThickSmallGap" w:sz="24" w:space="0" w:color="auto"/>
              <w:bottom w:val="nil"/>
              <w:right w:val="nil"/>
            </w:tcBorders>
            <w:vAlign w:val="bottom"/>
          </w:tcPr>
          <w:p w:rsidR="00B42A3F" w:rsidRPr="00413605" w:rsidRDefault="00B42A3F" w:rsidP="00B42A3F">
            <w:pPr>
              <w:rPr>
                <w:rFonts w:ascii="Times" w:hAnsi="Times"/>
                <w:b/>
              </w:rPr>
            </w:pPr>
          </w:p>
        </w:tc>
      </w:tr>
      <w:tr w:rsidR="00B42A3F" w:rsidRPr="000F6176" w:rsidTr="00B42A3F">
        <w:tc>
          <w:tcPr>
            <w:tcW w:w="959" w:type="dxa"/>
            <w:vMerge w:val="restart"/>
            <w:tcBorders>
              <w:top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2010-2011</w:t>
            </w:r>
          </w:p>
        </w:tc>
        <w:tc>
          <w:tcPr>
            <w:tcW w:w="2210" w:type="dxa"/>
            <w:tcBorders>
              <w:top w:val="thinThickSmallGap" w:sz="24" w:space="0" w:color="auto"/>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Лукойл (A-)</w:t>
            </w:r>
          </w:p>
        </w:tc>
        <w:tc>
          <w:tcPr>
            <w:tcW w:w="1192"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0.0001</w:t>
            </w:r>
          </w:p>
        </w:tc>
        <w:tc>
          <w:tcPr>
            <w:tcW w:w="1559"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0.0164</w:t>
            </w:r>
          </w:p>
        </w:tc>
        <w:tc>
          <w:tcPr>
            <w:tcW w:w="1701"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-0.0977</w:t>
            </w:r>
          </w:p>
        </w:tc>
        <w:tc>
          <w:tcPr>
            <w:tcW w:w="1701" w:type="dxa"/>
            <w:tcBorders>
              <w:top w:val="thinThickSmallGap" w:sz="24" w:space="0" w:color="auto"/>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0.0553</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Сургутнефтегаp(BBB+)</w:t>
            </w:r>
          </w:p>
        </w:tc>
        <w:tc>
          <w:tcPr>
            <w:tcW w:w="1192" w:type="dxa"/>
          </w:tcPr>
          <w:p w:rsidR="00B42A3F" w:rsidRPr="00491B01" w:rsidRDefault="00B42A3F" w:rsidP="00B42A3F">
            <w:pPr>
              <w:rPr>
                <w:rFonts w:ascii="Times" w:hAnsi="Times"/>
                <w:sz w:val="22"/>
                <w:szCs w:val="22"/>
              </w:rPr>
            </w:pPr>
            <w:r w:rsidRPr="00491B01">
              <w:rPr>
                <w:rFonts w:ascii="Times" w:hAnsi="Times"/>
                <w:sz w:val="22"/>
                <w:szCs w:val="22"/>
              </w:rPr>
              <w:t>0.0001</w:t>
            </w:r>
          </w:p>
        </w:tc>
        <w:tc>
          <w:tcPr>
            <w:tcW w:w="1559" w:type="dxa"/>
          </w:tcPr>
          <w:p w:rsidR="00B42A3F" w:rsidRPr="00491B01" w:rsidRDefault="00B42A3F" w:rsidP="00B42A3F">
            <w:pPr>
              <w:rPr>
                <w:rFonts w:ascii="Times" w:hAnsi="Times"/>
                <w:sz w:val="22"/>
                <w:szCs w:val="22"/>
              </w:rPr>
            </w:pPr>
            <w:r w:rsidRPr="00491B01">
              <w:rPr>
                <w:rFonts w:ascii="Times" w:hAnsi="Times"/>
                <w:sz w:val="22"/>
                <w:szCs w:val="22"/>
              </w:rPr>
              <w:t>0.0191</w:t>
            </w:r>
          </w:p>
        </w:tc>
        <w:tc>
          <w:tcPr>
            <w:tcW w:w="1701" w:type="dxa"/>
          </w:tcPr>
          <w:p w:rsidR="00B42A3F" w:rsidRPr="00491B01" w:rsidRDefault="00B42A3F" w:rsidP="00B42A3F">
            <w:pPr>
              <w:rPr>
                <w:rFonts w:ascii="Times" w:hAnsi="Times"/>
                <w:sz w:val="22"/>
                <w:szCs w:val="22"/>
              </w:rPr>
            </w:pPr>
            <w:r w:rsidRPr="00491B01">
              <w:rPr>
                <w:rFonts w:ascii="Times" w:hAnsi="Times"/>
                <w:sz w:val="22"/>
                <w:szCs w:val="22"/>
              </w:rPr>
              <w:t>-0.0799</w:t>
            </w:r>
          </w:p>
        </w:tc>
        <w:tc>
          <w:tcPr>
            <w:tcW w:w="1701" w:type="dxa"/>
            <w:tcBorders>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0.0859</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Татнефть (BBB-)</w:t>
            </w:r>
          </w:p>
        </w:tc>
        <w:tc>
          <w:tcPr>
            <w:tcW w:w="1192" w:type="dxa"/>
          </w:tcPr>
          <w:p w:rsidR="00B42A3F" w:rsidRPr="00491B01" w:rsidRDefault="00B42A3F" w:rsidP="00B42A3F">
            <w:pPr>
              <w:rPr>
                <w:rFonts w:ascii="Times" w:hAnsi="Times"/>
                <w:sz w:val="22"/>
                <w:szCs w:val="22"/>
              </w:rPr>
            </w:pPr>
            <w:r w:rsidRPr="00491B01">
              <w:rPr>
                <w:rFonts w:ascii="Times" w:hAnsi="Times"/>
                <w:sz w:val="22"/>
                <w:szCs w:val="22"/>
              </w:rPr>
              <w:t>0.0005</w:t>
            </w:r>
          </w:p>
        </w:tc>
        <w:tc>
          <w:tcPr>
            <w:tcW w:w="1559" w:type="dxa"/>
          </w:tcPr>
          <w:p w:rsidR="00B42A3F" w:rsidRPr="00491B01" w:rsidRDefault="00B42A3F" w:rsidP="00B42A3F">
            <w:pPr>
              <w:rPr>
                <w:rFonts w:ascii="Times" w:hAnsi="Times"/>
                <w:sz w:val="22"/>
                <w:szCs w:val="22"/>
              </w:rPr>
            </w:pPr>
            <w:r w:rsidRPr="00491B01">
              <w:rPr>
                <w:rFonts w:ascii="Times" w:hAnsi="Times"/>
                <w:sz w:val="22"/>
                <w:szCs w:val="22"/>
              </w:rPr>
              <w:t>0.0199</w:t>
            </w:r>
          </w:p>
        </w:tc>
        <w:tc>
          <w:tcPr>
            <w:tcW w:w="1701" w:type="dxa"/>
          </w:tcPr>
          <w:p w:rsidR="00B42A3F" w:rsidRPr="00491B01" w:rsidRDefault="00B42A3F" w:rsidP="00B42A3F">
            <w:pPr>
              <w:rPr>
                <w:rFonts w:ascii="Times" w:hAnsi="Times"/>
                <w:sz w:val="22"/>
                <w:szCs w:val="22"/>
              </w:rPr>
            </w:pPr>
            <w:r w:rsidRPr="00491B01">
              <w:rPr>
                <w:rFonts w:ascii="Times" w:hAnsi="Times"/>
                <w:sz w:val="22"/>
                <w:szCs w:val="22"/>
              </w:rPr>
              <w:t>-0.0883</w:t>
            </w:r>
          </w:p>
        </w:tc>
        <w:tc>
          <w:tcPr>
            <w:tcW w:w="1701" w:type="dxa"/>
            <w:tcBorders>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0.0724</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Башнефть (B)</w:t>
            </w:r>
          </w:p>
        </w:tc>
        <w:tc>
          <w:tcPr>
            <w:tcW w:w="1192" w:type="dxa"/>
          </w:tcPr>
          <w:p w:rsidR="00B42A3F" w:rsidRPr="00491B01" w:rsidRDefault="00B42A3F" w:rsidP="00B42A3F">
            <w:pPr>
              <w:rPr>
                <w:rFonts w:ascii="Times" w:hAnsi="Times"/>
                <w:sz w:val="22"/>
                <w:szCs w:val="22"/>
              </w:rPr>
            </w:pPr>
            <w:r w:rsidRPr="00491B01">
              <w:rPr>
                <w:rFonts w:ascii="Times" w:hAnsi="Times"/>
                <w:sz w:val="22"/>
                <w:szCs w:val="22"/>
              </w:rPr>
              <w:t>0.0013</w:t>
            </w:r>
          </w:p>
        </w:tc>
        <w:tc>
          <w:tcPr>
            <w:tcW w:w="1559" w:type="dxa"/>
          </w:tcPr>
          <w:p w:rsidR="00B42A3F" w:rsidRPr="00491B01" w:rsidRDefault="00B42A3F" w:rsidP="00B42A3F">
            <w:pPr>
              <w:rPr>
                <w:rFonts w:ascii="Times" w:hAnsi="Times"/>
                <w:sz w:val="22"/>
                <w:szCs w:val="22"/>
              </w:rPr>
            </w:pPr>
            <w:r w:rsidRPr="00491B01">
              <w:rPr>
                <w:rFonts w:ascii="Times" w:hAnsi="Times"/>
                <w:sz w:val="22"/>
                <w:szCs w:val="22"/>
              </w:rPr>
              <w:t>0.0214</w:t>
            </w:r>
          </w:p>
        </w:tc>
        <w:tc>
          <w:tcPr>
            <w:tcW w:w="1701" w:type="dxa"/>
          </w:tcPr>
          <w:p w:rsidR="00B42A3F" w:rsidRPr="00491B01" w:rsidRDefault="00B42A3F" w:rsidP="00B42A3F">
            <w:pPr>
              <w:rPr>
                <w:rFonts w:ascii="Times" w:hAnsi="Times"/>
                <w:sz w:val="22"/>
                <w:szCs w:val="22"/>
              </w:rPr>
            </w:pPr>
            <w:r w:rsidRPr="00491B01">
              <w:rPr>
                <w:rFonts w:ascii="Times" w:hAnsi="Times"/>
                <w:sz w:val="22"/>
                <w:szCs w:val="22"/>
              </w:rPr>
              <w:t>-0.1400</w:t>
            </w:r>
          </w:p>
        </w:tc>
        <w:tc>
          <w:tcPr>
            <w:tcW w:w="1701" w:type="dxa"/>
            <w:tcBorders>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0.1453</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bottom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bottom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Роснефть (B-)</w:t>
            </w:r>
          </w:p>
        </w:tc>
        <w:tc>
          <w:tcPr>
            <w:tcW w:w="1192"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-0.0001</w:t>
            </w:r>
          </w:p>
        </w:tc>
        <w:tc>
          <w:tcPr>
            <w:tcW w:w="1559"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0.0208</w:t>
            </w:r>
          </w:p>
        </w:tc>
        <w:tc>
          <w:tcPr>
            <w:tcW w:w="1701"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-0.0759</w:t>
            </w:r>
          </w:p>
        </w:tc>
        <w:tc>
          <w:tcPr>
            <w:tcW w:w="1701" w:type="dxa"/>
            <w:tcBorders>
              <w:bottom w:val="thinThickSmallGap" w:sz="24" w:space="0" w:color="auto"/>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0.1054</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val="restart"/>
            <w:tcBorders>
              <w:top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2012-2013</w:t>
            </w:r>
          </w:p>
        </w:tc>
        <w:tc>
          <w:tcPr>
            <w:tcW w:w="2210" w:type="dxa"/>
            <w:tcBorders>
              <w:top w:val="thinThickSmallGap" w:sz="24" w:space="0" w:color="auto"/>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Лукойл (A-)</w:t>
            </w:r>
          </w:p>
        </w:tc>
        <w:tc>
          <w:tcPr>
            <w:tcW w:w="1192"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0.0009</w:t>
            </w:r>
          </w:p>
        </w:tc>
        <w:tc>
          <w:tcPr>
            <w:tcW w:w="1559"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0.0163</w:t>
            </w:r>
          </w:p>
        </w:tc>
        <w:tc>
          <w:tcPr>
            <w:tcW w:w="1701"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-0.0782</w:t>
            </w:r>
          </w:p>
        </w:tc>
        <w:tc>
          <w:tcPr>
            <w:tcW w:w="1701" w:type="dxa"/>
            <w:tcBorders>
              <w:top w:val="thinThickSmallGap" w:sz="24" w:space="0" w:color="auto"/>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0.0676</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Сургутнефтегаз (BBB+)</w:t>
            </w:r>
          </w:p>
        </w:tc>
        <w:tc>
          <w:tcPr>
            <w:tcW w:w="1192" w:type="dxa"/>
          </w:tcPr>
          <w:p w:rsidR="00B42A3F" w:rsidRPr="00491B01" w:rsidRDefault="00B42A3F" w:rsidP="00B42A3F">
            <w:pPr>
              <w:rPr>
                <w:rFonts w:ascii="Times" w:hAnsi="Times"/>
                <w:sz w:val="22"/>
                <w:szCs w:val="22"/>
              </w:rPr>
            </w:pPr>
            <w:r w:rsidRPr="00491B01">
              <w:rPr>
                <w:rFonts w:ascii="Times" w:hAnsi="Times"/>
                <w:sz w:val="22"/>
                <w:szCs w:val="22"/>
              </w:rPr>
              <w:t>0.0004</w:t>
            </w:r>
          </w:p>
        </w:tc>
        <w:tc>
          <w:tcPr>
            <w:tcW w:w="1559" w:type="dxa"/>
          </w:tcPr>
          <w:p w:rsidR="00B42A3F" w:rsidRPr="00491B01" w:rsidRDefault="00B42A3F" w:rsidP="00B42A3F">
            <w:pPr>
              <w:rPr>
                <w:rFonts w:ascii="Times" w:hAnsi="Times"/>
                <w:sz w:val="22"/>
                <w:szCs w:val="22"/>
              </w:rPr>
            </w:pPr>
            <w:r w:rsidRPr="00491B01">
              <w:rPr>
                <w:rFonts w:ascii="Times" w:hAnsi="Times"/>
                <w:sz w:val="22"/>
                <w:szCs w:val="22"/>
              </w:rPr>
              <w:t>0.0135</w:t>
            </w:r>
          </w:p>
        </w:tc>
        <w:tc>
          <w:tcPr>
            <w:tcW w:w="1701" w:type="dxa"/>
          </w:tcPr>
          <w:p w:rsidR="00B42A3F" w:rsidRPr="00491B01" w:rsidRDefault="00B42A3F" w:rsidP="00B42A3F">
            <w:pPr>
              <w:rPr>
                <w:rFonts w:ascii="Times" w:hAnsi="Times"/>
                <w:sz w:val="22"/>
                <w:szCs w:val="22"/>
              </w:rPr>
            </w:pPr>
            <w:r w:rsidRPr="00491B01">
              <w:rPr>
                <w:rFonts w:ascii="Times" w:hAnsi="Times"/>
                <w:sz w:val="22"/>
                <w:szCs w:val="22"/>
              </w:rPr>
              <w:t>-0.0445</w:t>
            </w:r>
          </w:p>
        </w:tc>
        <w:tc>
          <w:tcPr>
            <w:tcW w:w="1701" w:type="dxa"/>
            <w:tcBorders>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0.0587</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Татнефть (BBB-)</w:t>
            </w:r>
          </w:p>
        </w:tc>
        <w:tc>
          <w:tcPr>
            <w:tcW w:w="1192" w:type="dxa"/>
          </w:tcPr>
          <w:p w:rsidR="00B42A3F" w:rsidRPr="00491B01" w:rsidRDefault="00B42A3F" w:rsidP="00B42A3F">
            <w:pPr>
              <w:rPr>
                <w:rFonts w:ascii="Times" w:hAnsi="Times"/>
                <w:sz w:val="22"/>
                <w:szCs w:val="22"/>
              </w:rPr>
            </w:pPr>
            <w:r w:rsidRPr="00491B01">
              <w:rPr>
                <w:rFonts w:ascii="Times" w:hAnsi="Times"/>
                <w:sz w:val="22"/>
                <w:szCs w:val="22"/>
              </w:rPr>
              <w:t>0.0004</w:t>
            </w:r>
          </w:p>
        </w:tc>
        <w:tc>
          <w:tcPr>
            <w:tcW w:w="1559" w:type="dxa"/>
          </w:tcPr>
          <w:p w:rsidR="00B42A3F" w:rsidRPr="00491B01" w:rsidRDefault="00B42A3F" w:rsidP="00B42A3F">
            <w:pPr>
              <w:rPr>
                <w:rFonts w:ascii="Times" w:hAnsi="Times"/>
                <w:sz w:val="22"/>
                <w:szCs w:val="22"/>
              </w:rPr>
            </w:pPr>
            <w:r w:rsidRPr="00491B01">
              <w:rPr>
                <w:rFonts w:ascii="Times" w:hAnsi="Times"/>
                <w:sz w:val="22"/>
                <w:szCs w:val="22"/>
              </w:rPr>
              <w:t>0.0113</w:t>
            </w:r>
          </w:p>
        </w:tc>
        <w:tc>
          <w:tcPr>
            <w:tcW w:w="1701" w:type="dxa"/>
          </w:tcPr>
          <w:p w:rsidR="00B42A3F" w:rsidRPr="00491B01" w:rsidRDefault="00B42A3F" w:rsidP="00B42A3F">
            <w:pPr>
              <w:rPr>
                <w:rFonts w:ascii="Times" w:hAnsi="Times"/>
                <w:sz w:val="22"/>
                <w:szCs w:val="22"/>
              </w:rPr>
            </w:pPr>
            <w:r w:rsidRPr="00491B01">
              <w:rPr>
                <w:rFonts w:ascii="Times" w:hAnsi="Times"/>
                <w:sz w:val="22"/>
                <w:szCs w:val="22"/>
              </w:rPr>
              <w:t>-0.0530</w:t>
            </w:r>
          </w:p>
        </w:tc>
        <w:tc>
          <w:tcPr>
            <w:tcW w:w="1701" w:type="dxa"/>
            <w:tcBorders>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0.0534</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Башнефть (B)</w:t>
            </w:r>
          </w:p>
        </w:tc>
        <w:tc>
          <w:tcPr>
            <w:tcW w:w="1192" w:type="dxa"/>
          </w:tcPr>
          <w:p w:rsidR="00B42A3F" w:rsidRPr="00491B01" w:rsidRDefault="00B42A3F" w:rsidP="00B42A3F">
            <w:pPr>
              <w:rPr>
                <w:rFonts w:ascii="Times" w:hAnsi="Times"/>
                <w:sz w:val="22"/>
                <w:szCs w:val="22"/>
              </w:rPr>
            </w:pPr>
            <w:r w:rsidRPr="00491B01">
              <w:rPr>
                <w:rFonts w:ascii="Times" w:hAnsi="Times"/>
                <w:sz w:val="22"/>
                <w:szCs w:val="22"/>
              </w:rPr>
              <w:t>0.0003</w:t>
            </w:r>
          </w:p>
        </w:tc>
        <w:tc>
          <w:tcPr>
            <w:tcW w:w="1559" w:type="dxa"/>
          </w:tcPr>
          <w:p w:rsidR="00B42A3F" w:rsidRPr="00491B01" w:rsidRDefault="00B42A3F" w:rsidP="00B42A3F">
            <w:pPr>
              <w:rPr>
                <w:rFonts w:ascii="Times" w:hAnsi="Times"/>
                <w:sz w:val="22"/>
                <w:szCs w:val="22"/>
              </w:rPr>
            </w:pPr>
            <w:r w:rsidRPr="00491B01">
              <w:rPr>
                <w:rFonts w:ascii="Times" w:hAnsi="Times"/>
                <w:sz w:val="22"/>
                <w:szCs w:val="22"/>
              </w:rPr>
              <w:t>0.0165</w:t>
            </w:r>
          </w:p>
        </w:tc>
        <w:tc>
          <w:tcPr>
            <w:tcW w:w="1701" w:type="dxa"/>
          </w:tcPr>
          <w:p w:rsidR="00B42A3F" w:rsidRPr="00491B01" w:rsidRDefault="00B42A3F" w:rsidP="00B42A3F">
            <w:pPr>
              <w:rPr>
                <w:rFonts w:ascii="Times" w:hAnsi="Times"/>
                <w:sz w:val="22"/>
                <w:szCs w:val="22"/>
              </w:rPr>
            </w:pPr>
            <w:r w:rsidRPr="00491B01">
              <w:rPr>
                <w:rFonts w:ascii="Times" w:hAnsi="Times"/>
                <w:sz w:val="22"/>
                <w:szCs w:val="22"/>
              </w:rPr>
              <w:t>-0.0485</w:t>
            </w:r>
          </w:p>
        </w:tc>
        <w:tc>
          <w:tcPr>
            <w:tcW w:w="1701" w:type="dxa"/>
            <w:tcBorders>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0.0687</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bottom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bottom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Роснефть (B-)</w:t>
            </w:r>
          </w:p>
        </w:tc>
        <w:tc>
          <w:tcPr>
            <w:tcW w:w="1192"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0.0007</w:t>
            </w:r>
          </w:p>
        </w:tc>
        <w:tc>
          <w:tcPr>
            <w:tcW w:w="1559"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0.0186</w:t>
            </w:r>
          </w:p>
        </w:tc>
        <w:tc>
          <w:tcPr>
            <w:tcW w:w="1701"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-0.0515</w:t>
            </w:r>
          </w:p>
        </w:tc>
        <w:tc>
          <w:tcPr>
            <w:tcW w:w="1701" w:type="dxa"/>
            <w:tcBorders>
              <w:bottom w:val="thinThickSmallGap" w:sz="24" w:space="0" w:color="auto"/>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0.0815</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val="restart"/>
            <w:tcBorders>
              <w:top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2014-2015</w:t>
            </w:r>
          </w:p>
        </w:tc>
        <w:tc>
          <w:tcPr>
            <w:tcW w:w="2210" w:type="dxa"/>
            <w:tcBorders>
              <w:top w:val="thinThickSmallGap" w:sz="24" w:space="0" w:color="auto"/>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Лукойл (A-)</w:t>
            </w:r>
          </w:p>
        </w:tc>
        <w:tc>
          <w:tcPr>
            <w:tcW w:w="1192"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0.0008</w:t>
            </w:r>
          </w:p>
        </w:tc>
        <w:tc>
          <w:tcPr>
            <w:tcW w:w="1559"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0.0180</w:t>
            </w:r>
          </w:p>
        </w:tc>
        <w:tc>
          <w:tcPr>
            <w:tcW w:w="1701"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-0.0743</w:t>
            </w:r>
          </w:p>
        </w:tc>
        <w:tc>
          <w:tcPr>
            <w:tcW w:w="1701" w:type="dxa"/>
            <w:tcBorders>
              <w:top w:val="thinThickSmallGap" w:sz="24" w:space="0" w:color="auto"/>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0.0968</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Сургутнефтегаз (BBB+)</w:t>
            </w:r>
          </w:p>
        </w:tc>
        <w:tc>
          <w:tcPr>
            <w:tcW w:w="1192" w:type="dxa"/>
          </w:tcPr>
          <w:p w:rsidR="00B42A3F" w:rsidRPr="00491B01" w:rsidRDefault="00B42A3F" w:rsidP="00B42A3F">
            <w:pPr>
              <w:rPr>
                <w:rFonts w:ascii="Times" w:hAnsi="Times"/>
                <w:sz w:val="22"/>
                <w:szCs w:val="22"/>
              </w:rPr>
            </w:pPr>
            <w:r w:rsidRPr="00491B01">
              <w:rPr>
                <w:rFonts w:ascii="Times" w:hAnsi="Times"/>
                <w:sz w:val="22"/>
                <w:szCs w:val="22"/>
              </w:rPr>
              <w:t>0.0005</w:t>
            </w:r>
          </w:p>
        </w:tc>
        <w:tc>
          <w:tcPr>
            <w:tcW w:w="1559" w:type="dxa"/>
          </w:tcPr>
          <w:p w:rsidR="00B42A3F" w:rsidRPr="00491B01" w:rsidRDefault="00B42A3F" w:rsidP="00B42A3F">
            <w:pPr>
              <w:rPr>
                <w:rFonts w:ascii="Times" w:hAnsi="Times"/>
                <w:sz w:val="22"/>
                <w:szCs w:val="22"/>
              </w:rPr>
            </w:pPr>
            <w:r w:rsidRPr="00491B01">
              <w:rPr>
                <w:rFonts w:ascii="Times" w:hAnsi="Times"/>
                <w:sz w:val="22"/>
                <w:szCs w:val="22"/>
              </w:rPr>
              <w:t>0.0193</w:t>
            </w:r>
          </w:p>
        </w:tc>
        <w:tc>
          <w:tcPr>
            <w:tcW w:w="1701" w:type="dxa"/>
          </w:tcPr>
          <w:p w:rsidR="00B42A3F" w:rsidRPr="00491B01" w:rsidRDefault="00B42A3F" w:rsidP="00B42A3F">
            <w:pPr>
              <w:rPr>
                <w:rFonts w:ascii="Times" w:hAnsi="Times"/>
                <w:sz w:val="22"/>
                <w:szCs w:val="22"/>
              </w:rPr>
            </w:pPr>
            <w:r w:rsidRPr="00491B01">
              <w:rPr>
                <w:rFonts w:ascii="Times" w:hAnsi="Times"/>
                <w:sz w:val="22"/>
                <w:szCs w:val="22"/>
              </w:rPr>
              <w:t>-0.0494</w:t>
            </w:r>
          </w:p>
        </w:tc>
        <w:tc>
          <w:tcPr>
            <w:tcW w:w="1701" w:type="dxa"/>
            <w:tcBorders>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0.0676</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Татнефть (BBB-)</w:t>
            </w:r>
          </w:p>
        </w:tc>
        <w:tc>
          <w:tcPr>
            <w:tcW w:w="1192" w:type="dxa"/>
          </w:tcPr>
          <w:p w:rsidR="00B42A3F" w:rsidRPr="00491B01" w:rsidRDefault="00B42A3F" w:rsidP="00B42A3F">
            <w:pPr>
              <w:rPr>
                <w:rFonts w:ascii="Times" w:hAnsi="Times"/>
                <w:sz w:val="22"/>
                <w:szCs w:val="22"/>
              </w:rPr>
            </w:pPr>
            <w:r w:rsidRPr="00491B01">
              <w:rPr>
                <w:rFonts w:ascii="Times" w:hAnsi="Times"/>
                <w:sz w:val="22"/>
                <w:szCs w:val="22"/>
              </w:rPr>
              <w:t>0.0012</w:t>
            </w:r>
          </w:p>
        </w:tc>
        <w:tc>
          <w:tcPr>
            <w:tcW w:w="1559" w:type="dxa"/>
          </w:tcPr>
          <w:p w:rsidR="00B42A3F" w:rsidRPr="00491B01" w:rsidRDefault="00B42A3F" w:rsidP="00B42A3F">
            <w:pPr>
              <w:rPr>
                <w:rFonts w:ascii="Times" w:hAnsi="Times"/>
                <w:sz w:val="22"/>
                <w:szCs w:val="22"/>
              </w:rPr>
            </w:pPr>
            <w:r w:rsidRPr="00491B01">
              <w:rPr>
                <w:rFonts w:ascii="Times" w:hAnsi="Times"/>
                <w:sz w:val="22"/>
                <w:szCs w:val="22"/>
              </w:rPr>
              <w:t>0.0233</w:t>
            </w:r>
          </w:p>
        </w:tc>
        <w:tc>
          <w:tcPr>
            <w:tcW w:w="1701" w:type="dxa"/>
          </w:tcPr>
          <w:p w:rsidR="00B42A3F" w:rsidRPr="00491B01" w:rsidRDefault="00B42A3F" w:rsidP="00B42A3F">
            <w:pPr>
              <w:rPr>
                <w:rFonts w:ascii="Times" w:hAnsi="Times"/>
                <w:sz w:val="22"/>
                <w:szCs w:val="22"/>
              </w:rPr>
            </w:pPr>
            <w:r w:rsidRPr="00491B01">
              <w:rPr>
                <w:rFonts w:ascii="Times" w:hAnsi="Times"/>
                <w:sz w:val="22"/>
                <w:szCs w:val="22"/>
              </w:rPr>
              <w:t>-0.0728</w:t>
            </w:r>
          </w:p>
        </w:tc>
        <w:tc>
          <w:tcPr>
            <w:tcW w:w="1701" w:type="dxa"/>
            <w:tcBorders>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0.0710</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Башнефть (B)</w:t>
            </w:r>
          </w:p>
        </w:tc>
        <w:tc>
          <w:tcPr>
            <w:tcW w:w="1192" w:type="dxa"/>
          </w:tcPr>
          <w:p w:rsidR="00B42A3F" w:rsidRPr="00491B01" w:rsidRDefault="00B42A3F" w:rsidP="00B42A3F">
            <w:pPr>
              <w:rPr>
                <w:rFonts w:ascii="Times" w:hAnsi="Times"/>
                <w:sz w:val="22"/>
                <w:szCs w:val="22"/>
              </w:rPr>
            </w:pPr>
            <w:r w:rsidRPr="00491B01">
              <w:rPr>
                <w:rFonts w:ascii="Times" w:hAnsi="Times"/>
                <w:sz w:val="22"/>
                <w:szCs w:val="22"/>
              </w:rPr>
              <w:t>0.0004</w:t>
            </w:r>
          </w:p>
        </w:tc>
        <w:tc>
          <w:tcPr>
            <w:tcW w:w="1559" w:type="dxa"/>
          </w:tcPr>
          <w:p w:rsidR="00B42A3F" w:rsidRPr="00491B01" w:rsidRDefault="00B42A3F" w:rsidP="00B42A3F">
            <w:pPr>
              <w:rPr>
                <w:rFonts w:ascii="Times" w:hAnsi="Times"/>
                <w:sz w:val="22"/>
                <w:szCs w:val="22"/>
              </w:rPr>
            </w:pPr>
            <w:r w:rsidRPr="00491B01">
              <w:rPr>
                <w:rFonts w:ascii="Times" w:hAnsi="Times"/>
                <w:sz w:val="22"/>
                <w:szCs w:val="22"/>
              </w:rPr>
              <w:t>0.0312</w:t>
            </w:r>
          </w:p>
        </w:tc>
        <w:tc>
          <w:tcPr>
            <w:tcW w:w="1701" w:type="dxa"/>
          </w:tcPr>
          <w:p w:rsidR="00B42A3F" w:rsidRPr="00491B01" w:rsidRDefault="00B42A3F" w:rsidP="00B42A3F">
            <w:pPr>
              <w:rPr>
                <w:rFonts w:ascii="Times" w:hAnsi="Times"/>
                <w:sz w:val="22"/>
                <w:szCs w:val="22"/>
              </w:rPr>
            </w:pPr>
            <w:r w:rsidRPr="00491B01">
              <w:rPr>
                <w:rFonts w:ascii="Times" w:hAnsi="Times"/>
                <w:sz w:val="22"/>
                <w:szCs w:val="22"/>
              </w:rPr>
              <w:t>-0.2056</w:t>
            </w:r>
          </w:p>
        </w:tc>
        <w:tc>
          <w:tcPr>
            <w:tcW w:w="1701" w:type="dxa"/>
            <w:tcBorders>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0.1538</w:t>
            </w:r>
          </w:p>
        </w:tc>
        <w:tc>
          <w:tcPr>
            <w:tcW w:w="1307" w:type="dxa"/>
            <w:tcBorders>
              <w:top w:val="nil"/>
              <w:left w:val="thinThickSmallGap" w:sz="24" w:space="0" w:color="auto"/>
              <w:bottom w:val="nil"/>
              <w:right w:val="nil"/>
            </w:tcBorders>
          </w:tcPr>
          <w:p w:rsidR="00B42A3F" w:rsidRPr="000F6176" w:rsidRDefault="00B42A3F" w:rsidP="00B42A3F">
            <w:pPr>
              <w:rPr>
                <w:rFonts w:ascii="Times" w:hAnsi="Times"/>
              </w:rPr>
            </w:pPr>
          </w:p>
        </w:tc>
      </w:tr>
      <w:tr w:rsidR="00B42A3F" w:rsidRPr="000F6176" w:rsidTr="00B42A3F">
        <w:tc>
          <w:tcPr>
            <w:tcW w:w="959" w:type="dxa"/>
            <w:vMerge/>
            <w:tcBorders>
              <w:bottom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bottom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Роснефть (B-)</w:t>
            </w:r>
          </w:p>
        </w:tc>
        <w:tc>
          <w:tcPr>
            <w:tcW w:w="1192"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0.00001</w:t>
            </w:r>
          </w:p>
        </w:tc>
        <w:tc>
          <w:tcPr>
            <w:tcW w:w="1559"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0.0166</w:t>
            </w:r>
          </w:p>
        </w:tc>
        <w:tc>
          <w:tcPr>
            <w:tcW w:w="1701"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-0.0535</w:t>
            </w:r>
          </w:p>
        </w:tc>
        <w:tc>
          <w:tcPr>
            <w:tcW w:w="1701" w:type="dxa"/>
            <w:tcBorders>
              <w:bottom w:val="thinThickSmallGap" w:sz="24" w:space="0" w:color="auto"/>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0.0733</w:t>
            </w:r>
          </w:p>
        </w:tc>
        <w:tc>
          <w:tcPr>
            <w:tcW w:w="1307" w:type="dxa"/>
            <w:tcBorders>
              <w:top w:val="nil"/>
              <w:left w:val="thinThickSmallGap" w:sz="24" w:space="0" w:color="auto"/>
              <w:bottom w:val="thinThickSmallGap" w:sz="24" w:space="0" w:color="auto"/>
              <w:right w:val="nil"/>
            </w:tcBorders>
          </w:tcPr>
          <w:p w:rsidR="00B42A3F" w:rsidRPr="000F6176" w:rsidRDefault="00B42A3F" w:rsidP="00B42A3F">
            <w:pPr>
              <w:rPr>
                <w:rFonts w:ascii="Times" w:hAnsi="Times"/>
              </w:rPr>
            </w:pPr>
          </w:p>
        </w:tc>
      </w:tr>
    </w:tbl>
    <w:p w:rsidR="00B42A3F" w:rsidRDefault="00B42A3F" w:rsidP="00B42A3F">
      <w:r>
        <w:br w:type="page"/>
      </w:r>
    </w:p>
    <w:p w:rsidR="00B42A3F" w:rsidRPr="00ED26F7" w:rsidRDefault="00B42A3F" w:rsidP="00B42A3F">
      <w:pPr>
        <w:jc w:val="center"/>
        <w:rPr>
          <w:rFonts w:ascii="Times" w:hAnsi="Times" w:cs="Helvetica CY"/>
        </w:rPr>
      </w:pPr>
      <w:r w:rsidRPr="00ED26F7">
        <w:rPr>
          <w:rFonts w:ascii="Times" w:hAnsi="Times" w:cs="Helvetica CY"/>
        </w:rPr>
        <w:lastRenderedPageBreak/>
        <w:t>Продолжение Таблицы 1</w:t>
      </w:r>
    </w:p>
    <w:tbl>
      <w:tblPr>
        <w:tblStyle w:val="ae"/>
        <w:tblW w:w="0" w:type="auto"/>
        <w:tblInd w:w="2235" w:type="dxa"/>
        <w:tblLayout w:type="fixed"/>
        <w:tblLook w:val="04A0"/>
      </w:tblPr>
      <w:tblGrid>
        <w:gridCol w:w="874"/>
        <w:gridCol w:w="2210"/>
        <w:gridCol w:w="1005"/>
        <w:gridCol w:w="1831"/>
        <w:gridCol w:w="1456"/>
        <w:gridCol w:w="1528"/>
        <w:gridCol w:w="1307"/>
      </w:tblGrid>
      <w:tr w:rsidR="00B42A3F" w:rsidRPr="000F6176" w:rsidTr="00B42A3F">
        <w:tc>
          <w:tcPr>
            <w:tcW w:w="874" w:type="dxa"/>
            <w:tcBorders>
              <w:top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p>
        </w:tc>
        <w:tc>
          <w:tcPr>
            <w:tcW w:w="8030" w:type="dxa"/>
            <w:gridSpan w:val="5"/>
            <w:tcBorders>
              <w:top w:val="thinThickSmallGap" w:sz="24" w:space="0" w:color="auto"/>
              <w:left w:val="thinThickSmallGap" w:sz="24" w:space="0" w:color="auto"/>
              <w:right w:val="single" w:sz="4" w:space="0" w:color="auto"/>
            </w:tcBorders>
            <w:vAlign w:val="bottom"/>
          </w:tcPr>
          <w:p w:rsidR="00B42A3F" w:rsidRPr="00491B01" w:rsidRDefault="00B42A3F" w:rsidP="00B42A3F">
            <w:pPr>
              <w:rPr>
                <w:rFonts w:ascii="Times" w:hAnsi="Times"/>
                <w:sz w:val="22"/>
                <w:szCs w:val="22"/>
              </w:rPr>
            </w:pPr>
            <w:r w:rsidRPr="00491B01">
              <w:rPr>
                <w:rFonts w:ascii="Times" w:hAnsi="Times"/>
                <w:b/>
                <w:sz w:val="22"/>
                <w:szCs w:val="22"/>
              </w:rPr>
              <w:t>Корреляция</w:t>
            </w:r>
          </w:p>
        </w:tc>
        <w:tc>
          <w:tcPr>
            <w:tcW w:w="1307" w:type="dxa"/>
            <w:tcBorders>
              <w:top w:val="thinThickSmallGap" w:sz="24" w:space="0" w:color="auto"/>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p>
        </w:tc>
        <w:tc>
          <w:tcPr>
            <w:tcW w:w="1005" w:type="dxa"/>
            <w:vAlign w:val="bottom"/>
          </w:tcPr>
          <w:p w:rsidR="00B42A3F" w:rsidRPr="00491B01" w:rsidRDefault="00B42A3F" w:rsidP="00B42A3F">
            <w:pPr>
              <w:rPr>
                <w:rFonts w:ascii="Times" w:hAnsi="Times"/>
                <w:sz w:val="22"/>
                <w:szCs w:val="22"/>
              </w:rPr>
            </w:pPr>
            <w:r w:rsidRPr="00491B01">
              <w:rPr>
                <w:rFonts w:ascii="Times" w:hAnsi="Times"/>
                <w:b/>
                <w:sz w:val="22"/>
                <w:szCs w:val="22"/>
              </w:rPr>
              <w:t>Лукойл</w:t>
            </w:r>
          </w:p>
        </w:tc>
        <w:tc>
          <w:tcPr>
            <w:tcW w:w="1831" w:type="dxa"/>
            <w:vAlign w:val="bottom"/>
          </w:tcPr>
          <w:p w:rsidR="00B42A3F" w:rsidRPr="00491B01" w:rsidRDefault="00B42A3F" w:rsidP="00B42A3F">
            <w:pPr>
              <w:rPr>
                <w:rFonts w:ascii="Times" w:hAnsi="Times"/>
                <w:sz w:val="22"/>
                <w:szCs w:val="22"/>
              </w:rPr>
            </w:pPr>
            <w:r w:rsidRPr="00491B01">
              <w:rPr>
                <w:rFonts w:ascii="Times" w:hAnsi="Times"/>
                <w:b/>
                <w:sz w:val="22"/>
                <w:szCs w:val="22"/>
              </w:rPr>
              <w:t>Сургутнефтегаз</w:t>
            </w:r>
          </w:p>
        </w:tc>
        <w:tc>
          <w:tcPr>
            <w:tcW w:w="1456" w:type="dxa"/>
            <w:vAlign w:val="bottom"/>
          </w:tcPr>
          <w:p w:rsidR="00B42A3F" w:rsidRPr="00491B01" w:rsidRDefault="00B42A3F" w:rsidP="00B42A3F">
            <w:pPr>
              <w:rPr>
                <w:rFonts w:ascii="Times" w:hAnsi="Times"/>
                <w:sz w:val="22"/>
                <w:szCs w:val="22"/>
              </w:rPr>
            </w:pPr>
            <w:r w:rsidRPr="00491B01">
              <w:rPr>
                <w:rFonts w:ascii="Times" w:hAnsi="Times"/>
                <w:b/>
                <w:sz w:val="22"/>
                <w:szCs w:val="22"/>
              </w:rPr>
              <w:t>Татнефть</w:t>
            </w:r>
          </w:p>
        </w:tc>
        <w:tc>
          <w:tcPr>
            <w:tcW w:w="1528" w:type="dxa"/>
            <w:tcBorders>
              <w:right w:val="single" w:sz="4" w:space="0" w:color="auto"/>
            </w:tcBorders>
            <w:vAlign w:val="bottom"/>
          </w:tcPr>
          <w:p w:rsidR="00B42A3F" w:rsidRPr="00491B01" w:rsidRDefault="00B42A3F" w:rsidP="00B42A3F">
            <w:pPr>
              <w:rPr>
                <w:rFonts w:ascii="Times" w:hAnsi="Times"/>
                <w:sz w:val="22"/>
                <w:szCs w:val="22"/>
              </w:rPr>
            </w:pPr>
            <w:r w:rsidRPr="00491B01">
              <w:rPr>
                <w:rFonts w:ascii="Times" w:hAnsi="Times"/>
                <w:b/>
                <w:sz w:val="22"/>
                <w:szCs w:val="22"/>
              </w:rPr>
              <w:t>Башнефть</w:t>
            </w:r>
          </w:p>
        </w:tc>
        <w:tc>
          <w:tcPr>
            <w:tcW w:w="1307" w:type="dxa"/>
            <w:tcBorders>
              <w:left w:val="single" w:sz="4" w:space="0" w:color="auto"/>
              <w:right w:val="thinThickSmallGap" w:sz="24" w:space="0" w:color="auto"/>
            </w:tcBorders>
            <w:vAlign w:val="bottom"/>
          </w:tcPr>
          <w:p w:rsidR="00B42A3F" w:rsidRPr="00491B01" w:rsidRDefault="00B42A3F" w:rsidP="00B42A3F">
            <w:pPr>
              <w:rPr>
                <w:rFonts w:ascii="Times" w:hAnsi="Times"/>
                <w:sz w:val="22"/>
                <w:szCs w:val="22"/>
              </w:rPr>
            </w:pPr>
            <w:r w:rsidRPr="00491B01">
              <w:rPr>
                <w:rFonts w:ascii="Times" w:hAnsi="Times"/>
                <w:b/>
                <w:sz w:val="22"/>
                <w:szCs w:val="22"/>
              </w:rPr>
              <w:t>Роснефть</w:t>
            </w:r>
          </w:p>
        </w:tc>
      </w:tr>
      <w:tr w:rsidR="00B42A3F" w:rsidRPr="000F6176" w:rsidTr="00B42A3F">
        <w:tc>
          <w:tcPr>
            <w:tcW w:w="874" w:type="dxa"/>
            <w:vMerge w:val="restart"/>
            <w:tcBorders>
              <w:righ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2010-2011</w:t>
            </w: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Лукойл (A-)</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1.00</w:t>
            </w:r>
          </w:p>
        </w:tc>
        <w:tc>
          <w:tcPr>
            <w:tcW w:w="1831" w:type="dxa"/>
          </w:tcPr>
          <w:p w:rsidR="00B42A3F" w:rsidRPr="00491B01" w:rsidRDefault="00B42A3F" w:rsidP="00B42A3F">
            <w:pPr>
              <w:rPr>
                <w:rFonts w:ascii="Times" w:hAnsi="Times"/>
                <w:sz w:val="22"/>
                <w:szCs w:val="22"/>
              </w:rPr>
            </w:pPr>
          </w:p>
        </w:tc>
        <w:tc>
          <w:tcPr>
            <w:tcW w:w="1456" w:type="dxa"/>
          </w:tcPr>
          <w:p w:rsidR="00B42A3F" w:rsidRPr="00491B01" w:rsidRDefault="00B42A3F" w:rsidP="00B42A3F">
            <w:pPr>
              <w:rPr>
                <w:rFonts w:ascii="Times" w:hAnsi="Times"/>
                <w:sz w:val="22"/>
                <w:szCs w:val="22"/>
              </w:rPr>
            </w:pPr>
          </w:p>
        </w:tc>
        <w:tc>
          <w:tcPr>
            <w:tcW w:w="1528" w:type="dxa"/>
            <w:tcBorders>
              <w:right w:val="single" w:sz="4" w:space="0" w:color="auto"/>
            </w:tcBorders>
          </w:tcPr>
          <w:p w:rsidR="00B42A3F" w:rsidRPr="00491B01" w:rsidRDefault="00B42A3F" w:rsidP="00B42A3F">
            <w:pPr>
              <w:rPr>
                <w:rFonts w:ascii="Times" w:hAnsi="Times"/>
                <w:sz w:val="22"/>
                <w:szCs w:val="22"/>
              </w:rPr>
            </w:pP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Сургутнефтегаp(BBB+)</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0.61</w:t>
            </w:r>
          </w:p>
        </w:tc>
        <w:tc>
          <w:tcPr>
            <w:tcW w:w="1831" w:type="dxa"/>
          </w:tcPr>
          <w:p w:rsidR="00B42A3F" w:rsidRPr="00491B01" w:rsidRDefault="00B42A3F" w:rsidP="00B42A3F">
            <w:pPr>
              <w:rPr>
                <w:rFonts w:ascii="Times" w:hAnsi="Times"/>
                <w:sz w:val="22"/>
                <w:szCs w:val="22"/>
              </w:rPr>
            </w:pPr>
            <w:r w:rsidRPr="00491B01">
              <w:rPr>
                <w:rFonts w:ascii="Times" w:hAnsi="Times"/>
                <w:sz w:val="22"/>
                <w:szCs w:val="22"/>
              </w:rPr>
              <w:t>1.00</w:t>
            </w:r>
          </w:p>
        </w:tc>
        <w:tc>
          <w:tcPr>
            <w:tcW w:w="1456" w:type="dxa"/>
          </w:tcPr>
          <w:p w:rsidR="00B42A3F" w:rsidRPr="00491B01" w:rsidRDefault="00B42A3F" w:rsidP="00B42A3F">
            <w:pPr>
              <w:rPr>
                <w:rFonts w:ascii="Times" w:hAnsi="Times"/>
                <w:sz w:val="22"/>
                <w:szCs w:val="22"/>
              </w:rPr>
            </w:pPr>
          </w:p>
        </w:tc>
        <w:tc>
          <w:tcPr>
            <w:tcW w:w="1528" w:type="dxa"/>
            <w:tcBorders>
              <w:right w:val="single" w:sz="4" w:space="0" w:color="auto"/>
            </w:tcBorders>
          </w:tcPr>
          <w:p w:rsidR="00B42A3F" w:rsidRPr="00491B01" w:rsidRDefault="00B42A3F" w:rsidP="00B42A3F">
            <w:pPr>
              <w:rPr>
                <w:rFonts w:ascii="Times" w:hAnsi="Times"/>
                <w:sz w:val="22"/>
                <w:szCs w:val="22"/>
              </w:rPr>
            </w:pP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Татнефть (BBB-)</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0.62</w:t>
            </w:r>
          </w:p>
        </w:tc>
        <w:tc>
          <w:tcPr>
            <w:tcW w:w="1831" w:type="dxa"/>
          </w:tcPr>
          <w:p w:rsidR="00B42A3F" w:rsidRPr="00491B01" w:rsidRDefault="00B42A3F" w:rsidP="00B42A3F">
            <w:pPr>
              <w:rPr>
                <w:rFonts w:ascii="Times" w:hAnsi="Times"/>
                <w:sz w:val="22"/>
                <w:szCs w:val="22"/>
              </w:rPr>
            </w:pPr>
            <w:r w:rsidRPr="00491B01">
              <w:rPr>
                <w:rFonts w:ascii="Times" w:hAnsi="Times"/>
                <w:sz w:val="22"/>
                <w:szCs w:val="22"/>
              </w:rPr>
              <w:t>0.65</w:t>
            </w:r>
          </w:p>
        </w:tc>
        <w:tc>
          <w:tcPr>
            <w:tcW w:w="1456" w:type="dxa"/>
          </w:tcPr>
          <w:p w:rsidR="00B42A3F" w:rsidRPr="00491B01" w:rsidRDefault="00B42A3F" w:rsidP="00B42A3F">
            <w:pPr>
              <w:rPr>
                <w:rFonts w:ascii="Times" w:hAnsi="Times"/>
                <w:sz w:val="22"/>
                <w:szCs w:val="22"/>
              </w:rPr>
            </w:pPr>
            <w:r w:rsidRPr="00491B01">
              <w:rPr>
                <w:rFonts w:ascii="Times" w:hAnsi="Times"/>
                <w:sz w:val="22"/>
                <w:szCs w:val="22"/>
              </w:rPr>
              <w:t>1.00</w:t>
            </w:r>
          </w:p>
        </w:tc>
        <w:tc>
          <w:tcPr>
            <w:tcW w:w="1528" w:type="dxa"/>
            <w:tcBorders>
              <w:right w:val="single" w:sz="4" w:space="0" w:color="auto"/>
            </w:tcBorders>
          </w:tcPr>
          <w:p w:rsidR="00B42A3F" w:rsidRPr="00491B01" w:rsidRDefault="00B42A3F" w:rsidP="00B42A3F">
            <w:pPr>
              <w:rPr>
                <w:rFonts w:ascii="Times" w:hAnsi="Times"/>
                <w:sz w:val="22"/>
                <w:szCs w:val="22"/>
              </w:rPr>
            </w:pP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Башнефть (B)</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0.18</w:t>
            </w:r>
          </w:p>
        </w:tc>
        <w:tc>
          <w:tcPr>
            <w:tcW w:w="1831" w:type="dxa"/>
          </w:tcPr>
          <w:p w:rsidR="00B42A3F" w:rsidRPr="00491B01" w:rsidRDefault="00B42A3F" w:rsidP="00B42A3F">
            <w:pPr>
              <w:rPr>
                <w:rFonts w:ascii="Times" w:hAnsi="Times"/>
                <w:sz w:val="22"/>
                <w:szCs w:val="22"/>
              </w:rPr>
            </w:pPr>
            <w:r w:rsidRPr="00491B01">
              <w:rPr>
                <w:rFonts w:ascii="Times" w:hAnsi="Times"/>
                <w:sz w:val="22"/>
                <w:szCs w:val="22"/>
              </w:rPr>
              <w:t>0.20</w:t>
            </w:r>
          </w:p>
        </w:tc>
        <w:tc>
          <w:tcPr>
            <w:tcW w:w="1456" w:type="dxa"/>
          </w:tcPr>
          <w:p w:rsidR="00B42A3F" w:rsidRPr="00491B01" w:rsidRDefault="00B42A3F" w:rsidP="00B42A3F">
            <w:pPr>
              <w:rPr>
                <w:rFonts w:ascii="Times" w:hAnsi="Times"/>
                <w:sz w:val="22"/>
                <w:szCs w:val="22"/>
              </w:rPr>
            </w:pPr>
            <w:r w:rsidRPr="00491B01">
              <w:rPr>
                <w:rFonts w:ascii="Times" w:hAnsi="Times"/>
                <w:sz w:val="22"/>
                <w:szCs w:val="22"/>
              </w:rPr>
              <w:t>0.21</w:t>
            </w:r>
          </w:p>
        </w:tc>
        <w:tc>
          <w:tcPr>
            <w:tcW w:w="1528" w:type="dxa"/>
            <w:tcBorders>
              <w:right w:val="single" w:sz="4" w:space="0" w:color="auto"/>
            </w:tcBorders>
          </w:tcPr>
          <w:p w:rsidR="00B42A3F" w:rsidRPr="00491B01" w:rsidRDefault="00B42A3F" w:rsidP="00B42A3F">
            <w:pPr>
              <w:rPr>
                <w:rFonts w:ascii="Times" w:hAnsi="Times"/>
                <w:sz w:val="22"/>
                <w:szCs w:val="22"/>
              </w:rPr>
            </w:pPr>
            <w:r w:rsidRPr="00491B01">
              <w:rPr>
                <w:rFonts w:ascii="Times" w:hAnsi="Times"/>
                <w:sz w:val="22"/>
                <w:szCs w:val="22"/>
              </w:rPr>
              <w:t>1.00</w:t>
            </w: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bottom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bottom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Роснефть (B-)</w:t>
            </w:r>
          </w:p>
        </w:tc>
        <w:tc>
          <w:tcPr>
            <w:tcW w:w="1005"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0.68</w:t>
            </w:r>
          </w:p>
        </w:tc>
        <w:tc>
          <w:tcPr>
            <w:tcW w:w="1831"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0.65</w:t>
            </w:r>
          </w:p>
        </w:tc>
        <w:tc>
          <w:tcPr>
            <w:tcW w:w="1456"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0.64</w:t>
            </w:r>
          </w:p>
        </w:tc>
        <w:tc>
          <w:tcPr>
            <w:tcW w:w="1528" w:type="dxa"/>
            <w:tcBorders>
              <w:bottom w:val="thinThickSmallGap" w:sz="24" w:space="0" w:color="auto"/>
              <w:right w:val="single" w:sz="4" w:space="0" w:color="auto"/>
            </w:tcBorders>
          </w:tcPr>
          <w:p w:rsidR="00B42A3F" w:rsidRPr="00491B01" w:rsidRDefault="00B42A3F" w:rsidP="00B42A3F">
            <w:pPr>
              <w:rPr>
                <w:rFonts w:ascii="Times" w:hAnsi="Times"/>
                <w:sz w:val="22"/>
                <w:szCs w:val="22"/>
              </w:rPr>
            </w:pPr>
            <w:r w:rsidRPr="00491B01">
              <w:rPr>
                <w:rFonts w:ascii="Times" w:hAnsi="Times"/>
                <w:sz w:val="22"/>
                <w:szCs w:val="22"/>
              </w:rPr>
              <w:t>0.22</w:t>
            </w:r>
          </w:p>
        </w:tc>
        <w:tc>
          <w:tcPr>
            <w:tcW w:w="1307" w:type="dxa"/>
            <w:tcBorders>
              <w:left w:val="single" w:sz="4" w:space="0" w:color="auto"/>
              <w:bottom w:val="thinThickSmallGap" w:sz="24" w:space="0" w:color="auto"/>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1.00</w:t>
            </w:r>
          </w:p>
        </w:tc>
      </w:tr>
      <w:tr w:rsidR="00B42A3F" w:rsidRPr="000F6176" w:rsidTr="00B42A3F">
        <w:tc>
          <w:tcPr>
            <w:tcW w:w="874" w:type="dxa"/>
            <w:vMerge w:val="restart"/>
            <w:tcBorders>
              <w:top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2012-2013</w:t>
            </w:r>
          </w:p>
        </w:tc>
        <w:tc>
          <w:tcPr>
            <w:tcW w:w="2210" w:type="dxa"/>
            <w:tcBorders>
              <w:top w:val="thinThickSmallGap" w:sz="24" w:space="0" w:color="auto"/>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Лукойл (A-)</w:t>
            </w:r>
          </w:p>
        </w:tc>
        <w:tc>
          <w:tcPr>
            <w:tcW w:w="1005"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1.00</w:t>
            </w:r>
          </w:p>
        </w:tc>
        <w:tc>
          <w:tcPr>
            <w:tcW w:w="1831" w:type="dxa"/>
            <w:tcBorders>
              <w:top w:val="thinThickSmallGap" w:sz="24" w:space="0" w:color="auto"/>
            </w:tcBorders>
          </w:tcPr>
          <w:p w:rsidR="00B42A3F" w:rsidRPr="00491B01" w:rsidRDefault="00B42A3F" w:rsidP="00B42A3F">
            <w:pPr>
              <w:rPr>
                <w:rFonts w:ascii="Times" w:hAnsi="Times"/>
                <w:sz w:val="22"/>
                <w:szCs w:val="22"/>
              </w:rPr>
            </w:pPr>
          </w:p>
        </w:tc>
        <w:tc>
          <w:tcPr>
            <w:tcW w:w="1456" w:type="dxa"/>
            <w:tcBorders>
              <w:top w:val="thinThickSmallGap" w:sz="24" w:space="0" w:color="auto"/>
            </w:tcBorders>
          </w:tcPr>
          <w:p w:rsidR="00B42A3F" w:rsidRPr="00491B01" w:rsidRDefault="00B42A3F" w:rsidP="00B42A3F">
            <w:pPr>
              <w:rPr>
                <w:rFonts w:ascii="Times" w:hAnsi="Times"/>
                <w:sz w:val="22"/>
                <w:szCs w:val="22"/>
              </w:rPr>
            </w:pPr>
          </w:p>
        </w:tc>
        <w:tc>
          <w:tcPr>
            <w:tcW w:w="1528" w:type="dxa"/>
            <w:tcBorders>
              <w:top w:val="thinThickSmallGap" w:sz="24" w:space="0" w:color="auto"/>
              <w:right w:val="single" w:sz="4" w:space="0" w:color="auto"/>
            </w:tcBorders>
          </w:tcPr>
          <w:p w:rsidR="00B42A3F" w:rsidRPr="00491B01" w:rsidRDefault="00B42A3F" w:rsidP="00B42A3F">
            <w:pPr>
              <w:rPr>
                <w:rFonts w:ascii="Times" w:hAnsi="Times"/>
                <w:sz w:val="22"/>
                <w:szCs w:val="22"/>
              </w:rPr>
            </w:pPr>
          </w:p>
        </w:tc>
        <w:tc>
          <w:tcPr>
            <w:tcW w:w="1307" w:type="dxa"/>
            <w:tcBorders>
              <w:top w:val="thinThickSmallGap" w:sz="24" w:space="0" w:color="auto"/>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Сургутнефтегаp(BBB+)</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0.63</w:t>
            </w:r>
          </w:p>
        </w:tc>
        <w:tc>
          <w:tcPr>
            <w:tcW w:w="1831" w:type="dxa"/>
          </w:tcPr>
          <w:p w:rsidR="00B42A3F" w:rsidRPr="00491B01" w:rsidRDefault="00B42A3F" w:rsidP="00B42A3F">
            <w:pPr>
              <w:rPr>
                <w:rFonts w:ascii="Times" w:hAnsi="Times"/>
                <w:sz w:val="22"/>
                <w:szCs w:val="22"/>
              </w:rPr>
            </w:pPr>
            <w:r w:rsidRPr="00491B01">
              <w:rPr>
                <w:rFonts w:ascii="Times" w:hAnsi="Times"/>
                <w:sz w:val="22"/>
                <w:szCs w:val="22"/>
              </w:rPr>
              <w:t>1.00</w:t>
            </w:r>
          </w:p>
        </w:tc>
        <w:tc>
          <w:tcPr>
            <w:tcW w:w="1456" w:type="dxa"/>
          </w:tcPr>
          <w:p w:rsidR="00B42A3F" w:rsidRPr="00491B01" w:rsidRDefault="00B42A3F" w:rsidP="00B42A3F">
            <w:pPr>
              <w:rPr>
                <w:rFonts w:ascii="Times" w:hAnsi="Times"/>
                <w:sz w:val="22"/>
                <w:szCs w:val="22"/>
              </w:rPr>
            </w:pPr>
          </w:p>
        </w:tc>
        <w:tc>
          <w:tcPr>
            <w:tcW w:w="1528" w:type="dxa"/>
            <w:tcBorders>
              <w:right w:val="single" w:sz="4" w:space="0" w:color="auto"/>
            </w:tcBorders>
          </w:tcPr>
          <w:p w:rsidR="00B42A3F" w:rsidRPr="00491B01" w:rsidRDefault="00B42A3F" w:rsidP="00B42A3F">
            <w:pPr>
              <w:rPr>
                <w:rFonts w:ascii="Times" w:hAnsi="Times"/>
                <w:sz w:val="22"/>
                <w:szCs w:val="22"/>
              </w:rPr>
            </w:pP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Татнефть (BBB-)</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0.61</w:t>
            </w:r>
          </w:p>
        </w:tc>
        <w:tc>
          <w:tcPr>
            <w:tcW w:w="1831" w:type="dxa"/>
          </w:tcPr>
          <w:p w:rsidR="00B42A3F" w:rsidRPr="00491B01" w:rsidRDefault="00B42A3F" w:rsidP="00B42A3F">
            <w:pPr>
              <w:rPr>
                <w:rFonts w:ascii="Times" w:hAnsi="Times"/>
                <w:sz w:val="22"/>
                <w:szCs w:val="22"/>
              </w:rPr>
            </w:pPr>
            <w:r w:rsidRPr="00491B01">
              <w:rPr>
                <w:rFonts w:ascii="Times" w:hAnsi="Times"/>
                <w:sz w:val="22"/>
                <w:szCs w:val="22"/>
              </w:rPr>
              <w:t>0.60</w:t>
            </w:r>
          </w:p>
        </w:tc>
        <w:tc>
          <w:tcPr>
            <w:tcW w:w="1456" w:type="dxa"/>
          </w:tcPr>
          <w:p w:rsidR="00B42A3F" w:rsidRPr="00491B01" w:rsidRDefault="00B42A3F" w:rsidP="00B42A3F">
            <w:pPr>
              <w:rPr>
                <w:rFonts w:ascii="Times" w:hAnsi="Times"/>
                <w:sz w:val="22"/>
                <w:szCs w:val="22"/>
              </w:rPr>
            </w:pPr>
            <w:r w:rsidRPr="00491B01">
              <w:rPr>
                <w:rFonts w:ascii="Times" w:hAnsi="Times"/>
                <w:sz w:val="22"/>
                <w:szCs w:val="22"/>
              </w:rPr>
              <w:t>1.00</w:t>
            </w:r>
          </w:p>
        </w:tc>
        <w:tc>
          <w:tcPr>
            <w:tcW w:w="1528" w:type="dxa"/>
            <w:tcBorders>
              <w:right w:val="single" w:sz="4" w:space="0" w:color="auto"/>
            </w:tcBorders>
          </w:tcPr>
          <w:p w:rsidR="00B42A3F" w:rsidRPr="00491B01" w:rsidRDefault="00B42A3F" w:rsidP="00B42A3F">
            <w:pPr>
              <w:rPr>
                <w:rFonts w:ascii="Times" w:hAnsi="Times"/>
                <w:sz w:val="22"/>
                <w:szCs w:val="22"/>
              </w:rPr>
            </w:pP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Башнефть (B)</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0.31</w:t>
            </w:r>
          </w:p>
        </w:tc>
        <w:tc>
          <w:tcPr>
            <w:tcW w:w="1831" w:type="dxa"/>
          </w:tcPr>
          <w:p w:rsidR="00B42A3F" w:rsidRPr="00491B01" w:rsidRDefault="00B42A3F" w:rsidP="00B42A3F">
            <w:pPr>
              <w:rPr>
                <w:rFonts w:ascii="Times" w:hAnsi="Times"/>
                <w:sz w:val="22"/>
                <w:szCs w:val="22"/>
              </w:rPr>
            </w:pPr>
            <w:r w:rsidRPr="00491B01">
              <w:rPr>
                <w:rFonts w:ascii="Times" w:hAnsi="Times"/>
                <w:sz w:val="22"/>
                <w:szCs w:val="22"/>
              </w:rPr>
              <w:t>0.32</w:t>
            </w:r>
          </w:p>
        </w:tc>
        <w:tc>
          <w:tcPr>
            <w:tcW w:w="1456" w:type="dxa"/>
          </w:tcPr>
          <w:p w:rsidR="00B42A3F" w:rsidRPr="00491B01" w:rsidRDefault="00B42A3F" w:rsidP="00B42A3F">
            <w:pPr>
              <w:rPr>
                <w:rFonts w:ascii="Times" w:hAnsi="Times"/>
                <w:sz w:val="22"/>
                <w:szCs w:val="22"/>
              </w:rPr>
            </w:pPr>
            <w:r w:rsidRPr="00491B01">
              <w:rPr>
                <w:rFonts w:ascii="Times" w:hAnsi="Times"/>
                <w:sz w:val="22"/>
                <w:szCs w:val="22"/>
              </w:rPr>
              <w:t>0.31</w:t>
            </w:r>
          </w:p>
        </w:tc>
        <w:tc>
          <w:tcPr>
            <w:tcW w:w="1528" w:type="dxa"/>
            <w:tcBorders>
              <w:right w:val="single" w:sz="4" w:space="0" w:color="auto"/>
            </w:tcBorders>
          </w:tcPr>
          <w:p w:rsidR="00B42A3F" w:rsidRPr="00491B01" w:rsidRDefault="00B42A3F" w:rsidP="00B42A3F">
            <w:pPr>
              <w:rPr>
                <w:rFonts w:ascii="Times" w:hAnsi="Times"/>
                <w:sz w:val="22"/>
                <w:szCs w:val="22"/>
              </w:rPr>
            </w:pPr>
            <w:r w:rsidRPr="00491B01">
              <w:rPr>
                <w:rFonts w:ascii="Times" w:hAnsi="Times"/>
                <w:sz w:val="22"/>
                <w:szCs w:val="22"/>
              </w:rPr>
              <w:t>1.00</w:t>
            </w: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bottom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bottom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Роснефть (B-)</w:t>
            </w:r>
          </w:p>
        </w:tc>
        <w:tc>
          <w:tcPr>
            <w:tcW w:w="1005"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0.53</w:t>
            </w:r>
          </w:p>
        </w:tc>
        <w:tc>
          <w:tcPr>
            <w:tcW w:w="1831"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0.50</w:t>
            </w:r>
          </w:p>
        </w:tc>
        <w:tc>
          <w:tcPr>
            <w:tcW w:w="1456" w:type="dxa"/>
            <w:tcBorders>
              <w:bottom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0.49</w:t>
            </w:r>
          </w:p>
        </w:tc>
        <w:tc>
          <w:tcPr>
            <w:tcW w:w="1528" w:type="dxa"/>
            <w:tcBorders>
              <w:bottom w:val="thinThickSmallGap" w:sz="24" w:space="0" w:color="auto"/>
              <w:right w:val="single" w:sz="4" w:space="0" w:color="auto"/>
            </w:tcBorders>
          </w:tcPr>
          <w:p w:rsidR="00B42A3F" w:rsidRPr="00491B01" w:rsidRDefault="00B42A3F" w:rsidP="00B42A3F">
            <w:pPr>
              <w:rPr>
                <w:rFonts w:ascii="Times" w:hAnsi="Times"/>
                <w:sz w:val="22"/>
                <w:szCs w:val="22"/>
              </w:rPr>
            </w:pPr>
            <w:r w:rsidRPr="00491B01">
              <w:rPr>
                <w:rFonts w:ascii="Times" w:hAnsi="Times"/>
                <w:sz w:val="22"/>
                <w:szCs w:val="22"/>
              </w:rPr>
              <w:t>0.23</w:t>
            </w:r>
          </w:p>
        </w:tc>
        <w:tc>
          <w:tcPr>
            <w:tcW w:w="1307" w:type="dxa"/>
            <w:tcBorders>
              <w:left w:val="single" w:sz="4" w:space="0" w:color="auto"/>
              <w:bottom w:val="thinThickSmallGap" w:sz="24" w:space="0" w:color="auto"/>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1.00</w:t>
            </w:r>
          </w:p>
        </w:tc>
      </w:tr>
      <w:tr w:rsidR="00B42A3F" w:rsidRPr="000F6176" w:rsidTr="00B42A3F">
        <w:tc>
          <w:tcPr>
            <w:tcW w:w="874" w:type="dxa"/>
            <w:vMerge w:val="restart"/>
            <w:tcBorders>
              <w:top w:val="thinThickSmallGap" w:sz="24" w:space="0" w:color="auto"/>
              <w:righ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2014-2015</w:t>
            </w:r>
          </w:p>
        </w:tc>
        <w:tc>
          <w:tcPr>
            <w:tcW w:w="2210" w:type="dxa"/>
            <w:tcBorders>
              <w:top w:val="thinThickSmallGap" w:sz="24" w:space="0" w:color="auto"/>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Лукойл (A-)</w:t>
            </w:r>
          </w:p>
        </w:tc>
        <w:tc>
          <w:tcPr>
            <w:tcW w:w="1005" w:type="dxa"/>
            <w:tcBorders>
              <w:top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1.00</w:t>
            </w:r>
          </w:p>
        </w:tc>
        <w:tc>
          <w:tcPr>
            <w:tcW w:w="1831" w:type="dxa"/>
            <w:tcBorders>
              <w:top w:val="thinThickSmallGap" w:sz="24" w:space="0" w:color="auto"/>
            </w:tcBorders>
          </w:tcPr>
          <w:p w:rsidR="00B42A3F" w:rsidRPr="00491B01" w:rsidRDefault="00B42A3F" w:rsidP="00B42A3F">
            <w:pPr>
              <w:rPr>
                <w:rFonts w:ascii="Times" w:hAnsi="Times"/>
                <w:sz w:val="22"/>
                <w:szCs w:val="22"/>
              </w:rPr>
            </w:pPr>
          </w:p>
        </w:tc>
        <w:tc>
          <w:tcPr>
            <w:tcW w:w="1456" w:type="dxa"/>
            <w:tcBorders>
              <w:top w:val="thinThickSmallGap" w:sz="24" w:space="0" w:color="auto"/>
            </w:tcBorders>
          </w:tcPr>
          <w:p w:rsidR="00B42A3F" w:rsidRPr="00491B01" w:rsidRDefault="00B42A3F" w:rsidP="00B42A3F">
            <w:pPr>
              <w:rPr>
                <w:rFonts w:ascii="Times" w:hAnsi="Times"/>
                <w:sz w:val="22"/>
                <w:szCs w:val="22"/>
              </w:rPr>
            </w:pPr>
          </w:p>
        </w:tc>
        <w:tc>
          <w:tcPr>
            <w:tcW w:w="1528" w:type="dxa"/>
            <w:tcBorders>
              <w:top w:val="thinThickSmallGap" w:sz="24" w:space="0" w:color="auto"/>
              <w:right w:val="single" w:sz="4" w:space="0" w:color="auto"/>
            </w:tcBorders>
          </w:tcPr>
          <w:p w:rsidR="00B42A3F" w:rsidRPr="00491B01" w:rsidRDefault="00B42A3F" w:rsidP="00B42A3F">
            <w:pPr>
              <w:rPr>
                <w:rFonts w:ascii="Times" w:hAnsi="Times"/>
                <w:sz w:val="22"/>
                <w:szCs w:val="22"/>
              </w:rPr>
            </w:pPr>
          </w:p>
        </w:tc>
        <w:tc>
          <w:tcPr>
            <w:tcW w:w="1307" w:type="dxa"/>
            <w:tcBorders>
              <w:top w:val="thinThickSmallGap" w:sz="24" w:space="0" w:color="auto"/>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Сургутнефтегаp(BBB+)</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0.57</w:t>
            </w:r>
          </w:p>
        </w:tc>
        <w:tc>
          <w:tcPr>
            <w:tcW w:w="1831" w:type="dxa"/>
          </w:tcPr>
          <w:p w:rsidR="00B42A3F" w:rsidRPr="00491B01" w:rsidRDefault="00B42A3F" w:rsidP="00B42A3F">
            <w:pPr>
              <w:rPr>
                <w:rFonts w:ascii="Times" w:hAnsi="Times"/>
                <w:sz w:val="22"/>
                <w:szCs w:val="22"/>
              </w:rPr>
            </w:pPr>
            <w:r w:rsidRPr="00491B01">
              <w:rPr>
                <w:rFonts w:ascii="Times" w:hAnsi="Times"/>
                <w:sz w:val="22"/>
                <w:szCs w:val="22"/>
              </w:rPr>
              <w:t>1.00</w:t>
            </w:r>
          </w:p>
        </w:tc>
        <w:tc>
          <w:tcPr>
            <w:tcW w:w="1456" w:type="dxa"/>
          </w:tcPr>
          <w:p w:rsidR="00B42A3F" w:rsidRPr="00491B01" w:rsidRDefault="00B42A3F" w:rsidP="00B42A3F">
            <w:pPr>
              <w:rPr>
                <w:rFonts w:ascii="Times" w:hAnsi="Times"/>
                <w:sz w:val="22"/>
                <w:szCs w:val="22"/>
              </w:rPr>
            </w:pPr>
          </w:p>
        </w:tc>
        <w:tc>
          <w:tcPr>
            <w:tcW w:w="1528" w:type="dxa"/>
            <w:tcBorders>
              <w:right w:val="single" w:sz="4" w:space="0" w:color="auto"/>
            </w:tcBorders>
          </w:tcPr>
          <w:p w:rsidR="00B42A3F" w:rsidRPr="00491B01" w:rsidRDefault="00B42A3F" w:rsidP="00B42A3F">
            <w:pPr>
              <w:rPr>
                <w:rFonts w:ascii="Times" w:hAnsi="Times"/>
                <w:sz w:val="22"/>
                <w:szCs w:val="22"/>
              </w:rPr>
            </w:pP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Татнефть (BBB-)</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0.62</w:t>
            </w:r>
          </w:p>
        </w:tc>
        <w:tc>
          <w:tcPr>
            <w:tcW w:w="1831" w:type="dxa"/>
          </w:tcPr>
          <w:p w:rsidR="00B42A3F" w:rsidRPr="00491B01" w:rsidRDefault="00B42A3F" w:rsidP="00B42A3F">
            <w:pPr>
              <w:rPr>
                <w:rFonts w:ascii="Times" w:hAnsi="Times"/>
                <w:sz w:val="22"/>
                <w:szCs w:val="22"/>
              </w:rPr>
            </w:pPr>
            <w:r w:rsidRPr="00491B01">
              <w:rPr>
                <w:rFonts w:ascii="Times" w:hAnsi="Times"/>
                <w:sz w:val="22"/>
                <w:szCs w:val="22"/>
              </w:rPr>
              <w:t>0.58</w:t>
            </w:r>
          </w:p>
        </w:tc>
        <w:tc>
          <w:tcPr>
            <w:tcW w:w="1456" w:type="dxa"/>
          </w:tcPr>
          <w:p w:rsidR="00B42A3F" w:rsidRPr="00491B01" w:rsidRDefault="00B42A3F" w:rsidP="00B42A3F">
            <w:pPr>
              <w:rPr>
                <w:rFonts w:ascii="Times" w:hAnsi="Times"/>
                <w:sz w:val="22"/>
                <w:szCs w:val="22"/>
              </w:rPr>
            </w:pPr>
            <w:r w:rsidRPr="00491B01">
              <w:rPr>
                <w:rFonts w:ascii="Times" w:hAnsi="Times"/>
                <w:sz w:val="22"/>
                <w:szCs w:val="22"/>
              </w:rPr>
              <w:t>1.00</w:t>
            </w:r>
          </w:p>
        </w:tc>
        <w:tc>
          <w:tcPr>
            <w:tcW w:w="1528" w:type="dxa"/>
            <w:tcBorders>
              <w:right w:val="single" w:sz="4" w:space="0" w:color="auto"/>
            </w:tcBorders>
          </w:tcPr>
          <w:p w:rsidR="00B42A3F" w:rsidRPr="00491B01" w:rsidRDefault="00B42A3F" w:rsidP="00B42A3F">
            <w:pPr>
              <w:rPr>
                <w:rFonts w:ascii="Times" w:hAnsi="Times"/>
                <w:sz w:val="22"/>
                <w:szCs w:val="22"/>
              </w:rPr>
            </w:pP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Башнефть (B)</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0.23</w:t>
            </w:r>
          </w:p>
        </w:tc>
        <w:tc>
          <w:tcPr>
            <w:tcW w:w="1831" w:type="dxa"/>
          </w:tcPr>
          <w:p w:rsidR="00B42A3F" w:rsidRPr="00491B01" w:rsidRDefault="00B42A3F" w:rsidP="00B42A3F">
            <w:pPr>
              <w:rPr>
                <w:rFonts w:ascii="Times" w:hAnsi="Times"/>
                <w:sz w:val="22"/>
                <w:szCs w:val="22"/>
              </w:rPr>
            </w:pPr>
            <w:r w:rsidRPr="00491B01">
              <w:rPr>
                <w:rFonts w:ascii="Times" w:hAnsi="Times"/>
                <w:sz w:val="22"/>
                <w:szCs w:val="22"/>
              </w:rPr>
              <w:t>0.27</w:t>
            </w:r>
          </w:p>
        </w:tc>
        <w:tc>
          <w:tcPr>
            <w:tcW w:w="1456" w:type="dxa"/>
          </w:tcPr>
          <w:p w:rsidR="00B42A3F" w:rsidRPr="00491B01" w:rsidRDefault="00B42A3F" w:rsidP="00B42A3F">
            <w:pPr>
              <w:rPr>
                <w:rFonts w:ascii="Times" w:hAnsi="Times"/>
                <w:sz w:val="22"/>
                <w:szCs w:val="22"/>
              </w:rPr>
            </w:pPr>
            <w:r w:rsidRPr="00491B01">
              <w:rPr>
                <w:rFonts w:ascii="Times" w:hAnsi="Times"/>
                <w:sz w:val="22"/>
                <w:szCs w:val="22"/>
              </w:rPr>
              <w:t>0.21</w:t>
            </w:r>
          </w:p>
        </w:tc>
        <w:tc>
          <w:tcPr>
            <w:tcW w:w="1528" w:type="dxa"/>
            <w:tcBorders>
              <w:right w:val="single" w:sz="4" w:space="0" w:color="auto"/>
            </w:tcBorders>
          </w:tcPr>
          <w:p w:rsidR="00B42A3F" w:rsidRPr="00491B01" w:rsidRDefault="00B42A3F" w:rsidP="00B42A3F">
            <w:pPr>
              <w:rPr>
                <w:rFonts w:ascii="Times" w:hAnsi="Times"/>
                <w:sz w:val="22"/>
                <w:szCs w:val="22"/>
              </w:rPr>
            </w:pPr>
            <w:r w:rsidRPr="00491B01">
              <w:rPr>
                <w:rFonts w:ascii="Times" w:hAnsi="Times"/>
                <w:sz w:val="22"/>
                <w:szCs w:val="22"/>
              </w:rPr>
              <w:t>1.00</w:t>
            </w: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p>
        </w:tc>
      </w:tr>
      <w:tr w:rsidR="00B42A3F" w:rsidRPr="000F6176" w:rsidTr="00B42A3F">
        <w:tc>
          <w:tcPr>
            <w:tcW w:w="874" w:type="dxa"/>
            <w:vMerge/>
            <w:tcBorders>
              <w:right w:val="thinThickSmallGap" w:sz="24" w:space="0" w:color="auto"/>
            </w:tcBorders>
            <w:vAlign w:val="center"/>
          </w:tcPr>
          <w:p w:rsidR="00B42A3F" w:rsidRPr="00491B01" w:rsidRDefault="00B42A3F" w:rsidP="00B42A3F">
            <w:pPr>
              <w:rPr>
                <w:rFonts w:ascii="Times" w:hAnsi="Times"/>
                <w:sz w:val="22"/>
                <w:szCs w:val="22"/>
              </w:rPr>
            </w:pPr>
          </w:p>
        </w:tc>
        <w:tc>
          <w:tcPr>
            <w:tcW w:w="2210" w:type="dxa"/>
            <w:tcBorders>
              <w:left w:val="thinThickSmallGap" w:sz="24" w:space="0" w:color="auto"/>
            </w:tcBorders>
            <w:vAlign w:val="center"/>
          </w:tcPr>
          <w:p w:rsidR="00B42A3F" w:rsidRPr="00491B01" w:rsidRDefault="00B42A3F" w:rsidP="00B42A3F">
            <w:pPr>
              <w:rPr>
                <w:rFonts w:ascii="Times" w:hAnsi="Times"/>
                <w:sz w:val="22"/>
                <w:szCs w:val="22"/>
              </w:rPr>
            </w:pPr>
            <w:r w:rsidRPr="00491B01">
              <w:rPr>
                <w:rFonts w:ascii="Times" w:hAnsi="Times"/>
                <w:sz w:val="22"/>
                <w:szCs w:val="22"/>
              </w:rPr>
              <w:t>Роснефть (B-)</w:t>
            </w:r>
          </w:p>
        </w:tc>
        <w:tc>
          <w:tcPr>
            <w:tcW w:w="1005" w:type="dxa"/>
          </w:tcPr>
          <w:p w:rsidR="00B42A3F" w:rsidRPr="00491B01" w:rsidRDefault="00B42A3F" w:rsidP="00B42A3F">
            <w:pPr>
              <w:rPr>
                <w:rFonts w:ascii="Times" w:hAnsi="Times"/>
                <w:sz w:val="22"/>
                <w:szCs w:val="22"/>
              </w:rPr>
            </w:pPr>
            <w:r w:rsidRPr="00491B01">
              <w:rPr>
                <w:rFonts w:ascii="Times" w:hAnsi="Times"/>
                <w:sz w:val="22"/>
                <w:szCs w:val="22"/>
              </w:rPr>
              <w:t>0.68</w:t>
            </w:r>
          </w:p>
        </w:tc>
        <w:tc>
          <w:tcPr>
            <w:tcW w:w="1831" w:type="dxa"/>
          </w:tcPr>
          <w:p w:rsidR="00B42A3F" w:rsidRPr="00491B01" w:rsidRDefault="00B42A3F" w:rsidP="00B42A3F">
            <w:pPr>
              <w:rPr>
                <w:rFonts w:ascii="Times" w:hAnsi="Times"/>
                <w:sz w:val="22"/>
                <w:szCs w:val="22"/>
              </w:rPr>
            </w:pPr>
            <w:r w:rsidRPr="00491B01">
              <w:rPr>
                <w:rFonts w:ascii="Times" w:hAnsi="Times"/>
                <w:sz w:val="22"/>
                <w:szCs w:val="22"/>
              </w:rPr>
              <w:t>0.60</w:t>
            </w:r>
          </w:p>
        </w:tc>
        <w:tc>
          <w:tcPr>
            <w:tcW w:w="1456" w:type="dxa"/>
          </w:tcPr>
          <w:p w:rsidR="00B42A3F" w:rsidRPr="00491B01" w:rsidRDefault="00B42A3F" w:rsidP="00B42A3F">
            <w:pPr>
              <w:rPr>
                <w:rFonts w:ascii="Times" w:hAnsi="Times"/>
                <w:sz w:val="22"/>
                <w:szCs w:val="22"/>
              </w:rPr>
            </w:pPr>
            <w:r w:rsidRPr="00491B01">
              <w:rPr>
                <w:rFonts w:ascii="Times" w:hAnsi="Times"/>
                <w:sz w:val="22"/>
                <w:szCs w:val="22"/>
              </w:rPr>
              <w:t>0.61</w:t>
            </w:r>
          </w:p>
        </w:tc>
        <w:tc>
          <w:tcPr>
            <w:tcW w:w="1528" w:type="dxa"/>
            <w:tcBorders>
              <w:right w:val="single" w:sz="4" w:space="0" w:color="auto"/>
            </w:tcBorders>
          </w:tcPr>
          <w:p w:rsidR="00B42A3F" w:rsidRPr="00491B01" w:rsidRDefault="00B42A3F" w:rsidP="00B42A3F">
            <w:pPr>
              <w:rPr>
                <w:rFonts w:ascii="Times" w:hAnsi="Times"/>
                <w:sz w:val="22"/>
                <w:szCs w:val="22"/>
              </w:rPr>
            </w:pPr>
            <w:r w:rsidRPr="00491B01">
              <w:rPr>
                <w:rFonts w:ascii="Times" w:hAnsi="Times"/>
                <w:sz w:val="22"/>
                <w:szCs w:val="22"/>
              </w:rPr>
              <w:t>0.32</w:t>
            </w:r>
          </w:p>
        </w:tc>
        <w:tc>
          <w:tcPr>
            <w:tcW w:w="1307" w:type="dxa"/>
            <w:tcBorders>
              <w:left w:val="single" w:sz="4" w:space="0" w:color="auto"/>
              <w:right w:val="thinThickSmallGap" w:sz="24" w:space="0" w:color="auto"/>
            </w:tcBorders>
          </w:tcPr>
          <w:p w:rsidR="00B42A3F" w:rsidRPr="00491B01" w:rsidRDefault="00B42A3F" w:rsidP="00B42A3F">
            <w:pPr>
              <w:rPr>
                <w:rFonts w:ascii="Times" w:hAnsi="Times"/>
                <w:sz w:val="22"/>
                <w:szCs w:val="22"/>
              </w:rPr>
            </w:pPr>
            <w:r w:rsidRPr="00491B01">
              <w:rPr>
                <w:rFonts w:ascii="Times" w:hAnsi="Times"/>
                <w:sz w:val="22"/>
                <w:szCs w:val="22"/>
              </w:rPr>
              <w:t>1.00</w:t>
            </w:r>
          </w:p>
        </w:tc>
      </w:tr>
    </w:tbl>
    <w:p w:rsidR="00B42A3F" w:rsidRPr="000F6176" w:rsidRDefault="00B42A3F" w:rsidP="00B42A3F">
      <w:pPr>
        <w:ind w:right="-8" w:firstLine="567"/>
        <w:jc w:val="both"/>
        <w:rPr>
          <w:rFonts w:ascii="Times" w:hAnsi="Times"/>
        </w:rPr>
      </w:pPr>
    </w:p>
    <w:p w:rsidR="00B42A3F" w:rsidRDefault="00B42A3F" w:rsidP="00B42A3F">
      <w:pPr>
        <w:ind w:left="142" w:right="538"/>
        <w:jc w:val="right"/>
        <w:rPr>
          <w:rFonts w:ascii="Times" w:hAnsi="Times"/>
          <w:b/>
        </w:rPr>
      </w:pPr>
    </w:p>
    <w:p w:rsidR="00B42A3F" w:rsidRDefault="00B42A3F" w:rsidP="00B42A3F">
      <w:pPr>
        <w:ind w:left="142" w:right="538"/>
        <w:jc w:val="right"/>
        <w:rPr>
          <w:rFonts w:ascii="Times" w:hAnsi="Times"/>
          <w:b/>
        </w:rPr>
      </w:pPr>
    </w:p>
    <w:p w:rsidR="00B42A3F" w:rsidRDefault="00B42A3F" w:rsidP="00B42A3F">
      <w:pPr>
        <w:ind w:left="142" w:right="538"/>
        <w:jc w:val="center"/>
        <w:rPr>
          <w:rFonts w:ascii="Times" w:hAnsi="Times"/>
          <w:b/>
        </w:rPr>
        <w:sectPr w:rsidR="00B42A3F" w:rsidSect="00B42A3F">
          <w:footerReference w:type="default" r:id="rId69"/>
          <w:pgSz w:w="16840" w:h="11900" w:orient="landscape"/>
          <w:pgMar w:top="851" w:right="1389" w:bottom="1418" w:left="1304" w:header="709" w:footer="907" w:gutter="0"/>
          <w:cols w:space="708"/>
          <w:docGrid w:linePitch="360"/>
        </w:sectPr>
      </w:pPr>
    </w:p>
    <w:p w:rsidR="00B42A3F" w:rsidRDefault="00B42A3F" w:rsidP="00B42A3F">
      <w:pPr>
        <w:ind w:left="142" w:right="538"/>
        <w:jc w:val="right"/>
        <w:rPr>
          <w:rFonts w:ascii="Times" w:hAnsi="Times"/>
          <w:b/>
        </w:rPr>
      </w:pPr>
      <w:r>
        <w:rPr>
          <w:rFonts w:ascii="Times" w:hAnsi="Times"/>
          <w:b/>
        </w:rPr>
        <w:lastRenderedPageBreak/>
        <w:t>Приложение 3</w:t>
      </w:r>
    </w:p>
    <w:p w:rsidR="00B42A3F" w:rsidRPr="00ED26F7" w:rsidRDefault="00B42A3F" w:rsidP="00E06C9A">
      <w:pPr>
        <w:ind w:left="142" w:right="538" w:firstLine="0"/>
        <w:rPr>
          <w:rFonts w:ascii="Times" w:hAnsi="Times"/>
        </w:rPr>
      </w:pPr>
      <w:r w:rsidRPr="00ED26F7">
        <w:rPr>
          <w:rFonts w:ascii="Times" w:hAnsi="Times"/>
        </w:rPr>
        <w:t>Тесты для проверки временных рядов на наличие автокорреляции и стационарности, а также информационные критерии</w:t>
      </w:r>
    </w:p>
    <w:p w:rsidR="00B42A3F" w:rsidRPr="00ED26F7" w:rsidRDefault="00B42A3F" w:rsidP="00E06C9A">
      <w:pPr>
        <w:ind w:left="142" w:right="538" w:firstLine="0"/>
        <w:rPr>
          <w:rFonts w:ascii="Times" w:hAnsi="Times"/>
        </w:rPr>
      </w:pPr>
      <w:r w:rsidRPr="00ED26F7">
        <w:rPr>
          <w:rFonts w:ascii="Times" w:hAnsi="Times"/>
        </w:rPr>
        <w:t>Таблица 1 – Результаты оценки информационных критериев Акаике, Шварца и Хеннана-Куинна для некоторых временных рядов зависимых переменных</w:t>
      </w:r>
    </w:p>
    <w:p w:rsidR="00B42A3F" w:rsidRPr="00877D7D" w:rsidRDefault="00B42A3F" w:rsidP="00E06C9A">
      <w:pPr>
        <w:ind w:left="142" w:right="538" w:firstLine="0"/>
        <w:rPr>
          <w:rFonts w:ascii="Times" w:hAnsi="Times"/>
        </w:rPr>
      </w:pPr>
      <w:r w:rsidRPr="00877D7D">
        <w:rPr>
          <w:rFonts w:ascii="Times" w:hAnsi="Times"/>
        </w:rPr>
        <w:t>Результаты оценки информационных критериев Акаике, Шварца и Хеннана-Куинна для временных рядов (в выделенных ячейках находятся наименьшие значения критериев, которые указывают на то, что ошибки линейной модели, построенной по временному ряду, лучше удовлетворяют условию некоррелированности) доходностей индексов государственных, корпоративных облигаций, первых и вторых разностей этих временных рядов, объёмов торгов и роста объёмов торгов фьючерсами на нефть на Московской бирже, а также суммы открытых позиций по фьючерсам на нефть марки Brent на Московской фондовой бирже</w:t>
      </w:r>
    </w:p>
    <w:tbl>
      <w:tblPr>
        <w:tblStyle w:val="ae"/>
        <w:tblW w:w="12338" w:type="dxa"/>
        <w:tblInd w:w="1384" w:type="dxa"/>
        <w:tblLayout w:type="fixed"/>
        <w:tblLook w:val="04A0"/>
      </w:tblPr>
      <w:tblGrid>
        <w:gridCol w:w="392"/>
        <w:gridCol w:w="2018"/>
        <w:gridCol w:w="1134"/>
        <w:gridCol w:w="1134"/>
        <w:gridCol w:w="1133"/>
        <w:gridCol w:w="991"/>
        <w:gridCol w:w="1134"/>
        <w:gridCol w:w="1100"/>
        <w:gridCol w:w="1101"/>
        <w:gridCol w:w="1100"/>
        <w:gridCol w:w="1101"/>
      </w:tblGrid>
      <w:tr w:rsidR="00B42A3F" w:rsidRPr="00181C46" w:rsidTr="00B42A3F">
        <w:trPr>
          <w:trHeight w:val="246"/>
        </w:trPr>
        <w:tc>
          <w:tcPr>
            <w:tcW w:w="2410" w:type="dxa"/>
            <w:gridSpan w:val="2"/>
            <w:tcBorders>
              <w:bottom w:val="single" w:sz="4" w:space="0" w:color="auto"/>
            </w:tcBorders>
          </w:tcPr>
          <w:p w:rsidR="00B42A3F" w:rsidRPr="00AC7E1D" w:rsidRDefault="00B42A3F" w:rsidP="00B42A3F">
            <w:pPr>
              <w:ind w:left="142"/>
              <w:jc w:val="center"/>
              <w:rPr>
                <w:rFonts w:ascii="Times" w:hAnsi="Times"/>
                <w:b/>
                <w:sz w:val="22"/>
                <w:szCs w:val="22"/>
              </w:rPr>
            </w:pPr>
            <w:r w:rsidRPr="00AC7E1D">
              <w:rPr>
                <w:rFonts w:ascii="Times" w:hAnsi="Times"/>
                <w:b/>
                <w:sz w:val="22"/>
                <w:szCs w:val="22"/>
              </w:rPr>
              <w:t>Инф. критерий</w:t>
            </w:r>
          </w:p>
        </w:tc>
        <w:tc>
          <w:tcPr>
            <w:tcW w:w="3401" w:type="dxa"/>
            <w:gridSpan w:val="3"/>
            <w:tcBorders>
              <w:bottom w:val="single" w:sz="4" w:space="0" w:color="auto"/>
            </w:tcBorders>
            <w:vAlign w:val="bottom"/>
            <w:hideMark/>
          </w:tcPr>
          <w:p w:rsidR="00B42A3F" w:rsidRPr="00AC7E1D" w:rsidRDefault="00B42A3F" w:rsidP="00B42A3F">
            <w:pPr>
              <w:ind w:left="142"/>
              <w:jc w:val="center"/>
              <w:rPr>
                <w:rFonts w:ascii="Times" w:hAnsi="Times"/>
                <w:b/>
                <w:sz w:val="22"/>
                <w:szCs w:val="22"/>
              </w:rPr>
            </w:pPr>
            <w:r w:rsidRPr="00AC7E1D">
              <w:rPr>
                <w:rFonts w:ascii="Times" w:hAnsi="Times"/>
                <w:b/>
                <w:sz w:val="22"/>
                <w:szCs w:val="22"/>
              </w:rPr>
              <w:t>Акаике</w:t>
            </w:r>
          </w:p>
        </w:tc>
        <w:tc>
          <w:tcPr>
            <w:tcW w:w="3225" w:type="dxa"/>
            <w:gridSpan w:val="3"/>
            <w:tcBorders>
              <w:bottom w:val="single" w:sz="4" w:space="0" w:color="auto"/>
            </w:tcBorders>
            <w:vAlign w:val="bottom"/>
            <w:hideMark/>
          </w:tcPr>
          <w:p w:rsidR="00B42A3F" w:rsidRPr="00AC7E1D" w:rsidRDefault="00B42A3F" w:rsidP="00B42A3F">
            <w:pPr>
              <w:ind w:left="142"/>
              <w:jc w:val="center"/>
              <w:rPr>
                <w:rFonts w:ascii="Times" w:hAnsi="Times"/>
                <w:b/>
                <w:sz w:val="22"/>
                <w:szCs w:val="22"/>
              </w:rPr>
            </w:pPr>
            <w:r w:rsidRPr="00AC7E1D">
              <w:rPr>
                <w:rFonts w:ascii="Times" w:hAnsi="Times"/>
                <w:b/>
                <w:sz w:val="22"/>
                <w:szCs w:val="22"/>
              </w:rPr>
              <w:t>Шварца</w:t>
            </w:r>
          </w:p>
        </w:tc>
        <w:tc>
          <w:tcPr>
            <w:tcW w:w="3302" w:type="dxa"/>
            <w:gridSpan w:val="3"/>
            <w:tcBorders>
              <w:bottom w:val="single" w:sz="4" w:space="0" w:color="auto"/>
            </w:tcBorders>
            <w:vAlign w:val="bottom"/>
            <w:hideMark/>
          </w:tcPr>
          <w:p w:rsidR="00B42A3F" w:rsidRPr="00AC7E1D" w:rsidRDefault="00B42A3F" w:rsidP="00B42A3F">
            <w:pPr>
              <w:ind w:left="142"/>
              <w:jc w:val="center"/>
              <w:rPr>
                <w:rFonts w:ascii="Times" w:hAnsi="Times"/>
                <w:b/>
                <w:sz w:val="22"/>
                <w:szCs w:val="22"/>
              </w:rPr>
            </w:pPr>
            <w:r w:rsidRPr="00AC7E1D">
              <w:rPr>
                <w:rFonts w:ascii="Times" w:hAnsi="Times"/>
                <w:b/>
                <w:sz w:val="22"/>
                <w:szCs w:val="22"/>
              </w:rPr>
              <w:t>Хеннана-Куинна</w:t>
            </w:r>
          </w:p>
        </w:tc>
      </w:tr>
      <w:tr w:rsidR="00B42A3F" w:rsidRPr="00181C46" w:rsidTr="00B42A3F">
        <w:trPr>
          <w:trHeight w:val="214"/>
        </w:trPr>
        <w:tc>
          <w:tcPr>
            <w:tcW w:w="2410" w:type="dxa"/>
            <w:gridSpan w:val="2"/>
            <w:tcBorders>
              <w:bottom w:val="thinThickSmallGap" w:sz="24" w:space="0" w:color="auto"/>
            </w:tcBorders>
          </w:tcPr>
          <w:p w:rsidR="00B42A3F" w:rsidRPr="00AC7E1D" w:rsidRDefault="00B42A3F" w:rsidP="00B42A3F">
            <w:pPr>
              <w:ind w:left="142"/>
              <w:jc w:val="center"/>
              <w:rPr>
                <w:rFonts w:ascii="Times" w:hAnsi="Times"/>
                <w:b/>
                <w:sz w:val="22"/>
                <w:szCs w:val="22"/>
              </w:rPr>
            </w:pPr>
            <w:r w:rsidRPr="00AC7E1D">
              <w:rPr>
                <w:rFonts w:ascii="Times" w:hAnsi="Times"/>
                <w:b/>
                <w:sz w:val="22"/>
                <w:szCs w:val="22"/>
              </w:rPr>
              <w:t>Колич. лагов</w:t>
            </w:r>
          </w:p>
        </w:tc>
        <w:tc>
          <w:tcPr>
            <w:tcW w:w="1134" w:type="dxa"/>
            <w:tcBorders>
              <w:bottom w:val="thinThickSmallGap" w:sz="24" w:space="0" w:color="auto"/>
            </w:tcBorders>
            <w:vAlign w:val="bottom"/>
          </w:tcPr>
          <w:p w:rsidR="00B42A3F" w:rsidRPr="00AC7E1D" w:rsidRDefault="00B42A3F" w:rsidP="00B42A3F">
            <w:pPr>
              <w:ind w:left="142"/>
              <w:jc w:val="center"/>
              <w:rPr>
                <w:rFonts w:ascii="Times" w:hAnsi="Times"/>
                <w:b/>
                <w:sz w:val="22"/>
                <w:szCs w:val="22"/>
              </w:rPr>
            </w:pPr>
            <w:r w:rsidRPr="00AC7E1D">
              <w:rPr>
                <w:rFonts w:ascii="Times" w:hAnsi="Times"/>
                <w:b/>
                <w:sz w:val="22"/>
                <w:szCs w:val="22"/>
              </w:rPr>
              <w:t>0</w:t>
            </w:r>
          </w:p>
        </w:tc>
        <w:tc>
          <w:tcPr>
            <w:tcW w:w="1134" w:type="dxa"/>
            <w:tcBorders>
              <w:bottom w:val="thinThickSmallGap" w:sz="24" w:space="0" w:color="auto"/>
            </w:tcBorders>
            <w:vAlign w:val="bottom"/>
          </w:tcPr>
          <w:p w:rsidR="00B42A3F" w:rsidRPr="00AC7E1D" w:rsidRDefault="00B42A3F" w:rsidP="00B42A3F">
            <w:pPr>
              <w:ind w:left="142"/>
              <w:jc w:val="center"/>
              <w:rPr>
                <w:rFonts w:ascii="Times" w:hAnsi="Times"/>
                <w:b/>
                <w:sz w:val="22"/>
                <w:szCs w:val="22"/>
              </w:rPr>
            </w:pPr>
            <w:r w:rsidRPr="00AC7E1D">
              <w:rPr>
                <w:rFonts w:ascii="Times" w:hAnsi="Times"/>
                <w:b/>
                <w:sz w:val="22"/>
                <w:szCs w:val="22"/>
              </w:rPr>
              <w:t>1</w:t>
            </w:r>
          </w:p>
        </w:tc>
        <w:tc>
          <w:tcPr>
            <w:tcW w:w="1133" w:type="dxa"/>
            <w:tcBorders>
              <w:bottom w:val="thinThickSmallGap" w:sz="24" w:space="0" w:color="auto"/>
            </w:tcBorders>
            <w:vAlign w:val="bottom"/>
          </w:tcPr>
          <w:p w:rsidR="00B42A3F" w:rsidRPr="00AC7E1D" w:rsidRDefault="00B42A3F" w:rsidP="00B42A3F">
            <w:pPr>
              <w:ind w:left="142"/>
              <w:jc w:val="center"/>
              <w:rPr>
                <w:rFonts w:ascii="Times" w:hAnsi="Times"/>
                <w:b/>
                <w:sz w:val="22"/>
                <w:szCs w:val="22"/>
              </w:rPr>
            </w:pPr>
            <w:r w:rsidRPr="00AC7E1D">
              <w:rPr>
                <w:rFonts w:ascii="Times" w:hAnsi="Times"/>
                <w:b/>
                <w:sz w:val="22"/>
                <w:szCs w:val="22"/>
              </w:rPr>
              <w:t>2</w:t>
            </w:r>
          </w:p>
        </w:tc>
        <w:tc>
          <w:tcPr>
            <w:tcW w:w="991" w:type="dxa"/>
            <w:tcBorders>
              <w:bottom w:val="thinThickSmallGap" w:sz="24" w:space="0" w:color="auto"/>
            </w:tcBorders>
            <w:vAlign w:val="bottom"/>
          </w:tcPr>
          <w:p w:rsidR="00B42A3F" w:rsidRPr="00AC7E1D" w:rsidRDefault="00B42A3F" w:rsidP="00B42A3F">
            <w:pPr>
              <w:ind w:left="142"/>
              <w:jc w:val="center"/>
              <w:rPr>
                <w:rFonts w:ascii="Times" w:hAnsi="Times"/>
                <w:b/>
                <w:sz w:val="22"/>
                <w:szCs w:val="22"/>
              </w:rPr>
            </w:pPr>
            <w:r w:rsidRPr="00AC7E1D">
              <w:rPr>
                <w:rFonts w:ascii="Times" w:hAnsi="Times"/>
                <w:b/>
                <w:sz w:val="22"/>
                <w:szCs w:val="22"/>
              </w:rPr>
              <w:t>0</w:t>
            </w:r>
          </w:p>
        </w:tc>
        <w:tc>
          <w:tcPr>
            <w:tcW w:w="1134" w:type="dxa"/>
            <w:tcBorders>
              <w:bottom w:val="thinThickSmallGap" w:sz="24" w:space="0" w:color="auto"/>
            </w:tcBorders>
            <w:vAlign w:val="bottom"/>
          </w:tcPr>
          <w:p w:rsidR="00B42A3F" w:rsidRPr="00AC7E1D" w:rsidRDefault="00B42A3F" w:rsidP="00B42A3F">
            <w:pPr>
              <w:ind w:left="142"/>
              <w:jc w:val="center"/>
              <w:rPr>
                <w:rFonts w:ascii="Times" w:hAnsi="Times"/>
                <w:b/>
                <w:sz w:val="22"/>
                <w:szCs w:val="22"/>
              </w:rPr>
            </w:pPr>
            <w:r w:rsidRPr="00AC7E1D">
              <w:rPr>
                <w:rFonts w:ascii="Times" w:hAnsi="Times"/>
                <w:b/>
                <w:sz w:val="22"/>
                <w:szCs w:val="22"/>
              </w:rPr>
              <w:t>1</w:t>
            </w:r>
          </w:p>
        </w:tc>
        <w:tc>
          <w:tcPr>
            <w:tcW w:w="1100" w:type="dxa"/>
            <w:tcBorders>
              <w:bottom w:val="thinThickSmallGap" w:sz="24" w:space="0" w:color="auto"/>
            </w:tcBorders>
            <w:vAlign w:val="bottom"/>
          </w:tcPr>
          <w:p w:rsidR="00B42A3F" w:rsidRPr="00AC7E1D" w:rsidRDefault="00B42A3F" w:rsidP="00B42A3F">
            <w:pPr>
              <w:ind w:left="142"/>
              <w:jc w:val="center"/>
              <w:rPr>
                <w:rFonts w:ascii="Times" w:hAnsi="Times"/>
                <w:b/>
                <w:sz w:val="22"/>
                <w:szCs w:val="22"/>
              </w:rPr>
            </w:pPr>
            <w:r w:rsidRPr="00AC7E1D">
              <w:rPr>
                <w:rFonts w:ascii="Times" w:hAnsi="Times"/>
                <w:b/>
                <w:sz w:val="22"/>
                <w:szCs w:val="22"/>
              </w:rPr>
              <w:t>2</w:t>
            </w:r>
          </w:p>
        </w:tc>
        <w:tc>
          <w:tcPr>
            <w:tcW w:w="1101" w:type="dxa"/>
            <w:tcBorders>
              <w:bottom w:val="thinThickSmallGap" w:sz="24" w:space="0" w:color="auto"/>
            </w:tcBorders>
            <w:vAlign w:val="bottom"/>
          </w:tcPr>
          <w:p w:rsidR="00B42A3F" w:rsidRPr="00AC7E1D" w:rsidRDefault="00B42A3F" w:rsidP="00B42A3F">
            <w:pPr>
              <w:ind w:left="142"/>
              <w:jc w:val="center"/>
              <w:rPr>
                <w:rFonts w:ascii="Times" w:hAnsi="Times"/>
                <w:b/>
                <w:sz w:val="22"/>
                <w:szCs w:val="22"/>
              </w:rPr>
            </w:pPr>
            <w:r w:rsidRPr="00AC7E1D">
              <w:rPr>
                <w:rFonts w:ascii="Times" w:hAnsi="Times"/>
                <w:b/>
                <w:sz w:val="22"/>
                <w:szCs w:val="22"/>
              </w:rPr>
              <w:t>0</w:t>
            </w:r>
          </w:p>
        </w:tc>
        <w:tc>
          <w:tcPr>
            <w:tcW w:w="1100" w:type="dxa"/>
            <w:tcBorders>
              <w:bottom w:val="thinThickSmallGap" w:sz="24" w:space="0" w:color="auto"/>
            </w:tcBorders>
            <w:vAlign w:val="bottom"/>
          </w:tcPr>
          <w:p w:rsidR="00B42A3F" w:rsidRPr="00AC7E1D" w:rsidRDefault="00B42A3F" w:rsidP="00B42A3F">
            <w:pPr>
              <w:ind w:left="142"/>
              <w:jc w:val="center"/>
              <w:rPr>
                <w:rFonts w:ascii="Times" w:hAnsi="Times"/>
                <w:b/>
                <w:sz w:val="22"/>
                <w:szCs w:val="22"/>
              </w:rPr>
            </w:pPr>
            <w:r w:rsidRPr="00AC7E1D">
              <w:rPr>
                <w:rFonts w:ascii="Times" w:hAnsi="Times"/>
                <w:b/>
                <w:sz w:val="22"/>
                <w:szCs w:val="22"/>
              </w:rPr>
              <w:t>1</w:t>
            </w:r>
          </w:p>
        </w:tc>
        <w:tc>
          <w:tcPr>
            <w:tcW w:w="1101" w:type="dxa"/>
            <w:tcBorders>
              <w:bottom w:val="thinThickSmallGap" w:sz="24" w:space="0" w:color="auto"/>
            </w:tcBorders>
            <w:vAlign w:val="bottom"/>
          </w:tcPr>
          <w:p w:rsidR="00B42A3F" w:rsidRPr="00AC7E1D" w:rsidRDefault="00B42A3F" w:rsidP="00B42A3F">
            <w:pPr>
              <w:ind w:left="142"/>
              <w:jc w:val="center"/>
              <w:rPr>
                <w:rFonts w:ascii="Times" w:hAnsi="Times"/>
                <w:b/>
                <w:sz w:val="22"/>
                <w:szCs w:val="22"/>
              </w:rPr>
            </w:pPr>
            <w:r w:rsidRPr="00AC7E1D">
              <w:rPr>
                <w:rFonts w:ascii="Times" w:hAnsi="Times"/>
                <w:b/>
                <w:sz w:val="22"/>
                <w:szCs w:val="22"/>
              </w:rPr>
              <w:t>2</w:t>
            </w:r>
          </w:p>
        </w:tc>
      </w:tr>
      <w:tr w:rsidR="00B42A3F" w:rsidRPr="00181C46" w:rsidTr="00B42A3F">
        <w:trPr>
          <w:trHeight w:val="320"/>
        </w:trPr>
        <w:tc>
          <w:tcPr>
            <w:tcW w:w="392" w:type="dxa"/>
            <w:vMerge w:val="restart"/>
            <w:tcBorders>
              <w:top w:val="thinThickSmallGap" w:sz="24" w:space="0" w:color="auto"/>
            </w:tcBorders>
            <w:textDirection w:val="btLr"/>
            <w:vAlign w:val="center"/>
          </w:tcPr>
          <w:p w:rsidR="00B42A3F" w:rsidRPr="00877D7D" w:rsidRDefault="00B42A3F" w:rsidP="00B42A3F">
            <w:pPr>
              <w:ind w:left="142"/>
              <w:jc w:val="center"/>
              <w:rPr>
                <w:rFonts w:ascii="Times" w:hAnsi="Times"/>
                <w:b/>
                <w:sz w:val="22"/>
                <w:szCs w:val="22"/>
              </w:rPr>
            </w:pPr>
            <w:r w:rsidRPr="00877D7D">
              <w:rPr>
                <w:rFonts w:ascii="Times" w:hAnsi="Times"/>
                <w:b/>
                <w:sz w:val="22"/>
                <w:szCs w:val="22"/>
              </w:rPr>
              <w:t>2010-2011</w:t>
            </w:r>
          </w:p>
        </w:tc>
        <w:tc>
          <w:tcPr>
            <w:tcW w:w="2018" w:type="dxa"/>
            <w:tcBorders>
              <w:top w:val="thinThickSmallGap" w:sz="24" w:space="0" w:color="auto"/>
            </w:tcBorders>
          </w:tcPr>
          <w:p w:rsidR="00B42A3F" w:rsidRPr="00181C46" w:rsidRDefault="00B42A3F" w:rsidP="00B42A3F">
            <w:pPr>
              <w:ind w:left="142"/>
              <w:jc w:val="both"/>
              <w:rPr>
                <w:rFonts w:ascii="Times" w:hAnsi="Times"/>
                <w:sz w:val="22"/>
                <w:szCs w:val="22"/>
              </w:rPr>
            </w:pPr>
            <w:r w:rsidRPr="00181C46">
              <w:rPr>
                <w:rFonts w:ascii="Times" w:hAnsi="Times"/>
                <w:sz w:val="22"/>
                <w:szCs w:val="22"/>
              </w:rPr>
              <w:t>corporate_</w:t>
            </w:r>
          </w:p>
          <w:p w:rsidR="00B42A3F" w:rsidRPr="00181C46" w:rsidRDefault="00B42A3F" w:rsidP="00B42A3F">
            <w:pPr>
              <w:ind w:left="142"/>
              <w:jc w:val="both"/>
              <w:rPr>
                <w:rFonts w:ascii="Times" w:hAnsi="Times"/>
                <w:sz w:val="22"/>
                <w:szCs w:val="22"/>
              </w:rPr>
            </w:pPr>
            <w:r w:rsidRPr="00181C46">
              <w:rPr>
                <w:rFonts w:ascii="Times" w:hAnsi="Times"/>
                <w:sz w:val="22"/>
                <w:szCs w:val="22"/>
              </w:rPr>
              <w:t>return</w:t>
            </w:r>
          </w:p>
        </w:tc>
        <w:tc>
          <w:tcPr>
            <w:tcW w:w="1134" w:type="dxa"/>
            <w:tcBorders>
              <w:top w:val="thinThickSmallGap" w:sz="2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-22.88</w:t>
            </w:r>
          </w:p>
        </w:tc>
        <w:tc>
          <w:tcPr>
            <w:tcW w:w="1134" w:type="dxa"/>
            <w:tcBorders>
              <w:top w:val="thinThickSmallGap" w:sz="2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c>
          <w:tcPr>
            <w:tcW w:w="1133" w:type="dxa"/>
            <w:tcBorders>
              <w:top w:val="thinThickSmallGap" w:sz="2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c>
          <w:tcPr>
            <w:tcW w:w="991" w:type="dxa"/>
            <w:tcBorders>
              <w:top w:val="thinThickSmallGap" w:sz="2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-22.87</w:t>
            </w:r>
          </w:p>
        </w:tc>
        <w:tc>
          <w:tcPr>
            <w:tcW w:w="1134" w:type="dxa"/>
            <w:tcBorders>
              <w:top w:val="thinThickSmallGap" w:sz="2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c>
          <w:tcPr>
            <w:tcW w:w="1100" w:type="dxa"/>
            <w:tcBorders>
              <w:top w:val="thinThickSmallGap" w:sz="2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c>
          <w:tcPr>
            <w:tcW w:w="1101" w:type="dxa"/>
            <w:tcBorders>
              <w:top w:val="thinThickSmallGap" w:sz="2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Pr>
                <w:rFonts w:ascii="Times" w:hAnsi="Times"/>
                <w:sz w:val="22"/>
                <w:szCs w:val="22"/>
              </w:rPr>
              <w:t>-22.88</w:t>
            </w:r>
          </w:p>
        </w:tc>
        <w:tc>
          <w:tcPr>
            <w:tcW w:w="1100" w:type="dxa"/>
            <w:tcBorders>
              <w:top w:val="thinThickSmallGap" w:sz="2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c>
          <w:tcPr>
            <w:tcW w:w="1101" w:type="dxa"/>
            <w:tcBorders>
              <w:top w:val="thinThickSmallGap" w:sz="2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r>
      <w:tr w:rsidR="00B42A3F" w:rsidRPr="00181C46" w:rsidTr="00B42A3F">
        <w:trPr>
          <w:trHeight w:val="320"/>
        </w:trPr>
        <w:tc>
          <w:tcPr>
            <w:tcW w:w="392" w:type="dxa"/>
            <w:vMerge/>
          </w:tcPr>
          <w:p w:rsidR="00B42A3F" w:rsidRPr="00181C46" w:rsidRDefault="00B42A3F" w:rsidP="00B42A3F">
            <w:pPr>
              <w:ind w:left="142"/>
              <w:jc w:val="both"/>
              <w:rPr>
                <w:rFonts w:ascii="Times" w:hAnsi="Times"/>
                <w:sz w:val="22"/>
                <w:szCs w:val="22"/>
              </w:rPr>
            </w:pPr>
          </w:p>
        </w:tc>
        <w:tc>
          <w:tcPr>
            <w:tcW w:w="2018" w:type="dxa"/>
            <w:tcBorders>
              <w:top w:val="single" w:sz="4" w:space="0" w:color="auto"/>
            </w:tcBorders>
          </w:tcPr>
          <w:p w:rsidR="00B42A3F" w:rsidRPr="00181C46" w:rsidRDefault="00B42A3F" w:rsidP="00B42A3F">
            <w:pPr>
              <w:ind w:left="142"/>
              <w:jc w:val="both"/>
              <w:rPr>
                <w:rFonts w:ascii="Times" w:hAnsi="Times"/>
                <w:sz w:val="22"/>
                <w:szCs w:val="22"/>
              </w:rPr>
            </w:pPr>
            <w:r w:rsidRPr="00181C46">
              <w:rPr>
                <w:rFonts w:ascii="Times" w:hAnsi="Times"/>
                <w:sz w:val="22"/>
                <w:szCs w:val="22"/>
              </w:rPr>
              <w:t>Dcorporate_return (1 разности)</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 -21.94</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 -94.14</w:t>
            </w:r>
          </w:p>
        </w:tc>
        <w:tc>
          <w:tcPr>
            <w:tcW w:w="1133"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 -94.17</w:t>
            </w:r>
          </w:p>
        </w:tc>
        <w:tc>
          <w:tcPr>
            <w:tcW w:w="99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 -21.92</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 -94.09</w:t>
            </w:r>
          </w:p>
        </w:tc>
        <w:tc>
          <w:tcPr>
            <w:tcW w:w="1100"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 -94.1</w:t>
            </w:r>
          </w:p>
        </w:tc>
        <w:tc>
          <w:tcPr>
            <w:tcW w:w="110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 -21.93</w:t>
            </w:r>
          </w:p>
        </w:tc>
        <w:tc>
          <w:tcPr>
            <w:tcW w:w="1100"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 -94.12</w:t>
            </w:r>
          </w:p>
        </w:tc>
        <w:tc>
          <w:tcPr>
            <w:tcW w:w="1101"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 -94.14</w:t>
            </w:r>
          </w:p>
        </w:tc>
      </w:tr>
      <w:tr w:rsidR="00B42A3F" w:rsidRPr="00181C46" w:rsidTr="00B42A3F">
        <w:trPr>
          <w:trHeight w:val="320"/>
        </w:trPr>
        <w:tc>
          <w:tcPr>
            <w:tcW w:w="392" w:type="dxa"/>
            <w:vMerge/>
          </w:tcPr>
          <w:p w:rsidR="00B42A3F" w:rsidRPr="00181C46" w:rsidRDefault="00B42A3F" w:rsidP="00B42A3F">
            <w:pPr>
              <w:ind w:left="142"/>
              <w:jc w:val="both"/>
              <w:rPr>
                <w:rFonts w:ascii="Times" w:hAnsi="Times"/>
                <w:sz w:val="22"/>
                <w:szCs w:val="22"/>
              </w:rPr>
            </w:pPr>
          </w:p>
        </w:tc>
        <w:tc>
          <w:tcPr>
            <w:tcW w:w="2018" w:type="dxa"/>
            <w:tcBorders>
              <w:top w:val="single" w:sz="4" w:space="0" w:color="auto"/>
            </w:tcBorders>
          </w:tcPr>
          <w:p w:rsidR="00B42A3F" w:rsidRPr="00181C46" w:rsidRDefault="00B42A3F" w:rsidP="00B42A3F">
            <w:pPr>
              <w:ind w:left="142"/>
              <w:jc w:val="both"/>
              <w:rPr>
                <w:rFonts w:ascii="Times" w:hAnsi="Times"/>
                <w:sz w:val="22"/>
                <w:szCs w:val="22"/>
              </w:rPr>
            </w:pPr>
            <w:r w:rsidRPr="00181C46">
              <w:rPr>
                <w:rFonts w:ascii="Times" w:hAnsi="Times"/>
                <w:sz w:val="22"/>
                <w:szCs w:val="22"/>
              </w:rPr>
              <w:t>volumes</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47.57</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46.57</w:t>
            </w:r>
          </w:p>
        </w:tc>
        <w:tc>
          <w:tcPr>
            <w:tcW w:w="1133"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9.53</w:t>
            </w:r>
          </w:p>
        </w:tc>
        <w:tc>
          <w:tcPr>
            <w:tcW w:w="99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47.59</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46.61</w:t>
            </w:r>
          </w:p>
        </w:tc>
        <w:tc>
          <w:tcPr>
            <w:tcW w:w="1100"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9.62</w:t>
            </w:r>
          </w:p>
        </w:tc>
        <w:tc>
          <w:tcPr>
            <w:tcW w:w="110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47.58</w:t>
            </w:r>
          </w:p>
        </w:tc>
        <w:tc>
          <w:tcPr>
            <w:tcW w:w="1100"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46.58</w:t>
            </w:r>
          </w:p>
        </w:tc>
        <w:tc>
          <w:tcPr>
            <w:tcW w:w="110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9.57</w:t>
            </w:r>
          </w:p>
        </w:tc>
      </w:tr>
      <w:tr w:rsidR="00B42A3F" w:rsidRPr="00181C46" w:rsidTr="00B42A3F">
        <w:trPr>
          <w:trHeight w:val="320"/>
        </w:trPr>
        <w:tc>
          <w:tcPr>
            <w:tcW w:w="392" w:type="dxa"/>
            <w:vMerge/>
          </w:tcPr>
          <w:p w:rsidR="00B42A3F" w:rsidRPr="00181C46" w:rsidRDefault="00B42A3F" w:rsidP="00B42A3F">
            <w:pPr>
              <w:ind w:left="142"/>
              <w:jc w:val="both"/>
              <w:rPr>
                <w:rFonts w:ascii="Times" w:hAnsi="Times"/>
                <w:sz w:val="22"/>
                <w:szCs w:val="22"/>
              </w:rPr>
            </w:pPr>
          </w:p>
        </w:tc>
        <w:tc>
          <w:tcPr>
            <w:tcW w:w="2018" w:type="dxa"/>
            <w:tcBorders>
              <w:top w:val="single" w:sz="4" w:space="0" w:color="auto"/>
            </w:tcBorders>
          </w:tcPr>
          <w:p w:rsidR="00B42A3F" w:rsidRPr="00181C46" w:rsidRDefault="00B42A3F" w:rsidP="00B42A3F">
            <w:pPr>
              <w:ind w:left="142"/>
              <w:jc w:val="both"/>
              <w:rPr>
                <w:rFonts w:ascii="Times" w:hAnsi="Times"/>
                <w:sz w:val="22"/>
                <w:szCs w:val="22"/>
              </w:rPr>
            </w:pPr>
            <w:r w:rsidRPr="00181C46">
              <w:rPr>
                <w:rFonts w:ascii="Times" w:hAnsi="Times"/>
                <w:sz w:val="22"/>
                <w:szCs w:val="22"/>
              </w:rPr>
              <w:t>Dvolumes</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47.18</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-24.99</w:t>
            </w:r>
          </w:p>
        </w:tc>
        <w:tc>
          <w:tcPr>
            <w:tcW w:w="1133"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-25.09</w:t>
            </w:r>
          </w:p>
        </w:tc>
        <w:tc>
          <w:tcPr>
            <w:tcW w:w="991"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47.2</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-24.94</w:t>
            </w:r>
          </w:p>
        </w:tc>
        <w:tc>
          <w:tcPr>
            <w:tcW w:w="1100"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-25.02</w:t>
            </w:r>
          </w:p>
        </w:tc>
        <w:tc>
          <w:tcPr>
            <w:tcW w:w="1101"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47.19</w:t>
            </w:r>
          </w:p>
        </w:tc>
        <w:tc>
          <w:tcPr>
            <w:tcW w:w="1100"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-24.97</w:t>
            </w:r>
          </w:p>
        </w:tc>
        <w:tc>
          <w:tcPr>
            <w:tcW w:w="1101"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-25.06</w:t>
            </w:r>
          </w:p>
        </w:tc>
      </w:tr>
      <w:tr w:rsidR="00B42A3F" w:rsidRPr="00181C46" w:rsidTr="00B42A3F">
        <w:trPr>
          <w:trHeight w:val="320"/>
        </w:trPr>
        <w:tc>
          <w:tcPr>
            <w:tcW w:w="392" w:type="dxa"/>
            <w:vMerge/>
          </w:tcPr>
          <w:p w:rsidR="00B42A3F" w:rsidRPr="00181C46" w:rsidRDefault="00B42A3F" w:rsidP="00B42A3F">
            <w:pPr>
              <w:ind w:left="142"/>
              <w:jc w:val="both"/>
              <w:rPr>
                <w:rFonts w:ascii="Times" w:hAnsi="Times"/>
                <w:sz w:val="22"/>
                <w:szCs w:val="22"/>
              </w:rPr>
            </w:pPr>
          </w:p>
        </w:tc>
        <w:tc>
          <w:tcPr>
            <w:tcW w:w="2018" w:type="dxa"/>
            <w:tcBorders>
              <w:top w:val="single" w:sz="4" w:space="0" w:color="auto"/>
            </w:tcBorders>
          </w:tcPr>
          <w:p w:rsidR="00B42A3F" w:rsidRPr="00181C46" w:rsidRDefault="00B42A3F" w:rsidP="00B42A3F">
            <w:pPr>
              <w:ind w:left="142"/>
              <w:jc w:val="both"/>
              <w:rPr>
                <w:rFonts w:ascii="Times" w:hAnsi="Times"/>
                <w:sz w:val="22"/>
                <w:szCs w:val="22"/>
              </w:rPr>
            </w:pPr>
            <w:r w:rsidRPr="00181C46">
              <w:rPr>
                <w:rFonts w:ascii="Times" w:hAnsi="Times"/>
                <w:sz w:val="22"/>
                <w:szCs w:val="22"/>
              </w:rPr>
              <w:t>open</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51.6</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-20.48</w:t>
            </w:r>
          </w:p>
        </w:tc>
        <w:tc>
          <w:tcPr>
            <w:tcW w:w="1133"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-20.47</w:t>
            </w:r>
          </w:p>
        </w:tc>
        <w:tc>
          <w:tcPr>
            <w:tcW w:w="991"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51.62</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-20.43</w:t>
            </w:r>
          </w:p>
        </w:tc>
        <w:tc>
          <w:tcPr>
            <w:tcW w:w="1100"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-20.4</w:t>
            </w:r>
          </w:p>
        </w:tc>
        <w:tc>
          <w:tcPr>
            <w:tcW w:w="1101"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51.61</w:t>
            </w:r>
          </w:p>
        </w:tc>
        <w:tc>
          <w:tcPr>
            <w:tcW w:w="1100"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-20.46</w:t>
            </w:r>
          </w:p>
        </w:tc>
        <w:tc>
          <w:tcPr>
            <w:tcW w:w="1101"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-20.44</w:t>
            </w:r>
          </w:p>
        </w:tc>
      </w:tr>
      <w:tr w:rsidR="00B42A3F" w:rsidRPr="00181C46" w:rsidTr="00B42A3F">
        <w:trPr>
          <w:trHeight w:val="320"/>
        </w:trPr>
        <w:tc>
          <w:tcPr>
            <w:tcW w:w="392" w:type="dxa"/>
            <w:vMerge/>
          </w:tcPr>
          <w:p w:rsidR="00B42A3F" w:rsidRPr="00181C46" w:rsidRDefault="00B42A3F" w:rsidP="00B42A3F">
            <w:pPr>
              <w:ind w:left="142"/>
              <w:jc w:val="both"/>
              <w:rPr>
                <w:rFonts w:ascii="Times" w:hAnsi="Times"/>
                <w:sz w:val="22"/>
                <w:szCs w:val="22"/>
              </w:rPr>
            </w:pPr>
          </w:p>
        </w:tc>
        <w:tc>
          <w:tcPr>
            <w:tcW w:w="2018" w:type="dxa"/>
            <w:tcBorders>
              <w:top w:val="single" w:sz="4" w:space="0" w:color="auto"/>
            </w:tcBorders>
          </w:tcPr>
          <w:p w:rsidR="00B42A3F" w:rsidRPr="00181C46" w:rsidRDefault="00B42A3F" w:rsidP="00B42A3F">
            <w:pPr>
              <w:ind w:left="142"/>
              <w:jc w:val="both"/>
              <w:rPr>
                <w:rFonts w:ascii="Times" w:hAnsi="Times"/>
                <w:sz w:val="22"/>
                <w:szCs w:val="22"/>
              </w:rPr>
            </w:pPr>
            <w:r w:rsidRPr="00181C46">
              <w:rPr>
                <w:rFonts w:ascii="Times" w:hAnsi="Times"/>
                <w:sz w:val="22"/>
                <w:szCs w:val="22"/>
              </w:rPr>
              <w:t>Dopen</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52.57</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-19.53</w:t>
            </w:r>
          </w:p>
        </w:tc>
        <w:tc>
          <w:tcPr>
            <w:tcW w:w="1133"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-20.15</w:t>
            </w:r>
          </w:p>
        </w:tc>
        <w:tc>
          <w:tcPr>
            <w:tcW w:w="99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52.59</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-19.49</w:t>
            </w:r>
          </w:p>
        </w:tc>
        <w:tc>
          <w:tcPr>
            <w:tcW w:w="1100"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-20.09</w:t>
            </w:r>
          </w:p>
        </w:tc>
        <w:tc>
          <w:tcPr>
            <w:tcW w:w="110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52.58</w:t>
            </w:r>
          </w:p>
        </w:tc>
        <w:tc>
          <w:tcPr>
            <w:tcW w:w="1100"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-19.52</w:t>
            </w:r>
          </w:p>
        </w:tc>
        <w:tc>
          <w:tcPr>
            <w:tcW w:w="110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-20.13</w:t>
            </w:r>
          </w:p>
        </w:tc>
      </w:tr>
      <w:tr w:rsidR="00B42A3F" w:rsidRPr="00181C46" w:rsidTr="00B42A3F">
        <w:trPr>
          <w:trHeight w:val="320"/>
        </w:trPr>
        <w:tc>
          <w:tcPr>
            <w:tcW w:w="392" w:type="dxa"/>
            <w:vMerge/>
          </w:tcPr>
          <w:p w:rsidR="00B42A3F" w:rsidRPr="00181C46" w:rsidRDefault="00B42A3F" w:rsidP="00B42A3F">
            <w:pPr>
              <w:ind w:left="142"/>
              <w:jc w:val="both"/>
              <w:rPr>
                <w:rFonts w:ascii="Times" w:hAnsi="Times"/>
                <w:sz w:val="22"/>
                <w:szCs w:val="22"/>
              </w:rPr>
            </w:pPr>
          </w:p>
        </w:tc>
        <w:tc>
          <w:tcPr>
            <w:tcW w:w="2018" w:type="dxa"/>
            <w:tcBorders>
              <w:top w:val="single" w:sz="4" w:space="0" w:color="auto"/>
            </w:tcBorders>
          </w:tcPr>
          <w:p w:rsidR="00B42A3F" w:rsidRPr="00181C46" w:rsidRDefault="00B42A3F" w:rsidP="00B42A3F">
            <w:pPr>
              <w:ind w:left="142"/>
              <w:jc w:val="both"/>
              <w:rPr>
                <w:rFonts w:ascii="Times" w:hAnsi="Times"/>
                <w:sz w:val="22"/>
                <w:szCs w:val="22"/>
              </w:rPr>
            </w:pPr>
            <w:r w:rsidRPr="00181C46">
              <w:rPr>
                <w:rFonts w:ascii="Times" w:hAnsi="Times"/>
                <w:sz w:val="22"/>
                <w:szCs w:val="22"/>
              </w:rPr>
              <w:t>interest</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-.007</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c>
          <w:tcPr>
            <w:tcW w:w="1133"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c>
          <w:tcPr>
            <w:tcW w:w="99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.01</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c>
          <w:tcPr>
            <w:tcW w:w="1100"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c>
          <w:tcPr>
            <w:tcW w:w="110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-.0002</w:t>
            </w:r>
          </w:p>
        </w:tc>
        <w:tc>
          <w:tcPr>
            <w:tcW w:w="1100"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c>
          <w:tcPr>
            <w:tcW w:w="110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w:t>
            </w:r>
          </w:p>
        </w:tc>
      </w:tr>
      <w:tr w:rsidR="00B42A3F" w:rsidRPr="00181C46" w:rsidTr="00B42A3F">
        <w:trPr>
          <w:trHeight w:val="320"/>
        </w:trPr>
        <w:tc>
          <w:tcPr>
            <w:tcW w:w="392" w:type="dxa"/>
            <w:vMerge/>
          </w:tcPr>
          <w:p w:rsidR="00B42A3F" w:rsidRPr="00181C46" w:rsidRDefault="00B42A3F" w:rsidP="00B42A3F">
            <w:pPr>
              <w:ind w:left="142"/>
              <w:jc w:val="both"/>
              <w:rPr>
                <w:rFonts w:ascii="Times" w:hAnsi="Times"/>
                <w:sz w:val="22"/>
                <w:szCs w:val="22"/>
              </w:rPr>
            </w:pPr>
          </w:p>
        </w:tc>
        <w:tc>
          <w:tcPr>
            <w:tcW w:w="2018" w:type="dxa"/>
            <w:tcBorders>
              <w:top w:val="single" w:sz="4" w:space="0" w:color="auto"/>
            </w:tcBorders>
          </w:tcPr>
          <w:p w:rsidR="00B42A3F" w:rsidRPr="00181C46" w:rsidRDefault="00B42A3F" w:rsidP="00B42A3F">
            <w:pPr>
              <w:ind w:left="142"/>
              <w:jc w:val="both"/>
              <w:rPr>
                <w:rFonts w:ascii="Times" w:hAnsi="Times"/>
                <w:sz w:val="22"/>
                <w:szCs w:val="22"/>
              </w:rPr>
            </w:pPr>
            <w:r w:rsidRPr="00181C46">
              <w:rPr>
                <w:rFonts w:ascii="Times" w:hAnsi="Times"/>
                <w:sz w:val="22"/>
                <w:szCs w:val="22"/>
              </w:rPr>
              <w:t>Dinterest</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-5.87</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-80.5</w:t>
            </w:r>
          </w:p>
        </w:tc>
        <w:tc>
          <w:tcPr>
            <w:tcW w:w="1133"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-80.45</w:t>
            </w:r>
          </w:p>
        </w:tc>
        <w:tc>
          <w:tcPr>
            <w:tcW w:w="991"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-5.86</w:t>
            </w:r>
          </w:p>
        </w:tc>
        <w:tc>
          <w:tcPr>
            <w:tcW w:w="1134"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-80.45</w:t>
            </w:r>
          </w:p>
        </w:tc>
        <w:tc>
          <w:tcPr>
            <w:tcW w:w="1100"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-80.39</w:t>
            </w:r>
          </w:p>
        </w:tc>
        <w:tc>
          <w:tcPr>
            <w:tcW w:w="1101"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-5.87</w:t>
            </w:r>
          </w:p>
        </w:tc>
        <w:tc>
          <w:tcPr>
            <w:tcW w:w="1100"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-80.48</w:t>
            </w:r>
          </w:p>
        </w:tc>
        <w:tc>
          <w:tcPr>
            <w:tcW w:w="1101" w:type="dxa"/>
            <w:tcBorders>
              <w:top w:val="single" w:sz="4" w:space="0" w:color="auto"/>
            </w:tcBorders>
            <w:shd w:val="clear" w:color="auto" w:fill="D9D9D9" w:themeFill="background1" w:themeFillShade="D9"/>
          </w:tcPr>
          <w:p w:rsidR="00B42A3F" w:rsidRPr="00181C46" w:rsidRDefault="00B42A3F" w:rsidP="00B42A3F">
            <w:pPr>
              <w:ind w:left="142"/>
              <w:jc w:val="both"/>
              <w:rPr>
                <w:rFonts w:ascii="Times" w:hAnsi="Times"/>
                <w:sz w:val="22"/>
                <w:szCs w:val="22"/>
              </w:rPr>
            </w:pPr>
            <w:r w:rsidRPr="00181C46">
              <w:rPr>
                <w:rFonts w:ascii="Times" w:hAnsi="Times"/>
                <w:sz w:val="22"/>
                <w:szCs w:val="22"/>
              </w:rPr>
              <w:t>-80.43</w:t>
            </w:r>
          </w:p>
        </w:tc>
      </w:tr>
      <w:tr w:rsidR="00B42A3F" w:rsidRPr="00181C46" w:rsidTr="00B42A3F">
        <w:trPr>
          <w:trHeight w:val="320"/>
        </w:trPr>
        <w:tc>
          <w:tcPr>
            <w:tcW w:w="392" w:type="dxa"/>
            <w:vMerge/>
          </w:tcPr>
          <w:p w:rsidR="00B42A3F" w:rsidRPr="00181C46" w:rsidRDefault="00B42A3F" w:rsidP="00B42A3F">
            <w:pPr>
              <w:ind w:left="142"/>
              <w:jc w:val="both"/>
              <w:rPr>
                <w:rFonts w:ascii="Times" w:hAnsi="Times"/>
                <w:sz w:val="22"/>
                <w:szCs w:val="22"/>
              </w:rPr>
            </w:pPr>
          </w:p>
        </w:tc>
        <w:tc>
          <w:tcPr>
            <w:tcW w:w="2018" w:type="dxa"/>
            <w:tcBorders>
              <w:top w:val="single" w:sz="4" w:space="0" w:color="auto"/>
            </w:tcBorders>
          </w:tcPr>
          <w:p w:rsidR="00B42A3F" w:rsidRPr="00181C46" w:rsidRDefault="00B42A3F" w:rsidP="00B42A3F">
            <w:pPr>
              <w:ind w:left="142"/>
              <w:jc w:val="both"/>
              <w:rPr>
                <w:rFonts w:ascii="Times" w:hAnsi="Times"/>
                <w:sz w:val="22"/>
                <w:szCs w:val="22"/>
              </w:rPr>
            </w:pPr>
            <w:r w:rsidRPr="00181C46">
              <w:rPr>
                <w:rFonts w:ascii="Times" w:hAnsi="Times"/>
                <w:sz w:val="22"/>
                <w:szCs w:val="22"/>
              </w:rPr>
              <w:t>DDinterest</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-5.25</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-77.49</w:t>
            </w:r>
          </w:p>
        </w:tc>
        <w:tc>
          <w:tcPr>
            <w:tcW w:w="1133"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-77.74</w:t>
            </w:r>
          </w:p>
        </w:tc>
        <w:tc>
          <w:tcPr>
            <w:tcW w:w="99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-5.24</w:t>
            </w:r>
          </w:p>
        </w:tc>
        <w:tc>
          <w:tcPr>
            <w:tcW w:w="1134"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-77.44</w:t>
            </w:r>
          </w:p>
        </w:tc>
        <w:tc>
          <w:tcPr>
            <w:tcW w:w="1100"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-77.68</w:t>
            </w:r>
          </w:p>
        </w:tc>
        <w:tc>
          <w:tcPr>
            <w:tcW w:w="110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-5.25</w:t>
            </w:r>
          </w:p>
        </w:tc>
        <w:tc>
          <w:tcPr>
            <w:tcW w:w="1100"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-77.47</w:t>
            </w:r>
          </w:p>
        </w:tc>
        <w:tc>
          <w:tcPr>
            <w:tcW w:w="1101" w:type="dxa"/>
            <w:tcBorders>
              <w:top w:val="single" w:sz="4" w:space="0" w:color="auto"/>
            </w:tcBorders>
            <w:shd w:val="clear" w:color="auto" w:fill="auto"/>
          </w:tcPr>
          <w:p w:rsidR="00B42A3F" w:rsidRPr="00181C46" w:rsidRDefault="00B42A3F" w:rsidP="00B42A3F">
            <w:pPr>
              <w:ind w:left="142"/>
              <w:jc w:val="both"/>
              <w:rPr>
                <w:rFonts w:ascii="Times" w:hAnsi="Times"/>
                <w:sz w:val="22"/>
                <w:szCs w:val="22"/>
              </w:rPr>
            </w:pPr>
            <w:r w:rsidRPr="00181C46">
              <w:rPr>
                <w:rFonts w:ascii="Times" w:hAnsi="Times"/>
                <w:sz w:val="22"/>
                <w:szCs w:val="22"/>
              </w:rPr>
              <w:t>-77.72</w:t>
            </w:r>
          </w:p>
        </w:tc>
      </w:tr>
    </w:tbl>
    <w:p w:rsidR="00B42A3F" w:rsidRDefault="00B42A3F" w:rsidP="00B42A3F">
      <w:r>
        <w:br w:type="page"/>
      </w:r>
    </w:p>
    <w:p w:rsidR="00B42A3F" w:rsidRPr="00ED26F7" w:rsidRDefault="00B42A3F" w:rsidP="00B42A3F">
      <w:pPr>
        <w:ind w:left="5954"/>
        <w:rPr>
          <w:rFonts w:ascii="Times" w:hAnsi="Times" w:cs="Helvetica CY"/>
        </w:rPr>
      </w:pPr>
      <w:r w:rsidRPr="00ED26F7">
        <w:rPr>
          <w:rFonts w:ascii="Times" w:hAnsi="Times" w:cs="Helvetica CY"/>
        </w:rPr>
        <w:lastRenderedPageBreak/>
        <w:t>Продолжение Таблицы 1</w:t>
      </w:r>
    </w:p>
    <w:tbl>
      <w:tblPr>
        <w:tblStyle w:val="ae"/>
        <w:tblW w:w="10206" w:type="dxa"/>
        <w:tblInd w:w="2093" w:type="dxa"/>
        <w:tblLayout w:type="fixed"/>
        <w:tblLook w:val="04A0"/>
      </w:tblPr>
      <w:tblGrid>
        <w:gridCol w:w="392"/>
        <w:gridCol w:w="2018"/>
        <w:gridCol w:w="851"/>
        <w:gridCol w:w="851"/>
        <w:gridCol w:w="850"/>
        <w:gridCol w:w="850"/>
        <w:gridCol w:w="884"/>
        <w:gridCol w:w="850"/>
        <w:gridCol w:w="851"/>
        <w:gridCol w:w="850"/>
        <w:gridCol w:w="959"/>
      </w:tblGrid>
      <w:tr w:rsidR="00B42A3F" w:rsidRPr="00181C46" w:rsidTr="00B42A3F">
        <w:trPr>
          <w:trHeight w:val="320"/>
        </w:trPr>
        <w:tc>
          <w:tcPr>
            <w:tcW w:w="392" w:type="dxa"/>
            <w:vMerge w:val="restart"/>
            <w:tcBorders>
              <w:top w:val="single" w:sz="4" w:space="0" w:color="auto"/>
            </w:tcBorders>
            <w:shd w:val="clear" w:color="auto" w:fill="auto"/>
            <w:textDirection w:val="btLr"/>
            <w:vAlign w:val="center"/>
          </w:tcPr>
          <w:p w:rsidR="00B42A3F" w:rsidRPr="00877D7D" w:rsidRDefault="00B42A3F" w:rsidP="00B42A3F">
            <w:pPr>
              <w:jc w:val="center"/>
              <w:rPr>
                <w:rFonts w:ascii="Times" w:hAnsi="Times"/>
                <w:b/>
                <w:sz w:val="22"/>
                <w:szCs w:val="22"/>
              </w:rPr>
            </w:pPr>
          </w:p>
        </w:tc>
        <w:tc>
          <w:tcPr>
            <w:tcW w:w="2018" w:type="dxa"/>
            <w:tcBorders>
              <w:top w:val="single" w:sz="4" w:space="0" w:color="auto"/>
              <w:bottom w:val="single" w:sz="4" w:space="0" w:color="auto"/>
            </w:tcBorders>
            <w:shd w:val="clear" w:color="auto" w:fill="auto"/>
          </w:tcPr>
          <w:p w:rsidR="00B42A3F" w:rsidRPr="00AC7E1D" w:rsidRDefault="00B42A3F" w:rsidP="00B42A3F">
            <w:pPr>
              <w:jc w:val="center"/>
              <w:rPr>
                <w:rFonts w:ascii="Times" w:hAnsi="Times"/>
                <w:b/>
                <w:sz w:val="22"/>
                <w:szCs w:val="22"/>
              </w:rPr>
            </w:pPr>
            <w:r w:rsidRPr="00AC7E1D">
              <w:rPr>
                <w:rFonts w:ascii="Times" w:hAnsi="Times"/>
                <w:b/>
                <w:sz w:val="22"/>
                <w:szCs w:val="22"/>
              </w:rPr>
              <w:t>Инф. критерий</w:t>
            </w:r>
          </w:p>
        </w:tc>
        <w:tc>
          <w:tcPr>
            <w:tcW w:w="2552" w:type="dxa"/>
            <w:gridSpan w:val="3"/>
            <w:tcBorders>
              <w:top w:val="single" w:sz="4" w:space="0" w:color="auto"/>
              <w:bottom w:val="single" w:sz="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Акаике</w:t>
            </w:r>
          </w:p>
        </w:tc>
        <w:tc>
          <w:tcPr>
            <w:tcW w:w="2584" w:type="dxa"/>
            <w:gridSpan w:val="3"/>
            <w:tcBorders>
              <w:top w:val="single" w:sz="4" w:space="0" w:color="auto"/>
              <w:bottom w:val="single" w:sz="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Шварца</w:t>
            </w:r>
          </w:p>
        </w:tc>
        <w:tc>
          <w:tcPr>
            <w:tcW w:w="2660" w:type="dxa"/>
            <w:gridSpan w:val="3"/>
            <w:tcBorders>
              <w:top w:val="single" w:sz="4" w:space="0" w:color="auto"/>
              <w:bottom w:val="single" w:sz="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Хеннана-Куинна</w:t>
            </w:r>
          </w:p>
        </w:tc>
      </w:tr>
      <w:tr w:rsidR="00B42A3F" w:rsidRPr="00181C46" w:rsidTr="00B42A3F">
        <w:trPr>
          <w:trHeight w:val="320"/>
        </w:trPr>
        <w:tc>
          <w:tcPr>
            <w:tcW w:w="392" w:type="dxa"/>
            <w:vMerge/>
            <w:tcBorders>
              <w:bottom w:val="thinThickSmallGap" w:sz="24" w:space="0" w:color="auto"/>
            </w:tcBorders>
            <w:shd w:val="clear" w:color="auto" w:fill="auto"/>
            <w:textDirection w:val="btLr"/>
            <w:vAlign w:val="center"/>
          </w:tcPr>
          <w:p w:rsidR="00B42A3F" w:rsidRPr="00877D7D" w:rsidRDefault="00B42A3F" w:rsidP="00B42A3F">
            <w:pPr>
              <w:jc w:val="center"/>
              <w:rPr>
                <w:rFonts w:ascii="Times" w:hAnsi="Times"/>
                <w:b/>
                <w:sz w:val="22"/>
                <w:szCs w:val="22"/>
              </w:rPr>
            </w:pPr>
          </w:p>
        </w:tc>
        <w:tc>
          <w:tcPr>
            <w:tcW w:w="2018" w:type="dxa"/>
            <w:tcBorders>
              <w:top w:val="single" w:sz="4" w:space="0" w:color="auto"/>
              <w:bottom w:val="thinThickSmallGap" w:sz="24" w:space="0" w:color="auto"/>
            </w:tcBorders>
            <w:shd w:val="clear" w:color="auto" w:fill="auto"/>
          </w:tcPr>
          <w:p w:rsidR="00B42A3F" w:rsidRPr="00AC7E1D" w:rsidRDefault="00B42A3F" w:rsidP="00B42A3F">
            <w:pPr>
              <w:jc w:val="center"/>
              <w:rPr>
                <w:rFonts w:ascii="Times" w:hAnsi="Times"/>
                <w:b/>
                <w:sz w:val="22"/>
                <w:szCs w:val="22"/>
              </w:rPr>
            </w:pPr>
            <w:r w:rsidRPr="00AC7E1D">
              <w:rPr>
                <w:rFonts w:ascii="Times" w:hAnsi="Times"/>
                <w:b/>
                <w:sz w:val="22"/>
                <w:szCs w:val="22"/>
              </w:rPr>
              <w:t>Колич. лагов</w:t>
            </w:r>
          </w:p>
        </w:tc>
        <w:tc>
          <w:tcPr>
            <w:tcW w:w="851" w:type="dxa"/>
            <w:tcBorders>
              <w:top w:val="single" w:sz="4" w:space="0" w:color="auto"/>
              <w:bottom w:val="thinThickSmallGap" w:sz="2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0</w:t>
            </w:r>
          </w:p>
        </w:tc>
        <w:tc>
          <w:tcPr>
            <w:tcW w:w="851" w:type="dxa"/>
            <w:tcBorders>
              <w:top w:val="single" w:sz="4" w:space="0" w:color="auto"/>
              <w:bottom w:val="thinThickSmallGap" w:sz="2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1</w:t>
            </w:r>
          </w:p>
        </w:tc>
        <w:tc>
          <w:tcPr>
            <w:tcW w:w="850" w:type="dxa"/>
            <w:tcBorders>
              <w:top w:val="single" w:sz="4" w:space="0" w:color="auto"/>
              <w:bottom w:val="thinThickSmallGap" w:sz="2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2</w:t>
            </w:r>
          </w:p>
        </w:tc>
        <w:tc>
          <w:tcPr>
            <w:tcW w:w="850" w:type="dxa"/>
            <w:tcBorders>
              <w:top w:val="single" w:sz="4" w:space="0" w:color="auto"/>
              <w:bottom w:val="thinThickSmallGap" w:sz="2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0</w:t>
            </w:r>
          </w:p>
        </w:tc>
        <w:tc>
          <w:tcPr>
            <w:tcW w:w="884" w:type="dxa"/>
            <w:tcBorders>
              <w:top w:val="single" w:sz="4" w:space="0" w:color="auto"/>
              <w:bottom w:val="thinThickSmallGap" w:sz="2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1</w:t>
            </w:r>
          </w:p>
        </w:tc>
        <w:tc>
          <w:tcPr>
            <w:tcW w:w="850" w:type="dxa"/>
            <w:tcBorders>
              <w:top w:val="single" w:sz="4" w:space="0" w:color="auto"/>
              <w:bottom w:val="thinThickSmallGap" w:sz="2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2</w:t>
            </w:r>
          </w:p>
        </w:tc>
        <w:tc>
          <w:tcPr>
            <w:tcW w:w="851" w:type="dxa"/>
            <w:tcBorders>
              <w:top w:val="single" w:sz="4" w:space="0" w:color="auto"/>
              <w:bottom w:val="thinThickSmallGap" w:sz="2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0</w:t>
            </w:r>
          </w:p>
        </w:tc>
        <w:tc>
          <w:tcPr>
            <w:tcW w:w="850" w:type="dxa"/>
            <w:tcBorders>
              <w:top w:val="single" w:sz="4" w:space="0" w:color="auto"/>
              <w:bottom w:val="thinThickSmallGap" w:sz="2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1</w:t>
            </w:r>
          </w:p>
        </w:tc>
        <w:tc>
          <w:tcPr>
            <w:tcW w:w="959" w:type="dxa"/>
            <w:tcBorders>
              <w:top w:val="single" w:sz="4" w:space="0" w:color="auto"/>
              <w:bottom w:val="thinThickSmallGap" w:sz="24" w:space="0" w:color="auto"/>
            </w:tcBorders>
            <w:shd w:val="clear" w:color="auto" w:fill="auto"/>
            <w:vAlign w:val="bottom"/>
          </w:tcPr>
          <w:p w:rsidR="00B42A3F" w:rsidRPr="00AC7E1D" w:rsidRDefault="00B42A3F" w:rsidP="00B42A3F">
            <w:pPr>
              <w:jc w:val="center"/>
              <w:rPr>
                <w:rFonts w:ascii="Times" w:hAnsi="Times"/>
                <w:b/>
                <w:sz w:val="22"/>
                <w:szCs w:val="22"/>
              </w:rPr>
            </w:pPr>
            <w:r w:rsidRPr="00AC7E1D">
              <w:rPr>
                <w:rFonts w:ascii="Times" w:hAnsi="Times"/>
                <w:b/>
                <w:sz w:val="22"/>
                <w:szCs w:val="22"/>
              </w:rPr>
              <w:t>2</w:t>
            </w:r>
          </w:p>
        </w:tc>
      </w:tr>
      <w:tr w:rsidR="00B42A3F" w:rsidRPr="00181C46" w:rsidTr="00B42A3F">
        <w:trPr>
          <w:trHeight w:val="320"/>
        </w:trPr>
        <w:tc>
          <w:tcPr>
            <w:tcW w:w="392" w:type="dxa"/>
            <w:vMerge w:val="restart"/>
            <w:tcBorders>
              <w:top w:val="thinThickSmallGap" w:sz="24" w:space="0" w:color="auto"/>
            </w:tcBorders>
            <w:textDirection w:val="btLr"/>
            <w:vAlign w:val="center"/>
          </w:tcPr>
          <w:p w:rsidR="00B42A3F" w:rsidRPr="00877D7D" w:rsidRDefault="00B42A3F" w:rsidP="00B42A3F">
            <w:pPr>
              <w:jc w:val="center"/>
              <w:rPr>
                <w:rFonts w:ascii="Times" w:hAnsi="Times"/>
                <w:b/>
                <w:sz w:val="22"/>
                <w:szCs w:val="22"/>
              </w:rPr>
            </w:pPr>
            <w:r w:rsidRPr="00877D7D">
              <w:rPr>
                <w:rFonts w:ascii="Times" w:hAnsi="Times"/>
                <w:b/>
                <w:sz w:val="22"/>
                <w:szCs w:val="22"/>
              </w:rPr>
              <w:t>2012-2013</w:t>
            </w:r>
          </w:p>
        </w:tc>
        <w:tc>
          <w:tcPr>
            <w:tcW w:w="2018" w:type="dxa"/>
            <w:tcBorders>
              <w:top w:val="thinThickSmallGap" w:sz="2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treasury_</w:t>
            </w:r>
          </w:p>
          <w:p w:rsidR="00B42A3F" w:rsidRPr="00181C46" w:rsidRDefault="00B42A3F" w:rsidP="00B42A3F">
            <w:pPr>
              <w:jc w:val="both"/>
              <w:rPr>
                <w:rFonts w:ascii="Times" w:hAnsi="Times"/>
                <w:sz w:val="22"/>
                <w:szCs w:val="22"/>
              </w:rPr>
            </w:pPr>
            <w:r w:rsidRPr="00181C46">
              <w:rPr>
                <w:rFonts w:ascii="Times" w:hAnsi="Times"/>
                <w:sz w:val="22"/>
                <w:szCs w:val="22"/>
              </w:rPr>
              <w:t>return</w:t>
            </w:r>
          </w:p>
        </w:tc>
        <w:tc>
          <w:tcPr>
            <w:tcW w:w="851" w:type="dxa"/>
            <w:tcBorders>
              <w:top w:val="thinThickSmallGap" w:sz="24" w:space="0" w:color="auto"/>
            </w:tcBorders>
            <w:shd w:val="clear" w:color="auto" w:fill="D9D9D9" w:themeFill="background1" w:themeFillShade="D9"/>
            <w:hideMark/>
          </w:tcPr>
          <w:p w:rsidR="00B42A3F" w:rsidRPr="00181C46" w:rsidRDefault="00B42A3F" w:rsidP="00B42A3F">
            <w:pPr>
              <w:jc w:val="both"/>
              <w:rPr>
                <w:rFonts w:ascii="Times" w:hAnsi="Times"/>
                <w:sz w:val="22"/>
                <w:szCs w:val="22"/>
              </w:rPr>
            </w:pPr>
            <w:r w:rsidRPr="00181C46">
              <w:rPr>
                <w:rFonts w:ascii="Times" w:hAnsi="Times"/>
                <w:sz w:val="22"/>
                <w:szCs w:val="22"/>
              </w:rPr>
              <w:t>-18.32</w:t>
            </w:r>
          </w:p>
        </w:tc>
        <w:tc>
          <w:tcPr>
            <w:tcW w:w="851" w:type="dxa"/>
            <w:tcBorders>
              <w:top w:val="thinThickSmallGap" w:sz="24" w:space="0" w:color="auto"/>
            </w:tcBorders>
            <w:shd w:val="clear" w:color="auto" w:fill="D9D9D9" w:themeFill="background1" w:themeFillShade="D9"/>
            <w:hideMark/>
          </w:tcPr>
          <w:p w:rsidR="00B42A3F" w:rsidRPr="00181C46" w:rsidRDefault="00B42A3F" w:rsidP="00B42A3F">
            <w:pPr>
              <w:jc w:val="both"/>
              <w:rPr>
                <w:rFonts w:ascii="Times" w:hAnsi="Times"/>
                <w:sz w:val="22"/>
                <w:szCs w:val="22"/>
              </w:rPr>
            </w:pPr>
            <w:r w:rsidRPr="00181C46">
              <w:rPr>
                <w:rFonts w:ascii="Times" w:hAnsi="Times"/>
                <w:sz w:val="22"/>
                <w:szCs w:val="22"/>
              </w:rPr>
              <w:t>-90.43</w:t>
            </w:r>
          </w:p>
        </w:tc>
        <w:tc>
          <w:tcPr>
            <w:tcW w:w="850" w:type="dxa"/>
            <w:tcBorders>
              <w:top w:val="thinThickSmallGap" w:sz="2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-90.38</w:t>
            </w:r>
          </w:p>
        </w:tc>
        <w:tc>
          <w:tcPr>
            <w:tcW w:w="850" w:type="dxa"/>
            <w:tcBorders>
              <w:top w:val="thinThickSmallGap" w:sz="24" w:space="0" w:color="auto"/>
            </w:tcBorders>
            <w:shd w:val="clear" w:color="auto" w:fill="D9D9D9" w:themeFill="background1" w:themeFillShade="D9"/>
            <w:hideMark/>
          </w:tcPr>
          <w:p w:rsidR="00B42A3F" w:rsidRPr="00181C46" w:rsidRDefault="00B42A3F" w:rsidP="00B42A3F">
            <w:pPr>
              <w:jc w:val="both"/>
              <w:rPr>
                <w:rFonts w:ascii="Times" w:hAnsi="Times"/>
                <w:sz w:val="22"/>
                <w:szCs w:val="22"/>
              </w:rPr>
            </w:pPr>
            <w:r w:rsidRPr="00181C46">
              <w:rPr>
                <w:rFonts w:ascii="Times" w:hAnsi="Times"/>
                <w:sz w:val="22"/>
                <w:szCs w:val="22"/>
              </w:rPr>
              <w:t>-18.3</w:t>
            </w:r>
          </w:p>
        </w:tc>
        <w:tc>
          <w:tcPr>
            <w:tcW w:w="884" w:type="dxa"/>
            <w:tcBorders>
              <w:top w:val="thinThickSmallGap" w:sz="24" w:space="0" w:color="auto"/>
            </w:tcBorders>
            <w:shd w:val="clear" w:color="auto" w:fill="D9D9D9" w:themeFill="background1" w:themeFillShade="D9"/>
            <w:hideMark/>
          </w:tcPr>
          <w:p w:rsidR="00B42A3F" w:rsidRPr="00181C46" w:rsidRDefault="00B42A3F" w:rsidP="00B42A3F">
            <w:pPr>
              <w:jc w:val="both"/>
              <w:rPr>
                <w:rFonts w:ascii="Times" w:hAnsi="Times"/>
                <w:sz w:val="22"/>
                <w:szCs w:val="22"/>
              </w:rPr>
            </w:pPr>
            <w:r w:rsidRPr="00181C46">
              <w:rPr>
                <w:rFonts w:ascii="Times" w:hAnsi="Times"/>
                <w:sz w:val="22"/>
                <w:szCs w:val="22"/>
              </w:rPr>
              <w:t>-90.38</w:t>
            </w:r>
          </w:p>
        </w:tc>
        <w:tc>
          <w:tcPr>
            <w:tcW w:w="850" w:type="dxa"/>
            <w:tcBorders>
              <w:top w:val="thinThickSmallGap" w:sz="2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-90.32</w:t>
            </w:r>
          </w:p>
        </w:tc>
        <w:tc>
          <w:tcPr>
            <w:tcW w:w="851" w:type="dxa"/>
            <w:tcBorders>
              <w:top w:val="thinThickSmallGap" w:sz="24" w:space="0" w:color="auto"/>
            </w:tcBorders>
            <w:shd w:val="clear" w:color="auto" w:fill="D9D9D9" w:themeFill="background1" w:themeFillShade="D9"/>
            <w:hideMark/>
          </w:tcPr>
          <w:p w:rsidR="00B42A3F" w:rsidRPr="00181C46" w:rsidRDefault="00B42A3F" w:rsidP="00B42A3F">
            <w:pPr>
              <w:jc w:val="both"/>
              <w:rPr>
                <w:rFonts w:ascii="Times" w:hAnsi="Times"/>
                <w:sz w:val="22"/>
                <w:szCs w:val="22"/>
              </w:rPr>
            </w:pPr>
            <w:r w:rsidRPr="00181C46">
              <w:rPr>
                <w:rFonts w:ascii="Times" w:hAnsi="Times"/>
                <w:sz w:val="22"/>
                <w:szCs w:val="22"/>
              </w:rPr>
              <w:t>-18.31</w:t>
            </w:r>
          </w:p>
        </w:tc>
        <w:tc>
          <w:tcPr>
            <w:tcW w:w="850" w:type="dxa"/>
            <w:tcBorders>
              <w:top w:val="thinThickSmallGap" w:sz="24" w:space="0" w:color="auto"/>
            </w:tcBorders>
            <w:shd w:val="clear" w:color="auto" w:fill="D9D9D9" w:themeFill="background1" w:themeFillShade="D9"/>
            <w:hideMark/>
          </w:tcPr>
          <w:p w:rsidR="00B42A3F" w:rsidRPr="00181C46" w:rsidRDefault="00B42A3F" w:rsidP="00B42A3F">
            <w:pPr>
              <w:jc w:val="both"/>
              <w:rPr>
                <w:rFonts w:ascii="Times" w:hAnsi="Times"/>
                <w:sz w:val="22"/>
                <w:szCs w:val="22"/>
              </w:rPr>
            </w:pPr>
            <w:r w:rsidRPr="00181C46">
              <w:rPr>
                <w:rFonts w:ascii="Times" w:hAnsi="Times"/>
                <w:sz w:val="22"/>
                <w:szCs w:val="22"/>
              </w:rPr>
              <w:t>-90.41</w:t>
            </w:r>
          </w:p>
        </w:tc>
        <w:tc>
          <w:tcPr>
            <w:tcW w:w="959" w:type="dxa"/>
            <w:tcBorders>
              <w:top w:val="thinThickSmallGap" w:sz="2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-90.36</w:t>
            </w:r>
          </w:p>
        </w:tc>
      </w:tr>
      <w:tr w:rsidR="00B42A3F" w:rsidRPr="00181C46" w:rsidTr="00B42A3F">
        <w:trPr>
          <w:trHeight w:val="444"/>
        </w:trPr>
        <w:tc>
          <w:tcPr>
            <w:tcW w:w="392" w:type="dxa"/>
            <w:vMerge/>
          </w:tcPr>
          <w:p w:rsidR="00B42A3F" w:rsidRPr="00181C46" w:rsidRDefault="00B42A3F" w:rsidP="00B42A3F">
            <w:pPr>
              <w:jc w:val="both"/>
              <w:rPr>
                <w:rFonts w:ascii="Times" w:hAnsi="Times"/>
                <w:sz w:val="22"/>
                <w:szCs w:val="22"/>
              </w:rPr>
            </w:pPr>
          </w:p>
        </w:tc>
        <w:tc>
          <w:tcPr>
            <w:tcW w:w="2018"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Dtreasury_</w:t>
            </w:r>
          </w:p>
          <w:p w:rsidR="00B42A3F" w:rsidRPr="00181C46" w:rsidRDefault="00B42A3F" w:rsidP="00B42A3F">
            <w:pPr>
              <w:jc w:val="both"/>
              <w:rPr>
                <w:rFonts w:ascii="Times" w:hAnsi="Times"/>
                <w:sz w:val="22"/>
                <w:szCs w:val="22"/>
              </w:rPr>
            </w:pPr>
            <w:r w:rsidRPr="00181C46">
              <w:rPr>
                <w:rFonts w:ascii="Times" w:hAnsi="Times"/>
                <w:sz w:val="22"/>
                <w:szCs w:val="22"/>
              </w:rPr>
              <w:t>return (1 разности)</w:t>
            </w:r>
          </w:p>
        </w:tc>
        <w:tc>
          <w:tcPr>
            <w:tcW w:w="851"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-17.65</w:t>
            </w:r>
          </w:p>
        </w:tc>
        <w:tc>
          <w:tcPr>
            <w:tcW w:w="851"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0" w:type="dxa"/>
            <w:tcBorders>
              <w:bottom w:val="single" w:sz="4" w:space="0" w:color="auto"/>
            </w:tcBorders>
            <w:shd w:val="clear" w:color="auto" w:fill="D9D9D9" w:themeFill="background1" w:themeFillShade="D9"/>
            <w:hideMark/>
          </w:tcPr>
          <w:p w:rsidR="00B42A3F" w:rsidRPr="00181C46" w:rsidRDefault="00B42A3F" w:rsidP="00B42A3F">
            <w:pPr>
              <w:jc w:val="both"/>
              <w:rPr>
                <w:rFonts w:ascii="Times" w:hAnsi="Times"/>
                <w:sz w:val="22"/>
                <w:szCs w:val="22"/>
              </w:rPr>
            </w:pPr>
            <w:r w:rsidRPr="00181C46">
              <w:rPr>
                <w:rFonts w:ascii="Times" w:hAnsi="Times"/>
                <w:sz w:val="22"/>
                <w:szCs w:val="22"/>
              </w:rPr>
              <w:t>-97.79</w:t>
            </w:r>
          </w:p>
        </w:tc>
        <w:tc>
          <w:tcPr>
            <w:tcW w:w="850"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-17.64</w:t>
            </w:r>
          </w:p>
        </w:tc>
        <w:tc>
          <w:tcPr>
            <w:tcW w:w="884"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0" w:type="dxa"/>
            <w:tcBorders>
              <w:bottom w:val="single" w:sz="4" w:space="0" w:color="auto"/>
            </w:tcBorders>
            <w:shd w:val="clear" w:color="auto" w:fill="D9D9D9" w:themeFill="background1" w:themeFillShade="D9"/>
            <w:hideMark/>
          </w:tcPr>
          <w:p w:rsidR="00B42A3F" w:rsidRPr="00181C46" w:rsidRDefault="00B42A3F" w:rsidP="00B42A3F">
            <w:pPr>
              <w:jc w:val="both"/>
              <w:rPr>
                <w:rFonts w:ascii="Times" w:hAnsi="Times"/>
                <w:sz w:val="22"/>
                <w:szCs w:val="22"/>
              </w:rPr>
            </w:pPr>
            <w:r w:rsidRPr="00181C46">
              <w:rPr>
                <w:rFonts w:ascii="Times" w:hAnsi="Times"/>
                <w:sz w:val="22"/>
                <w:szCs w:val="22"/>
              </w:rPr>
              <w:t>-97.72</w:t>
            </w:r>
          </w:p>
        </w:tc>
        <w:tc>
          <w:tcPr>
            <w:tcW w:w="851"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-17.65</w:t>
            </w:r>
          </w:p>
        </w:tc>
        <w:tc>
          <w:tcPr>
            <w:tcW w:w="850"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959" w:type="dxa"/>
            <w:tcBorders>
              <w:bottom w:val="single" w:sz="4" w:space="0" w:color="auto"/>
            </w:tcBorders>
            <w:shd w:val="clear" w:color="auto" w:fill="D9D9D9" w:themeFill="background1" w:themeFillShade="D9"/>
            <w:hideMark/>
          </w:tcPr>
          <w:p w:rsidR="00B42A3F" w:rsidRPr="00181C46" w:rsidRDefault="00B42A3F" w:rsidP="00B42A3F">
            <w:pPr>
              <w:jc w:val="both"/>
              <w:rPr>
                <w:rFonts w:ascii="Times" w:hAnsi="Times"/>
                <w:sz w:val="22"/>
                <w:szCs w:val="22"/>
              </w:rPr>
            </w:pPr>
            <w:r w:rsidRPr="00181C46">
              <w:rPr>
                <w:rFonts w:ascii="Times" w:hAnsi="Times"/>
                <w:sz w:val="22"/>
                <w:szCs w:val="22"/>
              </w:rPr>
              <w:t>-97.76</w:t>
            </w:r>
          </w:p>
        </w:tc>
      </w:tr>
      <w:tr w:rsidR="00B42A3F" w:rsidRPr="00181C46" w:rsidTr="00B42A3F">
        <w:trPr>
          <w:trHeight w:val="541"/>
        </w:trPr>
        <w:tc>
          <w:tcPr>
            <w:tcW w:w="392" w:type="dxa"/>
            <w:vMerge/>
          </w:tcPr>
          <w:p w:rsidR="00B42A3F" w:rsidRPr="00181C46" w:rsidRDefault="00B42A3F" w:rsidP="00B42A3F">
            <w:pPr>
              <w:jc w:val="both"/>
              <w:rPr>
                <w:rFonts w:ascii="Times" w:hAnsi="Times"/>
                <w:sz w:val="22"/>
                <w:szCs w:val="22"/>
              </w:rPr>
            </w:pPr>
          </w:p>
        </w:tc>
        <w:tc>
          <w:tcPr>
            <w:tcW w:w="2018"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DDtreasury_return (2 разности)</w:t>
            </w:r>
          </w:p>
        </w:tc>
        <w:tc>
          <w:tcPr>
            <w:tcW w:w="851"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-15.93</w:t>
            </w:r>
          </w:p>
        </w:tc>
        <w:tc>
          <w:tcPr>
            <w:tcW w:w="851"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-88.57</w:t>
            </w:r>
          </w:p>
        </w:tc>
        <w:tc>
          <w:tcPr>
            <w:tcW w:w="850"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-87.65</w:t>
            </w:r>
          </w:p>
        </w:tc>
        <w:tc>
          <w:tcPr>
            <w:tcW w:w="850"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-15.91</w:t>
            </w:r>
          </w:p>
        </w:tc>
        <w:tc>
          <w:tcPr>
            <w:tcW w:w="884"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-88.53</w:t>
            </w:r>
          </w:p>
        </w:tc>
        <w:tc>
          <w:tcPr>
            <w:tcW w:w="850"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-87.59</w:t>
            </w:r>
          </w:p>
        </w:tc>
        <w:tc>
          <w:tcPr>
            <w:tcW w:w="851"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-15.92</w:t>
            </w:r>
          </w:p>
        </w:tc>
        <w:tc>
          <w:tcPr>
            <w:tcW w:w="850"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-88.56</w:t>
            </w:r>
          </w:p>
        </w:tc>
        <w:tc>
          <w:tcPr>
            <w:tcW w:w="959" w:type="dxa"/>
            <w:tcBorders>
              <w:bottom w:val="single" w:sz="4" w:space="0" w:color="auto"/>
            </w:tcBorders>
            <w:hideMark/>
          </w:tcPr>
          <w:p w:rsidR="00B42A3F" w:rsidRPr="00181C46" w:rsidRDefault="00B42A3F" w:rsidP="00B42A3F">
            <w:pPr>
              <w:jc w:val="both"/>
              <w:rPr>
                <w:rFonts w:ascii="Times" w:hAnsi="Times"/>
                <w:sz w:val="22"/>
                <w:szCs w:val="22"/>
              </w:rPr>
            </w:pPr>
            <w:r w:rsidRPr="00181C46">
              <w:rPr>
                <w:rFonts w:ascii="Times" w:hAnsi="Times"/>
                <w:sz w:val="22"/>
                <w:szCs w:val="22"/>
              </w:rPr>
              <w:t>-87.62</w:t>
            </w:r>
          </w:p>
        </w:tc>
      </w:tr>
      <w:tr w:rsidR="00B42A3F" w:rsidRPr="00181C46" w:rsidTr="00B42A3F">
        <w:trPr>
          <w:trHeight w:val="272"/>
        </w:trPr>
        <w:tc>
          <w:tcPr>
            <w:tcW w:w="392" w:type="dxa"/>
            <w:vMerge/>
          </w:tcPr>
          <w:p w:rsidR="00B42A3F" w:rsidRPr="00181C46" w:rsidRDefault="00B42A3F" w:rsidP="00B42A3F">
            <w:pPr>
              <w:jc w:val="both"/>
              <w:rPr>
                <w:rFonts w:ascii="Times" w:hAnsi="Times"/>
                <w:sz w:val="22"/>
                <w:szCs w:val="22"/>
              </w:rPr>
            </w:pPr>
          </w:p>
        </w:tc>
        <w:tc>
          <w:tcPr>
            <w:tcW w:w="2018"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volumes</w:t>
            </w:r>
          </w:p>
        </w:tc>
        <w:tc>
          <w:tcPr>
            <w:tcW w:w="851"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47.09</w:t>
            </w:r>
          </w:p>
        </w:tc>
        <w:tc>
          <w:tcPr>
            <w:tcW w:w="851"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46.12</w:t>
            </w:r>
          </w:p>
        </w:tc>
        <w:tc>
          <w:tcPr>
            <w:tcW w:w="850"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-23.7</w:t>
            </w:r>
          </w:p>
        </w:tc>
        <w:tc>
          <w:tcPr>
            <w:tcW w:w="850"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47.1</w:t>
            </w:r>
          </w:p>
        </w:tc>
        <w:tc>
          <w:tcPr>
            <w:tcW w:w="884"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46.17</w:t>
            </w:r>
          </w:p>
        </w:tc>
        <w:tc>
          <w:tcPr>
            <w:tcW w:w="850"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-23.62</w:t>
            </w:r>
          </w:p>
        </w:tc>
        <w:tc>
          <w:tcPr>
            <w:tcW w:w="851"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47.09</w:t>
            </w:r>
          </w:p>
        </w:tc>
        <w:tc>
          <w:tcPr>
            <w:tcW w:w="850"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46.14</w:t>
            </w:r>
          </w:p>
        </w:tc>
        <w:tc>
          <w:tcPr>
            <w:tcW w:w="959"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-23.67</w:t>
            </w:r>
          </w:p>
        </w:tc>
      </w:tr>
      <w:tr w:rsidR="00B42A3F" w:rsidRPr="00181C46" w:rsidTr="00B42A3F">
        <w:trPr>
          <w:trHeight w:val="272"/>
        </w:trPr>
        <w:tc>
          <w:tcPr>
            <w:tcW w:w="392" w:type="dxa"/>
            <w:vMerge/>
          </w:tcPr>
          <w:p w:rsidR="00B42A3F" w:rsidRPr="00181C46" w:rsidRDefault="00B42A3F" w:rsidP="00B42A3F">
            <w:pPr>
              <w:jc w:val="both"/>
              <w:rPr>
                <w:rFonts w:ascii="Times" w:hAnsi="Times"/>
                <w:sz w:val="22"/>
                <w:szCs w:val="22"/>
              </w:rPr>
            </w:pPr>
          </w:p>
        </w:tc>
        <w:tc>
          <w:tcPr>
            <w:tcW w:w="2018"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Dvolumes</w:t>
            </w:r>
          </w:p>
        </w:tc>
        <w:tc>
          <w:tcPr>
            <w:tcW w:w="851"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46.95</w:t>
            </w:r>
          </w:p>
        </w:tc>
        <w:tc>
          <w:tcPr>
            <w:tcW w:w="851"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-25.33</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-25.4</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46.97</w:t>
            </w:r>
          </w:p>
        </w:tc>
        <w:tc>
          <w:tcPr>
            <w:tcW w:w="884"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-25.28</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-25.34</w:t>
            </w:r>
          </w:p>
        </w:tc>
        <w:tc>
          <w:tcPr>
            <w:tcW w:w="851"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46.96</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-25.31</w:t>
            </w:r>
          </w:p>
        </w:tc>
        <w:tc>
          <w:tcPr>
            <w:tcW w:w="959"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-25.38</w:t>
            </w:r>
          </w:p>
        </w:tc>
      </w:tr>
      <w:tr w:rsidR="00B42A3F" w:rsidRPr="00181C46" w:rsidTr="00B42A3F">
        <w:trPr>
          <w:trHeight w:val="276"/>
        </w:trPr>
        <w:tc>
          <w:tcPr>
            <w:tcW w:w="392" w:type="dxa"/>
            <w:vMerge/>
          </w:tcPr>
          <w:p w:rsidR="00B42A3F" w:rsidRPr="00181C46" w:rsidRDefault="00B42A3F" w:rsidP="00B42A3F">
            <w:pPr>
              <w:jc w:val="both"/>
              <w:rPr>
                <w:rFonts w:ascii="Times" w:hAnsi="Times"/>
                <w:sz w:val="22"/>
                <w:szCs w:val="22"/>
              </w:rPr>
            </w:pPr>
          </w:p>
        </w:tc>
        <w:tc>
          <w:tcPr>
            <w:tcW w:w="2018"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open</w:t>
            </w:r>
          </w:p>
        </w:tc>
        <w:tc>
          <w:tcPr>
            <w:tcW w:w="851"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44.69</w:t>
            </w:r>
          </w:p>
        </w:tc>
        <w:tc>
          <w:tcPr>
            <w:tcW w:w="851"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-25.61</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-25.47</w:t>
            </w:r>
          </w:p>
        </w:tc>
        <w:tc>
          <w:tcPr>
            <w:tcW w:w="850"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44.7</w:t>
            </w:r>
          </w:p>
        </w:tc>
        <w:tc>
          <w:tcPr>
            <w:tcW w:w="884"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-25.59</w:t>
            </w:r>
          </w:p>
        </w:tc>
        <w:tc>
          <w:tcPr>
            <w:tcW w:w="850"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-25.45</w:t>
            </w:r>
          </w:p>
        </w:tc>
        <w:tc>
          <w:tcPr>
            <w:tcW w:w="851"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44.71</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-25.56</w:t>
            </w:r>
          </w:p>
        </w:tc>
        <w:tc>
          <w:tcPr>
            <w:tcW w:w="959" w:type="dxa"/>
            <w:tcBorders>
              <w:bottom w:val="single" w:sz="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-25.41</w:t>
            </w:r>
          </w:p>
        </w:tc>
      </w:tr>
      <w:tr w:rsidR="00B42A3F" w:rsidRPr="00181C46" w:rsidTr="00B42A3F">
        <w:trPr>
          <w:trHeight w:val="276"/>
        </w:trPr>
        <w:tc>
          <w:tcPr>
            <w:tcW w:w="392" w:type="dxa"/>
            <w:vMerge/>
          </w:tcPr>
          <w:p w:rsidR="00B42A3F" w:rsidRPr="00181C46" w:rsidRDefault="00B42A3F" w:rsidP="00B42A3F">
            <w:pPr>
              <w:jc w:val="both"/>
              <w:rPr>
                <w:rFonts w:ascii="Times" w:hAnsi="Times"/>
                <w:sz w:val="22"/>
                <w:szCs w:val="22"/>
              </w:rPr>
            </w:pPr>
          </w:p>
        </w:tc>
        <w:tc>
          <w:tcPr>
            <w:tcW w:w="2018"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Dopen</w:t>
            </w:r>
          </w:p>
        </w:tc>
        <w:tc>
          <w:tcPr>
            <w:tcW w:w="851"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1"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0</w:t>
            </w:r>
          </w:p>
        </w:tc>
        <w:tc>
          <w:tcPr>
            <w:tcW w:w="850"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0</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42.86</w:t>
            </w:r>
          </w:p>
        </w:tc>
        <w:tc>
          <w:tcPr>
            <w:tcW w:w="884"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-40.61</w:t>
            </w:r>
          </w:p>
        </w:tc>
        <w:tc>
          <w:tcPr>
            <w:tcW w:w="851"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42.85</w:t>
            </w:r>
          </w:p>
        </w:tc>
        <w:tc>
          <w:tcPr>
            <w:tcW w:w="850"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959"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-40.65</w:t>
            </w:r>
          </w:p>
        </w:tc>
      </w:tr>
      <w:tr w:rsidR="00B42A3F" w:rsidRPr="00181C46" w:rsidTr="00B42A3F">
        <w:trPr>
          <w:trHeight w:val="276"/>
        </w:trPr>
        <w:tc>
          <w:tcPr>
            <w:tcW w:w="392" w:type="dxa"/>
            <w:vMerge/>
          </w:tcPr>
          <w:p w:rsidR="00B42A3F" w:rsidRPr="00181C46" w:rsidRDefault="00B42A3F" w:rsidP="00B42A3F">
            <w:pPr>
              <w:jc w:val="both"/>
              <w:rPr>
                <w:rFonts w:ascii="Times" w:hAnsi="Times"/>
                <w:sz w:val="22"/>
                <w:szCs w:val="22"/>
              </w:rPr>
            </w:pPr>
          </w:p>
        </w:tc>
        <w:tc>
          <w:tcPr>
            <w:tcW w:w="2018"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interest</w:t>
            </w:r>
          </w:p>
        </w:tc>
        <w:tc>
          <w:tcPr>
            <w:tcW w:w="851"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-4.59</w:t>
            </w:r>
          </w:p>
        </w:tc>
        <w:tc>
          <w:tcPr>
            <w:tcW w:w="851"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-72.19</w:t>
            </w:r>
          </w:p>
        </w:tc>
        <w:tc>
          <w:tcPr>
            <w:tcW w:w="850"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-71.78</w:t>
            </w:r>
          </w:p>
        </w:tc>
        <w:tc>
          <w:tcPr>
            <w:tcW w:w="850"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-4.57</w:t>
            </w:r>
          </w:p>
        </w:tc>
        <w:tc>
          <w:tcPr>
            <w:tcW w:w="884"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-72.14</w:t>
            </w:r>
          </w:p>
        </w:tc>
        <w:tc>
          <w:tcPr>
            <w:tcW w:w="850"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-71.72</w:t>
            </w:r>
          </w:p>
        </w:tc>
        <w:tc>
          <w:tcPr>
            <w:tcW w:w="851"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-4.58</w:t>
            </w:r>
          </w:p>
        </w:tc>
        <w:tc>
          <w:tcPr>
            <w:tcW w:w="850"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-72.17</w:t>
            </w:r>
          </w:p>
        </w:tc>
        <w:tc>
          <w:tcPr>
            <w:tcW w:w="959"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-71.76</w:t>
            </w:r>
          </w:p>
        </w:tc>
      </w:tr>
      <w:tr w:rsidR="00B42A3F" w:rsidRPr="00181C46" w:rsidTr="00B42A3F">
        <w:trPr>
          <w:trHeight w:val="276"/>
        </w:trPr>
        <w:tc>
          <w:tcPr>
            <w:tcW w:w="392" w:type="dxa"/>
            <w:vMerge/>
          </w:tcPr>
          <w:p w:rsidR="00B42A3F" w:rsidRPr="00181C46" w:rsidRDefault="00B42A3F" w:rsidP="00B42A3F">
            <w:pPr>
              <w:jc w:val="both"/>
              <w:rPr>
                <w:rFonts w:ascii="Times" w:hAnsi="Times"/>
                <w:sz w:val="22"/>
                <w:szCs w:val="22"/>
              </w:rPr>
            </w:pPr>
          </w:p>
        </w:tc>
        <w:tc>
          <w:tcPr>
            <w:tcW w:w="2018" w:type="dxa"/>
            <w:tcBorders>
              <w:bottom w:val="single" w:sz="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Dinterest</w:t>
            </w:r>
          </w:p>
        </w:tc>
        <w:tc>
          <w:tcPr>
            <w:tcW w:w="851"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-8.17</w:t>
            </w:r>
          </w:p>
        </w:tc>
        <w:tc>
          <w:tcPr>
            <w:tcW w:w="851"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-80.35</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-80.34</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-8.16</w:t>
            </w:r>
          </w:p>
        </w:tc>
        <w:tc>
          <w:tcPr>
            <w:tcW w:w="884"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-80.3</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-80.27</w:t>
            </w:r>
          </w:p>
        </w:tc>
        <w:tc>
          <w:tcPr>
            <w:tcW w:w="851"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-8.17</w:t>
            </w:r>
          </w:p>
        </w:tc>
        <w:tc>
          <w:tcPr>
            <w:tcW w:w="850"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-80.33</w:t>
            </w:r>
          </w:p>
        </w:tc>
        <w:tc>
          <w:tcPr>
            <w:tcW w:w="959" w:type="dxa"/>
            <w:tcBorders>
              <w:bottom w:val="single" w:sz="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-80.31</w:t>
            </w:r>
          </w:p>
        </w:tc>
      </w:tr>
      <w:tr w:rsidR="00B42A3F" w:rsidRPr="00181C46" w:rsidTr="00B42A3F">
        <w:trPr>
          <w:trHeight w:val="267"/>
        </w:trPr>
        <w:tc>
          <w:tcPr>
            <w:tcW w:w="392" w:type="dxa"/>
            <w:vMerge/>
            <w:tcBorders>
              <w:bottom w:val="thinThickSmallGap" w:sz="24" w:space="0" w:color="auto"/>
            </w:tcBorders>
          </w:tcPr>
          <w:p w:rsidR="00B42A3F" w:rsidRPr="00181C46" w:rsidRDefault="00B42A3F" w:rsidP="00B42A3F">
            <w:pPr>
              <w:jc w:val="both"/>
              <w:rPr>
                <w:rFonts w:ascii="Times" w:hAnsi="Times"/>
                <w:sz w:val="22"/>
                <w:szCs w:val="22"/>
              </w:rPr>
            </w:pPr>
          </w:p>
        </w:tc>
        <w:tc>
          <w:tcPr>
            <w:tcW w:w="2018" w:type="dxa"/>
            <w:tcBorders>
              <w:bottom w:val="thinThickSmallGap" w:sz="2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DDinterest</w:t>
            </w:r>
          </w:p>
        </w:tc>
        <w:tc>
          <w:tcPr>
            <w:tcW w:w="851" w:type="dxa"/>
            <w:tcBorders>
              <w:bottom w:val="thinThickSmallGap" w:sz="2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-6.8</w:t>
            </w:r>
          </w:p>
        </w:tc>
        <w:tc>
          <w:tcPr>
            <w:tcW w:w="851" w:type="dxa"/>
            <w:tcBorders>
              <w:bottom w:val="thinThickSmallGap" w:sz="2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-77.93</w:t>
            </w:r>
          </w:p>
        </w:tc>
        <w:tc>
          <w:tcPr>
            <w:tcW w:w="850" w:type="dxa"/>
            <w:tcBorders>
              <w:bottom w:val="thinThickSmallGap" w:sz="2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-78.14</w:t>
            </w:r>
          </w:p>
        </w:tc>
        <w:tc>
          <w:tcPr>
            <w:tcW w:w="850" w:type="dxa"/>
            <w:tcBorders>
              <w:bottom w:val="thinThickSmallGap" w:sz="2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-6.79</w:t>
            </w:r>
          </w:p>
        </w:tc>
        <w:tc>
          <w:tcPr>
            <w:tcW w:w="884" w:type="dxa"/>
            <w:tcBorders>
              <w:bottom w:val="thinThickSmallGap" w:sz="2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-77.88</w:t>
            </w:r>
          </w:p>
        </w:tc>
        <w:tc>
          <w:tcPr>
            <w:tcW w:w="850" w:type="dxa"/>
            <w:tcBorders>
              <w:bottom w:val="thinThickSmallGap" w:sz="2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-78.08</w:t>
            </w:r>
          </w:p>
        </w:tc>
        <w:tc>
          <w:tcPr>
            <w:tcW w:w="851" w:type="dxa"/>
            <w:tcBorders>
              <w:bottom w:val="thinThickSmallGap" w:sz="2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-6.8</w:t>
            </w:r>
          </w:p>
        </w:tc>
        <w:tc>
          <w:tcPr>
            <w:tcW w:w="850" w:type="dxa"/>
            <w:tcBorders>
              <w:bottom w:val="thinThickSmallGap" w:sz="2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-77.91</w:t>
            </w:r>
          </w:p>
        </w:tc>
        <w:tc>
          <w:tcPr>
            <w:tcW w:w="959" w:type="dxa"/>
            <w:tcBorders>
              <w:bottom w:val="thinThickSmallGap" w:sz="24" w:space="0" w:color="auto"/>
            </w:tcBorders>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-78.12</w:t>
            </w:r>
          </w:p>
        </w:tc>
      </w:tr>
      <w:tr w:rsidR="00B42A3F" w:rsidRPr="00181C46" w:rsidTr="00B42A3F">
        <w:trPr>
          <w:trHeight w:val="486"/>
        </w:trPr>
        <w:tc>
          <w:tcPr>
            <w:tcW w:w="392" w:type="dxa"/>
            <w:vMerge w:val="restart"/>
            <w:tcBorders>
              <w:top w:val="thinThickSmallGap" w:sz="24" w:space="0" w:color="auto"/>
            </w:tcBorders>
            <w:textDirection w:val="btLr"/>
            <w:vAlign w:val="center"/>
          </w:tcPr>
          <w:p w:rsidR="00B42A3F" w:rsidRPr="00877D7D" w:rsidRDefault="00B42A3F" w:rsidP="00B42A3F">
            <w:pPr>
              <w:jc w:val="center"/>
              <w:rPr>
                <w:rFonts w:ascii="Times" w:hAnsi="Times"/>
                <w:b/>
                <w:sz w:val="22"/>
                <w:szCs w:val="22"/>
              </w:rPr>
            </w:pPr>
            <w:r w:rsidRPr="00877D7D">
              <w:rPr>
                <w:rFonts w:ascii="Times" w:hAnsi="Times"/>
                <w:b/>
                <w:sz w:val="22"/>
                <w:szCs w:val="22"/>
              </w:rPr>
              <w:t>2014-2015</w:t>
            </w:r>
          </w:p>
        </w:tc>
        <w:tc>
          <w:tcPr>
            <w:tcW w:w="2018" w:type="dxa"/>
            <w:tcBorders>
              <w:top w:val="thinThickSmallGap" w:sz="24" w:space="0" w:color="auto"/>
            </w:tcBorders>
          </w:tcPr>
          <w:p w:rsidR="00B42A3F" w:rsidRPr="00181C46" w:rsidRDefault="00B42A3F" w:rsidP="00B42A3F">
            <w:pPr>
              <w:jc w:val="both"/>
              <w:rPr>
                <w:rFonts w:ascii="Times" w:hAnsi="Times"/>
                <w:sz w:val="22"/>
                <w:szCs w:val="22"/>
              </w:rPr>
            </w:pPr>
            <w:r w:rsidRPr="00181C46">
              <w:rPr>
                <w:rFonts w:ascii="Times" w:hAnsi="Times"/>
                <w:sz w:val="22"/>
                <w:szCs w:val="22"/>
              </w:rPr>
              <w:t>corporate_</w:t>
            </w:r>
          </w:p>
          <w:p w:rsidR="00B42A3F" w:rsidRPr="00181C46" w:rsidRDefault="00B42A3F" w:rsidP="00B42A3F">
            <w:pPr>
              <w:jc w:val="both"/>
              <w:rPr>
                <w:rFonts w:ascii="Times" w:hAnsi="Times"/>
                <w:sz w:val="22"/>
                <w:szCs w:val="22"/>
              </w:rPr>
            </w:pPr>
            <w:r w:rsidRPr="00181C46">
              <w:rPr>
                <w:rFonts w:ascii="Times" w:hAnsi="Times"/>
                <w:sz w:val="22"/>
                <w:szCs w:val="22"/>
              </w:rPr>
              <w:t>return</w:t>
            </w:r>
          </w:p>
        </w:tc>
        <w:tc>
          <w:tcPr>
            <w:tcW w:w="851" w:type="dxa"/>
            <w:tcBorders>
              <w:top w:val="thinThickSmallGap" w:sz="2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-17.34</w:t>
            </w:r>
          </w:p>
        </w:tc>
        <w:tc>
          <w:tcPr>
            <w:tcW w:w="851" w:type="dxa"/>
            <w:tcBorders>
              <w:top w:val="thinThickSmallGap" w:sz="2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-89.42</w:t>
            </w:r>
          </w:p>
        </w:tc>
        <w:tc>
          <w:tcPr>
            <w:tcW w:w="850" w:type="dxa"/>
            <w:tcBorders>
              <w:top w:val="thinThickSmallGap" w:sz="2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-89.44</w:t>
            </w:r>
          </w:p>
        </w:tc>
        <w:tc>
          <w:tcPr>
            <w:tcW w:w="850" w:type="dxa"/>
            <w:tcBorders>
              <w:top w:val="thinThickSmallGap" w:sz="2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-17.32</w:t>
            </w:r>
          </w:p>
        </w:tc>
        <w:tc>
          <w:tcPr>
            <w:tcW w:w="884" w:type="dxa"/>
            <w:tcBorders>
              <w:top w:val="thinThickSmallGap" w:sz="2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-89.36</w:t>
            </w:r>
          </w:p>
        </w:tc>
        <w:tc>
          <w:tcPr>
            <w:tcW w:w="850" w:type="dxa"/>
            <w:tcBorders>
              <w:top w:val="thinThickSmallGap" w:sz="2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-89.35</w:t>
            </w:r>
          </w:p>
        </w:tc>
        <w:tc>
          <w:tcPr>
            <w:tcW w:w="851" w:type="dxa"/>
            <w:tcBorders>
              <w:top w:val="thinThickSmallGap" w:sz="2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-17.33</w:t>
            </w:r>
          </w:p>
        </w:tc>
        <w:tc>
          <w:tcPr>
            <w:tcW w:w="850" w:type="dxa"/>
            <w:tcBorders>
              <w:top w:val="thinThickSmallGap" w:sz="2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-89.39</w:t>
            </w:r>
          </w:p>
        </w:tc>
        <w:tc>
          <w:tcPr>
            <w:tcW w:w="959" w:type="dxa"/>
            <w:tcBorders>
              <w:top w:val="thinThickSmallGap" w:sz="24" w:space="0" w:color="auto"/>
            </w:tcBorders>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-89.40</w:t>
            </w:r>
          </w:p>
        </w:tc>
      </w:tr>
      <w:tr w:rsidR="00B42A3F" w:rsidRPr="00181C46" w:rsidTr="00B42A3F">
        <w:trPr>
          <w:trHeight w:val="531"/>
        </w:trPr>
        <w:tc>
          <w:tcPr>
            <w:tcW w:w="392" w:type="dxa"/>
            <w:vMerge/>
          </w:tcPr>
          <w:p w:rsidR="00B42A3F" w:rsidRPr="00181C46" w:rsidRDefault="00B42A3F" w:rsidP="00B42A3F">
            <w:pPr>
              <w:jc w:val="both"/>
              <w:rPr>
                <w:rFonts w:ascii="Times" w:hAnsi="Times"/>
                <w:sz w:val="22"/>
                <w:szCs w:val="22"/>
              </w:rPr>
            </w:pPr>
          </w:p>
        </w:tc>
        <w:tc>
          <w:tcPr>
            <w:tcW w:w="2018" w:type="dxa"/>
          </w:tcPr>
          <w:p w:rsidR="00B42A3F" w:rsidRPr="00181C46" w:rsidRDefault="00B42A3F" w:rsidP="00B42A3F">
            <w:pPr>
              <w:jc w:val="both"/>
              <w:rPr>
                <w:rFonts w:ascii="Times" w:hAnsi="Times"/>
                <w:sz w:val="22"/>
                <w:szCs w:val="22"/>
              </w:rPr>
            </w:pPr>
            <w:r w:rsidRPr="00181C46">
              <w:rPr>
                <w:rFonts w:ascii="Times" w:hAnsi="Times"/>
                <w:sz w:val="22"/>
                <w:szCs w:val="22"/>
              </w:rPr>
              <w:t>Dcorporate_return (1 разности)</w:t>
            </w:r>
          </w:p>
        </w:tc>
        <w:tc>
          <w:tcPr>
            <w:tcW w:w="851" w:type="dxa"/>
          </w:tcPr>
          <w:p w:rsidR="00B42A3F" w:rsidRPr="00181C46" w:rsidRDefault="00B42A3F" w:rsidP="00B42A3F">
            <w:pPr>
              <w:jc w:val="both"/>
              <w:rPr>
                <w:rFonts w:ascii="Times" w:hAnsi="Times"/>
                <w:sz w:val="22"/>
                <w:szCs w:val="22"/>
              </w:rPr>
            </w:pPr>
            <w:r w:rsidRPr="00181C46">
              <w:rPr>
                <w:rFonts w:ascii="Times" w:hAnsi="Times"/>
                <w:sz w:val="22"/>
                <w:szCs w:val="22"/>
              </w:rPr>
              <w:t>-16.08</w:t>
            </w:r>
          </w:p>
        </w:tc>
        <w:tc>
          <w:tcPr>
            <w:tcW w:w="851" w:type="dxa"/>
          </w:tcPr>
          <w:p w:rsidR="00B42A3F" w:rsidRPr="00181C46" w:rsidRDefault="00B42A3F" w:rsidP="00B42A3F">
            <w:pPr>
              <w:jc w:val="both"/>
              <w:rPr>
                <w:rFonts w:ascii="Times" w:hAnsi="Times"/>
                <w:sz w:val="22"/>
                <w:szCs w:val="22"/>
              </w:rPr>
            </w:pPr>
            <w:r w:rsidRPr="00181C46">
              <w:rPr>
                <w:rFonts w:ascii="Times" w:hAnsi="Times"/>
                <w:sz w:val="22"/>
                <w:szCs w:val="22"/>
              </w:rPr>
              <w:t>-88.47</w:t>
            </w:r>
          </w:p>
        </w:tc>
        <w:tc>
          <w:tcPr>
            <w:tcW w:w="850" w:type="dxa"/>
          </w:tcPr>
          <w:p w:rsidR="00B42A3F" w:rsidRPr="00181C46" w:rsidRDefault="00B42A3F" w:rsidP="00B42A3F">
            <w:pPr>
              <w:jc w:val="both"/>
              <w:rPr>
                <w:rFonts w:ascii="Times" w:hAnsi="Times"/>
                <w:sz w:val="22"/>
                <w:szCs w:val="22"/>
              </w:rPr>
            </w:pPr>
            <w:r w:rsidRPr="00181C46">
              <w:rPr>
                <w:rFonts w:ascii="Times" w:hAnsi="Times"/>
                <w:sz w:val="22"/>
                <w:szCs w:val="22"/>
              </w:rPr>
              <w:t>-87.46</w:t>
            </w:r>
          </w:p>
        </w:tc>
        <w:tc>
          <w:tcPr>
            <w:tcW w:w="850" w:type="dxa"/>
          </w:tcPr>
          <w:p w:rsidR="00B42A3F" w:rsidRPr="00181C46" w:rsidRDefault="00B42A3F" w:rsidP="00B42A3F">
            <w:pPr>
              <w:jc w:val="both"/>
              <w:rPr>
                <w:rFonts w:ascii="Times" w:hAnsi="Times"/>
                <w:sz w:val="22"/>
                <w:szCs w:val="22"/>
              </w:rPr>
            </w:pPr>
            <w:r w:rsidRPr="00181C46">
              <w:rPr>
                <w:rFonts w:ascii="Times" w:hAnsi="Times"/>
                <w:sz w:val="22"/>
                <w:szCs w:val="22"/>
              </w:rPr>
              <w:t>-16.05</w:t>
            </w:r>
          </w:p>
        </w:tc>
        <w:tc>
          <w:tcPr>
            <w:tcW w:w="884" w:type="dxa"/>
          </w:tcPr>
          <w:p w:rsidR="00B42A3F" w:rsidRPr="00181C46" w:rsidRDefault="00B42A3F" w:rsidP="00B42A3F">
            <w:pPr>
              <w:jc w:val="both"/>
              <w:rPr>
                <w:rFonts w:ascii="Times" w:hAnsi="Times"/>
                <w:sz w:val="22"/>
                <w:szCs w:val="22"/>
              </w:rPr>
            </w:pPr>
            <w:r w:rsidRPr="00181C46">
              <w:rPr>
                <w:rFonts w:ascii="Times" w:hAnsi="Times"/>
                <w:sz w:val="22"/>
                <w:szCs w:val="22"/>
              </w:rPr>
              <w:t>-88.41</w:t>
            </w:r>
          </w:p>
        </w:tc>
        <w:tc>
          <w:tcPr>
            <w:tcW w:w="850" w:type="dxa"/>
          </w:tcPr>
          <w:p w:rsidR="00B42A3F" w:rsidRPr="00181C46" w:rsidRDefault="00B42A3F" w:rsidP="00B42A3F">
            <w:pPr>
              <w:jc w:val="both"/>
              <w:rPr>
                <w:rFonts w:ascii="Times" w:hAnsi="Times"/>
                <w:sz w:val="22"/>
                <w:szCs w:val="22"/>
              </w:rPr>
            </w:pPr>
            <w:r w:rsidRPr="00181C46">
              <w:rPr>
                <w:rFonts w:ascii="Times" w:hAnsi="Times"/>
                <w:sz w:val="22"/>
                <w:szCs w:val="22"/>
              </w:rPr>
              <w:t>-87.37</w:t>
            </w:r>
          </w:p>
        </w:tc>
        <w:tc>
          <w:tcPr>
            <w:tcW w:w="851" w:type="dxa"/>
          </w:tcPr>
          <w:p w:rsidR="00B42A3F" w:rsidRPr="00181C46" w:rsidRDefault="00B42A3F" w:rsidP="00B42A3F">
            <w:pPr>
              <w:jc w:val="both"/>
              <w:rPr>
                <w:rFonts w:ascii="Times" w:hAnsi="Times"/>
                <w:sz w:val="22"/>
                <w:szCs w:val="22"/>
              </w:rPr>
            </w:pPr>
            <w:r w:rsidRPr="00181C46">
              <w:rPr>
                <w:rFonts w:ascii="Times" w:hAnsi="Times"/>
                <w:sz w:val="22"/>
                <w:szCs w:val="22"/>
              </w:rPr>
              <w:t>-16.07</w:t>
            </w:r>
          </w:p>
        </w:tc>
        <w:tc>
          <w:tcPr>
            <w:tcW w:w="850" w:type="dxa"/>
          </w:tcPr>
          <w:p w:rsidR="00B42A3F" w:rsidRPr="00181C46" w:rsidRDefault="00B42A3F" w:rsidP="00B42A3F">
            <w:pPr>
              <w:jc w:val="both"/>
              <w:rPr>
                <w:rFonts w:ascii="Times" w:hAnsi="Times"/>
                <w:sz w:val="22"/>
                <w:szCs w:val="22"/>
              </w:rPr>
            </w:pPr>
            <w:r w:rsidRPr="00181C46">
              <w:rPr>
                <w:rFonts w:ascii="Times" w:hAnsi="Times"/>
                <w:sz w:val="22"/>
                <w:szCs w:val="22"/>
              </w:rPr>
              <w:t>-88.45</w:t>
            </w:r>
          </w:p>
        </w:tc>
        <w:tc>
          <w:tcPr>
            <w:tcW w:w="959" w:type="dxa"/>
          </w:tcPr>
          <w:p w:rsidR="00B42A3F" w:rsidRPr="00181C46" w:rsidRDefault="00B42A3F" w:rsidP="00B42A3F">
            <w:pPr>
              <w:jc w:val="both"/>
              <w:rPr>
                <w:rFonts w:ascii="Times" w:hAnsi="Times"/>
                <w:sz w:val="22"/>
                <w:szCs w:val="22"/>
              </w:rPr>
            </w:pPr>
            <w:r w:rsidRPr="00181C46">
              <w:rPr>
                <w:rFonts w:ascii="Times" w:hAnsi="Times"/>
                <w:sz w:val="22"/>
                <w:szCs w:val="22"/>
              </w:rPr>
              <w:t>-87.42</w:t>
            </w:r>
          </w:p>
        </w:tc>
      </w:tr>
      <w:tr w:rsidR="00B42A3F" w:rsidRPr="00181C46" w:rsidTr="00B42A3F">
        <w:trPr>
          <w:trHeight w:val="264"/>
        </w:trPr>
        <w:tc>
          <w:tcPr>
            <w:tcW w:w="392" w:type="dxa"/>
            <w:vMerge/>
          </w:tcPr>
          <w:p w:rsidR="00B42A3F" w:rsidRPr="00181C46" w:rsidRDefault="00B42A3F" w:rsidP="00B42A3F">
            <w:pPr>
              <w:jc w:val="both"/>
              <w:rPr>
                <w:rFonts w:ascii="Times" w:hAnsi="Times"/>
                <w:sz w:val="22"/>
                <w:szCs w:val="22"/>
              </w:rPr>
            </w:pPr>
          </w:p>
        </w:tc>
        <w:tc>
          <w:tcPr>
            <w:tcW w:w="2018" w:type="dxa"/>
          </w:tcPr>
          <w:p w:rsidR="00B42A3F" w:rsidRPr="00181C46" w:rsidRDefault="00B42A3F" w:rsidP="00B42A3F">
            <w:pPr>
              <w:jc w:val="both"/>
              <w:rPr>
                <w:rFonts w:ascii="Times" w:hAnsi="Times"/>
                <w:sz w:val="22"/>
                <w:szCs w:val="22"/>
              </w:rPr>
            </w:pPr>
            <w:r w:rsidRPr="00181C46">
              <w:rPr>
                <w:rFonts w:ascii="Times" w:hAnsi="Times"/>
                <w:sz w:val="22"/>
                <w:szCs w:val="22"/>
              </w:rPr>
              <w:t>volumes</w:t>
            </w:r>
          </w:p>
        </w:tc>
        <w:tc>
          <w:tcPr>
            <w:tcW w:w="851" w:type="dxa"/>
          </w:tcPr>
          <w:p w:rsidR="00B42A3F" w:rsidRPr="00181C46" w:rsidRDefault="00B42A3F" w:rsidP="00B42A3F">
            <w:pPr>
              <w:jc w:val="both"/>
              <w:rPr>
                <w:rFonts w:ascii="Times" w:hAnsi="Times"/>
                <w:sz w:val="22"/>
                <w:szCs w:val="22"/>
              </w:rPr>
            </w:pPr>
            <w:r w:rsidRPr="00181C46">
              <w:rPr>
                <w:rFonts w:ascii="Times" w:hAnsi="Times"/>
                <w:sz w:val="22"/>
                <w:szCs w:val="22"/>
              </w:rPr>
              <w:t>50.64</w:t>
            </w:r>
          </w:p>
        </w:tc>
        <w:tc>
          <w:tcPr>
            <w:tcW w:w="851"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48.46</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-15.39</w:t>
            </w:r>
          </w:p>
        </w:tc>
        <w:tc>
          <w:tcPr>
            <w:tcW w:w="850" w:type="dxa"/>
          </w:tcPr>
          <w:p w:rsidR="00B42A3F" w:rsidRPr="00181C46" w:rsidRDefault="00B42A3F" w:rsidP="00B42A3F">
            <w:pPr>
              <w:jc w:val="both"/>
              <w:rPr>
                <w:rFonts w:ascii="Times" w:hAnsi="Times"/>
                <w:sz w:val="22"/>
                <w:szCs w:val="22"/>
              </w:rPr>
            </w:pPr>
            <w:r w:rsidRPr="00181C46">
              <w:rPr>
                <w:rFonts w:ascii="Times" w:hAnsi="Times"/>
                <w:sz w:val="22"/>
                <w:szCs w:val="22"/>
              </w:rPr>
              <w:t>50.66</w:t>
            </w:r>
          </w:p>
        </w:tc>
        <w:tc>
          <w:tcPr>
            <w:tcW w:w="884"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48.52</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-15.28</w:t>
            </w:r>
          </w:p>
        </w:tc>
        <w:tc>
          <w:tcPr>
            <w:tcW w:w="851" w:type="dxa"/>
          </w:tcPr>
          <w:p w:rsidR="00B42A3F" w:rsidRPr="00181C46" w:rsidRDefault="00B42A3F" w:rsidP="00B42A3F">
            <w:pPr>
              <w:jc w:val="both"/>
              <w:rPr>
                <w:rFonts w:ascii="Times" w:hAnsi="Times"/>
                <w:sz w:val="22"/>
                <w:szCs w:val="22"/>
              </w:rPr>
            </w:pPr>
            <w:r w:rsidRPr="00181C46">
              <w:rPr>
                <w:rFonts w:ascii="Times" w:hAnsi="Times"/>
                <w:sz w:val="22"/>
                <w:szCs w:val="22"/>
              </w:rPr>
              <w:t>50.65</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48.48</w:t>
            </w:r>
          </w:p>
        </w:tc>
        <w:tc>
          <w:tcPr>
            <w:tcW w:w="959"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-15.35</w:t>
            </w:r>
          </w:p>
        </w:tc>
      </w:tr>
      <w:tr w:rsidR="00B42A3F" w:rsidRPr="00181C46" w:rsidTr="00B42A3F">
        <w:trPr>
          <w:trHeight w:val="267"/>
        </w:trPr>
        <w:tc>
          <w:tcPr>
            <w:tcW w:w="392" w:type="dxa"/>
            <w:vMerge/>
          </w:tcPr>
          <w:p w:rsidR="00B42A3F" w:rsidRPr="00181C46" w:rsidRDefault="00B42A3F" w:rsidP="00B42A3F">
            <w:pPr>
              <w:jc w:val="both"/>
              <w:rPr>
                <w:rFonts w:ascii="Times" w:hAnsi="Times"/>
                <w:sz w:val="22"/>
                <w:szCs w:val="22"/>
              </w:rPr>
            </w:pPr>
          </w:p>
        </w:tc>
        <w:tc>
          <w:tcPr>
            <w:tcW w:w="2018" w:type="dxa"/>
          </w:tcPr>
          <w:p w:rsidR="00B42A3F" w:rsidRPr="00181C46" w:rsidRDefault="00B42A3F" w:rsidP="00B42A3F">
            <w:pPr>
              <w:jc w:val="both"/>
              <w:rPr>
                <w:rFonts w:ascii="Times" w:hAnsi="Times"/>
                <w:sz w:val="22"/>
                <w:szCs w:val="22"/>
              </w:rPr>
            </w:pPr>
            <w:r w:rsidRPr="00181C46">
              <w:rPr>
                <w:rFonts w:ascii="Times" w:hAnsi="Times"/>
                <w:sz w:val="22"/>
                <w:szCs w:val="22"/>
              </w:rPr>
              <w:t>Dvolumes</w:t>
            </w:r>
          </w:p>
        </w:tc>
        <w:tc>
          <w:tcPr>
            <w:tcW w:w="851"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48.69</w:t>
            </w:r>
          </w:p>
        </w:tc>
        <w:tc>
          <w:tcPr>
            <w:tcW w:w="851" w:type="dxa"/>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0" w:type="dxa"/>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48.7</w:t>
            </w:r>
          </w:p>
        </w:tc>
        <w:tc>
          <w:tcPr>
            <w:tcW w:w="884" w:type="dxa"/>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0" w:type="dxa"/>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1"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48.7</w:t>
            </w:r>
          </w:p>
        </w:tc>
        <w:tc>
          <w:tcPr>
            <w:tcW w:w="850" w:type="dxa"/>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959" w:type="dxa"/>
          </w:tcPr>
          <w:p w:rsidR="00B42A3F" w:rsidRPr="00181C46" w:rsidRDefault="00B42A3F" w:rsidP="00B42A3F">
            <w:pPr>
              <w:jc w:val="both"/>
              <w:rPr>
                <w:rFonts w:ascii="Times" w:hAnsi="Times"/>
                <w:sz w:val="22"/>
                <w:szCs w:val="22"/>
              </w:rPr>
            </w:pPr>
            <w:r w:rsidRPr="00181C46">
              <w:rPr>
                <w:rFonts w:ascii="Times" w:hAnsi="Times"/>
                <w:sz w:val="22"/>
                <w:szCs w:val="22"/>
              </w:rPr>
              <w:t>*</w:t>
            </w:r>
          </w:p>
        </w:tc>
      </w:tr>
      <w:tr w:rsidR="00B42A3F" w:rsidRPr="00181C46" w:rsidTr="00B42A3F">
        <w:trPr>
          <w:trHeight w:val="185"/>
        </w:trPr>
        <w:tc>
          <w:tcPr>
            <w:tcW w:w="392" w:type="dxa"/>
            <w:vMerge/>
          </w:tcPr>
          <w:p w:rsidR="00B42A3F" w:rsidRPr="00181C46" w:rsidRDefault="00B42A3F" w:rsidP="00B42A3F">
            <w:pPr>
              <w:jc w:val="both"/>
              <w:rPr>
                <w:rFonts w:ascii="Times" w:hAnsi="Times"/>
                <w:sz w:val="22"/>
                <w:szCs w:val="22"/>
              </w:rPr>
            </w:pPr>
          </w:p>
        </w:tc>
        <w:tc>
          <w:tcPr>
            <w:tcW w:w="2018"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open</w:t>
            </w:r>
          </w:p>
        </w:tc>
        <w:tc>
          <w:tcPr>
            <w:tcW w:w="851"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45.73</w:t>
            </w:r>
          </w:p>
        </w:tc>
        <w:tc>
          <w:tcPr>
            <w:tcW w:w="851"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-24.36</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-24.38</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45.75</w:t>
            </w:r>
          </w:p>
        </w:tc>
        <w:tc>
          <w:tcPr>
            <w:tcW w:w="884"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-24.3</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-24.29</w:t>
            </w:r>
          </w:p>
        </w:tc>
        <w:tc>
          <w:tcPr>
            <w:tcW w:w="851"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45.74</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-24.34</w:t>
            </w:r>
          </w:p>
        </w:tc>
        <w:tc>
          <w:tcPr>
            <w:tcW w:w="959"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-24.34</w:t>
            </w:r>
          </w:p>
        </w:tc>
      </w:tr>
      <w:tr w:rsidR="00B42A3F" w:rsidRPr="00181C46" w:rsidTr="00B42A3F">
        <w:trPr>
          <w:trHeight w:val="232"/>
        </w:trPr>
        <w:tc>
          <w:tcPr>
            <w:tcW w:w="392" w:type="dxa"/>
            <w:vMerge/>
          </w:tcPr>
          <w:p w:rsidR="00B42A3F" w:rsidRPr="00181C46" w:rsidRDefault="00B42A3F" w:rsidP="00B42A3F">
            <w:pPr>
              <w:jc w:val="both"/>
              <w:rPr>
                <w:rFonts w:ascii="Times" w:hAnsi="Times"/>
                <w:sz w:val="22"/>
                <w:szCs w:val="22"/>
              </w:rPr>
            </w:pPr>
          </w:p>
        </w:tc>
        <w:tc>
          <w:tcPr>
            <w:tcW w:w="2018"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Dopen</w:t>
            </w:r>
          </w:p>
        </w:tc>
        <w:tc>
          <w:tcPr>
            <w:tcW w:w="851"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43.18</w:t>
            </w:r>
          </w:p>
        </w:tc>
        <w:tc>
          <w:tcPr>
            <w:tcW w:w="851"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-28.79</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-28.78</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43.2</w:t>
            </w:r>
          </w:p>
        </w:tc>
        <w:tc>
          <w:tcPr>
            <w:tcW w:w="884"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-28.73</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-28.7</w:t>
            </w:r>
          </w:p>
        </w:tc>
        <w:tc>
          <w:tcPr>
            <w:tcW w:w="851"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43.19</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-28.77</w:t>
            </w:r>
          </w:p>
        </w:tc>
        <w:tc>
          <w:tcPr>
            <w:tcW w:w="959"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-28.75</w:t>
            </w:r>
          </w:p>
        </w:tc>
      </w:tr>
      <w:tr w:rsidR="00B42A3F" w:rsidRPr="00181C46" w:rsidTr="00B42A3F">
        <w:trPr>
          <w:trHeight w:val="232"/>
        </w:trPr>
        <w:tc>
          <w:tcPr>
            <w:tcW w:w="392" w:type="dxa"/>
            <w:vMerge/>
          </w:tcPr>
          <w:p w:rsidR="00B42A3F" w:rsidRPr="00181C46" w:rsidRDefault="00B42A3F" w:rsidP="00B42A3F">
            <w:pPr>
              <w:jc w:val="both"/>
              <w:rPr>
                <w:rFonts w:ascii="Times" w:hAnsi="Times"/>
                <w:sz w:val="22"/>
                <w:szCs w:val="22"/>
              </w:rPr>
            </w:pPr>
          </w:p>
        </w:tc>
        <w:tc>
          <w:tcPr>
            <w:tcW w:w="2018"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interest</w:t>
            </w:r>
          </w:p>
        </w:tc>
        <w:tc>
          <w:tcPr>
            <w:tcW w:w="851"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7.45</w:t>
            </w:r>
          </w:p>
        </w:tc>
        <w:tc>
          <w:tcPr>
            <w:tcW w:w="851"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-63.97</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-59.85</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7.48</w:t>
            </w:r>
          </w:p>
        </w:tc>
        <w:tc>
          <w:tcPr>
            <w:tcW w:w="884"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-63.9</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-59.76</w:t>
            </w:r>
          </w:p>
        </w:tc>
        <w:tc>
          <w:tcPr>
            <w:tcW w:w="851"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7.46</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-63.94</w:t>
            </w:r>
          </w:p>
        </w:tc>
        <w:tc>
          <w:tcPr>
            <w:tcW w:w="959"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-59.81</w:t>
            </w:r>
          </w:p>
        </w:tc>
      </w:tr>
      <w:tr w:rsidR="00B42A3F" w:rsidRPr="00181C46" w:rsidTr="00B42A3F">
        <w:trPr>
          <w:trHeight w:val="232"/>
        </w:trPr>
        <w:tc>
          <w:tcPr>
            <w:tcW w:w="392" w:type="dxa"/>
            <w:vMerge/>
          </w:tcPr>
          <w:p w:rsidR="00B42A3F" w:rsidRPr="00181C46" w:rsidRDefault="00B42A3F" w:rsidP="00B42A3F">
            <w:pPr>
              <w:jc w:val="both"/>
              <w:rPr>
                <w:rFonts w:ascii="Times" w:hAnsi="Times"/>
                <w:sz w:val="22"/>
                <w:szCs w:val="22"/>
              </w:rPr>
            </w:pPr>
          </w:p>
        </w:tc>
        <w:tc>
          <w:tcPr>
            <w:tcW w:w="2018"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Dinterest</w:t>
            </w:r>
          </w:p>
        </w:tc>
        <w:tc>
          <w:tcPr>
            <w:tcW w:w="851"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2.86</w:t>
            </w:r>
          </w:p>
        </w:tc>
        <w:tc>
          <w:tcPr>
            <w:tcW w:w="851"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2.88</w:t>
            </w:r>
          </w:p>
        </w:tc>
        <w:tc>
          <w:tcPr>
            <w:tcW w:w="884"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851"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2.87</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w:t>
            </w:r>
          </w:p>
        </w:tc>
        <w:tc>
          <w:tcPr>
            <w:tcW w:w="959"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w:t>
            </w:r>
          </w:p>
        </w:tc>
      </w:tr>
      <w:tr w:rsidR="00B42A3F" w:rsidRPr="00181C46" w:rsidTr="00B42A3F">
        <w:trPr>
          <w:trHeight w:val="232"/>
        </w:trPr>
        <w:tc>
          <w:tcPr>
            <w:tcW w:w="392" w:type="dxa"/>
            <w:vMerge/>
          </w:tcPr>
          <w:p w:rsidR="00B42A3F" w:rsidRPr="00181C46" w:rsidRDefault="00B42A3F" w:rsidP="00B42A3F">
            <w:pPr>
              <w:jc w:val="both"/>
              <w:rPr>
                <w:rFonts w:ascii="Times" w:hAnsi="Times"/>
                <w:sz w:val="22"/>
                <w:szCs w:val="22"/>
              </w:rPr>
            </w:pPr>
          </w:p>
        </w:tc>
        <w:tc>
          <w:tcPr>
            <w:tcW w:w="2018"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DDinterest</w:t>
            </w:r>
          </w:p>
        </w:tc>
        <w:tc>
          <w:tcPr>
            <w:tcW w:w="851"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3.09</w:t>
            </w:r>
          </w:p>
        </w:tc>
        <w:tc>
          <w:tcPr>
            <w:tcW w:w="851"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-69.31</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-68.99</w:t>
            </w:r>
          </w:p>
        </w:tc>
        <w:tc>
          <w:tcPr>
            <w:tcW w:w="850"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3.11</w:t>
            </w:r>
          </w:p>
        </w:tc>
        <w:tc>
          <w:tcPr>
            <w:tcW w:w="884"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-69.25</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-68.91</w:t>
            </w:r>
          </w:p>
        </w:tc>
        <w:tc>
          <w:tcPr>
            <w:tcW w:w="851" w:type="dxa"/>
            <w:shd w:val="clear" w:color="auto" w:fill="auto"/>
          </w:tcPr>
          <w:p w:rsidR="00B42A3F" w:rsidRPr="00181C46" w:rsidRDefault="00B42A3F" w:rsidP="00B42A3F">
            <w:pPr>
              <w:jc w:val="both"/>
              <w:rPr>
                <w:rFonts w:ascii="Times" w:hAnsi="Times"/>
                <w:sz w:val="22"/>
                <w:szCs w:val="22"/>
              </w:rPr>
            </w:pPr>
            <w:r w:rsidRPr="00181C46">
              <w:rPr>
                <w:rFonts w:ascii="Times" w:hAnsi="Times"/>
                <w:sz w:val="22"/>
                <w:szCs w:val="22"/>
              </w:rPr>
              <w:t>3.1</w:t>
            </w:r>
          </w:p>
        </w:tc>
        <w:tc>
          <w:tcPr>
            <w:tcW w:w="850"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-69.28</w:t>
            </w:r>
          </w:p>
        </w:tc>
        <w:tc>
          <w:tcPr>
            <w:tcW w:w="959" w:type="dxa"/>
            <w:shd w:val="clear" w:color="auto" w:fill="D9D9D9" w:themeFill="background1" w:themeFillShade="D9"/>
          </w:tcPr>
          <w:p w:rsidR="00B42A3F" w:rsidRPr="00181C46" w:rsidRDefault="00B42A3F" w:rsidP="00B42A3F">
            <w:pPr>
              <w:jc w:val="both"/>
              <w:rPr>
                <w:rFonts w:ascii="Times" w:hAnsi="Times"/>
                <w:sz w:val="22"/>
                <w:szCs w:val="22"/>
              </w:rPr>
            </w:pPr>
            <w:r w:rsidRPr="00181C46">
              <w:rPr>
                <w:rFonts w:ascii="Times" w:hAnsi="Times"/>
                <w:sz w:val="22"/>
                <w:szCs w:val="22"/>
              </w:rPr>
              <w:t>-68.96</w:t>
            </w:r>
          </w:p>
        </w:tc>
      </w:tr>
    </w:tbl>
    <w:p w:rsidR="00B42A3F" w:rsidRPr="000F6176" w:rsidRDefault="00B42A3F" w:rsidP="00B42A3F">
      <w:pPr>
        <w:ind w:left="1985" w:right="-8"/>
        <w:jc w:val="both"/>
        <w:rPr>
          <w:rFonts w:ascii="Times" w:hAnsi="Times"/>
        </w:rPr>
      </w:pPr>
      <w:r w:rsidRPr="000F6176">
        <w:rPr>
          <w:rFonts w:ascii="Times" w:hAnsi="Times"/>
        </w:rPr>
        <w:t>* - очень большое значение информационного критерия</w:t>
      </w:r>
    </w:p>
    <w:p w:rsidR="00B42A3F" w:rsidRDefault="00B42A3F" w:rsidP="00B42A3F">
      <w:pPr>
        <w:ind w:left="142" w:right="538"/>
        <w:jc w:val="right"/>
        <w:rPr>
          <w:rFonts w:ascii="Times" w:hAnsi="Times"/>
          <w:b/>
        </w:rPr>
      </w:pPr>
    </w:p>
    <w:p w:rsidR="00B42A3F" w:rsidRDefault="00B42A3F" w:rsidP="00B42A3F">
      <w:pPr>
        <w:rPr>
          <w:rFonts w:ascii="Times" w:hAnsi="Times"/>
          <w:b/>
        </w:rPr>
      </w:pPr>
      <w:r>
        <w:rPr>
          <w:rFonts w:ascii="Times" w:hAnsi="Times"/>
          <w:b/>
        </w:rPr>
        <w:br w:type="page"/>
      </w:r>
    </w:p>
    <w:p w:rsidR="00B42A3F" w:rsidRPr="00ED26F7" w:rsidRDefault="00B42A3F" w:rsidP="00E06C9A">
      <w:pPr>
        <w:ind w:left="142" w:right="113" w:firstLine="0"/>
        <w:jc w:val="both"/>
        <w:rPr>
          <w:rFonts w:ascii="Times" w:hAnsi="Times"/>
        </w:rPr>
      </w:pPr>
      <w:r w:rsidRPr="00ED26F7">
        <w:rPr>
          <w:rFonts w:ascii="Times" w:hAnsi="Times"/>
        </w:rPr>
        <w:lastRenderedPageBreak/>
        <w:t>Таблица 2 - Результаты теста Дикки-Фуллера на стационарность для временных рядов зависимых переменных</w:t>
      </w:r>
    </w:p>
    <w:p w:rsidR="00B42A3F" w:rsidRPr="00A11E92" w:rsidRDefault="00B42A3F" w:rsidP="00E06C9A">
      <w:pPr>
        <w:ind w:left="142" w:right="113" w:firstLine="0"/>
        <w:jc w:val="both"/>
        <w:rPr>
          <w:rFonts w:ascii="Times" w:hAnsi="Times"/>
        </w:rPr>
      </w:pPr>
      <w:r w:rsidRPr="00210B83">
        <w:rPr>
          <w:rFonts w:ascii="Times" w:hAnsi="Times"/>
        </w:rPr>
        <w:t xml:space="preserve">В ячейках для каждой зависимой переменной и каждого типа модели Дикки-Фуллера располагается количество лагов, с которыми рассматривалась модель. Обозначения уровня значимости, при котором </w:t>
      </w:r>
      <w:r w:rsidRPr="00210B83">
        <w:rPr>
          <w:rFonts w:ascii="Times" w:hAnsi="Times"/>
          <w:lang w:val="en-US"/>
        </w:rPr>
        <w:t>H</w:t>
      </w:r>
      <w:r w:rsidRPr="0058455C">
        <w:rPr>
          <w:rFonts w:ascii="Times" w:hAnsi="Times"/>
          <w:vertAlign w:val="subscript"/>
        </w:rPr>
        <w:t xml:space="preserve">0 </w:t>
      </w:r>
      <w:r w:rsidRPr="00210B83">
        <w:rPr>
          <w:rFonts w:ascii="Times" w:hAnsi="Times"/>
        </w:rPr>
        <w:t xml:space="preserve">отвергнута: </w:t>
      </w:r>
      <w:r w:rsidRPr="0058455C">
        <w:rPr>
          <w:rFonts w:ascii="Times" w:hAnsi="Times"/>
        </w:rPr>
        <w:t xml:space="preserve">*** </w:t>
      </w:r>
      <w:r w:rsidRPr="00210B83">
        <w:rPr>
          <w:rFonts w:ascii="Times" w:hAnsi="Times"/>
          <w:lang w:val="en-US"/>
        </w:rPr>
        <w:t>p</w:t>
      </w:r>
      <w:r w:rsidRPr="0058455C">
        <w:rPr>
          <w:rFonts w:ascii="Times" w:hAnsi="Times"/>
        </w:rPr>
        <w:t xml:space="preserve">&lt;0.01, ** </w:t>
      </w:r>
      <w:r w:rsidRPr="00210B83">
        <w:rPr>
          <w:rFonts w:ascii="Times" w:hAnsi="Times"/>
          <w:lang w:val="en-US"/>
        </w:rPr>
        <w:t>p</w:t>
      </w:r>
      <w:r w:rsidRPr="0058455C">
        <w:rPr>
          <w:rFonts w:ascii="Times" w:hAnsi="Times"/>
        </w:rPr>
        <w:t xml:space="preserve">&lt;0.05, * </w:t>
      </w:r>
      <w:r w:rsidRPr="00210B83">
        <w:rPr>
          <w:rFonts w:ascii="Times" w:hAnsi="Times"/>
          <w:lang w:val="en-US"/>
        </w:rPr>
        <w:t>p</w:t>
      </w:r>
      <w:r w:rsidRPr="0058455C">
        <w:rPr>
          <w:rFonts w:ascii="Times" w:hAnsi="Times"/>
        </w:rPr>
        <w:t xml:space="preserve">&lt;0.1. В случае, если возле номера лагов в модели не стоит ни одной звёздочки, </w:t>
      </w:r>
      <w:r>
        <w:rPr>
          <w:rFonts w:ascii="Times" w:hAnsi="Times"/>
        </w:rPr>
        <w:t xml:space="preserve">то </w:t>
      </w:r>
      <w:r>
        <w:rPr>
          <w:rFonts w:ascii="Times" w:hAnsi="Times"/>
          <w:lang w:val="en-US"/>
        </w:rPr>
        <w:t>H</w:t>
      </w:r>
      <w:r w:rsidRPr="0058455C">
        <w:rPr>
          <w:rFonts w:ascii="Times" w:hAnsi="Times"/>
          <w:vertAlign w:val="subscript"/>
        </w:rPr>
        <w:t xml:space="preserve">0 </w:t>
      </w:r>
      <w:r>
        <w:rPr>
          <w:rFonts w:ascii="Times" w:hAnsi="Times"/>
        </w:rPr>
        <w:t>должна быть принята для данной переменной, данного типа теста Дикки-Фуллера, в модели с данным количеством лагов</w:t>
      </w:r>
    </w:p>
    <w:tbl>
      <w:tblPr>
        <w:tblStyle w:val="ae"/>
        <w:tblpPr w:leftFromText="180" w:rightFromText="180" w:vertAnchor="text" w:tblpX="416" w:tblpY="1"/>
        <w:tblOverlap w:val="never"/>
        <w:tblW w:w="13717" w:type="dxa"/>
        <w:tblLayout w:type="fixed"/>
        <w:tblLook w:val="04A0"/>
      </w:tblPr>
      <w:tblGrid>
        <w:gridCol w:w="1242"/>
        <w:gridCol w:w="1985"/>
        <w:gridCol w:w="2551"/>
        <w:gridCol w:w="3119"/>
        <w:gridCol w:w="2127"/>
        <w:gridCol w:w="2693"/>
      </w:tblGrid>
      <w:tr w:rsidR="00B42A3F" w:rsidRPr="000F6176" w:rsidTr="00B42A3F">
        <w:tc>
          <w:tcPr>
            <w:tcW w:w="1242" w:type="dxa"/>
            <w:vMerge w:val="restart"/>
            <w:shd w:val="clear" w:color="auto" w:fill="auto"/>
            <w:vAlign w:val="bottom"/>
          </w:tcPr>
          <w:p w:rsidR="00B42A3F" w:rsidRPr="00C13C6C" w:rsidRDefault="00B42A3F" w:rsidP="00B42A3F">
            <w:pPr>
              <w:jc w:val="center"/>
              <w:rPr>
                <w:rFonts w:ascii="Times" w:hAnsi="Times"/>
                <w:b/>
                <w:sz w:val="22"/>
                <w:szCs w:val="22"/>
              </w:rPr>
            </w:pPr>
            <w:r>
              <w:rPr>
                <w:rFonts w:ascii="Times" w:hAnsi="Times"/>
                <w:b/>
                <w:sz w:val="22"/>
                <w:szCs w:val="22"/>
              </w:rPr>
              <w:t>Переменная</w:t>
            </w:r>
          </w:p>
        </w:tc>
        <w:tc>
          <w:tcPr>
            <w:tcW w:w="1985" w:type="dxa"/>
            <w:shd w:val="clear" w:color="auto" w:fill="auto"/>
            <w:vAlign w:val="bottom"/>
          </w:tcPr>
          <w:p w:rsidR="00B42A3F" w:rsidRPr="00C13C6C" w:rsidRDefault="00B42A3F" w:rsidP="00B42A3F">
            <w:pPr>
              <w:jc w:val="center"/>
              <w:rPr>
                <w:rFonts w:ascii="Times" w:hAnsi="Times"/>
                <w:b/>
                <w:sz w:val="22"/>
                <w:szCs w:val="22"/>
              </w:rPr>
            </w:pPr>
            <w:r w:rsidRPr="00C13C6C">
              <w:rPr>
                <w:rFonts w:ascii="Times" w:hAnsi="Times"/>
                <w:b/>
                <w:sz w:val="22"/>
                <w:szCs w:val="22"/>
              </w:rPr>
              <w:t>Тип теста Дикки-Фуллера</w:t>
            </w:r>
          </w:p>
        </w:tc>
        <w:tc>
          <w:tcPr>
            <w:tcW w:w="2551" w:type="dxa"/>
            <w:shd w:val="clear" w:color="auto" w:fill="auto"/>
            <w:vAlign w:val="bottom"/>
          </w:tcPr>
          <w:p w:rsidR="00B42A3F" w:rsidRPr="00C13C6C" w:rsidRDefault="00B42A3F" w:rsidP="00B42A3F">
            <w:pPr>
              <w:jc w:val="center"/>
              <w:rPr>
                <w:rFonts w:ascii="Times" w:hAnsi="Times"/>
                <w:b/>
                <w:sz w:val="22"/>
                <w:szCs w:val="22"/>
              </w:rPr>
            </w:pPr>
            <w:r w:rsidRPr="00C13C6C">
              <w:rPr>
                <w:rFonts w:ascii="Times" w:hAnsi="Times"/>
                <w:b/>
                <w:sz w:val="22"/>
                <w:szCs w:val="22"/>
              </w:rPr>
              <w:t>допускающий наличие константы, без тренда (не зависит от времени)</w:t>
            </w:r>
          </w:p>
        </w:tc>
        <w:tc>
          <w:tcPr>
            <w:tcW w:w="3119" w:type="dxa"/>
            <w:shd w:val="clear" w:color="auto" w:fill="auto"/>
            <w:vAlign w:val="bottom"/>
          </w:tcPr>
          <w:p w:rsidR="00B42A3F" w:rsidRDefault="00B42A3F" w:rsidP="00B42A3F">
            <w:pPr>
              <w:ind w:right="-257"/>
              <w:jc w:val="center"/>
              <w:rPr>
                <w:rFonts w:ascii="Times" w:hAnsi="Times"/>
                <w:b/>
                <w:sz w:val="22"/>
                <w:szCs w:val="22"/>
              </w:rPr>
            </w:pPr>
            <w:r w:rsidRPr="00C13C6C">
              <w:rPr>
                <w:rFonts w:ascii="Times" w:hAnsi="Times"/>
                <w:b/>
                <w:sz w:val="22"/>
                <w:szCs w:val="22"/>
              </w:rPr>
              <w:t xml:space="preserve">допускающий наличие константы и </w:t>
            </w:r>
          </w:p>
          <w:p w:rsidR="00B42A3F" w:rsidRDefault="00B42A3F" w:rsidP="00B42A3F">
            <w:pPr>
              <w:ind w:right="-257"/>
              <w:jc w:val="center"/>
              <w:rPr>
                <w:rFonts w:ascii="Times" w:hAnsi="Times"/>
                <w:b/>
                <w:sz w:val="22"/>
                <w:szCs w:val="22"/>
              </w:rPr>
            </w:pPr>
            <w:r w:rsidRPr="00C13C6C">
              <w:rPr>
                <w:rFonts w:ascii="Times" w:hAnsi="Times"/>
                <w:b/>
                <w:sz w:val="22"/>
                <w:szCs w:val="22"/>
              </w:rPr>
              <w:t xml:space="preserve">авторегрессионного процесса первого порядка AR(1) </w:t>
            </w:r>
          </w:p>
          <w:p w:rsidR="00B42A3F" w:rsidRDefault="00B42A3F" w:rsidP="00B42A3F">
            <w:pPr>
              <w:ind w:right="-257"/>
              <w:jc w:val="center"/>
              <w:rPr>
                <w:rFonts w:ascii="Times" w:hAnsi="Times"/>
                <w:b/>
                <w:sz w:val="22"/>
                <w:szCs w:val="22"/>
              </w:rPr>
            </w:pPr>
            <w:r w:rsidRPr="00C13C6C">
              <w:rPr>
                <w:rFonts w:ascii="Times" w:hAnsi="Times"/>
                <w:b/>
                <w:sz w:val="22"/>
                <w:szCs w:val="22"/>
              </w:rPr>
              <w:t xml:space="preserve">c дрейфом (дрифтом), </w:t>
            </w:r>
          </w:p>
          <w:p w:rsidR="00B42A3F" w:rsidRPr="00C13C6C" w:rsidRDefault="00B42A3F" w:rsidP="00B42A3F">
            <w:pPr>
              <w:ind w:right="-257"/>
              <w:jc w:val="center"/>
              <w:rPr>
                <w:rFonts w:ascii="Times" w:hAnsi="Times"/>
                <w:b/>
                <w:sz w:val="22"/>
                <w:szCs w:val="22"/>
              </w:rPr>
            </w:pPr>
            <w:r w:rsidRPr="00C13C6C">
              <w:rPr>
                <w:rFonts w:ascii="Times" w:hAnsi="Times"/>
                <w:b/>
                <w:sz w:val="22"/>
                <w:szCs w:val="22"/>
              </w:rPr>
              <w:t>но без тренда (не зависит от переменной, обозначающей время)</w:t>
            </w:r>
          </w:p>
        </w:tc>
        <w:tc>
          <w:tcPr>
            <w:tcW w:w="2127" w:type="dxa"/>
            <w:shd w:val="clear" w:color="auto" w:fill="auto"/>
            <w:vAlign w:val="bottom"/>
          </w:tcPr>
          <w:p w:rsidR="00B42A3F" w:rsidRPr="00C13C6C" w:rsidRDefault="00B42A3F" w:rsidP="00B42A3F">
            <w:pPr>
              <w:jc w:val="center"/>
              <w:rPr>
                <w:rFonts w:ascii="Times" w:hAnsi="Times"/>
                <w:b/>
                <w:sz w:val="22"/>
                <w:szCs w:val="22"/>
              </w:rPr>
            </w:pPr>
            <w:r w:rsidRPr="00C13C6C">
              <w:rPr>
                <w:rFonts w:ascii="Times" w:hAnsi="Times"/>
                <w:b/>
                <w:sz w:val="22"/>
                <w:szCs w:val="22"/>
              </w:rPr>
              <w:t>не допускающий наличие константы и не зависящий от времени</w:t>
            </w:r>
          </w:p>
        </w:tc>
        <w:tc>
          <w:tcPr>
            <w:tcW w:w="2693" w:type="dxa"/>
            <w:shd w:val="clear" w:color="auto" w:fill="auto"/>
            <w:vAlign w:val="bottom"/>
          </w:tcPr>
          <w:p w:rsidR="00B42A3F" w:rsidRPr="00C13C6C" w:rsidRDefault="00B42A3F" w:rsidP="00B42A3F">
            <w:pPr>
              <w:jc w:val="center"/>
              <w:rPr>
                <w:rFonts w:ascii="Times" w:hAnsi="Times"/>
                <w:b/>
                <w:sz w:val="22"/>
                <w:szCs w:val="22"/>
              </w:rPr>
            </w:pPr>
            <w:r w:rsidRPr="00C13C6C">
              <w:rPr>
                <w:rFonts w:ascii="Times" w:hAnsi="Times"/>
                <w:b/>
                <w:sz w:val="22"/>
                <w:szCs w:val="22"/>
              </w:rPr>
              <w:t>допускающий наличие константы и детерминированного тренда</w:t>
            </w:r>
          </w:p>
        </w:tc>
      </w:tr>
      <w:tr w:rsidR="00B42A3F" w:rsidRPr="000F6176" w:rsidTr="00B42A3F">
        <w:tc>
          <w:tcPr>
            <w:tcW w:w="1242" w:type="dxa"/>
            <w:vMerge/>
            <w:shd w:val="clear" w:color="auto" w:fill="auto"/>
          </w:tcPr>
          <w:p w:rsidR="00B42A3F" w:rsidRPr="00877D7D" w:rsidRDefault="00B42A3F" w:rsidP="00B42A3F">
            <w:pPr>
              <w:jc w:val="both"/>
              <w:rPr>
                <w:rFonts w:ascii="Times" w:hAnsi="Times"/>
                <w:sz w:val="22"/>
                <w:szCs w:val="22"/>
              </w:rPr>
            </w:pPr>
          </w:p>
        </w:tc>
        <w:tc>
          <w:tcPr>
            <w:tcW w:w="1985"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константа</w:t>
            </w:r>
          </w:p>
        </w:tc>
        <w:tc>
          <w:tcPr>
            <w:tcW w:w="2551"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может быть</w:t>
            </w:r>
          </w:p>
        </w:tc>
        <w:tc>
          <w:tcPr>
            <w:tcW w:w="3119"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может быть</w:t>
            </w:r>
          </w:p>
        </w:tc>
        <w:tc>
          <w:tcPr>
            <w:tcW w:w="2127"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нет</w:t>
            </w:r>
          </w:p>
        </w:tc>
        <w:tc>
          <w:tcPr>
            <w:tcW w:w="2693"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может быть</w:t>
            </w:r>
          </w:p>
        </w:tc>
      </w:tr>
      <w:tr w:rsidR="00B42A3F" w:rsidRPr="000F6176" w:rsidTr="00B42A3F">
        <w:tc>
          <w:tcPr>
            <w:tcW w:w="1242" w:type="dxa"/>
            <w:vMerge/>
            <w:shd w:val="clear" w:color="auto" w:fill="auto"/>
          </w:tcPr>
          <w:p w:rsidR="00B42A3F" w:rsidRPr="00877D7D" w:rsidRDefault="00B42A3F" w:rsidP="00B42A3F">
            <w:pPr>
              <w:jc w:val="both"/>
              <w:rPr>
                <w:rFonts w:ascii="Times" w:hAnsi="Times"/>
                <w:sz w:val="22"/>
                <w:szCs w:val="22"/>
              </w:rPr>
            </w:pPr>
          </w:p>
        </w:tc>
        <w:tc>
          <w:tcPr>
            <w:tcW w:w="1985"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тренд (зависимость от времени)</w:t>
            </w:r>
          </w:p>
        </w:tc>
        <w:tc>
          <w:tcPr>
            <w:tcW w:w="2551"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нет</w:t>
            </w:r>
          </w:p>
        </w:tc>
        <w:tc>
          <w:tcPr>
            <w:tcW w:w="3119"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нет</w:t>
            </w:r>
          </w:p>
        </w:tc>
        <w:tc>
          <w:tcPr>
            <w:tcW w:w="2127"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нет</w:t>
            </w:r>
          </w:p>
        </w:tc>
        <w:tc>
          <w:tcPr>
            <w:tcW w:w="2693"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может быть</w:t>
            </w:r>
          </w:p>
        </w:tc>
      </w:tr>
      <w:tr w:rsidR="00B42A3F" w:rsidRPr="00B42A3F" w:rsidTr="00B42A3F">
        <w:tc>
          <w:tcPr>
            <w:tcW w:w="1242" w:type="dxa"/>
            <w:vMerge/>
            <w:shd w:val="clear" w:color="auto" w:fill="auto"/>
          </w:tcPr>
          <w:p w:rsidR="00B42A3F" w:rsidRPr="00877D7D" w:rsidRDefault="00B42A3F" w:rsidP="00B42A3F">
            <w:pPr>
              <w:jc w:val="both"/>
              <w:rPr>
                <w:rFonts w:ascii="Times" w:hAnsi="Times"/>
                <w:sz w:val="22"/>
                <w:szCs w:val="22"/>
              </w:rPr>
            </w:pPr>
          </w:p>
        </w:tc>
        <w:tc>
          <w:tcPr>
            <w:tcW w:w="1985"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Команда для расчёта теста в Stata (на примере переменной volumes) и модели без</w:t>
            </w:r>
          </w:p>
        </w:tc>
        <w:tc>
          <w:tcPr>
            <w:tcW w:w="2551"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dfuller volumes, regress lags(0)</w:t>
            </w:r>
          </w:p>
          <w:p w:rsidR="00B42A3F" w:rsidRPr="00877D7D" w:rsidRDefault="00B42A3F" w:rsidP="00B42A3F">
            <w:pPr>
              <w:jc w:val="both"/>
              <w:rPr>
                <w:rFonts w:ascii="Times" w:hAnsi="Times"/>
                <w:sz w:val="22"/>
                <w:szCs w:val="22"/>
              </w:rPr>
            </w:pPr>
          </w:p>
        </w:tc>
        <w:tc>
          <w:tcPr>
            <w:tcW w:w="3119" w:type="dxa"/>
            <w:shd w:val="clear" w:color="auto" w:fill="auto"/>
          </w:tcPr>
          <w:p w:rsidR="00B42A3F" w:rsidRPr="0058455C" w:rsidRDefault="00B42A3F" w:rsidP="00B42A3F">
            <w:pPr>
              <w:jc w:val="both"/>
              <w:rPr>
                <w:rFonts w:ascii="Times" w:hAnsi="Times"/>
                <w:sz w:val="22"/>
                <w:szCs w:val="22"/>
                <w:lang w:val="en-US"/>
              </w:rPr>
            </w:pPr>
            <w:r w:rsidRPr="0058455C">
              <w:rPr>
                <w:rFonts w:ascii="Times" w:hAnsi="Times"/>
                <w:sz w:val="22"/>
                <w:szCs w:val="22"/>
                <w:lang w:val="en-US"/>
              </w:rPr>
              <w:t>dfuller volumes, drift regress lags(0)</w:t>
            </w:r>
          </w:p>
          <w:p w:rsidR="00B42A3F" w:rsidRPr="0058455C" w:rsidRDefault="00B42A3F" w:rsidP="00B42A3F">
            <w:pPr>
              <w:jc w:val="both"/>
              <w:rPr>
                <w:rFonts w:ascii="Times" w:hAnsi="Times"/>
                <w:sz w:val="22"/>
                <w:szCs w:val="22"/>
                <w:lang w:val="en-US"/>
              </w:rPr>
            </w:pPr>
          </w:p>
        </w:tc>
        <w:tc>
          <w:tcPr>
            <w:tcW w:w="2127" w:type="dxa"/>
            <w:shd w:val="clear" w:color="auto" w:fill="auto"/>
          </w:tcPr>
          <w:p w:rsidR="00B42A3F" w:rsidRPr="0058455C" w:rsidRDefault="00B42A3F" w:rsidP="00B42A3F">
            <w:pPr>
              <w:jc w:val="both"/>
              <w:rPr>
                <w:rFonts w:ascii="Times" w:hAnsi="Times"/>
                <w:sz w:val="22"/>
                <w:szCs w:val="22"/>
                <w:lang w:val="en-US"/>
              </w:rPr>
            </w:pPr>
            <w:r w:rsidRPr="0058455C">
              <w:rPr>
                <w:rFonts w:ascii="Times" w:hAnsi="Times"/>
                <w:sz w:val="22"/>
                <w:szCs w:val="22"/>
                <w:lang w:val="en-US"/>
              </w:rPr>
              <w:t>dfuller volumes, noconstant regress lags(0)</w:t>
            </w:r>
          </w:p>
          <w:p w:rsidR="00B42A3F" w:rsidRPr="0058455C" w:rsidRDefault="00B42A3F" w:rsidP="00B42A3F">
            <w:pPr>
              <w:jc w:val="both"/>
              <w:rPr>
                <w:rFonts w:ascii="Times" w:hAnsi="Times"/>
                <w:sz w:val="22"/>
                <w:szCs w:val="22"/>
                <w:lang w:val="en-US"/>
              </w:rPr>
            </w:pPr>
          </w:p>
        </w:tc>
        <w:tc>
          <w:tcPr>
            <w:tcW w:w="2693" w:type="dxa"/>
            <w:shd w:val="clear" w:color="auto" w:fill="auto"/>
          </w:tcPr>
          <w:p w:rsidR="00B42A3F" w:rsidRPr="0058455C" w:rsidRDefault="00B42A3F" w:rsidP="00B42A3F">
            <w:pPr>
              <w:jc w:val="both"/>
              <w:rPr>
                <w:rFonts w:ascii="Times" w:hAnsi="Times"/>
                <w:sz w:val="22"/>
                <w:szCs w:val="22"/>
                <w:lang w:val="en-US"/>
              </w:rPr>
            </w:pPr>
            <w:r w:rsidRPr="0058455C">
              <w:rPr>
                <w:rFonts w:ascii="Times" w:hAnsi="Times"/>
                <w:sz w:val="22"/>
                <w:szCs w:val="22"/>
                <w:lang w:val="en-US"/>
              </w:rPr>
              <w:t>dfuller volumes, trend regress lags(0)</w:t>
            </w:r>
          </w:p>
          <w:p w:rsidR="00B42A3F" w:rsidRPr="0058455C" w:rsidRDefault="00B42A3F" w:rsidP="00B42A3F">
            <w:pPr>
              <w:jc w:val="both"/>
              <w:rPr>
                <w:rFonts w:ascii="Times" w:hAnsi="Times"/>
                <w:sz w:val="22"/>
                <w:szCs w:val="22"/>
                <w:lang w:val="en-US"/>
              </w:rPr>
            </w:pPr>
          </w:p>
        </w:tc>
      </w:tr>
      <w:tr w:rsidR="00B42A3F" w:rsidRPr="000F6176" w:rsidTr="00B42A3F">
        <w:tc>
          <w:tcPr>
            <w:tcW w:w="1242" w:type="dxa"/>
            <w:vMerge/>
            <w:shd w:val="clear" w:color="auto" w:fill="auto"/>
          </w:tcPr>
          <w:p w:rsidR="00B42A3F" w:rsidRPr="0058455C" w:rsidRDefault="00B42A3F" w:rsidP="00B42A3F">
            <w:pPr>
              <w:jc w:val="both"/>
              <w:rPr>
                <w:rFonts w:ascii="Times" w:hAnsi="Times"/>
                <w:sz w:val="22"/>
                <w:szCs w:val="22"/>
                <w:lang w:val="en-US"/>
              </w:rPr>
            </w:pPr>
          </w:p>
        </w:tc>
        <w:tc>
          <w:tcPr>
            <w:tcW w:w="1985"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H</w:t>
            </w:r>
            <w:r w:rsidRPr="00877D7D">
              <w:rPr>
                <w:rFonts w:ascii="Times" w:hAnsi="Times"/>
                <w:sz w:val="22"/>
                <w:szCs w:val="22"/>
                <w:vertAlign w:val="subscript"/>
              </w:rPr>
              <w:t>0</w:t>
            </w:r>
          </w:p>
        </w:tc>
        <w:tc>
          <w:tcPr>
            <w:tcW w:w="10490" w:type="dxa"/>
            <w:gridSpan w:val="4"/>
            <w:shd w:val="clear" w:color="auto" w:fill="auto"/>
            <w:vAlign w:val="center"/>
          </w:tcPr>
          <w:p w:rsidR="00B42A3F" w:rsidRPr="00877D7D" w:rsidRDefault="00B42A3F" w:rsidP="00B42A3F">
            <w:pPr>
              <w:jc w:val="center"/>
              <w:rPr>
                <w:rFonts w:ascii="Times" w:hAnsi="Times"/>
                <w:sz w:val="22"/>
                <w:szCs w:val="22"/>
              </w:rPr>
            </w:pPr>
            <w:r w:rsidRPr="00877D7D">
              <w:rPr>
                <w:rFonts w:ascii="Times" w:hAnsi="Times"/>
                <w:sz w:val="22"/>
                <w:szCs w:val="22"/>
              </w:rPr>
              <w:t>временной ряд описывается процессом случайного блуждания</w:t>
            </w:r>
          </w:p>
        </w:tc>
      </w:tr>
      <w:tr w:rsidR="00B42A3F" w:rsidRPr="000F6176" w:rsidTr="00B42A3F">
        <w:tc>
          <w:tcPr>
            <w:tcW w:w="1242" w:type="dxa"/>
            <w:vMerge/>
            <w:shd w:val="clear" w:color="auto" w:fill="auto"/>
          </w:tcPr>
          <w:p w:rsidR="00B42A3F" w:rsidRPr="00877D7D" w:rsidRDefault="00B42A3F" w:rsidP="00B42A3F">
            <w:pPr>
              <w:jc w:val="both"/>
              <w:rPr>
                <w:rFonts w:ascii="Times" w:hAnsi="Times"/>
                <w:sz w:val="22"/>
                <w:szCs w:val="22"/>
              </w:rPr>
            </w:pPr>
          </w:p>
        </w:tc>
        <w:tc>
          <w:tcPr>
            <w:tcW w:w="1985"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H</w:t>
            </w:r>
            <w:r w:rsidRPr="00877D7D">
              <w:rPr>
                <w:rFonts w:ascii="Times" w:hAnsi="Times"/>
                <w:sz w:val="22"/>
                <w:szCs w:val="22"/>
                <w:vertAlign w:val="subscript"/>
              </w:rPr>
              <w:t>1</w:t>
            </w:r>
          </w:p>
        </w:tc>
        <w:tc>
          <w:tcPr>
            <w:tcW w:w="2551"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временной ряд обладает стационарностью типа авторегрессионного процесса первого порядка AR(1)</w:t>
            </w:r>
          </w:p>
        </w:tc>
        <w:tc>
          <w:tcPr>
            <w:tcW w:w="3119"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временной ряд обладает стационарностью типа авторегрессионного процесса первого порядка AR(1) с дрифтом (дрейфом)</w:t>
            </w:r>
          </w:p>
        </w:tc>
        <w:tc>
          <w:tcPr>
            <w:tcW w:w="2127"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временной ряд стационарен</w:t>
            </w:r>
          </w:p>
        </w:tc>
        <w:tc>
          <w:tcPr>
            <w:tcW w:w="2693"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временной ряд обладает стационарностью типа авторегрессионного процесса порядка AR(1) c дрифтом или без дрифта</w:t>
            </w:r>
          </w:p>
        </w:tc>
      </w:tr>
      <w:tr w:rsidR="00B42A3F" w:rsidRPr="000F6176" w:rsidTr="00B42A3F">
        <w:tc>
          <w:tcPr>
            <w:tcW w:w="1242" w:type="dxa"/>
            <w:shd w:val="clear" w:color="auto" w:fill="auto"/>
            <w:vAlign w:val="bottom"/>
          </w:tcPr>
          <w:p w:rsidR="00B42A3F" w:rsidRPr="00765C72" w:rsidRDefault="00B42A3F" w:rsidP="00B42A3F">
            <w:pPr>
              <w:jc w:val="center"/>
              <w:rPr>
                <w:rFonts w:ascii="Times" w:hAnsi="Times"/>
                <w:b/>
                <w:sz w:val="22"/>
                <w:szCs w:val="22"/>
              </w:rPr>
            </w:pPr>
            <w:r w:rsidRPr="00765C72">
              <w:rPr>
                <w:rFonts w:ascii="Times" w:hAnsi="Times"/>
                <w:b/>
                <w:sz w:val="22"/>
                <w:szCs w:val="22"/>
              </w:rPr>
              <w:t>Код столбца</w:t>
            </w:r>
          </w:p>
        </w:tc>
        <w:tc>
          <w:tcPr>
            <w:tcW w:w="1985" w:type="dxa"/>
            <w:shd w:val="clear" w:color="auto" w:fill="auto"/>
            <w:vAlign w:val="bottom"/>
          </w:tcPr>
          <w:p w:rsidR="00B42A3F" w:rsidRPr="00765C72" w:rsidRDefault="00B42A3F" w:rsidP="00B42A3F">
            <w:pPr>
              <w:jc w:val="center"/>
              <w:rPr>
                <w:rFonts w:ascii="Times" w:hAnsi="Times"/>
                <w:b/>
                <w:sz w:val="22"/>
                <w:szCs w:val="22"/>
              </w:rPr>
            </w:pPr>
            <w:r w:rsidRPr="00765C72">
              <w:rPr>
                <w:rFonts w:ascii="Times" w:hAnsi="Times"/>
                <w:b/>
                <w:sz w:val="22"/>
                <w:szCs w:val="22"/>
              </w:rPr>
              <w:t>1</w:t>
            </w:r>
          </w:p>
        </w:tc>
        <w:tc>
          <w:tcPr>
            <w:tcW w:w="2551" w:type="dxa"/>
            <w:shd w:val="clear" w:color="auto" w:fill="auto"/>
            <w:vAlign w:val="bottom"/>
          </w:tcPr>
          <w:p w:rsidR="00B42A3F" w:rsidRPr="00765C72" w:rsidRDefault="00B42A3F" w:rsidP="00B42A3F">
            <w:pPr>
              <w:jc w:val="center"/>
              <w:rPr>
                <w:rFonts w:ascii="Times" w:hAnsi="Times"/>
                <w:b/>
                <w:sz w:val="22"/>
                <w:szCs w:val="22"/>
              </w:rPr>
            </w:pPr>
            <w:r w:rsidRPr="00765C72">
              <w:rPr>
                <w:rFonts w:ascii="Times" w:hAnsi="Times"/>
                <w:b/>
                <w:sz w:val="22"/>
                <w:szCs w:val="22"/>
              </w:rPr>
              <w:t>2</w:t>
            </w:r>
          </w:p>
        </w:tc>
        <w:tc>
          <w:tcPr>
            <w:tcW w:w="3119" w:type="dxa"/>
            <w:shd w:val="clear" w:color="auto" w:fill="auto"/>
            <w:vAlign w:val="bottom"/>
          </w:tcPr>
          <w:p w:rsidR="00B42A3F" w:rsidRPr="00765C72" w:rsidRDefault="00B42A3F" w:rsidP="00B42A3F">
            <w:pPr>
              <w:jc w:val="center"/>
              <w:rPr>
                <w:rFonts w:ascii="Times" w:hAnsi="Times"/>
                <w:b/>
                <w:sz w:val="22"/>
                <w:szCs w:val="22"/>
              </w:rPr>
            </w:pPr>
            <w:r w:rsidRPr="00765C72">
              <w:rPr>
                <w:rFonts w:ascii="Times" w:hAnsi="Times"/>
                <w:b/>
                <w:sz w:val="22"/>
                <w:szCs w:val="22"/>
              </w:rPr>
              <w:t>3</w:t>
            </w:r>
          </w:p>
        </w:tc>
        <w:tc>
          <w:tcPr>
            <w:tcW w:w="2127" w:type="dxa"/>
            <w:shd w:val="clear" w:color="auto" w:fill="auto"/>
            <w:vAlign w:val="bottom"/>
          </w:tcPr>
          <w:p w:rsidR="00B42A3F" w:rsidRPr="00765C72" w:rsidRDefault="00B42A3F" w:rsidP="00B42A3F">
            <w:pPr>
              <w:jc w:val="center"/>
              <w:rPr>
                <w:rFonts w:ascii="Times" w:hAnsi="Times"/>
                <w:b/>
                <w:sz w:val="22"/>
                <w:szCs w:val="22"/>
              </w:rPr>
            </w:pPr>
            <w:r w:rsidRPr="00765C72">
              <w:rPr>
                <w:rFonts w:ascii="Times" w:hAnsi="Times"/>
                <w:b/>
                <w:sz w:val="22"/>
                <w:szCs w:val="22"/>
              </w:rPr>
              <w:t>4</w:t>
            </w:r>
          </w:p>
        </w:tc>
        <w:tc>
          <w:tcPr>
            <w:tcW w:w="2693" w:type="dxa"/>
            <w:shd w:val="clear" w:color="auto" w:fill="auto"/>
            <w:vAlign w:val="bottom"/>
          </w:tcPr>
          <w:p w:rsidR="00B42A3F" w:rsidRPr="00765C72" w:rsidRDefault="00B42A3F" w:rsidP="00B42A3F">
            <w:pPr>
              <w:jc w:val="center"/>
              <w:rPr>
                <w:rFonts w:ascii="Times" w:hAnsi="Times"/>
                <w:b/>
                <w:sz w:val="22"/>
                <w:szCs w:val="22"/>
              </w:rPr>
            </w:pPr>
            <w:r w:rsidRPr="00765C72">
              <w:rPr>
                <w:rFonts w:ascii="Times" w:hAnsi="Times"/>
                <w:b/>
                <w:sz w:val="22"/>
                <w:szCs w:val="22"/>
              </w:rPr>
              <w:t>5</w:t>
            </w:r>
          </w:p>
        </w:tc>
      </w:tr>
    </w:tbl>
    <w:p w:rsidR="00B42A3F" w:rsidRDefault="00B42A3F" w:rsidP="00B42A3F">
      <w:pPr>
        <w:sectPr w:rsidR="00B42A3F" w:rsidSect="00B42A3F">
          <w:pgSz w:w="16840" w:h="11900" w:orient="landscape"/>
          <w:pgMar w:top="851" w:right="1389" w:bottom="1418" w:left="1304" w:header="709" w:footer="907" w:gutter="0"/>
          <w:cols w:space="708"/>
          <w:docGrid w:linePitch="360"/>
        </w:sectPr>
      </w:pPr>
    </w:p>
    <w:p w:rsidR="00B42A3F" w:rsidRPr="00ED26F7" w:rsidRDefault="00B42A3F" w:rsidP="00E06C9A">
      <w:pPr>
        <w:ind w:left="284" w:firstLine="0"/>
        <w:rPr>
          <w:rFonts w:ascii="Times" w:hAnsi="Times" w:cs="Helvetica CY"/>
        </w:rPr>
      </w:pPr>
      <w:r w:rsidRPr="00ED26F7">
        <w:rPr>
          <w:rFonts w:ascii="Times" w:hAnsi="Times" w:cs="Helvetica CY"/>
        </w:rPr>
        <w:lastRenderedPageBreak/>
        <w:t>Продолжение таблицы 2</w:t>
      </w:r>
    </w:p>
    <w:p w:rsidR="00B42A3F" w:rsidRPr="00645605" w:rsidRDefault="00B42A3F" w:rsidP="00E06C9A">
      <w:pPr>
        <w:ind w:left="284" w:firstLine="0"/>
        <w:rPr>
          <w:rFonts w:ascii="Times" w:hAnsi="Times" w:cs="Helvetica CY"/>
        </w:rPr>
      </w:pPr>
      <w:r w:rsidRPr="00645605">
        <w:rPr>
          <w:rFonts w:ascii="Times" w:hAnsi="Times" w:cs="Helvetica CY"/>
        </w:rPr>
        <w:t>В столбце 6 – выводы по тесту Дикки-Фуллера для данной переменной по всем типам теста для моделей с количеством лагов 0-6 для данного временного периода</w:t>
      </w:r>
      <w:r>
        <w:rPr>
          <w:rFonts w:ascii="Times" w:hAnsi="Times" w:cs="Helvetica CY"/>
        </w:rPr>
        <w:t xml:space="preserve"> (гипотеза о стационарности, которую можно принять на основе результатов теста: «наличие/отсутствие/ под вопросом»</w:t>
      </w:r>
    </w:p>
    <w:tbl>
      <w:tblPr>
        <w:tblStyle w:val="ae"/>
        <w:tblpPr w:leftFromText="180" w:rightFromText="180" w:vertAnchor="text" w:tblpX="416" w:tblpY="1"/>
        <w:tblOverlap w:val="never"/>
        <w:tblW w:w="9322" w:type="dxa"/>
        <w:tblLayout w:type="fixed"/>
        <w:tblLook w:val="04A0"/>
      </w:tblPr>
      <w:tblGrid>
        <w:gridCol w:w="1668"/>
        <w:gridCol w:w="1842"/>
        <w:gridCol w:w="993"/>
        <w:gridCol w:w="850"/>
        <w:gridCol w:w="851"/>
        <w:gridCol w:w="850"/>
        <w:gridCol w:w="2268"/>
      </w:tblGrid>
      <w:tr w:rsidR="00B42A3F" w:rsidRPr="000F6176" w:rsidTr="00B42A3F">
        <w:tc>
          <w:tcPr>
            <w:tcW w:w="1668" w:type="dxa"/>
            <w:shd w:val="clear" w:color="auto" w:fill="auto"/>
            <w:vAlign w:val="bottom"/>
          </w:tcPr>
          <w:p w:rsidR="00B42A3F" w:rsidRDefault="00B42A3F" w:rsidP="00B42A3F">
            <w:pPr>
              <w:ind w:left="113" w:right="113"/>
              <w:jc w:val="center"/>
              <w:rPr>
                <w:rFonts w:ascii="Times" w:hAnsi="Times"/>
                <w:b/>
                <w:sz w:val="22"/>
                <w:szCs w:val="22"/>
                <w:lang w:val="en-US"/>
              </w:rPr>
            </w:pPr>
            <w:r w:rsidRPr="00765C72">
              <w:rPr>
                <w:rFonts w:ascii="Times" w:hAnsi="Times"/>
                <w:b/>
                <w:sz w:val="22"/>
                <w:szCs w:val="22"/>
              </w:rPr>
              <w:t>Код столбца</w:t>
            </w:r>
          </w:p>
        </w:tc>
        <w:tc>
          <w:tcPr>
            <w:tcW w:w="1842" w:type="dxa"/>
            <w:shd w:val="clear" w:color="auto" w:fill="auto"/>
            <w:vAlign w:val="bottom"/>
          </w:tcPr>
          <w:p w:rsidR="00B42A3F" w:rsidRDefault="00B42A3F" w:rsidP="00B42A3F">
            <w:pPr>
              <w:jc w:val="center"/>
              <w:rPr>
                <w:rFonts w:ascii="Times" w:hAnsi="Times"/>
                <w:sz w:val="22"/>
                <w:szCs w:val="22"/>
                <w:lang w:val="en-US"/>
              </w:rPr>
            </w:pPr>
            <w:r w:rsidRPr="00765C72">
              <w:rPr>
                <w:rFonts w:ascii="Times" w:hAnsi="Times"/>
                <w:b/>
                <w:sz w:val="22"/>
                <w:szCs w:val="22"/>
              </w:rPr>
              <w:t>1</w:t>
            </w:r>
          </w:p>
        </w:tc>
        <w:tc>
          <w:tcPr>
            <w:tcW w:w="993"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2</w:t>
            </w:r>
          </w:p>
        </w:tc>
        <w:tc>
          <w:tcPr>
            <w:tcW w:w="850"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3</w:t>
            </w:r>
          </w:p>
        </w:tc>
        <w:tc>
          <w:tcPr>
            <w:tcW w:w="851"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4</w:t>
            </w:r>
          </w:p>
        </w:tc>
        <w:tc>
          <w:tcPr>
            <w:tcW w:w="850"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5</w:t>
            </w:r>
          </w:p>
        </w:tc>
        <w:tc>
          <w:tcPr>
            <w:tcW w:w="2268" w:type="dxa"/>
            <w:vAlign w:val="bottom"/>
          </w:tcPr>
          <w:p w:rsidR="00B42A3F" w:rsidRPr="00765C72" w:rsidRDefault="00B42A3F" w:rsidP="00B42A3F">
            <w:pPr>
              <w:jc w:val="center"/>
              <w:rPr>
                <w:rFonts w:ascii="Times" w:hAnsi="Times"/>
                <w:b/>
                <w:sz w:val="22"/>
                <w:szCs w:val="22"/>
              </w:rPr>
            </w:pPr>
            <w:r>
              <w:rPr>
                <w:rFonts w:ascii="Times" w:hAnsi="Times"/>
                <w:b/>
                <w:sz w:val="22"/>
                <w:szCs w:val="22"/>
              </w:rPr>
              <w:t>6</w:t>
            </w:r>
          </w:p>
        </w:tc>
      </w:tr>
      <w:tr w:rsidR="00B42A3F" w:rsidRPr="000F6176" w:rsidTr="00B42A3F">
        <w:tc>
          <w:tcPr>
            <w:tcW w:w="1668" w:type="dxa"/>
            <w:vMerge w:val="restart"/>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r>
              <w:rPr>
                <w:rFonts w:ascii="Times" w:hAnsi="Times"/>
                <w:b/>
                <w:sz w:val="22"/>
                <w:szCs w:val="22"/>
                <w:lang w:val="en-US"/>
              </w:rPr>
              <w:t>treasury_return</w:t>
            </w: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treasury_return,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treasury_return,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treasury_return, 2014-2015</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rPr>
          <w:trHeight w:val="1456"/>
        </w:trPr>
        <w:tc>
          <w:tcPr>
            <w:tcW w:w="1668" w:type="dxa"/>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r>
              <w:rPr>
                <w:rFonts w:ascii="Times" w:hAnsi="Times"/>
                <w:b/>
                <w:sz w:val="22"/>
                <w:szCs w:val="22"/>
                <w:lang w:val="en-US"/>
              </w:rPr>
              <w:t>Dtreasury_return</w:t>
            </w: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Dtreasury_return,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rPr>
          <w:trHeight w:val="1456"/>
        </w:trPr>
        <w:tc>
          <w:tcPr>
            <w:tcW w:w="1668" w:type="dxa"/>
            <w:vMerge w:val="restart"/>
            <w:shd w:val="clear" w:color="auto" w:fill="auto"/>
            <w:textDirection w:val="btLr"/>
            <w:vAlign w:val="center"/>
          </w:tcPr>
          <w:p w:rsidR="00B42A3F" w:rsidRDefault="00B42A3F" w:rsidP="00B42A3F">
            <w:pPr>
              <w:ind w:left="113" w:right="113"/>
              <w:jc w:val="center"/>
              <w:rPr>
                <w:rFonts w:ascii="Times" w:hAnsi="Times"/>
                <w:b/>
                <w:sz w:val="22"/>
                <w:szCs w:val="22"/>
                <w:lang w:val="en-US"/>
              </w:rPr>
            </w:pPr>
            <w:r>
              <w:rPr>
                <w:rFonts w:ascii="Times" w:hAnsi="Times"/>
                <w:b/>
                <w:sz w:val="22"/>
                <w:szCs w:val="22"/>
                <w:lang w:val="en-US"/>
              </w:rPr>
              <w:t xml:space="preserve"> Dtreasury_</w:t>
            </w:r>
          </w:p>
          <w:p w:rsidR="00B42A3F" w:rsidRDefault="00B42A3F" w:rsidP="00B42A3F">
            <w:pPr>
              <w:ind w:left="113" w:right="113"/>
              <w:jc w:val="center"/>
              <w:rPr>
                <w:rFonts w:ascii="Times" w:hAnsi="Times"/>
                <w:b/>
                <w:sz w:val="22"/>
                <w:szCs w:val="22"/>
                <w:lang w:val="en-US"/>
              </w:rPr>
            </w:pPr>
            <w:r>
              <w:rPr>
                <w:rFonts w:ascii="Times" w:hAnsi="Times"/>
                <w:b/>
                <w:sz w:val="22"/>
                <w:szCs w:val="22"/>
                <w:lang w:val="en-US"/>
              </w:rPr>
              <w:t>return</w:t>
            </w: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Dtreasury_return,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rPr>
          <w:trHeight w:val="1456"/>
        </w:trPr>
        <w:tc>
          <w:tcPr>
            <w:tcW w:w="1668" w:type="dxa"/>
            <w:vMerge/>
            <w:shd w:val="clear" w:color="auto" w:fill="auto"/>
            <w:textDirection w:val="btLr"/>
            <w:vAlign w:val="center"/>
          </w:tcPr>
          <w:p w:rsidR="00B42A3F"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Dtreasury_return, 2014-2015</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p w:rsidR="00B42A3F" w:rsidRDefault="00B42A3F" w:rsidP="00B42A3F">
            <w:pPr>
              <w:jc w:val="both"/>
              <w:rPr>
                <w:rFonts w:ascii="Times" w:hAnsi="Times"/>
                <w:sz w:val="22"/>
                <w:szCs w:val="22"/>
              </w:rPr>
            </w:pPr>
          </w:p>
          <w:p w:rsidR="00B42A3F" w:rsidRDefault="00B42A3F" w:rsidP="00B42A3F">
            <w:pPr>
              <w:jc w:val="both"/>
              <w:rPr>
                <w:rFonts w:ascii="Times" w:hAnsi="Times"/>
                <w:sz w:val="22"/>
                <w:szCs w:val="22"/>
              </w:rPr>
            </w:pPr>
          </w:p>
          <w:p w:rsidR="00B42A3F" w:rsidRDefault="00B42A3F" w:rsidP="00B42A3F">
            <w:pPr>
              <w:jc w:val="both"/>
              <w:rPr>
                <w:rFonts w:ascii="Times" w:hAnsi="Times"/>
                <w:sz w:val="22"/>
                <w:szCs w:val="22"/>
              </w:rPr>
            </w:pPr>
          </w:p>
          <w:p w:rsidR="00B42A3F" w:rsidRDefault="00B42A3F" w:rsidP="00B42A3F">
            <w:pPr>
              <w:jc w:val="both"/>
              <w:rPr>
                <w:rFonts w:ascii="Times" w:hAnsi="Times"/>
                <w:sz w:val="22"/>
                <w:szCs w:val="22"/>
              </w:rPr>
            </w:pPr>
          </w:p>
          <w:p w:rsidR="00B42A3F" w:rsidRDefault="00B42A3F" w:rsidP="00B42A3F">
            <w:pPr>
              <w:jc w:val="both"/>
              <w:rPr>
                <w:rFonts w:ascii="Times" w:hAnsi="Times"/>
                <w:sz w:val="22"/>
                <w:szCs w:val="22"/>
              </w:rPr>
            </w:pPr>
          </w:p>
          <w:p w:rsidR="00B42A3F" w:rsidRDefault="00B42A3F" w:rsidP="00B42A3F">
            <w:pPr>
              <w:jc w:val="both"/>
              <w:rPr>
                <w:rFonts w:ascii="Times" w:hAnsi="Times"/>
                <w:sz w:val="22"/>
                <w:szCs w:val="22"/>
              </w:rPr>
            </w:pPr>
          </w:p>
          <w:p w:rsidR="00B42A3F" w:rsidRDefault="00B42A3F" w:rsidP="00B42A3F">
            <w:pPr>
              <w:jc w:val="both"/>
              <w:rPr>
                <w:rFonts w:ascii="Times" w:hAnsi="Times"/>
                <w:sz w:val="22"/>
                <w:szCs w:val="22"/>
              </w:rPr>
            </w:pPr>
          </w:p>
          <w:p w:rsidR="00B42A3F" w:rsidRDefault="00B42A3F" w:rsidP="00B42A3F">
            <w:pPr>
              <w:jc w:val="both"/>
              <w:rPr>
                <w:rFonts w:ascii="Times" w:hAnsi="Times"/>
                <w:sz w:val="22"/>
                <w:szCs w:val="22"/>
              </w:rPr>
            </w:pPr>
          </w:p>
          <w:p w:rsidR="00B42A3F" w:rsidRDefault="00B42A3F" w:rsidP="00B42A3F">
            <w:pPr>
              <w:jc w:val="both"/>
              <w:rPr>
                <w:rFonts w:ascii="Times" w:hAnsi="Times"/>
                <w:sz w:val="22"/>
                <w:szCs w:val="22"/>
              </w:rPr>
            </w:pPr>
          </w:p>
          <w:p w:rsidR="00B42A3F" w:rsidRDefault="00B42A3F" w:rsidP="00B42A3F">
            <w:pPr>
              <w:jc w:val="both"/>
              <w:rPr>
                <w:rFonts w:ascii="Times" w:hAnsi="Times"/>
                <w:sz w:val="22"/>
                <w:szCs w:val="22"/>
              </w:rPr>
            </w:pPr>
          </w:p>
        </w:tc>
      </w:tr>
    </w:tbl>
    <w:p w:rsidR="00B42A3F" w:rsidRDefault="00B42A3F" w:rsidP="00B42A3F">
      <w:r>
        <w:br w:type="page"/>
      </w:r>
    </w:p>
    <w:p w:rsidR="00B42A3F" w:rsidRPr="00ED26F7" w:rsidRDefault="00B42A3F" w:rsidP="00B42A3F">
      <w:pPr>
        <w:ind w:left="284"/>
        <w:rPr>
          <w:rFonts w:ascii="Times" w:hAnsi="Times" w:cs="Helvetica CY"/>
        </w:rPr>
      </w:pPr>
      <w:r w:rsidRPr="00ED26F7">
        <w:rPr>
          <w:rFonts w:ascii="Times" w:hAnsi="Times" w:cs="Helvetica CY"/>
        </w:rPr>
        <w:lastRenderedPageBreak/>
        <w:t>Продолжение таблицы 2</w:t>
      </w:r>
    </w:p>
    <w:p w:rsidR="00B42A3F" w:rsidRDefault="00B42A3F" w:rsidP="00B42A3F"/>
    <w:tbl>
      <w:tblPr>
        <w:tblStyle w:val="ae"/>
        <w:tblpPr w:leftFromText="180" w:rightFromText="180" w:vertAnchor="text" w:tblpX="416" w:tblpY="1"/>
        <w:tblOverlap w:val="never"/>
        <w:tblW w:w="9322" w:type="dxa"/>
        <w:tblLayout w:type="fixed"/>
        <w:tblLook w:val="04A0"/>
      </w:tblPr>
      <w:tblGrid>
        <w:gridCol w:w="1668"/>
        <w:gridCol w:w="1842"/>
        <w:gridCol w:w="993"/>
        <w:gridCol w:w="850"/>
        <w:gridCol w:w="851"/>
        <w:gridCol w:w="850"/>
        <w:gridCol w:w="2268"/>
      </w:tblGrid>
      <w:tr w:rsidR="00B42A3F" w:rsidRPr="000F6176" w:rsidTr="00B42A3F">
        <w:trPr>
          <w:trHeight w:val="341"/>
        </w:trPr>
        <w:tc>
          <w:tcPr>
            <w:tcW w:w="1668" w:type="dxa"/>
            <w:shd w:val="clear" w:color="auto" w:fill="auto"/>
            <w:vAlign w:val="bottom"/>
          </w:tcPr>
          <w:p w:rsidR="00B42A3F" w:rsidRDefault="00B42A3F" w:rsidP="00B42A3F">
            <w:pPr>
              <w:ind w:left="113" w:right="113"/>
              <w:jc w:val="center"/>
              <w:rPr>
                <w:rFonts w:ascii="Times" w:hAnsi="Times"/>
                <w:b/>
                <w:sz w:val="22"/>
                <w:szCs w:val="22"/>
                <w:lang w:val="en-US"/>
              </w:rPr>
            </w:pPr>
            <w:r w:rsidRPr="00765C72">
              <w:rPr>
                <w:rFonts w:ascii="Times" w:hAnsi="Times"/>
                <w:b/>
                <w:sz w:val="22"/>
                <w:szCs w:val="22"/>
              </w:rPr>
              <w:t>Код столбца</w:t>
            </w:r>
          </w:p>
        </w:tc>
        <w:tc>
          <w:tcPr>
            <w:tcW w:w="1842" w:type="dxa"/>
            <w:shd w:val="clear" w:color="auto" w:fill="auto"/>
            <w:vAlign w:val="bottom"/>
          </w:tcPr>
          <w:p w:rsidR="00B42A3F" w:rsidRDefault="00B42A3F" w:rsidP="00B42A3F">
            <w:pPr>
              <w:jc w:val="center"/>
              <w:rPr>
                <w:rFonts w:ascii="Times" w:hAnsi="Times"/>
                <w:sz w:val="22"/>
                <w:szCs w:val="22"/>
                <w:lang w:val="en-US"/>
              </w:rPr>
            </w:pPr>
            <w:r w:rsidRPr="00765C72">
              <w:rPr>
                <w:rFonts w:ascii="Times" w:hAnsi="Times"/>
                <w:b/>
                <w:sz w:val="22"/>
                <w:szCs w:val="22"/>
              </w:rPr>
              <w:t>1</w:t>
            </w:r>
          </w:p>
        </w:tc>
        <w:tc>
          <w:tcPr>
            <w:tcW w:w="993"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2</w:t>
            </w:r>
          </w:p>
        </w:tc>
        <w:tc>
          <w:tcPr>
            <w:tcW w:w="850"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3</w:t>
            </w:r>
          </w:p>
        </w:tc>
        <w:tc>
          <w:tcPr>
            <w:tcW w:w="851"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4</w:t>
            </w:r>
          </w:p>
        </w:tc>
        <w:tc>
          <w:tcPr>
            <w:tcW w:w="850"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5</w:t>
            </w:r>
          </w:p>
        </w:tc>
        <w:tc>
          <w:tcPr>
            <w:tcW w:w="2268" w:type="dxa"/>
            <w:vAlign w:val="bottom"/>
          </w:tcPr>
          <w:p w:rsidR="00B42A3F" w:rsidRDefault="00B42A3F" w:rsidP="00B42A3F">
            <w:pPr>
              <w:jc w:val="center"/>
              <w:rPr>
                <w:rFonts w:ascii="Times" w:hAnsi="Times"/>
                <w:sz w:val="22"/>
                <w:szCs w:val="22"/>
              </w:rPr>
            </w:pPr>
            <w:r>
              <w:rPr>
                <w:rFonts w:ascii="Times" w:hAnsi="Times"/>
                <w:b/>
                <w:sz w:val="22"/>
                <w:szCs w:val="22"/>
              </w:rPr>
              <w:t>6</w:t>
            </w:r>
          </w:p>
        </w:tc>
      </w:tr>
      <w:tr w:rsidR="00B42A3F" w:rsidRPr="000F6176" w:rsidTr="00B42A3F">
        <w:trPr>
          <w:trHeight w:val="341"/>
        </w:trPr>
        <w:tc>
          <w:tcPr>
            <w:tcW w:w="1668" w:type="dxa"/>
            <w:vMerge w:val="restart"/>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r>
              <w:rPr>
                <w:rFonts w:ascii="Times" w:hAnsi="Times"/>
                <w:b/>
                <w:sz w:val="22"/>
                <w:szCs w:val="22"/>
                <w:lang w:val="en-US"/>
              </w:rPr>
              <w:t>DDtreasury_return</w:t>
            </w: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DDtreasury_return,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DDtreasury_return,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DDtreasury_return, 2014-2015</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bl>
    <w:p w:rsidR="00B42A3F" w:rsidRDefault="00B42A3F" w:rsidP="00B42A3F">
      <w:pPr>
        <w:spacing w:line="14" w:lineRule="exact"/>
      </w:pPr>
    </w:p>
    <w:tbl>
      <w:tblPr>
        <w:tblStyle w:val="ae"/>
        <w:tblpPr w:leftFromText="180" w:rightFromText="180" w:vertAnchor="text" w:tblpX="416" w:tblpY="1"/>
        <w:tblOverlap w:val="never"/>
        <w:tblW w:w="9322" w:type="dxa"/>
        <w:tblLayout w:type="fixed"/>
        <w:tblLook w:val="04A0"/>
      </w:tblPr>
      <w:tblGrid>
        <w:gridCol w:w="1668"/>
        <w:gridCol w:w="1842"/>
        <w:gridCol w:w="993"/>
        <w:gridCol w:w="850"/>
        <w:gridCol w:w="851"/>
        <w:gridCol w:w="850"/>
        <w:gridCol w:w="2268"/>
      </w:tblGrid>
      <w:tr w:rsidR="00B42A3F" w:rsidRPr="000F6176" w:rsidTr="00B42A3F">
        <w:tc>
          <w:tcPr>
            <w:tcW w:w="1668" w:type="dxa"/>
            <w:vMerge w:val="restart"/>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r>
              <w:rPr>
                <w:rFonts w:ascii="Times" w:hAnsi="Times"/>
                <w:b/>
                <w:sz w:val="22"/>
                <w:szCs w:val="22"/>
                <w:lang w:val="en-US"/>
              </w:rPr>
              <w:t>corporate_return</w:t>
            </w: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corporate_return,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corporate_return,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corporate_return, 2014-2015</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r>
              <w:rPr>
                <w:rFonts w:ascii="Times" w:hAnsi="Times"/>
                <w:b/>
                <w:sz w:val="22"/>
                <w:szCs w:val="22"/>
                <w:lang w:val="en-US"/>
              </w:rPr>
              <w:t>Dcorporate_return</w:t>
            </w: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Dcorporate_return,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bl>
    <w:p w:rsidR="00B42A3F" w:rsidRPr="00E06C9A" w:rsidRDefault="00B42A3F" w:rsidP="00E06C9A">
      <w:pPr>
        <w:ind w:left="0" w:firstLine="0"/>
        <w:rPr>
          <w:rFonts w:ascii="Times New Roman" w:hAnsi="Times New Roman"/>
          <w:lang w:val="en-US"/>
        </w:rPr>
      </w:pPr>
    </w:p>
    <w:tbl>
      <w:tblPr>
        <w:tblStyle w:val="ae"/>
        <w:tblpPr w:leftFromText="180" w:rightFromText="180" w:vertAnchor="text" w:tblpX="416" w:tblpY="1"/>
        <w:tblOverlap w:val="never"/>
        <w:tblW w:w="9322" w:type="dxa"/>
        <w:tblLayout w:type="fixed"/>
        <w:tblLook w:val="04A0"/>
      </w:tblPr>
      <w:tblGrid>
        <w:gridCol w:w="1668"/>
        <w:gridCol w:w="1842"/>
        <w:gridCol w:w="993"/>
        <w:gridCol w:w="850"/>
        <w:gridCol w:w="851"/>
        <w:gridCol w:w="850"/>
        <w:gridCol w:w="2268"/>
      </w:tblGrid>
      <w:tr w:rsidR="00B42A3F" w:rsidRPr="000F6176" w:rsidTr="00B42A3F">
        <w:tc>
          <w:tcPr>
            <w:tcW w:w="9322" w:type="dxa"/>
            <w:gridSpan w:val="7"/>
            <w:tcBorders>
              <w:top w:val="nil"/>
              <w:left w:val="nil"/>
              <w:right w:val="nil"/>
            </w:tcBorders>
            <w:shd w:val="clear" w:color="auto" w:fill="auto"/>
            <w:vAlign w:val="bottom"/>
          </w:tcPr>
          <w:p w:rsidR="00B42A3F" w:rsidRPr="00ED26F7" w:rsidRDefault="00B42A3F" w:rsidP="00B42A3F">
            <w:pPr>
              <w:rPr>
                <w:rFonts w:ascii="Times" w:hAnsi="Times"/>
              </w:rPr>
            </w:pPr>
            <w:r w:rsidRPr="00ED26F7">
              <w:rPr>
                <w:rFonts w:ascii="Times" w:hAnsi="Times"/>
              </w:rPr>
              <w:t>Продолжение Таблицы 2</w:t>
            </w:r>
          </w:p>
        </w:tc>
      </w:tr>
      <w:tr w:rsidR="00B42A3F" w:rsidRPr="000F6176" w:rsidTr="00B42A3F">
        <w:tc>
          <w:tcPr>
            <w:tcW w:w="1668" w:type="dxa"/>
            <w:shd w:val="clear" w:color="auto" w:fill="auto"/>
            <w:vAlign w:val="bottom"/>
          </w:tcPr>
          <w:p w:rsidR="00B42A3F" w:rsidRDefault="00B42A3F" w:rsidP="00B42A3F">
            <w:pPr>
              <w:ind w:left="113" w:right="113"/>
              <w:jc w:val="center"/>
              <w:rPr>
                <w:rFonts w:ascii="Times" w:hAnsi="Times"/>
                <w:b/>
                <w:sz w:val="22"/>
                <w:szCs w:val="22"/>
                <w:lang w:val="en-US"/>
              </w:rPr>
            </w:pPr>
            <w:r w:rsidRPr="00765C72">
              <w:rPr>
                <w:rFonts w:ascii="Times" w:hAnsi="Times"/>
                <w:b/>
                <w:sz w:val="22"/>
                <w:szCs w:val="22"/>
              </w:rPr>
              <w:t>Код столбца</w:t>
            </w:r>
          </w:p>
        </w:tc>
        <w:tc>
          <w:tcPr>
            <w:tcW w:w="1842" w:type="dxa"/>
            <w:shd w:val="clear" w:color="auto" w:fill="auto"/>
            <w:vAlign w:val="bottom"/>
          </w:tcPr>
          <w:p w:rsidR="00B42A3F" w:rsidRDefault="00B42A3F" w:rsidP="00B42A3F">
            <w:pPr>
              <w:jc w:val="center"/>
              <w:rPr>
                <w:rFonts w:ascii="Times" w:hAnsi="Times"/>
                <w:sz w:val="22"/>
                <w:szCs w:val="22"/>
                <w:lang w:val="en-US"/>
              </w:rPr>
            </w:pPr>
            <w:r w:rsidRPr="00765C72">
              <w:rPr>
                <w:rFonts w:ascii="Times" w:hAnsi="Times"/>
                <w:b/>
                <w:sz w:val="22"/>
                <w:szCs w:val="22"/>
              </w:rPr>
              <w:t>1</w:t>
            </w:r>
          </w:p>
        </w:tc>
        <w:tc>
          <w:tcPr>
            <w:tcW w:w="993"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2</w:t>
            </w:r>
          </w:p>
        </w:tc>
        <w:tc>
          <w:tcPr>
            <w:tcW w:w="850"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3</w:t>
            </w:r>
          </w:p>
        </w:tc>
        <w:tc>
          <w:tcPr>
            <w:tcW w:w="851"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4</w:t>
            </w:r>
          </w:p>
        </w:tc>
        <w:tc>
          <w:tcPr>
            <w:tcW w:w="850" w:type="dxa"/>
            <w:shd w:val="clear" w:color="auto" w:fill="auto"/>
            <w:vAlign w:val="bottom"/>
          </w:tcPr>
          <w:p w:rsidR="00B42A3F" w:rsidRDefault="00B42A3F" w:rsidP="00B42A3F">
            <w:pPr>
              <w:jc w:val="center"/>
              <w:rPr>
                <w:rFonts w:ascii="Times" w:hAnsi="Times"/>
                <w:sz w:val="22"/>
                <w:szCs w:val="22"/>
              </w:rPr>
            </w:pPr>
            <w:r w:rsidRPr="00765C72">
              <w:rPr>
                <w:rFonts w:ascii="Times" w:hAnsi="Times"/>
                <w:b/>
                <w:sz w:val="22"/>
                <w:szCs w:val="22"/>
              </w:rPr>
              <w:t>5</w:t>
            </w:r>
          </w:p>
        </w:tc>
        <w:tc>
          <w:tcPr>
            <w:tcW w:w="2268" w:type="dxa"/>
            <w:vAlign w:val="bottom"/>
          </w:tcPr>
          <w:p w:rsidR="00B42A3F" w:rsidRPr="00765C72" w:rsidRDefault="00B42A3F" w:rsidP="00B42A3F">
            <w:pPr>
              <w:jc w:val="center"/>
              <w:rPr>
                <w:rFonts w:ascii="Times" w:hAnsi="Times"/>
                <w:b/>
                <w:sz w:val="22"/>
                <w:szCs w:val="22"/>
              </w:rPr>
            </w:pPr>
            <w:r>
              <w:rPr>
                <w:rFonts w:ascii="Times" w:hAnsi="Times"/>
                <w:b/>
                <w:sz w:val="22"/>
                <w:szCs w:val="22"/>
              </w:rPr>
              <w:t>6</w:t>
            </w:r>
          </w:p>
        </w:tc>
      </w:tr>
      <w:tr w:rsidR="00B42A3F" w:rsidRPr="000F6176" w:rsidTr="00B42A3F">
        <w:tc>
          <w:tcPr>
            <w:tcW w:w="1668" w:type="dxa"/>
            <w:vMerge w:val="restart"/>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r>
              <w:rPr>
                <w:rFonts w:ascii="Times" w:hAnsi="Times"/>
                <w:b/>
                <w:sz w:val="22"/>
                <w:szCs w:val="22"/>
                <w:lang w:val="en-US"/>
              </w:rPr>
              <w:t>Dcorporate_return</w:t>
            </w: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Dcorporate_return,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Dcorporate_return, 2014-2015</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val="restart"/>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r>
              <w:rPr>
                <w:rFonts w:ascii="Times" w:hAnsi="Times"/>
                <w:b/>
                <w:sz w:val="22"/>
                <w:szCs w:val="22"/>
                <w:lang w:val="en-US"/>
              </w:rPr>
              <w:t>industry_return</w:t>
            </w: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industry_return,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industry_return,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industry_return, 2014-2015</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val="restart"/>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r>
              <w:rPr>
                <w:rFonts w:ascii="Times" w:hAnsi="Times"/>
                <w:b/>
                <w:sz w:val="22"/>
                <w:szCs w:val="22"/>
                <w:lang w:val="en-US"/>
              </w:rPr>
              <w:t>futures_return</w:t>
            </w: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futures_return,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Default="00B42A3F" w:rsidP="00B42A3F">
            <w:pPr>
              <w:ind w:left="113" w:right="113"/>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futures_return,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bl>
    <w:p w:rsidR="00B42A3F" w:rsidRDefault="00B42A3F" w:rsidP="00B42A3F"/>
    <w:p w:rsidR="00B42A3F" w:rsidRDefault="00B42A3F" w:rsidP="00E06C9A">
      <w:pPr>
        <w:ind w:left="284" w:firstLine="0"/>
      </w:pPr>
      <w:r w:rsidRPr="00ED26F7">
        <w:rPr>
          <w:rFonts w:ascii="Times" w:hAnsi="Times"/>
        </w:rPr>
        <w:lastRenderedPageBreak/>
        <w:t>Продолжение Таблицы 2</w:t>
      </w:r>
    </w:p>
    <w:p w:rsidR="00B42A3F" w:rsidRDefault="00B42A3F" w:rsidP="00B42A3F"/>
    <w:tbl>
      <w:tblPr>
        <w:tblStyle w:val="ae"/>
        <w:tblpPr w:leftFromText="180" w:rightFromText="180" w:vertAnchor="text" w:tblpX="416" w:tblpY="1"/>
        <w:tblOverlap w:val="never"/>
        <w:tblW w:w="9322" w:type="dxa"/>
        <w:tblLayout w:type="fixed"/>
        <w:tblLook w:val="04A0"/>
      </w:tblPr>
      <w:tblGrid>
        <w:gridCol w:w="1668"/>
        <w:gridCol w:w="1842"/>
        <w:gridCol w:w="993"/>
        <w:gridCol w:w="850"/>
        <w:gridCol w:w="851"/>
        <w:gridCol w:w="850"/>
        <w:gridCol w:w="2268"/>
      </w:tblGrid>
      <w:tr w:rsidR="00B42A3F" w:rsidRPr="000F6176" w:rsidTr="00B42A3F">
        <w:tc>
          <w:tcPr>
            <w:tcW w:w="1668" w:type="dxa"/>
            <w:shd w:val="clear" w:color="auto" w:fill="auto"/>
            <w:vAlign w:val="center"/>
          </w:tcPr>
          <w:p w:rsidR="00B42A3F" w:rsidRDefault="00B42A3F" w:rsidP="00B42A3F">
            <w:pPr>
              <w:ind w:left="113" w:right="113"/>
              <w:jc w:val="center"/>
              <w:rPr>
                <w:rFonts w:ascii="Times" w:hAnsi="Times"/>
                <w:b/>
                <w:sz w:val="22"/>
                <w:szCs w:val="22"/>
                <w:lang w:val="en-US"/>
              </w:rPr>
            </w:pPr>
            <w:r w:rsidRPr="00765C72">
              <w:rPr>
                <w:rFonts w:ascii="Times" w:hAnsi="Times"/>
                <w:b/>
                <w:sz w:val="22"/>
                <w:szCs w:val="22"/>
              </w:rPr>
              <w:t>Код столбца</w:t>
            </w:r>
          </w:p>
        </w:tc>
        <w:tc>
          <w:tcPr>
            <w:tcW w:w="1842" w:type="dxa"/>
            <w:shd w:val="clear" w:color="auto" w:fill="auto"/>
            <w:vAlign w:val="center"/>
          </w:tcPr>
          <w:p w:rsidR="00B42A3F" w:rsidRDefault="00B42A3F" w:rsidP="00B42A3F">
            <w:pPr>
              <w:jc w:val="center"/>
              <w:rPr>
                <w:rFonts w:ascii="Times" w:hAnsi="Times"/>
                <w:sz w:val="22"/>
                <w:szCs w:val="22"/>
                <w:lang w:val="en-US"/>
              </w:rPr>
            </w:pPr>
            <w:r w:rsidRPr="00765C72">
              <w:rPr>
                <w:rFonts w:ascii="Times" w:hAnsi="Times"/>
                <w:b/>
                <w:sz w:val="22"/>
                <w:szCs w:val="22"/>
              </w:rPr>
              <w:t>1</w:t>
            </w:r>
          </w:p>
        </w:tc>
        <w:tc>
          <w:tcPr>
            <w:tcW w:w="993"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2</w:t>
            </w:r>
          </w:p>
        </w:tc>
        <w:tc>
          <w:tcPr>
            <w:tcW w:w="850"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3</w:t>
            </w:r>
          </w:p>
        </w:tc>
        <w:tc>
          <w:tcPr>
            <w:tcW w:w="851"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4</w:t>
            </w:r>
          </w:p>
        </w:tc>
        <w:tc>
          <w:tcPr>
            <w:tcW w:w="850"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5</w:t>
            </w:r>
          </w:p>
        </w:tc>
        <w:tc>
          <w:tcPr>
            <w:tcW w:w="2268" w:type="dxa"/>
            <w:vAlign w:val="center"/>
          </w:tcPr>
          <w:p w:rsidR="00B42A3F" w:rsidRDefault="00B42A3F" w:rsidP="00B42A3F">
            <w:pPr>
              <w:jc w:val="center"/>
              <w:rPr>
                <w:rFonts w:ascii="Times" w:hAnsi="Times"/>
                <w:sz w:val="22"/>
                <w:szCs w:val="22"/>
              </w:rPr>
            </w:pPr>
            <w:r>
              <w:rPr>
                <w:rFonts w:ascii="Times" w:hAnsi="Times"/>
                <w:b/>
                <w:sz w:val="22"/>
                <w:szCs w:val="22"/>
              </w:rPr>
              <w:t>6</w:t>
            </w:r>
          </w:p>
        </w:tc>
      </w:tr>
      <w:tr w:rsidR="00B42A3F" w:rsidRPr="000F6176" w:rsidTr="00B42A3F">
        <w:tc>
          <w:tcPr>
            <w:tcW w:w="1668" w:type="dxa"/>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r>
              <w:rPr>
                <w:rFonts w:ascii="Times" w:hAnsi="Times"/>
                <w:b/>
                <w:sz w:val="22"/>
                <w:szCs w:val="22"/>
                <w:lang w:val="en-US"/>
              </w:rPr>
              <w:t>futures_return</w:t>
            </w: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lang w:val="en-US"/>
              </w:rPr>
              <w:t>futures_return, 2014-2015</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val="restart"/>
            <w:shd w:val="clear" w:color="auto" w:fill="auto"/>
            <w:textDirection w:val="btLr"/>
            <w:vAlign w:val="center"/>
          </w:tcPr>
          <w:p w:rsidR="00B42A3F" w:rsidRPr="00C13C6C" w:rsidRDefault="00B42A3F" w:rsidP="00B42A3F">
            <w:pPr>
              <w:ind w:left="113" w:right="113"/>
              <w:jc w:val="center"/>
              <w:rPr>
                <w:rFonts w:ascii="Times" w:hAnsi="Times"/>
                <w:b/>
                <w:sz w:val="22"/>
                <w:szCs w:val="22"/>
                <w:lang w:val="en-US"/>
              </w:rPr>
            </w:pPr>
            <w:r w:rsidRPr="00C13C6C">
              <w:rPr>
                <w:rFonts w:ascii="Times" w:hAnsi="Times"/>
                <w:b/>
                <w:sz w:val="22"/>
                <w:szCs w:val="22"/>
                <w:lang w:val="en-US"/>
              </w:rPr>
              <w:t>open</w:t>
            </w:r>
          </w:p>
        </w:tc>
        <w:tc>
          <w:tcPr>
            <w:tcW w:w="1842" w:type="dxa"/>
            <w:shd w:val="clear" w:color="auto" w:fill="auto"/>
          </w:tcPr>
          <w:p w:rsidR="00B42A3F" w:rsidRPr="00C13C6C" w:rsidRDefault="00B42A3F" w:rsidP="00B42A3F">
            <w:pPr>
              <w:jc w:val="both"/>
              <w:rPr>
                <w:rFonts w:ascii="Times" w:hAnsi="Times"/>
                <w:sz w:val="22"/>
                <w:szCs w:val="22"/>
                <w:lang w:val="en-US"/>
              </w:rPr>
            </w:pPr>
            <w:r>
              <w:rPr>
                <w:rFonts w:ascii="Times" w:hAnsi="Times"/>
                <w:sz w:val="22"/>
                <w:szCs w:val="22"/>
                <w:lang w:val="en-US"/>
              </w:rPr>
              <w:t>open,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cPr>
          <w:p w:rsidR="00B42A3F" w:rsidRPr="00877D7D" w:rsidRDefault="00B42A3F" w:rsidP="00B42A3F">
            <w:pPr>
              <w:jc w:val="both"/>
              <w:rPr>
                <w:rFonts w:ascii="Times" w:hAnsi="Times"/>
                <w:sz w:val="22"/>
                <w:szCs w:val="22"/>
              </w:rPr>
            </w:pPr>
          </w:p>
        </w:tc>
        <w:tc>
          <w:tcPr>
            <w:tcW w:w="1842"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open,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под вопросом</w:t>
            </w:r>
          </w:p>
        </w:tc>
      </w:tr>
      <w:tr w:rsidR="00B42A3F" w:rsidRPr="000F6176" w:rsidTr="00B42A3F">
        <w:tc>
          <w:tcPr>
            <w:tcW w:w="1668" w:type="dxa"/>
            <w:vMerge/>
            <w:shd w:val="clear" w:color="auto" w:fill="auto"/>
          </w:tcPr>
          <w:p w:rsidR="00B42A3F" w:rsidRPr="00877D7D" w:rsidRDefault="00B42A3F" w:rsidP="00B42A3F">
            <w:pPr>
              <w:jc w:val="both"/>
              <w:rPr>
                <w:rFonts w:ascii="Times" w:hAnsi="Times"/>
                <w:sz w:val="22"/>
                <w:szCs w:val="22"/>
              </w:rPr>
            </w:pPr>
          </w:p>
        </w:tc>
        <w:tc>
          <w:tcPr>
            <w:tcW w:w="1842"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open, 2014-2015</w:t>
            </w:r>
          </w:p>
        </w:tc>
        <w:tc>
          <w:tcPr>
            <w:tcW w:w="993"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Pr="007545BF" w:rsidRDefault="00B42A3F" w:rsidP="00B42A3F">
            <w:pPr>
              <w:jc w:val="both"/>
              <w:rPr>
                <w:rFonts w:ascii="Times" w:hAnsi="Times"/>
                <w:sz w:val="22"/>
                <w:szCs w:val="22"/>
              </w:rPr>
            </w:pPr>
            <w:r w:rsidRPr="007545BF">
              <w:rPr>
                <w:rFonts w:ascii="Times" w:hAnsi="Times"/>
                <w:sz w:val="22"/>
                <w:szCs w:val="22"/>
              </w:rPr>
              <w:t>2</w:t>
            </w:r>
            <w:r>
              <w:rPr>
                <w:rFonts w:ascii="Times" w:hAnsi="Times"/>
                <w:sz w:val="22"/>
                <w:szCs w:val="22"/>
              </w:rPr>
              <w:t>**</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Pr="00351695" w:rsidRDefault="00B42A3F" w:rsidP="00B42A3F">
            <w:pPr>
              <w:jc w:val="both"/>
              <w:rPr>
                <w:rFonts w:ascii="Times" w:hAnsi="Times"/>
                <w:sz w:val="22"/>
                <w:szCs w:val="22"/>
              </w:rPr>
            </w:pPr>
            <w:r w:rsidRPr="00351695">
              <w:rPr>
                <w:rFonts w:ascii="Times" w:hAnsi="Times"/>
                <w:sz w:val="22"/>
                <w:szCs w:val="22"/>
              </w:rPr>
              <w:t>под вопросом</w:t>
            </w:r>
          </w:p>
        </w:tc>
      </w:tr>
      <w:tr w:rsidR="00B42A3F" w:rsidRPr="000F6176" w:rsidTr="00B42A3F">
        <w:tc>
          <w:tcPr>
            <w:tcW w:w="1668" w:type="dxa"/>
            <w:vMerge w:val="restart"/>
            <w:shd w:val="clear" w:color="auto" w:fill="auto"/>
            <w:textDirection w:val="btLr"/>
            <w:vAlign w:val="center"/>
          </w:tcPr>
          <w:p w:rsidR="00B42A3F" w:rsidRPr="00877D7D" w:rsidRDefault="00B42A3F" w:rsidP="00B42A3F">
            <w:pPr>
              <w:jc w:val="center"/>
              <w:rPr>
                <w:rFonts w:ascii="Times" w:hAnsi="Times"/>
                <w:sz w:val="22"/>
                <w:szCs w:val="22"/>
              </w:rPr>
            </w:pPr>
            <w:r>
              <w:rPr>
                <w:rFonts w:ascii="Times" w:hAnsi="Times"/>
                <w:b/>
                <w:sz w:val="22"/>
                <w:szCs w:val="22"/>
                <w:lang w:val="en-US"/>
              </w:rPr>
              <w:t>D</w:t>
            </w:r>
            <w:r w:rsidRPr="00C13C6C">
              <w:rPr>
                <w:rFonts w:ascii="Times" w:hAnsi="Times"/>
                <w:b/>
                <w:sz w:val="22"/>
                <w:szCs w:val="22"/>
                <w:lang w:val="en-US"/>
              </w:rPr>
              <w:t>open</w:t>
            </w:r>
          </w:p>
        </w:tc>
        <w:tc>
          <w:tcPr>
            <w:tcW w:w="1842" w:type="dxa"/>
            <w:shd w:val="clear" w:color="auto" w:fill="auto"/>
          </w:tcPr>
          <w:p w:rsidR="00B42A3F" w:rsidRPr="00877D7D" w:rsidRDefault="00B42A3F" w:rsidP="00B42A3F">
            <w:pPr>
              <w:jc w:val="both"/>
              <w:rPr>
                <w:rFonts w:ascii="Times" w:hAnsi="Times"/>
                <w:sz w:val="22"/>
                <w:szCs w:val="22"/>
              </w:rPr>
            </w:pPr>
            <w:r>
              <w:rPr>
                <w:rFonts w:ascii="Times" w:hAnsi="Times"/>
                <w:sz w:val="22"/>
                <w:szCs w:val="22"/>
                <w:lang w:val="en-US"/>
              </w:rPr>
              <w:t>Dopen,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Default="00B42A3F" w:rsidP="00B42A3F">
            <w:pPr>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lang w:val="en-US"/>
              </w:rPr>
            </w:pPr>
            <w:r>
              <w:rPr>
                <w:rFonts w:ascii="Times" w:hAnsi="Times"/>
                <w:sz w:val="22"/>
                <w:szCs w:val="22"/>
              </w:rPr>
              <w:t>D</w:t>
            </w:r>
            <w:r w:rsidRPr="00877D7D">
              <w:rPr>
                <w:rFonts w:ascii="Times" w:hAnsi="Times"/>
                <w:sz w:val="22"/>
                <w:szCs w:val="22"/>
              </w:rPr>
              <w:t>open,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Default="00B42A3F" w:rsidP="00B42A3F">
            <w:pPr>
              <w:jc w:val="center"/>
              <w:rPr>
                <w:rFonts w:ascii="Times" w:hAnsi="Times"/>
                <w:b/>
                <w:sz w:val="22"/>
                <w:szCs w:val="22"/>
                <w:lang w:val="en-US"/>
              </w:rPr>
            </w:pPr>
          </w:p>
        </w:tc>
        <w:tc>
          <w:tcPr>
            <w:tcW w:w="1842" w:type="dxa"/>
            <w:shd w:val="clear" w:color="auto" w:fill="auto"/>
          </w:tcPr>
          <w:p w:rsidR="00B42A3F" w:rsidRDefault="00B42A3F" w:rsidP="00B42A3F">
            <w:pPr>
              <w:jc w:val="both"/>
              <w:rPr>
                <w:rFonts w:ascii="Times" w:hAnsi="Times"/>
                <w:sz w:val="22"/>
                <w:szCs w:val="22"/>
              </w:rPr>
            </w:pPr>
            <w:r>
              <w:rPr>
                <w:rFonts w:ascii="Times" w:hAnsi="Times"/>
                <w:sz w:val="22"/>
                <w:szCs w:val="22"/>
              </w:rPr>
              <w:t>D</w:t>
            </w:r>
            <w:r w:rsidRPr="00877D7D">
              <w:rPr>
                <w:rFonts w:ascii="Times" w:hAnsi="Times"/>
                <w:sz w:val="22"/>
                <w:szCs w:val="22"/>
              </w:rPr>
              <w:t>open, 2014-2015</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bl>
    <w:p w:rsidR="00B42A3F" w:rsidRDefault="00B42A3F" w:rsidP="00E06C9A">
      <w:pPr>
        <w:ind w:left="284" w:firstLine="0"/>
      </w:pPr>
      <w:r w:rsidRPr="00ED26F7">
        <w:rPr>
          <w:rFonts w:ascii="Times" w:hAnsi="Times"/>
        </w:rPr>
        <w:lastRenderedPageBreak/>
        <w:t>Продолжение Таблицы 2</w:t>
      </w:r>
    </w:p>
    <w:p w:rsidR="00B42A3F" w:rsidRDefault="00B42A3F" w:rsidP="00B42A3F">
      <w:pPr>
        <w:ind w:left="284"/>
      </w:pPr>
    </w:p>
    <w:tbl>
      <w:tblPr>
        <w:tblStyle w:val="ae"/>
        <w:tblpPr w:leftFromText="180" w:rightFromText="180" w:vertAnchor="text" w:tblpX="416" w:tblpY="1"/>
        <w:tblOverlap w:val="never"/>
        <w:tblW w:w="9322" w:type="dxa"/>
        <w:tblLayout w:type="fixed"/>
        <w:tblLook w:val="04A0"/>
      </w:tblPr>
      <w:tblGrid>
        <w:gridCol w:w="1668"/>
        <w:gridCol w:w="1842"/>
        <w:gridCol w:w="993"/>
        <w:gridCol w:w="850"/>
        <w:gridCol w:w="851"/>
        <w:gridCol w:w="850"/>
        <w:gridCol w:w="2268"/>
      </w:tblGrid>
      <w:tr w:rsidR="00B42A3F" w:rsidRPr="000F6176" w:rsidTr="00B42A3F">
        <w:tc>
          <w:tcPr>
            <w:tcW w:w="1668" w:type="dxa"/>
            <w:shd w:val="clear" w:color="auto" w:fill="auto"/>
            <w:vAlign w:val="center"/>
          </w:tcPr>
          <w:p w:rsidR="00B42A3F" w:rsidRPr="00C13C6C" w:rsidRDefault="00B42A3F" w:rsidP="00B42A3F">
            <w:pPr>
              <w:jc w:val="center"/>
              <w:rPr>
                <w:rFonts w:ascii="Times" w:hAnsi="Times"/>
                <w:b/>
                <w:sz w:val="22"/>
                <w:szCs w:val="22"/>
              </w:rPr>
            </w:pPr>
            <w:r w:rsidRPr="00765C72">
              <w:rPr>
                <w:rFonts w:ascii="Times" w:hAnsi="Times"/>
                <w:b/>
                <w:sz w:val="22"/>
                <w:szCs w:val="22"/>
              </w:rPr>
              <w:t>Код столбца</w:t>
            </w:r>
          </w:p>
        </w:tc>
        <w:tc>
          <w:tcPr>
            <w:tcW w:w="1842" w:type="dxa"/>
            <w:shd w:val="clear" w:color="auto" w:fill="auto"/>
            <w:vAlign w:val="center"/>
          </w:tcPr>
          <w:p w:rsidR="00B42A3F" w:rsidRPr="00877D7D" w:rsidRDefault="00B42A3F" w:rsidP="00B42A3F">
            <w:pPr>
              <w:jc w:val="center"/>
              <w:rPr>
                <w:rFonts w:ascii="Times" w:hAnsi="Times"/>
                <w:sz w:val="22"/>
                <w:szCs w:val="22"/>
              </w:rPr>
            </w:pPr>
            <w:r w:rsidRPr="00765C72">
              <w:rPr>
                <w:rFonts w:ascii="Times" w:hAnsi="Times"/>
                <w:b/>
                <w:sz w:val="22"/>
                <w:szCs w:val="22"/>
              </w:rPr>
              <w:t>1</w:t>
            </w:r>
          </w:p>
        </w:tc>
        <w:tc>
          <w:tcPr>
            <w:tcW w:w="993"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2</w:t>
            </w:r>
          </w:p>
        </w:tc>
        <w:tc>
          <w:tcPr>
            <w:tcW w:w="850"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3</w:t>
            </w:r>
          </w:p>
        </w:tc>
        <w:tc>
          <w:tcPr>
            <w:tcW w:w="851"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4</w:t>
            </w:r>
          </w:p>
        </w:tc>
        <w:tc>
          <w:tcPr>
            <w:tcW w:w="850"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5</w:t>
            </w:r>
          </w:p>
        </w:tc>
        <w:tc>
          <w:tcPr>
            <w:tcW w:w="2268" w:type="dxa"/>
            <w:vAlign w:val="center"/>
          </w:tcPr>
          <w:p w:rsidR="00B42A3F" w:rsidRDefault="00B42A3F" w:rsidP="00B42A3F">
            <w:pPr>
              <w:jc w:val="center"/>
              <w:rPr>
                <w:rFonts w:ascii="Times" w:hAnsi="Times"/>
                <w:sz w:val="22"/>
                <w:szCs w:val="22"/>
              </w:rPr>
            </w:pPr>
            <w:r>
              <w:rPr>
                <w:rFonts w:ascii="Times" w:hAnsi="Times"/>
                <w:b/>
                <w:sz w:val="22"/>
                <w:szCs w:val="22"/>
              </w:rPr>
              <w:t>6</w:t>
            </w:r>
          </w:p>
        </w:tc>
      </w:tr>
      <w:tr w:rsidR="00B42A3F" w:rsidRPr="000F6176" w:rsidTr="00B42A3F">
        <w:tc>
          <w:tcPr>
            <w:tcW w:w="1668" w:type="dxa"/>
            <w:vMerge w:val="restart"/>
            <w:shd w:val="clear" w:color="auto" w:fill="auto"/>
            <w:textDirection w:val="btLr"/>
            <w:vAlign w:val="center"/>
          </w:tcPr>
          <w:p w:rsidR="00B42A3F" w:rsidRPr="00C13C6C" w:rsidRDefault="00B42A3F" w:rsidP="00B42A3F">
            <w:pPr>
              <w:jc w:val="center"/>
              <w:rPr>
                <w:rFonts w:ascii="Times" w:hAnsi="Times"/>
                <w:b/>
                <w:sz w:val="22"/>
                <w:szCs w:val="22"/>
              </w:rPr>
            </w:pPr>
            <w:r w:rsidRPr="00C13C6C">
              <w:rPr>
                <w:rFonts w:ascii="Times" w:hAnsi="Times"/>
                <w:b/>
                <w:sz w:val="22"/>
                <w:szCs w:val="22"/>
              </w:rPr>
              <w:t>volumes</w:t>
            </w:r>
          </w:p>
        </w:tc>
        <w:tc>
          <w:tcPr>
            <w:tcW w:w="1842"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volumes,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Pr="002D522C" w:rsidRDefault="00B42A3F" w:rsidP="00B42A3F">
            <w:pPr>
              <w:jc w:val="both"/>
              <w:rPr>
                <w:rFonts w:ascii="Times" w:hAnsi="Times"/>
                <w:sz w:val="22"/>
                <w:szCs w:val="22"/>
                <w:lang w:val="en-US"/>
              </w:rPr>
            </w:pPr>
            <w:r>
              <w:rPr>
                <w:rFonts w:ascii="Times" w:hAnsi="Times"/>
                <w:sz w:val="22"/>
                <w:szCs w:val="22"/>
              </w:rPr>
              <w:t>3</w:t>
            </w:r>
            <w:r>
              <w:rPr>
                <w:rFonts w:ascii="Times" w:hAnsi="Times"/>
                <w:sz w:val="22"/>
                <w:szCs w:val="22"/>
                <w:lang w:val="en-US"/>
              </w:rPr>
              <w:t>**</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C13C6C" w:rsidRDefault="00B42A3F" w:rsidP="00B42A3F">
            <w:pPr>
              <w:jc w:val="center"/>
              <w:rPr>
                <w:rFonts w:ascii="Times" w:hAnsi="Times"/>
                <w:b/>
                <w:sz w:val="22"/>
                <w:szCs w:val="22"/>
              </w:rPr>
            </w:pPr>
          </w:p>
        </w:tc>
        <w:tc>
          <w:tcPr>
            <w:tcW w:w="1842"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volumes, 2012-2013</w:t>
            </w:r>
          </w:p>
        </w:tc>
        <w:tc>
          <w:tcPr>
            <w:tcW w:w="993"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lang w:val="en-US"/>
              </w:rPr>
            </w:pPr>
            <w:r w:rsidRPr="00E06C9A">
              <w:rPr>
                <w:rFonts w:ascii="Times" w:hAnsi="Times"/>
                <w:sz w:val="22"/>
                <w:szCs w:val="22"/>
              </w:rPr>
              <w:t>2</w:t>
            </w:r>
            <w:r w:rsidRPr="00E06C9A">
              <w:rPr>
                <w:rFonts w:ascii="Times" w:hAnsi="Times"/>
                <w:sz w:val="22"/>
                <w:szCs w:val="22"/>
                <w:lang w:val="en-US"/>
              </w:rPr>
              <w:t>**</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877D7D" w:rsidRDefault="00B42A3F" w:rsidP="00B42A3F">
            <w:pPr>
              <w:jc w:val="center"/>
              <w:rPr>
                <w:rFonts w:ascii="Times" w:hAnsi="Times"/>
                <w:sz w:val="22"/>
                <w:szCs w:val="22"/>
              </w:rPr>
            </w:pPr>
          </w:p>
        </w:tc>
        <w:tc>
          <w:tcPr>
            <w:tcW w:w="1842"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volumes, 2014-2015</w:t>
            </w:r>
          </w:p>
        </w:tc>
        <w:tc>
          <w:tcPr>
            <w:tcW w:w="993"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под вопросом</w:t>
            </w:r>
          </w:p>
        </w:tc>
      </w:tr>
      <w:tr w:rsidR="00B42A3F" w:rsidRPr="000F6176" w:rsidTr="00B42A3F">
        <w:tc>
          <w:tcPr>
            <w:tcW w:w="1668" w:type="dxa"/>
            <w:vMerge w:val="restart"/>
            <w:shd w:val="clear" w:color="auto" w:fill="auto"/>
            <w:textDirection w:val="btLr"/>
            <w:vAlign w:val="center"/>
          </w:tcPr>
          <w:p w:rsidR="00B42A3F" w:rsidRPr="00877D7D" w:rsidRDefault="00B42A3F" w:rsidP="00B42A3F">
            <w:pPr>
              <w:jc w:val="center"/>
              <w:rPr>
                <w:rFonts w:ascii="Times" w:hAnsi="Times"/>
                <w:sz w:val="22"/>
                <w:szCs w:val="22"/>
              </w:rPr>
            </w:pPr>
            <w:r>
              <w:rPr>
                <w:rFonts w:ascii="Times" w:hAnsi="Times"/>
                <w:b/>
                <w:sz w:val="22"/>
                <w:szCs w:val="22"/>
              </w:rPr>
              <w:t>D</w:t>
            </w:r>
            <w:r w:rsidRPr="00C13C6C">
              <w:rPr>
                <w:rFonts w:ascii="Times" w:hAnsi="Times"/>
                <w:b/>
                <w:sz w:val="22"/>
                <w:szCs w:val="22"/>
              </w:rPr>
              <w:t>volumes</w:t>
            </w:r>
          </w:p>
        </w:tc>
        <w:tc>
          <w:tcPr>
            <w:tcW w:w="1842" w:type="dxa"/>
            <w:shd w:val="clear" w:color="auto" w:fill="auto"/>
          </w:tcPr>
          <w:p w:rsidR="00B42A3F" w:rsidRPr="00877D7D" w:rsidRDefault="00B42A3F" w:rsidP="00B42A3F">
            <w:pPr>
              <w:jc w:val="both"/>
              <w:rPr>
                <w:rFonts w:ascii="Times" w:hAnsi="Times"/>
                <w:sz w:val="22"/>
                <w:szCs w:val="22"/>
              </w:rPr>
            </w:pPr>
            <w:r>
              <w:rPr>
                <w:rFonts w:ascii="Times" w:hAnsi="Times"/>
                <w:sz w:val="22"/>
                <w:szCs w:val="22"/>
              </w:rPr>
              <w:t>D</w:t>
            </w:r>
            <w:r w:rsidRPr="00877D7D">
              <w:rPr>
                <w:rFonts w:ascii="Times" w:hAnsi="Times"/>
                <w:sz w:val="22"/>
                <w:szCs w:val="22"/>
              </w:rPr>
              <w:t>volumes, 2010-2011</w:t>
            </w:r>
          </w:p>
        </w:tc>
        <w:tc>
          <w:tcPr>
            <w:tcW w:w="993"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cPr>
          <w:p w:rsidR="00B42A3F" w:rsidRPr="00877D7D" w:rsidRDefault="00B42A3F" w:rsidP="00B42A3F">
            <w:pPr>
              <w:jc w:val="both"/>
              <w:rPr>
                <w:rFonts w:ascii="Times" w:hAnsi="Times"/>
                <w:sz w:val="22"/>
                <w:szCs w:val="22"/>
              </w:rPr>
            </w:pPr>
          </w:p>
        </w:tc>
        <w:tc>
          <w:tcPr>
            <w:tcW w:w="1842" w:type="dxa"/>
            <w:shd w:val="clear" w:color="auto" w:fill="auto"/>
          </w:tcPr>
          <w:p w:rsidR="00B42A3F" w:rsidRPr="00877D7D" w:rsidRDefault="00B42A3F" w:rsidP="00B42A3F">
            <w:pPr>
              <w:jc w:val="both"/>
              <w:rPr>
                <w:rFonts w:ascii="Times" w:hAnsi="Times"/>
                <w:sz w:val="22"/>
                <w:szCs w:val="22"/>
              </w:rPr>
            </w:pPr>
            <w:r>
              <w:rPr>
                <w:rFonts w:ascii="Times" w:hAnsi="Times"/>
                <w:sz w:val="22"/>
                <w:szCs w:val="22"/>
              </w:rPr>
              <w:t>D</w:t>
            </w:r>
            <w:r w:rsidRPr="00877D7D">
              <w:rPr>
                <w:rFonts w:ascii="Times" w:hAnsi="Times"/>
                <w:sz w:val="22"/>
                <w:szCs w:val="22"/>
              </w:rPr>
              <w:t>volumes, 2012-2013</w:t>
            </w:r>
          </w:p>
        </w:tc>
        <w:tc>
          <w:tcPr>
            <w:tcW w:w="993"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cPr>
          <w:p w:rsidR="00B42A3F" w:rsidRPr="00877D7D" w:rsidRDefault="00B42A3F" w:rsidP="00B42A3F">
            <w:pPr>
              <w:jc w:val="both"/>
              <w:rPr>
                <w:rFonts w:ascii="Times" w:hAnsi="Times"/>
                <w:sz w:val="22"/>
                <w:szCs w:val="22"/>
              </w:rPr>
            </w:pPr>
          </w:p>
        </w:tc>
        <w:tc>
          <w:tcPr>
            <w:tcW w:w="1842" w:type="dxa"/>
            <w:shd w:val="clear" w:color="auto" w:fill="auto"/>
          </w:tcPr>
          <w:p w:rsidR="00B42A3F" w:rsidRPr="00877D7D" w:rsidRDefault="00B42A3F" w:rsidP="00B42A3F">
            <w:pPr>
              <w:jc w:val="both"/>
              <w:rPr>
                <w:rFonts w:ascii="Times" w:hAnsi="Times"/>
                <w:sz w:val="22"/>
                <w:szCs w:val="22"/>
              </w:rPr>
            </w:pPr>
            <w:r>
              <w:rPr>
                <w:rFonts w:ascii="Times" w:hAnsi="Times"/>
                <w:sz w:val="22"/>
                <w:szCs w:val="22"/>
              </w:rPr>
              <w:t>D</w:t>
            </w:r>
            <w:r w:rsidRPr="00877D7D">
              <w:rPr>
                <w:rFonts w:ascii="Times" w:hAnsi="Times"/>
                <w:sz w:val="22"/>
                <w:szCs w:val="22"/>
              </w:rPr>
              <w:t>volumes, 2014-2015</w:t>
            </w:r>
          </w:p>
        </w:tc>
        <w:tc>
          <w:tcPr>
            <w:tcW w:w="993"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shd w:val="clear" w:color="auto" w:fill="auto"/>
            <w:textDirection w:val="btLr"/>
            <w:vAlign w:val="center"/>
          </w:tcPr>
          <w:p w:rsidR="00B42A3F" w:rsidRPr="00877D7D" w:rsidRDefault="00B42A3F" w:rsidP="00B42A3F">
            <w:pPr>
              <w:jc w:val="center"/>
              <w:rPr>
                <w:rFonts w:ascii="Times" w:hAnsi="Times"/>
                <w:sz w:val="22"/>
                <w:szCs w:val="22"/>
              </w:rPr>
            </w:pPr>
            <w:r w:rsidRPr="00C13C6C">
              <w:rPr>
                <w:rFonts w:ascii="Times" w:hAnsi="Times"/>
                <w:b/>
                <w:sz w:val="22"/>
                <w:szCs w:val="22"/>
              </w:rPr>
              <w:t>interest</w:t>
            </w:r>
          </w:p>
        </w:tc>
        <w:tc>
          <w:tcPr>
            <w:tcW w:w="1842" w:type="dxa"/>
            <w:shd w:val="clear" w:color="auto" w:fill="auto"/>
          </w:tcPr>
          <w:p w:rsidR="00B42A3F" w:rsidRDefault="00B42A3F" w:rsidP="00B42A3F">
            <w:pPr>
              <w:jc w:val="both"/>
              <w:rPr>
                <w:rFonts w:ascii="Times" w:hAnsi="Times"/>
                <w:sz w:val="22"/>
                <w:szCs w:val="22"/>
              </w:rPr>
            </w:pPr>
            <w:r w:rsidRPr="00877D7D">
              <w:rPr>
                <w:rFonts w:ascii="Times" w:hAnsi="Times"/>
                <w:sz w:val="22"/>
                <w:szCs w:val="22"/>
              </w:rPr>
              <w:t>interest, 2010-2011</w:t>
            </w:r>
          </w:p>
        </w:tc>
        <w:tc>
          <w:tcPr>
            <w:tcW w:w="993"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Default="00B42A3F" w:rsidP="00B42A3F">
            <w:pPr>
              <w:jc w:val="both"/>
              <w:rPr>
                <w:rFonts w:ascii="Times" w:hAnsi="Times"/>
                <w:sz w:val="22"/>
                <w:szCs w:val="22"/>
              </w:rPr>
            </w:pPr>
            <w:r w:rsidRPr="00351695">
              <w:rPr>
                <w:rFonts w:ascii="Times" w:hAnsi="Times"/>
                <w:sz w:val="22"/>
                <w:szCs w:val="22"/>
              </w:rPr>
              <w:t>отсутствие</w:t>
            </w:r>
          </w:p>
        </w:tc>
      </w:tr>
    </w:tbl>
    <w:p w:rsidR="00B42A3F" w:rsidRDefault="00B42A3F" w:rsidP="00E06C9A">
      <w:pPr>
        <w:ind w:left="284" w:firstLine="0"/>
        <w:rPr>
          <w:rFonts w:ascii="Times" w:hAnsi="Times"/>
        </w:rPr>
      </w:pPr>
      <w:r w:rsidRPr="00ED26F7">
        <w:rPr>
          <w:rFonts w:ascii="Times" w:hAnsi="Times"/>
        </w:rPr>
        <w:lastRenderedPageBreak/>
        <w:t>Продолжение Таблицы 2</w:t>
      </w:r>
    </w:p>
    <w:p w:rsidR="00B42A3F" w:rsidRDefault="00B42A3F" w:rsidP="00B42A3F"/>
    <w:tbl>
      <w:tblPr>
        <w:tblStyle w:val="ae"/>
        <w:tblpPr w:leftFromText="180" w:rightFromText="180" w:vertAnchor="text" w:tblpX="416" w:tblpY="1"/>
        <w:tblOverlap w:val="never"/>
        <w:tblW w:w="9322" w:type="dxa"/>
        <w:tblLayout w:type="fixed"/>
        <w:tblLook w:val="04A0"/>
      </w:tblPr>
      <w:tblGrid>
        <w:gridCol w:w="1668"/>
        <w:gridCol w:w="1842"/>
        <w:gridCol w:w="993"/>
        <w:gridCol w:w="850"/>
        <w:gridCol w:w="851"/>
        <w:gridCol w:w="850"/>
        <w:gridCol w:w="2268"/>
      </w:tblGrid>
      <w:tr w:rsidR="00B42A3F" w:rsidRPr="000F6176" w:rsidTr="00B42A3F">
        <w:tc>
          <w:tcPr>
            <w:tcW w:w="1668" w:type="dxa"/>
            <w:shd w:val="clear" w:color="auto" w:fill="auto"/>
            <w:vAlign w:val="center"/>
          </w:tcPr>
          <w:p w:rsidR="00B42A3F" w:rsidRPr="00C13C6C" w:rsidRDefault="00B42A3F" w:rsidP="00B42A3F">
            <w:pPr>
              <w:jc w:val="center"/>
              <w:rPr>
                <w:rFonts w:ascii="Times" w:hAnsi="Times"/>
                <w:b/>
                <w:sz w:val="22"/>
                <w:szCs w:val="22"/>
              </w:rPr>
            </w:pPr>
            <w:r w:rsidRPr="00765C72">
              <w:rPr>
                <w:rFonts w:ascii="Times" w:hAnsi="Times"/>
                <w:b/>
                <w:sz w:val="22"/>
                <w:szCs w:val="22"/>
              </w:rPr>
              <w:t>Код столбца</w:t>
            </w:r>
          </w:p>
        </w:tc>
        <w:tc>
          <w:tcPr>
            <w:tcW w:w="1842" w:type="dxa"/>
            <w:shd w:val="clear" w:color="auto" w:fill="auto"/>
            <w:vAlign w:val="center"/>
          </w:tcPr>
          <w:p w:rsidR="00B42A3F" w:rsidRPr="00877D7D" w:rsidRDefault="00B42A3F" w:rsidP="00B42A3F">
            <w:pPr>
              <w:jc w:val="center"/>
              <w:rPr>
                <w:rFonts w:ascii="Times" w:hAnsi="Times"/>
                <w:sz w:val="22"/>
                <w:szCs w:val="22"/>
              </w:rPr>
            </w:pPr>
            <w:r w:rsidRPr="00765C72">
              <w:rPr>
                <w:rFonts w:ascii="Times" w:hAnsi="Times"/>
                <w:b/>
                <w:sz w:val="22"/>
                <w:szCs w:val="22"/>
              </w:rPr>
              <w:t>1</w:t>
            </w:r>
          </w:p>
        </w:tc>
        <w:tc>
          <w:tcPr>
            <w:tcW w:w="993" w:type="dxa"/>
            <w:shd w:val="clear" w:color="auto" w:fill="auto"/>
            <w:vAlign w:val="center"/>
          </w:tcPr>
          <w:p w:rsidR="00B42A3F" w:rsidRPr="0046259B" w:rsidRDefault="00B42A3F" w:rsidP="00B42A3F">
            <w:pPr>
              <w:jc w:val="center"/>
              <w:rPr>
                <w:rFonts w:ascii="Times" w:hAnsi="Times"/>
                <w:color w:val="C2D69B" w:themeColor="accent3" w:themeTint="99"/>
                <w:sz w:val="22"/>
                <w:szCs w:val="22"/>
              </w:rPr>
            </w:pPr>
            <w:r w:rsidRPr="00765C72">
              <w:rPr>
                <w:rFonts w:ascii="Times" w:hAnsi="Times"/>
                <w:b/>
                <w:sz w:val="22"/>
                <w:szCs w:val="22"/>
              </w:rPr>
              <w:t>2</w:t>
            </w:r>
          </w:p>
        </w:tc>
        <w:tc>
          <w:tcPr>
            <w:tcW w:w="850"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3</w:t>
            </w:r>
          </w:p>
        </w:tc>
        <w:tc>
          <w:tcPr>
            <w:tcW w:w="851" w:type="dxa"/>
            <w:shd w:val="clear" w:color="auto" w:fill="auto"/>
            <w:vAlign w:val="center"/>
          </w:tcPr>
          <w:p w:rsidR="00B42A3F" w:rsidRPr="0046259B" w:rsidRDefault="00B42A3F" w:rsidP="00B42A3F">
            <w:pPr>
              <w:jc w:val="center"/>
              <w:rPr>
                <w:rFonts w:ascii="Times" w:hAnsi="Times"/>
                <w:color w:val="C2D69B" w:themeColor="accent3" w:themeTint="99"/>
                <w:sz w:val="22"/>
                <w:szCs w:val="22"/>
              </w:rPr>
            </w:pPr>
            <w:r w:rsidRPr="00765C72">
              <w:rPr>
                <w:rFonts w:ascii="Times" w:hAnsi="Times"/>
                <w:b/>
                <w:sz w:val="22"/>
                <w:szCs w:val="22"/>
              </w:rPr>
              <w:t>4</w:t>
            </w:r>
          </w:p>
        </w:tc>
        <w:tc>
          <w:tcPr>
            <w:tcW w:w="850" w:type="dxa"/>
            <w:shd w:val="clear" w:color="auto" w:fill="auto"/>
            <w:vAlign w:val="center"/>
          </w:tcPr>
          <w:p w:rsidR="00B42A3F" w:rsidRPr="0046259B" w:rsidRDefault="00B42A3F" w:rsidP="00B42A3F">
            <w:pPr>
              <w:jc w:val="center"/>
              <w:rPr>
                <w:rFonts w:ascii="Times" w:hAnsi="Times"/>
                <w:color w:val="C2D69B" w:themeColor="accent3" w:themeTint="99"/>
                <w:sz w:val="22"/>
                <w:szCs w:val="22"/>
              </w:rPr>
            </w:pPr>
            <w:r w:rsidRPr="00765C72">
              <w:rPr>
                <w:rFonts w:ascii="Times" w:hAnsi="Times"/>
                <w:b/>
                <w:sz w:val="22"/>
                <w:szCs w:val="22"/>
              </w:rPr>
              <w:t>5</w:t>
            </w:r>
          </w:p>
        </w:tc>
        <w:tc>
          <w:tcPr>
            <w:tcW w:w="2268" w:type="dxa"/>
            <w:vAlign w:val="center"/>
          </w:tcPr>
          <w:p w:rsidR="00B42A3F" w:rsidRPr="00351695" w:rsidRDefault="00B42A3F" w:rsidP="00B42A3F">
            <w:pPr>
              <w:jc w:val="center"/>
              <w:rPr>
                <w:rFonts w:ascii="Times" w:hAnsi="Times"/>
                <w:sz w:val="22"/>
                <w:szCs w:val="22"/>
              </w:rPr>
            </w:pPr>
            <w:r>
              <w:rPr>
                <w:rFonts w:ascii="Times" w:hAnsi="Times"/>
                <w:b/>
                <w:sz w:val="22"/>
                <w:szCs w:val="22"/>
              </w:rPr>
              <w:t>6</w:t>
            </w:r>
          </w:p>
        </w:tc>
      </w:tr>
      <w:tr w:rsidR="00B42A3F" w:rsidRPr="000F6176" w:rsidTr="00B42A3F">
        <w:tc>
          <w:tcPr>
            <w:tcW w:w="1668" w:type="dxa"/>
            <w:vMerge w:val="restart"/>
            <w:shd w:val="clear" w:color="auto" w:fill="auto"/>
            <w:textDirection w:val="btLr"/>
            <w:vAlign w:val="center"/>
          </w:tcPr>
          <w:p w:rsidR="00B42A3F" w:rsidRPr="00C13C6C" w:rsidRDefault="00B42A3F" w:rsidP="00B42A3F">
            <w:pPr>
              <w:jc w:val="center"/>
              <w:rPr>
                <w:rFonts w:ascii="Times" w:hAnsi="Times"/>
                <w:b/>
                <w:sz w:val="22"/>
                <w:szCs w:val="22"/>
              </w:rPr>
            </w:pPr>
            <w:r w:rsidRPr="00C13C6C">
              <w:rPr>
                <w:rFonts w:ascii="Times" w:hAnsi="Times"/>
                <w:b/>
                <w:sz w:val="22"/>
                <w:szCs w:val="22"/>
              </w:rPr>
              <w:t>interest</w:t>
            </w:r>
          </w:p>
        </w:tc>
        <w:tc>
          <w:tcPr>
            <w:tcW w:w="1842"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interest, 2012-2013</w:t>
            </w:r>
          </w:p>
        </w:tc>
        <w:tc>
          <w:tcPr>
            <w:tcW w:w="993"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Pr="00351695" w:rsidRDefault="00B42A3F" w:rsidP="00B42A3F">
            <w:pPr>
              <w:jc w:val="both"/>
              <w:rPr>
                <w:rFonts w:ascii="Times" w:hAnsi="Times"/>
                <w:sz w:val="22"/>
                <w:szCs w:val="22"/>
              </w:rPr>
            </w:pPr>
            <w:r w:rsidRPr="00351695">
              <w:rPr>
                <w:rFonts w:ascii="Times" w:hAnsi="Times"/>
                <w:sz w:val="22"/>
                <w:szCs w:val="22"/>
              </w:rPr>
              <w:t>под вопросом</w:t>
            </w:r>
          </w:p>
        </w:tc>
      </w:tr>
      <w:tr w:rsidR="00B42A3F" w:rsidRPr="000F6176" w:rsidTr="00B42A3F">
        <w:tc>
          <w:tcPr>
            <w:tcW w:w="1668" w:type="dxa"/>
            <w:vMerge/>
            <w:shd w:val="clear" w:color="auto" w:fill="auto"/>
            <w:textDirection w:val="btLr"/>
            <w:vAlign w:val="center"/>
          </w:tcPr>
          <w:p w:rsidR="00B42A3F" w:rsidRPr="00C13C6C" w:rsidRDefault="00B42A3F" w:rsidP="00B42A3F">
            <w:pPr>
              <w:jc w:val="center"/>
              <w:rPr>
                <w:rFonts w:ascii="Times" w:hAnsi="Times"/>
                <w:b/>
                <w:sz w:val="22"/>
                <w:szCs w:val="22"/>
              </w:rPr>
            </w:pPr>
          </w:p>
        </w:tc>
        <w:tc>
          <w:tcPr>
            <w:tcW w:w="1842"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interest, 2014-2015</w:t>
            </w:r>
          </w:p>
        </w:tc>
        <w:tc>
          <w:tcPr>
            <w:tcW w:w="993"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Default="00B42A3F" w:rsidP="00B42A3F">
            <w:pPr>
              <w:jc w:val="both"/>
              <w:rPr>
                <w:rFonts w:ascii="Times" w:hAnsi="Times"/>
                <w:sz w:val="22"/>
                <w:szCs w:val="22"/>
              </w:rPr>
            </w:pPr>
            <w:r w:rsidRPr="00351695">
              <w:rPr>
                <w:rFonts w:ascii="Times" w:hAnsi="Times"/>
                <w:sz w:val="22"/>
                <w:szCs w:val="22"/>
              </w:rPr>
              <w:t>под вопросом</w:t>
            </w:r>
          </w:p>
        </w:tc>
      </w:tr>
      <w:tr w:rsidR="00B42A3F" w:rsidRPr="000F6176" w:rsidTr="00B42A3F">
        <w:tc>
          <w:tcPr>
            <w:tcW w:w="1668" w:type="dxa"/>
            <w:vMerge w:val="restart"/>
            <w:shd w:val="clear" w:color="auto" w:fill="auto"/>
            <w:textDirection w:val="btLr"/>
            <w:vAlign w:val="center"/>
          </w:tcPr>
          <w:p w:rsidR="00B42A3F" w:rsidRPr="00C13C6C" w:rsidRDefault="00B42A3F" w:rsidP="00B42A3F">
            <w:pPr>
              <w:jc w:val="center"/>
              <w:rPr>
                <w:rFonts w:ascii="Times" w:hAnsi="Times"/>
                <w:b/>
                <w:sz w:val="22"/>
                <w:szCs w:val="22"/>
              </w:rPr>
            </w:pPr>
            <w:r w:rsidRPr="00C13C6C">
              <w:rPr>
                <w:rFonts w:ascii="Times" w:hAnsi="Times"/>
                <w:b/>
                <w:sz w:val="22"/>
                <w:szCs w:val="22"/>
              </w:rPr>
              <w:t>Dinterest</w:t>
            </w:r>
          </w:p>
        </w:tc>
        <w:tc>
          <w:tcPr>
            <w:tcW w:w="1842"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Dinterest, 2010-2011</w:t>
            </w:r>
          </w:p>
        </w:tc>
        <w:tc>
          <w:tcPr>
            <w:tcW w:w="993"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1"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850" w:type="dxa"/>
            <w:shd w:val="clear" w:color="auto" w:fill="auto"/>
          </w:tcPr>
          <w:p w:rsidR="00B42A3F" w:rsidRPr="00E06C9A" w:rsidRDefault="00B42A3F" w:rsidP="00B42A3F">
            <w:pPr>
              <w:jc w:val="both"/>
              <w:rPr>
                <w:rFonts w:ascii="Times" w:hAnsi="Times"/>
                <w:sz w:val="22"/>
                <w:szCs w:val="22"/>
              </w:rPr>
            </w:pPr>
            <w:r w:rsidRPr="00E06C9A">
              <w:rPr>
                <w:rFonts w:ascii="Times" w:hAnsi="Times"/>
                <w:sz w:val="22"/>
                <w:szCs w:val="22"/>
              </w:rPr>
              <w:t>0***</w:t>
            </w:r>
          </w:p>
          <w:p w:rsidR="00B42A3F" w:rsidRPr="00E06C9A" w:rsidRDefault="00B42A3F" w:rsidP="00B42A3F">
            <w:pPr>
              <w:jc w:val="both"/>
              <w:rPr>
                <w:rFonts w:ascii="Times" w:hAnsi="Times"/>
                <w:sz w:val="22"/>
                <w:szCs w:val="22"/>
              </w:rPr>
            </w:pPr>
            <w:r w:rsidRPr="00E06C9A">
              <w:rPr>
                <w:rFonts w:ascii="Times" w:hAnsi="Times"/>
                <w:sz w:val="22"/>
                <w:szCs w:val="22"/>
              </w:rPr>
              <w:t>1***</w:t>
            </w:r>
          </w:p>
          <w:p w:rsidR="00B42A3F" w:rsidRPr="00E06C9A" w:rsidRDefault="00B42A3F" w:rsidP="00B42A3F">
            <w:pPr>
              <w:jc w:val="both"/>
              <w:rPr>
                <w:rFonts w:ascii="Times" w:hAnsi="Times"/>
                <w:sz w:val="22"/>
                <w:szCs w:val="22"/>
              </w:rPr>
            </w:pPr>
            <w:r w:rsidRPr="00E06C9A">
              <w:rPr>
                <w:rFonts w:ascii="Times" w:hAnsi="Times"/>
                <w:sz w:val="22"/>
                <w:szCs w:val="22"/>
              </w:rPr>
              <w:t>2***</w:t>
            </w:r>
          </w:p>
          <w:p w:rsidR="00B42A3F" w:rsidRPr="00E06C9A" w:rsidRDefault="00B42A3F" w:rsidP="00B42A3F">
            <w:pPr>
              <w:jc w:val="both"/>
              <w:rPr>
                <w:rFonts w:ascii="Times" w:hAnsi="Times"/>
                <w:sz w:val="22"/>
                <w:szCs w:val="22"/>
              </w:rPr>
            </w:pPr>
            <w:r w:rsidRPr="00E06C9A">
              <w:rPr>
                <w:rFonts w:ascii="Times" w:hAnsi="Times"/>
                <w:sz w:val="22"/>
                <w:szCs w:val="22"/>
              </w:rPr>
              <w:t>3***</w:t>
            </w:r>
          </w:p>
          <w:p w:rsidR="00B42A3F" w:rsidRPr="00E06C9A" w:rsidRDefault="00B42A3F" w:rsidP="00B42A3F">
            <w:pPr>
              <w:jc w:val="both"/>
              <w:rPr>
                <w:rFonts w:ascii="Times" w:hAnsi="Times"/>
                <w:sz w:val="22"/>
                <w:szCs w:val="22"/>
              </w:rPr>
            </w:pPr>
            <w:r w:rsidRPr="00E06C9A">
              <w:rPr>
                <w:rFonts w:ascii="Times" w:hAnsi="Times"/>
                <w:sz w:val="22"/>
                <w:szCs w:val="22"/>
              </w:rPr>
              <w:t>4***</w:t>
            </w:r>
          </w:p>
          <w:p w:rsidR="00B42A3F" w:rsidRPr="00E06C9A" w:rsidRDefault="00B42A3F" w:rsidP="00B42A3F">
            <w:pPr>
              <w:jc w:val="both"/>
              <w:rPr>
                <w:rFonts w:ascii="Times" w:hAnsi="Times"/>
                <w:sz w:val="22"/>
                <w:szCs w:val="22"/>
              </w:rPr>
            </w:pPr>
            <w:r w:rsidRPr="00E06C9A">
              <w:rPr>
                <w:rFonts w:ascii="Times" w:hAnsi="Times"/>
                <w:sz w:val="22"/>
                <w:szCs w:val="22"/>
              </w:rPr>
              <w:t>5***</w:t>
            </w:r>
          </w:p>
          <w:p w:rsidR="00B42A3F" w:rsidRPr="00E06C9A" w:rsidRDefault="00B42A3F" w:rsidP="00B42A3F">
            <w:pPr>
              <w:jc w:val="both"/>
              <w:rPr>
                <w:rFonts w:ascii="Times" w:hAnsi="Times"/>
                <w:sz w:val="22"/>
                <w:szCs w:val="22"/>
              </w:rPr>
            </w:pPr>
            <w:r w:rsidRPr="00E06C9A">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extDirection w:val="btLr"/>
            <w:vAlign w:val="center"/>
          </w:tcPr>
          <w:p w:rsidR="00B42A3F" w:rsidRPr="00877D7D" w:rsidRDefault="00B42A3F" w:rsidP="00B42A3F">
            <w:pPr>
              <w:jc w:val="center"/>
              <w:rPr>
                <w:rFonts w:ascii="Times" w:hAnsi="Times"/>
                <w:sz w:val="22"/>
                <w:szCs w:val="22"/>
              </w:rPr>
            </w:pPr>
          </w:p>
        </w:tc>
        <w:tc>
          <w:tcPr>
            <w:tcW w:w="1842"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Dinterest,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cPr>
          <w:p w:rsidR="00B42A3F" w:rsidRPr="00877D7D" w:rsidRDefault="00B42A3F" w:rsidP="00B42A3F">
            <w:pPr>
              <w:jc w:val="both"/>
              <w:rPr>
                <w:rFonts w:ascii="Times" w:hAnsi="Times"/>
                <w:sz w:val="22"/>
                <w:szCs w:val="22"/>
              </w:rPr>
            </w:pPr>
          </w:p>
        </w:tc>
        <w:tc>
          <w:tcPr>
            <w:tcW w:w="1842"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Dinterest, 2014-2015</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val="restart"/>
            <w:shd w:val="clear" w:color="auto" w:fill="auto"/>
            <w:textDirection w:val="btLr"/>
            <w:vAlign w:val="center"/>
          </w:tcPr>
          <w:p w:rsidR="00B42A3F" w:rsidRPr="00C13C6C" w:rsidRDefault="00B42A3F" w:rsidP="00B42A3F">
            <w:pPr>
              <w:ind w:left="113" w:right="113"/>
              <w:jc w:val="center"/>
              <w:rPr>
                <w:rFonts w:ascii="Times" w:hAnsi="Times"/>
                <w:b/>
                <w:sz w:val="22"/>
                <w:szCs w:val="22"/>
              </w:rPr>
            </w:pPr>
            <w:r w:rsidRPr="00C13C6C">
              <w:rPr>
                <w:rFonts w:ascii="Times" w:hAnsi="Times"/>
                <w:b/>
                <w:sz w:val="22"/>
                <w:szCs w:val="22"/>
              </w:rPr>
              <w:t>DDinterest</w:t>
            </w:r>
          </w:p>
        </w:tc>
        <w:tc>
          <w:tcPr>
            <w:tcW w:w="1842"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DD</w:t>
            </w:r>
            <w:r>
              <w:rPr>
                <w:rFonts w:ascii="Times" w:hAnsi="Times"/>
                <w:sz w:val="22"/>
                <w:szCs w:val="22"/>
              </w:rPr>
              <w:t>i</w:t>
            </w:r>
            <w:r w:rsidRPr="00877D7D">
              <w:rPr>
                <w:rFonts w:ascii="Times" w:hAnsi="Times"/>
                <w:sz w:val="22"/>
                <w:szCs w:val="22"/>
              </w:rPr>
              <w:t>nterest, 2010-2011</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r w:rsidR="00B42A3F" w:rsidRPr="000F6176" w:rsidTr="00B42A3F">
        <w:tc>
          <w:tcPr>
            <w:tcW w:w="1668" w:type="dxa"/>
            <w:vMerge/>
            <w:shd w:val="clear" w:color="auto" w:fill="auto"/>
          </w:tcPr>
          <w:p w:rsidR="00B42A3F" w:rsidRPr="00877D7D" w:rsidRDefault="00B42A3F" w:rsidP="00B42A3F">
            <w:pPr>
              <w:jc w:val="both"/>
              <w:rPr>
                <w:rFonts w:ascii="Times" w:hAnsi="Times"/>
                <w:sz w:val="22"/>
                <w:szCs w:val="22"/>
              </w:rPr>
            </w:pPr>
          </w:p>
        </w:tc>
        <w:tc>
          <w:tcPr>
            <w:tcW w:w="1842"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DDinterest, 2012-2013</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bl>
    <w:p w:rsidR="00B42A3F" w:rsidRDefault="00B42A3F" w:rsidP="00E06C9A">
      <w:pPr>
        <w:ind w:left="284" w:firstLine="0"/>
        <w:rPr>
          <w:rFonts w:ascii="Times" w:hAnsi="Times"/>
        </w:rPr>
      </w:pPr>
      <w:r w:rsidRPr="00ED26F7">
        <w:rPr>
          <w:rFonts w:ascii="Times" w:hAnsi="Times"/>
        </w:rPr>
        <w:lastRenderedPageBreak/>
        <w:t>Продолжение Таблицы 2</w:t>
      </w:r>
    </w:p>
    <w:p w:rsidR="00B42A3F" w:rsidRDefault="00B42A3F" w:rsidP="00B42A3F">
      <w:pPr>
        <w:ind w:left="284"/>
      </w:pPr>
    </w:p>
    <w:tbl>
      <w:tblPr>
        <w:tblStyle w:val="ae"/>
        <w:tblpPr w:leftFromText="180" w:rightFromText="180" w:vertAnchor="text" w:tblpX="416" w:tblpY="1"/>
        <w:tblOverlap w:val="never"/>
        <w:tblW w:w="9322" w:type="dxa"/>
        <w:tblLayout w:type="fixed"/>
        <w:tblLook w:val="04A0"/>
      </w:tblPr>
      <w:tblGrid>
        <w:gridCol w:w="1668"/>
        <w:gridCol w:w="1842"/>
        <w:gridCol w:w="993"/>
        <w:gridCol w:w="850"/>
        <w:gridCol w:w="851"/>
        <w:gridCol w:w="850"/>
        <w:gridCol w:w="2268"/>
      </w:tblGrid>
      <w:tr w:rsidR="00B42A3F" w:rsidRPr="000F6176" w:rsidTr="00B42A3F">
        <w:tc>
          <w:tcPr>
            <w:tcW w:w="1668" w:type="dxa"/>
            <w:shd w:val="clear" w:color="auto" w:fill="auto"/>
            <w:vAlign w:val="center"/>
          </w:tcPr>
          <w:p w:rsidR="00B42A3F" w:rsidRPr="00C13C6C" w:rsidRDefault="00B42A3F" w:rsidP="00B42A3F">
            <w:pPr>
              <w:jc w:val="center"/>
              <w:rPr>
                <w:rFonts w:ascii="Times" w:hAnsi="Times"/>
                <w:b/>
                <w:sz w:val="22"/>
                <w:szCs w:val="22"/>
              </w:rPr>
            </w:pPr>
            <w:r w:rsidRPr="00765C72">
              <w:rPr>
                <w:rFonts w:ascii="Times" w:hAnsi="Times"/>
                <w:b/>
                <w:sz w:val="22"/>
                <w:szCs w:val="22"/>
              </w:rPr>
              <w:t>Код столбца</w:t>
            </w:r>
          </w:p>
        </w:tc>
        <w:tc>
          <w:tcPr>
            <w:tcW w:w="1842" w:type="dxa"/>
            <w:shd w:val="clear" w:color="auto" w:fill="auto"/>
            <w:vAlign w:val="center"/>
          </w:tcPr>
          <w:p w:rsidR="00B42A3F" w:rsidRPr="00877D7D" w:rsidRDefault="00B42A3F" w:rsidP="00B42A3F">
            <w:pPr>
              <w:jc w:val="center"/>
              <w:rPr>
                <w:rFonts w:ascii="Times" w:hAnsi="Times"/>
                <w:sz w:val="22"/>
                <w:szCs w:val="22"/>
              </w:rPr>
            </w:pPr>
            <w:r w:rsidRPr="00765C72">
              <w:rPr>
                <w:rFonts w:ascii="Times" w:hAnsi="Times"/>
                <w:b/>
                <w:sz w:val="22"/>
                <w:szCs w:val="22"/>
              </w:rPr>
              <w:t>1</w:t>
            </w:r>
          </w:p>
        </w:tc>
        <w:tc>
          <w:tcPr>
            <w:tcW w:w="993"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2</w:t>
            </w:r>
          </w:p>
        </w:tc>
        <w:tc>
          <w:tcPr>
            <w:tcW w:w="850"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3</w:t>
            </w:r>
          </w:p>
        </w:tc>
        <w:tc>
          <w:tcPr>
            <w:tcW w:w="851"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4</w:t>
            </w:r>
          </w:p>
        </w:tc>
        <w:tc>
          <w:tcPr>
            <w:tcW w:w="850" w:type="dxa"/>
            <w:shd w:val="clear" w:color="auto" w:fill="auto"/>
            <w:vAlign w:val="center"/>
          </w:tcPr>
          <w:p w:rsidR="00B42A3F" w:rsidRDefault="00B42A3F" w:rsidP="00B42A3F">
            <w:pPr>
              <w:jc w:val="center"/>
              <w:rPr>
                <w:rFonts w:ascii="Times" w:hAnsi="Times"/>
                <w:sz w:val="22"/>
                <w:szCs w:val="22"/>
              </w:rPr>
            </w:pPr>
            <w:r w:rsidRPr="00765C72">
              <w:rPr>
                <w:rFonts w:ascii="Times" w:hAnsi="Times"/>
                <w:b/>
                <w:sz w:val="22"/>
                <w:szCs w:val="22"/>
              </w:rPr>
              <w:t>5</w:t>
            </w:r>
          </w:p>
        </w:tc>
        <w:tc>
          <w:tcPr>
            <w:tcW w:w="2268" w:type="dxa"/>
            <w:vAlign w:val="center"/>
          </w:tcPr>
          <w:p w:rsidR="00B42A3F" w:rsidRDefault="00B42A3F" w:rsidP="00B42A3F">
            <w:pPr>
              <w:jc w:val="center"/>
              <w:rPr>
                <w:rFonts w:ascii="Times" w:hAnsi="Times"/>
                <w:sz w:val="22"/>
                <w:szCs w:val="22"/>
              </w:rPr>
            </w:pPr>
            <w:r>
              <w:rPr>
                <w:rFonts w:ascii="Times" w:hAnsi="Times"/>
                <w:b/>
                <w:sz w:val="22"/>
                <w:szCs w:val="22"/>
              </w:rPr>
              <w:t>6</w:t>
            </w:r>
          </w:p>
        </w:tc>
      </w:tr>
      <w:tr w:rsidR="00B42A3F" w:rsidRPr="000F6176" w:rsidTr="00B42A3F">
        <w:tc>
          <w:tcPr>
            <w:tcW w:w="1668" w:type="dxa"/>
            <w:shd w:val="clear" w:color="auto" w:fill="auto"/>
            <w:textDirection w:val="btLr"/>
            <w:vAlign w:val="center"/>
          </w:tcPr>
          <w:p w:rsidR="00B42A3F" w:rsidRPr="00877D7D" w:rsidRDefault="00B42A3F" w:rsidP="00B42A3F">
            <w:pPr>
              <w:jc w:val="center"/>
              <w:rPr>
                <w:rFonts w:ascii="Times" w:hAnsi="Times"/>
                <w:sz w:val="22"/>
                <w:szCs w:val="22"/>
              </w:rPr>
            </w:pPr>
            <w:r w:rsidRPr="00C13C6C">
              <w:rPr>
                <w:rFonts w:ascii="Times" w:hAnsi="Times"/>
                <w:b/>
                <w:sz w:val="22"/>
                <w:szCs w:val="22"/>
              </w:rPr>
              <w:t>DDinterest</w:t>
            </w:r>
          </w:p>
        </w:tc>
        <w:tc>
          <w:tcPr>
            <w:tcW w:w="1842" w:type="dxa"/>
            <w:shd w:val="clear" w:color="auto" w:fill="auto"/>
          </w:tcPr>
          <w:p w:rsidR="00B42A3F" w:rsidRPr="00877D7D" w:rsidRDefault="00B42A3F" w:rsidP="00B42A3F">
            <w:pPr>
              <w:jc w:val="both"/>
              <w:rPr>
                <w:rFonts w:ascii="Times" w:hAnsi="Times"/>
                <w:sz w:val="22"/>
                <w:szCs w:val="22"/>
              </w:rPr>
            </w:pPr>
            <w:r w:rsidRPr="00877D7D">
              <w:rPr>
                <w:rFonts w:ascii="Times" w:hAnsi="Times"/>
                <w:sz w:val="22"/>
                <w:szCs w:val="22"/>
              </w:rPr>
              <w:t>DDinterest, 2014-2015</w:t>
            </w:r>
          </w:p>
        </w:tc>
        <w:tc>
          <w:tcPr>
            <w:tcW w:w="993"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1"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850" w:type="dxa"/>
            <w:shd w:val="clear" w:color="auto" w:fill="auto"/>
          </w:tcPr>
          <w:p w:rsidR="00B42A3F" w:rsidRDefault="00B42A3F" w:rsidP="00B42A3F">
            <w:pPr>
              <w:jc w:val="both"/>
              <w:rPr>
                <w:rFonts w:ascii="Times" w:hAnsi="Times"/>
                <w:sz w:val="22"/>
                <w:szCs w:val="22"/>
              </w:rPr>
            </w:pPr>
            <w:r>
              <w:rPr>
                <w:rFonts w:ascii="Times" w:hAnsi="Times"/>
                <w:sz w:val="22"/>
                <w:szCs w:val="22"/>
              </w:rPr>
              <w:t>0***</w:t>
            </w:r>
          </w:p>
          <w:p w:rsidR="00B42A3F" w:rsidRDefault="00B42A3F" w:rsidP="00B42A3F">
            <w:pPr>
              <w:jc w:val="both"/>
              <w:rPr>
                <w:rFonts w:ascii="Times" w:hAnsi="Times"/>
                <w:sz w:val="22"/>
                <w:szCs w:val="22"/>
              </w:rPr>
            </w:pPr>
            <w:r>
              <w:rPr>
                <w:rFonts w:ascii="Times" w:hAnsi="Times"/>
                <w:sz w:val="22"/>
                <w:szCs w:val="22"/>
              </w:rPr>
              <w:t>1***</w:t>
            </w:r>
          </w:p>
          <w:p w:rsidR="00B42A3F" w:rsidRDefault="00B42A3F" w:rsidP="00B42A3F">
            <w:pPr>
              <w:jc w:val="both"/>
              <w:rPr>
                <w:rFonts w:ascii="Times" w:hAnsi="Times"/>
                <w:sz w:val="22"/>
                <w:szCs w:val="22"/>
              </w:rPr>
            </w:pPr>
            <w:r>
              <w:rPr>
                <w:rFonts w:ascii="Times" w:hAnsi="Times"/>
                <w:sz w:val="22"/>
                <w:szCs w:val="22"/>
              </w:rPr>
              <w:t>2***</w:t>
            </w:r>
          </w:p>
          <w:p w:rsidR="00B42A3F" w:rsidRDefault="00B42A3F" w:rsidP="00B42A3F">
            <w:pPr>
              <w:jc w:val="both"/>
              <w:rPr>
                <w:rFonts w:ascii="Times" w:hAnsi="Times"/>
                <w:sz w:val="22"/>
                <w:szCs w:val="22"/>
              </w:rPr>
            </w:pPr>
            <w:r>
              <w:rPr>
                <w:rFonts w:ascii="Times" w:hAnsi="Times"/>
                <w:sz w:val="22"/>
                <w:szCs w:val="22"/>
              </w:rPr>
              <w:t>3***</w:t>
            </w:r>
          </w:p>
          <w:p w:rsidR="00B42A3F" w:rsidRDefault="00B42A3F" w:rsidP="00B42A3F">
            <w:pPr>
              <w:jc w:val="both"/>
              <w:rPr>
                <w:rFonts w:ascii="Times" w:hAnsi="Times"/>
                <w:sz w:val="22"/>
                <w:szCs w:val="22"/>
              </w:rPr>
            </w:pPr>
            <w:r>
              <w:rPr>
                <w:rFonts w:ascii="Times" w:hAnsi="Times"/>
                <w:sz w:val="22"/>
                <w:szCs w:val="22"/>
              </w:rPr>
              <w:t>4***</w:t>
            </w:r>
          </w:p>
          <w:p w:rsidR="00B42A3F" w:rsidRDefault="00B42A3F" w:rsidP="00B42A3F">
            <w:pPr>
              <w:jc w:val="both"/>
              <w:rPr>
                <w:rFonts w:ascii="Times" w:hAnsi="Times"/>
                <w:sz w:val="22"/>
                <w:szCs w:val="22"/>
              </w:rPr>
            </w:pPr>
            <w:r>
              <w:rPr>
                <w:rFonts w:ascii="Times" w:hAnsi="Times"/>
                <w:sz w:val="22"/>
                <w:szCs w:val="22"/>
              </w:rPr>
              <w:t>5***</w:t>
            </w:r>
          </w:p>
          <w:p w:rsidR="00B42A3F" w:rsidRPr="00877D7D" w:rsidRDefault="00B42A3F" w:rsidP="00B42A3F">
            <w:pPr>
              <w:jc w:val="both"/>
              <w:rPr>
                <w:rFonts w:ascii="Times" w:hAnsi="Times"/>
                <w:sz w:val="22"/>
                <w:szCs w:val="22"/>
              </w:rPr>
            </w:pPr>
            <w:r>
              <w:rPr>
                <w:rFonts w:ascii="Times" w:hAnsi="Times"/>
                <w:sz w:val="22"/>
                <w:szCs w:val="22"/>
              </w:rPr>
              <w:t>6***</w:t>
            </w:r>
          </w:p>
        </w:tc>
        <w:tc>
          <w:tcPr>
            <w:tcW w:w="2268" w:type="dxa"/>
          </w:tcPr>
          <w:p w:rsidR="00B42A3F" w:rsidRDefault="00B42A3F" w:rsidP="00B42A3F">
            <w:pPr>
              <w:jc w:val="both"/>
              <w:rPr>
                <w:rFonts w:ascii="Times" w:hAnsi="Times"/>
                <w:sz w:val="22"/>
                <w:szCs w:val="22"/>
              </w:rPr>
            </w:pPr>
            <w:r>
              <w:rPr>
                <w:rFonts w:ascii="Times" w:hAnsi="Times"/>
                <w:sz w:val="22"/>
                <w:szCs w:val="22"/>
              </w:rPr>
              <w:t>наличие</w:t>
            </w:r>
          </w:p>
        </w:tc>
      </w:tr>
    </w:tbl>
    <w:p w:rsidR="00B42A3F" w:rsidRDefault="00B42A3F" w:rsidP="00B42A3F">
      <w:pPr>
        <w:ind w:right="-8" w:firstLine="567"/>
        <w:jc w:val="both"/>
        <w:rPr>
          <w:rFonts w:ascii="Times" w:hAnsi="Times"/>
        </w:rPr>
        <w:sectPr w:rsidR="00B42A3F" w:rsidSect="00B42A3F">
          <w:footerReference w:type="default" r:id="rId70"/>
          <w:pgSz w:w="11900" w:h="16840"/>
          <w:pgMar w:top="1389" w:right="1418" w:bottom="1304" w:left="851" w:header="709" w:footer="907" w:gutter="0"/>
          <w:cols w:space="708"/>
          <w:docGrid w:linePitch="360"/>
        </w:sectPr>
      </w:pPr>
      <w:r>
        <w:rPr>
          <w:rFonts w:ascii="Times" w:hAnsi="Times"/>
        </w:rPr>
        <w:br w:type="textWrapping" w:clear="all"/>
      </w:r>
    </w:p>
    <w:p w:rsidR="00B42A3F" w:rsidRDefault="00B42A3F" w:rsidP="00B42A3F">
      <w:pPr>
        <w:ind w:left="142" w:right="538"/>
        <w:jc w:val="right"/>
        <w:rPr>
          <w:rFonts w:ascii="Times" w:hAnsi="Times"/>
          <w:b/>
        </w:rPr>
      </w:pPr>
      <w:r>
        <w:rPr>
          <w:rFonts w:ascii="Times" w:hAnsi="Times"/>
          <w:b/>
        </w:rPr>
        <w:lastRenderedPageBreak/>
        <w:t>Приложение 4</w:t>
      </w:r>
    </w:p>
    <w:p w:rsidR="00B42A3F" w:rsidRPr="0058455C" w:rsidRDefault="00B42A3F" w:rsidP="00E06C9A">
      <w:pPr>
        <w:spacing w:line="240" w:lineRule="auto"/>
        <w:ind w:left="142" w:right="538" w:firstLine="0"/>
        <w:rPr>
          <w:rFonts w:ascii="Times" w:hAnsi="Times"/>
          <w:b/>
        </w:rPr>
      </w:pPr>
      <w:r>
        <w:rPr>
          <w:rFonts w:ascii="Times" w:hAnsi="Times"/>
          <w:b/>
        </w:rPr>
        <w:t>Результаты оценки моделей векторной авторегрессии (</w:t>
      </w:r>
      <w:r>
        <w:rPr>
          <w:rFonts w:ascii="Times" w:hAnsi="Times"/>
          <w:b/>
          <w:lang w:val="en-US"/>
        </w:rPr>
        <w:t>VAR</w:t>
      </w:r>
      <w:r w:rsidRPr="0058455C">
        <w:rPr>
          <w:rFonts w:ascii="Times" w:hAnsi="Times"/>
          <w:b/>
        </w:rPr>
        <w:t>)</w:t>
      </w:r>
    </w:p>
    <w:p w:rsidR="00B42A3F" w:rsidRPr="006402C0" w:rsidRDefault="00B42A3F" w:rsidP="00E06C9A">
      <w:pPr>
        <w:spacing w:line="240" w:lineRule="auto"/>
        <w:ind w:left="142" w:right="538" w:firstLine="0"/>
        <w:rPr>
          <w:rFonts w:ascii="Times" w:hAnsi="Times"/>
          <w:b/>
        </w:rPr>
      </w:pPr>
      <w:r w:rsidRPr="006402C0">
        <w:rPr>
          <w:rFonts w:ascii="Times" w:hAnsi="Times"/>
          <w:b/>
        </w:rPr>
        <w:t>Таблица 1: Результаты оценки век</w:t>
      </w:r>
      <w:r>
        <w:rPr>
          <w:rFonts w:ascii="Times" w:hAnsi="Times"/>
          <w:b/>
        </w:rPr>
        <w:t>торной авторегрессионной модели</w:t>
      </w:r>
    </w:p>
    <w:p w:rsidR="00B42A3F" w:rsidRPr="00F47082" w:rsidRDefault="00B42A3F" w:rsidP="00E06C9A">
      <w:pPr>
        <w:spacing w:line="240" w:lineRule="auto"/>
        <w:ind w:left="142" w:right="538" w:firstLine="0"/>
        <w:rPr>
          <w:rFonts w:ascii="Times" w:hAnsi="Times"/>
        </w:rPr>
      </w:pPr>
      <w:r w:rsidRPr="00F47082">
        <w:rPr>
          <w:rFonts w:ascii="Times" w:hAnsi="Times"/>
        </w:rPr>
        <w:t xml:space="preserve">Эта таблица показывает </w:t>
      </w:r>
      <w:r w:rsidRPr="00F47082">
        <w:rPr>
          <w:rFonts w:ascii="Times" w:hAnsi="Times"/>
          <w:lang w:val="en-US"/>
        </w:rPr>
        <w:t>t</w:t>
      </w:r>
      <w:r w:rsidRPr="0058455C">
        <w:rPr>
          <w:rFonts w:ascii="Times" w:hAnsi="Times"/>
        </w:rPr>
        <w:t>-</w:t>
      </w:r>
      <w:r w:rsidRPr="00F47082">
        <w:rPr>
          <w:rFonts w:ascii="Times" w:hAnsi="Times"/>
        </w:rPr>
        <w:t xml:space="preserve">статистику </w:t>
      </w:r>
      <w:r w:rsidRPr="00F47082">
        <w:rPr>
          <w:rFonts w:ascii="Times" w:hAnsi="Times"/>
          <w:lang w:val="en-US"/>
        </w:rPr>
        <w:t>Newey</w:t>
      </w:r>
      <w:r w:rsidRPr="0058455C">
        <w:rPr>
          <w:rFonts w:ascii="Times" w:hAnsi="Times"/>
        </w:rPr>
        <w:t>-</w:t>
      </w:r>
      <w:r w:rsidRPr="00F47082">
        <w:rPr>
          <w:rFonts w:ascii="Times" w:hAnsi="Times"/>
          <w:lang w:val="en-US"/>
        </w:rPr>
        <w:t>West</w:t>
      </w:r>
      <w:r w:rsidRPr="0058455C">
        <w:rPr>
          <w:rFonts w:ascii="Times" w:hAnsi="Times"/>
        </w:rPr>
        <w:t xml:space="preserve"> </w:t>
      </w:r>
      <w:r w:rsidRPr="00F47082">
        <w:rPr>
          <w:rFonts w:ascii="Times" w:hAnsi="Times"/>
        </w:rPr>
        <w:t xml:space="preserve">для коэффициентов моделей векторной авторегрессии, при этом </w:t>
      </w:r>
      <w:r w:rsidRPr="00F47082">
        <w:rPr>
          <w:rFonts w:ascii="Times" w:hAnsi="Times"/>
          <w:lang w:val="en-US"/>
        </w:rPr>
        <w:t>VAR</w:t>
      </w:r>
      <w:r w:rsidRPr="0058455C">
        <w:rPr>
          <w:rFonts w:ascii="Times" w:hAnsi="Times"/>
        </w:rPr>
        <w:t xml:space="preserve"> </w:t>
      </w:r>
      <w:r w:rsidRPr="00F47082">
        <w:rPr>
          <w:rFonts w:ascii="Times" w:hAnsi="Times"/>
        </w:rPr>
        <w:t xml:space="preserve">оценивалась отдельно для каждого периода. </w:t>
      </w:r>
      <w:r w:rsidRPr="00F47082">
        <w:rPr>
          <w:rFonts w:ascii="Times" w:hAnsi="Times"/>
          <w:lang w:val="en-US"/>
        </w:rPr>
        <w:t>p</w:t>
      </w:r>
      <w:r w:rsidRPr="0058455C">
        <w:rPr>
          <w:rFonts w:ascii="Times" w:hAnsi="Times"/>
        </w:rPr>
        <w:t>-</w:t>
      </w:r>
      <w:r w:rsidRPr="00F47082">
        <w:rPr>
          <w:rFonts w:ascii="Times" w:hAnsi="Times"/>
          <w:lang w:val="en-US"/>
        </w:rPr>
        <w:t>value</w:t>
      </w:r>
      <w:r w:rsidRPr="0058455C">
        <w:rPr>
          <w:rFonts w:ascii="Times" w:hAnsi="Times"/>
        </w:rPr>
        <w:t xml:space="preserve"> </w:t>
      </w:r>
      <w:r w:rsidRPr="00F47082">
        <w:rPr>
          <w:rFonts w:ascii="Times" w:hAnsi="Times"/>
        </w:rPr>
        <w:t xml:space="preserve">характеризует </w:t>
      </w:r>
      <w:r w:rsidRPr="00F47082">
        <w:rPr>
          <w:rFonts w:ascii="Times" w:hAnsi="Times"/>
          <w:lang w:val="en-US"/>
        </w:rPr>
        <w:t>F</w:t>
      </w:r>
      <w:r w:rsidRPr="0058455C">
        <w:rPr>
          <w:rFonts w:ascii="Times" w:hAnsi="Times"/>
        </w:rPr>
        <w:t>-</w:t>
      </w:r>
      <w:r w:rsidRPr="00F47082">
        <w:rPr>
          <w:rFonts w:ascii="Times" w:hAnsi="Times"/>
        </w:rPr>
        <w:t xml:space="preserve">тест для гипотезы о том, что </w:t>
      </w:r>
      <m:oMath>
        <m:sSub>
          <m:sSubPr>
            <m:ctrlPr>
              <w:rPr>
                <w:rFonts w:ascii="Cambria Math" w:hAnsi="Cambria Math"/>
                <w:i/>
                <w:lang w:val="en-US"/>
              </w:rPr>
            </m:ctrlPr>
          </m:sSubPr>
          <m:e>
            <m:r>
              <w:rPr>
                <w:rFonts w:ascii="Cambria Math" w:hAnsi="Cambria Math"/>
                <w:lang w:val="en-US"/>
              </w:rPr>
              <m:t>γ</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γ</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γ</m:t>
            </m:r>
          </m:e>
          <m:sub>
            <m:r>
              <w:rPr>
                <w:rFonts w:ascii="Cambria Math" w:hAnsi="Cambria Math"/>
              </w:rPr>
              <m:t>3</m:t>
            </m:r>
          </m:sub>
        </m:sSub>
        <m:r>
          <w:rPr>
            <w:rFonts w:ascii="Cambria Math" w:hAnsi="Cambria Math"/>
          </w:rPr>
          <m:t>=</m:t>
        </m:r>
        <m:sSub>
          <m:sSubPr>
            <m:ctrlPr>
              <w:rPr>
                <w:rFonts w:ascii="Cambria Math" w:hAnsi="Cambria Math"/>
                <w:i/>
                <w:lang w:val="en-US"/>
              </w:rPr>
            </m:ctrlPr>
          </m:sSubPr>
          <m:e>
            <m:r>
              <w:rPr>
                <w:rFonts w:ascii="Cambria Math" w:hAnsi="Cambria Math"/>
                <w:lang w:val="en-US"/>
              </w:rPr>
              <m:t>γ</m:t>
            </m:r>
          </m:e>
          <m:sub>
            <m:r>
              <w:rPr>
                <w:rFonts w:ascii="Cambria Math" w:hAnsi="Cambria Math"/>
              </w:rPr>
              <m:t>4</m:t>
            </m:r>
          </m:sub>
        </m:sSub>
        <m:r>
          <w:rPr>
            <w:rFonts w:ascii="Cambria Math" w:hAnsi="Cambria Math"/>
          </w:rPr>
          <m:t>=0</m:t>
        </m:r>
      </m:oMath>
      <w:r w:rsidRPr="0058455C">
        <w:rPr>
          <w:rFonts w:ascii="Times" w:hAnsi="Times"/>
        </w:rPr>
        <w:t xml:space="preserve">. В этой связи, </w:t>
      </w:r>
      <w:r w:rsidRPr="00F47082">
        <w:rPr>
          <w:rFonts w:ascii="Times" w:hAnsi="Times"/>
          <w:lang w:val="en-US"/>
        </w:rPr>
        <w:t>Y</w:t>
      </w:r>
      <w:r w:rsidRPr="0058455C">
        <w:rPr>
          <w:rFonts w:ascii="Times" w:hAnsi="Times"/>
        </w:rPr>
        <w:t xml:space="preserve"> </w:t>
      </w:r>
      <w:r w:rsidRPr="00F47082">
        <w:rPr>
          <w:rFonts w:ascii="Times" w:hAnsi="Times"/>
        </w:rPr>
        <w:t xml:space="preserve">обозначает переменную финансового рынка, которая выступает зависимой переменной, в то время как </w:t>
      </w:r>
      <w:r w:rsidRPr="00F47082">
        <w:rPr>
          <w:rFonts w:ascii="Times" w:hAnsi="Times"/>
          <w:lang w:val="en-US"/>
        </w:rPr>
        <w:t>B</w:t>
      </w:r>
      <w:r w:rsidRPr="0058455C">
        <w:rPr>
          <w:rFonts w:ascii="Times" w:hAnsi="Times"/>
        </w:rPr>
        <w:t xml:space="preserve"> </w:t>
      </w:r>
      <w:r w:rsidRPr="00F47082">
        <w:rPr>
          <w:rFonts w:ascii="Times" w:hAnsi="Times"/>
        </w:rPr>
        <w:t xml:space="preserve">обозначает доходности индексов облигаций, лаговые значения которых (совместно с лаговыми значениями </w:t>
      </w:r>
      <w:r w:rsidRPr="00F47082">
        <w:rPr>
          <w:rFonts w:ascii="Times" w:hAnsi="Times"/>
          <w:lang w:val="en-US"/>
        </w:rPr>
        <w:t>Y</w:t>
      </w:r>
      <w:r w:rsidRPr="00F47082">
        <w:rPr>
          <w:rFonts w:ascii="Times" w:hAnsi="Times"/>
        </w:rPr>
        <w:t xml:space="preserve">) выступают объясняющими переменными. Две звёздочки </w:t>
      </w:r>
      <w:r w:rsidRPr="0058455C">
        <w:rPr>
          <w:rFonts w:ascii="Times" w:hAnsi="Times"/>
        </w:rPr>
        <w:t>**</w:t>
      </w:r>
      <w:r w:rsidRPr="00F47082">
        <w:rPr>
          <w:rFonts w:ascii="Times" w:hAnsi="Times"/>
        </w:rPr>
        <w:t xml:space="preserve"> показывают 5</w:t>
      </w:r>
      <w:r w:rsidRPr="0058455C">
        <w:rPr>
          <w:rFonts w:ascii="Times" w:hAnsi="Times"/>
        </w:rPr>
        <w:t>%-</w:t>
      </w:r>
      <w:r w:rsidRPr="00F47082">
        <w:rPr>
          <w:rFonts w:ascii="Times" w:hAnsi="Times"/>
        </w:rPr>
        <w:t xml:space="preserve">ую значимость, одна звёздочка </w:t>
      </w:r>
      <w:r w:rsidRPr="0058455C">
        <w:rPr>
          <w:rFonts w:ascii="Times" w:hAnsi="Times"/>
        </w:rPr>
        <w:t xml:space="preserve">* </w:t>
      </w:r>
      <w:r w:rsidRPr="00F47082">
        <w:rPr>
          <w:rFonts w:ascii="Times" w:hAnsi="Times"/>
        </w:rPr>
        <w:t>показывает 10</w:t>
      </w:r>
      <w:r w:rsidRPr="0058455C">
        <w:rPr>
          <w:rFonts w:ascii="Times" w:hAnsi="Times"/>
        </w:rPr>
        <w:t xml:space="preserve">%-ую значимость. </w:t>
      </w:r>
      <w:r w:rsidRPr="00F47082">
        <w:rPr>
          <w:rFonts w:ascii="Times" w:hAnsi="Times"/>
          <w:lang w:val="en-US"/>
        </w:rPr>
        <w:t>Рассматриваемый период с 1 января 2010 года по 8 июня 2015 года.</w:t>
      </w:r>
    </w:p>
    <w:p w:rsidR="00B42A3F" w:rsidRPr="00A21B88" w:rsidRDefault="00B42A3F" w:rsidP="00B42A3F">
      <w:pPr>
        <w:ind w:left="142" w:firstLine="709"/>
        <w:jc w:val="both"/>
        <w:rPr>
          <w:rFonts w:ascii="Times New Roman" w:hAnsi="Times New Roman"/>
          <w:iCs/>
          <w:lang w:val="en-US"/>
        </w:rPr>
      </w:pPr>
      <m:oMathPara>
        <m:oMath>
          <m:sSub>
            <m:sSubPr>
              <m:ctrlPr>
                <w:rPr>
                  <w:rFonts w:ascii="Cambria Math" w:hAnsi="Cambria Math"/>
                  <w:i/>
                  <w:iCs/>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=α+</m:t>
          </m:r>
          <m:nary>
            <m:naryPr>
              <m:chr m:val="∑"/>
              <m:limLoc m:val="undOvr"/>
              <m:ctrlPr>
                <w:rPr>
                  <w:rFonts w:ascii="Cambria Math" w:hAnsi="Cambria Math"/>
                  <w:i/>
                  <w:iCs/>
                  <w:lang w:val="en-US"/>
                </w:rPr>
              </m:ctrlPr>
            </m:naryPr>
            <m:sub>
              <m:r>
                <w:rPr>
                  <w:rFonts w:ascii="Cambria Math" w:hAnsi="Cambria Math"/>
                  <w:lang w:val="en-US"/>
                </w:rPr>
                <m:t>k=1</m:t>
              </m:r>
            </m:sub>
            <m:sup>
              <m:r>
                <w:rPr>
                  <w:rFonts w:ascii="Cambria Math" w:hAnsi="Cambria Math"/>
                  <w:lang w:val="en-US"/>
                </w:rPr>
                <m:t>4</m:t>
              </m:r>
            </m:sup>
            <m:e>
              <m:sSub>
                <m:sSubPr>
                  <m:ctrlPr>
                    <w:rPr>
                      <w:rFonts w:ascii="Cambria Math" w:hAnsi="Cambria Math"/>
                      <w:i/>
                      <w:iCs/>
                      <w:lang w:val="en-US"/>
                    </w:rPr>
                  </m:ctrlPr>
                </m:sSubPr>
                <m:e>
                  <m:r>
                    <w:rPr>
                      <w:rFonts w:ascii="Cambria Math" w:hAnsi="Cambria Math"/>
                      <w:lang w:val="en-US"/>
                    </w:rPr>
                    <m:t>β</m:t>
                  </m:r>
                </m:e>
                <m:sub>
                  <m:r>
                    <w:rPr>
                      <w:rFonts w:ascii="Cambria Math" w:hAnsi="Cambria Math"/>
                      <w:lang w:val="en-US"/>
                    </w:rPr>
                    <m:t>k</m:t>
                  </m:r>
                </m:sub>
              </m:sSub>
              <m:sSub>
                <m:sSubPr>
                  <m:ctrlPr>
                    <w:rPr>
                      <w:rFonts w:ascii="Cambria Math" w:hAnsi="Cambria Math"/>
                      <w:i/>
                      <w:iCs/>
                      <w:lang w:val="en-US"/>
                    </w:rPr>
                  </m:ctrlPr>
                </m:sSubPr>
                <m:e>
                  <m:r>
                    <w:rPr>
                      <w:rFonts w:ascii="Cambria Math" w:hAnsi="Cambria Math"/>
                      <w:lang w:val="en-US"/>
                    </w:rPr>
                    <m:t>Y</m:t>
                  </m:r>
                </m:e>
                <m:sub>
                  <m:r>
                    <w:rPr>
                      <w:rFonts w:ascii="Cambria Math" w:hAnsi="Cambria Math"/>
                      <w:lang w:val="en-US"/>
                    </w:rPr>
                    <m:t>t-k</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γ</m:t>
                  </m:r>
                </m:e>
                <m:sub>
                  <m:r>
                    <w:rPr>
                      <w:rFonts w:ascii="Cambria Math" w:hAnsi="Cambria Math"/>
                      <w:lang w:val="en-US"/>
                    </w:rPr>
                    <m:t>k</m:t>
                  </m:r>
                </m:sub>
              </m:sSub>
              <m:sSub>
                <m:sSubPr>
                  <m:ctrlPr>
                    <w:rPr>
                      <w:rFonts w:ascii="Cambria Math" w:hAnsi="Cambria Math"/>
                      <w:i/>
                      <w:iCs/>
                      <w:lang w:val="en-US"/>
                    </w:rPr>
                  </m:ctrlPr>
                </m:sSubPr>
                <m:e>
                  <m:r>
                    <w:rPr>
                      <w:rFonts w:ascii="Cambria Math" w:hAnsi="Cambria Math"/>
                      <w:lang w:val="en-US"/>
                    </w:rPr>
                    <m:t>B</m:t>
                  </m:r>
                </m:e>
                <m:sub>
                  <m:r>
                    <w:rPr>
                      <w:rFonts w:ascii="Cambria Math" w:hAnsi="Cambria Math"/>
                      <w:lang w:val="en-US"/>
                    </w:rPr>
                    <m:t>t-k</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ε</m:t>
                  </m:r>
                </m:e>
                <m:sub>
                  <m:r>
                    <w:rPr>
                      <w:rFonts w:ascii="Cambria Math" w:hAnsi="Cambria Math"/>
                      <w:lang w:val="en-US"/>
                    </w:rPr>
                    <m:t>t</m:t>
                  </m:r>
                </m:sub>
              </m:sSub>
            </m:e>
          </m:nary>
        </m:oMath>
      </m:oMathPara>
    </w:p>
    <w:tbl>
      <w:tblPr>
        <w:tblStyle w:val="ae"/>
        <w:tblW w:w="0" w:type="auto"/>
        <w:tblInd w:w="56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672"/>
        <w:gridCol w:w="2197"/>
      </w:tblGrid>
      <w:tr w:rsidR="00B42A3F" w:rsidRPr="00A21B88" w:rsidTr="00B42A3F">
        <w:tc>
          <w:tcPr>
            <w:tcW w:w="0" w:type="auto"/>
          </w:tcPr>
          <w:p w:rsidR="00B42A3F" w:rsidRPr="00A21B88" w:rsidRDefault="00B42A3F" w:rsidP="00B42A3F">
            <w:pPr>
              <w:ind w:left="142" w:hanging="176"/>
              <w:rPr>
                <w:rFonts w:ascii="Times" w:hAnsi="Times"/>
                <w:b/>
                <w:sz w:val="22"/>
                <w:szCs w:val="22"/>
                <w:lang w:val="en-US"/>
              </w:rPr>
            </w:pPr>
            <w:r w:rsidRPr="00A21B88">
              <w:rPr>
                <w:rFonts w:ascii="Times" w:hAnsi="Times"/>
                <w:b/>
                <w:sz w:val="22"/>
                <w:szCs w:val="22"/>
                <w:lang w:val="en-US"/>
              </w:rPr>
              <w:t>Компания</w:t>
            </w:r>
          </w:p>
        </w:tc>
        <w:tc>
          <w:tcPr>
            <w:tcW w:w="0" w:type="auto"/>
          </w:tcPr>
          <w:p w:rsidR="00B42A3F" w:rsidRPr="00A21B88" w:rsidRDefault="00B42A3F" w:rsidP="00B42A3F">
            <w:pPr>
              <w:ind w:left="142" w:hanging="176"/>
              <w:rPr>
                <w:rFonts w:ascii="Times" w:hAnsi="Times"/>
                <w:b/>
                <w:sz w:val="22"/>
                <w:szCs w:val="22"/>
                <w:lang w:val="en-US"/>
              </w:rPr>
            </w:pPr>
            <w:r w:rsidRPr="00A21B88">
              <w:rPr>
                <w:rFonts w:ascii="Times" w:hAnsi="Times"/>
                <w:b/>
                <w:sz w:val="22"/>
                <w:szCs w:val="22"/>
                <w:lang w:val="en-US"/>
              </w:rPr>
              <w:t>Кредитный рейтинг</w:t>
            </w:r>
          </w:p>
        </w:tc>
      </w:tr>
      <w:tr w:rsidR="00B42A3F" w:rsidRPr="00A21B88" w:rsidTr="00B42A3F">
        <w:tc>
          <w:tcPr>
            <w:tcW w:w="0" w:type="auto"/>
          </w:tcPr>
          <w:p w:rsidR="00B42A3F" w:rsidRPr="00A21B88" w:rsidRDefault="00B42A3F" w:rsidP="00B42A3F">
            <w:pPr>
              <w:ind w:left="142" w:hanging="176"/>
              <w:rPr>
                <w:rFonts w:ascii="Times" w:hAnsi="Times"/>
                <w:sz w:val="22"/>
                <w:szCs w:val="22"/>
                <w:lang w:val="en-US"/>
              </w:rPr>
            </w:pPr>
            <w:r w:rsidRPr="00A21B88">
              <w:rPr>
                <w:rFonts w:ascii="Times" w:hAnsi="Times"/>
                <w:sz w:val="22"/>
                <w:szCs w:val="22"/>
                <w:lang w:val="en-US"/>
              </w:rPr>
              <w:t>Лукойл</w:t>
            </w:r>
          </w:p>
        </w:tc>
        <w:tc>
          <w:tcPr>
            <w:tcW w:w="0" w:type="auto"/>
          </w:tcPr>
          <w:p w:rsidR="00B42A3F" w:rsidRPr="00A21B88" w:rsidRDefault="00B42A3F" w:rsidP="00B42A3F">
            <w:pPr>
              <w:ind w:left="142" w:hanging="176"/>
              <w:rPr>
                <w:rFonts w:ascii="Times" w:hAnsi="Times"/>
                <w:sz w:val="22"/>
                <w:szCs w:val="22"/>
                <w:lang w:val="en-US"/>
              </w:rPr>
            </w:pPr>
            <w:r w:rsidRPr="00A21B88">
              <w:rPr>
                <w:rFonts w:ascii="Times" w:hAnsi="Times"/>
                <w:sz w:val="22"/>
                <w:szCs w:val="22"/>
                <w:lang w:val="en-US"/>
              </w:rPr>
              <w:t>A-</w:t>
            </w:r>
          </w:p>
        </w:tc>
      </w:tr>
      <w:tr w:rsidR="00B42A3F" w:rsidRPr="00A21B88" w:rsidTr="00B42A3F">
        <w:tc>
          <w:tcPr>
            <w:tcW w:w="0" w:type="auto"/>
          </w:tcPr>
          <w:p w:rsidR="00B42A3F" w:rsidRPr="00A21B88" w:rsidRDefault="00B42A3F" w:rsidP="00B42A3F">
            <w:pPr>
              <w:ind w:left="142" w:hanging="176"/>
              <w:rPr>
                <w:rFonts w:ascii="Times" w:hAnsi="Times"/>
                <w:sz w:val="22"/>
                <w:szCs w:val="22"/>
                <w:lang w:val="en-US"/>
              </w:rPr>
            </w:pPr>
            <w:r w:rsidRPr="00A21B88">
              <w:rPr>
                <w:rFonts w:ascii="Times" w:hAnsi="Times"/>
                <w:sz w:val="22"/>
                <w:szCs w:val="22"/>
                <w:lang w:val="en-US"/>
              </w:rPr>
              <w:t>Сургутнефтегаз</w:t>
            </w:r>
          </w:p>
        </w:tc>
        <w:tc>
          <w:tcPr>
            <w:tcW w:w="0" w:type="auto"/>
          </w:tcPr>
          <w:p w:rsidR="00B42A3F" w:rsidRPr="00A21B88" w:rsidRDefault="00B42A3F" w:rsidP="00B42A3F">
            <w:pPr>
              <w:ind w:left="142" w:hanging="176"/>
              <w:rPr>
                <w:rFonts w:ascii="Times" w:hAnsi="Times"/>
                <w:sz w:val="22"/>
                <w:szCs w:val="22"/>
                <w:lang w:val="en-US"/>
              </w:rPr>
            </w:pPr>
            <w:r w:rsidRPr="00A21B88">
              <w:rPr>
                <w:rFonts w:ascii="Times" w:hAnsi="Times"/>
                <w:sz w:val="22"/>
                <w:szCs w:val="22"/>
                <w:lang w:val="en-US"/>
              </w:rPr>
              <w:t>BBB+</w:t>
            </w:r>
          </w:p>
        </w:tc>
      </w:tr>
      <w:tr w:rsidR="00B42A3F" w:rsidRPr="00A21B88" w:rsidTr="00B42A3F">
        <w:tc>
          <w:tcPr>
            <w:tcW w:w="0" w:type="auto"/>
          </w:tcPr>
          <w:p w:rsidR="00B42A3F" w:rsidRPr="00A21B88" w:rsidRDefault="00B42A3F" w:rsidP="00B42A3F">
            <w:pPr>
              <w:ind w:left="142" w:hanging="176"/>
              <w:rPr>
                <w:rFonts w:ascii="Times" w:hAnsi="Times"/>
                <w:sz w:val="22"/>
                <w:szCs w:val="22"/>
                <w:lang w:val="en-US"/>
              </w:rPr>
            </w:pPr>
            <w:r w:rsidRPr="00A21B88">
              <w:rPr>
                <w:rFonts w:ascii="Times" w:hAnsi="Times"/>
                <w:sz w:val="22"/>
                <w:szCs w:val="22"/>
                <w:lang w:val="en-US"/>
              </w:rPr>
              <w:t>Татнефть</w:t>
            </w:r>
          </w:p>
        </w:tc>
        <w:tc>
          <w:tcPr>
            <w:tcW w:w="0" w:type="auto"/>
          </w:tcPr>
          <w:p w:rsidR="00B42A3F" w:rsidRPr="00A21B88" w:rsidRDefault="00B42A3F" w:rsidP="00B42A3F">
            <w:pPr>
              <w:ind w:left="142" w:hanging="176"/>
              <w:rPr>
                <w:rFonts w:ascii="Times" w:hAnsi="Times"/>
                <w:sz w:val="22"/>
                <w:szCs w:val="22"/>
                <w:lang w:val="en-US"/>
              </w:rPr>
            </w:pPr>
            <w:r w:rsidRPr="00A21B88">
              <w:rPr>
                <w:rFonts w:ascii="Times" w:hAnsi="Times"/>
                <w:sz w:val="22"/>
                <w:szCs w:val="22"/>
                <w:lang w:val="en-US"/>
              </w:rPr>
              <w:t>BBB-</w:t>
            </w:r>
          </w:p>
        </w:tc>
      </w:tr>
      <w:tr w:rsidR="00B42A3F" w:rsidRPr="00A21B88" w:rsidTr="00B42A3F">
        <w:tc>
          <w:tcPr>
            <w:tcW w:w="0" w:type="auto"/>
          </w:tcPr>
          <w:p w:rsidR="00B42A3F" w:rsidRPr="00A21B88" w:rsidRDefault="00B42A3F" w:rsidP="00B42A3F">
            <w:pPr>
              <w:ind w:left="142" w:hanging="176"/>
              <w:rPr>
                <w:rFonts w:ascii="Times" w:hAnsi="Times"/>
                <w:sz w:val="22"/>
                <w:szCs w:val="22"/>
                <w:lang w:val="en-US"/>
              </w:rPr>
            </w:pPr>
            <w:r w:rsidRPr="00A21B88">
              <w:rPr>
                <w:rFonts w:ascii="Times" w:hAnsi="Times"/>
                <w:sz w:val="22"/>
                <w:szCs w:val="22"/>
                <w:lang w:val="en-US"/>
              </w:rPr>
              <w:t>Башнефть</w:t>
            </w:r>
          </w:p>
        </w:tc>
        <w:tc>
          <w:tcPr>
            <w:tcW w:w="0" w:type="auto"/>
          </w:tcPr>
          <w:p w:rsidR="00B42A3F" w:rsidRPr="00A21B88" w:rsidRDefault="00B42A3F" w:rsidP="00B42A3F">
            <w:pPr>
              <w:ind w:left="142" w:hanging="176"/>
              <w:rPr>
                <w:rFonts w:ascii="Times" w:hAnsi="Times"/>
                <w:sz w:val="22"/>
                <w:szCs w:val="22"/>
                <w:lang w:val="en-US"/>
              </w:rPr>
            </w:pPr>
            <w:r w:rsidRPr="00A21B88">
              <w:rPr>
                <w:rFonts w:ascii="Times" w:hAnsi="Times"/>
                <w:sz w:val="22"/>
                <w:szCs w:val="22"/>
                <w:lang w:val="en-US"/>
              </w:rPr>
              <w:t>B</w:t>
            </w:r>
          </w:p>
        </w:tc>
      </w:tr>
      <w:tr w:rsidR="00B42A3F" w:rsidRPr="00A21B88" w:rsidTr="00B42A3F">
        <w:tc>
          <w:tcPr>
            <w:tcW w:w="0" w:type="auto"/>
          </w:tcPr>
          <w:p w:rsidR="00B42A3F" w:rsidRPr="00A21B88" w:rsidRDefault="00B42A3F" w:rsidP="00B42A3F">
            <w:pPr>
              <w:ind w:left="142" w:hanging="176"/>
              <w:rPr>
                <w:rFonts w:ascii="Times" w:hAnsi="Times"/>
                <w:sz w:val="22"/>
                <w:szCs w:val="22"/>
                <w:lang w:val="en-US"/>
              </w:rPr>
            </w:pPr>
            <w:r w:rsidRPr="00A21B88">
              <w:rPr>
                <w:rFonts w:ascii="Times" w:hAnsi="Times"/>
                <w:sz w:val="22"/>
                <w:szCs w:val="22"/>
                <w:lang w:val="en-US"/>
              </w:rPr>
              <w:t>Роснефть</w:t>
            </w:r>
          </w:p>
        </w:tc>
        <w:tc>
          <w:tcPr>
            <w:tcW w:w="0" w:type="auto"/>
          </w:tcPr>
          <w:p w:rsidR="00B42A3F" w:rsidRPr="00A21B88" w:rsidRDefault="00B42A3F" w:rsidP="00B42A3F">
            <w:pPr>
              <w:ind w:left="142" w:hanging="176"/>
              <w:rPr>
                <w:rFonts w:ascii="Times" w:hAnsi="Times"/>
                <w:sz w:val="22"/>
                <w:szCs w:val="22"/>
                <w:lang w:val="en-US"/>
              </w:rPr>
            </w:pPr>
            <w:r w:rsidRPr="00A21B88">
              <w:rPr>
                <w:rFonts w:ascii="Times" w:hAnsi="Times"/>
                <w:sz w:val="22"/>
                <w:szCs w:val="22"/>
                <w:lang w:val="en-US"/>
              </w:rPr>
              <w:t>B-</w:t>
            </w:r>
          </w:p>
        </w:tc>
      </w:tr>
    </w:tbl>
    <w:p w:rsidR="00B42A3F" w:rsidRDefault="00B42A3F" w:rsidP="00B42A3F">
      <w:pPr>
        <w:ind w:left="142" w:right="-8"/>
        <w:rPr>
          <w:rFonts w:ascii="Times" w:hAnsi="Times"/>
          <w:lang w:val="en-US"/>
        </w:rPr>
      </w:pPr>
    </w:p>
    <w:tbl>
      <w:tblPr>
        <w:tblStyle w:val="ae"/>
        <w:tblW w:w="13704" w:type="dxa"/>
        <w:jc w:val="center"/>
        <w:tblInd w:w="250" w:type="dxa"/>
        <w:tblLayout w:type="fixed"/>
        <w:tblLook w:val="04A0"/>
      </w:tblPr>
      <w:tblGrid>
        <w:gridCol w:w="709"/>
        <w:gridCol w:w="1276"/>
        <w:gridCol w:w="1134"/>
        <w:gridCol w:w="992"/>
        <w:gridCol w:w="1134"/>
        <w:gridCol w:w="850"/>
        <w:gridCol w:w="709"/>
        <w:gridCol w:w="1134"/>
        <w:gridCol w:w="992"/>
        <w:gridCol w:w="991"/>
        <w:gridCol w:w="994"/>
        <w:gridCol w:w="992"/>
        <w:gridCol w:w="710"/>
        <w:gridCol w:w="1087"/>
      </w:tblGrid>
      <w:tr w:rsidR="00B42A3F" w:rsidRPr="00E06C9A" w:rsidTr="00B42A3F">
        <w:trPr>
          <w:jc w:val="center"/>
        </w:trPr>
        <w:tc>
          <w:tcPr>
            <w:tcW w:w="709" w:type="dxa"/>
            <w:vMerge w:val="restart"/>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Y</w:t>
            </w:r>
          </w:p>
        </w:tc>
        <w:tc>
          <w:tcPr>
            <w:tcW w:w="1276" w:type="dxa"/>
            <w:vMerge w:val="restart"/>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B </w:t>
            </w:r>
          </w:p>
          <w:p w:rsidR="00B42A3F" w:rsidRPr="00E06C9A" w:rsidRDefault="00B42A3F" w:rsidP="00B42A3F">
            <w:pPr>
              <w:jc w:val="both"/>
              <w:rPr>
                <w:rFonts w:ascii="Times" w:hAnsi="Times"/>
                <w:b/>
                <w:sz w:val="20"/>
                <w:szCs w:val="22"/>
              </w:rPr>
            </w:pPr>
            <w:r w:rsidRPr="00E06C9A">
              <w:rPr>
                <w:rFonts w:ascii="Times" w:hAnsi="Times"/>
                <w:b/>
                <w:sz w:val="20"/>
                <w:szCs w:val="22"/>
                <w:lang w:val="en-US"/>
              </w:rPr>
              <w:t>(</w:t>
            </w:r>
            <w:r w:rsidRPr="00E06C9A">
              <w:rPr>
                <w:rFonts w:ascii="Times" w:hAnsi="Times"/>
                <w:b/>
                <w:sz w:val="20"/>
                <w:szCs w:val="22"/>
              </w:rPr>
              <w:t>кредитный рейтинг)</w:t>
            </w:r>
          </w:p>
        </w:tc>
        <w:tc>
          <w:tcPr>
            <w:tcW w:w="5953" w:type="dxa"/>
            <w:gridSpan w:val="6"/>
            <w:tcBorders>
              <w:left w:val="thinThickSmallGap" w:sz="24" w:space="0" w:color="auto"/>
              <w:right w:val="thinThickSmallGap" w:sz="24" w:space="0" w:color="auto"/>
            </w:tcBorders>
          </w:tcPr>
          <w:p w:rsidR="00B42A3F" w:rsidRPr="00E06C9A" w:rsidRDefault="00B42A3F" w:rsidP="00B42A3F">
            <w:pPr>
              <w:jc w:val="center"/>
              <w:rPr>
                <w:rFonts w:ascii="Times" w:hAnsi="Times"/>
                <w:b/>
                <w:sz w:val="20"/>
                <w:szCs w:val="22"/>
                <w:lang w:val="en-US"/>
              </w:rPr>
            </w:pPr>
            <w:r w:rsidRPr="00E06C9A">
              <w:rPr>
                <w:rFonts w:ascii="Times" w:hAnsi="Times"/>
                <w:b/>
                <w:sz w:val="20"/>
                <w:szCs w:val="22"/>
                <w:lang w:val="en-US"/>
              </w:rPr>
              <w:t>2010-2011</w:t>
            </w:r>
          </w:p>
        </w:tc>
        <w:tc>
          <w:tcPr>
            <w:tcW w:w="5766" w:type="dxa"/>
            <w:gridSpan w:val="6"/>
            <w:tcBorders>
              <w:left w:val="thinThickSmallGap" w:sz="24" w:space="0" w:color="auto"/>
              <w:right w:val="thinThickSmallGap" w:sz="24" w:space="0" w:color="auto"/>
            </w:tcBorders>
          </w:tcPr>
          <w:p w:rsidR="00B42A3F" w:rsidRPr="00E06C9A" w:rsidRDefault="00B42A3F" w:rsidP="00B42A3F">
            <w:pPr>
              <w:jc w:val="center"/>
              <w:rPr>
                <w:rFonts w:ascii="Times" w:hAnsi="Times"/>
                <w:b/>
                <w:sz w:val="20"/>
                <w:szCs w:val="22"/>
                <w:lang w:val="en-US"/>
              </w:rPr>
            </w:pPr>
            <w:r w:rsidRPr="00E06C9A">
              <w:rPr>
                <w:rFonts w:ascii="Times" w:hAnsi="Times"/>
                <w:b/>
                <w:sz w:val="20"/>
                <w:szCs w:val="22"/>
                <w:lang w:val="en-US"/>
              </w:rPr>
              <w:t>2012-2013</w:t>
            </w:r>
          </w:p>
        </w:tc>
      </w:tr>
      <w:tr w:rsidR="00B42A3F" w:rsidRPr="00E06C9A" w:rsidTr="00B42A3F">
        <w:trPr>
          <w:jc w:val="center"/>
        </w:trPr>
        <w:tc>
          <w:tcPr>
            <w:tcW w:w="709" w:type="dxa"/>
            <w:vMerge/>
            <w:tcBorders>
              <w:bottom w:val="thinThickSmallGap" w:sz="24" w:space="0" w:color="auto"/>
            </w:tcBorders>
          </w:tcPr>
          <w:p w:rsidR="00B42A3F" w:rsidRPr="00E06C9A" w:rsidRDefault="00B42A3F" w:rsidP="00B42A3F">
            <w:pPr>
              <w:jc w:val="both"/>
              <w:rPr>
                <w:rFonts w:ascii="Times" w:hAnsi="Times"/>
                <w:b/>
                <w:sz w:val="20"/>
                <w:szCs w:val="22"/>
                <w:lang w:val="en-US"/>
              </w:rPr>
            </w:pPr>
          </w:p>
        </w:tc>
        <w:tc>
          <w:tcPr>
            <w:tcW w:w="1276" w:type="dxa"/>
            <w:vMerge/>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p>
        </w:tc>
        <w:tc>
          <w:tcPr>
            <w:tcW w:w="1134" w:type="dxa"/>
            <w:tcBorders>
              <w:left w:val="thinThickSmallGap" w:sz="24" w:space="0" w:color="auto"/>
              <w:bottom w:val="thinThickSmallGap" w:sz="24" w:space="0" w:color="auto"/>
              <w:right w:val="single" w:sz="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1134"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850"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09"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b/>
                <w:sz w:val="20"/>
                <w:szCs w:val="22"/>
                <w:vertAlign w:val="superscript"/>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1134" w:type="dxa"/>
            <w:tcBorders>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p</w:t>
            </w:r>
          </w:p>
        </w:tc>
        <w:tc>
          <w:tcPr>
            <w:tcW w:w="992" w:type="dxa"/>
            <w:tcBorders>
              <w:left w:val="thinThickSmallGap" w:sz="24" w:space="0" w:color="auto"/>
              <w:bottom w:val="thinThickSmallGap" w:sz="2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991" w:type="dxa"/>
            <w:tcBorders>
              <w:bottom w:val="thinThickSmallGap" w:sz="2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994" w:type="dxa"/>
            <w:tcBorders>
              <w:bottom w:val="thinThickSmallGap" w:sz="2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992" w:type="dxa"/>
            <w:tcBorders>
              <w:bottom w:val="thinThickSmallGap" w:sz="2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10" w:type="dxa"/>
            <w:tcBorders>
              <w:bottom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1087" w:type="dxa"/>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p</w:t>
            </w:r>
          </w:p>
        </w:tc>
      </w:tr>
      <w:tr w:rsidR="00B42A3F" w:rsidRPr="00E06C9A" w:rsidTr="00B42A3F">
        <w:trPr>
          <w:jc w:val="center"/>
        </w:trPr>
        <w:tc>
          <w:tcPr>
            <w:tcW w:w="709" w:type="dxa"/>
            <w:vMerge w:val="restart"/>
            <w:tcBorders>
              <w:top w:val="thinThickSmallGap" w:sz="24" w:space="0" w:color="auto"/>
            </w:tcBorders>
            <w:shd w:val="clear" w:color="auto" w:fill="auto"/>
            <w:textDirection w:val="btLr"/>
            <w:vAlign w:val="center"/>
          </w:tcPr>
          <w:p w:rsidR="00B42A3F" w:rsidRPr="00E06C9A" w:rsidRDefault="00B42A3F" w:rsidP="00B42A3F">
            <w:pPr>
              <w:jc w:val="center"/>
              <w:rPr>
                <w:rFonts w:ascii="Times" w:hAnsi="Times"/>
                <w:b/>
                <w:sz w:val="20"/>
                <w:szCs w:val="22"/>
                <w:lang w:val="en-US"/>
              </w:rPr>
            </w:pPr>
            <w:r w:rsidRPr="00E06C9A">
              <w:rPr>
                <w:rFonts w:ascii="Times" w:hAnsi="Times"/>
                <w:b/>
                <w:sz w:val="20"/>
                <w:szCs w:val="22"/>
                <w:lang w:val="en-US"/>
              </w:rPr>
              <w:t>treasury_</w:t>
            </w:r>
          </w:p>
          <w:p w:rsidR="00B42A3F" w:rsidRPr="00E06C9A" w:rsidRDefault="00B42A3F" w:rsidP="00B42A3F">
            <w:pPr>
              <w:jc w:val="center"/>
              <w:rPr>
                <w:rFonts w:ascii="Times" w:hAnsi="Times"/>
                <w:b/>
                <w:sz w:val="20"/>
                <w:szCs w:val="22"/>
                <w:lang w:val="en-US"/>
              </w:rPr>
            </w:pPr>
            <w:r w:rsidRPr="00E06C9A">
              <w:rPr>
                <w:rFonts w:ascii="Times" w:hAnsi="Times"/>
                <w:b/>
                <w:sz w:val="20"/>
                <w:szCs w:val="22"/>
                <w:lang w:val="en-US"/>
              </w:rPr>
              <w:t>return</w:t>
            </w:r>
          </w:p>
        </w:tc>
        <w:tc>
          <w:tcPr>
            <w:tcW w:w="1276" w:type="dxa"/>
            <w:tcBorders>
              <w:top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992"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0.001</w:t>
            </w:r>
          </w:p>
        </w:tc>
        <w:tc>
          <w:tcPr>
            <w:tcW w:w="1134"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0.005</w:t>
            </w:r>
          </w:p>
        </w:tc>
        <w:tc>
          <w:tcPr>
            <w:tcW w:w="850"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709"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1134" w:type="dxa"/>
            <w:tcBorders>
              <w:top w:val="thinThickSmallGap" w:sz="24" w:space="0" w:color="auto"/>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0.17</w:t>
            </w:r>
          </w:p>
        </w:tc>
        <w:tc>
          <w:tcPr>
            <w:tcW w:w="992" w:type="dxa"/>
            <w:tcBorders>
              <w:top w:val="thinThickSmallGap" w:sz="24" w:space="0" w:color="auto"/>
              <w:left w:val="thinThickSmallGap" w:sz="2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991"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994"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992"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710"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0.11</w:t>
            </w:r>
          </w:p>
        </w:tc>
        <w:tc>
          <w:tcPr>
            <w:tcW w:w="1087" w:type="dxa"/>
            <w:tcBorders>
              <w:top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709" w:type="dxa"/>
            <w:vMerge/>
            <w:shd w:val="clear" w:color="auto" w:fill="auto"/>
            <w:vAlign w:val="center"/>
          </w:tcPr>
          <w:p w:rsidR="00B42A3F" w:rsidRPr="00E06C9A" w:rsidRDefault="00B42A3F" w:rsidP="00B42A3F">
            <w:pPr>
              <w:jc w:val="center"/>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-0.004</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0.03</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0.09*</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991"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994"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0.004</w:t>
            </w:r>
          </w:p>
        </w:tc>
        <w:tc>
          <w:tcPr>
            <w:tcW w:w="992"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710"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709" w:type="dxa"/>
            <w:vMerge/>
            <w:shd w:val="clear" w:color="auto" w:fill="auto"/>
            <w:vAlign w:val="center"/>
          </w:tcPr>
          <w:p w:rsidR="00B42A3F" w:rsidRPr="00E06C9A" w:rsidRDefault="00B42A3F" w:rsidP="00B42A3F">
            <w:pPr>
              <w:jc w:val="center"/>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-0.004</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0.007</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0.005</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0.16</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991"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-0.001</w:t>
            </w:r>
          </w:p>
        </w:tc>
        <w:tc>
          <w:tcPr>
            <w:tcW w:w="994"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-0.001</w:t>
            </w:r>
          </w:p>
        </w:tc>
        <w:tc>
          <w:tcPr>
            <w:tcW w:w="992"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0.001</w:t>
            </w:r>
          </w:p>
        </w:tc>
        <w:tc>
          <w:tcPr>
            <w:tcW w:w="710"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709" w:type="dxa"/>
            <w:vMerge/>
            <w:shd w:val="clear" w:color="auto" w:fill="auto"/>
            <w:vAlign w:val="center"/>
          </w:tcPr>
          <w:p w:rsidR="00B42A3F" w:rsidRPr="00E06C9A" w:rsidRDefault="00B42A3F" w:rsidP="00B42A3F">
            <w:pPr>
              <w:jc w:val="center"/>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0.03</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991"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-0.006</w:t>
            </w:r>
          </w:p>
        </w:tc>
        <w:tc>
          <w:tcPr>
            <w:tcW w:w="994"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-0.004</w:t>
            </w:r>
          </w:p>
        </w:tc>
        <w:tc>
          <w:tcPr>
            <w:tcW w:w="992"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710"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709" w:type="dxa"/>
            <w:vMerge/>
            <w:tcBorders>
              <w:bottom w:val="thinThickSmallGap" w:sz="24" w:space="0" w:color="auto"/>
            </w:tcBorders>
            <w:shd w:val="clear" w:color="auto" w:fill="auto"/>
            <w:vAlign w:val="center"/>
          </w:tcPr>
          <w:p w:rsidR="00B42A3F" w:rsidRPr="00E06C9A" w:rsidRDefault="00B42A3F" w:rsidP="00B42A3F">
            <w:pPr>
              <w:jc w:val="center"/>
              <w:rPr>
                <w:rFonts w:ascii="Times" w:hAnsi="Times"/>
                <w:b/>
                <w:sz w:val="20"/>
                <w:szCs w:val="22"/>
                <w:lang w:val="en-US"/>
              </w:rPr>
            </w:pPr>
          </w:p>
        </w:tc>
        <w:tc>
          <w:tcPr>
            <w:tcW w:w="1276" w:type="dxa"/>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1134"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0.007</w:t>
            </w:r>
          </w:p>
        </w:tc>
        <w:tc>
          <w:tcPr>
            <w:tcW w:w="850"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-0.005</w:t>
            </w:r>
          </w:p>
        </w:tc>
        <w:tc>
          <w:tcPr>
            <w:tcW w:w="709"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0.03</w:t>
            </w:r>
          </w:p>
        </w:tc>
        <w:tc>
          <w:tcPr>
            <w:tcW w:w="1134" w:type="dxa"/>
            <w:tcBorders>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992" w:type="dxa"/>
            <w:tcBorders>
              <w:left w:val="thinThickSmallGap" w:sz="24" w:space="0" w:color="auto"/>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991"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-0.0004</w:t>
            </w:r>
          </w:p>
        </w:tc>
        <w:tc>
          <w:tcPr>
            <w:tcW w:w="994"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992"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710"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0.10</w:t>
            </w:r>
          </w:p>
        </w:tc>
        <w:tc>
          <w:tcPr>
            <w:tcW w:w="1087" w:type="dxa"/>
            <w:tcBorders>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709" w:type="dxa"/>
            <w:vMerge w:val="restart"/>
            <w:tcBorders>
              <w:top w:val="thinThickSmallGap" w:sz="24" w:space="0" w:color="auto"/>
            </w:tcBorders>
            <w:textDirection w:val="btLr"/>
            <w:vAlign w:val="center"/>
          </w:tcPr>
          <w:p w:rsidR="00B42A3F" w:rsidRPr="00E06C9A" w:rsidRDefault="00B42A3F" w:rsidP="00B42A3F">
            <w:pPr>
              <w:jc w:val="center"/>
              <w:rPr>
                <w:rFonts w:ascii="Times" w:hAnsi="Times"/>
                <w:b/>
                <w:sz w:val="20"/>
                <w:szCs w:val="22"/>
                <w:lang w:val="en-US"/>
              </w:rPr>
            </w:pPr>
            <w:r w:rsidRPr="00E06C9A">
              <w:rPr>
                <w:rFonts w:ascii="Times" w:hAnsi="Times"/>
                <w:b/>
                <w:sz w:val="20"/>
                <w:szCs w:val="22"/>
                <w:lang w:val="en-US"/>
              </w:rPr>
              <w:t>corporate_</w:t>
            </w:r>
          </w:p>
          <w:p w:rsidR="00B42A3F" w:rsidRPr="00E06C9A" w:rsidRDefault="00B42A3F" w:rsidP="00B42A3F">
            <w:pPr>
              <w:jc w:val="center"/>
              <w:rPr>
                <w:rFonts w:ascii="Times" w:hAnsi="Times"/>
                <w:b/>
                <w:sz w:val="20"/>
                <w:szCs w:val="22"/>
                <w:lang w:val="en-US"/>
              </w:rPr>
            </w:pPr>
            <w:r w:rsidRPr="00E06C9A">
              <w:rPr>
                <w:rFonts w:ascii="Times" w:hAnsi="Times"/>
                <w:b/>
                <w:sz w:val="20"/>
                <w:szCs w:val="22"/>
                <w:lang w:val="en-US"/>
              </w:rPr>
              <w:t>return</w:t>
            </w:r>
          </w:p>
        </w:tc>
        <w:tc>
          <w:tcPr>
            <w:tcW w:w="1276" w:type="dxa"/>
            <w:tcBorders>
              <w:top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5F497A" w:themeFill="accent4" w:themeFillShade="BF"/>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992"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-0.0005</w:t>
            </w:r>
          </w:p>
        </w:tc>
        <w:tc>
          <w:tcPr>
            <w:tcW w:w="1134" w:type="dxa"/>
            <w:tcBorders>
              <w:top w:val="thinThickSmallGap" w:sz="24" w:space="0" w:color="auto"/>
              <w:left w:val="single" w:sz="4" w:space="0" w:color="auto"/>
              <w:right w:val="single" w:sz="4" w:space="0" w:color="auto"/>
            </w:tcBorders>
            <w:shd w:val="clear" w:color="auto" w:fill="5F497A" w:themeFill="accent4" w:themeFillShade="BF"/>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0.005***</w:t>
            </w:r>
          </w:p>
        </w:tc>
        <w:tc>
          <w:tcPr>
            <w:tcW w:w="850" w:type="dxa"/>
            <w:tcBorders>
              <w:top w:val="thinThickSmallGap" w:sz="24" w:space="0" w:color="auto"/>
              <w:left w:val="single" w:sz="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0.005*</w:t>
            </w:r>
          </w:p>
        </w:tc>
        <w:tc>
          <w:tcPr>
            <w:tcW w:w="709"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0.07</w:t>
            </w:r>
          </w:p>
        </w:tc>
        <w:tc>
          <w:tcPr>
            <w:tcW w:w="1134" w:type="dxa"/>
            <w:tcBorders>
              <w:top w:val="thinThickSmallGap" w:sz="24" w:space="0" w:color="auto"/>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thinThickSmallGap" w:sz="24" w:space="0" w:color="auto"/>
              <w:lef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991"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994"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992"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-0.0003</w:t>
            </w:r>
          </w:p>
        </w:tc>
        <w:tc>
          <w:tcPr>
            <w:tcW w:w="710"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1087" w:type="dxa"/>
            <w:tcBorders>
              <w:top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0.0003**</w:t>
            </w:r>
          </w:p>
        </w:tc>
      </w:tr>
      <w:tr w:rsidR="00B42A3F" w:rsidRPr="00E06C9A" w:rsidTr="00B42A3F">
        <w:trPr>
          <w:jc w:val="center"/>
        </w:trPr>
        <w:tc>
          <w:tcPr>
            <w:tcW w:w="709" w:type="dxa"/>
            <w:vMerge/>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0.005**</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0.0006</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-0.0001</w:t>
            </w:r>
          </w:p>
        </w:tc>
        <w:tc>
          <w:tcPr>
            <w:tcW w:w="991" w:type="dxa"/>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994" w:type="dxa"/>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992"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-0.0002</w:t>
            </w:r>
          </w:p>
        </w:tc>
        <w:tc>
          <w:tcPr>
            <w:tcW w:w="710"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0.0003**</w:t>
            </w:r>
          </w:p>
        </w:tc>
      </w:tr>
      <w:tr w:rsidR="00B42A3F" w:rsidRPr="00E06C9A" w:rsidTr="00B42A3F">
        <w:trPr>
          <w:jc w:val="center"/>
        </w:trPr>
        <w:tc>
          <w:tcPr>
            <w:tcW w:w="709" w:type="dxa"/>
            <w:vMerge/>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5F497A" w:themeFill="accent4" w:themeFillShade="BF"/>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0.005***</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-0.001</w:t>
            </w:r>
          </w:p>
        </w:tc>
        <w:tc>
          <w:tcPr>
            <w:tcW w:w="1134" w:type="dxa"/>
            <w:tcBorders>
              <w:left w:val="single" w:sz="4" w:space="0" w:color="auto"/>
              <w:right w:val="single" w:sz="4" w:space="0" w:color="auto"/>
            </w:tcBorders>
            <w:shd w:val="clear" w:color="auto" w:fill="5F497A" w:themeFill="accent4" w:themeFillShade="BF"/>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0.005***</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0.0001**</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-0.0004</w:t>
            </w:r>
          </w:p>
        </w:tc>
        <w:tc>
          <w:tcPr>
            <w:tcW w:w="991" w:type="dxa"/>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994"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0.001</w:t>
            </w:r>
          </w:p>
        </w:tc>
        <w:tc>
          <w:tcPr>
            <w:tcW w:w="992"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-0.001</w:t>
            </w:r>
          </w:p>
        </w:tc>
        <w:tc>
          <w:tcPr>
            <w:tcW w:w="710"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0.0002**</w:t>
            </w:r>
          </w:p>
        </w:tc>
      </w:tr>
      <w:tr w:rsidR="00B42A3F" w:rsidRPr="00E06C9A" w:rsidTr="00B42A3F">
        <w:trPr>
          <w:jc w:val="center"/>
        </w:trPr>
        <w:tc>
          <w:tcPr>
            <w:tcW w:w="709" w:type="dxa"/>
            <w:vMerge/>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992"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0.001</w:t>
            </w:r>
          </w:p>
        </w:tc>
        <w:tc>
          <w:tcPr>
            <w:tcW w:w="850"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0.005**</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0.0004</w:t>
            </w:r>
          </w:p>
        </w:tc>
        <w:tc>
          <w:tcPr>
            <w:tcW w:w="991"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0.0001</w:t>
            </w:r>
          </w:p>
        </w:tc>
        <w:tc>
          <w:tcPr>
            <w:tcW w:w="994"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0.0008</w:t>
            </w:r>
          </w:p>
        </w:tc>
        <w:tc>
          <w:tcPr>
            <w:tcW w:w="992"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0.0003</w:t>
            </w:r>
          </w:p>
        </w:tc>
        <w:tc>
          <w:tcPr>
            <w:tcW w:w="710"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0.004**</w:t>
            </w:r>
          </w:p>
        </w:tc>
      </w:tr>
      <w:tr w:rsidR="00B42A3F" w:rsidRPr="00E06C9A" w:rsidTr="00B42A3F">
        <w:trPr>
          <w:jc w:val="center"/>
        </w:trPr>
        <w:tc>
          <w:tcPr>
            <w:tcW w:w="709" w:type="dxa"/>
            <w:vMerge/>
            <w:tcBorders>
              <w:bottom w:val="thinThickSmallGap" w:sz="24" w:space="0" w:color="auto"/>
            </w:tcBorders>
          </w:tcPr>
          <w:p w:rsidR="00B42A3F" w:rsidRPr="00E06C9A" w:rsidRDefault="00B42A3F" w:rsidP="00B42A3F">
            <w:pPr>
              <w:jc w:val="both"/>
              <w:rPr>
                <w:rFonts w:ascii="Times" w:hAnsi="Times"/>
                <w:b/>
                <w:sz w:val="20"/>
                <w:szCs w:val="22"/>
                <w:lang w:val="en-US"/>
              </w:rPr>
            </w:pPr>
          </w:p>
        </w:tc>
        <w:tc>
          <w:tcPr>
            <w:tcW w:w="1276" w:type="dxa"/>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5F497A" w:themeFill="accent4" w:themeFillShade="BF"/>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0.007***</w:t>
            </w:r>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-0.0002</w:t>
            </w:r>
          </w:p>
        </w:tc>
        <w:tc>
          <w:tcPr>
            <w:tcW w:w="1134" w:type="dxa"/>
            <w:tcBorders>
              <w:left w:val="single" w:sz="4" w:space="0" w:color="auto"/>
              <w:bottom w:val="thinThickSmallGap" w:sz="24" w:space="0" w:color="auto"/>
              <w:right w:val="single" w:sz="4" w:space="0" w:color="auto"/>
            </w:tcBorders>
            <w:shd w:val="clear" w:color="auto" w:fill="5F497A" w:themeFill="accent4" w:themeFillShade="BF"/>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0.005***</w:t>
            </w:r>
          </w:p>
        </w:tc>
        <w:tc>
          <w:tcPr>
            <w:tcW w:w="850"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709"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0.07</w:t>
            </w:r>
          </w:p>
        </w:tc>
        <w:tc>
          <w:tcPr>
            <w:tcW w:w="1134" w:type="dxa"/>
            <w:tcBorders>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0.0004</w:t>
            </w:r>
          </w:p>
        </w:tc>
        <w:tc>
          <w:tcPr>
            <w:tcW w:w="991"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0.0004</w:t>
            </w:r>
          </w:p>
        </w:tc>
        <w:tc>
          <w:tcPr>
            <w:tcW w:w="994" w:type="dxa"/>
            <w:tcBorders>
              <w:bottom w:val="thinThickSmallGap" w:sz="2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992" w:type="dxa"/>
            <w:tcBorders>
              <w:bottom w:val="thinThickSmallGap" w:sz="2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710"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0.05</w:t>
            </w:r>
          </w:p>
        </w:tc>
        <w:tc>
          <w:tcPr>
            <w:tcW w:w="1087" w:type="dxa"/>
            <w:tcBorders>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0.001**</w:t>
            </w:r>
          </w:p>
        </w:tc>
      </w:tr>
    </w:tbl>
    <w:p w:rsidR="00B42A3F" w:rsidRPr="009714DB" w:rsidRDefault="00B42A3F" w:rsidP="00E06C9A">
      <w:pPr>
        <w:spacing w:line="240" w:lineRule="auto"/>
        <w:ind w:left="426"/>
        <w:jc w:val="center"/>
        <w:rPr>
          <w:rFonts w:ascii="Times" w:hAnsi="Times" w:cs="Helvetica CY"/>
          <w:b/>
        </w:rPr>
      </w:pPr>
      <w:r w:rsidRPr="009714DB">
        <w:rPr>
          <w:rFonts w:ascii="Times" w:hAnsi="Times" w:cs="Helvetica CY"/>
          <w:b/>
        </w:rPr>
        <w:t>Продолжение Таблицы 1</w:t>
      </w:r>
    </w:p>
    <w:tbl>
      <w:tblPr>
        <w:tblStyle w:val="ae"/>
        <w:tblW w:w="13704" w:type="dxa"/>
        <w:tblInd w:w="534" w:type="dxa"/>
        <w:tblLayout w:type="fixed"/>
        <w:tblLook w:val="04A0"/>
      </w:tblPr>
      <w:tblGrid>
        <w:gridCol w:w="709"/>
        <w:gridCol w:w="1276"/>
        <w:gridCol w:w="1134"/>
        <w:gridCol w:w="992"/>
        <w:gridCol w:w="1134"/>
        <w:gridCol w:w="850"/>
        <w:gridCol w:w="709"/>
        <w:gridCol w:w="1134"/>
        <w:gridCol w:w="992"/>
        <w:gridCol w:w="991"/>
        <w:gridCol w:w="994"/>
        <w:gridCol w:w="992"/>
        <w:gridCol w:w="710"/>
        <w:gridCol w:w="1087"/>
      </w:tblGrid>
      <w:tr w:rsidR="00B42A3F" w:rsidRPr="00E06C9A" w:rsidTr="00B42A3F">
        <w:tc>
          <w:tcPr>
            <w:tcW w:w="709" w:type="dxa"/>
            <w:vMerge w:val="restart"/>
            <w:tcBorders>
              <w:top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lastRenderedPageBreak/>
              <w:t>Y</w:t>
            </w:r>
          </w:p>
        </w:tc>
        <w:tc>
          <w:tcPr>
            <w:tcW w:w="1276" w:type="dxa"/>
            <w:vMerge w:val="restart"/>
            <w:tcBorders>
              <w:top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B </w:t>
            </w:r>
          </w:p>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w:t>
            </w:r>
            <w:r w:rsidRPr="00E06C9A">
              <w:rPr>
                <w:rFonts w:ascii="Times" w:hAnsi="Times"/>
                <w:b/>
                <w:sz w:val="20"/>
                <w:szCs w:val="22"/>
              </w:rPr>
              <w:t>кредитный рейтинг)</w:t>
            </w:r>
          </w:p>
        </w:tc>
        <w:tc>
          <w:tcPr>
            <w:tcW w:w="5953" w:type="dxa"/>
            <w:gridSpan w:val="6"/>
            <w:tcBorders>
              <w:top w:val="thinThickSmallGap" w:sz="24" w:space="0" w:color="auto"/>
              <w:left w:val="thinThickSmallGap" w:sz="24" w:space="0" w:color="auto"/>
              <w:bottom w:val="single" w:sz="4" w:space="0" w:color="auto"/>
              <w:right w:val="thinThickSmallGap" w:sz="24" w:space="0" w:color="auto"/>
            </w:tcBorders>
          </w:tcPr>
          <w:p w:rsidR="00B42A3F" w:rsidRPr="00E06C9A" w:rsidRDefault="00B42A3F" w:rsidP="00B42A3F">
            <w:pPr>
              <w:jc w:val="center"/>
              <w:rPr>
                <w:rFonts w:ascii="Times" w:hAnsi="Times"/>
                <w:sz w:val="20"/>
                <w:szCs w:val="22"/>
                <w:lang w:val="en-US"/>
              </w:rPr>
            </w:pPr>
            <w:r w:rsidRPr="00E06C9A">
              <w:rPr>
                <w:rFonts w:ascii="Times" w:hAnsi="Times"/>
                <w:b/>
                <w:sz w:val="20"/>
                <w:szCs w:val="22"/>
                <w:lang w:val="en-US"/>
              </w:rPr>
              <w:t>2010-2011</w:t>
            </w:r>
          </w:p>
        </w:tc>
        <w:tc>
          <w:tcPr>
            <w:tcW w:w="5766" w:type="dxa"/>
            <w:gridSpan w:val="6"/>
            <w:tcBorders>
              <w:top w:val="thinThickSmallGap" w:sz="24" w:space="0" w:color="auto"/>
              <w:left w:val="thinThickSmallGap" w:sz="24" w:space="0" w:color="auto"/>
              <w:right w:val="thinThickSmallGap" w:sz="24" w:space="0" w:color="auto"/>
            </w:tcBorders>
            <w:shd w:val="clear" w:color="auto" w:fill="auto"/>
          </w:tcPr>
          <w:p w:rsidR="00B42A3F" w:rsidRPr="00E06C9A" w:rsidRDefault="00B42A3F" w:rsidP="00B42A3F">
            <w:pPr>
              <w:jc w:val="center"/>
              <w:rPr>
                <w:rFonts w:ascii="Times" w:hAnsi="Times"/>
                <w:sz w:val="20"/>
                <w:szCs w:val="22"/>
                <w:lang w:val="en-US"/>
              </w:rPr>
            </w:pPr>
            <w:r w:rsidRPr="00E06C9A">
              <w:rPr>
                <w:rFonts w:ascii="Times" w:hAnsi="Times"/>
                <w:b/>
                <w:sz w:val="20"/>
                <w:szCs w:val="22"/>
                <w:lang w:val="en-US"/>
              </w:rPr>
              <w:t>2012-2013</w:t>
            </w:r>
          </w:p>
        </w:tc>
      </w:tr>
      <w:tr w:rsidR="00B42A3F" w:rsidRPr="00E06C9A" w:rsidTr="00B42A3F">
        <w:tc>
          <w:tcPr>
            <w:tcW w:w="709" w:type="dxa"/>
            <w:vMerge/>
            <w:textDirection w:val="btLr"/>
          </w:tcPr>
          <w:p w:rsidR="00B42A3F" w:rsidRPr="00E06C9A" w:rsidRDefault="00B42A3F" w:rsidP="00B42A3F">
            <w:pPr>
              <w:jc w:val="both"/>
              <w:rPr>
                <w:rFonts w:ascii="Times" w:hAnsi="Times"/>
                <w:b/>
                <w:sz w:val="20"/>
                <w:szCs w:val="22"/>
                <w:lang w:val="en-US"/>
              </w:rPr>
            </w:pPr>
          </w:p>
        </w:tc>
        <w:tc>
          <w:tcPr>
            <w:tcW w:w="1276" w:type="dxa"/>
            <w:vMerge/>
            <w:tcBorders>
              <w:right w:val="thinThickSmallGap" w:sz="24" w:space="0" w:color="auto"/>
            </w:tcBorders>
          </w:tcPr>
          <w:p w:rsidR="00B42A3F" w:rsidRPr="00E06C9A" w:rsidRDefault="00B42A3F" w:rsidP="00B42A3F">
            <w:pPr>
              <w:jc w:val="both"/>
              <w:rPr>
                <w:rFonts w:ascii="Times" w:hAnsi="Times"/>
                <w:b/>
                <w:sz w:val="20"/>
                <w:szCs w:val="22"/>
                <w:lang w:val="en-US"/>
              </w:rPr>
            </w:pPr>
          </w:p>
        </w:tc>
        <w:tc>
          <w:tcPr>
            <w:tcW w:w="1134" w:type="dxa"/>
            <w:tcBorders>
              <w:top w:val="single" w:sz="4" w:space="0" w:color="auto"/>
              <w:left w:val="thinThickSmallGap" w:sz="2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992" w:type="dxa"/>
            <w:tcBorders>
              <w:top w:val="single" w:sz="4" w:space="0" w:color="auto"/>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1134" w:type="dxa"/>
            <w:tcBorders>
              <w:top w:val="single" w:sz="4" w:space="0" w:color="auto"/>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850" w:type="dxa"/>
            <w:tcBorders>
              <w:top w:val="single" w:sz="4" w:space="0" w:color="auto"/>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09" w:type="dxa"/>
            <w:tcBorders>
              <w:top w:val="single" w:sz="4" w:space="0" w:color="auto"/>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1134" w:type="dxa"/>
            <w:tcBorders>
              <w:top w:val="single" w:sz="4" w:space="0" w:color="auto"/>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p</w:t>
            </w:r>
          </w:p>
        </w:tc>
        <w:tc>
          <w:tcPr>
            <w:tcW w:w="992" w:type="dxa"/>
            <w:tcBorders>
              <w:top w:val="thinThickSmallGap" w:sz="24" w:space="0" w:color="auto"/>
              <w:left w:val="thinThickSmallGap" w:sz="2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991" w:type="dxa"/>
            <w:tcBorders>
              <w:top w:val="thinThickSmallGap" w:sz="2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994" w:type="dxa"/>
            <w:tcBorders>
              <w:top w:val="thinThickSmallGap" w:sz="2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992" w:type="dxa"/>
            <w:tcBorders>
              <w:top w:val="thinThickSmallGap" w:sz="2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10" w:type="dxa"/>
            <w:tcBorders>
              <w:top w:val="thinThickSmallGap" w:sz="24" w:space="0" w:color="auto"/>
            </w:tcBorders>
            <w:shd w:val="clear" w:color="auto" w:fill="auto"/>
          </w:tcPr>
          <w:p w:rsidR="00B42A3F" w:rsidRPr="00E06C9A" w:rsidRDefault="00B42A3F" w:rsidP="00B42A3F">
            <w:pPr>
              <w:jc w:val="both"/>
              <w:rPr>
                <w:sz w:val="20"/>
                <w:szCs w:val="22"/>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1087" w:type="dxa"/>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p</w:t>
            </w:r>
          </w:p>
        </w:tc>
      </w:tr>
      <w:tr w:rsidR="00B42A3F" w:rsidRPr="00E06C9A" w:rsidTr="00B42A3F">
        <w:tc>
          <w:tcPr>
            <w:tcW w:w="709" w:type="dxa"/>
            <w:vMerge w:val="restart"/>
            <w:tcBorders>
              <w:top w:val="thinThickSmallGap" w:sz="24" w:space="0" w:color="auto"/>
            </w:tcBorders>
            <w:textDirection w:val="btLr"/>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industry_</w:t>
            </w:r>
          </w:p>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return</w:t>
            </w:r>
          </w:p>
        </w:tc>
        <w:tc>
          <w:tcPr>
            <w:tcW w:w="1276" w:type="dxa"/>
            <w:tcBorders>
              <w:top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0.07</w:t>
            </w:r>
          </w:p>
        </w:tc>
        <w:tc>
          <w:tcPr>
            <w:tcW w:w="992"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-0.08</w:t>
            </w:r>
          </w:p>
        </w:tc>
        <w:tc>
          <w:tcPr>
            <w:tcW w:w="1134"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850"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-0.08</w:t>
            </w:r>
          </w:p>
        </w:tc>
        <w:tc>
          <w:tcPr>
            <w:tcW w:w="709"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1134" w:type="dxa"/>
            <w:tcBorders>
              <w:top w:val="thinThickSmallGap" w:sz="24" w:space="0" w:color="auto"/>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0.68</w:t>
            </w:r>
          </w:p>
        </w:tc>
        <w:tc>
          <w:tcPr>
            <w:tcW w:w="992" w:type="dxa"/>
            <w:tcBorders>
              <w:top w:val="thinThickSmallGap" w:sz="24" w:space="0" w:color="auto"/>
              <w:left w:val="thinThickSmallGap" w:sz="2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0.14*</w:t>
            </w:r>
          </w:p>
        </w:tc>
        <w:tc>
          <w:tcPr>
            <w:tcW w:w="991"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-0.11</w:t>
            </w:r>
          </w:p>
        </w:tc>
        <w:tc>
          <w:tcPr>
            <w:tcW w:w="994" w:type="dxa"/>
            <w:tcBorders>
              <w:top w:val="thinThickSmallGap" w:sz="2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0.14*</w:t>
            </w:r>
          </w:p>
        </w:tc>
        <w:tc>
          <w:tcPr>
            <w:tcW w:w="992"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0.08</w:t>
            </w:r>
          </w:p>
        </w:tc>
        <w:tc>
          <w:tcPr>
            <w:tcW w:w="710"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0.03</w:t>
            </w:r>
          </w:p>
        </w:tc>
        <w:tc>
          <w:tcPr>
            <w:tcW w:w="1087" w:type="dxa"/>
            <w:tcBorders>
              <w:top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r>
      <w:tr w:rsidR="00B42A3F" w:rsidRPr="00E06C9A" w:rsidTr="00B42A3F">
        <w:tc>
          <w:tcPr>
            <w:tcW w:w="709" w:type="dxa"/>
            <w:vMerge/>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-0.03</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0.89</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0.02</w:t>
            </w:r>
          </w:p>
        </w:tc>
        <w:tc>
          <w:tcPr>
            <w:tcW w:w="991" w:type="dxa"/>
          </w:tcPr>
          <w:p w:rsidR="00B42A3F" w:rsidRPr="00E06C9A" w:rsidRDefault="00B42A3F" w:rsidP="00B42A3F">
            <w:pPr>
              <w:jc w:val="both"/>
              <w:rPr>
                <w:rFonts w:ascii="Times" w:hAnsi="Times"/>
                <w:sz w:val="20"/>
                <w:szCs w:val="22"/>
                <w:lang w:val="en-US"/>
              </w:rPr>
            </w:pPr>
            <w:r w:rsidRPr="00E06C9A">
              <w:rPr>
                <w:sz w:val="20"/>
                <w:szCs w:val="22"/>
                <w:lang w:val="en-US"/>
              </w:rPr>
              <w:t>-0.04</w:t>
            </w:r>
          </w:p>
        </w:tc>
        <w:tc>
          <w:tcPr>
            <w:tcW w:w="994" w:type="dxa"/>
          </w:tcPr>
          <w:p w:rsidR="00B42A3F" w:rsidRPr="00E06C9A" w:rsidRDefault="00B42A3F" w:rsidP="00B42A3F">
            <w:pPr>
              <w:jc w:val="both"/>
              <w:rPr>
                <w:rFonts w:ascii="Times" w:hAnsi="Times"/>
                <w:sz w:val="20"/>
                <w:szCs w:val="22"/>
                <w:lang w:val="en-US"/>
              </w:rPr>
            </w:pPr>
            <w:r w:rsidRPr="00E06C9A">
              <w:rPr>
                <w:sz w:val="20"/>
                <w:szCs w:val="22"/>
                <w:lang w:val="en-US"/>
              </w:rPr>
              <w:t>0.05</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-0.001</w:t>
            </w:r>
          </w:p>
        </w:tc>
        <w:tc>
          <w:tcPr>
            <w:tcW w:w="710" w:type="dxa"/>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0.7</w:t>
            </w:r>
          </w:p>
        </w:tc>
      </w:tr>
      <w:tr w:rsidR="00B42A3F" w:rsidRPr="00E06C9A" w:rsidTr="00B42A3F">
        <w:tc>
          <w:tcPr>
            <w:tcW w:w="709" w:type="dxa"/>
            <w:vMerge/>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-0.16**</w:t>
            </w:r>
          </w:p>
        </w:tc>
        <w:tc>
          <w:tcPr>
            <w:tcW w:w="992" w:type="dxa"/>
            <w:tcBorders>
              <w:left w:val="single" w:sz="4" w:space="0" w:color="auto"/>
              <w:right w:val="single" w:sz="4" w:space="0" w:color="auto"/>
            </w:tcBorders>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0.12**</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0.08</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0.02</w:t>
            </w:r>
          </w:p>
        </w:tc>
        <w:tc>
          <w:tcPr>
            <w:tcW w:w="991" w:type="dxa"/>
          </w:tcPr>
          <w:p w:rsidR="00B42A3F" w:rsidRPr="00E06C9A" w:rsidRDefault="00B42A3F" w:rsidP="00B42A3F">
            <w:pPr>
              <w:jc w:val="both"/>
              <w:rPr>
                <w:rFonts w:ascii="Times" w:hAnsi="Times"/>
                <w:sz w:val="20"/>
                <w:szCs w:val="22"/>
                <w:lang w:val="en-US"/>
              </w:rPr>
            </w:pPr>
            <w:r w:rsidRPr="00E06C9A">
              <w:rPr>
                <w:sz w:val="20"/>
                <w:szCs w:val="22"/>
                <w:lang w:val="en-US"/>
              </w:rPr>
              <w:t>-0.04</w:t>
            </w:r>
          </w:p>
        </w:tc>
        <w:tc>
          <w:tcPr>
            <w:tcW w:w="994" w:type="dxa"/>
          </w:tcPr>
          <w:p w:rsidR="00B42A3F" w:rsidRPr="00E06C9A" w:rsidRDefault="00B42A3F" w:rsidP="00B42A3F">
            <w:pPr>
              <w:jc w:val="both"/>
              <w:rPr>
                <w:rFonts w:ascii="Times" w:hAnsi="Times"/>
                <w:sz w:val="20"/>
                <w:szCs w:val="22"/>
                <w:lang w:val="en-US"/>
              </w:rPr>
            </w:pPr>
            <w:r w:rsidRPr="00E06C9A">
              <w:rPr>
                <w:sz w:val="20"/>
                <w:szCs w:val="22"/>
                <w:lang w:val="en-US"/>
              </w:rPr>
              <w:t>0.05</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710" w:type="dxa"/>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0.55</w:t>
            </w:r>
          </w:p>
        </w:tc>
      </w:tr>
      <w:tr w:rsidR="00B42A3F" w:rsidRPr="00E06C9A" w:rsidTr="00B42A3F">
        <w:tc>
          <w:tcPr>
            <w:tcW w:w="709" w:type="dxa"/>
            <w:vMerge/>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-0.007</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0.87</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0.04</w:t>
            </w:r>
          </w:p>
        </w:tc>
        <w:tc>
          <w:tcPr>
            <w:tcW w:w="991" w:type="dxa"/>
          </w:tcPr>
          <w:p w:rsidR="00B42A3F" w:rsidRPr="00E06C9A" w:rsidRDefault="00B42A3F" w:rsidP="00B42A3F">
            <w:pPr>
              <w:jc w:val="both"/>
              <w:rPr>
                <w:rFonts w:ascii="Times" w:hAnsi="Times"/>
                <w:sz w:val="20"/>
                <w:szCs w:val="22"/>
                <w:lang w:val="en-US"/>
              </w:rPr>
            </w:pPr>
            <w:r w:rsidRPr="00E06C9A">
              <w:rPr>
                <w:sz w:val="20"/>
                <w:szCs w:val="22"/>
                <w:lang w:val="en-US"/>
              </w:rPr>
              <w:t>0.004</w:t>
            </w:r>
          </w:p>
        </w:tc>
        <w:tc>
          <w:tcPr>
            <w:tcW w:w="994" w:type="dxa"/>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0.04</w:t>
            </w:r>
          </w:p>
        </w:tc>
        <w:tc>
          <w:tcPr>
            <w:tcW w:w="710" w:type="dxa"/>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0.59</w:t>
            </w:r>
          </w:p>
        </w:tc>
      </w:tr>
      <w:tr w:rsidR="00B42A3F" w:rsidRPr="00E06C9A" w:rsidTr="00B42A3F">
        <w:tc>
          <w:tcPr>
            <w:tcW w:w="709" w:type="dxa"/>
            <w:vMerge/>
            <w:tcBorders>
              <w:bottom w:val="thinThickSmallGap" w:sz="24" w:space="0" w:color="auto"/>
            </w:tcBorders>
          </w:tcPr>
          <w:p w:rsidR="00B42A3F" w:rsidRPr="00E06C9A" w:rsidRDefault="00B42A3F" w:rsidP="00B42A3F">
            <w:pPr>
              <w:jc w:val="both"/>
              <w:rPr>
                <w:rFonts w:ascii="Times" w:hAnsi="Times"/>
                <w:b/>
                <w:sz w:val="20"/>
                <w:szCs w:val="22"/>
                <w:lang w:val="en-US"/>
              </w:rPr>
            </w:pPr>
          </w:p>
        </w:tc>
        <w:tc>
          <w:tcPr>
            <w:tcW w:w="1276" w:type="dxa"/>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0.14*</w:t>
            </w:r>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-0.05</w:t>
            </w:r>
          </w:p>
        </w:tc>
        <w:tc>
          <w:tcPr>
            <w:tcW w:w="1134"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0.08</w:t>
            </w:r>
          </w:p>
        </w:tc>
        <w:tc>
          <w:tcPr>
            <w:tcW w:w="850"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0.08</w:t>
            </w:r>
          </w:p>
        </w:tc>
        <w:tc>
          <w:tcPr>
            <w:tcW w:w="709"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1134" w:type="dxa"/>
            <w:tcBorders>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0.31</w:t>
            </w:r>
          </w:p>
        </w:tc>
        <w:tc>
          <w:tcPr>
            <w:tcW w:w="992" w:type="dxa"/>
            <w:tcBorders>
              <w:left w:val="thinThickSmallGap" w:sz="24" w:space="0" w:color="auto"/>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-0.06</w:t>
            </w:r>
          </w:p>
        </w:tc>
        <w:tc>
          <w:tcPr>
            <w:tcW w:w="991"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-0.005</w:t>
            </w:r>
          </w:p>
        </w:tc>
        <w:tc>
          <w:tcPr>
            <w:tcW w:w="994"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0.0013</w:t>
            </w:r>
          </w:p>
        </w:tc>
        <w:tc>
          <w:tcPr>
            <w:tcW w:w="992"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-0.004</w:t>
            </w:r>
          </w:p>
        </w:tc>
        <w:tc>
          <w:tcPr>
            <w:tcW w:w="710"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1087" w:type="dxa"/>
            <w:tcBorders>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0.69</w:t>
            </w:r>
          </w:p>
        </w:tc>
      </w:tr>
      <w:tr w:rsidR="00B42A3F" w:rsidRPr="00E06C9A" w:rsidTr="00B42A3F">
        <w:tc>
          <w:tcPr>
            <w:tcW w:w="709" w:type="dxa"/>
            <w:vMerge w:val="restart"/>
            <w:tcBorders>
              <w:top w:val="thinThickSmallGap" w:sz="24" w:space="0" w:color="auto"/>
            </w:tcBorders>
            <w:textDirection w:val="btLr"/>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futures_</w:t>
            </w:r>
          </w:p>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return</w:t>
            </w:r>
          </w:p>
        </w:tc>
        <w:tc>
          <w:tcPr>
            <w:tcW w:w="1276" w:type="dxa"/>
            <w:tcBorders>
              <w:top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0.12**</w:t>
            </w:r>
          </w:p>
        </w:tc>
        <w:tc>
          <w:tcPr>
            <w:tcW w:w="992"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-0.05</w:t>
            </w:r>
          </w:p>
        </w:tc>
        <w:tc>
          <w:tcPr>
            <w:tcW w:w="1134"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850"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-0.001</w:t>
            </w:r>
          </w:p>
        </w:tc>
        <w:tc>
          <w:tcPr>
            <w:tcW w:w="709"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1134" w:type="dxa"/>
            <w:tcBorders>
              <w:top w:val="thinThickSmallGap" w:sz="24" w:space="0" w:color="auto"/>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0.23</w:t>
            </w:r>
          </w:p>
        </w:tc>
        <w:tc>
          <w:tcPr>
            <w:tcW w:w="992" w:type="dxa"/>
            <w:tcBorders>
              <w:top w:val="thinThickSmallGap" w:sz="24" w:space="0" w:color="auto"/>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-0.0003</w:t>
            </w:r>
          </w:p>
        </w:tc>
        <w:tc>
          <w:tcPr>
            <w:tcW w:w="991"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-0.03</w:t>
            </w:r>
          </w:p>
        </w:tc>
        <w:tc>
          <w:tcPr>
            <w:tcW w:w="994"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-0.05</w:t>
            </w:r>
          </w:p>
        </w:tc>
        <w:tc>
          <w:tcPr>
            <w:tcW w:w="992"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-0.04</w:t>
            </w:r>
          </w:p>
        </w:tc>
        <w:tc>
          <w:tcPr>
            <w:tcW w:w="710"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1087" w:type="dxa"/>
            <w:tcBorders>
              <w:top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0.27</w:t>
            </w:r>
          </w:p>
        </w:tc>
      </w:tr>
      <w:tr w:rsidR="00B42A3F" w:rsidRPr="00E06C9A" w:rsidTr="00B42A3F">
        <w:tc>
          <w:tcPr>
            <w:tcW w:w="709" w:type="dxa"/>
            <w:vMerge/>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0.03</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-0.06</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0.67</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991" w:type="dxa"/>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994" w:type="dxa"/>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sz w:val="20"/>
                <w:szCs w:val="22"/>
                <w:lang w:val="en-US"/>
              </w:rPr>
              <w:t>-0.07**</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-0.04</w:t>
            </w:r>
          </w:p>
        </w:tc>
        <w:tc>
          <w:tcPr>
            <w:tcW w:w="710"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0.03</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0.07*</w:t>
            </w:r>
          </w:p>
        </w:tc>
      </w:tr>
      <w:tr w:rsidR="00B42A3F" w:rsidRPr="00E06C9A" w:rsidTr="00B42A3F">
        <w:tc>
          <w:tcPr>
            <w:tcW w:w="709" w:type="dxa"/>
            <w:vMerge/>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0.002</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-0.003</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0.04</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0.82</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991" w:type="dxa"/>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994" w:type="dxa"/>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sz w:val="20"/>
                <w:szCs w:val="22"/>
                <w:lang w:val="en-US"/>
              </w:rPr>
              <w:t>-0.06**</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-0.03</w:t>
            </w:r>
          </w:p>
        </w:tc>
        <w:tc>
          <w:tcPr>
            <w:tcW w:w="710"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0.03</w:t>
            </w:r>
          </w:p>
        </w:tc>
        <w:tc>
          <w:tcPr>
            <w:tcW w:w="1087"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0.08*</w:t>
            </w:r>
          </w:p>
        </w:tc>
      </w:tr>
      <w:tr w:rsidR="00B42A3F" w:rsidRPr="00E06C9A" w:rsidTr="00B42A3F">
        <w:tc>
          <w:tcPr>
            <w:tcW w:w="709" w:type="dxa"/>
            <w:vMerge/>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-0.05</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-0.03</w:t>
            </w:r>
          </w:p>
        </w:tc>
        <w:tc>
          <w:tcPr>
            <w:tcW w:w="850"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0.04</w:t>
            </w:r>
          </w:p>
        </w:tc>
        <w:tc>
          <w:tcPr>
            <w:tcW w:w="709"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1134"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0.54</w:t>
            </w:r>
          </w:p>
        </w:tc>
        <w:tc>
          <w:tcPr>
            <w:tcW w:w="992" w:type="dxa"/>
            <w:tcBorders>
              <w:left w:val="thinThickSmallGap" w:sz="24" w:space="0" w:color="auto"/>
              <w:bottom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991" w:type="dxa"/>
            <w:tcBorders>
              <w:bottom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994" w:type="dxa"/>
            <w:tcBorders>
              <w:bottom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-0.05</w:t>
            </w:r>
          </w:p>
        </w:tc>
        <w:tc>
          <w:tcPr>
            <w:tcW w:w="992" w:type="dxa"/>
            <w:tcBorders>
              <w:bottom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0.05</w:t>
            </w:r>
          </w:p>
        </w:tc>
        <w:tc>
          <w:tcPr>
            <w:tcW w:w="710" w:type="dxa"/>
            <w:tcBorders>
              <w:bottom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0.03</w:t>
            </w:r>
          </w:p>
        </w:tc>
        <w:tc>
          <w:tcPr>
            <w:tcW w:w="1087" w:type="dxa"/>
            <w:tcBorders>
              <w:bottom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0.12</w:t>
            </w:r>
          </w:p>
        </w:tc>
      </w:tr>
      <w:tr w:rsidR="00B42A3F" w:rsidRPr="00E06C9A" w:rsidTr="00B42A3F">
        <w:tc>
          <w:tcPr>
            <w:tcW w:w="709" w:type="dxa"/>
            <w:vMerge/>
            <w:tcBorders>
              <w:bottom w:val="thinThickSmallGap" w:sz="24" w:space="0" w:color="auto"/>
            </w:tcBorders>
          </w:tcPr>
          <w:p w:rsidR="00B42A3F" w:rsidRPr="00E06C9A" w:rsidRDefault="00B42A3F" w:rsidP="00B42A3F">
            <w:pPr>
              <w:jc w:val="both"/>
              <w:rPr>
                <w:rFonts w:ascii="Times" w:hAnsi="Times"/>
                <w:b/>
                <w:sz w:val="20"/>
                <w:szCs w:val="22"/>
                <w:lang w:val="en-US"/>
              </w:rPr>
            </w:pPr>
          </w:p>
        </w:tc>
        <w:tc>
          <w:tcPr>
            <w:tcW w:w="1276" w:type="dxa"/>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0.07*</w:t>
            </w:r>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1134"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-0.03</w:t>
            </w:r>
          </w:p>
        </w:tc>
        <w:tc>
          <w:tcPr>
            <w:tcW w:w="850"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709"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1134" w:type="dxa"/>
            <w:tcBorders>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0.49</w:t>
            </w:r>
          </w:p>
        </w:tc>
        <w:tc>
          <w:tcPr>
            <w:tcW w:w="992" w:type="dxa"/>
            <w:tcBorders>
              <w:left w:val="thinThickSmallGap" w:sz="24" w:space="0" w:color="auto"/>
              <w:bottom w:val="thinThickSmallGap" w:sz="24" w:space="0" w:color="auto"/>
            </w:tcBorders>
            <w:shd w:val="clear" w:color="auto" w:fill="5F497A" w:themeFill="accent4" w:themeFillShade="BF"/>
          </w:tcPr>
          <w:p w:rsidR="00B42A3F" w:rsidRPr="00E06C9A" w:rsidRDefault="00B42A3F" w:rsidP="00B42A3F">
            <w:pPr>
              <w:jc w:val="both"/>
              <w:rPr>
                <w:rFonts w:ascii="Times" w:hAnsi="Times"/>
                <w:sz w:val="20"/>
                <w:szCs w:val="22"/>
                <w:lang w:val="en-US"/>
              </w:rPr>
            </w:pPr>
            <w:r w:rsidRPr="00E06C9A">
              <w:rPr>
                <w:sz w:val="20"/>
                <w:szCs w:val="22"/>
                <w:lang w:val="en-US"/>
              </w:rPr>
              <w:t>-0.12***</w:t>
            </w:r>
          </w:p>
        </w:tc>
        <w:tc>
          <w:tcPr>
            <w:tcW w:w="991"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994"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-0.03</w:t>
            </w:r>
          </w:p>
        </w:tc>
        <w:tc>
          <w:tcPr>
            <w:tcW w:w="992"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0.02</w:t>
            </w:r>
          </w:p>
        </w:tc>
        <w:tc>
          <w:tcPr>
            <w:tcW w:w="710"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c>
          <w:tcPr>
            <w:tcW w:w="1087" w:type="dxa"/>
            <w:tcBorders>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r>
      <w:tr w:rsidR="00B42A3F" w:rsidRPr="00E06C9A" w:rsidTr="00B42A3F">
        <w:tc>
          <w:tcPr>
            <w:tcW w:w="709" w:type="dxa"/>
            <w:vMerge w:val="restart"/>
            <w:tcBorders>
              <w:top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1276" w:type="dxa"/>
            <w:vMerge w:val="restart"/>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5953" w:type="dxa"/>
            <w:gridSpan w:val="6"/>
            <w:tcBorders>
              <w:top w:val="thinThickSmallGap" w:sz="24" w:space="0" w:color="auto"/>
              <w:left w:val="thinThickSmallGap" w:sz="24" w:space="0" w:color="auto"/>
              <w:right w:val="thinThickSmallGap" w:sz="24" w:space="0" w:color="auto"/>
            </w:tcBorders>
            <w:shd w:val="clear" w:color="auto" w:fill="auto"/>
          </w:tcPr>
          <w:p w:rsidR="00B42A3F" w:rsidRPr="00E06C9A" w:rsidRDefault="00B42A3F" w:rsidP="00B42A3F">
            <w:pPr>
              <w:jc w:val="center"/>
              <w:rPr>
                <w:rFonts w:ascii="Times" w:hAnsi="Times"/>
                <w:b/>
                <w:sz w:val="20"/>
                <w:szCs w:val="22"/>
                <w:lang w:val="en-US"/>
              </w:rPr>
            </w:pPr>
            <w:r w:rsidRPr="00E06C9A">
              <w:rPr>
                <w:rFonts w:ascii="Times" w:hAnsi="Times"/>
                <w:b/>
                <w:sz w:val="20"/>
                <w:szCs w:val="22"/>
                <w:lang w:val="en-US"/>
              </w:rPr>
              <w:t>2014-2015</w:t>
            </w:r>
          </w:p>
        </w:tc>
        <w:tc>
          <w:tcPr>
            <w:tcW w:w="992" w:type="dxa"/>
            <w:tcBorders>
              <w:top w:val="thinThickSmallGap" w:sz="24" w:space="0" w:color="auto"/>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thinThickSmallGap" w:sz="24" w:space="0" w:color="auto"/>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thinThickSmallGap" w:sz="24" w:space="0" w:color="auto"/>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thinThickSmallGap" w:sz="24" w:space="0" w:color="auto"/>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thinThickSmallGap" w:sz="24" w:space="0" w:color="auto"/>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thinThickSmallGap" w:sz="24" w:space="0" w:color="auto"/>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tcBorders>
              <w:bottom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1276" w:type="dxa"/>
            <w:vMerge/>
            <w:tcBorders>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1134" w:type="dxa"/>
            <w:tcBorders>
              <w:left w:val="thinThickSmallGap" w:sz="2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1134"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850"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09"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1134" w:type="dxa"/>
            <w:tcBorders>
              <w:left w:val="single" w:sz="4" w:space="0" w:color="auto"/>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p</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val="restart"/>
            <w:tcBorders>
              <w:top w:val="thinThickSmallGap" w:sz="24" w:space="0" w:color="auto"/>
            </w:tcBorders>
            <w:shd w:val="clear" w:color="auto" w:fill="auto"/>
            <w:textDirection w:val="btLr"/>
            <w:vAlign w:val="center"/>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treasury_</w:t>
            </w:r>
          </w:p>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return</w:t>
            </w:r>
          </w:p>
        </w:tc>
        <w:tc>
          <w:tcPr>
            <w:tcW w:w="1276" w:type="dxa"/>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B2A1C7" w:themeFill="accent4" w:themeFillTint="99"/>
          </w:tcPr>
          <w:p w:rsidR="00B42A3F" w:rsidRPr="00E06C9A" w:rsidRDefault="00B42A3F" w:rsidP="00B42A3F">
            <w:pPr>
              <w:jc w:val="both"/>
              <w:rPr>
                <w:sz w:val="20"/>
                <w:szCs w:val="22"/>
                <w:lang w:val="en-US"/>
              </w:rPr>
            </w:pPr>
            <w:r w:rsidRPr="00E06C9A">
              <w:rPr>
                <w:rFonts w:ascii="Times" w:hAnsi="Times"/>
                <w:sz w:val="20"/>
                <w:szCs w:val="22"/>
                <w:lang w:val="en-US"/>
              </w:rPr>
              <w:t>0.06**</w:t>
            </w:r>
          </w:p>
        </w:tc>
        <w:tc>
          <w:tcPr>
            <w:tcW w:w="992"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-0.03</w:t>
            </w:r>
          </w:p>
        </w:tc>
        <w:tc>
          <w:tcPr>
            <w:tcW w:w="1134"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-0.005</w:t>
            </w:r>
          </w:p>
        </w:tc>
        <w:tc>
          <w:tcPr>
            <w:tcW w:w="850"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709"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c>
          <w:tcPr>
            <w:tcW w:w="1134" w:type="dxa"/>
            <w:tcBorders>
              <w:top w:val="thinThickSmallGap" w:sz="24" w:space="0" w:color="auto"/>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5F497A" w:themeFill="accent4" w:themeFillShade="BF"/>
          </w:tcPr>
          <w:p w:rsidR="00B42A3F" w:rsidRPr="00E06C9A" w:rsidRDefault="00B42A3F" w:rsidP="00B42A3F">
            <w:pPr>
              <w:jc w:val="both"/>
              <w:rPr>
                <w:sz w:val="20"/>
                <w:szCs w:val="22"/>
                <w:lang w:val="en-US"/>
              </w:rPr>
            </w:pPr>
            <w:r w:rsidRPr="00E06C9A">
              <w:rPr>
                <w:rFonts w:ascii="Times" w:hAnsi="Times"/>
                <w:sz w:val="20"/>
                <w:szCs w:val="22"/>
                <w:lang w:val="en-US"/>
              </w:rPr>
              <w:t>0.08***</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0.03</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-0.0001</w:t>
            </w:r>
          </w:p>
        </w:tc>
        <w:tc>
          <w:tcPr>
            <w:tcW w:w="850"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0.004**</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5F497A" w:themeFill="accent4" w:themeFillShade="BF"/>
          </w:tcPr>
          <w:p w:rsidR="00B42A3F" w:rsidRPr="00E06C9A" w:rsidRDefault="00B42A3F" w:rsidP="00B42A3F">
            <w:pPr>
              <w:jc w:val="both"/>
              <w:rPr>
                <w:sz w:val="20"/>
                <w:szCs w:val="22"/>
                <w:lang w:val="en-US"/>
              </w:rPr>
            </w:pPr>
            <w:r w:rsidRPr="00E06C9A">
              <w:rPr>
                <w:rFonts w:ascii="Times" w:hAnsi="Times"/>
                <w:sz w:val="20"/>
                <w:szCs w:val="22"/>
                <w:lang w:val="en-US"/>
              </w:rPr>
              <w:t>0.07***</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0.02</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850"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0.03</w:t>
            </w:r>
          </w:p>
        </w:tc>
        <w:tc>
          <w:tcPr>
            <w:tcW w:w="992"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rFonts w:ascii="Times" w:hAnsi="Times"/>
                <w:sz w:val="20"/>
                <w:szCs w:val="22"/>
                <w:lang w:val="en-US"/>
              </w:rPr>
              <w:t>-0.07*</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-0.0004</w:t>
            </w:r>
          </w:p>
        </w:tc>
        <w:tc>
          <w:tcPr>
            <w:tcW w:w="850"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rFonts w:ascii="Times" w:hAnsi="Times"/>
                <w:sz w:val="20"/>
                <w:szCs w:val="22"/>
                <w:lang w:val="en-US"/>
              </w:rPr>
              <w:t>0.03*</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0.11</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tcBorders>
              <w:bottom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1276" w:type="dxa"/>
            <w:tcBorders>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5F497A" w:themeFill="accent4" w:themeFillShade="BF"/>
          </w:tcPr>
          <w:p w:rsidR="00B42A3F" w:rsidRPr="00E06C9A" w:rsidRDefault="00B42A3F" w:rsidP="00B42A3F">
            <w:pPr>
              <w:jc w:val="both"/>
              <w:rPr>
                <w:sz w:val="20"/>
                <w:szCs w:val="22"/>
                <w:lang w:val="en-US"/>
              </w:rPr>
            </w:pPr>
            <w:r w:rsidRPr="00E06C9A">
              <w:rPr>
                <w:rFonts w:ascii="Times" w:hAnsi="Times"/>
                <w:sz w:val="20"/>
                <w:szCs w:val="22"/>
                <w:lang w:val="en-US"/>
              </w:rPr>
              <w:t>0.13***</w:t>
            </w:r>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1134"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0.02</w:t>
            </w:r>
          </w:p>
        </w:tc>
        <w:tc>
          <w:tcPr>
            <w:tcW w:w="850"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709"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0.09</w:t>
            </w:r>
          </w:p>
        </w:tc>
        <w:tc>
          <w:tcPr>
            <w:tcW w:w="1134" w:type="dxa"/>
            <w:tcBorders>
              <w:left w:val="single" w:sz="4" w:space="0" w:color="auto"/>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val="restart"/>
            <w:tcBorders>
              <w:top w:val="thinThickSmallGap" w:sz="24" w:space="0" w:color="auto"/>
            </w:tcBorders>
            <w:shd w:val="clear" w:color="auto" w:fill="auto"/>
            <w:textDirection w:val="btLr"/>
            <w:vAlign w:val="center"/>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corporate_</w:t>
            </w:r>
          </w:p>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return</w:t>
            </w:r>
          </w:p>
        </w:tc>
        <w:tc>
          <w:tcPr>
            <w:tcW w:w="1276" w:type="dxa"/>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-0.004</w:t>
            </w:r>
          </w:p>
        </w:tc>
        <w:tc>
          <w:tcPr>
            <w:tcW w:w="992"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-0.02</w:t>
            </w:r>
          </w:p>
        </w:tc>
        <w:tc>
          <w:tcPr>
            <w:tcW w:w="1134"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-0.002</w:t>
            </w:r>
          </w:p>
        </w:tc>
        <w:tc>
          <w:tcPr>
            <w:tcW w:w="850"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709"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1134" w:type="dxa"/>
            <w:tcBorders>
              <w:top w:val="thinThickSmallGap" w:sz="24" w:space="0" w:color="auto"/>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0.006**</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0.001</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-0.002</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850"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0.05</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850"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0.05</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0.004</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0.001</w:t>
            </w:r>
          </w:p>
        </w:tc>
        <w:tc>
          <w:tcPr>
            <w:tcW w:w="850"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0.003</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0.003**</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tcBorders>
              <w:bottom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1276" w:type="dxa"/>
            <w:tcBorders>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0.01</w:t>
            </w:r>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-0.02</w:t>
            </w:r>
          </w:p>
        </w:tc>
        <w:tc>
          <w:tcPr>
            <w:tcW w:w="1134"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0.02</w:t>
            </w:r>
          </w:p>
        </w:tc>
        <w:tc>
          <w:tcPr>
            <w:tcW w:w="850"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rFonts w:ascii="Times" w:hAnsi="Times"/>
                <w:sz w:val="20"/>
                <w:szCs w:val="22"/>
                <w:lang w:val="en-US"/>
              </w:rPr>
              <w:t>-0.003</w:t>
            </w:r>
          </w:p>
        </w:tc>
        <w:tc>
          <w:tcPr>
            <w:tcW w:w="709"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0.06</w:t>
            </w:r>
          </w:p>
        </w:tc>
        <w:tc>
          <w:tcPr>
            <w:tcW w:w="1134" w:type="dxa"/>
            <w:tcBorders>
              <w:left w:val="single" w:sz="4" w:space="0" w:color="auto"/>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0.002**</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val="restart"/>
            <w:tcBorders>
              <w:top w:val="thinThickSmallGap" w:sz="24" w:space="0" w:color="auto"/>
            </w:tcBorders>
            <w:shd w:val="clear" w:color="auto" w:fill="auto"/>
            <w:textDirection w:val="btLr"/>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industry_</w:t>
            </w:r>
          </w:p>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return</w:t>
            </w:r>
          </w:p>
        </w:tc>
        <w:tc>
          <w:tcPr>
            <w:tcW w:w="1276" w:type="dxa"/>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0.01</w:t>
            </w:r>
          </w:p>
        </w:tc>
        <w:tc>
          <w:tcPr>
            <w:tcW w:w="992"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-0.07</w:t>
            </w:r>
          </w:p>
        </w:tc>
        <w:tc>
          <w:tcPr>
            <w:tcW w:w="1134" w:type="dxa"/>
            <w:tcBorders>
              <w:top w:val="thinThickSmallGap" w:sz="24" w:space="0" w:color="auto"/>
              <w:left w:val="single" w:sz="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-0.18*</w:t>
            </w:r>
          </w:p>
        </w:tc>
        <w:tc>
          <w:tcPr>
            <w:tcW w:w="850"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-0.02</w:t>
            </w:r>
          </w:p>
        </w:tc>
        <w:tc>
          <w:tcPr>
            <w:tcW w:w="709"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sz w:val="20"/>
                <w:szCs w:val="22"/>
                <w:lang w:val="en-US"/>
              </w:rPr>
              <w:t>0.02</w:t>
            </w:r>
          </w:p>
        </w:tc>
        <w:tc>
          <w:tcPr>
            <w:tcW w:w="1134" w:type="dxa"/>
            <w:tcBorders>
              <w:top w:val="thinThickSmallGap" w:sz="24" w:space="0" w:color="auto"/>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0.51</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0.06</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-0.06</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0.05</w:t>
            </w:r>
          </w:p>
        </w:tc>
        <w:tc>
          <w:tcPr>
            <w:tcW w:w="850"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0.04</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0.86</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0.03</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-0.04</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0.06</w:t>
            </w:r>
          </w:p>
        </w:tc>
        <w:tc>
          <w:tcPr>
            <w:tcW w:w="850"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-0.04</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0.79</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0.01</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0.04</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0.003</w:t>
            </w:r>
          </w:p>
        </w:tc>
        <w:tc>
          <w:tcPr>
            <w:tcW w:w="850"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0.06*</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sz w:val="20"/>
                <w:szCs w:val="22"/>
                <w:lang w:val="en-US"/>
              </w:rPr>
              <w:t>0.02</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0.4</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tcBorders>
              <w:bottom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1276" w:type="dxa"/>
            <w:tcBorders>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-0.01</w:t>
            </w:r>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0.07</w:t>
            </w:r>
          </w:p>
        </w:tc>
        <w:tc>
          <w:tcPr>
            <w:tcW w:w="1134"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-0.03</w:t>
            </w:r>
          </w:p>
        </w:tc>
        <w:tc>
          <w:tcPr>
            <w:tcW w:w="850" w:type="dxa"/>
            <w:tcBorders>
              <w:left w:val="single" w:sz="4" w:space="0" w:color="auto"/>
              <w:bottom w:val="thinThickSmallGap" w:sz="24" w:space="0" w:color="auto"/>
              <w:right w:val="single" w:sz="4" w:space="0" w:color="auto"/>
            </w:tcBorders>
            <w:shd w:val="clear" w:color="auto" w:fill="B2A1C7" w:themeFill="accent4" w:themeFillTint="99"/>
          </w:tcPr>
          <w:p w:rsidR="00B42A3F" w:rsidRPr="00E06C9A" w:rsidRDefault="00B42A3F" w:rsidP="00B42A3F">
            <w:pPr>
              <w:jc w:val="both"/>
              <w:rPr>
                <w:sz w:val="20"/>
                <w:szCs w:val="22"/>
                <w:lang w:val="en-US"/>
              </w:rPr>
            </w:pPr>
            <w:r w:rsidRPr="00E06C9A">
              <w:rPr>
                <w:sz w:val="20"/>
                <w:szCs w:val="22"/>
                <w:lang w:val="en-US"/>
              </w:rPr>
              <w:t>0.18**</w:t>
            </w:r>
          </w:p>
        </w:tc>
        <w:tc>
          <w:tcPr>
            <w:tcW w:w="709"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sz w:val="20"/>
                <w:szCs w:val="22"/>
                <w:lang w:val="en-US"/>
              </w:rPr>
              <w:t>0.02</w:t>
            </w:r>
          </w:p>
        </w:tc>
        <w:tc>
          <w:tcPr>
            <w:tcW w:w="1134" w:type="dxa"/>
            <w:tcBorders>
              <w:left w:val="single" w:sz="4" w:space="0" w:color="auto"/>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0.59</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bl>
    <w:p w:rsidR="00B42A3F" w:rsidRDefault="00B42A3F" w:rsidP="00B42A3F">
      <w:r>
        <w:br w:type="page"/>
      </w:r>
    </w:p>
    <w:p w:rsidR="00B42A3F" w:rsidRPr="00F05CE6" w:rsidRDefault="00B42A3F" w:rsidP="00B42A3F">
      <w:pPr>
        <w:ind w:left="2977"/>
        <w:rPr>
          <w:rFonts w:ascii="Times" w:hAnsi="Times" w:cs="Helvetica CY"/>
          <w:b/>
        </w:rPr>
      </w:pPr>
      <w:r w:rsidRPr="00F05CE6">
        <w:rPr>
          <w:rFonts w:ascii="Times" w:hAnsi="Times" w:cs="Helvetica CY"/>
          <w:b/>
        </w:rPr>
        <w:lastRenderedPageBreak/>
        <w:t>Продолжение Таблицы 1</w:t>
      </w:r>
    </w:p>
    <w:tbl>
      <w:tblPr>
        <w:tblStyle w:val="ae"/>
        <w:tblW w:w="13704" w:type="dxa"/>
        <w:tblInd w:w="534" w:type="dxa"/>
        <w:tblLayout w:type="fixed"/>
        <w:tblLook w:val="04A0"/>
      </w:tblPr>
      <w:tblGrid>
        <w:gridCol w:w="709"/>
        <w:gridCol w:w="1276"/>
        <w:gridCol w:w="1134"/>
        <w:gridCol w:w="992"/>
        <w:gridCol w:w="1134"/>
        <w:gridCol w:w="850"/>
        <w:gridCol w:w="709"/>
        <w:gridCol w:w="1134"/>
        <w:gridCol w:w="992"/>
        <w:gridCol w:w="991"/>
        <w:gridCol w:w="994"/>
        <w:gridCol w:w="992"/>
        <w:gridCol w:w="710"/>
        <w:gridCol w:w="1087"/>
      </w:tblGrid>
      <w:tr w:rsidR="00B42A3F" w:rsidRPr="00E06C9A" w:rsidTr="00B42A3F">
        <w:tc>
          <w:tcPr>
            <w:tcW w:w="709" w:type="dxa"/>
            <w:vMerge w:val="restart"/>
            <w:tcBorders>
              <w:top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Y</w:t>
            </w:r>
          </w:p>
        </w:tc>
        <w:tc>
          <w:tcPr>
            <w:tcW w:w="1276" w:type="dxa"/>
            <w:vMerge w:val="restart"/>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B </w:t>
            </w:r>
          </w:p>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w:t>
            </w:r>
            <w:r w:rsidRPr="00E06C9A">
              <w:rPr>
                <w:rFonts w:ascii="Times" w:hAnsi="Times"/>
                <w:b/>
                <w:sz w:val="20"/>
                <w:szCs w:val="22"/>
              </w:rPr>
              <w:t>кредитный рейтинг)</w:t>
            </w:r>
          </w:p>
        </w:tc>
        <w:tc>
          <w:tcPr>
            <w:tcW w:w="5953" w:type="dxa"/>
            <w:gridSpan w:val="6"/>
            <w:tcBorders>
              <w:top w:val="thinThickSmallGap" w:sz="24" w:space="0" w:color="auto"/>
              <w:left w:val="thinThickSmallGap" w:sz="24" w:space="0" w:color="auto"/>
              <w:bottom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2014-2015</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extDirection w:val="btLr"/>
          </w:tcPr>
          <w:p w:rsidR="00B42A3F" w:rsidRPr="00E06C9A" w:rsidRDefault="00B42A3F" w:rsidP="00B42A3F">
            <w:pPr>
              <w:jc w:val="both"/>
              <w:rPr>
                <w:rFonts w:ascii="Times" w:hAnsi="Times"/>
                <w:b/>
                <w:sz w:val="20"/>
                <w:szCs w:val="22"/>
                <w:lang w:val="en-US"/>
              </w:rPr>
            </w:pPr>
          </w:p>
        </w:tc>
        <w:tc>
          <w:tcPr>
            <w:tcW w:w="1276" w:type="dxa"/>
            <w:vMerge/>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1134" w:type="dxa"/>
            <w:tcBorders>
              <w:top w:val="single" w:sz="4" w:space="0" w:color="auto"/>
              <w:left w:val="thinThickSmallGap" w:sz="2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992" w:type="dxa"/>
            <w:tcBorders>
              <w:top w:val="single" w:sz="4" w:space="0" w:color="auto"/>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1134" w:type="dxa"/>
            <w:tcBorders>
              <w:top w:val="single" w:sz="4" w:space="0" w:color="auto"/>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850" w:type="dxa"/>
            <w:tcBorders>
              <w:top w:val="single" w:sz="4" w:space="0" w:color="auto"/>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09" w:type="dxa"/>
            <w:tcBorders>
              <w:top w:val="single" w:sz="4" w:space="0" w:color="auto"/>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1134" w:type="dxa"/>
            <w:tcBorders>
              <w:top w:val="single" w:sz="4" w:space="0" w:color="auto"/>
              <w:left w:val="single" w:sz="4" w:space="0" w:color="auto"/>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p</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val="restart"/>
            <w:tcBorders>
              <w:top w:val="thinThickSmallGap" w:sz="24" w:space="0" w:color="auto"/>
            </w:tcBorders>
            <w:shd w:val="clear" w:color="auto" w:fill="auto"/>
            <w:textDirection w:val="btLr"/>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futures_</w:t>
            </w:r>
          </w:p>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return</w:t>
            </w:r>
          </w:p>
        </w:tc>
        <w:tc>
          <w:tcPr>
            <w:tcW w:w="1276" w:type="dxa"/>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0.07</w:t>
            </w:r>
          </w:p>
        </w:tc>
        <w:tc>
          <w:tcPr>
            <w:tcW w:w="992"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-0.02</w:t>
            </w:r>
          </w:p>
        </w:tc>
        <w:tc>
          <w:tcPr>
            <w:tcW w:w="1134"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-0.01</w:t>
            </w:r>
          </w:p>
        </w:tc>
        <w:tc>
          <w:tcPr>
            <w:tcW w:w="850"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0.005</w:t>
            </w:r>
          </w:p>
        </w:tc>
        <w:tc>
          <w:tcPr>
            <w:tcW w:w="709"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0.09</w:t>
            </w:r>
          </w:p>
        </w:tc>
        <w:tc>
          <w:tcPr>
            <w:tcW w:w="1134" w:type="dxa"/>
            <w:tcBorders>
              <w:top w:val="thinThickSmallGap" w:sz="24" w:space="0" w:color="auto"/>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0.0001**</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0.08</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0.05</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-0.05</w:t>
            </w:r>
          </w:p>
        </w:tc>
        <w:tc>
          <w:tcPr>
            <w:tcW w:w="850"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0.01</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0.09</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0.07*</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-0.03</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-0.02</w:t>
            </w:r>
          </w:p>
        </w:tc>
        <w:tc>
          <w:tcPr>
            <w:tcW w:w="850"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-0.003</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0.09</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0.02</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-0.03</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-0.01</w:t>
            </w:r>
          </w:p>
        </w:tc>
        <w:tc>
          <w:tcPr>
            <w:tcW w:w="850"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0.05*</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0.09</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709" w:type="dxa"/>
            <w:vMerge/>
            <w:shd w:val="clear" w:color="auto" w:fill="auto"/>
          </w:tcPr>
          <w:p w:rsidR="00B42A3F" w:rsidRPr="00E06C9A" w:rsidRDefault="00B42A3F" w:rsidP="00B42A3F">
            <w:pPr>
              <w:jc w:val="both"/>
              <w:rPr>
                <w:rFonts w:ascii="Times" w:hAnsi="Times"/>
                <w:b/>
                <w:sz w:val="20"/>
                <w:szCs w:val="22"/>
                <w:lang w:val="en-US"/>
              </w:rPr>
            </w:pPr>
          </w:p>
        </w:tc>
        <w:tc>
          <w:tcPr>
            <w:tcW w:w="1276"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0.1*</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0.004</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-0.05</w:t>
            </w:r>
          </w:p>
        </w:tc>
        <w:tc>
          <w:tcPr>
            <w:tcW w:w="850"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-0.05</w:t>
            </w:r>
          </w:p>
        </w:tc>
        <w:tc>
          <w:tcPr>
            <w:tcW w:w="709"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0.09</w:t>
            </w:r>
          </w:p>
        </w:tc>
        <w:tc>
          <w:tcPr>
            <w:tcW w:w="1134"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991"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10"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1087"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bl>
    <w:p w:rsidR="00B42A3F" w:rsidRDefault="00B42A3F" w:rsidP="00B42A3F">
      <w:pPr>
        <w:ind w:left="426" w:right="-8"/>
        <w:rPr>
          <w:rFonts w:ascii="Times" w:hAnsi="Times"/>
          <w:lang w:val="en-US"/>
        </w:rPr>
      </w:pPr>
      <w:r w:rsidRPr="00F377F0">
        <w:rPr>
          <w:rFonts w:ascii="Times" w:hAnsi="Times"/>
          <w:lang w:val="en-US"/>
        </w:rPr>
        <w:t>*** p&lt;0.01, ** p&lt;0.05, * p&lt;0.1</w:t>
      </w:r>
    </w:p>
    <w:p w:rsidR="00B42A3F" w:rsidRDefault="00B42A3F" w:rsidP="00E06C9A">
      <w:pPr>
        <w:ind w:left="0" w:right="-8" w:firstLine="0"/>
        <w:rPr>
          <w:rFonts w:ascii="Times" w:hAnsi="Times"/>
          <w:lang w:val="en-US"/>
        </w:rPr>
      </w:pPr>
    </w:p>
    <w:p w:rsidR="00B42A3F" w:rsidRPr="006402C0" w:rsidRDefault="00B42A3F" w:rsidP="00B42A3F">
      <w:pPr>
        <w:ind w:left="142" w:right="-8"/>
        <w:jc w:val="center"/>
        <w:rPr>
          <w:rFonts w:ascii="Times" w:hAnsi="Times"/>
          <w:b/>
        </w:rPr>
      </w:pPr>
      <w:r w:rsidRPr="006402C0">
        <w:rPr>
          <w:rFonts w:ascii="Times" w:hAnsi="Times"/>
          <w:b/>
        </w:rPr>
        <w:t>Таблица 2: Результаты оценки векторной авторегрессионной модели</w:t>
      </w:r>
    </w:p>
    <w:p w:rsidR="00B42A3F" w:rsidRPr="00AE0670" w:rsidRDefault="00B42A3F" w:rsidP="00E06C9A">
      <w:pPr>
        <w:ind w:left="142" w:right="538" w:firstLine="0"/>
        <w:rPr>
          <w:rFonts w:ascii="Times" w:hAnsi="Times"/>
        </w:rPr>
      </w:pPr>
      <w:r w:rsidRPr="00AE0670">
        <w:rPr>
          <w:rFonts w:ascii="Times" w:hAnsi="Times"/>
        </w:rPr>
        <w:t xml:space="preserve">Эта таблица показывает </w:t>
      </w:r>
      <w:r w:rsidRPr="00AE0670">
        <w:rPr>
          <w:rFonts w:ascii="Times" w:hAnsi="Times"/>
          <w:lang w:val="en-US"/>
        </w:rPr>
        <w:t>t</w:t>
      </w:r>
      <w:r w:rsidRPr="0058455C">
        <w:rPr>
          <w:rFonts w:ascii="Times" w:hAnsi="Times"/>
        </w:rPr>
        <w:t>-</w:t>
      </w:r>
      <w:r w:rsidRPr="00AE0670">
        <w:rPr>
          <w:rFonts w:ascii="Times" w:hAnsi="Times"/>
        </w:rPr>
        <w:t xml:space="preserve">статистику </w:t>
      </w:r>
      <w:r w:rsidRPr="00AE0670">
        <w:rPr>
          <w:rFonts w:ascii="Times" w:hAnsi="Times"/>
          <w:lang w:val="en-US"/>
        </w:rPr>
        <w:t>Newey</w:t>
      </w:r>
      <w:r w:rsidRPr="0058455C">
        <w:rPr>
          <w:rFonts w:ascii="Times" w:hAnsi="Times"/>
        </w:rPr>
        <w:t>-</w:t>
      </w:r>
      <w:r w:rsidRPr="00AE0670">
        <w:rPr>
          <w:rFonts w:ascii="Times" w:hAnsi="Times"/>
          <w:lang w:val="en-US"/>
        </w:rPr>
        <w:t>West</w:t>
      </w:r>
      <w:r w:rsidRPr="0058455C">
        <w:rPr>
          <w:rFonts w:ascii="Times" w:hAnsi="Times"/>
        </w:rPr>
        <w:t xml:space="preserve"> </w:t>
      </w:r>
      <w:r w:rsidRPr="00AE0670">
        <w:rPr>
          <w:rFonts w:ascii="Times" w:hAnsi="Times"/>
        </w:rPr>
        <w:t xml:space="preserve">для коэффициентов моделей векторной авторегрессии, при этом </w:t>
      </w:r>
      <w:r w:rsidRPr="00AE0670">
        <w:rPr>
          <w:rFonts w:ascii="Times" w:hAnsi="Times"/>
          <w:lang w:val="en-US"/>
        </w:rPr>
        <w:t>VAR</w:t>
      </w:r>
      <w:r w:rsidRPr="0058455C">
        <w:rPr>
          <w:rFonts w:ascii="Times" w:hAnsi="Times"/>
        </w:rPr>
        <w:t xml:space="preserve"> </w:t>
      </w:r>
      <w:r w:rsidRPr="00AE0670">
        <w:rPr>
          <w:rFonts w:ascii="Times" w:hAnsi="Times"/>
        </w:rPr>
        <w:t xml:space="preserve">оценивалась отдельно для каждого периода. </w:t>
      </w:r>
      <w:r w:rsidRPr="00AE0670">
        <w:rPr>
          <w:rFonts w:ascii="Times" w:hAnsi="Times"/>
          <w:lang w:val="en-US"/>
        </w:rPr>
        <w:t>p</w:t>
      </w:r>
      <w:r w:rsidRPr="0058455C">
        <w:rPr>
          <w:rFonts w:ascii="Times" w:hAnsi="Times"/>
        </w:rPr>
        <w:t>-</w:t>
      </w:r>
      <w:r w:rsidRPr="00AE0670">
        <w:rPr>
          <w:rFonts w:ascii="Times" w:hAnsi="Times"/>
          <w:lang w:val="en-US"/>
        </w:rPr>
        <w:t>value</w:t>
      </w:r>
      <w:r w:rsidRPr="0058455C">
        <w:rPr>
          <w:rFonts w:ascii="Times" w:hAnsi="Times"/>
        </w:rPr>
        <w:t xml:space="preserve"> </w:t>
      </w:r>
      <w:r w:rsidRPr="00AE0670">
        <w:rPr>
          <w:rFonts w:ascii="Times" w:hAnsi="Times"/>
        </w:rPr>
        <w:t xml:space="preserve">характеризует </w:t>
      </w:r>
      <w:r w:rsidRPr="00AE0670">
        <w:rPr>
          <w:rFonts w:ascii="Times" w:hAnsi="Times"/>
          <w:lang w:val="en-US"/>
        </w:rPr>
        <w:t>F</w:t>
      </w:r>
      <w:r w:rsidRPr="0058455C">
        <w:rPr>
          <w:rFonts w:ascii="Times" w:hAnsi="Times"/>
        </w:rPr>
        <w:t>-</w:t>
      </w:r>
      <w:r w:rsidRPr="00AE0670">
        <w:rPr>
          <w:rFonts w:ascii="Times" w:hAnsi="Times"/>
        </w:rPr>
        <w:t xml:space="preserve">тест для гипотезы о том, что </w:t>
      </w:r>
      <m:oMath>
        <m:sSub>
          <m:sSubPr>
            <m:ctrlPr>
              <w:rPr>
                <w:rFonts w:ascii="Cambria Math" w:hAnsi="Cambria Math"/>
                <w:i/>
                <w:lang w:val="en-US"/>
              </w:rPr>
            </m:ctrlPr>
          </m:sSubPr>
          <m:e>
            <m:r>
              <w:rPr>
                <w:rFonts w:ascii="Cambria Math" w:hAnsi="Cambria Math"/>
                <w:lang w:val="en-US"/>
              </w:rPr>
              <m:t>γ</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γ</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γ</m:t>
            </m:r>
          </m:e>
          <m:sub>
            <m:r>
              <w:rPr>
                <w:rFonts w:ascii="Cambria Math" w:hAnsi="Cambria Math"/>
              </w:rPr>
              <m:t>3</m:t>
            </m:r>
          </m:sub>
        </m:sSub>
        <m:r>
          <w:rPr>
            <w:rFonts w:ascii="Cambria Math" w:hAnsi="Cambria Math"/>
          </w:rPr>
          <m:t>=</m:t>
        </m:r>
        <m:sSub>
          <m:sSubPr>
            <m:ctrlPr>
              <w:rPr>
                <w:rFonts w:ascii="Cambria Math" w:hAnsi="Cambria Math"/>
                <w:i/>
                <w:lang w:val="en-US"/>
              </w:rPr>
            </m:ctrlPr>
          </m:sSubPr>
          <m:e>
            <m:r>
              <w:rPr>
                <w:rFonts w:ascii="Cambria Math" w:hAnsi="Cambria Math"/>
                <w:lang w:val="en-US"/>
              </w:rPr>
              <m:t>γ</m:t>
            </m:r>
          </m:e>
          <m:sub>
            <m:r>
              <w:rPr>
                <w:rFonts w:ascii="Cambria Math" w:hAnsi="Cambria Math"/>
              </w:rPr>
              <m:t>4</m:t>
            </m:r>
          </m:sub>
        </m:sSub>
        <m:r>
          <w:rPr>
            <w:rFonts w:ascii="Cambria Math" w:hAnsi="Cambria Math"/>
          </w:rPr>
          <m:t>=0</m:t>
        </m:r>
      </m:oMath>
      <w:r w:rsidRPr="0058455C">
        <w:rPr>
          <w:rFonts w:ascii="Times" w:hAnsi="Times"/>
        </w:rPr>
        <w:t xml:space="preserve">. В этой связи, </w:t>
      </w:r>
      <w:r w:rsidRPr="00AE0670">
        <w:rPr>
          <w:rFonts w:ascii="Times" w:hAnsi="Times"/>
          <w:lang w:val="en-US"/>
        </w:rPr>
        <w:t>Y</w:t>
      </w:r>
      <w:r w:rsidRPr="0058455C">
        <w:rPr>
          <w:rFonts w:ascii="Times" w:hAnsi="Times"/>
        </w:rPr>
        <w:t xml:space="preserve"> </w:t>
      </w:r>
      <w:r w:rsidRPr="00AE0670">
        <w:rPr>
          <w:rFonts w:ascii="Times" w:hAnsi="Times"/>
        </w:rPr>
        <w:t xml:space="preserve">обозначает переменную финансового рынка, которая выступает зависимой переменной, в то время как </w:t>
      </w:r>
      <w:r w:rsidRPr="00AE0670">
        <w:rPr>
          <w:rFonts w:ascii="Times" w:hAnsi="Times"/>
          <w:lang w:val="en-US"/>
        </w:rPr>
        <w:t>B</w:t>
      </w:r>
      <w:r w:rsidRPr="0058455C">
        <w:rPr>
          <w:rFonts w:ascii="Times" w:hAnsi="Times"/>
        </w:rPr>
        <w:t xml:space="preserve"> </w:t>
      </w:r>
      <w:r w:rsidRPr="00AE0670">
        <w:rPr>
          <w:rFonts w:ascii="Times" w:hAnsi="Times"/>
        </w:rPr>
        <w:t xml:space="preserve">обозначает доходности индексов облигаций, лаговые значения которых (совместно с лаговыми значениями </w:t>
      </w:r>
      <w:r w:rsidRPr="00AE0670">
        <w:rPr>
          <w:rFonts w:ascii="Times" w:hAnsi="Times"/>
          <w:lang w:val="en-US"/>
        </w:rPr>
        <w:t>Y</w:t>
      </w:r>
      <w:r w:rsidRPr="00AE0670">
        <w:rPr>
          <w:rFonts w:ascii="Times" w:hAnsi="Times"/>
        </w:rPr>
        <w:t xml:space="preserve">) выступают объясняющими переменными. Две звёздочки </w:t>
      </w:r>
      <w:r w:rsidRPr="0058455C">
        <w:rPr>
          <w:rFonts w:ascii="Times" w:hAnsi="Times"/>
        </w:rPr>
        <w:t>**</w:t>
      </w:r>
      <w:r w:rsidRPr="00AE0670">
        <w:rPr>
          <w:rFonts w:ascii="Times" w:hAnsi="Times"/>
        </w:rPr>
        <w:t xml:space="preserve"> показывают 5</w:t>
      </w:r>
      <w:r w:rsidRPr="0058455C">
        <w:rPr>
          <w:rFonts w:ascii="Times" w:hAnsi="Times"/>
        </w:rPr>
        <w:t>%-</w:t>
      </w:r>
      <w:r w:rsidRPr="00AE0670">
        <w:rPr>
          <w:rFonts w:ascii="Times" w:hAnsi="Times"/>
        </w:rPr>
        <w:t xml:space="preserve">ую значимость, одна звёздочка </w:t>
      </w:r>
      <w:r w:rsidRPr="0058455C">
        <w:rPr>
          <w:rFonts w:ascii="Times" w:hAnsi="Times"/>
        </w:rPr>
        <w:t xml:space="preserve">* </w:t>
      </w:r>
      <w:r w:rsidRPr="00AE0670">
        <w:rPr>
          <w:rFonts w:ascii="Times" w:hAnsi="Times"/>
        </w:rPr>
        <w:t>показывает 10</w:t>
      </w:r>
      <w:r w:rsidRPr="0058455C">
        <w:rPr>
          <w:rFonts w:ascii="Times" w:hAnsi="Times"/>
        </w:rPr>
        <w:t xml:space="preserve">%-ую значимость. </w:t>
      </w:r>
      <w:r w:rsidRPr="00AE0670">
        <w:rPr>
          <w:rFonts w:ascii="Times" w:hAnsi="Times"/>
          <w:lang w:val="en-US"/>
        </w:rPr>
        <w:t>Рассматриваемый период с 1 января 2010 года по 8 июня 2015 года.</w:t>
      </w:r>
    </w:p>
    <w:tbl>
      <w:tblPr>
        <w:tblStyle w:val="ae"/>
        <w:tblW w:w="13179" w:type="dxa"/>
        <w:jc w:val="center"/>
        <w:tblInd w:w="250" w:type="dxa"/>
        <w:tblLayout w:type="fixed"/>
        <w:tblLook w:val="04A0"/>
      </w:tblPr>
      <w:tblGrid>
        <w:gridCol w:w="567"/>
        <w:gridCol w:w="851"/>
        <w:gridCol w:w="1134"/>
        <w:gridCol w:w="992"/>
        <w:gridCol w:w="992"/>
        <w:gridCol w:w="1134"/>
        <w:gridCol w:w="708"/>
        <w:gridCol w:w="851"/>
        <w:gridCol w:w="992"/>
        <w:gridCol w:w="1134"/>
        <w:gridCol w:w="992"/>
        <w:gridCol w:w="1272"/>
        <w:gridCol w:w="709"/>
        <w:gridCol w:w="851"/>
      </w:tblGrid>
      <w:tr w:rsidR="00B42A3F" w:rsidRPr="00E06C9A" w:rsidTr="00B42A3F">
        <w:trPr>
          <w:jc w:val="center"/>
        </w:trPr>
        <w:tc>
          <w:tcPr>
            <w:tcW w:w="567" w:type="dxa"/>
            <w:vMerge w:val="restart"/>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Y</w:t>
            </w:r>
          </w:p>
        </w:tc>
        <w:tc>
          <w:tcPr>
            <w:tcW w:w="851" w:type="dxa"/>
            <w:vMerge w:val="restart"/>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B </w:t>
            </w:r>
          </w:p>
        </w:tc>
        <w:tc>
          <w:tcPr>
            <w:tcW w:w="5811" w:type="dxa"/>
            <w:gridSpan w:val="6"/>
            <w:tcBorders>
              <w:left w:val="thinThickSmallGap" w:sz="24" w:space="0" w:color="auto"/>
              <w:right w:val="thinThickSmallGap" w:sz="24" w:space="0" w:color="auto"/>
            </w:tcBorders>
          </w:tcPr>
          <w:p w:rsidR="00B42A3F" w:rsidRPr="00E06C9A" w:rsidRDefault="00B42A3F" w:rsidP="00B42A3F">
            <w:pPr>
              <w:jc w:val="center"/>
              <w:rPr>
                <w:rFonts w:ascii="Times" w:hAnsi="Times"/>
                <w:b/>
                <w:sz w:val="20"/>
                <w:szCs w:val="22"/>
                <w:lang w:val="en-US"/>
              </w:rPr>
            </w:pPr>
            <w:r w:rsidRPr="00E06C9A">
              <w:rPr>
                <w:rFonts w:ascii="Times" w:hAnsi="Times"/>
                <w:b/>
                <w:sz w:val="20"/>
                <w:szCs w:val="22"/>
                <w:lang w:val="en-US"/>
              </w:rPr>
              <w:t>2010-2011</w:t>
            </w:r>
          </w:p>
        </w:tc>
        <w:tc>
          <w:tcPr>
            <w:tcW w:w="5950" w:type="dxa"/>
            <w:gridSpan w:val="6"/>
            <w:tcBorders>
              <w:left w:val="thinThickSmallGap" w:sz="24" w:space="0" w:color="auto"/>
              <w:right w:val="thinThickSmallGap" w:sz="24" w:space="0" w:color="auto"/>
            </w:tcBorders>
          </w:tcPr>
          <w:p w:rsidR="00B42A3F" w:rsidRPr="00E06C9A" w:rsidRDefault="00B42A3F" w:rsidP="00B42A3F">
            <w:pPr>
              <w:jc w:val="center"/>
              <w:rPr>
                <w:rFonts w:ascii="Times" w:hAnsi="Times"/>
                <w:b/>
                <w:sz w:val="20"/>
                <w:szCs w:val="22"/>
                <w:lang w:val="en-US"/>
              </w:rPr>
            </w:pPr>
            <w:r w:rsidRPr="00E06C9A">
              <w:rPr>
                <w:rFonts w:ascii="Times" w:hAnsi="Times"/>
                <w:b/>
                <w:sz w:val="20"/>
                <w:szCs w:val="22"/>
                <w:lang w:val="en-US"/>
              </w:rPr>
              <w:t>2012-2013</w:t>
            </w:r>
          </w:p>
        </w:tc>
      </w:tr>
      <w:tr w:rsidR="00B42A3F" w:rsidRPr="00E06C9A" w:rsidTr="00B42A3F">
        <w:trPr>
          <w:jc w:val="center"/>
        </w:trPr>
        <w:tc>
          <w:tcPr>
            <w:tcW w:w="567" w:type="dxa"/>
            <w:vMerge/>
            <w:tcBorders>
              <w:bottom w:val="thinThickSmallGap" w:sz="24" w:space="0" w:color="auto"/>
            </w:tcBorders>
          </w:tcPr>
          <w:p w:rsidR="00B42A3F" w:rsidRPr="00E06C9A" w:rsidRDefault="00B42A3F" w:rsidP="00B42A3F">
            <w:pPr>
              <w:jc w:val="both"/>
              <w:rPr>
                <w:rFonts w:ascii="Times" w:hAnsi="Times"/>
                <w:b/>
                <w:sz w:val="20"/>
                <w:szCs w:val="22"/>
                <w:lang w:val="en-US"/>
              </w:rPr>
            </w:pPr>
          </w:p>
        </w:tc>
        <w:tc>
          <w:tcPr>
            <w:tcW w:w="851" w:type="dxa"/>
            <w:vMerge/>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p>
        </w:tc>
        <w:tc>
          <w:tcPr>
            <w:tcW w:w="1134" w:type="dxa"/>
            <w:tcBorders>
              <w:left w:val="thinThickSmallGap" w:sz="24" w:space="0" w:color="auto"/>
              <w:bottom w:val="thinThickSmallGap" w:sz="24" w:space="0" w:color="auto"/>
              <w:right w:val="single" w:sz="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1134"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08"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b/>
                <w:sz w:val="20"/>
                <w:szCs w:val="22"/>
                <w:vertAlign w:val="superscript"/>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851" w:type="dxa"/>
            <w:tcBorders>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p</w:t>
            </w:r>
          </w:p>
        </w:tc>
        <w:tc>
          <w:tcPr>
            <w:tcW w:w="992" w:type="dxa"/>
            <w:tcBorders>
              <w:left w:val="thinThickSmallGap" w:sz="24" w:space="0" w:color="auto"/>
              <w:bottom w:val="thinThickSmallGap" w:sz="2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1134" w:type="dxa"/>
            <w:tcBorders>
              <w:bottom w:val="thinThickSmallGap" w:sz="2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992" w:type="dxa"/>
            <w:tcBorders>
              <w:bottom w:val="thinThickSmallGap" w:sz="2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1272" w:type="dxa"/>
            <w:tcBorders>
              <w:bottom w:val="thinThickSmallGap" w:sz="24" w:space="0" w:color="auto"/>
            </w:tcBorders>
          </w:tcPr>
          <w:p w:rsidR="00B42A3F" w:rsidRPr="00E06C9A" w:rsidRDefault="00B42A3F" w:rsidP="00B42A3F">
            <w:pPr>
              <w:jc w:val="both"/>
              <w:rPr>
                <w:rFonts w:ascii="Times" w:hAnsi="Times"/>
                <w:b/>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09" w:type="dxa"/>
            <w:tcBorders>
              <w:bottom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851" w:type="dxa"/>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p</w:t>
            </w:r>
          </w:p>
        </w:tc>
      </w:tr>
      <w:tr w:rsidR="00B42A3F" w:rsidRPr="00E06C9A" w:rsidTr="00B42A3F">
        <w:trPr>
          <w:jc w:val="center"/>
        </w:trPr>
        <w:tc>
          <w:tcPr>
            <w:tcW w:w="567" w:type="dxa"/>
            <w:vMerge w:val="restart"/>
            <w:tcBorders>
              <w:top w:val="thinThickSmallGap" w:sz="24" w:space="0" w:color="auto"/>
            </w:tcBorders>
            <w:shd w:val="clear" w:color="auto" w:fill="auto"/>
            <w:textDirection w:val="btLr"/>
            <w:vAlign w:val="center"/>
          </w:tcPr>
          <w:p w:rsidR="00B42A3F" w:rsidRPr="00E06C9A" w:rsidRDefault="00B42A3F" w:rsidP="00B42A3F">
            <w:pPr>
              <w:rPr>
                <w:rFonts w:ascii="Times" w:hAnsi="Times"/>
                <w:b/>
                <w:sz w:val="20"/>
                <w:szCs w:val="22"/>
                <w:lang w:val="en-US"/>
              </w:rPr>
            </w:pPr>
            <w:r w:rsidRPr="00E06C9A">
              <w:rPr>
                <w:rFonts w:ascii="Times" w:hAnsi="Times"/>
                <w:b/>
                <w:sz w:val="20"/>
                <w:szCs w:val="22"/>
                <w:lang w:val="en-US"/>
              </w:rPr>
              <w:t>Dvolumes</w:t>
            </w:r>
          </w:p>
        </w:tc>
        <w:tc>
          <w:tcPr>
            <w:tcW w:w="851" w:type="dxa"/>
            <w:tcBorders>
              <w:top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-124,04</w:t>
            </w:r>
          </w:p>
        </w:tc>
        <w:tc>
          <w:tcPr>
            <w:tcW w:w="992"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-3,52</w:t>
            </w:r>
          </w:p>
        </w:tc>
        <w:tc>
          <w:tcPr>
            <w:tcW w:w="992"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-50,37</w:t>
            </w:r>
          </w:p>
        </w:tc>
        <w:tc>
          <w:tcPr>
            <w:tcW w:w="1134"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-38,14</w:t>
            </w:r>
          </w:p>
        </w:tc>
        <w:tc>
          <w:tcPr>
            <w:tcW w:w="708"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0.27</w:t>
            </w:r>
          </w:p>
        </w:tc>
        <w:tc>
          <w:tcPr>
            <w:tcW w:w="851" w:type="dxa"/>
            <w:tcBorders>
              <w:top w:val="thinThickSmallGap" w:sz="24" w:space="0" w:color="auto"/>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thinThickSmallGap" w:sz="24" w:space="0" w:color="auto"/>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-168,5</w:t>
            </w:r>
          </w:p>
        </w:tc>
        <w:tc>
          <w:tcPr>
            <w:tcW w:w="1134"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-88,17</w:t>
            </w:r>
          </w:p>
        </w:tc>
        <w:tc>
          <w:tcPr>
            <w:tcW w:w="992"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-83,17</w:t>
            </w:r>
          </w:p>
        </w:tc>
        <w:tc>
          <w:tcPr>
            <w:tcW w:w="1272" w:type="dxa"/>
            <w:tcBorders>
              <w:top w:val="thinThickSmallGap" w:sz="24" w:space="0" w:color="auto"/>
            </w:tcBorders>
            <w:shd w:val="clear" w:color="auto" w:fill="5F497A" w:themeFill="accent4" w:themeFillShade="BF"/>
          </w:tcPr>
          <w:p w:rsidR="00B42A3F" w:rsidRPr="00E06C9A" w:rsidRDefault="00B42A3F" w:rsidP="00B42A3F">
            <w:pPr>
              <w:jc w:val="both"/>
              <w:rPr>
                <w:rFonts w:ascii="Times" w:hAnsi="Times"/>
                <w:sz w:val="20"/>
                <w:szCs w:val="22"/>
                <w:lang w:val="en-US"/>
              </w:rPr>
            </w:pPr>
            <w:r w:rsidRPr="00E06C9A">
              <w:rPr>
                <w:sz w:val="20"/>
                <w:szCs w:val="22"/>
                <w:lang w:val="en-US"/>
              </w:rPr>
              <w:t>255,39***</w:t>
            </w:r>
          </w:p>
        </w:tc>
        <w:tc>
          <w:tcPr>
            <w:tcW w:w="709"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0.32</w:t>
            </w:r>
          </w:p>
        </w:tc>
        <w:tc>
          <w:tcPr>
            <w:tcW w:w="851" w:type="dxa"/>
            <w:tcBorders>
              <w:top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567" w:type="dxa"/>
            <w:vMerge/>
            <w:shd w:val="clear" w:color="auto" w:fill="auto"/>
            <w:vAlign w:val="center"/>
          </w:tcPr>
          <w:p w:rsidR="00B42A3F" w:rsidRPr="00E06C9A" w:rsidRDefault="00B42A3F" w:rsidP="00B42A3F">
            <w:pPr>
              <w:jc w:val="center"/>
              <w:rPr>
                <w:rFonts w:ascii="Times" w:hAnsi="Times"/>
                <w:b/>
                <w:sz w:val="20"/>
                <w:szCs w:val="22"/>
                <w:lang w:val="en-US"/>
              </w:rPr>
            </w:pPr>
          </w:p>
        </w:tc>
        <w:tc>
          <w:tcPr>
            <w:tcW w:w="851"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11,6</w:t>
            </w:r>
          </w:p>
        </w:tc>
        <w:tc>
          <w:tcPr>
            <w:tcW w:w="992" w:type="dxa"/>
            <w:tcBorders>
              <w:left w:val="single" w:sz="4" w:space="0" w:color="auto"/>
              <w:right w:val="single" w:sz="4" w:space="0" w:color="auto"/>
            </w:tcBorders>
          </w:tcPr>
          <w:p w:rsidR="00B42A3F" w:rsidRPr="00E06C9A" w:rsidRDefault="00B42A3F" w:rsidP="00B42A3F">
            <w:pPr>
              <w:jc w:val="both"/>
              <w:rPr>
                <w:sz w:val="20"/>
                <w:szCs w:val="22"/>
                <w:lang w:val="en-US"/>
              </w:rPr>
            </w:pPr>
            <w:r w:rsidRPr="00E06C9A">
              <w:rPr>
                <w:sz w:val="20"/>
                <w:szCs w:val="22"/>
                <w:lang w:val="en-US"/>
              </w:rPr>
              <w:t>29,07</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63,66</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28,41</w:t>
            </w:r>
          </w:p>
        </w:tc>
        <w:tc>
          <w:tcPr>
            <w:tcW w:w="708"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0.23</w:t>
            </w:r>
          </w:p>
        </w:tc>
        <w:tc>
          <w:tcPr>
            <w:tcW w:w="851"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-56,27</w:t>
            </w:r>
          </w:p>
        </w:tc>
        <w:tc>
          <w:tcPr>
            <w:tcW w:w="1134" w:type="dxa"/>
          </w:tcPr>
          <w:p w:rsidR="00B42A3F" w:rsidRPr="00E06C9A" w:rsidRDefault="00B42A3F" w:rsidP="00B42A3F">
            <w:pPr>
              <w:jc w:val="both"/>
              <w:rPr>
                <w:rFonts w:ascii="Times" w:hAnsi="Times"/>
                <w:sz w:val="20"/>
                <w:szCs w:val="22"/>
                <w:lang w:val="en-US"/>
              </w:rPr>
            </w:pPr>
            <w:r w:rsidRPr="00E06C9A">
              <w:rPr>
                <w:sz w:val="20"/>
                <w:szCs w:val="22"/>
                <w:lang w:val="en-US"/>
              </w:rPr>
              <w:t>-79,38</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-61,36</w:t>
            </w:r>
          </w:p>
        </w:tc>
        <w:tc>
          <w:tcPr>
            <w:tcW w:w="1272" w:type="dxa"/>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105,47*</w:t>
            </w:r>
          </w:p>
        </w:tc>
        <w:tc>
          <w:tcPr>
            <w:tcW w:w="709"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0.31</w:t>
            </w:r>
          </w:p>
        </w:tc>
        <w:tc>
          <w:tcPr>
            <w:tcW w:w="851"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567" w:type="dxa"/>
            <w:vMerge/>
            <w:shd w:val="clear" w:color="auto" w:fill="auto"/>
            <w:vAlign w:val="center"/>
          </w:tcPr>
          <w:p w:rsidR="00B42A3F" w:rsidRPr="00E06C9A" w:rsidRDefault="00B42A3F" w:rsidP="00B42A3F">
            <w:pPr>
              <w:jc w:val="center"/>
              <w:rPr>
                <w:rFonts w:ascii="Times" w:hAnsi="Times"/>
                <w:b/>
                <w:sz w:val="20"/>
                <w:szCs w:val="22"/>
                <w:lang w:val="en-US"/>
              </w:rPr>
            </w:pPr>
          </w:p>
        </w:tc>
        <w:tc>
          <w:tcPr>
            <w:tcW w:w="851"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-35,74</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41,8</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-49,42</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-36,48</w:t>
            </w:r>
          </w:p>
        </w:tc>
        <w:tc>
          <w:tcPr>
            <w:tcW w:w="708"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0.26</w:t>
            </w:r>
          </w:p>
        </w:tc>
        <w:tc>
          <w:tcPr>
            <w:tcW w:w="851"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-107,8*</w:t>
            </w:r>
          </w:p>
        </w:tc>
        <w:tc>
          <w:tcPr>
            <w:tcW w:w="1134" w:type="dxa"/>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sz w:val="20"/>
                <w:szCs w:val="22"/>
                <w:lang w:val="en-US"/>
              </w:rPr>
              <w:t>-126,12**</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5,59</w:t>
            </w:r>
          </w:p>
        </w:tc>
        <w:tc>
          <w:tcPr>
            <w:tcW w:w="1272" w:type="dxa"/>
          </w:tcPr>
          <w:p w:rsidR="00B42A3F" w:rsidRPr="00E06C9A" w:rsidRDefault="00B42A3F" w:rsidP="00B42A3F">
            <w:pPr>
              <w:jc w:val="both"/>
              <w:rPr>
                <w:rFonts w:ascii="Times" w:hAnsi="Times"/>
                <w:sz w:val="20"/>
                <w:szCs w:val="22"/>
                <w:lang w:val="en-US"/>
              </w:rPr>
            </w:pPr>
            <w:r w:rsidRPr="00E06C9A">
              <w:rPr>
                <w:sz w:val="20"/>
                <w:szCs w:val="22"/>
                <w:lang w:val="en-US"/>
              </w:rPr>
              <w:t>54,34</w:t>
            </w:r>
          </w:p>
        </w:tc>
        <w:tc>
          <w:tcPr>
            <w:tcW w:w="709"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0.31</w:t>
            </w:r>
          </w:p>
        </w:tc>
        <w:tc>
          <w:tcPr>
            <w:tcW w:w="851"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567" w:type="dxa"/>
            <w:vMerge/>
            <w:shd w:val="clear" w:color="auto" w:fill="auto"/>
            <w:vAlign w:val="center"/>
          </w:tcPr>
          <w:p w:rsidR="00B42A3F" w:rsidRPr="00E06C9A" w:rsidRDefault="00B42A3F" w:rsidP="00B42A3F">
            <w:pPr>
              <w:jc w:val="center"/>
              <w:rPr>
                <w:rFonts w:ascii="Times" w:hAnsi="Times"/>
                <w:b/>
                <w:sz w:val="20"/>
                <w:szCs w:val="22"/>
                <w:lang w:val="en-US"/>
              </w:rPr>
            </w:pPr>
          </w:p>
        </w:tc>
        <w:tc>
          <w:tcPr>
            <w:tcW w:w="851"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-12,57</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59,87</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-31,54</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55,84</w:t>
            </w:r>
          </w:p>
        </w:tc>
        <w:tc>
          <w:tcPr>
            <w:tcW w:w="708"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0.26</w:t>
            </w:r>
          </w:p>
        </w:tc>
        <w:tc>
          <w:tcPr>
            <w:tcW w:w="851"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78,43</w:t>
            </w:r>
          </w:p>
        </w:tc>
        <w:tc>
          <w:tcPr>
            <w:tcW w:w="1134" w:type="dxa"/>
          </w:tcPr>
          <w:p w:rsidR="00B42A3F" w:rsidRPr="00E06C9A" w:rsidRDefault="00B42A3F" w:rsidP="00B42A3F">
            <w:pPr>
              <w:jc w:val="both"/>
              <w:rPr>
                <w:rFonts w:ascii="Times" w:hAnsi="Times"/>
                <w:sz w:val="20"/>
                <w:szCs w:val="22"/>
                <w:lang w:val="en-US"/>
              </w:rPr>
            </w:pPr>
            <w:r w:rsidRPr="00E06C9A">
              <w:rPr>
                <w:sz w:val="20"/>
                <w:szCs w:val="22"/>
                <w:lang w:val="en-US"/>
              </w:rPr>
              <w:t>-44,22</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-11,07</w:t>
            </w:r>
          </w:p>
        </w:tc>
        <w:tc>
          <w:tcPr>
            <w:tcW w:w="1272" w:type="dxa"/>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sz w:val="20"/>
                <w:szCs w:val="22"/>
                <w:lang w:val="en-US"/>
              </w:rPr>
              <w:t>-127,68**</w:t>
            </w:r>
          </w:p>
        </w:tc>
        <w:tc>
          <w:tcPr>
            <w:tcW w:w="709"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0.31</w:t>
            </w:r>
          </w:p>
        </w:tc>
        <w:tc>
          <w:tcPr>
            <w:tcW w:w="851"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trHeight w:val="238"/>
          <w:jc w:val="center"/>
        </w:trPr>
        <w:tc>
          <w:tcPr>
            <w:tcW w:w="567" w:type="dxa"/>
            <w:vMerge/>
            <w:tcBorders>
              <w:bottom w:val="thinThickSmallGap" w:sz="24" w:space="0" w:color="auto"/>
            </w:tcBorders>
            <w:shd w:val="clear" w:color="auto" w:fill="auto"/>
            <w:vAlign w:val="center"/>
          </w:tcPr>
          <w:p w:rsidR="00B42A3F" w:rsidRPr="00E06C9A" w:rsidRDefault="00B42A3F" w:rsidP="00B42A3F">
            <w:pPr>
              <w:jc w:val="center"/>
              <w:rPr>
                <w:rFonts w:ascii="Times" w:hAnsi="Times"/>
                <w:b/>
                <w:sz w:val="20"/>
                <w:szCs w:val="22"/>
                <w:lang w:val="en-US"/>
              </w:rPr>
            </w:pPr>
          </w:p>
        </w:tc>
        <w:tc>
          <w:tcPr>
            <w:tcW w:w="851" w:type="dxa"/>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sz w:val="20"/>
                <w:szCs w:val="22"/>
                <w:lang w:val="en-US"/>
              </w:rPr>
              <w:t>-112,54**</w:t>
            </w:r>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6,04</w:t>
            </w:r>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-41,46</w:t>
            </w:r>
          </w:p>
        </w:tc>
        <w:tc>
          <w:tcPr>
            <w:tcW w:w="1134"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-12,39</w:t>
            </w:r>
          </w:p>
        </w:tc>
        <w:tc>
          <w:tcPr>
            <w:tcW w:w="708"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0.27</w:t>
            </w:r>
          </w:p>
        </w:tc>
        <w:tc>
          <w:tcPr>
            <w:tcW w:w="851" w:type="dxa"/>
            <w:tcBorders>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2,12</w:t>
            </w:r>
          </w:p>
        </w:tc>
        <w:tc>
          <w:tcPr>
            <w:tcW w:w="1134"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87,16</w:t>
            </w:r>
          </w:p>
        </w:tc>
        <w:tc>
          <w:tcPr>
            <w:tcW w:w="992"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-5,49</w:t>
            </w:r>
          </w:p>
        </w:tc>
        <w:tc>
          <w:tcPr>
            <w:tcW w:w="1272"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-19,44</w:t>
            </w:r>
          </w:p>
        </w:tc>
        <w:tc>
          <w:tcPr>
            <w:tcW w:w="709"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w:t>
            </w:r>
          </w:p>
        </w:tc>
        <w:tc>
          <w:tcPr>
            <w:tcW w:w="851" w:type="dxa"/>
            <w:tcBorders>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567" w:type="dxa"/>
            <w:vMerge w:val="restart"/>
            <w:tcBorders>
              <w:top w:val="thinThickSmallGap" w:sz="24" w:space="0" w:color="auto"/>
            </w:tcBorders>
            <w:textDirection w:val="btLr"/>
            <w:vAlign w:val="center"/>
          </w:tcPr>
          <w:p w:rsidR="00B42A3F" w:rsidRPr="00E06C9A" w:rsidRDefault="00B42A3F" w:rsidP="00B42A3F">
            <w:pPr>
              <w:rPr>
                <w:rFonts w:ascii="Times" w:hAnsi="Times"/>
                <w:b/>
                <w:sz w:val="20"/>
                <w:szCs w:val="22"/>
                <w:lang w:val="en-US"/>
              </w:rPr>
            </w:pPr>
            <w:r w:rsidRPr="00E06C9A">
              <w:rPr>
                <w:rFonts w:ascii="Times" w:hAnsi="Times"/>
                <w:b/>
                <w:sz w:val="20"/>
                <w:szCs w:val="22"/>
                <w:lang w:val="en-US"/>
              </w:rPr>
              <w:t>Dopen</w:t>
            </w:r>
          </w:p>
        </w:tc>
        <w:tc>
          <w:tcPr>
            <w:tcW w:w="851" w:type="dxa"/>
            <w:tcBorders>
              <w:top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-359,51*</w:t>
            </w:r>
          </w:p>
        </w:tc>
        <w:tc>
          <w:tcPr>
            <w:tcW w:w="992"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134,72</w:t>
            </w:r>
          </w:p>
        </w:tc>
        <w:tc>
          <w:tcPr>
            <w:tcW w:w="992"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-242,12</w:t>
            </w:r>
          </w:p>
        </w:tc>
        <w:tc>
          <w:tcPr>
            <w:tcW w:w="1134"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307,77</w:t>
            </w:r>
          </w:p>
        </w:tc>
        <w:tc>
          <w:tcPr>
            <w:tcW w:w="708"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0.25</w:t>
            </w:r>
          </w:p>
        </w:tc>
        <w:tc>
          <w:tcPr>
            <w:tcW w:w="851" w:type="dxa"/>
            <w:tcBorders>
              <w:top w:val="thinThickSmallGap" w:sz="24" w:space="0" w:color="auto"/>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thinThickSmallGap" w:sz="24" w:space="0" w:color="auto"/>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16,12</w:t>
            </w:r>
          </w:p>
        </w:tc>
        <w:tc>
          <w:tcPr>
            <w:tcW w:w="1134"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-46,91</w:t>
            </w:r>
          </w:p>
        </w:tc>
        <w:tc>
          <w:tcPr>
            <w:tcW w:w="992"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12,35</w:t>
            </w:r>
          </w:p>
        </w:tc>
        <w:tc>
          <w:tcPr>
            <w:tcW w:w="1272"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-9,46</w:t>
            </w:r>
          </w:p>
        </w:tc>
        <w:tc>
          <w:tcPr>
            <w:tcW w:w="709"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851" w:type="dxa"/>
            <w:tcBorders>
              <w:top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567" w:type="dxa"/>
            <w:vMerge/>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-557,79</w:t>
            </w:r>
          </w:p>
        </w:tc>
        <w:tc>
          <w:tcPr>
            <w:tcW w:w="992"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439,92*</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-86,6</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194,99</w:t>
            </w:r>
          </w:p>
        </w:tc>
        <w:tc>
          <w:tcPr>
            <w:tcW w:w="708"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0.26</w:t>
            </w:r>
          </w:p>
        </w:tc>
        <w:tc>
          <w:tcPr>
            <w:tcW w:w="851"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-35,5</w:t>
            </w:r>
          </w:p>
        </w:tc>
        <w:tc>
          <w:tcPr>
            <w:tcW w:w="1134" w:type="dxa"/>
          </w:tcPr>
          <w:p w:rsidR="00B42A3F" w:rsidRPr="00E06C9A" w:rsidRDefault="00B42A3F" w:rsidP="00B42A3F">
            <w:pPr>
              <w:jc w:val="both"/>
              <w:rPr>
                <w:rFonts w:ascii="Times" w:hAnsi="Times"/>
                <w:sz w:val="20"/>
                <w:szCs w:val="22"/>
                <w:lang w:val="en-US"/>
              </w:rPr>
            </w:pPr>
            <w:r w:rsidRPr="00E06C9A">
              <w:rPr>
                <w:sz w:val="20"/>
                <w:szCs w:val="22"/>
                <w:lang w:val="en-US"/>
              </w:rPr>
              <w:t>-2,62</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21,97</w:t>
            </w:r>
          </w:p>
        </w:tc>
        <w:tc>
          <w:tcPr>
            <w:tcW w:w="1272" w:type="dxa"/>
          </w:tcPr>
          <w:p w:rsidR="00B42A3F" w:rsidRPr="00E06C9A" w:rsidRDefault="00B42A3F" w:rsidP="00B42A3F">
            <w:pPr>
              <w:jc w:val="both"/>
              <w:rPr>
                <w:rFonts w:ascii="Times" w:hAnsi="Times"/>
                <w:sz w:val="20"/>
                <w:szCs w:val="22"/>
                <w:lang w:val="en-US"/>
              </w:rPr>
            </w:pPr>
            <w:r w:rsidRPr="00E06C9A">
              <w:rPr>
                <w:sz w:val="20"/>
                <w:szCs w:val="22"/>
                <w:lang w:val="en-US"/>
              </w:rPr>
              <w:t>-8,71</w:t>
            </w:r>
          </w:p>
        </w:tc>
        <w:tc>
          <w:tcPr>
            <w:tcW w:w="709"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851"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567" w:type="dxa"/>
            <w:vMerge/>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-537,02</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-103,94</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287,26</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419,54</w:t>
            </w:r>
          </w:p>
        </w:tc>
        <w:tc>
          <w:tcPr>
            <w:tcW w:w="708"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0.26</w:t>
            </w:r>
          </w:p>
        </w:tc>
        <w:tc>
          <w:tcPr>
            <w:tcW w:w="851"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13,38</w:t>
            </w:r>
          </w:p>
        </w:tc>
        <w:tc>
          <w:tcPr>
            <w:tcW w:w="1134" w:type="dxa"/>
          </w:tcPr>
          <w:p w:rsidR="00B42A3F" w:rsidRPr="00E06C9A" w:rsidRDefault="00B42A3F" w:rsidP="00B42A3F">
            <w:pPr>
              <w:jc w:val="both"/>
              <w:rPr>
                <w:rFonts w:ascii="Times" w:hAnsi="Times"/>
                <w:sz w:val="20"/>
                <w:szCs w:val="22"/>
                <w:lang w:val="en-US"/>
              </w:rPr>
            </w:pPr>
            <w:r w:rsidRPr="00E06C9A">
              <w:rPr>
                <w:sz w:val="20"/>
                <w:szCs w:val="22"/>
                <w:lang w:val="en-US"/>
              </w:rPr>
              <w:t>4,04</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-9,67</w:t>
            </w:r>
          </w:p>
        </w:tc>
        <w:tc>
          <w:tcPr>
            <w:tcW w:w="1272" w:type="dxa"/>
          </w:tcPr>
          <w:p w:rsidR="00B42A3F" w:rsidRPr="00E06C9A" w:rsidRDefault="00B42A3F" w:rsidP="00B42A3F">
            <w:pPr>
              <w:jc w:val="both"/>
              <w:rPr>
                <w:rFonts w:ascii="Times" w:hAnsi="Times"/>
                <w:sz w:val="20"/>
                <w:szCs w:val="22"/>
                <w:lang w:val="en-US"/>
              </w:rPr>
            </w:pPr>
            <w:r w:rsidRPr="00E06C9A">
              <w:rPr>
                <w:sz w:val="20"/>
                <w:szCs w:val="22"/>
                <w:lang w:val="en-US"/>
              </w:rPr>
              <w:t>-11,07</w:t>
            </w:r>
          </w:p>
        </w:tc>
        <w:tc>
          <w:tcPr>
            <w:tcW w:w="709"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0.01</w:t>
            </w:r>
          </w:p>
        </w:tc>
        <w:tc>
          <w:tcPr>
            <w:tcW w:w="851"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567" w:type="dxa"/>
            <w:vMerge/>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 xml:space="preserve"> 14,66</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-158,26</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77,68</w:t>
            </w:r>
          </w:p>
        </w:tc>
        <w:tc>
          <w:tcPr>
            <w:tcW w:w="1134"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130,91*</w:t>
            </w:r>
          </w:p>
        </w:tc>
        <w:tc>
          <w:tcPr>
            <w:tcW w:w="708"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0.25</w:t>
            </w:r>
          </w:p>
        </w:tc>
        <w:tc>
          <w:tcPr>
            <w:tcW w:w="851"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-18,97</w:t>
            </w:r>
          </w:p>
        </w:tc>
        <w:tc>
          <w:tcPr>
            <w:tcW w:w="1134" w:type="dxa"/>
          </w:tcPr>
          <w:p w:rsidR="00B42A3F" w:rsidRPr="00E06C9A" w:rsidRDefault="00B42A3F" w:rsidP="00B42A3F">
            <w:pPr>
              <w:jc w:val="both"/>
              <w:rPr>
                <w:rFonts w:ascii="Times" w:hAnsi="Times"/>
                <w:sz w:val="20"/>
                <w:szCs w:val="22"/>
                <w:lang w:val="en-US"/>
              </w:rPr>
            </w:pPr>
            <w:r w:rsidRPr="00E06C9A">
              <w:rPr>
                <w:sz w:val="20"/>
                <w:szCs w:val="22"/>
                <w:lang w:val="en-US"/>
              </w:rPr>
              <w:t>-40,53</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-26,98</w:t>
            </w:r>
          </w:p>
        </w:tc>
        <w:tc>
          <w:tcPr>
            <w:tcW w:w="1272" w:type="dxa"/>
            <w:shd w:val="clear" w:color="auto" w:fill="5F497A" w:themeFill="accent4" w:themeFillShade="BF"/>
          </w:tcPr>
          <w:p w:rsidR="00B42A3F" w:rsidRPr="00E06C9A" w:rsidRDefault="00B42A3F" w:rsidP="00B42A3F">
            <w:pPr>
              <w:jc w:val="both"/>
              <w:rPr>
                <w:rFonts w:ascii="Times" w:hAnsi="Times"/>
                <w:sz w:val="20"/>
                <w:szCs w:val="22"/>
                <w:lang w:val="en-US"/>
              </w:rPr>
            </w:pPr>
            <w:r w:rsidRPr="00E06C9A">
              <w:rPr>
                <w:sz w:val="20"/>
                <w:szCs w:val="22"/>
                <w:lang w:val="en-US"/>
              </w:rPr>
              <w:t>-76,78***</w:t>
            </w:r>
          </w:p>
        </w:tc>
        <w:tc>
          <w:tcPr>
            <w:tcW w:w="709"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0.03</w:t>
            </w:r>
          </w:p>
        </w:tc>
        <w:tc>
          <w:tcPr>
            <w:tcW w:w="851"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rPr>
          <w:jc w:val="center"/>
        </w:trPr>
        <w:tc>
          <w:tcPr>
            <w:tcW w:w="567" w:type="dxa"/>
            <w:vMerge/>
            <w:tcBorders>
              <w:bottom w:val="thinThickSmallGap" w:sz="24" w:space="0" w:color="auto"/>
            </w:tcBorders>
          </w:tcPr>
          <w:p w:rsidR="00B42A3F" w:rsidRPr="00E06C9A" w:rsidRDefault="00B42A3F" w:rsidP="00B42A3F">
            <w:pPr>
              <w:jc w:val="both"/>
              <w:rPr>
                <w:rFonts w:ascii="Times" w:hAnsi="Times"/>
                <w:b/>
                <w:sz w:val="20"/>
                <w:szCs w:val="22"/>
                <w:lang w:val="en-US"/>
              </w:rPr>
            </w:pPr>
          </w:p>
        </w:tc>
        <w:tc>
          <w:tcPr>
            <w:tcW w:w="851" w:type="dxa"/>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-375,72*</w:t>
            </w:r>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136,02</w:t>
            </w:r>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-93,9</w:t>
            </w:r>
          </w:p>
        </w:tc>
        <w:tc>
          <w:tcPr>
            <w:tcW w:w="1134"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311,55</w:t>
            </w:r>
          </w:p>
        </w:tc>
        <w:tc>
          <w:tcPr>
            <w:tcW w:w="708"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0.25</w:t>
            </w:r>
          </w:p>
        </w:tc>
        <w:tc>
          <w:tcPr>
            <w:tcW w:w="851" w:type="dxa"/>
            <w:tcBorders>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-22,33</w:t>
            </w:r>
          </w:p>
        </w:tc>
        <w:tc>
          <w:tcPr>
            <w:tcW w:w="1134"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917.4</w:t>
            </w:r>
          </w:p>
        </w:tc>
        <w:tc>
          <w:tcPr>
            <w:tcW w:w="992" w:type="dxa"/>
            <w:tcBorders>
              <w:bottom w:val="thinThickSmallGap" w:sz="2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-74,63*</w:t>
            </w:r>
          </w:p>
        </w:tc>
        <w:tc>
          <w:tcPr>
            <w:tcW w:w="1272"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-34,73</w:t>
            </w:r>
          </w:p>
        </w:tc>
        <w:tc>
          <w:tcPr>
            <w:tcW w:w="709"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851" w:type="dxa"/>
            <w:tcBorders>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bl>
    <w:p w:rsidR="00B42A3F" w:rsidRDefault="00B42A3F" w:rsidP="00B42A3F">
      <w:pPr>
        <w:ind w:left="142"/>
        <w:rPr>
          <w:rFonts w:ascii="Times" w:hAnsi="Times" w:cs="Helvetica CY"/>
          <w:b/>
        </w:rPr>
      </w:pPr>
    </w:p>
    <w:p w:rsidR="00E06C9A" w:rsidRDefault="00E06C9A">
      <w:pPr>
        <w:rPr>
          <w:rFonts w:ascii="Times" w:hAnsi="Times" w:cs="Helvetica CY"/>
          <w:b/>
        </w:rPr>
      </w:pPr>
      <w:r>
        <w:rPr>
          <w:rFonts w:ascii="Times" w:hAnsi="Times" w:cs="Helvetica CY"/>
          <w:b/>
        </w:rPr>
        <w:br w:type="page"/>
      </w:r>
    </w:p>
    <w:p w:rsidR="00B42A3F" w:rsidRPr="00181C46" w:rsidRDefault="00B42A3F" w:rsidP="00B42A3F">
      <w:pPr>
        <w:ind w:left="142"/>
        <w:jc w:val="center"/>
        <w:rPr>
          <w:rFonts w:ascii="Times" w:hAnsi="Times" w:cs="Helvetica CY"/>
          <w:b/>
        </w:rPr>
      </w:pPr>
      <w:r w:rsidRPr="00181C46">
        <w:rPr>
          <w:rFonts w:ascii="Times" w:hAnsi="Times" w:cs="Helvetica CY"/>
          <w:b/>
        </w:rPr>
        <w:lastRenderedPageBreak/>
        <w:t>Продолжение Таблицы 2</w:t>
      </w:r>
    </w:p>
    <w:tbl>
      <w:tblPr>
        <w:tblStyle w:val="ae"/>
        <w:tblW w:w="13179" w:type="dxa"/>
        <w:tblInd w:w="250" w:type="dxa"/>
        <w:tblLayout w:type="fixed"/>
        <w:tblLook w:val="04A0"/>
      </w:tblPr>
      <w:tblGrid>
        <w:gridCol w:w="567"/>
        <w:gridCol w:w="851"/>
        <w:gridCol w:w="1134"/>
        <w:gridCol w:w="992"/>
        <w:gridCol w:w="992"/>
        <w:gridCol w:w="1134"/>
        <w:gridCol w:w="708"/>
        <w:gridCol w:w="851"/>
        <w:gridCol w:w="992"/>
        <w:gridCol w:w="1134"/>
        <w:gridCol w:w="992"/>
        <w:gridCol w:w="1272"/>
        <w:gridCol w:w="709"/>
        <w:gridCol w:w="851"/>
      </w:tblGrid>
      <w:tr w:rsidR="00B42A3F" w:rsidRPr="00E06C9A" w:rsidTr="00B42A3F">
        <w:tc>
          <w:tcPr>
            <w:tcW w:w="567" w:type="dxa"/>
            <w:vMerge w:val="restart"/>
            <w:tcBorders>
              <w:top w:val="thinThickSmallGap" w:sz="24" w:space="0" w:color="auto"/>
            </w:tcBorders>
          </w:tcPr>
          <w:p w:rsidR="00B42A3F" w:rsidRPr="00E06C9A" w:rsidRDefault="00B42A3F" w:rsidP="00B42A3F">
            <w:pPr>
              <w:rPr>
                <w:rFonts w:ascii="Times" w:hAnsi="Times"/>
                <w:b/>
                <w:sz w:val="20"/>
                <w:szCs w:val="22"/>
                <w:lang w:val="en-US"/>
              </w:rPr>
            </w:pPr>
            <w:r w:rsidRPr="00E06C9A">
              <w:rPr>
                <w:rFonts w:ascii="Times" w:hAnsi="Times"/>
                <w:b/>
                <w:sz w:val="20"/>
                <w:szCs w:val="22"/>
                <w:lang w:val="en-US"/>
              </w:rPr>
              <w:t>Y</w:t>
            </w:r>
          </w:p>
        </w:tc>
        <w:tc>
          <w:tcPr>
            <w:tcW w:w="851" w:type="dxa"/>
            <w:vMerge w:val="restart"/>
            <w:tcBorders>
              <w:top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B </w:t>
            </w:r>
          </w:p>
        </w:tc>
        <w:tc>
          <w:tcPr>
            <w:tcW w:w="5811" w:type="dxa"/>
            <w:gridSpan w:val="6"/>
            <w:tcBorders>
              <w:top w:val="thinThickSmallGap" w:sz="24" w:space="0" w:color="auto"/>
              <w:left w:val="thinThickSmallGap" w:sz="24" w:space="0" w:color="auto"/>
              <w:bottom w:val="single" w:sz="4" w:space="0" w:color="auto"/>
              <w:right w:val="thinThickSmallGap" w:sz="24" w:space="0" w:color="auto"/>
            </w:tcBorders>
            <w:shd w:val="clear" w:color="auto" w:fill="auto"/>
          </w:tcPr>
          <w:p w:rsidR="00B42A3F" w:rsidRPr="00E06C9A" w:rsidRDefault="00B42A3F" w:rsidP="00B42A3F">
            <w:pPr>
              <w:jc w:val="center"/>
              <w:rPr>
                <w:rFonts w:ascii="Times" w:hAnsi="Times"/>
                <w:sz w:val="20"/>
                <w:szCs w:val="22"/>
                <w:lang w:val="en-US"/>
              </w:rPr>
            </w:pPr>
            <w:r w:rsidRPr="00E06C9A">
              <w:rPr>
                <w:rFonts w:ascii="Times" w:hAnsi="Times"/>
                <w:b/>
                <w:sz w:val="20"/>
                <w:szCs w:val="22"/>
                <w:lang w:val="en-US"/>
              </w:rPr>
              <w:t>2010-2011</w:t>
            </w:r>
          </w:p>
        </w:tc>
        <w:tc>
          <w:tcPr>
            <w:tcW w:w="5950" w:type="dxa"/>
            <w:gridSpan w:val="6"/>
            <w:tcBorders>
              <w:top w:val="thinThickSmallGap" w:sz="24" w:space="0" w:color="auto"/>
              <w:left w:val="thinThickSmallGap" w:sz="24" w:space="0" w:color="auto"/>
              <w:bottom w:val="single" w:sz="4" w:space="0" w:color="auto"/>
              <w:right w:val="thinThickSmallGap" w:sz="24" w:space="0" w:color="auto"/>
            </w:tcBorders>
          </w:tcPr>
          <w:p w:rsidR="00B42A3F" w:rsidRPr="00E06C9A" w:rsidRDefault="00B42A3F" w:rsidP="00B42A3F">
            <w:pPr>
              <w:jc w:val="center"/>
              <w:rPr>
                <w:rFonts w:ascii="Times" w:hAnsi="Times"/>
                <w:sz w:val="20"/>
                <w:szCs w:val="22"/>
                <w:lang w:val="en-US"/>
              </w:rPr>
            </w:pPr>
            <w:r w:rsidRPr="00E06C9A">
              <w:rPr>
                <w:rFonts w:ascii="Times" w:hAnsi="Times"/>
                <w:b/>
                <w:sz w:val="20"/>
                <w:szCs w:val="22"/>
                <w:lang w:val="en-US"/>
              </w:rPr>
              <w:t>2010-2011</w:t>
            </w:r>
          </w:p>
        </w:tc>
      </w:tr>
      <w:tr w:rsidR="00B42A3F" w:rsidRPr="00E06C9A" w:rsidTr="00B42A3F">
        <w:tc>
          <w:tcPr>
            <w:tcW w:w="567" w:type="dxa"/>
            <w:vMerge/>
            <w:textDirection w:val="btLr"/>
          </w:tcPr>
          <w:p w:rsidR="00B42A3F" w:rsidRPr="00E06C9A" w:rsidRDefault="00B42A3F" w:rsidP="00B42A3F">
            <w:pPr>
              <w:rPr>
                <w:rFonts w:ascii="Times" w:hAnsi="Times"/>
                <w:b/>
                <w:sz w:val="20"/>
                <w:szCs w:val="22"/>
                <w:lang w:val="en-US"/>
              </w:rPr>
            </w:pPr>
          </w:p>
        </w:tc>
        <w:tc>
          <w:tcPr>
            <w:tcW w:w="851" w:type="dxa"/>
            <w:vMerge/>
            <w:tcBorders>
              <w:right w:val="thinThickSmallGap" w:sz="24" w:space="0" w:color="auto"/>
            </w:tcBorders>
          </w:tcPr>
          <w:p w:rsidR="00B42A3F" w:rsidRPr="00E06C9A" w:rsidRDefault="00B42A3F" w:rsidP="00B42A3F">
            <w:pPr>
              <w:jc w:val="both"/>
              <w:rPr>
                <w:rFonts w:ascii="Times" w:hAnsi="Times"/>
                <w:b/>
                <w:sz w:val="20"/>
                <w:szCs w:val="22"/>
                <w:lang w:val="en-US"/>
              </w:rPr>
            </w:pPr>
          </w:p>
        </w:tc>
        <w:tc>
          <w:tcPr>
            <w:tcW w:w="1134" w:type="dxa"/>
            <w:tcBorders>
              <w:top w:val="single" w:sz="4" w:space="0" w:color="auto"/>
              <w:left w:val="thinThickSmallGap" w:sz="2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992" w:type="dxa"/>
            <w:tcBorders>
              <w:top w:val="single" w:sz="4" w:space="0" w:color="auto"/>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992" w:type="dxa"/>
            <w:tcBorders>
              <w:top w:val="single" w:sz="4" w:space="0" w:color="auto"/>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1134" w:type="dxa"/>
            <w:tcBorders>
              <w:top w:val="single" w:sz="4" w:space="0" w:color="auto"/>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08" w:type="dxa"/>
            <w:tcBorders>
              <w:top w:val="single" w:sz="4" w:space="0" w:color="auto"/>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851" w:type="dxa"/>
            <w:tcBorders>
              <w:top w:val="single" w:sz="4" w:space="0" w:color="auto"/>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p</w:t>
            </w:r>
          </w:p>
        </w:tc>
        <w:tc>
          <w:tcPr>
            <w:tcW w:w="992" w:type="dxa"/>
            <w:tcBorders>
              <w:top w:val="single" w:sz="4" w:space="0" w:color="auto"/>
              <w:left w:val="thinThickSmallGap" w:sz="24" w:space="0" w:color="auto"/>
              <w:bottom w:val="thinThickSmallGap" w:sz="24" w:space="0" w:color="auto"/>
            </w:tcBorders>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1134" w:type="dxa"/>
            <w:tcBorders>
              <w:top w:val="single" w:sz="4" w:space="0" w:color="auto"/>
              <w:bottom w:val="thinThickSmallGap" w:sz="24" w:space="0" w:color="auto"/>
            </w:tcBorders>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992" w:type="dxa"/>
            <w:tcBorders>
              <w:top w:val="single" w:sz="4" w:space="0" w:color="auto"/>
              <w:bottom w:val="thinThickSmallGap" w:sz="24" w:space="0" w:color="auto"/>
            </w:tcBorders>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1272" w:type="dxa"/>
            <w:tcBorders>
              <w:top w:val="single" w:sz="4" w:space="0" w:color="auto"/>
              <w:bottom w:val="thinThickSmallGap" w:sz="24" w:space="0" w:color="auto"/>
            </w:tcBorders>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09" w:type="dxa"/>
            <w:tcBorders>
              <w:top w:val="single" w:sz="4" w:space="0" w:color="auto"/>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851" w:type="dxa"/>
            <w:tcBorders>
              <w:top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p</w:t>
            </w:r>
          </w:p>
        </w:tc>
      </w:tr>
      <w:tr w:rsidR="00B42A3F" w:rsidRPr="00E06C9A" w:rsidTr="00B42A3F">
        <w:tc>
          <w:tcPr>
            <w:tcW w:w="567" w:type="dxa"/>
            <w:vMerge w:val="restart"/>
            <w:tcBorders>
              <w:top w:val="thinThickSmallGap" w:sz="24" w:space="0" w:color="auto"/>
            </w:tcBorders>
            <w:textDirection w:val="btLr"/>
          </w:tcPr>
          <w:p w:rsidR="00B42A3F" w:rsidRPr="00E06C9A" w:rsidRDefault="00B42A3F" w:rsidP="00B42A3F">
            <w:pPr>
              <w:rPr>
                <w:rFonts w:ascii="Times" w:hAnsi="Times"/>
                <w:b/>
                <w:sz w:val="20"/>
                <w:szCs w:val="22"/>
                <w:lang w:val="en-US"/>
              </w:rPr>
            </w:pPr>
            <w:r w:rsidRPr="00E06C9A">
              <w:rPr>
                <w:rFonts w:ascii="Times" w:hAnsi="Times"/>
                <w:b/>
                <w:sz w:val="20"/>
                <w:szCs w:val="22"/>
                <w:lang w:val="en-US"/>
              </w:rPr>
              <w:t>Dinterest</w:t>
            </w:r>
          </w:p>
        </w:tc>
        <w:tc>
          <w:tcPr>
            <w:tcW w:w="851" w:type="dxa"/>
            <w:tcBorders>
              <w:top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-0.33*</w:t>
            </w:r>
          </w:p>
        </w:tc>
        <w:tc>
          <w:tcPr>
            <w:tcW w:w="992"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-0.59</w:t>
            </w:r>
          </w:p>
        </w:tc>
        <w:tc>
          <w:tcPr>
            <w:tcW w:w="992"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-0.06</w:t>
            </w:r>
          </w:p>
        </w:tc>
        <w:tc>
          <w:tcPr>
            <w:tcW w:w="1134"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 xml:space="preserve"> 0.14</w:t>
            </w:r>
          </w:p>
        </w:tc>
        <w:tc>
          <w:tcPr>
            <w:tcW w:w="708" w:type="dxa"/>
            <w:tcBorders>
              <w:top w:val="thinThickSmallGap" w:sz="24" w:space="0" w:color="auto"/>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0.16</w:t>
            </w:r>
          </w:p>
        </w:tc>
        <w:tc>
          <w:tcPr>
            <w:tcW w:w="851" w:type="dxa"/>
            <w:tcBorders>
              <w:top w:val="thinThickSmallGap" w:sz="24" w:space="0" w:color="auto"/>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thinThickSmallGap" w:sz="24" w:space="0" w:color="auto"/>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0.02</w:t>
            </w:r>
          </w:p>
        </w:tc>
        <w:tc>
          <w:tcPr>
            <w:tcW w:w="1134"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-0.15</w:t>
            </w:r>
          </w:p>
        </w:tc>
        <w:tc>
          <w:tcPr>
            <w:tcW w:w="992"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0.18</w:t>
            </w:r>
          </w:p>
        </w:tc>
        <w:tc>
          <w:tcPr>
            <w:tcW w:w="1272"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0.05</w:t>
            </w:r>
          </w:p>
        </w:tc>
        <w:tc>
          <w:tcPr>
            <w:tcW w:w="709" w:type="dxa"/>
            <w:tcBorders>
              <w:top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0.09</w:t>
            </w:r>
          </w:p>
        </w:tc>
        <w:tc>
          <w:tcPr>
            <w:tcW w:w="851" w:type="dxa"/>
            <w:tcBorders>
              <w:top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c>
          <w:tcPr>
            <w:tcW w:w="567" w:type="dxa"/>
            <w:vMerge/>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-0.08</w:t>
            </w:r>
          </w:p>
        </w:tc>
        <w:tc>
          <w:tcPr>
            <w:tcW w:w="992"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-0.41*</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-0.07</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-0.01</w:t>
            </w:r>
          </w:p>
        </w:tc>
        <w:tc>
          <w:tcPr>
            <w:tcW w:w="708"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0.14</w:t>
            </w:r>
          </w:p>
        </w:tc>
        <w:tc>
          <w:tcPr>
            <w:tcW w:w="851"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-0.04</w:t>
            </w:r>
          </w:p>
        </w:tc>
        <w:tc>
          <w:tcPr>
            <w:tcW w:w="1134" w:type="dxa"/>
          </w:tcPr>
          <w:p w:rsidR="00B42A3F" w:rsidRPr="00E06C9A" w:rsidRDefault="00B42A3F" w:rsidP="00B42A3F">
            <w:pPr>
              <w:jc w:val="both"/>
              <w:rPr>
                <w:rFonts w:ascii="Times" w:hAnsi="Times"/>
                <w:sz w:val="20"/>
                <w:szCs w:val="22"/>
                <w:lang w:val="en-US"/>
              </w:rPr>
            </w:pPr>
            <w:r w:rsidRPr="00E06C9A">
              <w:rPr>
                <w:sz w:val="20"/>
                <w:szCs w:val="22"/>
                <w:lang w:val="en-US"/>
              </w:rPr>
              <w:t>-0.02</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0.02</w:t>
            </w:r>
          </w:p>
        </w:tc>
        <w:tc>
          <w:tcPr>
            <w:tcW w:w="1272" w:type="dxa"/>
          </w:tcPr>
          <w:p w:rsidR="00B42A3F" w:rsidRPr="00E06C9A" w:rsidRDefault="00B42A3F" w:rsidP="00B42A3F">
            <w:pPr>
              <w:jc w:val="both"/>
              <w:rPr>
                <w:rFonts w:ascii="Times" w:hAnsi="Times"/>
                <w:sz w:val="20"/>
                <w:szCs w:val="22"/>
                <w:lang w:val="en-US"/>
              </w:rPr>
            </w:pPr>
            <w:r w:rsidRPr="00E06C9A">
              <w:rPr>
                <w:sz w:val="20"/>
                <w:szCs w:val="22"/>
                <w:lang w:val="en-US"/>
              </w:rPr>
              <w:t>0.02</w:t>
            </w:r>
          </w:p>
        </w:tc>
        <w:tc>
          <w:tcPr>
            <w:tcW w:w="709"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0.09</w:t>
            </w:r>
          </w:p>
        </w:tc>
        <w:tc>
          <w:tcPr>
            <w:tcW w:w="851"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c>
          <w:tcPr>
            <w:tcW w:w="567" w:type="dxa"/>
            <w:vMerge/>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-0.49*</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-0.33</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-0.15</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-0.05</w:t>
            </w:r>
          </w:p>
        </w:tc>
        <w:tc>
          <w:tcPr>
            <w:tcW w:w="708"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0.16</w:t>
            </w:r>
          </w:p>
        </w:tc>
        <w:tc>
          <w:tcPr>
            <w:tcW w:w="851"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-0.07</w:t>
            </w:r>
          </w:p>
        </w:tc>
        <w:tc>
          <w:tcPr>
            <w:tcW w:w="1134" w:type="dxa"/>
          </w:tcPr>
          <w:p w:rsidR="00B42A3F" w:rsidRPr="00E06C9A" w:rsidRDefault="00B42A3F" w:rsidP="00B42A3F">
            <w:pPr>
              <w:jc w:val="both"/>
              <w:rPr>
                <w:rFonts w:ascii="Times" w:hAnsi="Times"/>
                <w:sz w:val="20"/>
                <w:szCs w:val="22"/>
                <w:lang w:val="en-US"/>
              </w:rPr>
            </w:pPr>
            <w:r w:rsidRPr="00E06C9A">
              <w:rPr>
                <w:sz w:val="20"/>
                <w:szCs w:val="22"/>
                <w:lang w:val="en-US"/>
              </w:rPr>
              <w:t>-0.1</w:t>
            </w:r>
          </w:p>
        </w:tc>
        <w:tc>
          <w:tcPr>
            <w:tcW w:w="992" w:type="dxa"/>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sz w:val="20"/>
                <w:szCs w:val="22"/>
                <w:lang w:val="en-US"/>
              </w:rPr>
              <w:t>0.15**</w:t>
            </w:r>
          </w:p>
        </w:tc>
        <w:tc>
          <w:tcPr>
            <w:tcW w:w="1272" w:type="dxa"/>
          </w:tcPr>
          <w:p w:rsidR="00B42A3F" w:rsidRPr="00E06C9A" w:rsidRDefault="00B42A3F" w:rsidP="00B42A3F">
            <w:pPr>
              <w:jc w:val="both"/>
              <w:rPr>
                <w:rFonts w:ascii="Times" w:hAnsi="Times"/>
                <w:sz w:val="20"/>
                <w:szCs w:val="22"/>
                <w:lang w:val="en-US"/>
              </w:rPr>
            </w:pPr>
            <w:r w:rsidRPr="00E06C9A">
              <w:rPr>
                <w:sz w:val="20"/>
                <w:szCs w:val="22"/>
                <w:lang w:val="en-US"/>
              </w:rPr>
              <w:t>0.05</w:t>
            </w:r>
          </w:p>
        </w:tc>
        <w:tc>
          <w:tcPr>
            <w:tcW w:w="709"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w:t>
            </w:r>
          </w:p>
        </w:tc>
        <w:tc>
          <w:tcPr>
            <w:tcW w:w="851"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c>
          <w:tcPr>
            <w:tcW w:w="567" w:type="dxa"/>
            <w:vMerge/>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-0.24</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-0.27</w:t>
            </w:r>
          </w:p>
        </w:tc>
        <w:tc>
          <w:tcPr>
            <w:tcW w:w="992"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 xml:space="preserve"> 0.02</w:t>
            </w:r>
          </w:p>
        </w:tc>
        <w:tc>
          <w:tcPr>
            <w:tcW w:w="1134"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 xml:space="preserve"> 0.10</w:t>
            </w:r>
          </w:p>
        </w:tc>
        <w:tc>
          <w:tcPr>
            <w:tcW w:w="708" w:type="dxa"/>
            <w:tcBorders>
              <w:left w:val="single" w:sz="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0.14</w:t>
            </w:r>
          </w:p>
        </w:tc>
        <w:tc>
          <w:tcPr>
            <w:tcW w:w="851" w:type="dxa"/>
            <w:tcBorders>
              <w:left w:val="single" w:sz="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tcBorders>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sz w:val="20"/>
                <w:szCs w:val="22"/>
                <w:lang w:val="en-US"/>
              </w:rPr>
              <w:t>-0.17**</w:t>
            </w:r>
          </w:p>
        </w:tc>
        <w:tc>
          <w:tcPr>
            <w:tcW w:w="1134" w:type="dxa"/>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-0.19*</w:t>
            </w:r>
          </w:p>
        </w:tc>
        <w:tc>
          <w:tcPr>
            <w:tcW w:w="992" w:type="dxa"/>
          </w:tcPr>
          <w:p w:rsidR="00B42A3F" w:rsidRPr="00E06C9A" w:rsidRDefault="00B42A3F" w:rsidP="00B42A3F">
            <w:pPr>
              <w:jc w:val="both"/>
              <w:rPr>
                <w:rFonts w:ascii="Times" w:hAnsi="Times"/>
                <w:sz w:val="20"/>
                <w:szCs w:val="22"/>
                <w:lang w:val="en-US"/>
              </w:rPr>
            </w:pPr>
            <w:r w:rsidRPr="00E06C9A">
              <w:rPr>
                <w:sz w:val="20"/>
                <w:szCs w:val="22"/>
                <w:lang w:val="en-US"/>
              </w:rPr>
              <w:t>-0.03</w:t>
            </w:r>
          </w:p>
        </w:tc>
        <w:tc>
          <w:tcPr>
            <w:tcW w:w="1272" w:type="dxa"/>
          </w:tcPr>
          <w:p w:rsidR="00B42A3F" w:rsidRPr="00E06C9A" w:rsidRDefault="00B42A3F" w:rsidP="00B42A3F">
            <w:pPr>
              <w:jc w:val="both"/>
              <w:rPr>
                <w:rFonts w:ascii="Times" w:hAnsi="Times"/>
                <w:sz w:val="20"/>
                <w:szCs w:val="22"/>
                <w:lang w:val="en-US"/>
              </w:rPr>
            </w:pPr>
            <w:r w:rsidRPr="00E06C9A">
              <w:rPr>
                <w:sz w:val="20"/>
                <w:szCs w:val="22"/>
                <w:lang w:val="en-US"/>
              </w:rPr>
              <w:t>0.06</w:t>
            </w:r>
          </w:p>
        </w:tc>
        <w:tc>
          <w:tcPr>
            <w:tcW w:w="709" w:type="dxa"/>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w:t>
            </w:r>
          </w:p>
        </w:tc>
        <w:tc>
          <w:tcPr>
            <w:tcW w:w="851" w:type="dxa"/>
            <w:tcBorders>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c>
          <w:tcPr>
            <w:tcW w:w="567" w:type="dxa"/>
            <w:vMerge/>
            <w:tcBorders>
              <w:bottom w:val="thinThickSmallGap" w:sz="24" w:space="0" w:color="auto"/>
            </w:tcBorders>
          </w:tcPr>
          <w:p w:rsidR="00B42A3F" w:rsidRPr="00E06C9A" w:rsidRDefault="00B42A3F" w:rsidP="00B42A3F">
            <w:pPr>
              <w:jc w:val="both"/>
              <w:rPr>
                <w:rFonts w:ascii="Times" w:hAnsi="Times"/>
                <w:b/>
                <w:sz w:val="20"/>
                <w:szCs w:val="22"/>
                <w:lang w:val="en-US"/>
              </w:rPr>
            </w:pPr>
          </w:p>
        </w:tc>
        <w:tc>
          <w:tcPr>
            <w:tcW w:w="851" w:type="dxa"/>
            <w:tcBorders>
              <w:bottom w:val="thinThickSmallGap" w:sz="24" w:space="0" w:color="auto"/>
              <w:right w:val="thinThickSmallGap" w:sz="24" w:space="0" w:color="auto"/>
            </w:tcBorders>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B2A1C7" w:themeFill="accent4" w:themeFillTint="99"/>
          </w:tcPr>
          <w:p w:rsidR="00B42A3F" w:rsidRPr="00E06C9A" w:rsidRDefault="00B42A3F" w:rsidP="00B42A3F">
            <w:pPr>
              <w:jc w:val="both"/>
              <w:rPr>
                <w:rFonts w:ascii="Times" w:hAnsi="Times"/>
                <w:sz w:val="20"/>
                <w:szCs w:val="22"/>
                <w:lang w:val="en-US"/>
              </w:rPr>
            </w:pPr>
            <w:r w:rsidRPr="00E06C9A">
              <w:rPr>
                <w:sz w:val="20"/>
                <w:szCs w:val="22"/>
                <w:lang w:val="en-US"/>
              </w:rPr>
              <w:t>-0.34**</w:t>
            </w:r>
          </w:p>
        </w:tc>
        <w:tc>
          <w:tcPr>
            <w:tcW w:w="992" w:type="dxa"/>
            <w:tcBorders>
              <w:left w:val="single" w:sz="4" w:space="0" w:color="auto"/>
              <w:bottom w:val="thinThickSmallGap" w:sz="24" w:space="0" w:color="auto"/>
              <w:right w:val="single" w:sz="4" w:space="0" w:color="auto"/>
            </w:tcBorders>
            <w:shd w:val="clear" w:color="auto" w:fill="E5DFEC" w:themeFill="accent4" w:themeFillTint="33"/>
          </w:tcPr>
          <w:p w:rsidR="00B42A3F" w:rsidRPr="00E06C9A" w:rsidRDefault="00B42A3F" w:rsidP="00B42A3F">
            <w:pPr>
              <w:jc w:val="both"/>
              <w:rPr>
                <w:rFonts w:ascii="Times" w:hAnsi="Times"/>
                <w:sz w:val="20"/>
                <w:szCs w:val="22"/>
                <w:lang w:val="en-US"/>
              </w:rPr>
            </w:pPr>
            <w:r w:rsidRPr="00E06C9A">
              <w:rPr>
                <w:sz w:val="20"/>
                <w:szCs w:val="22"/>
                <w:lang w:val="en-US"/>
              </w:rPr>
              <w:t>-0.35*</w:t>
            </w:r>
          </w:p>
        </w:tc>
        <w:tc>
          <w:tcPr>
            <w:tcW w:w="992"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0.004</w:t>
            </w:r>
          </w:p>
        </w:tc>
        <w:tc>
          <w:tcPr>
            <w:tcW w:w="1134"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 xml:space="preserve"> 0.02</w:t>
            </w:r>
          </w:p>
        </w:tc>
        <w:tc>
          <w:tcPr>
            <w:tcW w:w="708" w:type="dxa"/>
            <w:tcBorders>
              <w:left w:val="single" w:sz="4" w:space="0" w:color="auto"/>
              <w:bottom w:val="thinThickSmallGap" w:sz="24" w:space="0" w:color="auto"/>
              <w:right w:val="single" w:sz="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0.15</w:t>
            </w:r>
          </w:p>
        </w:tc>
        <w:tc>
          <w:tcPr>
            <w:tcW w:w="851" w:type="dxa"/>
            <w:tcBorders>
              <w:left w:val="single" w:sz="4" w:space="0" w:color="auto"/>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left w:val="thinThickSmallGap" w:sz="24" w:space="0" w:color="auto"/>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0.12</w:t>
            </w:r>
          </w:p>
        </w:tc>
        <w:tc>
          <w:tcPr>
            <w:tcW w:w="1134"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0.11</w:t>
            </w:r>
          </w:p>
        </w:tc>
        <w:tc>
          <w:tcPr>
            <w:tcW w:w="992"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0.12</w:t>
            </w:r>
          </w:p>
        </w:tc>
        <w:tc>
          <w:tcPr>
            <w:tcW w:w="1272"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sz w:val="20"/>
                <w:szCs w:val="22"/>
                <w:lang w:val="en-US"/>
              </w:rPr>
              <w:t>-0.05</w:t>
            </w:r>
          </w:p>
        </w:tc>
        <w:tc>
          <w:tcPr>
            <w:tcW w:w="709" w:type="dxa"/>
            <w:tcBorders>
              <w:bottom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0.09</w:t>
            </w:r>
          </w:p>
        </w:tc>
        <w:tc>
          <w:tcPr>
            <w:tcW w:w="851" w:type="dxa"/>
            <w:tcBorders>
              <w:bottom w:val="thinThickSmallGap" w:sz="24" w:space="0" w:color="auto"/>
              <w:right w:val="thinThickSmallGap" w:sz="24" w:space="0" w:color="auto"/>
            </w:tcBorders>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r>
      <w:tr w:rsidR="00B42A3F" w:rsidRPr="00E06C9A" w:rsidTr="00B42A3F">
        <w:tc>
          <w:tcPr>
            <w:tcW w:w="567" w:type="dxa"/>
            <w:vMerge w:val="restart"/>
            <w:tcBorders>
              <w:top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851" w:type="dxa"/>
            <w:vMerge w:val="restart"/>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5811" w:type="dxa"/>
            <w:gridSpan w:val="6"/>
            <w:tcBorders>
              <w:top w:val="thinThickSmallGap" w:sz="24" w:space="0" w:color="auto"/>
              <w:left w:val="thinThickSmallGap" w:sz="24" w:space="0" w:color="auto"/>
              <w:right w:val="thinThickSmallGap" w:sz="24" w:space="0" w:color="auto"/>
            </w:tcBorders>
            <w:shd w:val="clear" w:color="auto" w:fill="auto"/>
          </w:tcPr>
          <w:p w:rsidR="00B42A3F" w:rsidRPr="00E06C9A" w:rsidRDefault="00B42A3F" w:rsidP="00B42A3F">
            <w:pPr>
              <w:jc w:val="center"/>
              <w:rPr>
                <w:rFonts w:ascii="Times" w:hAnsi="Times"/>
                <w:sz w:val="20"/>
                <w:szCs w:val="22"/>
                <w:lang w:val="en-US"/>
              </w:rPr>
            </w:pPr>
            <w:r w:rsidRPr="00E06C9A">
              <w:rPr>
                <w:rFonts w:ascii="Times" w:hAnsi="Times"/>
                <w:b/>
                <w:sz w:val="20"/>
                <w:szCs w:val="22"/>
                <w:lang w:val="en-US"/>
              </w:rPr>
              <w:t>2014-2015</w:t>
            </w:r>
          </w:p>
        </w:tc>
        <w:tc>
          <w:tcPr>
            <w:tcW w:w="992" w:type="dxa"/>
            <w:tcBorders>
              <w:top w:val="thinThickSmallGap" w:sz="24" w:space="0" w:color="auto"/>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thinThickSmallGap" w:sz="24" w:space="0" w:color="auto"/>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thinThickSmallGap" w:sz="24" w:space="0" w:color="auto"/>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thinThickSmallGap" w:sz="24" w:space="0" w:color="auto"/>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thinThickSmallGap" w:sz="24" w:space="0" w:color="auto"/>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thinThickSmallGap" w:sz="24" w:space="0" w:color="auto"/>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tcBorders>
              <w:bottom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851" w:type="dxa"/>
            <w:vMerge/>
            <w:tcBorders>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1134" w:type="dxa"/>
            <w:tcBorders>
              <w:left w:val="thinThickSmallGap" w:sz="2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1</m:t>
                    </m:r>
                  </m:sub>
                </m:sSub>
              </m:oMath>
            </m:oMathPara>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2</m:t>
                    </m:r>
                  </m:sub>
                </m:sSub>
              </m:oMath>
            </m:oMathPara>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3</m:t>
                    </m:r>
                  </m:sub>
                </m:sSub>
              </m:oMath>
            </m:oMathPara>
          </w:p>
        </w:tc>
        <w:tc>
          <w:tcPr>
            <w:tcW w:w="1134"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m:oMathPara>
              <m:oMath>
                <m:sSub>
                  <m:sSubPr>
                    <m:ctrlPr>
                      <w:rPr>
                        <w:rFonts w:ascii="Cambria Math" w:hAnsi="Cambria Math"/>
                        <w:b/>
                        <w:i/>
                        <w:sz w:val="20"/>
                        <w:szCs w:val="22"/>
                        <w:lang w:val="en-US"/>
                      </w:rPr>
                    </m:ctrlPr>
                  </m:sSubPr>
                  <m:e>
                    <m:r>
                      <m:rPr>
                        <m:sty m:val="bi"/>
                      </m:rPr>
                      <w:rPr>
                        <w:rFonts w:ascii="Cambria Math" w:hAnsi="Cambria Math"/>
                        <w:sz w:val="20"/>
                        <w:szCs w:val="22"/>
                        <w:lang w:val="en-US"/>
                      </w:rPr>
                      <m:t>γ</m:t>
                    </m:r>
                  </m:e>
                  <m:sub>
                    <m:r>
                      <m:rPr>
                        <m:sty m:val="bi"/>
                      </m:rPr>
                      <w:rPr>
                        <w:rFonts w:ascii="Cambria Math" w:hAnsi="Cambria Math"/>
                        <w:sz w:val="20"/>
                        <w:szCs w:val="22"/>
                        <w:lang w:val="en-US"/>
                      </w:rPr>
                      <m:t>4</m:t>
                    </m:r>
                  </m:sub>
                </m:sSub>
              </m:oMath>
            </m:oMathPara>
          </w:p>
        </w:tc>
        <w:tc>
          <w:tcPr>
            <w:tcW w:w="708"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R</w:t>
            </w:r>
            <w:r w:rsidRPr="00E06C9A">
              <w:rPr>
                <w:rFonts w:ascii="Times" w:hAnsi="Times"/>
                <w:b/>
                <w:sz w:val="20"/>
                <w:szCs w:val="22"/>
                <w:vertAlign w:val="superscript"/>
                <w:lang w:val="en-US"/>
              </w:rPr>
              <w:t>2</w:t>
            </w:r>
          </w:p>
        </w:tc>
        <w:tc>
          <w:tcPr>
            <w:tcW w:w="851" w:type="dxa"/>
            <w:tcBorders>
              <w:left w:val="single" w:sz="4" w:space="0" w:color="auto"/>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b/>
                <w:sz w:val="20"/>
                <w:szCs w:val="22"/>
                <w:lang w:val="en-US"/>
              </w:rPr>
              <w:t>p</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val="restart"/>
            <w:tcBorders>
              <w:top w:val="thinThickSmallGap" w:sz="24" w:space="0" w:color="auto"/>
            </w:tcBorders>
            <w:shd w:val="clear" w:color="auto" w:fill="auto"/>
            <w:textDirection w:val="btLr"/>
            <w:vAlign w:val="center"/>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Dvolumes</w:t>
            </w:r>
          </w:p>
        </w:tc>
        <w:tc>
          <w:tcPr>
            <w:tcW w:w="851" w:type="dxa"/>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-7,31</w:t>
            </w:r>
          </w:p>
        </w:tc>
        <w:tc>
          <w:tcPr>
            <w:tcW w:w="992"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24,26</w:t>
            </w:r>
          </w:p>
        </w:tc>
        <w:tc>
          <w:tcPr>
            <w:tcW w:w="992"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-133,72</w:t>
            </w:r>
          </w:p>
        </w:tc>
        <w:tc>
          <w:tcPr>
            <w:tcW w:w="1134" w:type="dxa"/>
            <w:tcBorders>
              <w:top w:val="thinThickSmallGap" w:sz="24" w:space="0" w:color="auto"/>
              <w:left w:val="single" w:sz="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-228,41*</w:t>
            </w:r>
          </w:p>
        </w:tc>
        <w:tc>
          <w:tcPr>
            <w:tcW w:w="708"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0.24</w:t>
            </w:r>
          </w:p>
        </w:tc>
        <w:tc>
          <w:tcPr>
            <w:tcW w:w="851" w:type="dxa"/>
            <w:tcBorders>
              <w:top w:val="thinThickSmallGap" w:sz="24" w:space="0" w:color="auto"/>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shd w:val="clear" w:color="auto" w:fill="auto"/>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-156,07</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95,96</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-140,02</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68,31</w:t>
            </w:r>
          </w:p>
        </w:tc>
        <w:tc>
          <w:tcPr>
            <w:tcW w:w="708"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0.24</w:t>
            </w:r>
          </w:p>
        </w:tc>
        <w:tc>
          <w:tcPr>
            <w:tcW w:w="851"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shd w:val="clear" w:color="auto" w:fill="auto"/>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-90,52</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56,29</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-72,49</w:t>
            </w:r>
          </w:p>
        </w:tc>
        <w:tc>
          <w:tcPr>
            <w:tcW w:w="1134" w:type="dxa"/>
            <w:tcBorders>
              <w:left w:val="single" w:sz="4" w:space="0" w:color="auto"/>
              <w:right w:val="single" w:sz="4" w:space="0" w:color="auto"/>
            </w:tcBorders>
            <w:shd w:val="clear" w:color="auto" w:fill="B2A1C7" w:themeFill="accent4" w:themeFillTint="99"/>
          </w:tcPr>
          <w:p w:rsidR="00B42A3F" w:rsidRPr="00E06C9A" w:rsidRDefault="00B42A3F" w:rsidP="00B42A3F">
            <w:pPr>
              <w:jc w:val="both"/>
              <w:rPr>
                <w:sz w:val="20"/>
                <w:szCs w:val="22"/>
                <w:lang w:val="en-US"/>
              </w:rPr>
            </w:pPr>
            <w:r w:rsidRPr="00E06C9A">
              <w:rPr>
                <w:sz w:val="20"/>
                <w:szCs w:val="22"/>
                <w:lang w:val="en-US"/>
              </w:rPr>
              <w:t>-251,55**</w:t>
            </w:r>
          </w:p>
        </w:tc>
        <w:tc>
          <w:tcPr>
            <w:tcW w:w="708"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0.25</w:t>
            </w:r>
          </w:p>
        </w:tc>
        <w:tc>
          <w:tcPr>
            <w:tcW w:w="851"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shd w:val="clear" w:color="auto" w:fill="auto"/>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-121,94*</w:t>
            </w:r>
          </w:p>
        </w:tc>
        <w:tc>
          <w:tcPr>
            <w:tcW w:w="992"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136,33*</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-650.6</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42,52</w:t>
            </w:r>
          </w:p>
        </w:tc>
        <w:tc>
          <w:tcPr>
            <w:tcW w:w="708"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0.25</w:t>
            </w:r>
          </w:p>
        </w:tc>
        <w:tc>
          <w:tcPr>
            <w:tcW w:w="851"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tcBorders>
              <w:bottom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851" w:type="dxa"/>
            <w:tcBorders>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-60,21</w:t>
            </w:r>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-34,01</w:t>
            </w:r>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-172,77</w:t>
            </w:r>
          </w:p>
        </w:tc>
        <w:tc>
          <w:tcPr>
            <w:tcW w:w="1134"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-214,7</w:t>
            </w:r>
          </w:p>
        </w:tc>
        <w:tc>
          <w:tcPr>
            <w:tcW w:w="708"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0.25</w:t>
            </w:r>
          </w:p>
        </w:tc>
        <w:tc>
          <w:tcPr>
            <w:tcW w:w="851" w:type="dxa"/>
            <w:tcBorders>
              <w:left w:val="single" w:sz="4" w:space="0" w:color="auto"/>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val="restart"/>
            <w:tcBorders>
              <w:top w:val="thinThickSmallGap" w:sz="24" w:space="0" w:color="auto"/>
            </w:tcBorders>
            <w:shd w:val="clear" w:color="auto" w:fill="auto"/>
            <w:textDirection w:val="btLr"/>
            <w:vAlign w:val="center"/>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Dopen</w:t>
            </w:r>
          </w:p>
        </w:tc>
        <w:tc>
          <w:tcPr>
            <w:tcW w:w="851" w:type="dxa"/>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B2A1C7" w:themeFill="accent4" w:themeFillTint="99"/>
          </w:tcPr>
          <w:p w:rsidR="00B42A3F" w:rsidRPr="00E06C9A" w:rsidRDefault="00B42A3F" w:rsidP="00B42A3F">
            <w:pPr>
              <w:jc w:val="both"/>
              <w:rPr>
                <w:sz w:val="20"/>
                <w:szCs w:val="22"/>
                <w:lang w:val="en-US"/>
              </w:rPr>
            </w:pPr>
            <w:r w:rsidRPr="00E06C9A">
              <w:rPr>
                <w:sz w:val="20"/>
                <w:szCs w:val="22"/>
                <w:lang w:val="en-US"/>
              </w:rPr>
              <w:t>83,32**</w:t>
            </w:r>
          </w:p>
        </w:tc>
        <w:tc>
          <w:tcPr>
            <w:tcW w:w="992"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-3,35</w:t>
            </w:r>
          </w:p>
        </w:tc>
        <w:tc>
          <w:tcPr>
            <w:tcW w:w="992"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-9,57</w:t>
            </w:r>
          </w:p>
        </w:tc>
        <w:tc>
          <w:tcPr>
            <w:tcW w:w="1134"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6,5</w:t>
            </w:r>
          </w:p>
        </w:tc>
        <w:tc>
          <w:tcPr>
            <w:tcW w:w="708"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0.03</w:t>
            </w:r>
          </w:p>
        </w:tc>
        <w:tc>
          <w:tcPr>
            <w:tcW w:w="851" w:type="dxa"/>
            <w:tcBorders>
              <w:top w:val="thinThickSmallGap" w:sz="24" w:space="0" w:color="auto"/>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shd w:val="clear" w:color="auto" w:fill="auto"/>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26,1</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17,4</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24,56</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39,16</w:t>
            </w:r>
          </w:p>
        </w:tc>
        <w:tc>
          <w:tcPr>
            <w:tcW w:w="708"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0.02</w:t>
            </w:r>
          </w:p>
        </w:tc>
        <w:tc>
          <w:tcPr>
            <w:tcW w:w="851"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shd w:val="clear" w:color="auto" w:fill="auto"/>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B2A1C7" w:themeFill="accent4" w:themeFillTint="99"/>
          </w:tcPr>
          <w:p w:rsidR="00B42A3F" w:rsidRPr="00E06C9A" w:rsidRDefault="00B42A3F" w:rsidP="00B42A3F">
            <w:pPr>
              <w:jc w:val="both"/>
              <w:rPr>
                <w:sz w:val="20"/>
                <w:szCs w:val="22"/>
                <w:lang w:val="en-US"/>
              </w:rPr>
            </w:pPr>
            <w:r w:rsidRPr="00E06C9A">
              <w:rPr>
                <w:sz w:val="20"/>
                <w:szCs w:val="22"/>
                <w:lang w:val="en-US"/>
              </w:rPr>
              <w:t>75,02**</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43,86</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28,5</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39,34</w:t>
            </w:r>
          </w:p>
        </w:tc>
        <w:tc>
          <w:tcPr>
            <w:tcW w:w="708"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0.05</w:t>
            </w:r>
          </w:p>
        </w:tc>
        <w:tc>
          <w:tcPr>
            <w:tcW w:w="851"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shd w:val="clear" w:color="auto" w:fill="auto"/>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-695.5</w:t>
            </w:r>
          </w:p>
        </w:tc>
        <w:tc>
          <w:tcPr>
            <w:tcW w:w="992"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30,89*</w:t>
            </w:r>
          </w:p>
        </w:tc>
        <w:tc>
          <w:tcPr>
            <w:tcW w:w="992"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33,51*</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-12,58</w:t>
            </w:r>
          </w:p>
        </w:tc>
        <w:tc>
          <w:tcPr>
            <w:tcW w:w="708"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0.03</w:t>
            </w:r>
          </w:p>
        </w:tc>
        <w:tc>
          <w:tcPr>
            <w:tcW w:w="851"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tcBorders>
              <w:bottom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851" w:type="dxa"/>
            <w:tcBorders>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64,66</w:t>
            </w:r>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65,25</w:t>
            </w:r>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28,57</w:t>
            </w:r>
          </w:p>
        </w:tc>
        <w:tc>
          <w:tcPr>
            <w:tcW w:w="1134" w:type="dxa"/>
            <w:tcBorders>
              <w:left w:val="single" w:sz="4" w:space="0" w:color="auto"/>
              <w:bottom w:val="thinThickSmallGap" w:sz="2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65,06*</w:t>
            </w:r>
          </w:p>
        </w:tc>
        <w:tc>
          <w:tcPr>
            <w:tcW w:w="708"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0.04</w:t>
            </w:r>
          </w:p>
        </w:tc>
        <w:tc>
          <w:tcPr>
            <w:tcW w:w="851" w:type="dxa"/>
            <w:tcBorders>
              <w:left w:val="single" w:sz="4" w:space="0" w:color="auto"/>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val="restart"/>
            <w:tcBorders>
              <w:top w:val="thinThickSmallGap" w:sz="24" w:space="0" w:color="auto"/>
            </w:tcBorders>
            <w:shd w:val="clear" w:color="auto" w:fill="auto"/>
            <w:textDirection w:val="btLr"/>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Dinterest</w:t>
            </w:r>
          </w:p>
        </w:tc>
        <w:tc>
          <w:tcPr>
            <w:tcW w:w="851" w:type="dxa"/>
            <w:tcBorders>
              <w:top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 xml:space="preserve"> А-</w:t>
            </w:r>
          </w:p>
        </w:tc>
        <w:tc>
          <w:tcPr>
            <w:tcW w:w="1134" w:type="dxa"/>
            <w:tcBorders>
              <w:top w:val="thinThickSmallGap" w:sz="24" w:space="0" w:color="auto"/>
              <w:left w:val="thinThickSmallGap" w:sz="24" w:space="0" w:color="auto"/>
              <w:right w:val="single" w:sz="4" w:space="0" w:color="auto"/>
            </w:tcBorders>
            <w:shd w:val="clear" w:color="auto" w:fill="B2A1C7" w:themeFill="accent4" w:themeFillTint="99"/>
          </w:tcPr>
          <w:p w:rsidR="00B42A3F" w:rsidRPr="00E06C9A" w:rsidRDefault="00B42A3F" w:rsidP="00B42A3F">
            <w:pPr>
              <w:jc w:val="both"/>
              <w:rPr>
                <w:sz w:val="20"/>
                <w:szCs w:val="22"/>
                <w:lang w:val="en-US"/>
              </w:rPr>
            </w:pPr>
            <w:r w:rsidRPr="00E06C9A">
              <w:rPr>
                <w:sz w:val="20"/>
                <w:szCs w:val="22"/>
                <w:lang w:val="en-US"/>
              </w:rPr>
              <w:t>-2.83**</w:t>
            </w:r>
          </w:p>
        </w:tc>
        <w:tc>
          <w:tcPr>
            <w:tcW w:w="992"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0.71</w:t>
            </w:r>
          </w:p>
        </w:tc>
        <w:tc>
          <w:tcPr>
            <w:tcW w:w="992"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0.48</w:t>
            </w:r>
          </w:p>
        </w:tc>
        <w:tc>
          <w:tcPr>
            <w:tcW w:w="1134"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0.14</w:t>
            </w:r>
          </w:p>
        </w:tc>
        <w:tc>
          <w:tcPr>
            <w:tcW w:w="708" w:type="dxa"/>
            <w:tcBorders>
              <w:top w:val="thinThickSmallGap" w:sz="24" w:space="0" w:color="auto"/>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0.32</w:t>
            </w:r>
          </w:p>
        </w:tc>
        <w:tc>
          <w:tcPr>
            <w:tcW w:w="851" w:type="dxa"/>
            <w:tcBorders>
              <w:top w:val="thinThickSmallGap" w:sz="24" w:space="0" w:color="auto"/>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shd w:val="clear" w:color="auto" w:fill="auto"/>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B2A1C7" w:themeFill="accent4" w:themeFillTint="99"/>
          </w:tcPr>
          <w:p w:rsidR="00B42A3F" w:rsidRPr="00E06C9A" w:rsidRDefault="00B42A3F" w:rsidP="00B42A3F">
            <w:pPr>
              <w:jc w:val="both"/>
              <w:rPr>
                <w:sz w:val="20"/>
                <w:szCs w:val="22"/>
                <w:lang w:val="en-US"/>
              </w:rPr>
            </w:pPr>
            <w:r w:rsidRPr="00E06C9A">
              <w:rPr>
                <w:sz w:val="20"/>
                <w:szCs w:val="22"/>
                <w:lang w:val="en-US"/>
              </w:rPr>
              <w:t>-5.2**</w:t>
            </w:r>
          </w:p>
        </w:tc>
        <w:tc>
          <w:tcPr>
            <w:tcW w:w="992" w:type="dxa"/>
            <w:tcBorders>
              <w:left w:val="single" w:sz="4" w:space="0" w:color="auto"/>
              <w:right w:val="single" w:sz="4" w:space="0" w:color="auto"/>
            </w:tcBorders>
            <w:shd w:val="clear" w:color="auto" w:fill="B2A1C7" w:themeFill="accent4" w:themeFillTint="99"/>
          </w:tcPr>
          <w:p w:rsidR="00B42A3F" w:rsidRPr="00E06C9A" w:rsidRDefault="00B42A3F" w:rsidP="00B42A3F">
            <w:pPr>
              <w:jc w:val="both"/>
              <w:rPr>
                <w:sz w:val="20"/>
                <w:szCs w:val="22"/>
                <w:lang w:val="en-US"/>
              </w:rPr>
            </w:pPr>
            <w:r w:rsidRPr="00E06C9A">
              <w:rPr>
                <w:sz w:val="20"/>
                <w:szCs w:val="22"/>
                <w:lang w:val="en-US"/>
              </w:rPr>
              <w:t>-3.4**</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-0.23</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-0.12</w:t>
            </w:r>
          </w:p>
        </w:tc>
        <w:tc>
          <w:tcPr>
            <w:tcW w:w="708"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0.36</w:t>
            </w:r>
          </w:p>
        </w:tc>
        <w:tc>
          <w:tcPr>
            <w:tcW w:w="851"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shd w:val="clear" w:color="auto" w:fill="auto"/>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BBB-</w:t>
            </w:r>
          </w:p>
        </w:tc>
        <w:tc>
          <w:tcPr>
            <w:tcW w:w="1134" w:type="dxa"/>
            <w:tcBorders>
              <w:left w:val="thinThickSmallGap" w:sz="24" w:space="0" w:color="auto"/>
              <w:right w:val="single" w:sz="4" w:space="0" w:color="auto"/>
            </w:tcBorders>
            <w:shd w:val="clear" w:color="auto" w:fill="B2A1C7" w:themeFill="accent4" w:themeFillTint="99"/>
          </w:tcPr>
          <w:p w:rsidR="00B42A3F" w:rsidRPr="00E06C9A" w:rsidRDefault="00B42A3F" w:rsidP="00B42A3F">
            <w:pPr>
              <w:jc w:val="both"/>
              <w:rPr>
                <w:sz w:val="20"/>
                <w:szCs w:val="22"/>
                <w:lang w:val="en-US"/>
              </w:rPr>
            </w:pPr>
            <w:r w:rsidRPr="00E06C9A">
              <w:rPr>
                <w:sz w:val="20"/>
                <w:szCs w:val="22"/>
                <w:lang w:val="en-US"/>
              </w:rPr>
              <w:t>-2.47**</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-1.94</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-0.44</w:t>
            </w:r>
          </w:p>
        </w:tc>
        <w:tc>
          <w:tcPr>
            <w:tcW w:w="1134"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-0.82</w:t>
            </w:r>
          </w:p>
        </w:tc>
        <w:tc>
          <w:tcPr>
            <w:tcW w:w="708"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0.33</w:t>
            </w:r>
          </w:p>
        </w:tc>
        <w:tc>
          <w:tcPr>
            <w:tcW w:w="851"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shd w:val="clear" w:color="auto" w:fill="auto"/>
          </w:tcPr>
          <w:p w:rsidR="00B42A3F" w:rsidRPr="00E06C9A" w:rsidRDefault="00B42A3F" w:rsidP="00B42A3F">
            <w:pPr>
              <w:jc w:val="both"/>
              <w:rPr>
                <w:rFonts w:ascii="Times" w:hAnsi="Times"/>
                <w:b/>
                <w:sz w:val="20"/>
                <w:szCs w:val="22"/>
                <w:lang w:val="en-US"/>
              </w:rPr>
            </w:pPr>
          </w:p>
        </w:tc>
        <w:tc>
          <w:tcPr>
            <w:tcW w:w="851" w:type="dxa"/>
            <w:tcBorders>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-0.96</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2.46</w:t>
            </w:r>
          </w:p>
        </w:tc>
        <w:tc>
          <w:tcPr>
            <w:tcW w:w="992" w:type="dxa"/>
            <w:tcBorders>
              <w:left w:val="single" w:sz="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-0.53</w:t>
            </w:r>
          </w:p>
        </w:tc>
        <w:tc>
          <w:tcPr>
            <w:tcW w:w="1134" w:type="dxa"/>
            <w:tcBorders>
              <w:left w:val="single" w:sz="4" w:space="0" w:color="auto"/>
              <w:right w:val="single" w:sz="4" w:space="0" w:color="auto"/>
            </w:tcBorders>
            <w:shd w:val="clear" w:color="auto" w:fill="E5DFEC" w:themeFill="accent4" w:themeFillTint="33"/>
          </w:tcPr>
          <w:p w:rsidR="00B42A3F" w:rsidRPr="00E06C9A" w:rsidRDefault="00B42A3F" w:rsidP="00B42A3F">
            <w:pPr>
              <w:jc w:val="both"/>
              <w:rPr>
                <w:sz w:val="20"/>
                <w:szCs w:val="22"/>
                <w:lang w:val="en-US"/>
              </w:rPr>
            </w:pPr>
            <w:r w:rsidRPr="00E06C9A">
              <w:rPr>
                <w:sz w:val="20"/>
                <w:szCs w:val="22"/>
                <w:lang w:val="en-US"/>
              </w:rPr>
              <w:t>2.28*</w:t>
            </w:r>
          </w:p>
        </w:tc>
        <w:tc>
          <w:tcPr>
            <w:tcW w:w="708" w:type="dxa"/>
            <w:tcBorders>
              <w:left w:val="single" w:sz="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0.35</w:t>
            </w:r>
          </w:p>
        </w:tc>
        <w:tc>
          <w:tcPr>
            <w:tcW w:w="851" w:type="dxa"/>
            <w:tcBorders>
              <w:left w:val="single" w:sz="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r w:rsidR="00B42A3F" w:rsidRPr="00E06C9A" w:rsidTr="00B42A3F">
        <w:tc>
          <w:tcPr>
            <w:tcW w:w="567" w:type="dxa"/>
            <w:vMerge/>
            <w:tcBorders>
              <w:bottom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p>
        </w:tc>
        <w:tc>
          <w:tcPr>
            <w:tcW w:w="851" w:type="dxa"/>
            <w:tcBorders>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b/>
                <w:sz w:val="20"/>
                <w:szCs w:val="22"/>
                <w:lang w:val="en-US"/>
              </w:rPr>
            </w:pPr>
            <w:r w:rsidRPr="00E06C9A">
              <w:rPr>
                <w:rFonts w:ascii="Times" w:hAnsi="Times"/>
                <w:b/>
                <w:sz w:val="20"/>
                <w:szCs w:val="22"/>
                <w:lang w:val="en-US"/>
              </w:rPr>
              <w:t>B-</w:t>
            </w:r>
          </w:p>
        </w:tc>
        <w:tc>
          <w:tcPr>
            <w:tcW w:w="1134" w:type="dxa"/>
            <w:tcBorders>
              <w:left w:val="thinThickSmallGap" w:sz="24" w:space="0" w:color="auto"/>
              <w:bottom w:val="thinThickSmallGap" w:sz="24" w:space="0" w:color="auto"/>
              <w:right w:val="single" w:sz="4" w:space="0" w:color="auto"/>
            </w:tcBorders>
            <w:shd w:val="clear" w:color="auto" w:fill="B2A1C7" w:themeFill="accent4" w:themeFillTint="99"/>
          </w:tcPr>
          <w:p w:rsidR="00B42A3F" w:rsidRPr="00E06C9A" w:rsidRDefault="00B42A3F" w:rsidP="00B42A3F">
            <w:pPr>
              <w:jc w:val="both"/>
              <w:rPr>
                <w:sz w:val="20"/>
                <w:szCs w:val="22"/>
                <w:lang w:val="en-US"/>
              </w:rPr>
            </w:pPr>
            <w:r w:rsidRPr="00E06C9A">
              <w:rPr>
                <w:sz w:val="20"/>
                <w:szCs w:val="22"/>
                <w:lang w:val="en-US"/>
              </w:rPr>
              <w:t>-5.3**</w:t>
            </w:r>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0.1</w:t>
            </w:r>
          </w:p>
        </w:tc>
        <w:tc>
          <w:tcPr>
            <w:tcW w:w="992"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-1.08</w:t>
            </w:r>
          </w:p>
        </w:tc>
        <w:tc>
          <w:tcPr>
            <w:tcW w:w="1134"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sz w:val="20"/>
                <w:szCs w:val="22"/>
                <w:lang w:val="en-US"/>
              </w:rPr>
            </w:pPr>
            <w:r w:rsidRPr="00E06C9A">
              <w:rPr>
                <w:sz w:val="20"/>
                <w:szCs w:val="22"/>
                <w:lang w:val="en-US"/>
              </w:rPr>
              <w:t>0.86</w:t>
            </w:r>
          </w:p>
        </w:tc>
        <w:tc>
          <w:tcPr>
            <w:tcW w:w="708" w:type="dxa"/>
            <w:tcBorders>
              <w:left w:val="single" w:sz="4" w:space="0" w:color="auto"/>
              <w:bottom w:val="thinThickSmallGap" w:sz="24" w:space="0" w:color="auto"/>
              <w:right w:val="single" w:sz="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0.34</w:t>
            </w:r>
          </w:p>
        </w:tc>
        <w:tc>
          <w:tcPr>
            <w:tcW w:w="851" w:type="dxa"/>
            <w:tcBorders>
              <w:left w:val="single" w:sz="4" w:space="0" w:color="auto"/>
              <w:bottom w:val="thinThickSmallGap" w:sz="24" w:space="0" w:color="auto"/>
              <w:right w:val="thinThickSmallGap" w:sz="24" w:space="0" w:color="auto"/>
            </w:tcBorders>
            <w:shd w:val="clear" w:color="auto" w:fill="auto"/>
          </w:tcPr>
          <w:p w:rsidR="00B42A3F" w:rsidRPr="00E06C9A" w:rsidRDefault="00B42A3F" w:rsidP="00B42A3F">
            <w:pPr>
              <w:jc w:val="both"/>
              <w:rPr>
                <w:rFonts w:ascii="Times" w:hAnsi="Times"/>
                <w:sz w:val="20"/>
                <w:szCs w:val="22"/>
                <w:lang w:val="en-US"/>
              </w:rPr>
            </w:pPr>
            <w:r w:rsidRPr="00E06C9A">
              <w:rPr>
                <w:rFonts w:ascii="Times" w:hAnsi="Times"/>
                <w:sz w:val="20"/>
                <w:szCs w:val="22"/>
                <w:lang w:val="en-US"/>
              </w:rPr>
              <w:t>0.00**</w:t>
            </w:r>
          </w:p>
        </w:tc>
        <w:tc>
          <w:tcPr>
            <w:tcW w:w="992" w:type="dxa"/>
            <w:tcBorders>
              <w:top w:val="nil"/>
              <w:left w:val="thinThickSmallGap" w:sz="24" w:space="0" w:color="auto"/>
              <w:bottom w:val="nil"/>
              <w:right w:val="nil"/>
            </w:tcBorders>
            <w:shd w:val="clear" w:color="auto" w:fill="auto"/>
          </w:tcPr>
          <w:p w:rsidR="00B42A3F" w:rsidRPr="00E06C9A" w:rsidRDefault="00B42A3F" w:rsidP="00B42A3F">
            <w:pPr>
              <w:jc w:val="both"/>
              <w:rPr>
                <w:sz w:val="20"/>
                <w:szCs w:val="22"/>
                <w:lang w:val="en-US"/>
              </w:rPr>
            </w:pPr>
          </w:p>
        </w:tc>
        <w:tc>
          <w:tcPr>
            <w:tcW w:w="1134"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99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1272" w:type="dxa"/>
            <w:tcBorders>
              <w:top w:val="nil"/>
              <w:left w:val="nil"/>
              <w:bottom w:val="nil"/>
              <w:right w:val="nil"/>
            </w:tcBorders>
            <w:shd w:val="clear" w:color="auto" w:fill="auto"/>
          </w:tcPr>
          <w:p w:rsidR="00B42A3F" w:rsidRPr="00E06C9A" w:rsidRDefault="00B42A3F" w:rsidP="00B42A3F">
            <w:pPr>
              <w:jc w:val="both"/>
              <w:rPr>
                <w:sz w:val="20"/>
                <w:szCs w:val="22"/>
                <w:lang w:val="en-US"/>
              </w:rPr>
            </w:pPr>
          </w:p>
        </w:tc>
        <w:tc>
          <w:tcPr>
            <w:tcW w:w="709"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c>
          <w:tcPr>
            <w:tcW w:w="851" w:type="dxa"/>
            <w:tcBorders>
              <w:top w:val="nil"/>
              <w:left w:val="nil"/>
              <w:bottom w:val="nil"/>
              <w:right w:val="nil"/>
            </w:tcBorders>
            <w:shd w:val="clear" w:color="auto" w:fill="auto"/>
          </w:tcPr>
          <w:p w:rsidR="00B42A3F" w:rsidRPr="00E06C9A" w:rsidRDefault="00B42A3F" w:rsidP="00B42A3F">
            <w:pPr>
              <w:jc w:val="both"/>
              <w:rPr>
                <w:rFonts w:ascii="Times" w:hAnsi="Times"/>
                <w:sz w:val="20"/>
                <w:szCs w:val="22"/>
                <w:lang w:val="en-US"/>
              </w:rPr>
            </w:pPr>
          </w:p>
        </w:tc>
      </w:tr>
    </w:tbl>
    <w:p w:rsidR="00B42A3F" w:rsidRPr="00124CAD" w:rsidRDefault="00B42A3F" w:rsidP="00E06C9A">
      <w:pPr>
        <w:ind w:left="142" w:right="-8" w:firstLine="0"/>
        <w:rPr>
          <w:rFonts w:ascii="Times" w:hAnsi="Times"/>
          <w:lang w:val="en-US"/>
        </w:rPr>
      </w:pPr>
      <w:r w:rsidRPr="00F377F0">
        <w:rPr>
          <w:rFonts w:ascii="Times" w:hAnsi="Times"/>
          <w:lang w:val="en-US"/>
        </w:rPr>
        <w:t>*** p&lt;0.01, ** p&lt;0.05, * p&lt;0.1</w:t>
      </w:r>
    </w:p>
    <w:p w:rsidR="00B42A3F" w:rsidRPr="00B42A3F" w:rsidRDefault="00B42A3F" w:rsidP="00B42A3F">
      <w:pPr>
        <w:jc w:val="center"/>
        <w:rPr>
          <w:rFonts w:ascii="Times New Roman" w:hAnsi="Times New Roman" w:cs="Times New Roman"/>
          <w:lang w:val="en-US"/>
        </w:rPr>
      </w:pPr>
    </w:p>
    <w:sectPr w:rsidR="00B42A3F" w:rsidRPr="00B42A3F" w:rsidSect="00B42A3F">
      <w:footerReference w:type="default" r:id="rId71"/>
      <w:pgSz w:w="16840" w:h="11900" w:orient="landscape"/>
      <w:pgMar w:top="851" w:right="964" w:bottom="1418" w:left="1304" w:header="709" w:footer="9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87D" w:rsidRDefault="0022187D" w:rsidP="00C752C0">
      <w:pPr>
        <w:spacing w:after="0" w:line="240" w:lineRule="auto"/>
      </w:pPr>
      <w:r>
        <w:separator/>
      </w:r>
    </w:p>
  </w:endnote>
  <w:endnote w:type="continuationSeparator" w:id="1">
    <w:p w:rsidR="0022187D" w:rsidRDefault="0022187D" w:rsidP="00C75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CC"/>
    <w:family w:val="swiss"/>
    <w:pitch w:val="variable"/>
    <w:sig w:usb0="A10006FF" w:usb1="4000205B" w:usb2="00000010" w:usb3="00000000" w:csb0="0000019F" w:csb1="00000000"/>
  </w:font>
  <w:font w:name="Aharoni">
    <w:altName w:val="Tahoma"/>
    <w:panose1 w:val="02010803020104030203"/>
    <w:charset w:val="B1"/>
    <w:family w:val="auto"/>
    <w:pitch w:val="variable"/>
    <w:sig w:usb0="00000801" w:usb1="00000000" w:usb2="00000000" w:usb3="00000000" w:csb0="00000020" w:csb1="00000000"/>
  </w:font>
  <w:font w:name="Cambria Math">
    <w:panose1 w:val="02040503050406030204"/>
    <w:charset w:val="CC"/>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CY">
    <w:altName w:val="Courier New"/>
    <w:charset w:val="59"/>
    <w:family w:val="auto"/>
    <w:pitch w:val="variable"/>
    <w:sig w:usb0="00000000" w:usb1="00000000" w:usb2="00000000" w:usb3="00000000" w:csb0="000001C6"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3F" w:rsidRDefault="00B42A3F" w:rsidP="00B42A3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B42A3F" w:rsidRDefault="00B42A3F">
    <w:pPr>
      <w:pStyle w:val="ab"/>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4491533"/>
      <w:docPartObj>
        <w:docPartGallery w:val="Page Numbers (Bottom of Page)"/>
        <w:docPartUnique/>
      </w:docPartObj>
    </w:sdtPr>
    <w:sdtContent>
      <w:p w:rsidR="00B42A3F" w:rsidRDefault="00B42A3F">
        <w:pPr>
          <w:pStyle w:val="ab"/>
          <w:jc w:val="center"/>
        </w:pPr>
        <w:fldSimple w:instr="PAGE   \* MERGEFORMAT">
          <w:r w:rsidR="005E226E">
            <w:rPr>
              <w:noProof/>
            </w:rPr>
            <w:t>86</w:t>
          </w:r>
        </w:fldSimple>
      </w:p>
    </w:sdtContent>
  </w:sdt>
  <w:p w:rsidR="00B42A3F" w:rsidRDefault="00B42A3F">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3F" w:rsidRDefault="00B42A3F">
    <w:pPr>
      <w:pStyle w:val="ab"/>
      <w:jc w:val="center"/>
    </w:pPr>
  </w:p>
  <w:p w:rsidR="00B42A3F" w:rsidRDefault="00B42A3F">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447190"/>
      <w:docPartObj>
        <w:docPartGallery w:val="Page Numbers (Bottom of Page)"/>
        <w:docPartUnique/>
      </w:docPartObj>
    </w:sdtPr>
    <w:sdtContent>
      <w:p w:rsidR="00B42A3F" w:rsidRDefault="00B42A3F">
        <w:pPr>
          <w:pStyle w:val="ab"/>
          <w:jc w:val="center"/>
        </w:pPr>
        <w:fldSimple w:instr="PAGE   \* MERGEFORMAT">
          <w:r w:rsidR="005E226E">
            <w:rPr>
              <w:noProof/>
            </w:rPr>
            <w:t>98</w:t>
          </w:r>
        </w:fldSimple>
      </w:p>
    </w:sdtContent>
  </w:sdt>
  <w:p w:rsidR="00B42A3F" w:rsidRDefault="00B42A3F">
    <w:pPr>
      <w:pStyle w:val="ab"/>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3F" w:rsidRDefault="00B42A3F">
    <w:pPr>
      <w:pStyle w:val="ab"/>
      <w:jc w:val="center"/>
    </w:pPr>
  </w:p>
  <w:p w:rsidR="00B42A3F" w:rsidRDefault="00B42A3F">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3F" w:rsidRDefault="00B42A3F" w:rsidP="00B42A3F">
    <w:pPr>
      <w:pStyle w:val="ab"/>
      <w:framePr w:wrap="around" w:vAnchor="text" w:hAnchor="margin" w:xAlign="center" w:y="1"/>
      <w:rPr>
        <w:rStyle w:val="ad"/>
      </w:rPr>
    </w:pPr>
    <w:r>
      <w:rPr>
        <w:rStyle w:val="ad"/>
      </w:rPr>
      <w:fldChar w:fldCharType="begin"/>
    </w:r>
    <w:r w:rsidRPr="004C0DEF">
      <w:rPr>
        <w:rStyle w:val="ad"/>
      </w:rPr>
      <w:instrText xml:space="preserve">PAGE  </w:instrText>
    </w:r>
    <w:r>
      <w:rPr>
        <w:rStyle w:val="ad"/>
      </w:rPr>
      <w:fldChar w:fldCharType="separate"/>
    </w:r>
    <w:r w:rsidR="005E226E">
      <w:rPr>
        <w:rStyle w:val="ad"/>
        <w:noProof/>
      </w:rPr>
      <w:t>45</w:t>
    </w:r>
    <w:r>
      <w:rPr>
        <w:rStyle w:val="ad"/>
      </w:rPr>
      <w:fldChar w:fldCharType="end"/>
    </w:r>
  </w:p>
  <w:p w:rsidR="00B42A3F" w:rsidRDefault="00B42A3F">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3F" w:rsidRDefault="00B42A3F">
    <w:pPr>
      <w:pStyle w:val="ab"/>
      <w:jc w:val="center"/>
    </w:pPr>
  </w:p>
  <w:p w:rsidR="00B42A3F" w:rsidRDefault="00B42A3F">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3F" w:rsidRDefault="00B42A3F">
    <w:pPr>
      <w:pStyle w:val="ab"/>
      <w:jc w:val="center"/>
    </w:pPr>
  </w:p>
  <w:p w:rsidR="00B42A3F" w:rsidRDefault="00B42A3F">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3644569"/>
      <w:docPartObj>
        <w:docPartGallery w:val="Page Numbers (Bottom of Page)"/>
        <w:docPartUnique/>
      </w:docPartObj>
    </w:sdtPr>
    <w:sdtContent>
      <w:p w:rsidR="00B42A3F" w:rsidRDefault="00B42A3F">
        <w:pPr>
          <w:pStyle w:val="ab"/>
          <w:jc w:val="center"/>
        </w:pPr>
        <w:fldSimple w:instr="PAGE   \* MERGEFORMAT">
          <w:r w:rsidR="005E226E">
            <w:rPr>
              <w:noProof/>
            </w:rPr>
            <w:t>53</w:t>
          </w:r>
        </w:fldSimple>
      </w:p>
    </w:sdtContent>
  </w:sdt>
  <w:p w:rsidR="00B42A3F" w:rsidRDefault="00B42A3F">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3F" w:rsidRDefault="00B42A3F">
    <w:pPr>
      <w:pStyle w:val="ab"/>
      <w:jc w:val="center"/>
    </w:pPr>
  </w:p>
  <w:p w:rsidR="00B42A3F" w:rsidRDefault="00B42A3F">
    <w:pPr>
      <w:pStyle w:val="a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319771"/>
      <w:docPartObj>
        <w:docPartGallery w:val="Page Numbers (Bottom of Page)"/>
        <w:docPartUnique/>
      </w:docPartObj>
    </w:sdtPr>
    <w:sdtContent>
      <w:p w:rsidR="00B42A3F" w:rsidRDefault="00B42A3F">
        <w:pPr>
          <w:pStyle w:val="ab"/>
          <w:jc w:val="center"/>
        </w:pPr>
        <w:fldSimple w:instr="PAGE   \* MERGEFORMAT">
          <w:r w:rsidR="005E226E">
            <w:rPr>
              <w:noProof/>
            </w:rPr>
            <w:t>56</w:t>
          </w:r>
        </w:fldSimple>
      </w:p>
    </w:sdtContent>
  </w:sdt>
  <w:p w:rsidR="00B42A3F" w:rsidRDefault="00B42A3F">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3F" w:rsidRDefault="00B42A3F">
    <w:pPr>
      <w:pStyle w:val="ab"/>
      <w:jc w:val="center"/>
    </w:pPr>
  </w:p>
  <w:p w:rsidR="00B42A3F" w:rsidRDefault="00B42A3F">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3F" w:rsidRDefault="00B42A3F">
    <w:pPr>
      <w:pStyle w:val="ab"/>
      <w:jc w:val="center"/>
    </w:pPr>
  </w:p>
  <w:p w:rsidR="00B42A3F" w:rsidRDefault="00B42A3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87D" w:rsidRDefault="0022187D" w:rsidP="00C752C0">
      <w:pPr>
        <w:spacing w:after="0" w:line="240" w:lineRule="auto"/>
      </w:pPr>
      <w:r>
        <w:separator/>
      </w:r>
    </w:p>
  </w:footnote>
  <w:footnote w:type="continuationSeparator" w:id="1">
    <w:p w:rsidR="0022187D" w:rsidRDefault="0022187D" w:rsidP="00C752C0">
      <w:pPr>
        <w:spacing w:after="0" w:line="240" w:lineRule="auto"/>
      </w:pPr>
      <w:r>
        <w:continuationSeparator/>
      </w:r>
    </w:p>
  </w:footnote>
  <w:footnote w:id="2">
    <w:p w:rsidR="00E35D4E" w:rsidRPr="000705C7" w:rsidRDefault="00E35D4E" w:rsidP="00E35D4E">
      <w:pPr>
        <w:pStyle w:val="a6"/>
        <w:ind w:left="-284"/>
        <w:jc w:val="both"/>
        <w:rPr>
          <w:rFonts w:ascii="Times" w:hAnsi="Times"/>
          <w:sz w:val="20"/>
          <w:szCs w:val="20"/>
        </w:rPr>
      </w:pPr>
      <w:r>
        <w:rPr>
          <w:rStyle w:val="af"/>
        </w:rPr>
        <w:footnoteRef/>
      </w:r>
      <w:r>
        <w:t xml:space="preserve"> </w:t>
      </w:r>
      <w:r w:rsidRPr="000705C7">
        <w:rPr>
          <w:rFonts w:ascii="Times" w:hAnsi="Times"/>
          <w:sz w:val="20"/>
          <w:szCs w:val="20"/>
        </w:rPr>
        <w:t>Начало использования в промышленных масштабах персональных компьютеров, ставших одним из символов эпохи глобализации, произошло в 1980-е годы</w:t>
      </w:r>
    </w:p>
  </w:footnote>
  <w:footnote w:id="3">
    <w:p w:rsidR="00B42A3F" w:rsidRPr="00DC6451" w:rsidRDefault="00B42A3F" w:rsidP="00C752C0">
      <w:pPr>
        <w:pStyle w:val="a6"/>
        <w:ind w:left="-284"/>
        <w:jc w:val="both"/>
        <w:rPr>
          <w:lang w:val="en-US"/>
        </w:rPr>
      </w:pPr>
      <w:r>
        <w:rPr>
          <w:rStyle w:val="af"/>
        </w:rPr>
        <w:footnoteRef/>
      </w:r>
      <w:r w:rsidRPr="00DC6451">
        <w:rPr>
          <w:lang w:val="en-US"/>
        </w:rPr>
        <w:t xml:space="preserve"> </w:t>
      </w:r>
      <w:r w:rsidRPr="00DC6451">
        <w:rPr>
          <w:sz w:val="20"/>
          <w:lang w:val="en-US"/>
        </w:rPr>
        <w:t>Research has been conducted with financial support from the SPSU grant (project No.  </w:t>
      </w:r>
      <w:r w:rsidRPr="00C752C0">
        <w:rPr>
          <w:b/>
          <w:bCs/>
          <w:sz w:val="20"/>
          <w:lang w:val="en-US"/>
        </w:rPr>
        <w:t>16.23.1841.2015</w:t>
      </w:r>
      <w:r w:rsidRPr="00DC6451">
        <w:rPr>
          <w:sz w:val="20"/>
          <w:lang w:val="en-US"/>
        </w:rPr>
        <w:t>).</w:t>
      </w:r>
    </w:p>
  </w:footnote>
  <w:footnote w:id="4">
    <w:p w:rsidR="00B42A3F" w:rsidRPr="00217030" w:rsidRDefault="00B42A3F" w:rsidP="00C752C0">
      <w:pPr>
        <w:pStyle w:val="a6"/>
        <w:rPr>
          <w:rFonts w:ascii="Times" w:hAnsi="Times"/>
          <w:sz w:val="20"/>
          <w:szCs w:val="20"/>
          <w:lang w:val="en-US"/>
        </w:rPr>
      </w:pPr>
      <w:r>
        <w:rPr>
          <w:rStyle w:val="af"/>
        </w:rPr>
        <w:footnoteRef/>
      </w:r>
      <w:r w:rsidRPr="00667A27">
        <w:rPr>
          <w:lang w:val="en-US"/>
        </w:rPr>
        <w:t xml:space="preserve"> </w:t>
      </w:r>
      <w:r>
        <w:rPr>
          <w:rFonts w:ascii="Times" w:hAnsi="Times"/>
          <w:sz w:val="20"/>
          <w:szCs w:val="20"/>
          <w:lang w:val="en-US"/>
        </w:rPr>
        <w:t>W</w:t>
      </w:r>
      <w:r w:rsidRPr="00217030">
        <w:rPr>
          <w:rFonts w:ascii="Times" w:hAnsi="Times"/>
          <w:sz w:val="20"/>
          <w:szCs w:val="20"/>
          <w:lang w:val="en-US"/>
        </w:rPr>
        <w:t>ith distinction, if available</w:t>
      </w:r>
    </w:p>
  </w:footnote>
  <w:footnote w:id="5">
    <w:p w:rsidR="00B42A3F" w:rsidRPr="00217030" w:rsidRDefault="00B42A3F" w:rsidP="00C752C0">
      <w:pPr>
        <w:pStyle w:val="a6"/>
        <w:rPr>
          <w:rFonts w:ascii="Times" w:hAnsi="Times"/>
          <w:sz w:val="20"/>
          <w:szCs w:val="20"/>
          <w:lang w:val="en-US"/>
        </w:rPr>
      </w:pPr>
      <w:r>
        <w:rPr>
          <w:rStyle w:val="af"/>
        </w:rPr>
        <w:footnoteRef/>
      </w:r>
      <w:r w:rsidRPr="00667A27">
        <w:rPr>
          <w:lang w:val="en-US"/>
        </w:rPr>
        <w:t xml:space="preserve"> </w:t>
      </w:r>
      <w:r>
        <w:rPr>
          <w:rFonts w:ascii="Times" w:hAnsi="Times"/>
          <w:sz w:val="20"/>
          <w:szCs w:val="20"/>
          <w:lang w:val="en-US"/>
        </w:rPr>
        <w:t>D</w:t>
      </w:r>
      <w:r w:rsidRPr="00217030">
        <w:rPr>
          <w:rFonts w:ascii="Times" w:hAnsi="Times"/>
          <w:sz w:val="20"/>
          <w:szCs w:val="20"/>
          <w:lang w:val="en-US"/>
        </w:rPr>
        <w:t xml:space="preserve">epend </w:t>
      </w:r>
      <w:r w:rsidRPr="00114BF2">
        <w:rPr>
          <w:rFonts w:ascii="Times" w:hAnsi="Times"/>
          <w:sz w:val="20"/>
          <w:szCs w:val="20"/>
          <w:lang w:val="en-US"/>
        </w:rPr>
        <w:t>on the main industries for the</w:t>
      </w:r>
      <w:r w:rsidRPr="00217030">
        <w:rPr>
          <w:rFonts w:ascii="Times" w:hAnsi="Times"/>
          <w:sz w:val="20"/>
          <w:szCs w:val="20"/>
          <w:lang w:val="en-US"/>
        </w:rPr>
        <w:t xml:space="preserve"> particular country</w:t>
      </w:r>
    </w:p>
  </w:footnote>
  <w:footnote w:id="6">
    <w:p w:rsidR="00B42A3F" w:rsidRPr="00E81434" w:rsidRDefault="00B42A3F" w:rsidP="00C752C0">
      <w:pPr>
        <w:pStyle w:val="a6"/>
        <w:jc w:val="both"/>
        <w:rPr>
          <w:rFonts w:ascii="Times" w:hAnsi="Times"/>
          <w:sz w:val="20"/>
          <w:szCs w:val="20"/>
          <w:lang w:val="en-US"/>
        </w:rPr>
      </w:pPr>
      <w:r>
        <w:rPr>
          <w:rStyle w:val="af"/>
        </w:rPr>
        <w:footnoteRef/>
      </w:r>
      <w:r w:rsidRPr="00667A27">
        <w:rPr>
          <w:lang w:val="en-US"/>
        </w:rPr>
        <w:t xml:space="preserve"> </w:t>
      </w:r>
      <w:r>
        <w:rPr>
          <w:rFonts w:ascii="Times" w:hAnsi="Times"/>
          <w:sz w:val="20"/>
          <w:szCs w:val="20"/>
          <w:lang w:val="en-US"/>
        </w:rPr>
        <w:t>D</w:t>
      </w:r>
      <w:r w:rsidRPr="00E81434">
        <w:rPr>
          <w:rFonts w:ascii="Times" w:hAnsi="Times"/>
          <w:sz w:val="20"/>
          <w:szCs w:val="20"/>
          <w:lang w:val="en-US"/>
        </w:rPr>
        <w:t>epend on the main industries for the particular country; in some cases (e.g. from OMX Nasdaq Nordic for Finland) information wasn’t available for the domestic stock exchange’s commodities, so, metal prices were obtained from London Stock Exchange</w:t>
      </w:r>
    </w:p>
  </w:footnote>
  <w:footnote w:id="7">
    <w:p w:rsidR="00B42A3F" w:rsidRPr="00774617" w:rsidRDefault="00B42A3F" w:rsidP="00C752C0">
      <w:pPr>
        <w:pStyle w:val="a6"/>
        <w:rPr>
          <w:rFonts w:ascii="Times" w:hAnsi="Times"/>
          <w:sz w:val="20"/>
          <w:szCs w:val="20"/>
          <w:lang w:val="en-US"/>
        </w:rPr>
      </w:pPr>
      <w:r>
        <w:rPr>
          <w:rStyle w:val="af"/>
        </w:rPr>
        <w:footnoteRef/>
      </w:r>
      <w:r w:rsidRPr="00667A27">
        <w:rPr>
          <w:lang w:val="en-US"/>
        </w:rPr>
        <w:t xml:space="preserve"> </w:t>
      </w:r>
      <w:r w:rsidRPr="00774617">
        <w:rPr>
          <w:rFonts w:ascii="Times" w:hAnsi="Times"/>
          <w:sz w:val="20"/>
          <w:szCs w:val="20"/>
          <w:lang w:val="en-US"/>
        </w:rPr>
        <w:t>Money supply type M1 includes the following money types:</w:t>
      </w:r>
    </w:p>
    <w:p w:rsidR="00B42A3F" w:rsidRPr="00774617" w:rsidRDefault="00B42A3F" w:rsidP="0022187D">
      <w:pPr>
        <w:pStyle w:val="a6"/>
        <w:numPr>
          <w:ilvl w:val="0"/>
          <w:numId w:val="19"/>
        </w:numPr>
        <w:spacing w:before="0" w:beforeAutospacing="0" w:after="0" w:afterAutospacing="0"/>
        <w:rPr>
          <w:rFonts w:ascii="Times" w:hAnsi="Times"/>
          <w:sz w:val="20"/>
          <w:szCs w:val="20"/>
          <w:lang w:val="en-US"/>
        </w:rPr>
      </w:pPr>
      <w:r w:rsidRPr="00774617">
        <w:rPr>
          <w:rFonts w:ascii="Times" w:hAnsi="Times"/>
          <w:sz w:val="20"/>
          <w:szCs w:val="20"/>
          <w:lang w:val="en-US"/>
        </w:rPr>
        <w:t>notes and coins in circulation (outside Federal Reserve Banks and the vaults of depository institutions);</w:t>
      </w:r>
    </w:p>
    <w:p w:rsidR="00B42A3F" w:rsidRPr="00774617" w:rsidRDefault="00B42A3F" w:rsidP="0022187D">
      <w:pPr>
        <w:pStyle w:val="a6"/>
        <w:numPr>
          <w:ilvl w:val="0"/>
          <w:numId w:val="19"/>
        </w:numPr>
        <w:spacing w:before="0" w:beforeAutospacing="0" w:after="0" w:afterAutospacing="0"/>
        <w:rPr>
          <w:rFonts w:ascii="Times" w:hAnsi="Times"/>
          <w:sz w:val="20"/>
          <w:szCs w:val="20"/>
          <w:lang w:val="en-US"/>
        </w:rPr>
      </w:pPr>
      <w:r w:rsidRPr="00774617">
        <w:rPr>
          <w:rFonts w:ascii="Times" w:hAnsi="Times"/>
          <w:sz w:val="20"/>
          <w:szCs w:val="20"/>
          <w:lang w:val="en-US"/>
        </w:rPr>
        <w:t>traveler’s checks of non-bank issuers;</w:t>
      </w:r>
    </w:p>
    <w:p w:rsidR="00B42A3F" w:rsidRPr="00774617" w:rsidRDefault="00B42A3F" w:rsidP="0022187D">
      <w:pPr>
        <w:pStyle w:val="a6"/>
        <w:numPr>
          <w:ilvl w:val="0"/>
          <w:numId w:val="19"/>
        </w:numPr>
        <w:spacing w:before="0" w:beforeAutospacing="0" w:after="0" w:afterAutospacing="0"/>
        <w:rPr>
          <w:rFonts w:ascii="Times" w:hAnsi="Times"/>
          <w:sz w:val="20"/>
          <w:szCs w:val="20"/>
          <w:lang w:val="en-US"/>
        </w:rPr>
      </w:pPr>
      <w:r w:rsidRPr="00774617">
        <w:rPr>
          <w:rFonts w:ascii="Times" w:hAnsi="Times"/>
          <w:sz w:val="20"/>
          <w:szCs w:val="20"/>
          <w:lang w:val="en-US"/>
        </w:rPr>
        <w:t>demand deposits</w:t>
      </w:r>
    </w:p>
  </w:footnote>
  <w:footnote w:id="8">
    <w:p w:rsidR="00B42A3F" w:rsidRPr="00CA7FB4" w:rsidRDefault="00B42A3F" w:rsidP="00C752C0">
      <w:pPr>
        <w:pStyle w:val="a6"/>
        <w:rPr>
          <w:b/>
          <w:sz w:val="20"/>
          <w:lang w:val="en-US"/>
        </w:rPr>
      </w:pPr>
      <w:r w:rsidRPr="00CA7FB4">
        <w:rPr>
          <w:rStyle w:val="af"/>
          <w:rFonts w:ascii="Aharoni" w:hAnsi="Aharoni" w:cs="Aharoni"/>
        </w:rPr>
        <w:footnoteRef/>
      </w:r>
      <w:r w:rsidRPr="00CA7FB4">
        <w:rPr>
          <w:rFonts w:ascii="Aharoni" w:hAnsi="Aharoni" w:cs="Aharoni"/>
          <w:lang w:val="en-US"/>
        </w:rPr>
        <w:t xml:space="preserve"> </w:t>
      </w:r>
      <w:r w:rsidRPr="00CA7FB4">
        <w:rPr>
          <w:sz w:val="20"/>
          <w:lang w:val="en-US"/>
        </w:rPr>
        <w:t>World Federation of Exchanges web page:</w:t>
      </w:r>
      <w:r w:rsidRPr="00CA7FB4">
        <w:rPr>
          <w:rFonts w:ascii="Aharoni" w:hAnsi="Aharoni" w:cs="Aharoni"/>
          <w:sz w:val="20"/>
          <w:lang w:val="en-US"/>
        </w:rPr>
        <w:t xml:space="preserve"> </w:t>
      </w:r>
      <w:hyperlink r:id="rId1" w:history="1">
        <w:r w:rsidRPr="008B1F01">
          <w:rPr>
            <w:rStyle w:val="a3"/>
            <w:sz w:val="20"/>
            <w:lang w:val="en-US"/>
          </w:rPr>
          <w:t>http://www.world-exchanges.org/home/</w:t>
        </w:r>
      </w:hyperlink>
      <w:r>
        <w:rPr>
          <w:sz w:val="20"/>
          <w:lang w:val="en-US"/>
        </w:rPr>
        <w:t xml:space="preserve"> </w:t>
      </w:r>
    </w:p>
  </w:footnote>
  <w:footnote w:id="9">
    <w:p w:rsidR="00B42A3F" w:rsidRPr="00A41E08" w:rsidRDefault="00B42A3F" w:rsidP="00C752C0">
      <w:pPr>
        <w:pStyle w:val="a6"/>
        <w:rPr>
          <w:sz w:val="20"/>
          <w:lang w:val="en-US"/>
        </w:rPr>
      </w:pPr>
      <w:r>
        <w:rPr>
          <w:rStyle w:val="af"/>
        </w:rPr>
        <w:footnoteRef/>
      </w:r>
      <w:r w:rsidRPr="00A41E08">
        <w:rPr>
          <w:lang w:val="en-US"/>
        </w:rPr>
        <w:t xml:space="preserve"> </w:t>
      </w:r>
      <w:r w:rsidRPr="00A41E08">
        <w:rPr>
          <w:sz w:val="20"/>
          <w:lang w:val="en-US"/>
        </w:rPr>
        <w:t xml:space="preserve">World Bank World Development Indicators database web page: </w:t>
      </w:r>
      <w:hyperlink r:id="rId2" w:history="1">
        <w:r w:rsidRPr="00A41E08">
          <w:rPr>
            <w:rStyle w:val="a3"/>
            <w:sz w:val="20"/>
            <w:lang w:val="en-US"/>
          </w:rPr>
          <w:t>http://databank.worldbank.org/data/reports.aspx?source=world-development-indicators#</w:t>
        </w:r>
      </w:hyperlink>
      <w:r w:rsidRPr="00A41E08">
        <w:rPr>
          <w:sz w:val="20"/>
          <w:lang w:val="en-US"/>
        </w:rPr>
        <w:t xml:space="preserve"> </w:t>
      </w:r>
    </w:p>
  </w:footnote>
  <w:footnote w:id="10">
    <w:p w:rsidR="00B42A3F" w:rsidRPr="00647196" w:rsidRDefault="00B42A3F" w:rsidP="00C752C0">
      <w:pPr>
        <w:pStyle w:val="a6"/>
        <w:jc w:val="both"/>
        <w:rPr>
          <w:sz w:val="20"/>
          <w:lang w:val="en-US"/>
        </w:rPr>
      </w:pPr>
      <w:r>
        <w:rPr>
          <w:rStyle w:val="af"/>
        </w:rPr>
        <w:footnoteRef/>
      </w:r>
      <w:r w:rsidRPr="00EC3DDF">
        <w:rPr>
          <w:lang w:val="en-US"/>
        </w:rPr>
        <w:t xml:space="preserve"> </w:t>
      </w:r>
      <w:r w:rsidRPr="00647196">
        <w:rPr>
          <w:sz w:val="20"/>
          <w:lang w:val="en-US"/>
        </w:rPr>
        <w:t xml:space="preserve">Akaike </w:t>
      </w:r>
      <w:r>
        <w:rPr>
          <w:sz w:val="20"/>
          <w:lang w:val="en-US"/>
        </w:rPr>
        <w:t xml:space="preserve">information criterion (AIC) was developed by his author in 1973 </w:t>
      </w:r>
      <w:r>
        <w:rPr>
          <w:sz w:val="20"/>
          <w:lang w:val="en-US"/>
        </w:rPr>
        <w:fldChar w:fldCharType="begin" w:fldLock="1"/>
      </w:r>
      <w:r>
        <w:rPr>
          <w:sz w:val="20"/>
          <w:lang w:val="en-US"/>
        </w:rPr>
        <w:instrText>ADDIN CSL_CITATION { "citationItems" : [ { "id" : "ITEM-1", "itemData" : { "author" : [ { "dropping-particle" : "", "family" : "Akaike", "given" : "H.", "non-dropping-particle" : "", "parse-names" : false, "suffix" : "" } ], "container-title" : "Breakthroughs in Statistics Volume 1. Foundations and Basic Theory", "editor" : [ { "dropping-particle" : "", "family" : "Kotz", "given" : "S.", "non-dropping-particle" : "", "parse-names" : false, "suffix" : "" }, { "dropping-particle" : "", "family" : "Johnson", "given" : "N.L.", "non-dropping-particle" : "", "parse-names" : false, "suffix" : "" } ], "id" : "ITEM-1", "issued" : { "date-parts" : [ [ "1992" ] ] }, "page" : "610-624", "publisher" : "Springer Series in Statistics, Perspectives in Statistics. Springer-Verlag", "publisher-place" : "New York", "title" : "Information Theory and an Extension of the Maximum Likelihood Principle", "type" : "chapter" }, "uris" : [ "http://www.mendeley.com/documents/?uuid=ed5ecb37-8615-3b5c-a4ae-7bc7e799c712" ] } ], "mendeley" : { "formattedCitation" : "(Akaike, 1992)", "plainTextFormattedCitation" : "(Akaike, 1992)", "previouslyFormattedCitation" : "(Akaike, 1992)" }, "properties" : { "noteIndex" : 0 }, "schema" : "https://github.com/citation-style-language/schema/raw/master/csl-citation.json" }</w:instrText>
      </w:r>
      <w:r>
        <w:rPr>
          <w:sz w:val="20"/>
          <w:lang w:val="en-US"/>
        </w:rPr>
        <w:fldChar w:fldCharType="separate"/>
      </w:r>
      <w:r w:rsidRPr="00D5778A">
        <w:rPr>
          <w:noProof/>
          <w:sz w:val="20"/>
          <w:lang w:val="en-US"/>
        </w:rPr>
        <w:t>(Akaike, 1992)</w:t>
      </w:r>
      <w:r>
        <w:rPr>
          <w:sz w:val="20"/>
          <w:lang w:val="en-US"/>
        </w:rPr>
        <w:fldChar w:fldCharType="end"/>
      </w:r>
      <w:r>
        <w:rPr>
          <w:sz w:val="20"/>
          <w:lang w:val="en-US"/>
        </w:rPr>
        <w:t xml:space="preserve">. The strong quality of AIC is that it leads to the best approximating AR model and is asymptotically efficient </w:t>
      </w:r>
      <w:r>
        <w:rPr>
          <w:sz w:val="20"/>
          <w:lang w:val="en-US"/>
        </w:rPr>
        <w:fldChar w:fldCharType="begin" w:fldLock="1"/>
      </w:r>
      <w:r>
        <w:rPr>
          <w:sz w:val="20"/>
          <w:lang w:val="en-US"/>
        </w:rPr>
        <w:instrText>ADDIN CSL_CITATION { "citationItems" : [ { "id" : "ITEM-1", "itemData" : { "author" : [ { "dropping-particle" : "", "family" : "Hurvich", "given" : "C.", "non-dropping-particle" : "", "parse-names" : false, "suffix" : "" } ], "id" : "ITEM-1", "issued" : { "date-parts" : [ [ "2002" ] ] }, "title" : "The AICc criterion for autoregressive model selection", "type" : "report" }, "uris" : [ "http://www.mendeley.com/documents/?uuid=a9936e4e-1c5a-4aa5-8164-d36cd04985c7" ] } ], "mendeley" : { "formattedCitation" : "(Hurvich, 2002)", "plainTextFormattedCitation" : "(Hurvich, 2002)", "previouslyFormattedCitation" : "(Hurvich, 2002)" }, "properties" : { "noteIndex" : 0 }, "schema" : "https://github.com/citation-style-language/schema/raw/master/csl-citation.json" }</w:instrText>
      </w:r>
      <w:r>
        <w:rPr>
          <w:sz w:val="20"/>
          <w:lang w:val="en-US"/>
        </w:rPr>
        <w:fldChar w:fldCharType="separate"/>
      </w:r>
      <w:r w:rsidRPr="00D5778A">
        <w:rPr>
          <w:noProof/>
          <w:sz w:val="20"/>
          <w:lang w:val="en-US"/>
        </w:rPr>
        <w:t>(Hurvich, 2002)</w:t>
      </w:r>
      <w:r>
        <w:rPr>
          <w:sz w:val="20"/>
          <w:lang w:val="en-US"/>
        </w:rPr>
        <w:fldChar w:fldCharType="end"/>
      </w:r>
      <w:r>
        <w:rPr>
          <w:sz w:val="20"/>
          <w:lang w:val="en-US"/>
        </w:rPr>
        <w:t>.</w:t>
      </w:r>
    </w:p>
  </w:footnote>
  <w:footnote w:id="11">
    <w:p w:rsidR="00B42A3F" w:rsidRPr="001B3BB4" w:rsidRDefault="00B42A3F" w:rsidP="00C752C0">
      <w:pPr>
        <w:pStyle w:val="Default"/>
        <w:rPr>
          <w:rFonts w:ascii="Times" w:hAnsi="Times"/>
          <w:sz w:val="20"/>
          <w:szCs w:val="20"/>
        </w:rPr>
      </w:pPr>
      <w:r>
        <w:rPr>
          <w:rStyle w:val="af"/>
        </w:rPr>
        <w:footnoteRef/>
      </w:r>
      <w:r>
        <w:t xml:space="preserve"> </w:t>
      </w:r>
      <w:r w:rsidRPr="001B3BB4">
        <w:rPr>
          <w:rFonts w:ascii="Times" w:hAnsi="Times"/>
          <w:sz w:val="20"/>
          <w:szCs w:val="20"/>
        </w:rPr>
        <w:t xml:space="preserve">Anbima is Brazilian Financial and Capital Markets Association (founded in 2009), which main activities include: regulation, analysis, investor’s education, certification of investments professionals </w:t>
      </w:r>
    </w:p>
    <w:p w:rsidR="00B42A3F" w:rsidRPr="001B3BB4" w:rsidRDefault="00B42A3F" w:rsidP="00C752C0">
      <w:pPr>
        <w:pStyle w:val="a6"/>
        <w:jc w:val="both"/>
        <w:rPr>
          <w:rFonts w:ascii="Times" w:hAnsi="Times"/>
          <w:sz w:val="20"/>
          <w:szCs w:val="20"/>
          <w:lang w:val="en-US"/>
        </w:rPr>
      </w:pPr>
      <w:r w:rsidRPr="00667A27">
        <w:rPr>
          <w:rFonts w:ascii="Times" w:hAnsi="Times"/>
          <w:b/>
          <w:bCs/>
          <w:sz w:val="20"/>
          <w:szCs w:val="20"/>
          <w:lang w:val="en-US"/>
        </w:rPr>
        <w:t>http://</w:t>
      </w:r>
      <w:hyperlink r:id="rId3" w:history="1">
        <w:r w:rsidRPr="00667A27">
          <w:rPr>
            <w:rStyle w:val="a3"/>
            <w:rFonts w:ascii="Times" w:hAnsi="Times"/>
            <w:b/>
            <w:bCs/>
            <w:sz w:val="20"/>
            <w:szCs w:val="20"/>
            <w:lang w:val="en-US"/>
          </w:rPr>
          <w:t>www.anbima.com.br</w:t>
        </w:r>
      </w:hyperlink>
      <w:r w:rsidRPr="00667A27">
        <w:rPr>
          <w:rFonts w:ascii="Times" w:hAnsi="Times"/>
          <w:b/>
          <w:bCs/>
          <w:sz w:val="20"/>
          <w:szCs w:val="20"/>
          <w:lang w:val="en-US"/>
        </w:rPr>
        <w:t>/</w:t>
      </w:r>
    </w:p>
  </w:footnote>
  <w:footnote w:id="12">
    <w:p w:rsidR="00B42A3F" w:rsidRPr="00F076DE" w:rsidRDefault="00B42A3F" w:rsidP="00C752C0">
      <w:pPr>
        <w:pStyle w:val="a6"/>
        <w:jc w:val="both"/>
        <w:rPr>
          <w:rFonts w:ascii="Times" w:hAnsi="Times"/>
          <w:sz w:val="20"/>
          <w:szCs w:val="20"/>
          <w:lang w:val="en-US"/>
        </w:rPr>
      </w:pPr>
      <w:r>
        <w:rPr>
          <w:rStyle w:val="af"/>
        </w:rPr>
        <w:footnoteRef/>
      </w:r>
      <w:r w:rsidRPr="00667A27">
        <w:rPr>
          <w:lang w:val="en-US"/>
        </w:rPr>
        <w:t xml:space="preserve"> </w:t>
      </w:r>
      <w:r w:rsidRPr="00F076DE">
        <w:rPr>
          <w:rFonts w:ascii="Times" w:hAnsi="Times"/>
          <w:sz w:val="20"/>
          <w:szCs w:val="20"/>
          <w:lang w:val="en-US"/>
        </w:rPr>
        <w:t>Special Clearance and Escrow System is the Brazilian Central Bank’s system for performing open market operations in execution of monetary policy. The selic rate is the Bank’s overnight rate</w:t>
      </w:r>
    </w:p>
  </w:footnote>
  <w:footnote w:id="13">
    <w:p w:rsidR="00B42A3F" w:rsidRPr="008D586D" w:rsidRDefault="00B42A3F" w:rsidP="00C752C0">
      <w:pPr>
        <w:pStyle w:val="a6"/>
        <w:jc w:val="both"/>
        <w:rPr>
          <w:rFonts w:ascii="Times" w:hAnsi="Times"/>
          <w:sz w:val="20"/>
          <w:szCs w:val="20"/>
          <w:lang w:val="en-US"/>
        </w:rPr>
      </w:pPr>
      <w:r>
        <w:rPr>
          <w:rStyle w:val="af"/>
        </w:rPr>
        <w:footnoteRef/>
      </w:r>
      <w:r w:rsidRPr="00667A27">
        <w:rPr>
          <w:lang w:val="en-US"/>
        </w:rPr>
        <w:t xml:space="preserve"> </w:t>
      </w:r>
      <w:r w:rsidRPr="008D586D">
        <w:rPr>
          <w:rFonts w:ascii="Times" w:hAnsi="Times"/>
          <w:sz w:val="20"/>
          <w:szCs w:val="20"/>
          <w:lang w:val="en-US"/>
        </w:rPr>
        <w:t>Average One-Day Interbank Deposit Rate is calculated by the Central of Custody and Financial Settlement of Securities (CETIP). It indicates the average rate of all inter-bank overnight transactions in Brazil</w:t>
      </w:r>
    </w:p>
  </w:footnote>
  <w:footnote w:id="14">
    <w:p w:rsidR="00B42A3F" w:rsidRPr="00BB70C6" w:rsidRDefault="00B42A3F" w:rsidP="00C752C0">
      <w:pPr>
        <w:pStyle w:val="a6"/>
        <w:jc w:val="both"/>
        <w:rPr>
          <w:lang w:val="en-US"/>
        </w:rPr>
      </w:pPr>
      <w:r>
        <w:rPr>
          <w:rStyle w:val="af"/>
        </w:rPr>
        <w:footnoteRef/>
      </w:r>
      <w:r w:rsidRPr="00667A27">
        <w:rPr>
          <w:lang w:val="en-US"/>
        </w:rPr>
        <w:t xml:space="preserve"> </w:t>
      </w:r>
      <w:r w:rsidRPr="000F21C8">
        <w:rPr>
          <w:rFonts w:ascii="Times" w:hAnsi="Times"/>
          <w:sz w:val="20"/>
          <w:szCs w:val="20"/>
          <w:lang w:val="en-US"/>
        </w:rPr>
        <w:t>Reference rate is an interest rate benchmark upon which a floating-rate security or interest rate swap is based (e.g. LIBOR, the prime rate or the rate on benchmark US Treasuries)</w:t>
      </w:r>
    </w:p>
  </w:footnote>
  <w:footnote w:id="15">
    <w:p w:rsidR="00B42A3F" w:rsidRDefault="00B42A3F" w:rsidP="00C752C0">
      <w:pPr>
        <w:pStyle w:val="a6"/>
        <w:jc w:val="both"/>
        <w:rPr>
          <w:rFonts w:ascii="Times" w:hAnsi="Times"/>
          <w:sz w:val="20"/>
          <w:szCs w:val="20"/>
          <w:lang w:val="en-US"/>
        </w:rPr>
      </w:pPr>
      <w:r>
        <w:rPr>
          <w:rStyle w:val="af"/>
        </w:rPr>
        <w:footnoteRef/>
      </w:r>
      <w:r w:rsidRPr="00667A27">
        <w:rPr>
          <w:lang w:val="en-US"/>
        </w:rPr>
        <w:t xml:space="preserve"> </w:t>
      </w:r>
      <w:r w:rsidRPr="00915DD3">
        <w:rPr>
          <w:rFonts w:ascii="Times" w:hAnsi="Times"/>
          <w:sz w:val="20"/>
          <w:szCs w:val="20"/>
          <w:lang w:val="en-US"/>
        </w:rPr>
        <w:t>Operating band – the Bank of Canada’s 50-basis point rate (i.e., ½ of the percentage point) for the overnight rate. The top of the band, the Bank Rate, is the rate charged by the Bank on LVTS advances to financial institutions. The bottom of the band is the rate paid by the Bank on any LVTS balances held overnight by those institutions. The middle of the band is the Bank’s target for the overnight rate.</w:t>
      </w:r>
    </w:p>
    <w:p w:rsidR="00B42A3F" w:rsidRDefault="00B42A3F" w:rsidP="00C752C0">
      <w:pPr>
        <w:pStyle w:val="a6"/>
        <w:jc w:val="both"/>
        <w:rPr>
          <w:rFonts w:ascii="Times" w:hAnsi="Times"/>
          <w:sz w:val="20"/>
          <w:szCs w:val="20"/>
          <w:lang w:val="en-US"/>
        </w:rPr>
      </w:pPr>
      <w:r>
        <w:rPr>
          <w:rFonts w:ascii="Times" w:hAnsi="Times"/>
          <w:sz w:val="20"/>
          <w:szCs w:val="20"/>
          <w:lang w:val="en-US"/>
        </w:rPr>
        <w:t>LVTS – Large Value Transfer System – Canadian Payment Association electronic system for the transfer of large-value or time-critical payments.</w:t>
      </w:r>
    </w:p>
    <w:p w:rsidR="00B42A3F" w:rsidRPr="00915DD3" w:rsidRDefault="00B42A3F" w:rsidP="00C752C0">
      <w:pPr>
        <w:pStyle w:val="a6"/>
        <w:jc w:val="both"/>
        <w:rPr>
          <w:rFonts w:ascii="Times" w:hAnsi="Times"/>
          <w:sz w:val="20"/>
          <w:szCs w:val="20"/>
          <w:lang w:val="en-US"/>
        </w:rPr>
      </w:pPr>
      <w:r>
        <w:rPr>
          <w:rFonts w:ascii="Times" w:hAnsi="Times"/>
          <w:sz w:val="20"/>
          <w:szCs w:val="20"/>
          <w:lang w:val="en-US"/>
        </w:rPr>
        <w:t xml:space="preserve">An advance to LVTS is an advance to an LVTS participant in order to cover a deficit in its end-of-day cash position (it is commonly named an overdraft loan and the interest rate on the one-business-day loan is set at the Bank Rate). Source: the Bank of Canada </w:t>
      </w:r>
      <w:hyperlink r:id="rId4" w:history="1">
        <w:r w:rsidRPr="00DA6B32">
          <w:rPr>
            <w:rStyle w:val="a3"/>
            <w:rFonts w:ascii="Times" w:hAnsi="Times"/>
            <w:sz w:val="20"/>
            <w:szCs w:val="20"/>
            <w:lang w:val="en-US"/>
          </w:rPr>
          <w:t>http://www.bankofcanada.ca/</w:t>
        </w:r>
      </w:hyperlink>
      <w:r>
        <w:rPr>
          <w:rFonts w:ascii="Times" w:hAnsi="Times"/>
          <w:sz w:val="20"/>
          <w:szCs w:val="20"/>
          <w:lang w:val="en-US"/>
        </w:rPr>
        <w:t xml:space="preserve"> </w:t>
      </w:r>
    </w:p>
  </w:footnote>
  <w:footnote w:id="16">
    <w:p w:rsidR="00B42A3F" w:rsidRPr="0059717F" w:rsidRDefault="00B42A3F" w:rsidP="00C752C0">
      <w:pPr>
        <w:pStyle w:val="a6"/>
        <w:jc w:val="both"/>
        <w:rPr>
          <w:rFonts w:ascii="Times" w:hAnsi="Times"/>
          <w:sz w:val="20"/>
          <w:lang w:val="en-US"/>
        </w:rPr>
      </w:pPr>
      <w:r>
        <w:rPr>
          <w:rStyle w:val="af"/>
        </w:rPr>
        <w:footnoteRef/>
      </w:r>
      <w:r w:rsidRPr="00AF550A">
        <w:rPr>
          <w:lang w:val="en-US"/>
        </w:rPr>
        <w:t xml:space="preserve"> </w:t>
      </w:r>
      <w:r w:rsidRPr="0059717F">
        <w:rPr>
          <w:rFonts w:ascii="Times" w:hAnsi="Times"/>
          <w:sz w:val="20"/>
          <w:lang w:val="en-US"/>
        </w:rPr>
        <w:t xml:space="preserve">Primary dealers’ benchmark bond transactions on the secondary market cover benchmark bonds trading done in the MTS Finland system. Source: Central Bank of Finland </w:t>
      </w:r>
      <w:hyperlink r:id="rId5" w:history="1">
        <w:r w:rsidRPr="0059717F">
          <w:rPr>
            <w:rStyle w:val="a3"/>
            <w:rFonts w:ascii="Times" w:hAnsi="Times"/>
            <w:sz w:val="20"/>
            <w:lang w:val="en-US"/>
          </w:rPr>
          <w:t>http://www.suomenpankki.fi/</w:t>
        </w:r>
      </w:hyperlink>
      <w:r w:rsidRPr="0059717F">
        <w:rPr>
          <w:rFonts w:ascii="Times" w:hAnsi="Times"/>
          <w:sz w:val="20"/>
          <w:lang w:val="en-US"/>
        </w:rPr>
        <w:t xml:space="preserve"> </w:t>
      </w:r>
    </w:p>
    <w:p w:rsidR="00B42A3F" w:rsidRPr="0059717F" w:rsidRDefault="00B42A3F" w:rsidP="00C752C0">
      <w:pPr>
        <w:pStyle w:val="a6"/>
        <w:jc w:val="both"/>
        <w:rPr>
          <w:rFonts w:ascii="Times" w:hAnsi="Times"/>
          <w:sz w:val="20"/>
          <w:lang w:val="en-US"/>
        </w:rPr>
      </w:pPr>
      <w:r w:rsidRPr="0059717F">
        <w:rPr>
          <w:rFonts w:ascii="Times" w:hAnsi="Times"/>
          <w:sz w:val="20"/>
          <w:lang w:val="en-US"/>
        </w:rPr>
        <w:t xml:space="preserve">MTS is the international European service for fixed income securities transactions </w:t>
      </w:r>
      <w:hyperlink r:id="rId6" w:history="1">
        <w:r w:rsidRPr="0059717F">
          <w:rPr>
            <w:rStyle w:val="a3"/>
            <w:rFonts w:ascii="Times" w:hAnsi="Times"/>
            <w:sz w:val="20"/>
            <w:lang w:val="en-US"/>
          </w:rPr>
          <w:t>http://www.mtsmarkets.com/</w:t>
        </w:r>
      </w:hyperlink>
      <w:r w:rsidRPr="0059717F">
        <w:rPr>
          <w:rFonts w:ascii="Times" w:hAnsi="Times"/>
          <w:sz w:val="20"/>
          <w:lang w:val="en-US"/>
        </w:rPr>
        <w:t xml:space="preserve"> </w:t>
      </w:r>
    </w:p>
  </w:footnote>
  <w:footnote w:id="17">
    <w:p w:rsidR="00B42A3F" w:rsidRPr="005F2017" w:rsidRDefault="00B42A3F" w:rsidP="00C752C0">
      <w:pPr>
        <w:pStyle w:val="a6"/>
        <w:jc w:val="both"/>
        <w:rPr>
          <w:rFonts w:ascii="Times" w:hAnsi="Times"/>
          <w:sz w:val="20"/>
          <w:lang w:val="en-US"/>
        </w:rPr>
      </w:pPr>
      <w:r>
        <w:rPr>
          <w:rStyle w:val="af"/>
        </w:rPr>
        <w:footnoteRef/>
      </w:r>
      <w:r w:rsidRPr="00AF550A">
        <w:rPr>
          <w:lang w:val="en-US"/>
        </w:rPr>
        <w:t xml:space="preserve"> </w:t>
      </w:r>
      <w:r w:rsidRPr="005F2017">
        <w:rPr>
          <w:rFonts w:ascii="Times" w:hAnsi="Times"/>
          <w:sz w:val="20"/>
          <w:lang w:val="en-US"/>
        </w:rPr>
        <w:t>The Euribor rate is calculated on the rate quoted by prime banks, operating in the euro area. The calculation is made leaving the 15% lowest and highest offers out and by ca</w:t>
      </w:r>
      <w:r>
        <w:rPr>
          <w:rFonts w:ascii="Times" w:hAnsi="Times"/>
          <w:sz w:val="20"/>
          <w:lang w:val="en-US"/>
        </w:rPr>
        <w:t>l</w:t>
      </w:r>
      <w:r w:rsidRPr="005F2017">
        <w:rPr>
          <w:rFonts w:ascii="Times" w:hAnsi="Times"/>
          <w:sz w:val="20"/>
          <w:lang w:val="en-US"/>
        </w:rPr>
        <w:t>culating the unweighted average. Source: Central Bank of Finland</w:t>
      </w:r>
    </w:p>
  </w:footnote>
  <w:footnote w:id="18">
    <w:p w:rsidR="00B42A3F" w:rsidRPr="00E06C9A" w:rsidRDefault="00B42A3F" w:rsidP="00B42A3F">
      <w:pPr>
        <w:pStyle w:val="a6"/>
        <w:jc w:val="both"/>
        <w:rPr>
          <w:rFonts w:ascii="Times" w:hAnsi="Times" w:cs="Helvetica CY"/>
          <w:sz w:val="20"/>
        </w:rPr>
      </w:pPr>
      <w:r w:rsidRPr="00A140DC">
        <w:rPr>
          <w:rStyle w:val="af"/>
        </w:rPr>
        <w:footnoteRef/>
      </w:r>
      <w:r>
        <w:t xml:space="preserve"> </w:t>
      </w:r>
      <w:r w:rsidRPr="00E06C9A">
        <w:rPr>
          <w:rFonts w:ascii="Times" w:hAnsi="Times" w:cs="Helvetica CY"/>
          <w:sz w:val="20"/>
        </w:rPr>
        <w:t>Здесь и далее первая заглавная буква “</w:t>
      </w:r>
      <w:r w:rsidRPr="00E06C9A">
        <w:rPr>
          <w:rFonts w:ascii="Times" w:hAnsi="Times" w:cs="Helvetica CY"/>
          <w:sz w:val="20"/>
          <w:lang w:val="en-US"/>
        </w:rPr>
        <w:t>D</w:t>
      </w:r>
      <w:r w:rsidRPr="00E06C9A">
        <w:rPr>
          <w:rFonts w:ascii="Times" w:hAnsi="Times" w:cs="Helvetica CY"/>
          <w:sz w:val="20"/>
        </w:rPr>
        <w:t xml:space="preserve">” в названии переменной означает, что временной ряд построен на первых разностях соответствующего временного ряда. Например, </w:t>
      </w:r>
      <w:r w:rsidRPr="00E06C9A">
        <w:rPr>
          <w:rFonts w:ascii="Times" w:hAnsi="Times" w:cs="Helvetica CY"/>
          <w:sz w:val="20"/>
          <w:lang w:val="en-US"/>
        </w:rPr>
        <w:t>interest</w:t>
      </w:r>
      <w:r w:rsidRPr="00E06C9A">
        <w:rPr>
          <w:rFonts w:ascii="Times" w:hAnsi="Times" w:cs="Helvetica CY"/>
          <w:sz w:val="20"/>
        </w:rPr>
        <w:t xml:space="preserve"> – средняя процентная ставка для межбанковских займов на 0,5 года </w:t>
      </w:r>
      <w:r w:rsidRPr="00E06C9A">
        <w:rPr>
          <w:rFonts w:ascii="Times" w:hAnsi="Times" w:cs="Helvetica CY"/>
          <w:sz w:val="20"/>
          <w:lang w:val="en-US"/>
        </w:rPr>
        <w:t>Moscow</w:t>
      </w:r>
      <w:r w:rsidRPr="00E06C9A">
        <w:rPr>
          <w:rFonts w:ascii="Times" w:hAnsi="Times" w:cs="Helvetica CY"/>
          <w:sz w:val="20"/>
        </w:rPr>
        <w:t xml:space="preserve"> </w:t>
      </w:r>
      <w:r w:rsidRPr="00E06C9A">
        <w:rPr>
          <w:rFonts w:ascii="Times" w:hAnsi="Times" w:cs="Helvetica CY"/>
          <w:sz w:val="20"/>
          <w:lang w:val="en-US"/>
        </w:rPr>
        <w:t>Prime</w:t>
      </w:r>
      <w:r w:rsidRPr="00E06C9A">
        <w:rPr>
          <w:rFonts w:ascii="Times" w:hAnsi="Times" w:cs="Helvetica CY"/>
          <w:sz w:val="20"/>
        </w:rPr>
        <w:t xml:space="preserve"> </w:t>
      </w:r>
      <w:r w:rsidRPr="00E06C9A">
        <w:rPr>
          <w:rFonts w:ascii="Times" w:hAnsi="Times" w:cs="Helvetica CY"/>
          <w:sz w:val="20"/>
          <w:lang w:val="en-US"/>
        </w:rPr>
        <w:t>Rate</w:t>
      </w:r>
      <w:r w:rsidRPr="00E06C9A">
        <w:rPr>
          <w:rFonts w:ascii="Times" w:hAnsi="Times" w:cs="Helvetica CY"/>
          <w:sz w:val="20"/>
        </w:rPr>
        <w:t xml:space="preserve">, </w:t>
      </w:r>
      <w:r w:rsidRPr="00E06C9A">
        <w:rPr>
          <w:rFonts w:ascii="Times" w:hAnsi="Times" w:cs="Helvetica CY"/>
          <w:sz w:val="20"/>
          <w:lang w:val="en-US"/>
        </w:rPr>
        <w:t>Dinterest</w:t>
      </w:r>
      <w:r w:rsidRPr="00E06C9A">
        <w:rPr>
          <w:rFonts w:ascii="Times" w:hAnsi="Times" w:cs="Helvetica CY"/>
          <w:sz w:val="20"/>
        </w:rPr>
        <w:t xml:space="preserve"> – временной ряд, построенный на первых разностях (путём дифференцирования первого порядка) временного ряда </w:t>
      </w:r>
      <w:r w:rsidRPr="00E06C9A">
        <w:rPr>
          <w:rFonts w:ascii="Times" w:hAnsi="Times" w:cs="Helvetica CY"/>
          <w:sz w:val="20"/>
          <w:lang w:val="en-US"/>
        </w:rPr>
        <w:t>interest</w:t>
      </w:r>
      <w:r w:rsidRPr="00E06C9A">
        <w:rPr>
          <w:rFonts w:ascii="Times" w:hAnsi="Times" w:cs="Helvetica CY"/>
          <w:sz w:val="20"/>
        </w:rPr>
        <w:t xml:space="preserve">, </w:t>
      </w:r>
      <w:r w:rsidRPr="00E06C9A">
        <w:rPr>
          <w:rFonts w:ascii="Times" w:hAnsi="Times" w:cs="Helvetica CY"/>
          <w:sz w:val="20"/>
          <w:lang w:val="en-US"/>
        </w:rPr>
        <w:t>DDinterest</w:t>
      </w:r>
      <w:r w:rsidRPr="00E06C9A">
        <w:rPr>
          <w:rFonts w:ascii="Times" w:hAnsi="Times" w:cs="Helvetica CY"/>
          <w:sz w:val="20"/>
        </w:rPr>
        <w:t xml:space="preserve"> – временной ряд, построенный на вторых разностях (путём дифференцирования второго порядка) временного ряда </w:t>
      </w:r>
      <w:r w:rsidRPr="00E06C9A">
        <w:rPr>
          <w:rFonts w:ascii="Times" w:hAnsi="Times" w:cs="Helvetica CY"/>
          <w:sz w:val="20"/>
          <w:lang w:val="en-US"/>
        </w:rPr>
        <w:t>interest</w:t>
      </w:r>
      <w:r w:rsidRPr="00E06C9A">
        <w:rPr>
          <w:rFonts w:ascii="Times" w:hAnsi="Times" w:cs="Helvetica CY"/>
          <w:sz w:val="20"/>
        </w:rPr>
        <w:t>.</w:t>
      </w:r>
    </w:p>
  </w:footnote>
  <w:footnote w:id="19">
    <w:p w:rsidR="00B42A3F" w:rsidRPr="00073C65" w:rsidRDefault="00B42A3F" w:rsidP="00B42A3F">
      <w:pPr>
        <w:pStyle w:val="a6"/>
        <w:rPr>
          <w:rFonts w:ascii="Times" w:hAnsi="Times"/>
        </w:rPr>
      </w:pPr>
      <w:r w:rsidRPr="00A140DC">
        <w:rPr>
          <w:rStyle w:val="af"/>
        </w:rPr>
        <w:footnoteRef/>
      </w:r>
      <w:r>
        <w:t xml:space="preserve"> </w:t>
      </w:r>
      <w:r w:rsidRPr="00073C65">
        <w:rPr>
          <w:rFonts w:ascii="Times" w:hAnsi="Times"/>
        </w:rPr>
        <w:t>Сайт Московск</w:t>
      </w:r>
      <w:r>
        <w:rPr>
          <w:rFonts w:ascii="Times" w:hAnsi="Times"/>
        </w:rPr>
        <w:t xml:space="preserve">ой Межбанковской Валютной Биржи </w:t>
      </w:r>
      <w:hyperlink r:id="rId7" w:history="1">
        <w:r w:rsidRPr="00AC3A11">
          <w:rPr>
            <w:rStyle w:val="a3"/>
            <w:rFonts w:ascii="Times" w:hAnsi="Times"/>
          </w:rPr>
          <w:t>http://www.micex.com/marketdata/indices/state/profit/calculations_method</w:t>
        </w:r>
      </w:hyperlink>
      <w:r w:rsidRPr="00AC3A11">
        <w:rPr>
          <w:rFonts w:ascii="Times" w:hAnsi="Times"/>
        </w:rPr>
        <w:t xml:space="preserve"> </w:t>
      </w:r>
    </w:p>
  </w:footnote>
  <w:footnote w:id="20">
    <w:p w:rsidR="00B42A3F" w:rsidRPr="00AE1957" w:rsidRDefault="00B42A3F" w:rsidP="00B42A3F">
      <w:pPr>
        <w:pStyle w:val="a6"/>
        <w:rPr>
          <w:rFonts w:ascii="Times" w:hAnsi="Times"/>
        </w:rPr>
      </w:pPr>
      <w:r w:rsidRPr="00A140DC">
        <w:rPr>
          <w:rStyle w:val="af"/>
        </w:rPr>
        <w:footnoteRef/>
      </w:r>
      <w:r w:rsidRPr="00AE1957">
        <w:rPr>
          <w:rFonts w:ascii="Times" w:hAnsi="Times"/>
        </w:rPr>
        <w:t xml:space="preserve"> </w:t>
      </w:r>
      <w:r>
        <w:rPr>
          <w:rFonts w:ascii="Times" w:hAnsi="Times"/>
        </w:rPr>
        <w:t xml:space="preserve">Описание базы расчёта индекса акций нефтегазовых компаний Московской Биржи </w:t>
      </w:r>
      <w:hyperlink r:id="rId8" w:history="1">
        <w:r w:rsidRPr="00ED26F7">
          <w:rPr>
            <w:rStyle w:val="a3"/>
            <w:rFonts w:ascii="Times" w:hAnsi="Times"/>
          </w:rPr>
          <w:t>http://www.micex.com/articles/file/3281/MICEX_OG_eng.pdf</w:t>
        </w:r>
      </w:hyperlink>
      <w:r w:rsidRPr="00ED26F7">
        <w:rPr>
          <w:rFonts w:ascii="Times" w:hAnsi="Times"/>
        </w:rPr>
        <w:t xml:space="preserve"> </w:t>
      </w:r>
    </w:p>
  </w:footnote>
  <w:footnote w:id="21">
    <w:p w:rsidR="00B42A3F" w:rsidRPr="00E06C9A" w:rsidRDefault="00B42A3F" w:rsidP="00B42A3F">
      <w:pPr>
        <w:pStyle w:val="a6"/>
        <w:jc w:val="both"/>
        <w:rPr>
          <w:rFonts w:ascii="Times" w:hAnsi="Times" w:cs="Helvetica CY"/>
          <w:sz w:val="20"/>
          <w:szCs w:val="22"/>
        </w:rPr>
      </w:pPr>
      <w:r w:rsidRPr="00A140DC">
        <w:rPr>
          <w:rStyle w:val="af"/>
        </w:rPr>
        <w:footnoteRef/>
      </w:r>
      <w:r>
        <w:t xml:space="preserve"> </w:t>
      </w:r>
      <w:r w:rsidRPr="00E06C9A">
        <w:rPr>
          <w:rFonts w:ascii="Times" w:hAnsi="Times" w:cs="Helvetica CY"/>
          <w:b/>
          <w:sz w:val="20"/>
          <w:szCs w:val="22"/>
        </w:rPr>
        <w:t>Специальные расходы (доходы)</w:t>
      </w:r>
      <w:r w:rsidRPr="00E06C9A">
        <w:rPr>
          <w:rFonts w:ascii="Times" w:hAnsi="Times" w:cs="Helvetica CY"/>
          <w:sz w:val="20"/>
          <w:szCs w:val="22"/>
        </w:rPr>
        <w:t xml:space="preserve"> – значительные рсходы, повторения которых компания не ожидает в последующие годы. Они выделяются из остальных категорий доходов и расходов для того, чтобы инвесторы могли сопоставить результаты работы компании в разные периоды. Примеры: чрезвычайные расходы, доходы от списания обязательств, остановленных операций (прерванных; </w:t>
      </w:r>
      <w:r w:rsidRPr="00E06C9A">
        <w:rPr>
          <w:rFonts w:ascii="Times" w:hAnsi="Times" w:cs="Helvetica CY"/>
          <w:sz w:val="20"/>
          <w:szCs w:val="22"/>
          <w:lang w:val="en-US"/>
        </w:rPr>
        <w:t>discontinued</w:t>
      </w:r>
      <w:r w:rsidRPr="00E06C9A">
        <w:rPr>
          <w:rFonts w:ascii="Times" w:hAnsi="Times" w:cs="Helvetica CY"/>
          <w:sz w:val="20"/>
          <w:szCs w:val="22"/>
        </w:rPr>
        <w:t xml:space="preserve"> </w:t>
      </w:r>
      <w:r w:rsidRPr="00E06C9A">
        <w:rPr>
          <w:rFonts w:ascii="Times" w:hAnsi="Times" w:cs="Helvetica CY"/>
          <w:sz w:val="20"/>
          <w:szCs w:val="22"/>
          <w:lang w:val="en-US"/>
        </w:rPr>
        <w:t>operations</w:t>
      </w:r>
      <w:r w:rsidRPr="00E06C9A">
        <w:rPr>
          <w:rFonts w:ascii="Times" w:hAnsi="Times" w:cs="Helvetica CY"/>
          <w:sz w:val="20"/>
          <w:szCs w:val="22"/>
        </w:rPr>
        <w:t>)</w:t>
      </w:r>
    </w:p>
  </w:footnote>
  <w:footnote w:id="22">
    <w:p w:rsidR="00B42A3F" w:rsidRPr="00E06C9A" w:rsidRDefault="00B42A3F" w:rsidP="00B42A3F">
      <w:pPr>
        <w:pStyle w:val="a6"/>
        <w:jc w:val="both"/>
        <w:rPr>
          <w:rFonts w:ascii="Times" w:hAnsi="Times" w:cs="Helvetica CY"/>
          <w:sz w:val="20"/>
          <w:szCs w:val="22"/>
        </w:rPr>
      </w:pPr>
      <w:r w:rsidRPr="00E06C9A">
        <w:rPr>
          <w:rStyle w:val="af"/>
          <w:sz w:val="20"/>
          <w:szCs w:val="22"/>
        </w:rPr>
        <w:footnoteRef/>
      </w:r>
      <w:r w:rsidRPr="00E06C9A">
        <w:rPr>
          <w:sz w:val="20"/>
          <w:szCs w:val="22"/>
        </w:rPr>
        <w:t xml:space="preserve"> </w:t>
      </w:r>
      <w:r w:rsidRPr="00E06C9A">
        <w:rPr>
          <w:rFonts w:ascii="Times" w:hAnsi="Times" w:cs="Helvetica CY"/>
          <w:b/>
          <w:sz w:val="20"/>
          <w:szCs w:val="22"/>
        </w:rPr>
        <w:t>Обобщённый доход (</w:t>
      </w:r>
      <w:r w:rsidRPr="00E06C9A">
        <w:rPr>
          <w:rFonts w:ascii="Times" w:hAnsi="Times" w:cs="Helvetica CY"/>
          <w:b/>
          <w:sz w:val="20"/>
          <w:szCs w:val="22"/>
          <w:lang w:val="en-US"/>
        </w:rPr>
        <w:t>comprehensive</w:t>
      </w:r>
      <w:r w:rsidRPr="00E06C9A">
        <w:rPr>
          <w:rFonts w:ascii="Times" w:hAnsi="Times" w:cs="Helvetica CY"/>
          <w:b/>
          <w:sz w:val="20"/>
          <w:szCs w:val="22"/>
        </w:rPr>
        <w:t xml:space="preserve"> </w:t>
      </w:r>
      <w:r w:rsidRPr="00E06C9A">
        <w:rPr>
          <w:rFonts w:ascii="Times" w:hAnsi="Times" w:cs="Helvetica CY"/>
          <w:b/>
          <w:sz w:val="20"/>
          <w:szCs w:val="22"/>
          <w:lang w:val="en-US"/>
        </w:rPr>
        <w:t>income</w:t>
      </w:r>
      <w:r w:rsidRPr="00E06C9A">
        <w:rPr>
          <w:rFonts w:ascii="Times" w:hAnsi="Times" w:cs="Helvetica CY"/>
          <w:b/>
          <w:sz w:val="20"/>
          <w:szCs w:val="22"/>
        </w:rPr>
        <w:t>)</w:t>
      </w:r>
      <w:r w:rsidRPr="00E06C9A">
        <w:rPr>
          <w:rFonts w:ascii="Times" w:hAnsi="Times" w:cs="Helvetica CY"/>
          <w:sz w:val="20"/>
          <w:szCs w:val="22"/>
        </w:rPr>
        <w:t xml:space="preserve"> – не только сбственно доход, но и добавочный капитал (</w:t>
      </w:r>
      <w:r w:rsidRPr="00E06C9A">
        <w:rPr>
          <w:rFonts w:ascii="Times" w:hAnsi="Times" w:cs="Helvetica CY"/>
          <w:sz w:val="20"/>
          <w:szCs w:val="22"/>
          <w:lang w:val="en-US"/>
        </w:rPr>
        <w:t>capital</w:t>
      </w:r>
      <w:r w:rsidRPr="00E06C9A">
        <w:rPr>
          <w:rFonts w:ascii="Times" w:hAnsi="Times" w:cs="Helvetica CY"/>
          <w:sz w:val="20"/>
          <w:szCs w:val="22"/>
        </w:rPr>
        <w:t xml:space="preserve"> </w:t>
      </w:r>
      <w:r w:rsidRPr="00E06C9A">
        <w:rPr>
          <w:rFonts w:ascii="Times" w:hAnsi="Times" w:cs="Helvetica CY"/>
          <w:sz w:val="20"/>
          <w:szCs w:val="22"/>
          <w:lang w:val="en-US"/>
        </w:rPr>
        <w:t>gain</w:t>
      </w:r>
      <w:r w:rsidRPr="00E06C9A">
        <w:rPr>
          <w:rFonts w:ascii="Times" w:hAnsi="Times" w:cs="Helvetica CY"/>
          <w:sz w:val="20"/>
          <w:szCs w:val="22"/>
        </w:rPr>
        <w:t>), другие источники роста стоимости (со временем), такие как наследство.</w:t>
      </w:r>
    </w:p>
    <w:p w:rsidR="00B42A3F" w:rsidRPr="00E06C9A" w:rsidRDefault="00B42A3F" w:rsidP="00B42A3F">
      <w:pPr>
        <w:pStyle w:val="a6"/>
        <w:jc w:val="both"/>
        <w:rPr>
          <w:rFonts w:ascii="Times" w:hAnsi="Times" w:cs="Helvetica CY"/>
          <w:b/>
          <w:sz w:val="20"/>
          <w:szCs w:val="20"/>
        </w:rPr>
      </w:pPr>
      <w:r w:rsidRPr="00E06C9A">
        <w:rPr>
          <w:rFonts w:ascii="Times" w:hAnsi="Times" w:cs="Helvetica CY"/>
          <w:b/>
          <w:sz w:val="20"/>
          <w:szCs w:val="20"/>
        </w:rPr>
        <w:t xml:space="preserve">Добавочный капитал </w:t>
      </w:r>
      <w:r w:rsidRPr="00E06C9A">
        <w:rPr>
          <w:rFonts w:ascii="Times" w:hAnsi="Times" w:cs="Helvetica CY"/>
          <w:sz w:val="20"/>
          <w:szCs w:val="20"/>
        </w:rPr>
        <w:t>(capital gain, capital profit; может быть отрицательным) – доход от списания актива, который вычисляется как исключение стоимости актива из платы полученной от его списания</w:t>
      </w:r>
    </w:p>
  </w:footnote>
  <w:footnote w:id="23">
    <w:p w:rsidR="00B42A3F" w:rsidRPr="00E06C9A" w:rsidRDefault="00B42A3F" w:rsidP="00B42A3F">
      <w:pPr>
        <w:pStyle w:val="a6"/>
        <w:jc w:val="both"/>
        <w:rPr>
          <w:rFonts w:ascii="Times" w:hAnsi="Times" w:cs="Helvetica CY"/>
          <w:sz w:val="20"/>
          <w:szCs w:val="20"/>
        </w:rPr>
      </w:pPr>
      <w:r w:rsidRPr="00E06C9A">
        <w:rPr>
          <w:rStyle w:val="af"/>
          <w:sz w:val="20"/>
          <w:szCs w:val="20"/>
        </w:rPr>
        <w:footnoteRef/>
      </w:r>
      <w:r w:rsidRPr="00E06C9A">
        <w:rPr>
          <w:sz w:val="20"/>
          <w:szCs w:val="20"/>
        </w:rPr>
        <w:t xml:space="preserve"> </w:t>
      </w:r>
      <w:r w:rsidRPr="00E06C9A">
        <w:rPr>
          <w:rFonts w:ascii="Times" w:hAnsi="Times" w:cs="Helvetica CY"/>
          <w:b/>
          <w:sz w:val="20"/>
          <w:szCs w:val="20"/>
        </w:rPr>
        <w:t>Эффективный долг (</w:t>
      </w:r>
      <w:r w:rsidRPr="00E06C9A">
        <w:rPr>
          <w:rFonts w:ascii="Times" w:hAnsi="Times" w:cs="Helvetica CY"/>
          <w:b/>
          <w:sz w:val="20"/>
          <w:szCs w:val="20"/>
          <w:lang w:val="en-US"/>
        </w:rPr>
        <w:t>effective</w:t>
      </w:r>
      <w:r w:rsidRPr="00E06C9A">
        <w:rPr>
          <w:rFonts w:ascii="Times" w:hAnsi="Times" w:cs="Helvetica CY"/>
          <w:b/>
          <w:sz w:val="20"/>
          <w:szCs w:val="20"/>
        </w:rPr>
        <w:t xml:space="preserve"> </w:t>
      </w:r>
      <w:r w:rsidRPr="00E06C9A">
        <w:rPr>
          <w:rFonts w:ascii="Times" w:hAnsi="Times" w:cs="Helvetica CY"/>
          <w:b/>
          <w:sz w:val="20"/>
          <w:szCs w:val="20"/>
          <w:lang w:val="en-US"/>
        </w:rPr>
        <w:t>debt</w:t>
      </w:r>
      <w:r w:rsidRPr="00E06C9A">
        <w:rPr>
          <w:rFonts w:ascii="Times" w:hAnsi="Times" w:cs="Helvetica CY"/>
          <w:b/>
          <w:sz w:val="20"/>
          <w:szCs w:val="20"/>
        </w:rPr>
        <w:t>)</w:t>
      </w:r>
      <w:r w:rsidRPr="00E06C9A">
        <w:rPr>
          <w:rFonts w:ascii="Times" w:hAnsi="Times" w:cs="Helvetica CY"/>
          <w:sz w:val="20"/>
          <w:szCs w:val="20"/>
        </w:rPr>
        <w:t xml:space="preserve"> – это неоплаченный долг (который может включать проценты). В дополнение к тем статьям, которые обычно входят в сумму долга, эта величина также будет включать и капитализировать все платежи, которые компания совершает регулярно, например, платежи по закладной или лизинговые платежи.</w:t>
      </w:r>
    </w:p>
  </w:footnote>
  <w:footnote w:id="24">
    <w:p w:rsidR="00B42A3F" w:rsidRPr="00E06C9A" w:rsidRDefault="00B42A3F" w:rsidP="00B42A3F">
      <w:pPr>
        <w:pStyle w:val="a6"/>
        <w:jc w:val="both"/>
        <w:rPr>
          <w:rFonts w:ascii="Helvetica CY" w:hAnsi="Helvetica CY" w:cs="Helvetica CY"/>
          <w:sz w:val="20"/>
          <w:szCs w:val="20"/>
        </w:rPr>
      </w:pPr>
      <w:r w:rsidRPr="00E06C9A">
        <w:rPr>
          <w:rStyle w:val="af"/>
          <w:sz w:val="20"/>
          <w:szCs w:val="20"/>
        </w:rPr>
        <w:footnoteRef/>
      </w:r>
      <w:r w:rsidRPr="00E06C9A">
        <w:rPr>
          <w:sz w:val="20"/>
          <w:szCs w:val="20"/>
        </w:rPr>
        <w:t xml:space="preserve"> </w:t>
      </w:r>
      <w:r w:rsidRPr="00E06C9A">
        <w:rPr>
          <w:rFonts w:ascii="Times" w:hAnsi="Times"/>
          <w:b/>
          <w:sz w:val="20"/>
          <w:szCs w:val="20"/>
          <w:lang w:val="en-US"/>
        </w:rPr>
        <w:t>Capex</w:t>
      </w:r>
      <w:r w:rsidRPr="00E06C9A">
        <w:rPr>
          <w:rFonts w:ascii="Times" w:hAnsi="Times"/>
          <w:sz w:val="20"/>
          <w:szCs w:val="20"/>
        </w:rPr>
        <w:t xml:space="preserve"> – </w:t>
      </w:r>
      <w:r w:rsidRPr="00E06C9A">
        <w:rPr>
          <w:rFonts w:ascii="Times" w:hAnsi="Times" w:cs="Helvetica CY"/>
          <w:sz w:val="20"/>
          <w:szCs w:val="20"/>
        </w:rPr>
        <w:t xml:space="preserve">аббревиатура для </w:t>
      </w:r>
      <w:r w:rsidRPr="00E06C9A">
        <w:rPr>
          <w:rFonts w:ascii="Times" w:hAnsi="Times" w:cs="Helvetica CY"/>
          <w:sz w:val="20"/>
          <w:szCs w:val="20"/>
          <w:lang w:val="en-US"/>
        </w:rPr>
        <w:t>capital</w:t>
      </w:r>
      <w:r w:rsidRPr="00E06C9A">
        <w:rPr>
          <w:rFonts w:ascii="Times" w:hAnsi="Times" w:cs="Helvetica CY"/>
          <w:sz w:val="20"/>
          <w:szCs w:val="20"/>
        </w:rPr>
        <w:t xml:space="preserve"> </w:t>
      </w:r>
      <w:r w:rsidRPr="00E06C9A">
        <w:rPr>
          <w:rFonts w:ascii="Times" w:hAnsi="Times" w:cs="Helvetica CY"/>
          <w:sz w:val="20"/>
          <w:szCs w:val="20"/>
          <w:lang w:val="en-US"/>
        </w:rPr>
        <w:t>expenditure</w:t>
      </w:r>
      <w:r w:rsidRPr="00E06C9A">
        <w:rPr>
          <w:rFonts w:ascii="Times" w:hAnsi="Times" w:cs="Helvetica CY"/>
          <w:sz w:val="20"/>
          <w:szCs w:val="20"/>
        </w:rPr>
        <w:t xml:space="preserve"> – средства, вложенные компанией в землю, здания и сооружения, оборудование, которые используются при производстве продуктов и предоставлении услуг.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A613C"/>
    <w:multiLevelType w:val="hybridMultilevel"/>
    <w:tmpl w:val="D25A4F76"/>
    <w:lvl w:ilvl="0" w:tplc="3A4CF0E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E2B61"/>
    <w:multiLevelType w:val="hybridMultilevel"/>
    <w:tmpl w:val="A4DAA794"/>
    <w:lvl w:ilvl="0" w:tplc="59BE5B1C">
      <w:start w:val="1"/>
      <w:numFmt w:val="decimal"/>
      <w:suff w:val="space"/>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44701"/>
    <w:multiLevelType w:val="hybridMultilevel"/>
    <w:tmpl w:val="2B98D2DA"/>
    <w:lvl w:ilvl="0" w:tplc="F6FA9EA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3584988"/>
    <w:multiLevelType w:val="hybridMultilevel"/>
    <w:tmpl w:val="A2B21518"/>
    <w:lvl w:ilvl="0" w:tplc="B8C27F86">
      <w:start w:val="1"/>
      <w:numFmt w:val="decimal"/>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4">
    <w:nsid w:val="145E1BF2"/>
    <w:multiLevelType w:val="hybridMultilevel"/>
    <w:tmpl w:val="D23E375C"/>
    <w:lvl w:ilvl="0" w:tplc="9E861610">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5">
    <w:nsid w:val="1572645A"/>
    <w:multiLevelType w:val="hybridMultilevel"/>
    <w:tmpl w:val="20000974"/>
    <w:lvl w:ilvl="0" w:tplc="3AA2A624">
      <w:start w:val="1"/>
      <w:numFmt w:val="decimal"/>
      <w:suff w:val="space"/>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977CD9"/>
    <w:multiLevelType w:val="hybridMultilevel"/>
    <w:tmpl w:val="858CF5E2"/>
    <w:lvl w:ilvl="0" w:tplc="6420A3E4">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0613C0"/>
    <w:multiLevelType w:val="multilevel"/>
    <w:tmpl w:val="656421E8"/>
    <w:styleLink w:val="2"/>
    <w:lvl w:ilvl="0">
      <w:start w:val="2"/>
      <w:numFmt w:val="bullet"/>
      <w:lvlText w:val="-"/>
      <w:lvlJc w:val="left"/>
      <w:pPr>
        <w:ind w:left="720" w:hanging="360"/>
      </w:pPr>
      <w:rPr>
        <w:rFonts w:ascii="Times" w:eastAsiaTheme="minorEastAsia" w:hAnsi="Times" w:cstheme="minorBidi"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3441FE6"/>
    <w:multiLevelType w:val="hybridMultilevel"/>
    <w:tmpl w:val="FDE01836"/>
    <w:lvl w:ilvl="0" w:tplc="6420A3E4">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4B1CE5"/>
    <w:multiLevelType w:val="hybridMultilevel"/>
    <w:tmpl w:val="8DB62486"/>
    <w:lvl w:ilvl="0" w:tplc="C48CBBE0">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011CD3"/>
    <w:multiLevelType w:val="hybridMultilevel"/>
    <w:tmpl w:val="FBFC7FB8"/>
    <w:lvl w:ilvl="0" w:tplc="C48CBBE0">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35D46"/>
    <w:multiLevelType w:val="hybridMultilevel"/>
    <w:tmpl w:val="ED8EF452"/>
    <w:lvl w:ilvl="0" w:tplc="6B30936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17510A0"/>
    <w:multiLevelType w:val="hybridMultilevel"/>
    <w:tmpl w:val="905C88E6"/>
    <w:lvl w:ilvl="0" w:tplc="A9D611A0">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3">
    <w:nsid w:val="348A42EF"/>
    <w:multiLevelType w:val="hybridMultilevel"/>
    <w:tmpl w:val="EF649396"/>
    <w:lvl w:ilvl="0" w:tplc="7B669A1A">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44307C"/>
    <w:multiLevelType w:val="hybridMultilevel"/>
    <w:tmpl w:val="9234412C"/>
    <w:lvl w:ilvl="0" w:tplc="E076C552">
      <w:start w:val="1"/>
      <w:numFmt w:val="decimal"/>
      <w:suff w:val="space"/>
      <w:lvlText w:val="%1."/>
      <w:lvlJc w:val="left"/>
      <w:pPr>
        <w:ind w:left="567" w:hanging="207"/>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E340A4"/>
    <w:multiLevelType w:val="hybridMultilevel"/>
    <w:tmpl w:val="F40ABBEE"/>
    <w:lvl w:ilvl="0" w:tplc="C48CBBE0">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055D69"/>
    <w:multiLevelType w:val="hybridMultilevel"/>
    <w:tmpl w:val="57F6D39A"/>
    <w:lvl w:ilvl="0" w:tplc="EB4A0594">
      <w:start w:val="1"/>
      <w:numFmt w:val="decimal"/>
      <w:lvlText w:val="%1."/>
      <w:lvlJc w:val="left"/>
      <w:pPr>
        <w:ind w:left="1709" w:hanging="10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44511323"/>
    <w:multiLevelType w:val="hybridMultilevel"/>
    <w:tmpl w:val="AF1C7B0E"/>
    <w:lvl w:ilvl="0" w:tplc="E076C552">
      <w:start w:val="1"/>
      <w:numFmt w:val="decimal"/>
      <w:suff w:val="space"/>
      <w:lvlText w:val="%1."/>
      <w:lvlJc w:val="left"/>
      <w:pPr>
        <w:ind w:left="567" w:hanging="207"/>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23417D"/>
    <w:multiLevelType w:val="hybridMultilevel"/>
    <w:tmpl w:val="2D488C00"/>
    <w:lvl w:ilvl="0" w:tplc="7B669A1A">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6A7FD2"/>
    <w:multiLevelType w:val="hybridMultilevel"/>
    <w:tmpl w:val="5C2A3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7C2DE5"/>
    <w:multiLevelType w:val="hybridMultilevel"/>
    <w:tmpl w:val="FC6447C8"/>
    <w:lvl w:ilvl="0" w:tplc="59BE5B1C">
      <w:start w:val="1"/>
      <w:numFmt w:val="decimal"/>
      <w:suff w:val="space"/>
      <w:lvlText w:val="%1."/>
      <w:lvlJc w:val="left"/>
      <w:pPr>
        <w:ind w:left="720" w:hanging="360"/>
      </w:pPr>
      <w:rPr>
        <w:rFonts w:hint="default"/>
        <w:b/>
      </w:rPr>
    </w:lvl>
    <w:lvl w:ilvl="1" w:tplc="1F7634C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6B4209"/>
    <w:multiLevelType w:val="hybridMultilevel"/>
    <w:tmpl w:val="0D3CFA88"/>
    <w:lvl w:ilvl="0" w:tplc="8C842D16">
      <w:start w:val="2"/>
      <w:numFmt w:val="bullet"/>
      <w:lvlText w:val="-"/>
      <w:lvlJc w:val="left"/>
      <w:pPr>
        <w:ind w:left="1116" w:hanging="360"/>
      </w:pPr>
      <w:rPr>
        <w:rFonts w:ascii="Times" w:eastAsiaTheme="minorEastAsia" w:hAnsi="Times" w:cstheme="minorBidi" w:hint="default"/>
      </w:rPr>
    </w:lvl>
    <w:lvl w:ilvl="1" w:tplc="04090003" w:tentative="1">
      <w:start w:val="1"/>
      <w:numFmt w:val="bullet"/>
      <w:lvlText w:val="o"/>
      <w:lvlJc w:val="left"/>
      <w:pPr>
        <w:ind w:left="1836" w:hanging="360"/>
      </w:pPr>
      <w:rPr>
        <w:rFonts w:ascii="Courier New" w:hAnsi="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22">
    <w:nsid w:val="50EA726C"/>
    <w:multiLevelType w:val="hybridMultilevel"/>
    <w:tmpl w:val="2884ACE0"/>
    <w:lvl w:ilvl="0" w:tplc="3AA2A624">
      <w:start w:val="1"/>
      <w:numFmt w:val="decimal"/>
      <w:suff w:val="space"/>
      <w:lvlText w:val="%1."/>
      <w:lvlJc w:val="left"/>
      <w:pPr>
        <w:ind w:left="720" w:hanging="360"/>
      </w:pPr>
      <w:rPr>
        <w:rFonts w:hint="default"/>
        <w:b/>
      </w:rPr>
    </w:lvl>
    <w:lvl w:ilvl="1" w:tplc="14F45854">
      <w:start w:val="1"/>
      <w:numFmt w:val="lowerLetter"/>
      <w:suff w:val="space"/>
      <w:lvlText w:val="%2."/>
      <w:lvlJc w:val="left"/>
      <w:pPr>
        <w:ind w:left="1440" w:hanging="249"/>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B60D36"/>
    <w:multiLevelType w:val="multilevel"/>
    <w:tmpl w:val="0FB6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A57D25"/>
    <w:multiLevelType w:val="hybridMultilevel"/>
    <w:tmpl w:val="337CA530"/>
    <w:lvl w:ilvl="0" w:tplc="CFE28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02414FD"/>
    <w:multiLevelType w:val="hybridMultilevel"/>
    <w:tmpl w:val="BFEA1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6E5104"/>
    <w:multiLevelType w:val="hybridMultilevel"/>
    <w:tmpl w:val="A3BE4E3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65F836EC"/>
    <w:multiLevelType w:val="hybridMultilevel"/>
    <w:tmpl w:val="7FAA42EC"/>
    <w:lvl w:ilvl="0" w:tplc="7B669A1A">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823D32"/>
    <w:multiLevelType w:val="hybridMultilevel"/>
    <w:tmpl w:val="5A909AE0"/>
    <w:lvl w:ilvl="0" w:tplc="678E0DBC">
      <w:start w:val="1"/>
      <w:numFmt w:val="decimal"/>
      <w:lvlText w:val="%1."/>
      <w:lvlJc w:val="left"/>
      <w:pPr>
        <w:ind w:left="1620" w:hanging="94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9">
    <w:nsid w:val="68D037C0"/>
    <w:multiLevelType w:val="hybridMultilevel"/>
    <w:tmpl w:val="679427E8"/>
    <w:lvl w:ilvl="0" w:tplc="E076C552">
      <w:start w:val="1"/>
      <w:numFmt w:val="decimal"/>
      <w:suff w:val="space"/>
      <w:lvlText w:val="%1."/>
      <w:lvlJc w:val="left"/>
      <w:pPr>
        <w:ind w:left="567" w:hanging="207"/>
      </w:pPr>
      <w:rPr>
        <w:rFonts w:hint="default"/>
        <w:b/>
      </w:rPr>
    </w:lvl>
    <w:lvl w:ilvl="1" w:tplc="B9EAB4D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6F51E5"/>
    <w:multiLevelType w:val="hybridMultilevel"/>
    <w:tmpl w:val="BA0A9C28"/>
    <w:lvl w:ilvl="0" w:tplc="209A3648">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1">
    <w:nsid w:val="6CA42680"/>
    <w:multiLevelType w:val="hybridMultilevel"/>
    <w:tmpl w:val="F2101070"/>
    <w:lvl w:ilvl="0" w:tplc="AAF401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740E0BFA"/>
    <w:multiLevelType w:val="hybridMultilevel"/>
    <w:tmpl w:val="4502C504"/>
    <w:lvl w:ilvl="0" w:tplc="956CC46E">
      <w:numFmt w:val="bullet"/>
      <w:lvlText w:val="-"/>
      <w:lvlJc w:val="left"/>
      <w:pPr>
        <w:ind w:left="1069" w:hanging="360"/>
      </w:pPr>
      <w:rPr>
        <w:rFonts w:ascii="Times" w:eastAsiaTheme="minorEastAsia" w:hAnsi="Times" w:cstheme="minorBidi"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nsid w:val="79DC4643"/>
    <w:multiLevelType w:val="hybridMultilevel"/>
    <w:tmpl w:val="5E4267DC"/>
    <w:lvl w:ilvl="0" w:tplc="6420A3E4">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963153"/>
    <w:multiLevelType w:val="hybridMultilevel"/>
    <w:tmpl w:val="0922BDDA"/>
    <w:lvl w:ilvl="0" w:tplc="3AA2A624">
      <w:start w:val="1"/>
      <w:numFmt w:val="decimal"/>
      <w:suff w:val="space"/>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E84F99"/>
    <w:multiLevelType w:val="hybridMultilevel"/>
    <w:tmpl w:val="D9A8BED2"/>
    <w:lvl w:ilvl="0" w:tplc="59BE5B1C">
      <w:start w:val="1"/>
      <w:numFmt w:val="decimal"/>
      <w:suff w:val="space"/>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0"/>
  </w:num>
  <w:num w:numId="3">
    <w:abstractNumId w:val="25"/>
  </w:num>
  <w:num w:numId="4">
    <w:abstractNumId w:val="19"/>
  </w:num>
  <w:num w:numId="5">
    <w:abstractNumId w:val="29"/>
  </w:num>
  <w:num w:numId="6">
    <w:abstractNumId w:val="15"/>
  </w:num>
  <w:num w:numId="7">
    <w:abstractNumId w:val="22"/>
  </w:num>
  <w:num w:numId="8">
    <w:abstractNumId w:val="6"/>
  </w:num>
  <w:num w:numId="9">
    <w:abstractNumId w:val="20"/>
  </w:num>
  <w:num w:numId="10">
    <w:abstractNumId w:val="13"/>
  </w:num>
  <w:num w:numId="11">
    <w:abstractNumId w:val="7"/>
  </w:num>
  <w:num w:numId="12">
    <w:abstractNumId w:val="21"/>
  </w:num>
  <w:num w:numId="13">
    <w:abstractNumId w:val="17"/>
  </w:num>
  <w:num w:numId="14">
    <w:abstractNumId w:val="9"/>
  </w:num>
  <w:num w:numId="15">
    <w:abstractNumId w:val="1"/>
  </w:num>
  <w:num w:numId="16">
    <w:abstractNumId w:val="34"/>
  </w:num>
  <w:num w:numId="17">
    <w:abstractNumId w:val="18"/>
  </w:num>
  <w:num w:numId="18">
    <w:abstractNumId w:val="33"/>
  </w:num>
  <w:num w:numId="19">
    <w:abstractNumId w:val="0"/>
  </w:num>
  <w:num w:numId="20">
    <w:abstractNumId w:val="14"/>
  </w:num>
  <w:num w:numId="21">
    <w:abstractNumId w:val="10"/>
  </w:num>
  <w:num w:numId="22">
    <w:abstractNumId w:val="35"/>
  </w:num>
  <w:num w:numId="23">
    <w:abstractNumId w:val="27"/>
  </w:num>
  <w:num w:numId="24">
    <w:abstractNumId w:val="5"/>
  </w:num>
  <w:num w:numId="25">
    <w:abstractNumId w:val="8"/>
  </w:num>
  <w:num w:numId="26">
    <w:abstractNumId w:val="3"/>
  </w:num>
  <w:num w:numId="27">
    <w:abstractNumId w:val="12"/>
  </w:num>
  <w:num w:numId="28">
    <w:abstractNumId w:val="4"/>
  </w:num>
  <w:num w:numId="29">
    <w:abstractNumId w:val="11"/>
  </w:num>
  <w:num w:numId="30">
    <w:abstractNumId w:val="2"/>
  </w:num>
  <w:num w:numId="31">
    <w:abstractNumId w:val="26"/>
  </w:num>
  <w:num w:numId="32">
    <w:abstractNumId w:val="24"/>
  </w:num>
  <w:num w:numId="33">
    <w:abstractNumId w:val="28"/>
  </w:num>
  <w:num w:numId="34">
    <w:abstractNumId w:val="31"/>
  </w:num>
  <w:num w:numId="35">
    <w:abstractNumId w:val="32"/>
  </w:num>
  <w:num w:numId="36">
    <w:abstractNumId w:val="1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51365"/>
    <w:rsid w:val="00147711"/>
    <w:rsid w:val="0014777C"/>
    <w:rsid w:val="0022187D"/>
    <w:rsid w:val="00240244"/>
    <w:rsid w:val="002644F9"/>
    <w:rsid w:val="003708EF"/>
    <w:rsid w:val="005E226E"/>
    <w:rsid w:val="006968FD"/>
    <w:rsid w:val="00716DCB"/>
    <w:rsid w:val="00951365"/>
    <w:rsid w:val="009B1CFF"/>
    <w:rsid w:val="00B42A3F"/>
    <w:rsid w:val="00B667B7"/>
    <w:rsid w:val="00C752C0"/>
    <w:rsid w:val="00CA3457"/>
    <w:rsid w:val="00D515A9"/>
    <w:rsid w:val="00E06C9A"/>
    <w:rsid w:val="00E21BFE"/>
    <w:rsid w:val="00E35D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40" w:line="288" w:lineRule="auto"/>
        <w:ind w:left="482" w:hanging="48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BFE"/>
  </w:style>
  <w:style w:type="paragraph" w:styleId="1">
    <w:name w:val="heading 1"/>
    <w:basedOn w:val="a"/>
    <w:next w:val="a"/>
    <w:link w:val="10"/>
    <w:uiPriority w:val="9"/>
    <w:qFormat/>
    <w:rsid w:val="00C752C0"/>
    <w:pPr>
      <w:keepNext/>
      <w:keepLines/>
      <w:spacing w:before="480" w:after="0" w:line="240" w:lineRule="auto"/>
      <w:ind w:left="0" w:firstLine="0"/>
      <w:outlineLvl w:val="0"/>
    </w:pPr>
    <w:rPr>
      <w:rFonts w:asciiTheme="majorHAnsi" w:eastAsiaTheme="majorEastAsia" w:hAnsiTheme="majorHAnsi" w:cstheme="majorBidi"/>
      <w:b/>
      <w:bCs/>
      <w:color w:val="365F91" w:themeColor="accent1" w:themeShade="BF"/>
      <w:sz w:val="28"/>
      <w:szCs w:val="28"/>
      <w:lang w:eastAsia="ru-RU"/>
    </w:rPr>
  </w:style>
  <w:style w:type="paragraph" w:styleId="20">
    <w:name w:val="heading 2"/>
    <w:basedOn w:val="a"/>
    <w:link w:val="21"/>
    <w:uiPriority w:val="9"/>
    <w:qFormat/>
    <w:rsid w:val="00951365"/>
    <w:pPr>
      <w:spacing w:before="100" w:beforeAutospacing="1" w:after="100" w:afterAutospacing="1" w:line="240" w:lineRule="auto"/>
      <w:ind w:left="0" w:firstLine="0"/>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752C0"/>
    <w:pPr>
      <w:keepNext/>
      <w:keepLines/>
      <w:spacing w:before="200" w:after="0" w:line="240" w:lineRule="auto"/>
      <w:ind w:left="0" w:firstLine="0"/>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951365"/>
    <w:rPr>
      <w:rFonts w:ascii="Times New Roman" w:eastAsia="Times New Roman" w:hAnsi="Times New Roman" w:cs="Times New Roman"/>
      <w:b/>
      <w:bCs/>
      <w:sz w:val="36"/>
      <w:szCs w:val="36"/>
      <w:lang w:eastAsia="ru-RU"/>
    </w:rPr>
  </w:style>
  <w:style w:type="character" w:customStyle="1" w:styleId="value">
    <w:name w:val="value"/>
    <w:basedOn w:val="a0"/>
    <w:rsid w:val="00951365"/>
  </w:style>
  <w:style w:type="character" w:styleId="a3">
    <w:name w:val="Hyperlink"/>
    <w:basedOn w:val="a0"/>
    <w:uiPriority w:val="99"/>
    <w:unhideWhenUsed/>
    <w:rsid w:val="00951365"/>
    <w:rPr>
      <w:color w:val="0000FF"/>
      <w:u w:val="single"/>
    </w:rPr>
  </w:style>
  <w:style w:type="character" w:customStyle="1" w:styleId="apple-converted-space">
    <w:name w:val="apple-converted-space"/>
    <w:basedOn w:val="a0"/>
    <w:rsid w:val="00951365"/>
  </w:style>
  <w:style w:type="character" w:customStyle="1" w:styleId="label">
    <w:name w:val="label"/>
    <w:basedOn w:val="a0"/>
    <w:rsid w:val="00951365"/>
  </w:style>
  <w:style w:type="character" w:customStyle="1" w:styleId="fcvote-count">
    <w:name w:val="fcvote-count"/>
    <w:basedOn w:val="a0"/>
    <w:rsid w:val="00951365"/>
  </w:style>
  <w:style w:type="paragraph" w:styleId="a4">
    <w:name w:val="Normal (Web)"/>
    <w:basedOn w:val="a"/>
    <w:uiPriority w:val="99"/>
    <w:semiHidden/>
    <w:unhideWhenUsed/>
    <w:rsid w:val="00951365"/>
    <w:p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styleId="a5">
    <w:name w:val="Strong"/>
    <w:basedOn w:val="a0"/>
    <w:uiPriority w:val="22"/>
    <w:qFormat/>
    <w:rsid w:val="00951365"/>
    <w:rPr>
      <w:b/>
      <w:bCs/>
    </w:rPr>
  </w:style>
  <w:style w:type="paragraph" w:styleId="a6">
    <w:name w:val="footnote text"/>
    <w:basedOn w:val="a"/>
    <w:link w:val="a7"/>
    <w:uiPriority w:val="99"/>
    <w:unhideWhenUsed/>
    <w:rsid w:val="00951365"/>
    <w:p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customStyle="1" w:styleId="a7">
    <w:name w:val="Текст сноски Знак"/>
    <w:basedOn w:val="a0"/>
    <w:link w:val="a6"/>
    <w:uiPriority w:val="99"/>
    <w:rsid w:val="00951365"/>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5136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1365"/>
    <w:rPr>
      <w:rFonts w:ascii="Tahoma" w:hAnsi="Tahoma" w:cs="Tahoma"/>
      <w:sz w:val="16"/>
      <w:szCs w:val="16"/>
    </w:rPr>
  </w:style>
  <w:style w:type="character" w:customStyle="1" w:styleId="10">
    <w:name w:val="Заголовок 1 Знак"/>
    <w:basedOn w:val="a0"/>
    <w:link w:val="1"/>
    <w:uiPriority w:val="9"/>
    <w:rsid w:val="00C752C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C752C0"/>
    <w:rPr>
      <w:rFonts w:asciiTheme="majorHAnsi" w:eastAsiaTheme="majorEastAsia" w:hAnsiTheme="majorHAnsi" w:cstheme="majorBidi"/>
      <w:b/>
      <w:bCs/>
      <w:color w:val="4F81BD" w:themeColor="accent1"/>
      <w:sz w:val="24"/>
      <w:szCs w:val="24"/>
      <w:lang w:eastAsia="ru-RU"/>
    </w:rPr>
  </w:style>
  <w:style w:type="paragraph" w:styleId="aa">
    <w:name w:val="List Paragraph"/>
    <w:basedOn w:val="a"/>
    <w:uiPriority w:val="34"/>
    <w:qFormat/>
    <w:rsid w:val="00C752C0"/>
    <w:pPr>
      <w:spacing w:after="0" w:line="240" w:lineRule="auto"/>
      <w:ind w:left="720" w:firstLine="0"/>
      <w:contextualSpacing/>
    </w:pPr>
    <w:rPr>
      <w:rFonts w:eastAsiaTheme="minorEastAsia"/>
      <w:sz w:val="24"/>
      <w:szCs w:val="24"/>
      <w:lang w:eastAsia="ru-RU"/>
    </w:rPr>
  </w:style>
  <w:style w:type="paragraph" w:styleId="ab">
    <w:name w:val="footer"/>
    <w:basedOn w:val="a"/>
    <w:link w:val="ac"/>
    <w:uiPriority w:val="99"/>
    <w:unhideWhenUsed/>
    <w:rsid w:val="00C752C0"/>
    <w:pPr>
      <w:tabs>
        <w:tab w:val="center" w:pos="4844"/>
        <w:tab w:val="right" w:pos="9689"/>
      </w:tabs>
      <w:spacing w:after="0" w:line="240" w:lineRule="auto"/>
      <w:ind w:left="0" w:firstLine="0"/>
    </w:pPr>
    <w:rPr>
      <w:rFonts w:eastAsiaTheme="minorEastAsia"/>
      <w:sz w:val="24"/>
      <w:szCs w:val="24"/>
      <w:lang w:eastAsia="ru-RU"/>
    </w:rPr>
  </w:style>
  <w:style w:type="character" w:customStyle="1" w:styleId="ac">
    <w:name w:val="Нижний колонтитул Знак"/>
    <w:basedOn w:val="a0"/>
    <w:link w:val="ab"/>
    <w:uiPriority w:val="99"/>
    <w:rsid w:val="00C752C0"/>
    <w:rPr>
      <w:rFonts w:eastAsiaTheme="minorEastAsia"/>
      <w:sz w:val="24"/>
      <w:szCs w:val="24"/>
      <w:lang w:eastAsia="ru-RU"/>
    </w:rPr>
  </w:style>
  <w:style w:type="character" w:styleId="ad">
    <w:name w:val="page number"/>
    <w:basedOn w:val="a0"/>
    <w:uiPriority w:val="99"/>
    <w:semiHidden/>
    <w:unhideWhenUsed/>
    <w:rsid w:val="00C752C0"/>
  </w:style>
  <w:style w:type="table" w:styleId="ae">
    <w:name w:val="Table Grid"/>
    <w:basedOn w:val="a1"/>
    <w:uiPriority w:val="59"/>
    <w:rsid w:val="00C752C0"/>
    <w:pPr>
      <w:spacing w:after="0" w:line="240" w:lineRule="auto"/>
      <w:ind w:left="0" w:firstLine="0"/>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otnote reference"/>
    <w:basedOn w:val="a0"/>
    <w:uiPriority w:val="99"/>
    <w:unhideWhenUsed/>
    <w:rsid w:val="00C752C0"/>
    <w:rPr>
      <w:vertAlign w:val="superscript"/>
    </w:rPr>
  </w:style>
  <w:style w:type="character" w:styleId="af0">
    <w:name w:val="Placeholder Text"/>
    <w:basedOn w:val="a0"/>
    <w:uiPriority w:val="99"/>
    <w:semiHidden/>
    <w:rsid w:val="00C752C0"/>
    <w:rPr>
      <w:color w:val="808080"/>
    </w:rPr>
  </w:style>
  <w:style w:type="paragraph" w:customStyle="1" w:styleId="11">
    <w:name w:val="Стиль1"/>
    <w:basedOn w:val="a"/>
    <w:qFormat/>
    <w:rsid w:val="00C752C0"/>
    <w:pPr>
      <w:spacing w:after="0" w:line="360" w:lineRule="auto"/>
      <w:ind w:left="-284" w:right="560" w:firstLine="680"/>
      <w:jc w:val="center"/>
    </w:pPr>
    <w:rPr>
      <w:rFonts w:ascii="Times" w:eastAsiaTheme="minorEastAsia" w:hAnsi="Times"/>
      <w:b/>
      <w:sz w:val="24"/>
      <w:szCs w:val="24"/>
      <w:lang w:val="en-US" w:eastAsia="ru-RU"/>
    </w:rPr>
  </w:style>
  <w:style w:type="paragraph" w:customStyle="1" w:styleId="af1">
    <w:name w:val="Научный доклад"/>
    <w:basedOn w:val="a"/>
    <w:qFormat/>
    <w:rsid w:val="00C752C0"/>
    <w:pPr>
      <w:spacing w:after="0" w:line="360" w:lineRule="auto"/>
      <w:ind w:left="-284" w:right="560" w:firstLine="680"/>
      <w:jc w:val="center"/>
    </w:pPr>
    <w:rPr>
      <w:rFonts w:ascii="Times" w:eastAsiaTheme="minorEastAsia" w:hAnsi="Times"/>
      <w:b/>
      <w:sz w:val="24"/>
      <w:szCs w:val="24"/>
      <w:lang w:val="en-US" w:eastAsia="ru-RU"/>
    </w:rPr>
  </w:style>
  <w:style w:type="paragraph" w:styleId="12">
    <w:name w:val="toc 1"/>
    <w:basedOn w:val="a"/>
    <w:next w:val="a"/>
    <w:autoRedefine/>
    <w:uiPriority w:val="39"/>
    <w:unhideWhenUsed/>
    <w:rsid w:val="00C752C0"/>
    <w:pPr>
      <w:spacing w:after="0" w:line="240" w:lineRule="auto"/>
      <w:ind w:left="0" w:firstLine="0"/>
    </w:pPr>
    <w:rPr>
      <w:rFonts w:eastAsiaTheme="minorEastAsia"/>
      <w:sz w:val="24"/>
      <w:szCs w:val="24"/>
      <w:lang w:eastAsia="ru-RU"/>
    </w:rPr>
  </w:style>
  <w:style w:type="paragraph" w:styleId="22">
    <w:name w:val="toc 2"/>
    <w:basedOn w:val="a"/>
    <w:next w:val="a"/>
    <w:autoRedefine/>
    <w:uiPriority w:val="39"/>
    <w:unhideWhenUsed/>
    <w:rsid w:val="00C752C0"/>
    <w:pPr>
      <w:spacing w:after="0" w:line="240" w:lineRule="auto"/>
      <w:ind w:left="240" w:firstLine="0"/>
    </w:pPr>
    <w:rPr>
      <w:rFonts w:eastAsiaTheme="minorEastAsia"/>
      <w:sz w:val="24"/>
      <w:szCs w:val="24"/>
      <w:lang w:eastAsia="ru-RU"/>
    </w:rPr>
  </w:style>
  <w:style w:type="paragraph" w:styleId="31">
    <w:name w:val="toc 3"/>
    <w:basedOn w:val="a"/>
    <w:next w:val="a"/>
    <w:autoRedefine/>
    <w:uiPriority w:val="39"/>
    <w:unhideWhenUsed/>
    <w:rsid w:val="00C752C0"/>
    <w:pPr>
      <w:spacing w:after="0" w:line="240" w:lineRule="auto"/>
      <w:ind w:left="480" w:firstLine="0"/>
    </w:pPr>
    <w:rPr>
      <w:rFonts w:eastAsiaTheme="minorEastAsia"/>
      <w:sz w:val="24"/>
      <w:szCs w:val="24"/>
      <w:lang w:eastAsia="ru-RU"/>
    </w:rPr>
  </w:style>
  <w:style w:type="paragraph" w:styleId="4">
    <w:name w:val="toc 4"/>
    <w:basedOn w:val="a"/>
    <w:next w:val="a"/>
    <w:autoRedefine/>
    <w:uiPriority w:val="39"/>
    <w:unhideWhenUsed/>
    <w:rsid w:val="00C752C0"/>
    <w:pPr>
      <w:spacing w:after="0" w:line="240" w:lineRule="auto"/>
      <w:ind w:left="720" w:firstLine="0"/>
    </w:pPr>
    <w:rPr>
      <w:rFonts w:eastAsiaTheme="minorEastAsia"/>
      <w:sz w:val="24"/>
      <w:szCs w:val="24"/>
      <w:lang w:eastAsia="ru-RU"/>
    </w:rPr>
  </w:style>
  <w:style w:type="paragraph" w:styleId="5">
    <w:name w:val="toc 5"/>
    <w:basedOn w:val="a"/>
    <w:next w:val="a"/>
    <w:autoRedefine/>
    <w:uiPriority w:val="39"/>
    <w:unhideWhenUsed/>
    <w:rsid w:val="00C752C0"/>
    <w:pPr>
      <w:spacing w:after="0" w:line="240" w:lineRule="auto"/>
      <w:ind w:left="960" w:firstLine="0"/>
    </w:pPr>
    <w:rPr>
      <w:rFonts w:eastAsiaTheme="minorEastAsia"/>
      <w:sz w:val="24"/>
      <w:szCs w:val="24"/>
      <w:lang w:eastAsia="ru-RU"/>
    </w:rPr>
  </w:style>
  <w:style w:type="paragraph" w:styleId="6">
    <w:name w:val="toc 6"/>
    <w:basedOn w:val="a"/>
    <w:next w:val="a"/>
    <w:autoRedefine/>
    <w:uiPriority w:val="39"/>
    <w:unhideWhenUsed/>
    <w:rsid w:val="00C752C0"/>
    <w:pPr>
      <w:spacing w:after="0" w:line="240" w:lineRule="auto"/>
      <w:ind w:left="1200" w:firstLine="0"/>
    </w:pPr>
    <w:rPr>
      <w:rFonts w:eastAsiaTheme="minorEastAsia"/>
      <w:sz w:val="24"/>
      <w:szCs w:val="24"/>
      <w:lang w:eastAsia="ru-RU"/>
    </w:rPr>
  </w:style>
  <w:style w:type="paragraph" w:styleId="7">
    <w:name w:val="toc 7"/>
    <w:basedOn w:val="a"/>
    <w:next w:val="a"/>
    <w:autoRedefine/>
    <w:uiPriority w:val="39"/>
    <w:unhideWhenUsed/>
    <w:rsid w:val="00C752C0"/>
    <w:pPr>
      <w:spacing w:after="0" w:line="240" w:lineRule="auto"/>
      <w:ind w:left="1440" w:firstLine="0"/>
    </w:pPr>
    <w:rPr>
      <w:rFonts w:eastAsiaTheme="minorEastAsia"/>
      <w:sz w:val="24"/>
      <w:szCs w:val="24"/>
      <w:lang w:eastAsia="ru-RU"/>
    </w:rPr>
  </w:style>
  <w:style w:type="paragraph" w:styleId="8">
    <w:name w:val="toc 8"/>
    <w:basedOn w:val="a"/>
    <w:next w:val="a"/>
    <w:autoRedefine/>
    <w:uiPriority w:val="39"/>
    <w:unhideWhenUsed/>
    <w:rsid w:val="00C752C0"/>
    <w:pPr>
      <w:spacing w:after="0" w:line="240" w:lineRule="auto"/>
      <w:ind w:left="1680" w:firstLine="0"/>
    </w:pPr>
    <w:rPr>
      <w:rFonts w:eastAsiaTheme="minorEastAsia"/>
      <w:sz w:val="24"/>
      <w:szCs w:val="24"/>
      <w:lang w:eastAsia="ru-RU"/>
    </w:rPr>
  </w:style>
  <w:style w:type="paragraph" w:styleId="9">
    <w:name w:val="toc 9"/>
    <w:basedOn w:val="a"/>
    <w:next w:val="a"/>
    <w:autoRedefine/>
    <w:uiPriority w:val="39"/>
    <w:unhideWhenUsed/>
    <w:rsid w:val="00C752C0"/>
    <w:pPr>
      <w:spacing w:after="0" w:line="240" w:lineRule="auto"/>
      <w:ind w:left="1920" w:firstLine="0"/>
    </w:pPr>
    <w:rPr>
      <w:rFonts w:eastAsiaTheme="minorEastAsia"/>
      <w:sz w:val="24"/>
      <w:szCs w:val="24"/>
      <w:lang w:eastAsia="ru-RU"/>
    </w:rPr>
  </w:style>
  <w:style w:type="numbering" w:customStyle="1" w:styleId="2">
    <w:name w:val="Стиль2"/>
    <w:uiPriority w:val="99"/>
    <w:rsid w:val="00C752C0"/>
    <w:pPr>
      <w:numPr>
        <w:numId w:val="11"/>
      </w:numPr>
    </w:pPr>
  </w:style>
  <w:style w:type="paragraph" w:customStyle="1" w:styleId="Default">
    <w:name w:val="Default"/>
    <w:rsid w:val="00C752C0"/>
    <w:pPr>
      <w:widowControl w:val="0"/>
      <w:autoSpaceDE w:val="0"/>
      <w:autoSpaceDN w:val="0"/>
      <w:adjustRightInd w:val="0"/>
      <w:spacing w:after="0" w:line="240" w:lineRule="auto"/>
      <w:ind w:left="0" w:firstLine="0"/>
    </w:pPr>
    <w:rPr>
      <w:rFonts w:ascii="Arial" w:eastAsiaTheme="minorEastAsia" w:hAnsi="Arial" w:cs="Arial"/>
      <w:color w:val="000000"/>
      <w:sz w:val="24"/>
      <w:szCs w:val="24"/>
      <w:lang w:val="en-US" w:eastAsia="ru-RU"/>
    </w:rPr>
  </w:style>
  <w:style w:type="character" w:styleId="af2">
    <w:name w:val="FollowedHyperlink"/>
    <w:basedOn w:val="a0"/>
    <w:uiPriority w:val="99"/>
    <w:semiHidden/>
    <w:unhideWhenUsed/>
    <w:rsid w:val="00C752C0"/>
    <w:rPr>
      <w:color w:val="800080" w:themeColor="followedHyperlink"/>
      <w:u w:val="single"/>
    </w:rPr>
  </w:style>
  <w:style w:type="paragraph" w:styleId="af3">
    <w:name w:val="header"/>
    <w:basedOn w:val="a"/>
    <w:link w:val="af4"/>
    <w:uiPriority w:val="99"/>
    <w:unhideWhenUsed/>
    <w:rsid w:val="00C752C0"/>
    <w:pPr>
      <w:tabs>
        <w:tab w:val="center" w:pos="4677"/>
        <w:tab w:val="right" w:pos="9355"/>
      </w:tabs>
      <w:spacing w:after="0" w:line="240" w:lineRule="auto"/>
      <w:ind w:left="0" w:firstLine="0"/>
    </w:pPr>
    <w:rPr>
      <w:rFonts w:eastAsiaTheme="minorEastAsia"/>
      <w:sz w:val="24"/>
      <w:szCs w:val="24"/>
      <w:lang w:eastAsia="ru-RU"/>
    </w:rPr>
  </w:style>
  <w:style w:type="character" w:customStyle="1" w:styleId="af4">
    <w:name w:val="Верхний колонтитул Знак"/>
    <w:basedOn w:val="a0"/>
    <w:link w:val="af3"/>
    <w:uiPriority w:val="99"/>
    <w:rsid w:val="00C752C0"/>
    <w:rPr>
      <w:rFonts w:eastAsiaTheme="minorEastAsia"/>
      <w:sz w:val="24"/>
      <w:szCs w:val="24"/>
      <w:lang w:eastAsia="ru-RU"/>
    </w:rPr>
  </w:style>
  <w:style w:type="paragraph" w:customStyle="1" w:styleId="whs2">
    <w:name w:val="whs2"/>
    <w:basedOn w:val="a"/>
    <w:rsid w:val="00B42A3F"/>
    <w:pPr>
      <w:spacing w:before="80" w:after="0" w:line="240" w:lineRule="auto"/>
      <w:ind w:left="115" w:right="130" w:firstLine="0"/>
    </w:pPr>
    <w:rPr>
      <w:rFonts w:ascii="Arial" w:eastAsia="Times New Roman" w:hAnsi="Arial" w:cs="Arial"/>
      <w:sz w:val="20"/>
      <w:szCs w:val="20"/>
      <w:lang w:eastAsia="ru-RU"/>
    </w:rPr>
  </w:style>
  <w:style w:type="paragraph" w:customStyle="1" w:styleId="whs3">
    <w:name w:val="whs3"/>
    <w:basedOn w:val="a"/>
    <w:rsid w:val="00B42A3F"/>
    <w:pPr>
      <w:spacing w:before="80" w:after="0" w:line="240" w:lineRule="auto"/>
      <w:ind w:left="567" w:right="130" w:hanging="425"/>
    </w:pPr>
    <w:rPr>
      <w:rFonts w:ascii="Arial" w:eastAsia="Times New Roman" w:hAnsi="Arial" w:cs="Arial"/>
      <w:sz w:val="20"/>
      <w:szCs w:val="20"/>
      <w:lang w:eastAsia="ru-RU"/>
    </w:rPr>
  </w:style>
  <w:style w:type="paragraph" w:customStyle="1" w:styleId="whs1">
    <w:name w:val="whs1"/>
    <w:basedOn w:val="a"/>
    <w:rsid w:val="00B42A3F"/>
    <w:pPr>
      <w:spacing w:before="120" w:after="0" w:line="240" w:lineRule="auto"/>
      <w:ind w:left="567" w:hanging="425"/>
    </w:pPr>
    <w:rPr>
      <w:rFonts w:ascii="Arial" w:eastAsia="Times New Roman" w:hAnsi="Arial" w:cs="Arial"/>
      <w:sz w:val="20"/>
      <w:szCs w:val="20"/>
      <w:lang w:eastAsia="ru-RU"/>
    </w:rPr>
  </w:style>
  <w:style w:type="paragraph" w:customStyle="1" w:styleId="whs4">
    <w:name w:val="whs4"/>
    <w:basedOn w:val="a"/>
    <w:rsid w:val="00B42A3F"/>
    <w:pPr>
      <w:spacing w:before="80" w:after="0" w:line="240" w:lineRule="auto"/>
      <w:ind w:left="1560" w:right="130" w:hanging="1418"/>
    </w:pPr>
    <w:rPr>
      <w:rFonts w:ascii="Arial" w:eastAsia="Times New Roman" w:hAnsi="Arial" w:cs="Arial"/>
      <w:sz w:val="20"/>
      <w:szCs w:val="20"/>
      <w:lang w:eastAsia="ru-RU"/>
    </w:rPr>
  </w:style>
  <w:style w:type="paragraph" w:customStyle="1" w:styleId="whs5">
    <w:name w:val="whs5"/>
    <w:basedOn w:val="a"/>
    <w:rsid w:val="00B42A3F"/>
    <w:pPr>
      <w:spacing w:before="80" w:after="0" w:line="240" w:lineRule="auto"/>
      <w:ind w:left="1560" w:right="130" w:hanging="1560"/>
    </w:pPr>
    <w:rPr>
      <w:rFonts w:ascii="Arial" w:eastAsia="Times New Roman" w:hAnsi="Arial" w:cs="Arial"/>
      <w:sz w:val="20"/>
      <w:szCs w:val="20"/>
      <w:lang w:eastAsia="ru-RU"/>
    </w:rPr>
  </w:style>
  <w:style w:type="table" w:styleId="af5">
    <w:name w:val="Light Shading"/>
    <w:basedOn w:val="a1"/>
    <w:uiPriority w:val="60"/>
    <w:rsid w:val="00B42A3F"/>
    <w:pPr>
      <w:spacing w:after="0" w:line="240" w:lineRule="auto"/>
      <w:ind w:left="0" w:firstLine="0"/>
    </w:pPr>
    <w:rPr>
      <w:rFonts w:eastAsiaTheme="minorEastAsia"/>
      <w:color w:val="000000" w:themeColor="text1" w:themeShade="BF"/>
      <w:sz w:val="24"/>
      <w:szCs w:val="24"/>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6">
    <w:name w:val="endnote reference"/>
    <w:basedOn w:val="a0"/>
    <w:uiPriority w:val="99"/>
    <w:semiHidden/>
    <w:unhideWhenUsed/>
    <w:rsid w:val="00B42A3F"/>
    <w:rPr>
      <w:vertAlign w:val="superscript"/>
    </w:rPr>
  </w:style>
  <w:style w:type="paragraph" w:customStyle="1" w:styleId="13">
    <w:name w:val="Без интервала1"/>
    <w:autoRedefine/>
    <w:rsid w:val="00D515A9"/>
    <w:pPr>
      <w:spacing w:after="0" w:line="240" w:lineRule="auto"/>
      <w:ind w:left="0" w:firstLine="0"/>
    </w:pPr>
    <w:rPr>
      <w:rFonts w:ascii="Calibri" w:eastAsia="ヒラギノ角ゴ Pro W3" w:hAnsi="Calibri" w:cs="Times New Roman"/>
      <w:color w:val="000000"/>
      <w:szCs w:val="20"/>
      <w:lang w:val="en-US" w:eastAsia="ru-RU"/>
    </w:rPr>
  </w:style>
  <w:style w:type="paragraph" w:customStyle="1" w:styleId="af7">
    <w:name w:val="Свободная форма"/>
    <w:rsid w:val="00D515A9"/>
    <w:pPr>
      <w:spacing w:after="0" w:line="240" w:lineRule="auto"/>
      <w:ind w:left="0" w:firstLine="0"/>
    </w:pPr>
    <w:rPr>
      <w:rFonts w:ascii="Helvetica" w:eastAsia="ヒラギノ角ゴ Pro W3" w:hAnsi="Helvetica" w:cs="Times New Roman"/>
      <w:color w:val="000000"/>
      <w:sz w:val="24"/>
      <w:szCs w:val="20"/>
    </w:rPr>
  </w:style>
</w:styles>
</file>

<file path=word/webSettings.xml><?xml version="1.0" encoding="utf-8"?>
<w:webSettings xmlns:r="http://schemas.openxmlformats.org/officeDocument/2006/relationships" xmlns:w="http://schemas.openxmlformats.org/wordprocessingml/2006/main">
  <w:divs>
    <w:div w:id="2089763356">
      <w:bodyDiv w:val="1"/>
      <w:marLeft w:val="0"/>
      <w:marRight w:val="0"/>
      <w:marTop w:val="0"/>
      <w:marBottom w:val="0"/>
      <w:divBdr>
        <w:top w:val="none" w:sz="0" w:space="0" w:color="auto"/>
        <w:left w:val="none" w:sz="0" w:space="0" w:color="auto"/>
        <w:bottom w:val="none" w:sz="0" w:space="0" w:color="auto"/>
        <w:right w:val="none" w:sz="0" w:space="0" w:color="auto"/>
      </w:divBdr>
      <w:divsChild>
        <w:div w:id="287013628">
          <w:marLeft w:val="0"/>
          <w:marRight w:val="0"/>
          <w:marTop w:val="0"/>
          <w:marBottom w:val="120"/>
          <w:divBdr>
            <w:top w:val="none" w:sz="0" w:space="0" w:color="auto"/>
            <w:left w:val="none" w:sz="0" w:space="0" w:color="auto"/>
            <w:bottom w:val="none" w:sz="0" w:space="0" w:color="auto"/>
            <w:right w:val="none" w:sz="0" w:space="0" w:color="auto"/>
          </w:divBdr>
          <w:divsChild>
            <w:div w:id="1976639774">
              <w:marLeft w:val="0"/>
              <w:marRight w:val="0"/>
              <w:marTop w:val="0"/>
              <w:marBottom w:val="0"/>
              <w:divBdr>
                <w:top w:val="none" w:sz="0" w:space="0" w:color="auto"/>
                <w:left w:val="none" w:sz="0" w:space="0" w:color="auto"/>
                <w:bottom w:val="none" w:sz="0" w:space="0" w:color="auto"/>
                <w:right w:val="none" w:sz="0" w:space="0" w:color="auto"/>
              </w:divBdr>
              <w:divsChild>
                <w:div w:id="17123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5122">
          <w:marLeft w:val="0"/>
          <w:marRight w:val="0"/>
          <w:marTop w:val="0"/>
          <w:marBottom w:val="125"/>
          <w:divBdr>
            <w:top w:val="none" w:sz="0" w:space="0" w:color="auto"/>
            <w:left w:val="none" w:sz="0" w:space="0" w:color="auto"/>
            <w:bottom w:val="none" w:sz="0" w:space="0" w:color="auto"/>
            <w:right w:val="none" w:sz="0" w:space="0" w:color="auto"/>
          </w:divBdr>
          <w:divsChild>
            <w:div w:id="188950960">
              <w:marLeft w:val="0"/>
              <w:marRight w:val="0"/>
              <w:marTop w:val="0"/>
              <w:marBottom w:val="125"/>
              <w:divBdr>
                <w:top w:val="single" w:sz="4" w:space="6" w:color="C0C0C0"/>
                <w:left w:val="single" w:sz="4" w:space="6" w:color="C0C0C0"/>
                <w:bottom w:val="single" w:sz="4" w:space="6" w:color="C0C0C0"/>
                <w:right w:val="single" w:sz="4" w:space="6" w:color="C0C0C0"/>
              </w:divBdr>
              <w:divsChild>
                <w:div w:id="1791242531">
                  <w:marLeft w:val="0"/>
                  <w:marRight w:val="0"/>
                  <w:marTop w:val="0"/>
                  <w:marBottom w:val="0"/>
                  <w:divBdr>
                    <w:top w:val="none" w:sz="0" w:space="0" w:color="auto"/>
                    <w:left w:val="none" w:sz="0" w:space="0" w:color="auto"/>
                    <w:bottom w:val="none" w:sz="0" w:space="0" w:color="auto"/>
                    <w:right w:val="none" w:sz="0" w:space="0" w:color="auto"/>
                  </w:divBdr>
                  <w:divsChild>
                    <w:div w:id="1824538091">
                      <w:marLeft w:val="0"/>
                      <w:marRight w:val="140"/>
                      <w:marTop w:val="0"/>
                      <w:marBottom w:val="0"/>
                      <w:divBdr>
                        <w:top w:val="none" w:sz="0" w:space="0" w:color="auto"/>
                        <w:left w:val="none" w:sz="0" w:space="0" w:color="auto"/>
                        <w:bottom w:val="single" w:sz="4" w:space="0" w:color="C0C0C0"/>
                        <w:right w:val="none" w:sz="0" w:space="0" w:color="auto"/>
                      </w:divBdr>
                    </w:div>
                    <w:div w:id="119617683">
                      <w:marLeft w:val="0"/>
                      <w:marRight w:val="0"/>
                      <w:marTop w:val="0"/>
                      <w:marBottom w:val="0"/>
                      <w:divBdr>
                        <w:top w:val="none" w:sz="0" w:space="0" w:color="auto"/>
                        <w:left w:val="none" w:sz="0" w:space="0" w:color="auto"/>
                        <w:bottom w:val="single" w:sz="4" w:space="0" w:color="C0C0C0"/>
                        <w:right w:val="none" w:sz="0" w:space="0" w:color="auto"/>
                      </w:divBdr>
                    </w:div>
                  </w:divsChild>
                </w:div>
                <w:div w:id="570166118">
                  <w:marLeft w:val="0"/>
                  <w:marRight w:val="0"/>
                  <w:marTop w:val="0"/>
                  <w:marBottom w:val="0"/>
                  <w:divBdr>
                    <w:top w:val="none" w:sz="0" w:space="0" w:color="auto"/>
                    <w:left w:val="none" w:sz="0" w:space="0" w:color="auto"/>
                    <w:bottom w:val="none" w:sz="0" w:space="0" w:color="auto"/>
                    <w:right w:val="none" w:sz="0" w:space="0" w:color="auto"/>
                  </w:divBdr>
                  <w:divsChild>
                    <w:div w:id="541482769">
                      <w:marLeft w:val="0"/>
                      <w:marRight w:val="140"/>
                      <w:marTop w:val="0"/>
                      <w:marBottom w:val="0"/>
                      <w:divBdr>
                        <w:top w:val="none" w:sz="0" w:space="0" w:color="auto"/>
                        <w:left w:val="none" w:sz="0" w:space="0" w:color="auto"/>
                        <w:bottom w:val="single" w:sz="4" w:space="0" w:color="C0C0C0"/>
                        <w:right w:val="none" w:sz="0" w:space="0" w:color="auto"/>
                      </w:divBdr>
                    </w:div>
                    <w:div w:id="696270199">
                      <w:marLeft w:val="0"/>
                      <w:marRight w:val="0"/>
                      <w:marTop w:val="0"/>
                      <w:marBottom w:val="0"/>
                      <w:divBdr>
                        <w:top w:val="none" w:sz="0" w:space="0" w:color="auto"/>
                        <w:left w:val="none" w:sz="0" w:space="0" w:color="auto"/>
                        <w:bottom w:val="single" w:sz="4" w:space="0" w:color="C0C0C0"/>
                        <w:right w:val="none" w:sz="0" w:space="0" w:color="auto"/>
                      </w:divBdr>
                    </w:div>
                  </w:divsChild>
                </w:div>
                <w:div w:id="757481320">
                  <w:marLeft w:val="0"/>
                  <w:marRight w:val="0"/>
                  <w:marTop w:val="0"/>
                  <w:marBottom w:val="0"/>
                  <w:divBdr>
                    <w:top w:val="none" w:sz="0" w:space="0" w:color="auto"/>
                    <w:left w:val="none" w:sz="0" w:space="0" w:color="auto"/>
                    <w:bottom w:val="none" w:sz="0" w:space="0" w:color="auto"/>
                    <w:right w:val="none" w:sz="0" w:space="0" w:color="auto"/>
                  </w:divBdr>
                  <w:divsChild>
                    <w:div w:id="1627081524">
                      <w:marLeft w:val="0"/>
                      <w:marRight w:val="140"/>
                      <w:marTop w:val="0"/>
                      <w:marBottom w:val="0"/>
                      <w:divBdr>
                        <w:top w:val="none" w:sz="0" w:space="0" w:color="auto"/>
                        <w:left w:val="none" w:sz="0" w:space="0" w:color="auto"/>
                        <w:bottom w:val="single" w:sz="4" w:space="0" w:color="C0C0C0"/>
                        <w:right w:val="none" w:sz="0" w:space="0" w:color="auto"/>
                      </w:divBdr>
                    </w:div>
                    <w:div w:id="626937736">
                      <w:marLeft w:val="0"/>
                      <w:marRight w:val="0"/>
                      <w:marTop w:val="0"/>
                      <w:marBottom w:val="0"/>
                      <w:divBdr>
                        <w:top w:val="none" w:sz="0" w:space="0" w:color="auto"/>
                        <w:left w:val="none" w:sz="0" w:space="0" w:color="auto"/>
                        <w:bottom w:val="single" w:sz="4" w:space="0" w:color="C0C0C0"/>
                        <w:right w:val="none" w:sz="0" w:space="0" w:color="auto"/>
                      </w:divBdr>
                    </w:div>
                  </w:divsChild>
                </w:div>
              </w:divsChild>
            </w:div>
          </w:divsChild>
        </w:div>
        <w:div w:id="916745654">
          <w:marLeft w:val="0"/>
          <w:marRight w:val="0"/>
          <w:marTop w:val="0"/>
          <w:marBottom w:val="0"/>
          <w:divBdr>
            <w:top w:val="none" w:sz="0" w:space="0" w:color="auto"/>
            <w:left w:val="none" w:sz="0" w:space="0" w:color="auto"/>
            <w:bottom w:val="none" w:sz="0" w:space="0" w:color="auto"/>
            <w:right w:val="none" w:sz="0" w:space="0" w:color="auto"/>
          </w:divBdr>
          <w:divsChild>
            <w:div w:id="782916235">
              <w:marLeft w:val="0"/>
              <w:marRight w:val="0"/>
              <w:marTop w:val="0"/>
              <w:marBottom w:val="0"/>
              <w:divBdr>
                <w:top w:val="none" w:sz="0" w:space="0" w:color="auto"/>
                <w:left w:val="none" w:sz="0" w:space="0" w:color="auto"/>
                <w:bottom w:val="none" w:sz="0" w:space="0" w:color="auto"/>
                <w:right w:val="none" w:sz="0" w:space="0" w:color="auto"/>
              </w:divBdr>
              <w:divsChild>
                <w:div w:id="9569665">
                  <w:marLeft w:val="0"/>
                  <w:marRight w:val="0"/>
                  <w:marTop w:val="0"/>
                  <w:marBottom w:val="0"/>
                  <w:divBdr>
                    <w:top w:val="none" w:sz="0" w:space="0" w:color="auto"/>
                    <w:left w:val="none" w:sz="0" w:space="0" w:color="auto"/>
                    <w:bottom w:val="none" w:sz="0" w:space="0" w:color="auto"/>
                    <w:right w:val="none" w:sz="0" w:space="0" w:color="auto"/>
                  </w:divBdr>
                  <w:divsChild>
                    <w:div w:id="476384193">
                      <w:marLeft w:val="0"/>
                      <w:marRight w:val="0"/>
                      <w:marTop w:val="0"/>
                      <w:marBottom w:val="0"/>
                      <w:divBdr>
                        <w:top w:val="none" w:sz="0" w:space="0" w:color="auto"/>
                        <w:left w:val="none" w:sz="0" w:space="0" w:color="auto"/>
                        <w:bottom w:val="none" w:sz="0" w:space="0" w:color="auto"/>
                        <w:right w:val="none" w:sz="0" w:space="0" w:color="auto"/>
                      </w:divBdr>
                    </w:div>
                    <w:div w:id="17366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gif"/><Relationship Id="rId26" Type="http://schemas.openxmlformats.org/officeDocument/2006/relationships/image" Target="media/image13.emf"/><Relationship Id="rId39" Type="http://schemas.openxmlformats.org/officeDocument/2006/relationships/image" Target="media/image23.png"/><Relationship Id="rId21" Type="http://schemas.openxmlformats.org/officeDocument/2006/relationships/hyperlink" Target="mailto:ekaterina_a.smirnova@yahoo.com" TargetMode="External"/><Relationship Id="rId34" Type="http://schemas.openxmlformats.org/officeDocument/2006/relationships/footer" Target="footer2.xml"/><Relationship Id="rId42" Type="http://schemas.openxmlformats.org/officeDocument/2006/relationships/image" Target="media/image26.png"/><Relationship Id="rId47" Type="http://schemas.openxmlformats.org/officeDocument/2006/relationships/hyperlink" Target="mailto:ekaterina_a.smirnova@yahoo.com" TargetMode="External"/><Relationship Id="rId50" Type="http://schemas.openxmlformats.org/officeDocument/2006/relationships/hyperlink" Target="mailto:ekaterina_a.smirnova@yahoo.com" TargetMode="External"/><Relationship Id="rId55" Type="http://schemas.openxmlformats.org/officeDocument/2006/relationships/footer" Target="footer6.xml"/><Relationship Id="rId63" Type="http://schemas.openxmlformats.org/officeDocument/2006/relationships/image" Target="media/image36.emf"/><Relationship Id="rId68"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6.emf"/><Relationship Id="rId11" Type="http://schemas.openxmlformats.org/officeDocument/2006/relationships/image" Target="media/image1.gif"/><Relationship Id="rId24" Type="http://schemas.openxmlformats.org/officeDocument/2006/relationships/image" Target="media/image11.emf"/><Relationship Id="rId32" Type="http://schemas.openxmlformats.org/officeDocument/2006/relationships/hyperlink" Target="http://databank.worldbank.org/data/reports.aspx?source=world-development-indicators" TargetMode="Externa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5.xml"/><Relationship Id="rId58" Type="http://schemas.openxmlformats.org/officeDocument/2006/relationships/footer" Target="footer7.xml"/><Relationship Id="rId66" Type="http://schemas.openxmlformats.org/officeDocument/2006/relationships/image" Target="media/image39.emf"/><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0.png"/><Relationship Id="rId49" Type="http://schemas.openxmlformats.org/officeDocument/2006/relationships/hyperlink" Target="mailto:Anna.Loukianova@gsom.pu.ru" TargetMode="External"/><Relationship Id="rId57" Type="http://schemas.openxmlformats.org/officeDocument/2006/relationships/image" Target="media/image33.png"/><Relationship Id="rId61" Type="http://schemas.openxmlformats.org/officeDocument/2006/relationships/image" Target="media/image35.emf"/><Relationship Id="rId10" Type="http://schemas.openxmlformats.org/officeDocument/2006/relationships/hyperlink" Target="mailto:ekaterina_a.smirnova@yahoo.com" TargetMode="External"/><Relationship Id="rId19" Type="http://schemas.openxmlformats.org/officeDocument/2006/relationships/hyperlink" Target="http://mathworld.wolfram.com/CholeskyDecomposition.html" TargetMode="External"/><Relationship Id="rId31" Type="http://schemas.openxmlformats.org/officeDocument/2006/relationships/image" Target="media/image18.emf"/><Relationship Id="rId44" Type="http://schemas.openxmlformats.org/officeDocument/2006/relationships/image" Target="media/image28.png"/><Relationship Id="rId52" Type="http://schemas.openxmlformats.org/officeDocument/2006/relationships/image" Target="media/image30.emf"/><Relationship Id="rId60" Type="http://schemas.openxmlformats.org/officeDocument/2006/relationships/footer" Target="footer8.xml"/><Relationship Id="rId65" Type="http://schemas.openxmlformats.org/officeDocument/2006/relationships/image" Target="media/image38.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ttpwww.uecs.ru/teoriya-upravleniya/110-87-52016" TargetMode="External"/><Relationship Id="rId14" Type="http://schemas.openxmlformats.org/officeDocument/2006/relationships/image" Target="media/image4.gi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footer" Target="footer3.xml"/><Relationship Id="rId56" Type="http://schemas.openxmlformats.org/officeDocument/2006/relationships/image" Target="media/image32.emf"/><Relationship Id="rId64" Type="http://schemas.openxmlformats.org/officeDocument/2006/relationships/image" Target="media/image37.emf"/><Relationship Id="rId69" Type="http://schemas.openxmlformats.org/officeDocument/2006/relationships/footer" Target="footer11.xml"/><Relationship Id="rId8" Type="http://schemas.openxmlformats.org/officeDocument/2006/relationships/hyperlink" Target="http://httpwww.uecs.ru/teoriya-upravleniya" TargetMode="External"/><Relationship Id="rId51" Type="http://schemas.openxmlformats.org/officeDocument/2006/relationships/footer" Target="footer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image" Target="media/image12.emf"/><Relationship Id="rId33" Type="http://schemas.openxmlformats.org/officeDocument/2006/relationships/footer" Target="footer1.xml"/><Relationship Id="rId38" Type="http://schemas.openxmlformats.org/officeDocument/2006/relationships/image" Target="media/image22.png"/><Relationship Id="rId46" Type="http://schemas.openxmlformats.org/officeDocument/2006/relationships/hyperlink" Target="mailto:Anna.Loukianova@gsom.pu.ru" TargetMode="External"/><Relationship Id="rId59" Type="http://schemas.openxmlformats.org/officeDocument/2006/relationships/image" Target="media/image34.emf"/><Relationship Id="rId67" Type="http://schemas.openxmlformats.org/officeDocument/2006/relationships/image" Target="media/image40.emf"/><Relationship Id="rId20" Type="http://schemas.openxmlformats.org/officeDocument/2006/relationships/hyperlink" Target="mailto:Anna.Loukianova@gsom.pu.ru" TargetMode="External"/><Relationship Id="rId41" Type="http://schemas.openxmlformats.org/officeDocument/2006/relationships/image" Target="media/image25.png"/><Relationship Id="rId54" Type="http://schemas.openxmlformats.org/officeDocument/2006/relationships/image" Target="media/image31.emf"/><Relationship Id="rId62" Type="http://schemas.openxmlformats.org/officeDocument/2006/relationships/footer" Target="footer9.xml"/><Relationship Id="rId7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micex.com/articles/file/3281/MICEX_OG_eng.pdf" TargetMode="External"/><Relationship Id="rId3" Type="http://schemas.openxmlformats.org/officeDocument/2006/relationships/hyperlink" Target="http://www.anbima.com.br" TargetMode="External"/><Relationship Id="rId7" Type="http://schemas.openxmlformats.org/officeDocument/2006/relationships/hyperlink" Target="http://www.micex.com/marketdata/indices/state/profit/calculations_method" TargetMode="External"/><Relationship Id="rId2" Type="http://schemas.openxmlformats.org/officeDocument/2006/relationships/hyperlink" Target="http://databank.worldbank.org/data/reports.aspx?source=world-development-indicators" TargetMode="External"/><Relationship Id="rId1" Type="http://schemas.openxmlformats.org/officeDocument/2006/relationships/hyperlink" Target="http://www.world-exchanges.org/home/" TargetMode="External"/><Relationship Id="rId6" Type="http://schemas.openxmlformats.org/officeDocument/2006/relationships/hyperlink" Target="http://www.mtsmarkets.com/" TargetMode="External"/><Relationship Id="rId5" Type="http://schemas.openxmlformats.org/officeDocument/2006/relationships/hyperlink" Target="http://www.suomenpankki.fi/" TargetMode="External"/><Relationship Id="rId4" Type="http://schemas.openxmlformats.org/officeDocument/2006/relationships/hyperlink" Target="http://www.bankofcanada.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R-7.0.5-2008.xsl" StyleName="ГОСТ Р 7.0.5-2008 (сортировка по порядку включения)"/>
</file>

<file path=customXml/itemProps1.xml><?xml version="1.0" encoding="utf-8"?>
<ds:datastoreItem xmlns:ds="http://schemas.openxmlformats.org/officeDocument/2006/customXml" ds:itemID="{47A787D7-A384-4F95-88BB-406886731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33867</Words>
  <Characters>193046</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226461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cp:revision>
  <dcterms:created xsi:type="dcterms:W3CDTF">2016-06-06T19:27:00Z</dcterms:created>
  <dcterms:modified xsi:type="dcterms:W3CDTF">2016-06-06T19:27:00Z</dcterms:modified>
</cp:coreProperties>
</file>