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0" w:lineRule="exact" w:before="50"/>
        <w:ind w:left="922" w:right="912"/>
        <w:jc w:val="center"/>
      </w:pPr>
      <w:r>
        <w:rPr/>
        <w:t>ОТЗЫВ</w:t>
      </w:r>
    </w:p>
    <w:p>
      <w:pPr>
        <w:pStyle w:val="BodyText"/>
        <w:spacing w:line="320" w:lineRule="exact" w:before="0"/>
        <w:ind w:left="1863"/>
        <w:jc w:val="left"/>
      </w:pPr>
      <w:r>
        <w:rPr/>
        <w:t>рецензента о выпускной квалификационной работе</w:t>
      </w:r>
    </w:p>
    <w:p>
      <w:pPr>
        <w:pStyle w:val="BodyText"/>
        <w:spacing w:before="160"/>
        <w:ind w:left="922" w:right="913"/>
        <w:jc w:val="center"/>
      </w:pPr>
      <w:r>
        <w:rPr/>
        <w:t>аспирантки Санкт-Петербургского государственного университета врача ВАСИНОЙ Анастасии Юрьевны:</w:t>
      </w:r>
    </w:p>
    <w:p>
      <w:pPr>
        <w:pStyle w:val="BodyText"/>
        <w:spacing w:before="2"/>
        <w:ind w:left="138" w:right="128"/>
        <w:jc w:val="center"/>
      </w:pPr>
      <w:r>
        <w:rPr/>
        <w:t>«Аутакоидные и гормонально-метаболические предпосылки тренированности у юных спортсменов с различным соматотипом»</w:t>
      </w:r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BodyText"/>
        <w:spacing w:before="0"/>
        <w:ind w:left="1100"/>
        <w:jc w:val="left"/>
      </w:pPr>
      <w:r>
        <w:rPr/>
        <w:t>Направление подготовки: 30.06.01 - Фундаментальная медицина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60" w:lineRule="auto" w:before="0"/>
        <w:ind w:right="108" w:firstLine="571"/>
      </w:pPr>
      <w:r>
        <w:rPr>
          <w:b/>
        </w:rPr>
        <w:t>Актуальность. </w:t>
      </w:r>
      <w:r>
        <w:rPr/>
        <w:t>Первые свидетельства эндокринной функции мышечной ткани были получены лишь в начале 21 века. Поэтому данная область остается крайне мало изученной и представляет собой поле оживленных дискуссий и научных исследований в современной фундаментальной медицине. Большое прикладное значение для реабилитологии, спортивной медицины, врачебного контроля и лечебной физкультуры, всей клинической медицины имеют исследования, связанные с обоснованием оптимальных и эффективных, персонализированных режимов тренировок, а также двигательной активности. Это особенно важно при решении превентивных задач современной отечественной   медицины   по   отношению   к   группе   социально    значимых</w:t>
      </w:r>
    </w:p>
    <w:p>
      <w:pPr>
        <w:pStyle w:val="BodyText"/>
        <w:spacing w:line="360" w:lineRule="auto"/>
        <w:jc w:val="left"/>
      </w:pPr>
      <w:r>
        <w:rPr/>
        <w:t>«болезней цивилизации», связанных с гиподинамией, а также в контексте профилактики спортивного травматизма.</w:t>
      </w:r>
    </w:p>
    <w:p>
      <w:pPr>
        <w:pStyle w:val="BodyText"/>
        <w:spacing w:line="362" w:lineRule="auto"/>
        <w:ind w:right="109" w:firstLine="571"/>
      </w:pPr>
      <w:r>
        <w:rPr/>
        <w:t>В связи с вышеизложенным, избранная А.Ю. Васиной тема ВКР, несомненно, высокоактуальна, теоретически и практически значима.</w:t>
      </w:r>
    </w:p>
    <w:p>
      <w:pPr>
        <w:pStyle w:val="BodyText"/>
        <w:spacing w:line="360" w:lineRule="auto" w:before="2"/>
        <w:ind w:right="104" w:firstLine="571"/>
      </w:pPr>
      <w:r>
        <w:rPr>
          <w:b/>
        </w:rPr>
        <w:t>Новизна исследования</w:t>
      </w:r>
      <w:r>
        <w:rPr/>
        <w:t>. Комплексный многопараметрический характер исследований и тщательно подобранные по различным параметрам группы позволили автору впервые получить ряд данных и обнаружить неизвестные ранее факты. Так, ранее не изучались особенности метаболизма при недифференцированной дисплазии соединительной ткани (НДСТ), не определялся спектр миокинов при этом пограничном варианте конституции человека. Обнаруженные особенности содержания интерлейкина-8, карнитина, взаимоотношений   концентраций   некоторых   энергетических   субстратов    и</w:t>
      </w:r>
    </w:p>
    <w:p>
      <w:pPr>
        <w:spacing w:after="0" w:line="360" w:lineRule="auto"/>
        <w:sectPr>
          <w:type w:val="continuous"/>
          <w:pgSz w:w="11910" w:h="16840"/>
          <w:pgMar w:top="1340" w:bottom="280" w:left="1300" w:right="740"/>
        </w:sectPr>
      </w:pPr>
    </w:p>
    <w:p>
      <w:pPr>
        <w:pStyle w:val="BodyText"/>
        <w:spacing w:line="360" w:lineRule="auto" w:before="45"/>
        <w:ind w:right="105"/>
      </w:pPr>
      <w:r>
        <w:rPr/>
        <w:t>внутриклеточного уровня АТФ у лиц с несиндромальной соединительно- тканной дисплазией, по сравнению с их сверстниками, не принадлежащими к диспластическому фенотипу, ранее были неизвестны.</w:t>
      </w:r>
    </w:p>
    <w:p>
      <w:pPr>
        <w:pStyle w:val="BodyText"/>
        <w:spacing w:line="360" w:lineRule="auto" w:before="7"/>
        <w:ind w:right="104" w:firstLine="571"/>
      </w:pPr>
      <w:r>
        <w:rPr/>
        <w:t>Новые научные факты и знания, полученные автором, позволяют углубить фундаментальные представления о патогенезе НДСТ и связанных с нею саногенетических механизмов предупреждения системных расстройств. Обнаружен ранее неизвестный факт снижения уровня интерлейкина-8 при НДСТ, что может быть связано с ранее открытыми особенностями цитокинового спектра у лиц марфаноидного фенотипа и существенно для понимания особенностей их реактивности, в частности – при воспалительных заболеваниниях. Автором впервые выявлена зависимость между уровнем интерлейкина-6 в крови и спортивными результатами тестов, фиксирующих готовность мышц к силовой работе, что представляет собой новый вклад в концепцию о миокинах-перераспределителях энергетических ресурсов при физической нагрузке. Потенциально большой интерес для дальнейших исследований представляет выявленное автором различие между диспластическими и недиспластическими подростками, при котором у первых интерлейкин-6 утрачивал свойственную ему корреляцию с благоприятным направлением изменения показателей липидного и углеводного обмена. Это может быть проявлением фундаментальных механизмов, лежащих в основе ранее установленной коморбидности НДСТ с некоторыми заболеваниями, ускоряющими развитие метаболического синдрома. Полученные данные позволяют предполагать, что двигательная активность для лиц с НДСТ менее целительна в отношении заболеваний, входящих в метаболический синдром, чем для остальных индивидов. При дополнительных исследованиях в этом направлении возможно всестороннее обоснование этого важного положения. Отмеченная автором даже у здоровых юных спортсменов без ожирения значительная положительная корреляционная связь окружности талии и артериального  кровяного  давления  –  новый  научный  факт  в  пользу</w:t>
      </w:r>
      <w:r>
        <w:rPr>
          <w:spacing w:val="68"/>
        </w:rPr>
        <w:t> </w:t>
      </w:r>
      <w:r>
        <w:rPr/>
        <w:t>ранних</w:t>
      </w:r>
    </w:p>
    <w:p>
      <w:pPr>
        <w:spacing w:after="0" w:line="360" w:lineRule="auto"/>
        <w:sectPr>
          <w:footerReference w:type="default" r:id="rId5"/>
          <w:pgSz w:w="11910" w:h="16840"/>
          <w:pgMar w:footer="709" w:header="0" w:top="1340" w:bottom="900" w:left="1300" w:right="740"/>
          <w:pgNumType w:start="2"/>
        </w:sectPr>
      </w:pPr>
    </w:p>
    <w:p>
      <w:pPr>
        <w:pStyle w:val="BodyText"/>
        <w:spacing w:line="360" w:lineRule="auto" w:before="45"/>
        <w:ind w:right="107"/>
      </w:pPr>
      <w:r>
        <w:rPr/>
        <w:t>особенностей регуляции сисетемы кровообращения, связанных с абдоминальными факторами. Это имеет большое значение в подростковой медицине для прогностических целей, ввиду проблемы пограничных подростковых артериальных гипертензий.</w:t>
      </w:r>
    </w:p>
    <w:p>
      <w:pPr>
        <w:pStyle w:val="Heading1"/>
        <w:rPr>
          <w:b w:val="0"/>
        </w:rPr>
      </w:pPr>
      <w:r>
        <w:rPr/>
        <w:t>Степень  обоснованности и достоверности заключений и выводов</w:t>
      </w:r>
      <w:r>
        <w:rPr>
          <w:b w:val="0"/>
        </w:rPr>
        <w:t>.</w:t>
      </w:r>
    </w:p>
    <w:p>
      <w:pPr>
        <w:pStyle w:val="BodyText"/>
        <w:spacing w:line="360" w:lineRule="auto" w:before="160"/>
        <w:ind w:right="104" w:firstLine="571"/>
      </w:pPr>
      <w:r>
        <w:rPr/>
        <w:t>Работа содержит детальный анализ современного состояния учения о миокинах в контексте формирующейся в современной медицине доктрины органокинов. Литературный обзор целенаправлен, изобилует новейшими ссылками на работы 2015-2016 гг., но содержит и отсылку к первым трудам в этой области, к патофизиологической классике, учению о конституции. Литературный обзор убедительно обосновывает актуальность и значимость работы.</w:t>
      </w:r>
    </w:p>
    <w:p>
      <w:pPr>
        <w:pStyle w:val="BodyText"/>
        <w:spacing w:line="360" w:lineRule="auto" w:before="7"/>
        <w:ind w:right="105" w:firstLine="571"/>
      </w:pPr>
      <w:r>
        <w:rPr/>
        <w:t>В клинико-патофизиологических исследованиях большое значение всегда имеет правильный подбор основной и контрольной групп. Если сравниваемые группы неоднородны, то это ведет к влиянию малопредсказуемых  и неучтенных факторов на результат. Поэтому вызывает одобрение тщательный подход автора ВКР к этой, начальной стадии исследований. Избранные группы сформированы так, чтобы минимизировать возможное влияние совокупности иных факторов, кроме изучаемого, на результаты: основные и контрольные подгруппы в организованных контингентах подростков практически идентичны по полу и возрасту, а также предельно близки по условиям проживания, питанию и режиму, в том числе – спортивному. Автор выполнил многопараметрическое исследование, зарегистрировав у испытуемых большое количество клинико-анамнестических, функциональных, лабораторных показателей и изучив их метаболомику, а также уровень двух миокинов.</w:t>
      </w:r>
    </w:p>
    <w:p>
      <w:pPr>
        <w:pStyle w:val="BodyText"/>
        <w:spacing w:line="360" w:lineRule="auto"/>
        <w:ind w:right="109" w:firstLine="571"/>
      </w:pPr>
      <w:r>
        <w:rPr/>
        <w:t>В разделе «Материал и методы» вся совокупность методик и условия исследований детально описаны. Материал подвергнут детальному анализу методами медицинской статистики. Примененные методы адекватны поставленным задачам.</w:t>
      </w:r>
    </w:p>
    <w:p>
      <w:pPr>
        <w:spacing w:after="0" w:line="360" w:lineRule="auto"/>
        <w:sectPr>
          <w:pgSz w:w="11910" w:h="16840"/>
          <w:pgMar w:header="0" w:footer="709" w:top="1340" w:bottom="960" w:left="1300" w:right="740"/>
        </w:sectPr>
      </w:pPr>
    </w:p>
    <w:p>
      <w:pPr>
        <w:pStyle w:val="BodyText"/>
        <w:spacing w:line="360" w:lineRule="auto" w:before="45"/>
        <w:ind w:right="104" w:firstLine="571"/>
      </w:pPr>
      <w:r>
        <w:rPr/>
        <w:t>Раздел «Результаты собственных исследований» содержит обширные и детализированные сопоставления между группами и кросс-корреляционный анализ сочетаний параметров. Заключения и выводы обоснованы, подкрепляются полученными данными. Предположения, выполненные на базе анализа литературных и собственных данных логичны и уместны.</w:t>
      </w:r>
    </w:p>
    <w:p>
      <w:pPr>
        <w:pStyle w:val="BodyText"/>
        <w:spacing w:line="360" w:lineRule="auto"/>
        <w:ind w:right="101" w:firstLine="554"/>
      </w:pPr>
      <w:r>
        <w:rPr>
          <w:b/>
        </w:rPr>
        <w:t>Научная и практическая ценность работы</w:t>
      </w:r>
      <w:r>
        <w:rPr/>
        <w:t>. Учение о миокинах – новейшая область биомедицины. Вклад автора состоит в выявлении новых фактов об особенностях миокиновой регуляции при разных соматотипах. Отечественные работы в этой сфере физиологии и патологии – единичны, поэтому вклад данной работы высокий.</w:t>
      </w:r>
    </w:p>
    <w:p>
      <w:pPr>
        <w:pStyle w:val="BodyText"/>
        <w:spacing w:line="360" w:lineRule="auto"/>
        <w:ind w:right="103" w:firstLine="554"/>
      </w:pPr>
      <w:r>
        <w:rPr/>
        <w:t>В отечественной литературе встречаются исследования, посвященные НДСТ (кстати, редкие за рубежом, ибо Международная классификация  болезней и принятые в нашей стране нозологические и преднозологические градации не совпадают). Большинство этих работ базируется на классических клинико-анамнестических данных и лабораторных методах, которым уже более полувека. Достоинство данного исследования – первое применение в сфере изучения несиндромальных дисплазий соединительной ткани методов метаболомики и подходов учения о миокинах. Это и позволило получить новые знания о столь широко изучаемой аномалии конституции. Практическое значение работы, выявившей связь определенных объективных, в том числе конституционально детерминированных признаков с показателями тренированности и особенностями энергетического обмена мышц можно оценить как существеннное. Особенно это касается сферы спортивной медицины, врачебного контроля тренировочного процесса, спортивной селекции. Работа позволяет ставить вопрос о неодинаковом влиянии одних и  тех же средств ЛФК на пациентов разной конституции, их разном лечебном потенциале при наличии и при отсутствии соединительнотканных дисплазий. Выявленные особенности метаболизма при НДСТ важны для понимания патогенеза   связанной   с   ней   патологии   и   выработки   мер   профилактики.</w:t>
      </w:r>
    </w:p>
    <w:p>
      <w:pPr>
        <w:spacing w:after="0" w:line="360" w:lineRule="auto"/>
        <w:sectPr>
          <w:pgSz w:w="11910" w:h="16840"/>
          <w:pgMar w:header="0" w:footer="709" w:top="1340" w:bottom="960" w:left="1300" w:right="740"/>
        </w:sectPr>
      </w:pPr>
    </w:p>
    <w:p>
      <w:pPr>
        <w:pStyle w:val="BodyText"/>
        <w:spacing w:line="360" w:lineRule="auto" w:before="45"/>
        <w:ind w:right="112"/>
      </w:pPr>
      <w:r>
        <w:rPr/>
        <w:t>Материал может и должен использоваться в учебном процессе, в частности, в специализированном курсе «Системные заболевания соединительной ткани», преподаваемом в СПбГУ.</w:t>
      </w:r>
    </w:p>
    <w:p>
      <w:pPr>
        <w:pStyle w:val="BodyText"/>
        <w:spacing w:line="360" w:lineRule="auto" w:before="7"/>
        <w:ind w:right="104" w:firstLine="585"/>
      </w:pPr>
      <w:r>
        <w:rPr/>
        <w:t>Работа написана хорошим литературным языком, снабжена необходимыми таблицами, однако не лишена недостатков. Так, количество рисунков могло быть большим, что спообствовало бы более ясному и четкому изложению сведений о сложной совокупности корреляций, изученных автором.  Кроме  того, в тексте имеются отдельные опечатки. Список литературы содержит описания источников, сделанные по разным, а не по единому библиографическому</w:t>
      </w:r>
      <w:r>
        <w:rPr>
          <w:spacing w:val="-13"/>
        </w:rPr>
        <w:t> </w:t>
      </w:r>
      <w:r>
        <w:rPr/>
        <w:t>стандарту.</w:t>
      </w:r>
    </w:p>
    <w:p>
      <w:pPr>
        <w:pStyle w:val="BodyText"/>
        <w:spacing w:line="360" w:lineRule="auto"/>
        <w:ind w:right="108" w:firstLine="571"/>
      </w:pPr>
      <w:r>
        <w:rPr/>
        <w:t>Принципиальных замечаний работа А.Ю. Васиной не вызывает, большинство из них касается оформления и легко устранимо, однако у рецензента возникли вопросы и уточнения, на которые хотелось бы получить ответы, в частности: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360" w:lineRule="auto" w:before="5" w:after="0"/>
        <w:ind w:left="118" w:right="102" w:firstLine="586"/>
        <w:jc w:val="both"/>
        <w:rPr>
          <w:sz w:val="28"/>
        </w:rPr>
      </w:pPr>
      <w:r>
        <w:rPr>
          <w:sz w:val="28"/>
        </w:rPr>
        <w:t>Какие особенности опорно-двигательного аппарата и нейрогуморальной регуляции выявляются у представителей марфаноидного фенотипа </w:t>
      </w:r>
      <w:r>
        <w:rPr>
          <w:b/>
          <w:sz w:val="28"/>
        </w:rPr>
        <w:t>- </w:t>
      </w:r>
      <w:r>
        <w:rPr>
          <w:sz w:val="28"/>
        </w:rPr>
        <w:t>носителей несиндромальных форм дисплазии соединительной</w:t>
      </w:r>
      <w:r>
        <w:rPr>
          <w:spacing w:val="-28"/>
          <w:sz w:val="28"/>
        </w:rPr>
        <w:t> </w:t>
      </w:r>
      <w:r>
        <w:rPr>
          <w:sz w:val="28"/>
        </w:rPr>
        <w:t>ткани?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360" w:lineRule="auto" w:before="5" w:after="0"/>
        <w:ind w:left="118" w:right="114" w:firstLine="586"/>
        <w:jc w:val="both"/>
        <w:rPr>
          <w:sz w:val="28"/>
        </w:rPr>
      </w:pPr>
      <w:r>
        <w:rPr>
          <w:sz w:val="28"/>
        </w:rPr>
        <w:t>Сформулируйте изученный спектр миокинов при пограничном варианте конституции</w:t>
      </w:r>
      <w:r>
        <w:rPr>
          <w:spacing w:val="-8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2" w:lineRule="auto" w:before="5" w:after="0"/>
        <w:ind w:left="118" w:right="108" w:firstLine="576"/>
        <w:jc w:val="both"/>
        <w:rPr>
          <w:sz w:val="28"/>
        </w:rPr>
      </w:pPr>
      <w:r>
        <w:rPr>
          <w:sz w:val="28"/>
        </w:rPr>
        <w:t>Выделите основные саногенетические механизмы физической активности в концепции эндокринных функций мышечной</w:t>
      </w:r>
      <w:r>
        <w:rPr>
          <w:spacing w:val="-21"/>
          <w:sz w:val="28"/>
        </w:rPr>
        <w:t> </w:t>
      </w:r>
      <w:r>
        <w:rPr>
          <w:sz w:val="28"/>
        </w:rPr>
        <w:t>ткани.</w:t>
      </w:r>
    </w:p>
    <w:p>
      <w:pPr>
        <w:pStyle w:val="BodyText"/>
        <w:spacing w:line="360" w:lineRule="auto" w:before="2"/>
        <w:ind w:right="104" w:firstLine="599"/>
      </w:pPr>
      <w:r>
        <w:rPr/>
        <w:t>Отмеченные замечания и уточнения не влияют на общую положительную оценку ВКР, не снижают научной ценности проведенного исследования и скорее свидетельствуют о необходимости его продолжения и развития – по направлению к кандидатской диссертации.</w:t>
      </w:r>
    </w:p>
    <w:p>
      <w:pPr>
        <w:pStyle w:val="BodyText"/>
        <w:spacing w:line="360" w:lineRule="auto"/>
        <w:ind w:right="112" w:firstLine="599"/>
      </w:pPr>
      <w:r>
        <w:rPr/>
        <w:t>Материалы исследований А.Ю. Васиной обсуждены и доложены на ряде отечественных и зарубежных конференций, опубликованы в  научной периодике в ряде тезисов и 2 статьях.</w:t>
      </w:r>
    </w:p>
    <w:p>
      <w:pPr>
        <w:spacing w:after="0" w:line="360" w:lineRule="auto"/>
        <w:sectPr>
          <w:pgSz w:w="11910" w:h="16840"/>
          <w:pgMar w:header="0" w:footer="709" w:top="1340" w:bottom="960" w:left="1300" w:right="740"/>
        </w:sectPr>
      </w:pPr>
    </w:p>
    <w:p>
      <w:pPr>
        <w:pStyle w:val="BodyText"/>
        <w:spacing w:before="0"/>
        <w:ind w:left="10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22052" cy="86182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052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709" w:top="1400" w:bottom="900" w:left="11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929993pt;margin-top:792.479919pt;width:10pt;height:14pt;mso-position-horizontal-relative:page;mso-position-vertical-relative:page;z-index:-28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"/>
      <w:ind w:left="118"/>
      <w:jc w:val="both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"/>
      <w:ind w:left="704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5"/>
      <w:ind w:left="118" w:right="102" w:firstLine="58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title>ОТЗЫВ</dc:title>
  <dcterms:created xsi:type="dcterms:W3CDTF">2016-06-10T11:16:57Z</dcterms:created>
  <dcterms:modified xsi:type="dcterms:W3CDTF">2016-06-10T11:16:57Z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2016-06-10T00:00:00Z</vt:filetime>
  </property>
</Properties>
</file>