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0E" w:rsidRDefault="0091030E" w:rsidP="0091030E">
      <w:pPr>
        <w:rPr>
          <w:lang w:val="en-US"/>
        </w:rPr>
      </w:pPr>
      <w:r>
        <w:rPr>
          <w:noProof/>
          <w:lang w:eastAsia="ru-RU"/>
        </w:rPr>
        <mc:AlternateContent>
          <mc:Choice Requires="wps">
            <w:drawing>
              <wp:anchor distT="0" distB="0" distL="114300" distR="114300" simplePos="0" relativeHeight="251658239" behindDoc="1" locked="0" layoutInCell="1" allowOverlap="1" wp14:anchorId="506192A6" wp14:editId="4A43C471">
                <wp:simplePos x="0" y="0"/>
                <wp:positionH relativeFrom="page">
                  <wp:align>center</wp:align>
                </wp:positionH>
                <wp:positionV relativeFrom="paragraph">
                  <wp:posOffset>-155656</wp:posOffset>
                </wp:positionV>
                <wp:extent cx="6594231" cy="9536723"/>
                <wp:effectExtent l="0" t="0" r="16510" b="26670"/>
                <wp:wrapNone/>
                <wp:docPr id="34" name="Rectangle 34"/>
                <wp:cNvGraphicFramePr/>
                <a:graphic xmlns:a="http://schemas.openxmlformats.org/drawingml/2006/main">
                  <a:graphicData uri="http://schemas.microsoft.com/office/word/2010/wordprocessingShape">
                    <wps:wsp>
                      <wps:cNvSpPr/>
                      <wps:spPr>
                        <a:xfrm>
                          <a:off x="0" y="0"/>
                          <a:ext cx="6594231" cy="95367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B368" id="Rectangle 34" o:spid="_x0000_s1026" style="position:absolute;margin-left:0;margin-top:-12.25pt;width:519.25pt;height:750.9pt;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" fillcolor="white [3212]" strokecolor="black [3213]" strokeweight="1pt">
                <w10:wrap anchorx="page"/>
              </v:rect>
            </w:pict>
          </mc:Fallback>
        </mc:AlternateContent>
      </w:r>
    </w:p>
    <w:p w:rsidR="0091030E" w:rsidRPr="0091030E" w:rsidRDefault="0091030E" w:rsidP="0091030E">
      <w:pPr>
        <w:spacing w:after="0"/>
        <w:jc w:val="center"/>
        <w:rPr>
          <w:rFonts w:ascii="Times New Roman" w:hAnsi="Times New Roman" w:cs="Times New Roman"/>
          <w:sz w:val="28"/>
          <w:lang w:val="en-US"/>
        </w:rPr>
      </w:pPr>
      <w:r w:rsidRPr="0091030E">
        <w:rPr>
          <w:rFonts w:ascii="Times New Roman" w:hAnsi="Times New Roman" w:cs="Times New Roman"/>
          <w:sz w:val="28"/>
          <w:lang w:val="en-US"/>
        </w:rPr>
        <w:t>St. Petersburg University</w:t>
      </w:r>
    </w:p>
    <w:p w:rsidR="0091030E" w:rsidRPr="0091030E" w:rsidRDefault="0091030E" w:rsidP="0091030E">
      <w:pPr>
        <w:spacing w:after="0"/>
        <w:jc w:val="center"/>
        <w:rPr>
          <w:rFonts w:ascii="Times New Roman" w:hAnsi="Times New Roman" w:cs="Times New Roman"/>
          <w:sz w:val="28"/>
          <w:lang w:val="en-US"/>
        </w:rPr>
      </w:pPr>
      <w:r w:rsidRPr="0091030E">
        <w:rPr>
          <w:rFonts w:ascii="Times New Roman" w:hAnsi="Times New Roman" w:cs="Times New Roman"/>
          <w:sz w:val="28"/>
          <w:lang w:val="en-US"/>
        </w:rPr>
        <w:t>Graduate School of Management</w:t>
      </w:r>
    </w:p>
    <w:p w:rsidR="0091030E" w:rsidRPr="0091030E" w:rsidRDefault="0091030E" w:rsidP="0091030E">
      <w:pPr>
        <w:spacing w:after="0"/>
        <w:jc w:val="center"/>
        <w:rPr>
          <w:rFonts w:ascii="Times New Roman" w:hAnsi="Times New Roman" w:cs="Times New Roman"/>
          <w:sz w:val="28"/>
          <w:lang w:val="en-US"/>
        </w:rPr>
      </w:pPr>
    </w:p>
    <w:p w:rsidR="0091030E" w:rsidRDefault="0091030E" w:rsidP="0091030E">
      <w:pPr>
        <w:jc w:val="center"/>
        <w:rPr>
          <w:rFonts w:ascii="Times New Roman" w:hAnsi="Times New Roman" w:cs="Times New Roman"/>
          <w:sz w:val="28"/>
          <w:lang w:val="en-US"/>
        </w:rPr>
      </w:pPr>
      <w:r>
        <w:rPr>
          <w:rFonts w:ascii="Times New Roman" w:hAnsi="Times New Roman" w:cs="Times New Roman"/>
          <w:sz w:val="28"/>
          <w:lang w:val="en-US"/>
        </w:rPr>
        <w:t>Master in Corporate Finance</w:t>
      </w:r>
    </w:p>
    <w:p w:rsidR="0091030E" w:rsidRDefault="0091030E" w:rsidP="0091030E">
      <w:pPr>
        <w:jc w:val="center"/>
        <w:rPr>
          <w:rFonts w:ascii="Times New Roman" w:hAnsi="Times New Roman" w:cs="Times New Roman"/>
          <w:sz w:val="28"/>
          <w:lang w:val="en-US"/>
        </w:rPr>
      </w:pPr>
    </w:p>
    <w:p w:rsidR="0091030E" w:rsidRDefault="0091030E" w:rsidP="0091030E">
      <w:pPr>
        <w:jc w:val="center"/>
        <w:rPr>
          <w:rFonts w:ascii="Times New Roman" w:hAnsi="Times New Roman" w:cs="Times New Roman"/>
          <w:sz w:val="28"/>
          <w:lang w:val="en-US"/>
        </w:rPr>
      </w:pPr>
    </w:p>
    <w:p w:rsidR="0091030E" w:rsidRDefault="0091030E" w:rsidP="0091030E">
      <w:pPr>
        <w:jc w:val="center"/>
        <w:rPr>
          <w:rFonts w:ascii="Times New Roman" w:hAnsi="Times New Roman" w:cs="Times New Roman"/>
          <w:sz w:val="28"/>
          <w:lang w:val="en-US"/>
        </w:rPr>
      </w:pPr>
    </w:p>
    <w:p w:rsidR="0091030E" w:rsidRDefault="0091030E" w:rsidP="0091030E">
      <w:pPr>
        <w:jc w:val="center"/>
        <w:rPr>
          <w:rFonts w:ascii="Times New Roman" w:hAnsi="Times New Roman" w:cs="Times New Roman"/>
          <w:sz w:val="28"/>
          <w:lang w:val="en-US"/>
        </w:rPr>
      </w:pPr>
    </w:p>
    <w:p w:rsidR="0091030E" w:rsidRDefault="0091030E" w:rsidP="0091030E">
      <w:pPr>
        <w:jc w:val="center"/>
        <w:rPr>
          <w:rFonts w:ascii="Times New Roman" w:hAnsi="Times New Roman" w:cs="Times New Roman"/>
          <w:sz w:val="28"/>
          <w:lang w:val="en-US"/>
        </w:rPr>
      </w:pPr>
    </w:p>
    <w:p w:rsidR="0091030E" w:rsidRPr="0091030E" w:rsidRDefault="0091030E" w:rsidP="0091030E">
      <w:pPr>
        <w:jc w:val="center"/>
        <w:rPr>
          <w:rFonts w:ascii="Times New Roman" w:hAnsi="Times New Roman" w:cs="Times New Roman"/>
          <w:sz w:val="40"/>
          <w:lang w:val="en-US"/>
        </w:rPr>
      </w:pPr>
      <w:r>
        <w:rPr>
          <w:rFonts w:ascii="Times New Roman" w:hAnsi="Times New Roman" w:cs="Times New Roman"/>
          <w:sz w:val="40"/>
          <w:lang w:val="en-US"/>
        </w:rPr>
        <w:t>DISCLOSURE PRACTICES AND RISKINESS OF FINANCIAL INSTITUTION</w:t>
      </w:r>
    </w:p>
    <w:p w:rsidR="0091030E" w:rsidRPr="0091030E" w:rsidRDefault="0091030E" w:rsidP="0091030E">
      <w:pPr>
        <w:rPr>
          <w:sz w:val="28"/>
          <w:lang w:val="en-US"/>
        </w:rPr>
      </w:pPr>
    </w:p>
    <w:p w:rsidR="0091030E" w:rsidRPr="0091030E" w:rsidRDefault="0091030E" w:rsidP="0091030E">
      <w:pPr>
        <w:rPr>
          <w:sz w:val="28"/>
          <w:lang w:val="en-US"/>
        </w:rPr>
      </w:pPr>
    </w:p>
    <w:p w:rsidR="0091030E" w:rsidRDefault="0091030E" w:rsidP="0091030E">
      <w:pPr>
        <w:rPr>
          <w:sz w:val="28"/>
          <w:lang w:val="en-US"/>
        </w:rPr>
      </w:pPr>
    </w:p>
    <w:p w:rsidR="0091030E" w:rsidRPr="0091030E" w:rsidRDefault="0091030E" w:rsidP="0091030E">
      <w:pPr>
        <w:rPr>
          <w:rFonts w:ascii="Times New Roman" w:hAnsi="Times New Roman" w:cs="Times New Roman"/>
          <w:sz w:val="28"/>
          <w:lang w:val="en-US"/>
        </w:rPr>
      </w:pPr>
    </w:p>
    <w:p w:rsidR="0091030E" w:rsidRPr="0091030E" w:rsidRDefault="0091030E" w:rsidP="0052369B">
      <w:pPr>
        <w:ind w:left="3572"/>
        <w:mirrorIndents/>
        <w:rPr>
          <w:rFonts w:ascii="Times New Roman" w:hAnsi="Times New Roman" w:cs="Times New Roman"/>
          <w:sz w:val="28"/>
          <w:lang w:val="en-US"/>
        </w:rPr>
      </w:pPr>
      <w:r w:rsidRPr="0091030E">
        <w:rPr>
          <w:rFonts w:ascii="Times New Roman" w:hAnsi="Times New Roman" w:cs="Times New Roman"/>
          <w:sz w:val="28"/>
          <w:lang w:val="en-US"/>
        </w:rPr>
        <w:t>Master’s Thesis by the 2nd year student</w:t>
      </w:r>
    </w:p>
    <w:p w:rsidR="0091030E" w:rsidRPr="0091030E" w:rsidRDefault="0091030E" w:rsidP="0091030E">
      <w:pPr>
        <w:ind w:left="3572"/>
        <w:rPr>
          <w:rFonts w:ascii="Times New Roman" w:hAnsi="Times New Roman" w:cs="Times New Roman"/>
          <w:sz w:val="28"/>
          <w:lang w:val="en-US"/>
        </w:rPr>
      </w:pPr>
      <w:r w:rsidRPr="0091030E">
        <w:rPr>
          <w:rFonts w:ascii="Times New Roman" w:hAnsi="Times New Roman" w:cs="Times New Roman"/>
          <w:sz w:val="28"/>
          <w:lang w:val="en-US"/>
        </w:rPr>
        <w:t xml:space="preserve">Concentration — Master in </w:t>
      </w:r>
      <w:r w:rsidR="0052369B">
        <w:rPr>
          <w:rFonts w:ascii="Times New Roman" w:hAnsi="Times New Roman" w:cs="Times New Roman"/>
          <w:sz w:val="28"/>
          <w:lang w:val="en-US"/>
        </w:rPr>
        <w:t>Corporate Finance</w:t>
      </w:r>
    </w:p>
    <w:p w:rsidR="0091030E" w:rsidRPr="0091030E" w:rsidRDefault="0052369B" w:rsidP="0091030E">
      <w:pPr>
        <w:ind w:left="3572"/>
        <w:rPr>
          <w:rFonts w:ascii="Times New Roman" w:hAnsi="Times New Roman" w:cs="Times New Roman"/>
          <w:sz w:val="28"/>
          <w:lang w:val="en-US"/>
        </w:rPr>
      </w:pPr>
      <w:r>
        <w:rPr>
          <w:rFonts w:ascii="Times New Roman" w:hAnsi="Times New Roman" w:cs="Times New Roman"/>
          <w:sz w:val="28"/>
          <w:lang w:val="en-US"/>
        </w:rPr>
        <w:t>Aidar Zaripov</w:t>
      </w:r>
    </w:p>
    <w:p w:rsidR="0091030E" w:rsidRPr="0091030E" w:rsidRDefault="0091030E" w:rsidP="0091030E">
      <w:pPr>
        <w:ind w:left="3572"/>
        <w:rPr>
          <w:rFonts w:ascii="Times New Roman" w:hAnsi="Times New Roman" w:cs="Times New Roman"/>
          <w:sz w:val="28"/>
          <w:lang w:val="en-US"/>
        </w:rPr>
      </w:pPr>
    </w:p>
    <w:p w:rsidR="0091030E" w:rsidRPr="0091030E" w:rsidRDefault="0091030E" w:rsidP="0091030E">
      <w:pPr>
        <w:ind w:left="3572"/>
        <w:rPr>
          <w:rFonts w:ascii="Times New Roman" w:hAnsi="Times New Roman" w:cs="Times New Roman"/>
          <w:sz w:val="28"/>
          <w:lang w:val="en-US"/>
        </w:rPr>
      </w:pPr>
      <w:r w:rsidRPr="0091030E">
        <w:rPr>
          <w:rFonts w:ascii="Times New Roman" w:hAnsi="Times New Roman" w:cs="Times New Roman"/>
          <w:sz w:val="28"/>
          <w:lang w:val="en-US"/>
        </w:rPr>
        <w:t>Research advisor:</w:t>
      </w:r>
    </w:p>
    <w:p w:rsidR="0091030E" w:rsidRPr="0091030E" w:rsidRDefault="0091030E" w:rsidP="0091030E">
      <w:pPr>
        <w:ind w:left="3572"/>
        <w:rPr>
          <w:rFonts w:ascii="Times New Roman" w:hAnsi="Times New Roman" w:cs="Times New Roman"/>
          <w:sz w:val="28"/>
          <w:lang w:val="en-US"/>
        </w:rPr>
      </w:pPr>
      <w:r w:rsidRPr="0091030E">
        <w:rPr>
          <w:rFonts w:ascii="Times New Roman" w:hAnsi="Times New Roman" w:cs="Times New Roman"/>
          <w:sz w:val="28"/>
          <w:lang w:val="en-US"/>
        </w:rPr>
        <w:t>Associate Professor, Irina V. Berezinets</w:t>
      </w:r>
    </w:p>
    <w:p w:rsidR="0091030E" w:rsidRPr="0091030E" w:rsidRDefault="0091030E" w:rsidP="0091030E">
      <w:pPr>
        <w:rPr>
          <w:sz w:val="28"/>
          <w:lang w:val="en-US"/>
        </w:rPr>
      </w:pPr>
    </w:p>
    <w:p w:rsidR="0091030E" w:rsidRPr="0091030E" w:rsidRDefault="0091030E" w:rsidP="0091030E">
      <w:pPr>
        <w:rPr>
          <w:sz w:val="28"/>
          <w:lang w:val="en-US"/>
        </w:rPr>
      </w:pPr>
    </w:p>
    <w:p w:rsidR="0052369B" w:rsidRDefault="0052369B" w:rsidP="0091030E">
      <w:pPr>
        <w:spacing w:after="0"/>
        <w:jc w:val="center"/>
        <w:rPr>
          <w:rFonts w:ascii="Times New Roman" w:hAnsi="Times New Roman" w:cs="Times New Roman"/>
          <w:sz w:val="28"/>
          <w:lang w:val="en-US"/>
        </w:rPr>
      </w:pPr>
    </w:p>
    <w:p w:rsidR="0052369B" w:rsidRDefault="0052369B" w:rsidP="0091030E">
      <w:pPr>
        <w:spacing w:after="0"/>
        <w:jc w:val="center"/>
        <w:rPr>
          <w:rFonts w:ascii="Times New Roman" w:hAnsi="Times New Roman" w:cs="Times New Roman"/>
          <w:sz w:val="28"/>
          <w:lang w:val="en-US"/>
        </w:rPr>
      </w:pPr>
    </w:p>
    <w:p w:rsidR="0052369B" w:rsidRDefault="0052369B" w:rsidP="0091030E">
      <w:pPr>
        <w:spacing w:after="0"/>
        <w:jc w:val="center"/>
        <w:rPr>
          <w:rFonts w:ascii="Times New Roman" w:hAnsi="Times New Roman" w:cs="Times New Roman"/>
          <w:sz w:val="28"/>
          <w:lang w:val="en-US"/>
        </w:rPr>
      </w:pPr>
    </w:p>
    <w:p w:rsidR="0052369B" w:rsidRDefault="0052369B" w:rsidP="0091030E">
      <w:pPr>
        <w:spacing w:after="0"/>
        <w:jc w:val="center"/>
        <w:rPr>
          <w:rFonts w:ascii="Times New Roman" w:hAnsi="Times New Roman" w:cs="Times New Roman"/>
          <w:sz w:val="28"/>
          <w:lang w:val="en-US"/>
        </w:rPr>
      </w:pPr>
    </w:p>
    <w:p w:rsidR="0052369B" w:rsidRDefault="0052369B" w:rsidP="0091030E">
      <w:pPr>
        <w:spacing w:after="0"/>
        <w:jc w:val="center"/>
        <w:rPr>
          <w:rFonts w:ascii="Times New Roman" w:hAnsi="Times New Roman" w:cs="Times New Roman"/>
          <w:sz w:val="28"/>
          <w:lang w:val="en-US"/>
        </w:rPr>
      </w:pPr>
    </w:p>
    <w:p w:rsidR="0091030E" w:rsidRPr="0091030E" w:rsidRDefault="0091030E" w:rsidP="0091030E">
      <w:pPr>
        <w:spacing w:after="0"/>
        <w:jc w:val="center"/>
        <w:rPr>
          <w:rFonts w:ascii="Times New Roman" w:hAnsi="Times New Roman" w:cs="Times New Roman"/>
          <w:sz w:val="28"/>
          <w:lang w:val="en-US"/>
        </w:rPr>
      </w:pPr>
      <w:r w:rsidRPr="0091030E">
        <w:rPr>
          <w:rFonts w:ascii="Times New Roman" w:hAnsi="Times New Roman" w:cs="Times New Roman"/>
          <w:sz w:val="28"/>
          <w:lang w:val="en-US"/>
        </w:rPr>
        <w:t>St. Petersburg</w:t>
      </w:r>
    </w:p>
    <w:p w:rsidR="0091030E" w:rsidRPr="003641A6" w:rsidRDefault="0091030E" w:rsidP="0091030E">
      <w:pPr>
        <w:spacing w:after="0"/>
        <w:jc w:val="center"/>
        <w:rPr>
          <w:rFonts w:ascii="Times New Roman" w:hAnsi="Times New Roman" w:cs="Times New Roman"/>
          <w:sz w:val="28"/>
        </w:rPr>
      </w:pPr>
      <w:r w:rsidRPr="003641A6">
        <w:rPr>
          <w:rFonts w:ascii="Times New Roman" w:hAnsi="Times New Roman" w:cs="Times New Roman"/>
          <w:sz w:val="28"/>
        </w:rPr>
        <w:t>2016</w:t>
      </w:r>
    </w:p>
    <w:p w:rsidR="00445A9E" w:rsidRPr="003641A6" w:rsidRDefault="00445A9E" w:rsidP="0091030E">
      <w:pPr>
        <w:rPr>
          <w:rFonts w:ascii="Times New Roman" w:hAnsi="Times New Roman" w:cs="Times New Roman"/>
        </w:rPr>
        <w:sectPr w:rsidR="00445A9E" w:rsidRPr="003641A6" w:rsidSect="00121068">
          <w:footerReference w:type="default" r:id="rId8"/>
          <w:footerReference w:type="first" r:id="rId9"/>
          <w:pgSz w:w="11906" w:h="16838" w:code="9"/>
          <w:pgMar w:top="1134" w:right="850" w:bottom="1134" w:left="1701" w:header="708" w:footer="708" w:gutter="0"/>
          <w:pgNumType w:start="1"/>
          <w:cols w:space="708"/>
          <w:titlePg/>
          <w:docGrid w:linePitch="360"/>
        </w:sectPr>
      </w:pPr>
    </w:p>
    <w:p w:rsidR="003A36A9" w:rsidRPr="003A36A9" w:rsidRDefault="003A36A9" w:rsidP="003A36A9">
      <w:pPr>
        <w:spacing w:line="360" w:lineRule="auto"/>
        <w:jc w:val="center"/>
        <w:rPr>
          <w:rFonts w:ascii="Times New Roman" w:eastAsia="MS Mincho" w:hAnsi="Times New Roman" w:cs="Times New Roman"/>
          <w:b/>
          <w:sz w:val="24"/>
        </w:rPr>
      </w:pPr>
      <w:r>
        <w:rPr>
          <w:rFonts w:ascii="Times New Roman" w:hAnsi="Times New Roman" w:cs="Times New Roman"/>
          <w:b/>
          <w:sz w:val="24"/>
        </w:rPr>
        <w:lastRenderedPageBreak/>
        <w:tab/>
      </w:r>
      <w:r w:rsidRPr="003A36A9">
        <w:rPr>
          <w:rFonts w:ascii="Times New Roman" w:eastAsia="MS Mincho" w:hAnsi="Times New Roman" w:cs="Times New Roman"/>
          <w:b/>
          <w:sz w:val="24"/>
        </w:rPr>
        <w:t>ЗАЯВЛЕНИЕ О САМОСТОЯТЕЛЬНОМ ХАРАКТЕРЕ ВЫПОЛНЕНИЯ</w:t>
      </w:r>
    </w:p>
    <w:p w:rsidR="003A36A9" w:rsidRPr="003A36A9" w:rsidRDefault="003A36A9" w:rsidP="003A36A9">
      <w:pPr>
        <w:spacing w:line="360" w:lineRule="auto"/>
        <w:jc w:val="center"/>
        <w:rPr>
          <w:rFonts w:ascii="Times New Roman" w:eastAsia="MS Mincho" w:hAnsi="Times New Roman" w:cs="Times New Roman"/>
          <w:sz w:val="24"/>
        </w:rPr>
      </w:pPr>
      <w:r w:rsidRPr="003A36A9">
        <w:rPr>
          <w:rFonts w:ascii="Times New Roman" w:eastAsia="MS Mincho" w:hAnsi="Times New Roman" w:cs="Times New Roman"/>
          <w:b/>
          <w:sz w:val="24"/>
        </w:rPr>
        <w:t>ВЫПУСКНОЙ КВАЛИФИКАЦИОННОЙ РАБОТЫ</w:t>
      </w:r>
    </w:p>
    <w:p w:rsidR="003A36A9" w:rsidRPr="003A36A9" w:rsidRDefault="003A36A9" w:rsidP="003A36A9">
      <w:pPr>
        <w:spacing w:line="360" w:lineRule="auto"/>
        <w:rPr>
          <w:rFonts w:ascii="Times New Roman" w:eastAsia="MS Mincho" w:hAnsi="Times New Roman" w:cs="Times New Roman"/>
          <w:sz w:val="24"/>
        </w:rPr>
      </w:pPr>
    </w:p>
    <w:p w:rsidR="003A36A9" w:rsidRPr="003A36A9" w:rsidRDefault="003A36A9" w:rsidP="00DD5115">
      <w:pPr>
        <w:spacing w:line="360" w:lineRule="auto"/>
        <w:ind w:firstLine="709"/>
        <w:jc w:val="both"/>
        <w:rPr>
          <w:rFonts w:ascii="Times New Roman" w:eastAsia="MS Mincho" w:hAnsi="Times New Roman" w:cs="Times New Roman"/>
          <w:sz w:val="24"/>
        </w:rPr>
      </w:pPr>
      <w:r w:rsidRPr="003A36A9">
        <w:rPr>
          <w:rFonts w:ascii="Times New Roman" w:eastAsia="MS Mincho" w:hAnsi="Times New Roman" w:cs="Times New Roman"/>
          <w:sz w:val="24"/>
        </w:rPr>
        <w:t xml:space="preserve">Я, </w:t>
      </w:r>
      <w:r>
        <w:rPr>
          <w:rFonts w:ascii="Times New Roman" w:eastAsia="MS Mincho" w:hAnsi="Times New Roman" w:cs="Times New Roman"/>
          <w:sz w:val="24"/>
        </w:rPr>
        <w:t>Зарипов Айдар Ирекович</w:t>
      </w:r>
      <w:r w:rsidRPr="003A36A9">
        <w:rPr>
          <w:rFonts w:ascii="Times New Roman" w:eastAsia="MS Mincho" w:hAnsi="Times New Roman" w:cs="Times New Roman"/>
          <w:sz w:val="24"/>
        </w:rPr>
        <w:t>, студент второго курса магистратуры направления «Менеджмент», заявляю, что в моей магистерской диссертации на тему «</w:t>
      </w:r>
      <w:r>
        <w:rPr>
          <w:rFonts w:ascii="Times New Roman" w:eastAsia="MS Mincho" w:hAnsi="Times New Roman" w:cs="Times New Roman"/>
          <w:sz w:val="24"/>
        </w:rPr>
        <w:t xml:space="preserve">Раскрытие информации и </w:t>
      </w:r>
      <w:r w:rsidR="00DD5115">
        <w:rPr>
          <w:rFonts w:ascii="Times New Roman" w:eastAsia="MS Mincho" w:hAnsi="Times New Roman" w:cs="Times New Roman"/>
          <w:sz w:val="24"/>
        </w:rPr>
        <w:t>рискованность финансового института</w:t>
      </w:r>
      <w:r w:rsidRPr="003A36A9">
        <w:rPr>
          <w:rFonts w:ascii="Times New Roman" w:eastAsia="MS Mincho" w:hAnsi="Times New Roman" w:cs="Times New Roman"/>
          <w:sz w:val="24"/>
        </w:rPr>
        <w:t>»,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w:t>
      </w:r>
    </w:p>
    <w:p w:rsidR="003A36A9" w:rsidRPr="003A36A9" w:rsidRDefault="003A36A9" w:rsidP="00DD5115">
      <w:pPr>
        <w:spacing w:line="360" w:lineRule="auto"/>
        <w:ind w:firstLine="709"/>
        <w:jc w:val="both"/>
        <w:rPr>
          <w:rFonts w:ascii="Times New Roman" w:eastAsia="MS Mincho" w:hAnsi="Times New Roman" w:cs="Times New Roman"/>
          <w:sz w:val="24"/>
        </w:rPr>
      </w:pPr>
      <w:r w:rsidRPr="003A36A9">
        <w:rPr>
          <w:rFonts w:ascii="Times New Roman" w:eastAsia="MS Mincho" w:hAnsi="Times New Roman" w:cs="Times New Roman"/>
          <w:sz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rsidR="003A36A9" w:rsidRPr="003A36A9" w:rsidRDefault="00D222CF" w:rsidP="00DD5115">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noProof/>
          <w:sz w:val="24"/>
          <w:lang w:eastAsia="ru-RU"/>
        </w:rPr>
        <w:drawing>
          <wp:anchor distT="0" distB="0" distL="114300" distR="114300" simplePos="0" relativeHeight="251660288" behindDoc="1" locked="0" layoutInCell="1" allowOverlap="1" wp14:anchorId="6980EADB" wp14:editId="11BEB8DD">
            <wp:simplePos x="0" y="0"/>
            <wp:positionH relativeFrom="column">
              <wp:posOffset>1576020</wp:posOffset>
            </wp:positionH>
            <wp:positionV relativeFrom="paragraph">
              <wp:posOffset>1676171</wp:posOffset>
            </wp:positionV>
            <wp:extent cx="1093749" cy="1431654"/>
            <wp:effectExtent l="254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к. 25 мая 2016 г., 0-03.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096059" cy="1434677"/>
                    </a:xfrm>
                    <a:prstGeom prst="rect">
                      <a:avLst/>
                    </a:prstGeom>
                  </pic:spPr>
                </pic:pic>
              </a:graphicData>
            </a:graphic>
            <wp14:sizeRelH relativeFrom="margin">
              <wp14:pctWidth>0</wp14:pctWidth>
            </wp14:sizeRelH>
            <wp14:sizeRelV relativeFrom="margin">
              <wp14:pctHeight>0</wp14:pctHeight>
            </wp14:sizeRelV>
          </wp:anchor>
        </w:drawing>
      </w:r>
      <w:r w:rsidR="003A36A9" w:rsidRPr="003A36A9">
        <w:rPr>
          <w:rFonts w:ascii="Times New Roman" w:eastAsia="MS Mincho" w:hAnsi="Times New Roman" w:cs="Times New Roman"/>
          <w:sz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 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3A36A9" w:rsidRPr="003A36A9" w:rsidRDefault="003A36A9" w:rsidP="003A36A9">
      <w:pPr>
        <w:spacing w:line="360" w:lineRule="auto"/>
        <w:rPr>
          <w:rFonts w:ascii="Times New Roman" w:eastAsia="MS Mincho" w:hAnsi="Times New Roman" w:cs="Times New Roman"/>
          <w:sz w:val="24"/>
        </w:rPr>
      </w:pPr>
    </w:p>
    <w:p w:rsidR="003A36A9" w:rsidRPr="00121068" w:rsidRDefault="003A36A9" w:rsidP="003A36A9">
      <w:pPr>
        <w:spacing w:line="360" w:lineRule="auto"/>
        <w:rPr>
          <w:rFonts w:ascii="Times New Roman" w:eastAsia="MS Mincho" w:hAnsi="Times New Roman" w:cs="Times New Roman"/>
          <w:sz w:val="24"/>
        </w:rPr>
      </w:pPr>
      <w:r w:rsidRPr="00121068">
        <w:rPr>
          <w:rFonts w:ascii="Times New Roman" w:eastAsia="MS Mincho" w:hAnsi="Times New Roman" w:cs="Times New Roman"/>
          <w:sz w:val="24"/>
        </w:rPr>
        <w:t>_______________________________________________ (</w:t>
      </w:r>
      <w:r w:rsidRPr="003A36A9">
        <w:rPr>
          <w:rFonts w:ascii="Times New Roman" w:eastAsia="MS Mincho" w:hAnsi="Times New Roman" w:cs="Times New Roman"/>
          <w:sz w:val="24"/>
        </w:rPr>
        <w:t>Подпись</w:t>
      </w:r>
      <w:r w:rsidRPr="00121068">
        <w:rPr>
          <w:rFonts w:ascii="Times New Roman" w:eastAsia="MS Mincho" w:hAnsi="Times New Roman" w:cs="Times New Roman"/>
          <w:sz w:val="24"/>
        </w:rPr>
        <w:t xml:space="preserve"> </w:t>
      </w:r>
      <w:r w:rsidRPr="003A36A9">
        <w:rPr>
          <w:rFonts w:ascii="Times New Roman" w:eastAsia="MS Mincho" w:hAnsi="Times New Roman" w:cs="Times New Roman"/>
          <w:sz w:val="24"/>
        </w:rPr>
        <w:t>студента</w:t>
      </w:r>
      <w:r w:rsidRPr="00121068">
        <w:rPr>
          <w:rFonts w:ascii="Times New Roman" w:eastAsia="MS Mincho" w:hAnsi="Times New Roman" w:cs="Times New Roman"/>
          <w:sz w:val="24"/>
        </w:rPr>
        <w:t>)</w:t>
      </w:r>
    </w:p>
    <w:p w:rsidR="003A36A9" w:rsidRPr="00121068" w:rsidRDefault="003A36A9" w:rsidP="003A36A9">
      <w:pPr>
        <w:spacing w:line="360" w:lineRule="auto"/>
        <w:rPr>
          <w:rFonts w:ascii="Times New Roman" w:eastAsia="MS Mincho" w:hAnsi="Times New Roman" w:cs="Times New Roman"/>
          <w:sz w:val="24"/>
        </w:rPr>
      </w:pPr>
    </w:p>
    <w:p w:rsidR="003A36A9" w:rsidRPr="00121068" w:rsidRDefault="003A36A9" w:rsidP="003A36A9">
      <w:pPr>
        <w:spacing w:line="360" w:lineRule="auto"/>
        <w:rPr>
          <w:rFonts w:ascii="Times New Roman" w:eastAsia="MS Mincho" w:hAnsi="Times New Roman" w:cs="Times New Roman"/>
          <w:sz w:val="24"/>
        </w:rPr>
      </w:pPr>
      <w:r w:rsidRPr="00121068">
        <w:rPr>
          <w:rFonts w:ascii="Times New Roman" w:eastAsia="MS Mincho" w:hAnsi="Times New Roman" w:cs="Times New Roman"/>
          <w:sz w:val="24"/>
        </w:rPr>
        <w:t>___________________</w:t>
      </w:r>
      <w:r w:rsidR="00D222CF" w:rsidRPr="00121068">
        <w:rPr>
          <w:rFonts w:ascii="Times New Roman" w:eastAsia="MS Mincho" w:hAnsi="Times New Roman" w:cs="Times New Roman"/>
          <w:sz w:val="24"/>
          <w:u w:val="single"/>
        </w:rPr>
        <w:t xml:space="preserve">25 </w:t>
      </w:r>
      <w:r w:rsidR="00D222CF" w:rsidRPr="00D222CF">
        <w:rPr>
          <w:rFonts w:ascii="Times New Roman" w:eastAsia="MS Mincho" w:hAnsi="Times New Roman" w:cs="Times New Roman"/>
          <w:sz w:val="24"/>
          <w:u w:val="single"/>
        </w:rPr>
        <w:t>мая</w:t>
      </w:r>
      <w:r w:rsidR="00D222CF" w:rsidRPr="00121068">
        <w:rPr>
          <w:rFonts w:ascii="Times New Roman" w:eastAsia="MS Mincho" w:hAnsi="Times New Roman" w:cs="Times New Roman"/>
          <w:sz w:val="24"/>
          <w:u w:val="single"/>
        </w:rPr>
        <w:t xml:space="preserve"> 2016 </w:t>
      </w:r>
      <w:r w:rsidR="00D222CF" w:rsidRPr="00D222CF">
        <w:rPr>
          <w:rFonts w:ascii="Times New Roman" w:eastAsia="MS Mincho" w:hAnsi="Times New Roman" w:cs="Times New Roman"/>
          <w:sz w:val="24"/>
          <w:u w:val="single"/>
        </w:rPr>
        <w:t>г</w:t>
      </w:r>
      <w:r w:rsidR="00D222CF" w:rsidRPr="00121068">
        <w:rPr>
          <w:rFonts w:ascii="Times New Roman" w:eastAsia="MS Mincho" w:hAnsi="Times New Roman" w:cs="Times New Roman"/>
          <w:sz w:val="24"/>
          <w:u w:val="single"/>
        </w:rPr>
        <w:t>.</w:t>
      </w:r>
      <w:r w:rsidRPr="00121068">
        <w:rPr>
          <w:rFonts w:ascii="Times New Roman" w:eastAsia="MS Mincho" w:hAnsi="Times New Roman" w:cs="Times New Roman"/>
          <w:sz w:val="24"/>
          <w:u w:val="single"/>
        </w:rPr>
        <w:t>_________________</w:t>
      </w:r>
      <w:r w:rsidRPr="00121068">
        <w:rPr>
          <w:rFonts w:ascii="Times New Roman" w:eastAsia="MS Mincho" w:hAnsi="Times New Roman" w:cs="Times New Roman"/>
          <w:sz w:val="24"/>
        </w:rPr>
        <w:t xml:space="preserve"> (</w:t>
      </w:r>
      <w:r w:rsidRPr="003A36A9">
        <w:rPr>
          <w:rFonts w:ascii="Times New Roman" w:eastAsia="MS Mincho" w:hAnsi="Times New Roman" w:cs="Times New Roman"/>
          <w:sz w:val="24"/>
        </w:rPr>
        <w:t>Дата</w:t>
      </w:r>
      <w:r w:rsidRPr="00121068">
        <w:rPr>
          <w:rFonts w:ascii="Times New Roman" w:eastAsia="MS Mincho" w:hAnsi="Times New Roman" w:cs="Times New Roman"/>
          <w:sz w:val="24"/>
        </w:rPr>
        <w:t>)</w:t>
      </w:r>
    </w:p>
    <w:p w:rsidR="003A36A9" w:rsidRPr="00121068" w:rsidRDefault="003A36A9" w:rsidP="003A36A9">
      <w:pPr>
        <w:spacing w:line="360" w:lineRule="auto"/>
        <w:rPr>
          <w:rFonts w:ascii="Times New Roman" w:hAnsi="Times New Roman" w:cs="Times New Roman"/>
          <w:sz w:val="24"/>
        </w:rPr>
      </w:pPr>
      <w:r w:rsidRPr="00121068">
        <w:rPr>
          <w:rFonts w:ascii="Times New Roman" w:hAnsi="Times New Roman" w:cs="Times New Roman"/>
          <w:sz w:val="24"/>
        </w:rPr>
        <w:br w:type="page"/>
      </w:r>
    </w:p>
    <w:p w:rsidR="003A36A9" w:rsidRPr="003A36A9" w:rsidRDefault="003A36A9" w:rsidP="003A36A9">
      <w:pPr>
        <w:spacing w:line="360" w:lineRule="auto"/>
        <w:jc w:val="center"/>
        <w:rPr>
          <w:rFonts w:ascii="Times New Roman" w:eastAsia="MS Mincho" w:hAnsi="Times New Roman" w:cs="Times New Roman"/>
          <w:b/>
          <w:sz w:val="24"/>
          <w:lang w:val="en-US"/>
        </w:rPr>
      </w:pPr>
      <w:r w:rsidRPr="003A36A9">
        <w:rPr>
          <w:rFonts w:ascii="Times New Roman" w:eastAsia="MS Mincho" w:hAnsi="Times New Roman" w:cs="Times New Roman"/>
          <w:b/>
          <w:sz w:val="24"/>
          <w:lang w:val="en-US"/>
        </w:rPr>
        <w:lastRenderedPageBreak/>
        <w:t xml:space="preserve">STATEMENT ABOUT THE INDEPENDENT CHARACTER </w:t>
      </w:r>
    </w:p>
    <w:p w:rsidR="003A36A9" w:rsidRPr="003A36A9" w:rsidRDefault="003A36A9" w:rsidP="003A36A9">
      <w:pPr>
        <w:spacing w:line="360" w:lineRule="auto"/>
        <w:jc w:val="center"/>
        <w:rPr>
          <w:rFonts w:ascii="Times New Roman" w:eastAsia="MS Mincho" w:hAnsi="Times New Roman" w:cs="Times New Roman"/>
          <w:b/>
          <w:sz w:val="24"/>
          <w:lang w:val="en-US"/>
        </w:rPr>
      </w:pPr>
      <w:r w:rsidRPr="003A36A9">
        <w:rPr>
          <w:rFonts w:ascii="Times New Roman" w:eastAsia="MS Mincho" w:hAnsi="Times New Roman" w:cs="Times New Roman"/>
          <w:b/>
          <w:sz w:val="24"/>
          <w:lang w:val="en-US"/>
        </w:rPr>
        <w:t>OF THE MASTER THESIS</w:t>
      </w:r>
    </w:p>
    <w:p w:rsidR="003A36A9" w:rsidRPr="003A36A9" w:rsidRDefault="003A36A9" w:rsidP="003A36A9">
      <w:pPr>
        <w:spacing w:line="360" w:lineRule="auto"/>
        <w:rPr>
          <w:rFonts w:ascii="Times New Roman" w:eastAsia="MS Mincho" w:hAnsi="Times New Roman" w:cs="Times New Roman"/>
          <w:sz w:val="24"/>
          <w:lang w:val="en-US"/>
        </w:rPr>
      </w:pPr>
    </w:p>
    <w:p w:rsidR="003A36A9" w:rsidRPr="003A36A9" w:rsidRDefault="003A36A9" w:rsidP="00DD5115">
      <w:pPr>
        <w:spacing w:line="360" w:lineRule="auto"/>
        <w:ind w:firstLine="709"/>
        <w:jc w:val="both"/>
        <w:rPr>
          <w:rFonts w:ascii="Times New Roman" w:eastAsia="MS Mincho" w:hAnsi="Times New Roman" w:cs="Times New Roman"/>
          <w:sz w:val="24"/>
          <w:lang w:val="en-US"/>
        </w:rPr>
      </w:pPr>
      <w:r w:rsidRPr="003A36A9">
        <w:rPr>
          <w:rFonts w:ascii="Times New Roman" w:eastAsia="MS Mincho" w:hAnsi="Times New Roman" w:cs="Times New Roman"/>
          <w:sz w:val="24"/>
          <w:lang w:val="en-US"/>
        </w:rPr>
        <w:t xml:space="preserve">I, </w:t>
      </w:r>
      <w:r w:rsidR="00DD5115">
        <w:rPr>
          <w:rFonts w:ascii="Times New Roman" w:eastAsia="MS Mincho" w:hAnsi="Times New Roman" w:cs="Times New Roman"/>
          <w:sz w:val="24"/>
          <w:lang w:val="en-US"/>
        </w:rPr>
        <w:t>Aidar Zaripov</w:t>
      </w:r>
      <w:r w:rsidRPr="003A36A9">
        <w:rPr>
          <w:rFonts w:ascii="Times New Roman" w:eastAsia="MS Mincho" w:hAnsi="Times New Roman" w:cs="Times New Roman"/>
          <w:sz w:val="24"/>
          <w:lang w:val="en-US"/>
        </w:rPr>
        <w:t>, second year master student, program «Management», state that my master thesis on the topic «</w:t>
      </w:r>
      <w:r w:rsidR="00DD5115">
        <w:rPr>
          <w:rFonts w:ascii="Times New Roman" w:eastAsia="MS Mincho" w:hAnsi="Times New Roman" w:cs="Times New Roman"/>
          <w:sz w:val="24"/>
          <w:lang w:val="en-US"/>
        </w:rPr>
        <w:t>Disclosure practices and riskiness of financial institution</w:t>
      </w:r>
      <w:r w:rsidRPr="003A36A9">
        <w:rPr>
          <w:rFonts w:ascii="Times New Roman" w:eastAsia="MS Mincho" w:hAnsi="Times New Roman" w:cs="Times New Roman"/>
          <w:sz w:val="24"/>
          <w:lang w:val="en-US"/>
        </w:rPr>
        <w:t>», which is presented to the Master Office to be submitted to the Official Defense Committee for the public defense, does not contain any elements of plagiarism.</w:t>
      </w:r>
    </w:p>
    <w:p w:rsidR="003A36A9" w:rsidRPr="003A36A9" w:rsidRDefault="003A36A9" w:rsidP="00DD5115">
      <w:pPr>
        <w:spacing w:line="360" w:lineRule="auto"/>
        <w:ind w:firstLine="709"/>
        <w:jc w:val="both"/>
        <w:rPr>
          <w:rFonts w:ascii="Times New Roman" w:eastAsia="MS Mincho" w:hAnsi="Times New Roman" w:cs="Times New Roman"/>
          <w:sz w:val="24"/>
          <w:lang w:val="en-US"/>
        </w:rPr>
      </w:pPr>
      <w:r w:rsidRPr="003A36A9">
        <w:rPr>
          <w:rFonts w:ascii="Times New Roman" w:eastAsia="MS Mincho" w:hAnsi="Times New Roman" w:cs="Times New Roman"/>
          <w:sz w:val="24"/>
          <w:lang w:val="en-US"/>
        </w:rPr>
        <w:t>All direct borrowings from printed and electronic sources, as well as from master theses, PhD and doctorate theses which were defended earlier, have appropriate references.</w:t>
      </w:r>
    </w:p>
    <w:p w:rsidR="003A36A9" w:rsidRPr="003A36A9" w:rsidRDefault="00D222CF" w:rsidP="00DD5115">
      <w:pPr>
        <w:spacing w:line="360" w:lineRule="auto"/>
        <w:ind w:firstLine="709"/>
        <w:jc w:val="both"/>
        <w:rPr>
          <w:rFonts w:ascii="Times New Roman" w:eastAsia="MS Mincho" w:hAnsi="Times New Roman" w:cs="Times New Roman"/>
          <w:sz w:val="24"/>
          <w:lang w:val="en-US"/>
        </w:rPr>
      </w:pPr>
      <w:r>
        <w:rPr>
          <w:rFonts w:ascii="Times New Roman" w:eastAsia="MS Mincho" w:hAnsi="Times New Roman" w:cs="Times New Roman"/>
          <w:noProof/>
          <w:sz w:val="24"/>
          <w:lang w:eastAsia="ru-RU"/>
        </w:rPr>
        <w:drawing>
          <wp:anchor distT="0" distB="0" distL="114300" distR="114300" simplePos="0" relativeHeight="251662336" behindDoc="1" locked="0" layoutInCell="1" allowOverlap="1" wp14:anchorId="7634F644" wp14:editId="68D89007">
            <wp:simplePos x="0" y="0"/>
            <wp:positionH relativeFrom="column">
              <wp:posOffset>2031909</wp:posOffset>
            </wp:positionH>
            <wp:positionV relativeFrom="paragraph">
              <wp:posOffset>1351735</wp:posOffset>
            </wp:positionV>
            <wp:extent cx="1093749" cy="1431654"/>
            <wp:effectExtent l="254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к. 25 мая 2016 г., 0-03.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093749" cy="1431654"/>
                    </a:xfrm>
                    <a:prstGeom prst="rect">
                      <a:avLst/>
                    </a:prstGeom>
                  </pic:spPr>
                </pic:pic>
              </a:graphicData>
            </a:graphic>
            <wp14:sizeRelH relativeFrom="margin">
              <wp14:pctWidth>0</wp14:pctWidth>
            </wp14:sizeRelH>
            <wp14:sizeRelV relativeFrom="margin">
              <wp14:pctHeight>0</wp14:pctHeight>
            </wp14:sizeRelV>
          </wp:anchor>
        </w:drawing>
      </w:r>
      <w:r w:rsidR="003A36A9" w:rsidRPr="003A36A9">
        <w:rPr>
          <w:rFonts w:ascii="Times New Roman" w:eastAsia="MS Mincho" w:hAnsi="Times New Roman" w:cs="Times New Roman"/>
          <w:sz w:val="24"/>
          <w:lang w:val="en-US"/>
        </w:rPr>
        <w:t>I am aware that according to paragraph 9.7.1. of Guidelines for instruction in major curriculum programs of higher and secondary professional education at St.Petersburg University «A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rsidR="003A36A9" w:rsidRPr="003A36A9" w:rsidRDefault="003A36A9" w:rsidP="003A36A9">
      <w:pPr>
        <w:spacing w:line="360" w:lineRule="auto"/>
        <w:rPr>
          <w:rFonts w:ascii="Times New Roman" w:eastAsia="MS Mincho" w:hAnsi="Times New Roman" w:cs="Times New Roman"/>
          <w:sz w:val="24"/>
          <w:lang w:val="en-US"/>
        </w:rPr>
      </w:pPr>
    </w:p>
    <w:p w:rsidR="003A36A9" w:rsidRPr="003A36A9" w:rsidRDefault="003A36A9" w:rsidP="003A36A9">
      <w:pPr>
        <w:spacing w:line="360" w:lineRule="auto"/>
        <w:rPr>
          <w:rFonts w:ascii="Times New Roman" w:eastAsia="MS Mincho" w:hAnsi="Times New Roman" w:cs="Times New Roman"/>
          <w:sz w:val="24"/>
        </w:rPr>
      </w:pPr>
      <w:r w:rsidRPr="003A36A9">
        <w:rPr>
          <w:rFonts w:ascii="Times New Roman" w:eastAsia="MS Mincho" w:hAnsi="Times New Roman" w:cs="Times New Roman"/>
          <w:sz w:val="24"/>
        </w:rPr>
        <w:t>________________________________________________(Student’s signature)</w:t>
      </w:r>
    </w:p>
    <w:p w:rsidR="003A36A9" w:rsidRPr="003A36A9" w:rsidRDefault="00DD5115" w:rsidP="00DD5115">
      <w:pPr>
        <w:tabs>
          <w:tab w:val="left" w:pos="2312"/>
        </w:tabs>
        <w:spacing w:line="360" w:lineRule="auto"/>
        <w:rPr>
          <w:rFonts w:ascii="Times New Roman" w:eastAsia="MS Mincho" w:hAnsi="Times New Roman" w:cs="Times New Roman"/>
          <w:sz w:val="24"/>
        </w:rPr>
      </w:pPr>
      <w:r>
        <w:rPr>
          <w:rFonts w:ascii="Times New Roman" w:eastAsia="MS Mincho" w:hAnsi="Times New Roman" w:cs="Times New Roman"/>
          <w:sz w:val="24"/>
        </w:rPr>
        <w:tab/>
      </w:r>
    </w:p>
    <w:p w:rsidR="003A36A9" w:rsidRPr="003A36A9" w:rsidRDefault="003A36A9" w:rsidP="003A36A9">
      <w:pPr>
        <w:spacing w:line="360" w:lineRule="auto"/>
        <w:rPr>
          <w:rFonts w:ascii="Times New Roman" w:eastAsia="MS Mincho" w:hAnsi="Times New Roman" w:cs="Times New Roman"/>
          <w:sz w:val="24"/>
        </w:rPr>
      </w:pPr>
      <w:r w:rsidRPr="003A36A9">
        <w:rPr>
          <w:rFonts w:ascii="Times New Roman" w:eastAsia="MS Mincho" w:hAnsi="Times New Roman" w:cs="Times New Roman"/>
          <w:sz w:val="24"/>
        </w:rPr>
        <w:t>__________________</w:t>
      </w:r>
      <w:r w:rsidR="00D222CF" w:rsidRPr="00D222CF">
        <w:rPr>
          <w:rFonts w:ascii="Times New Roman" w:eastAsia="MS Mincho" w:hAnsi="Times New Roman" w:cs="Times New Roman"/>
          <w:sz w:val="24"/>
          <w:u w:val="single"/>
        </w:rPr>
        <w:t xml:space="preserve">26 </w:t>
      </w:r>
      <w:r w:rsidR="00D222CF" w:rsidRPr="00D222CF">
        <w:rPr>
          <w:rFonts w:ascii="Times New Roman" w:eastAsia="MS Mincho" w:hAnsi="Times New Roman" w:cs="Times New Roman"/>
          <w:sz w:val="24"/>
          <w:u w:val="single"/>
          <w:lang w:val="en-US"/>
        </w:rPr>
        <w:t>May 2016</w:t>
      </w:r>
      <w:r w:rsidRPr="003A36A9">
        <w:rPr>
          <w:rFonts w:ascii="Times New Roman" w:eastAsia="MS Mincho" w:hAnsi="Times New Roman" w:cs="Times New Roman"/>
          <w:sz w:val="24"/>
        </w:rPr>
        <w:t>____________________ (Date)</w:t>
      </w:r>
    </w:p>
    <w:p w:rsidR="003A36A9" w:rsidRDefault="003A36A9" w:rsidP="003A36A9">
      <w:pPr>
        <w:tabs>
          <w:tab w:val="left" w:pos="540"/>
          <w:tab w:val="center" w:pos="4677"/>
        </w:tabs>
        <w:spacing w:line="360" w:lineRule="auto"/>
        <w:rPr>
          <w:rFonts w:ascii="Times New Roman" w:hAnsi="Times New Roman" w:cs="Times New Roman"/>
          <w:b/>
          <w:sz w:val="24"/>
        </w:rPr>
      </w:pPr>
      <w:r>
        <w:rPr>
          <w:rFonts w:ascii="Times New Roman" w:hAnsi="Times New Roman" w:cs="Times New Roman"/>
          <w:b/>
          <w:sz w:val="24"/>
        </w:rPr>
        <w:tab/>
      </w:r>
    </w:p>
    <w:p w:rsidR="003A36A9" w:rsidRPr="003A36A9" w:rsidRDefault="003A36A9" w:rsidP="003A36A9">
      <w:pPr>
        <w:rPr>
          <w:rFonts w:ascii="Times New Roman" w:hAnsi="Times New Roman" w:cs="Times New Roman"/>
          <w:sz w:val="24"/>
        </w:rPr>
        <w:sectPr w:rsidR="003A36A9" w:rsidRPr="003A36A9" w:rsidSect="00121068">
          <w:pgSz w:w="11906" w:h="16838" w:code="9"/>
          <w:pgMar w:top="1134" w:right="850" w:bottom="1134" w:left="1701" w:header="708" w:footer="708" w:gutter="0"/>
          <w:cols w:space="708"/>
          <w:titlePg/>
          <w:docGrid w:linePitch="360"/>
        </w:sectPr>
      </w:pPr>
    </w:p>
    <w:p w:rsidR="00BD7FE7" w:rsidRPr="00BD7FE7" w:rsidRDefault="00BD7FE7" w:rsidP="00BD7FE7">
      <w:pPr>
        <w:spacing w:line="360" w:lineRule="auto"/>
        <w:jc w:val="center"/>
        <w:rPr>
          <w:rFonts w:ascii="Times New Roman" w:hAnsi="Times New Roman" w:cs="Times New Roman"/>
          <w:b/>
          <w:sz w:val="24"/>
        </w:rPr>
      </w:pPr>
      <w:r w:rsidRPr="00BD7FE7">
        <w:rPr>
          <w:rFonts w:ascii="Times New Roman" w:hAnsi="Times New Roman" w:cs="Times New Roman"/>
          <w:b/>
          <w:sz w:val="24"/>
        </w:rPr>
        <w:lastRenderedPageBreak/>
        <w:t>АННОТАЦИЯ</w:t>
      </w:r>
    </w:p>
    <w:tbl>
      <w:tblPr>
        <w:tblStyle w:val="ab"/>
        <w:tblW w:w="0" w:type="auto"/>
        <w:tblLook w:val="04A0" w:firstRow="1" w:lastRow="0" w:firstColumn="1" w:lastColumn="0" w:noHBand="0" w:noVBand="1"/>
      </w:tblPr>
      <w:tblGrid>
        <w:gridCol w:w="2637"/>
        <w:gridCol w:w="6708"/>
      </w:tblGrid>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Автор</w:t>
            </w:r>
          </w:p>
        </w:tc>
        <w:tc>
          <w:tcPr>
            <w:tcW w:w="68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Зарипов Айдар Ирекович</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Название магистерской диссертации</w:t>
            </w:r>
          </w:p>
        </w:tc>
        <w:tc>
          <w:tcPr>
            <w:tcW w:w="6804" w:type="dxa"/>
            <w:vAlign w:val="center"/>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w:t>
            </w:r>
            <w:r w:rsidRPr="00BD7FE7">
              <w:rPr>
                <w:rFonts w:ascii="Times New Roman" w:eastAsia="MS Mincho" w:hAnsi="Times New Roman" w:cs="Times New Roman"/>
                <w:sz w:val="24"/>
              </w:rPr>
              <w:t>Раскрытие информации и рискованность финансового института</w:t>
            </w:r>
            <w:r w:rsidRPr="00BD7FE7">
              <w:rPr>
                <w:rFonts w:ascii="Times New Roman" w:hAnsi="Times New Roman" w:cs="Times New Roman"/>
                <w:sz w:val="24"/>
              </w:rPr>
              <w:t>»</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Факультет</w:t>
            </w:r>
          </w:p>
        </w:tc>
        <w:tc>
          <w:tcPr>
            <w:tcW w:w="68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Высшая школа менеджмента</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Направление подготовки</w:t>
            </w:r>
          </w:p>
        </w:tc>
        <w:tc>
          <w:tcPr>
            <w:tcW w:w="6804" w:type="dxa"/>
          </w:tcPr>
          <w:p w:rsidR="00BD7FE7" w:rsidRPr="00BD7FE7" w:rsidRDefault="00BD7FE7" w:rsidP="003641A6">
            <w:pPr>
              <w:spacing w:line="360" w:lineRule="auto"/>
              <w:rPr>
                <w:rFonts w:ascii="Times New Roman" w:hAnsi="Times New Roman" w:cs="Times New Roman"/>
                <w:sz w:val="24"/>
              </w:rPr>
            </w:pPr>
            <w:r w:rsidRPr="00BD7FE7">
              <w:rPr>
                <w:rFonts w:ascii="Times New Roman" w:hAnsi="Times New Roman" w:cs="Times New Roman"/>
                <w:sz w:val="24"/>
              </w:rPr>
              <w:t xml:space="preserve">080200 </w:t>
            </w:r>
            <w:r w:rsidR="003641A6">
              <w:rPr>
                <w:rFonts w:ascii="Times New Roman" w:hAnsi="Times New Roman" w:cs="Times New Roman"/>
                <w:sz w:val="24"/>
              </w:rPr>
              <w:t>«</w:t>
            </w:r>
            <w:r w:rsidRPr="00BD7FE7">
              <w:rPr>
                <w:rFonts w:ascii="Times New Roman" w:hAnsi="Times New Roman" w:cs="Times New Roman"/>
                <w:sz w:val="24"/>
              </w:rPr>
              <w:t>Менеджмент</w:t>
            </w:r>
            <w:r w:rsidR="003641A6">
              <w:rPr>
                <w:rFonts w:ascii="Times New Roman" w:hAnsi="Times New Roman" w:cs="Times New Roman"/>
                <w:sz w:val="24"/>
              </w:rPr>
              <w:t>»</w:t>
            </w:r>
            <w:r w:rsidRPr="00BD7FE7">
              <w:rPr>
                <w:rFonts w:ascii="Times New Roman" w:hAnsi="Times New Roman" w:cs="Times New Roman"/>
                <w:sz w:val="24"/>
              </w:rPr>
              <w:t xml:space="preserve"> (Профиль: Корпоративные финансы)</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Год</w:t>
            </w:r>
          </w:p>
        </w:tc>
        <w:tc>
          <w:tcPr>
            <w:tcW w:w="68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2016</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Научный руководитель</w:t>
            </w:r>
          </w:p>
        </w:tc>
        <w:tc>
          <w:tcPr>
            <w:tcW w:w="68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 xml:space="preserve">Ирина Владимировна Березинец, к.ф.-м.н., доцент </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Описание цели, задач и основных результатов</w:t>
            </w:r>
          </w:p>
        </w:tc>
        <w:tc>
          <w:tcPr>
            <w:tcW w:w="68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Цель данного исследования заключается в выявлении взаимосвязи между степенью раскрытия информации и рискованностью финансового института. Для достижения цели исследования я тщательно изучил теоретические основы оценки рисков, роль раскрытия информации на рынке капитала, а также произвел обзор предыдущих исследований, связанных с вопросом взаимосвязи между степенью раскрытия информации и рискованностью финансового института. Затем мной производилась оценка агрегированного, систематического, идиосинкратического рисков, а также риска падения для 66 крупнейших публичных банковских холдинговых компаний США. Оценка степени раскрытия производилась путем расчета сконструированного индекса степени раскрытия информации. Панельно-регрессионный анализ выявил, наличие обратной взаимосвязи между степенью раскрытия информации и рискованностью финансового института. Полученные результаты позволяют сделать вывод о том, что более высокая степень раскрытия информации может способствовать снижению информационной асимметрии и таким образом привести к сниженной рискованности банковской холдинговой компании.</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Ключевые слова</w:t>
            </w:r>
          </w:p>
        </w:tc>
        <w:tc>
          <w:tcPr>
            <w:tcW w:w="68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 xml:space="preserve">Раскрытие информации, рискованность финансового института, агрегированный риск, риск падения, систематический риск, идиосинкратический риск, асимметрия информации </w:t>
            </w:r>
          </w:p>
        </w:tc>
      </w:tr>
    </w:tbl>
    <w:p w:rsidR="00BD7FE7" w:rsidRPr="00BD7FE7" w:rsidRDefault="00BD7FE7" w:rsidP="00BD7FE7">
      <w:pPr>
        <w:spacing w:line="360" w:lineRule="auto"/>
        <w:jc w:val="center"/>
        <w:rPr>
          <w:rFonts w:ascii="Times New Roman" w:eastAsia="MS Mincho" w:hAnsi="Times New Roman" w:cs="Times New Roman"/>
          <w:b/>
          <w:sz w:val="24"/>
        </w:rPr>
      </w:pPr>
      <w:r w:rsidRPr="00BD7FE7">
        <w:rPr>
          <w:rFonts w:ascii="Times New Roman" w:hAnsi="Times New Roman" w:cs="Times New Roman"/>
          <w:sz w:val="24"/>
        </w:rPr>
        <w:br w:type="page"/>
      </w:r>
      <w:r w:rsidRPr="00BD7FE7">
        <w:rPr>
          <w:rFonts w:ascii="Times New Roman" w:eastAsia="MS Mincho" w:hAnsi="Times New Roman" w:cs="Times New Roman"/>
          <w:b/>
          <w:sz w:val="24"/>
        </w:rPr>
        <w:lastRenderedPageBreak/>
        <w:t>ABSTRACT</w:t>
      </w:r>
    </w:p>
    <w:tbl>
      <w:tblPr>
        <w:tblStyle w:val="ab"/>
        <w:tblW w:w="0" w:type="auto"/>
        <w:tblLook w:val="04A0" w:firstRow="1" w:lastRow="0" w:firstColumn="1" w:lastColumn="0" w:noHBand="0" w:noVBand="1"/>
      </w:tblPr>
      <w:tblGrid>
        <w:gridCol w:w="2616"/>
        <w:gridCol w:w="6729"/>
      </w:tblGrid>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Master Student's Name</w:t>
            </w:r>
          </w:p>
        </w:tc>
        <w:tc>
          <w:tcPr>
            <w:tcW w:w="69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Aidar Zaripov</w:t>
            </w:r>
          </w:p>
        </w:tc>
      </w:tr>
      <w:tr w:rsidR="00BD7FE7" w:rsidRPr="00AF0B79"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Master Thesis Title</w:t>
            </w:r>
          </w:p>
        </w:tc>
        <w:tc>
          <w:tcPr>
            <w:tcW w:w="6904" w:type="dxa"/>
          </w:tcPr>
          <w:p w:rsidR="00BD7FE7" w:rsidRPr="00BD7FE7" w:rsidRDefault="00BD7FE7" w:rsidP="00BD7FE7">
            <w:pPr>
              <w:spacing w:line="360" w:lineRule="auto"/>
              <w:rPr>
                <w:rFonts w:ascii="Times New Roman" w:hAnsi="Times New Roman" w:cs="Times New Roman"/>
                <w:sz w:val="24"/>
                <w:lang w:val="en-US"/>
              </w:rPr>
            </w:pPr>
            <w:r w:rsidRPr="00BD7FE7">
              <w:rPr>
                <w:rFonts w:ascii="Times New Roman" w:eastAsia="MS Mincho" w:hAnsi="Times New Roman" w:cs="Times New Roman"/>
                <w:sz w:val="24"/>
                <w:lang w:val="en-US"/>
              </w:rPr>
              <w:t>“Disclosure practices and riskiness of financial institution”</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Faculty</w:t>
            </w:r>
          </w:p>
        </w:tc>
        <w:tc>
          <w:tcPr>
            <w:tcW w:w="69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 xml:space="preserve">Graduate school of management </w:t>
            </w:r>
          </w:p>
        </w:tc>
      </w:tr>
      <w:tr w:rsidR="00BD7FE7" w:rsidRPr="00AF0B79"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Main field of study</w:t>
            </w:r>
          </w:p>
        </w:tc>
        <w:tc>
          <w:tcPr>
            <w:tcW w:w="6904" w:type="dxa"/>
          </w:tcPr>
          <w:p w:rsidR="00BD7FE7" w:rsidRPr="00BD7FE7" w:rsidRDefault="00BD7FE7" w:rsidP="00BD7FE7">
            <w:pPr>
              <w:spacing w:line="360" w:lineRule="auto"/>
              <w:rPr>
                <w:rFonts w:ascii="Times New Roman" w:hAnsi="Times New Roman" w:cs="Times New Roman"/>
                <w:sz w:val="24"/>
                <w:lang w:val="en-US"/>
              </w:rPr>
            </w:pPr>
            <w:r w:rsidRPr="00BD7FE7">
              <w:rPr>
                <w:rFonts w:ascii="Times New Roman" w:eastAsia="MS Mincho" w:hAnsi="Times New Roman" w:cs="Times New Roman"/>
                <w:sz w:val="24"/>
                <w:lang w:val="en-US"/>
              </w:rPr>
              <w:t>080200 “Management” (specialization: Master of Corporate Finance)</w:t>
            </w:r>
          </w:p>
        </w:tc>
      </w:tr>
      <w:tr w:rsidR="00BD7FE7" w:rsidRPr="00BD7FE7"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Year</w:t>
            </w:r>
          </w:p>
        </w:tc>
        <w:tc>
          <w:tcPr>
            <w:tcW w:w="6904"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2016</w:t>
            </w:r>
          </w:p>
        </w:tc>
      </w:tr>
      <w:tr w:rsidR="00BD7FE7" w:rsidRPr="00AF0B79"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eastAsia="MS Mincho" w:hAnsi="Times New Roman" w:cs="Times New Roman"/>
                <w:sz w:val="24"/>
              </w:rPr>
              <w:t>Academic Advisor’s Name</w:t>
            </w:r>
          </w:p>
        </w:tc>
        <w:tc>
          <w:tcPr>
            <w:tcW w:w="6904" w:type="dxa"/>
          </w:tcPr>
          <w:p w:rsidR="00BD7FE7" w:rsidRPr="00BD7FE7" w:rsidRDefault="00BD7FE7" w:rsidP="00BD7FE7">
            <w:pPr>
              <w:spacing w:line="360" w:lineRule="auto"/>
              <w:rPr>
                <w:rFonts w:ascii="Times New Roman" w:hAnsi="Times New Roman" w:cs="Times New Roman"/>
                <w:sz w:val="24"/>
                <w:lang w:val="en-US"/>
              </w:rPr>
            </w:pPr>
            <w:r w:rsidRPr="00BD7FE7">
              <w:rPr>
                <w:rFonts w:ascii="Times New Roman" w:eastAsia="MS Mincho" w:hAnsi="Times New Roman" w:cs="Times New Roman"/>
                <w:sz w:val="24"/>
                <w:lang w:val="en-US"/>
              </w:rPr>
              <w:t xml:space="preserve">Irina V. Berezinets, </w:t>
            </w:r>
            <w:r w:rsidRPr="00BD7FE7">
              <w:rPr>
                <w:rFonts w:ascii="Times New Roman" w:hAnsi="Times New Roman" w:cs="Times New Roman"/>
                <w:sz w:val="24"/>
                <w:lang w:val="en-US"/>
              </w:rPr>
              <w:t>PhD in Physico-mathematical sciences</w:t>
            </w:r>
            <w:r w:rsidRPr="00BD7FE7">
              <w:rPr>
                <w:rFonts w:ascii="Times New Roman" w:eastAsia="MS Mincho" w:hAnsi="Times New Roman" w:cs="Times New Roman"/>
                <w:sz w:val="24"/>
                <w:lang w:val="en-US"/>
              </w:rPr>
              <w:t>, Associate Professor</w:t>
            </w:r>
          </w:p>
        </w:tc>
      </w:tr>
      <w:tr w:rsidR="00BD7FE7" w:rsidRPr="00AF0B79" w:rsidTr="0091030E">
        <w:tc>
          <w:tcPr>
            <w:tcW w:w="2660" w:type="dxa"/>
          </w:tcPr>
          <w:p w:rsidR="00BD7FE7" w:rsidRPr="00BD7FE7" w:rsidRDefault="00BD7FE7" w:rsidP="00BD7FE7">
            <w:pPr>
              <w:spacing w:line="360" w:lineRule="auto"/>
              <w:rPr>
                <w:rFonts w:ascii="Times New Roman" w:hAnsi="Times New Roman" w:cs="Times New Roman"/>
                <w:sz w:val="24"/>
                <w:lang w:val="en-US"/>
              </w:rPr>
            </w:pPr>
            <w:r w:rsidRPr="00BD7FE7">
              <w:rPr>
                <w:rFonts w:ascii="Times New Roman" w:hAnsi="Times New Roman" w:cs="Times New Roman"/>
                <w:sz w:val="24"/>
                <w:lang w:val="en-US"/>
              </w:rPr>
              <w:t>Description of the goal, task and main results</w:t>
            </w:r>
          </w:p>
        </w:tc>
        <w:tc>
          <w:tcPr>
            <w:tcW w:w="6904" w:type="dxa"/>
          </w:tcPr>
          <w:p w:rsidR="00BD7FE7" w:rsidRPr="00BD7FE7" w:rsidRDefault="00BD7FE7" w:rsidP="00BD7FE7">
            <w:pPr>
              <w:spacing w:line="360" w:lineRule="auto"/>
              <w:rPr>
                <w:rFonts w:ascii="Times New Roman" w:hAnsi="Times New Roman" w:cs="Times New Roman"/>
                <w:sz w:val="24"/>
                <w:szCs w:val="24"/>
                <w:lang w:val="en-US"/>
              </w:rPr>
            </w:pPr>
            <w:r w:rsidRPr="00BD7FE7">
              <w:rPr>
                <w:rFonts w:ascii="Times New Roman" w:hAnsi="Times New Roman" w:cs="Times New Roman"/>
                <w:sz w:val="24"/>
                <w:szCs w:val="24"/>
                <w:lang w:val="en-US"/>
              </w:rPr>
              <w:t xml:space="preserve">The goal of the research paper is to investigate the relationship between disclosure and riskiness of a financial institution. In order to achieve the goal I scrutinized the theoretical grounds of risk assessment, the role of disclosure in capital markets and conducted overview of prior research related to the relationship between disclosure and riskiness of a financial institution. Then for the sample of 66 publicly listed U.S. bank holding companies (BHCs) I estimated the aggregated risk, the downside risk, the systemic risk and the idiosyncratic risk for each BHC. The level of disclosure was measured by constructed disclosure index. The panel regression analysis identified that there is negative relationship between disclosure and riskiness of financial institution. The obtained results suggests that increased disclosure may help to mitigate some of information asymmetry and thus lead to decreased riskiness of bank holding company. </w:t>
            </w:r>
          </w:p>
        </w:tc>
      </w:tr>
      <w:tr w:rsidR="00BD7FE7" w:rsidRPr="00AF0B79" w:rsidTr="0091030E">
        <w:tc>
          <w:tcPr>
            <w:tcW w:w="2660" w:type="dxa"/>
          </w:tcPr>
          <w:p w:rsidR="00BD7FE7" w:rsidRPr="00BD7FE7" w:rsidRDefault="00BD7FE7" w:rsidP="00BD7FE7">
            <w:pPr>
              <w:spacing w:line="360" w:lineRule="auto"/>
              <w:rPr>
                <w:rFonts w:ascii="Times New Roman" w:hAnsi="Times New Roman" w:cs="Times New Roman"/>
                <w:sz w:val="24"/>
              </w:rPr>
            </w:pPr>
            <w:r w:rsidRPr="00BD7FE7">
              <w:rPr>
                <w:rFonts w:ascii="Times New Roman" w:hAnsi="Times New Roman" w:cs="Times New Roman"/>
                <w:sz w:val="24"/>
              </w:rPr>
              <w:t>Keywords</w:t>
            </w:r>
          </w:p>
        </w:tc>
        <w:tc>
          <w:tcPr>
            <w:tcW w:w="6904" w:type="dxa"/>
          </w:tcPr>
          <w:p w:rsidR="00BD7FE7" w:rsidRPr="00BD7FE7" w:rsidRDefault="00BD7FE7" w:rsidP="00BD7FE7">
            <w:pPr>
              <w:spacing w:line="360" w:lineRule="auto"/>
              <w:rPr>
                <w:rFonts w:ascii="Times New Roman" w:hAnsi="Times New Roman" w:cs="Times New Roman"/>
                <w:sz w:val="24"/>
                <w:lang w:val="en-US"/>
              </w:rPr>
            </w:pPr>
            <w:r w:rsidRPr="00BD7FE7">
              <w:rPr>
                <w:rFonts w:ascii="Times New Roman" w:hAnsi="Times New Roman" w:cs="Times New Roman"/>
                <w:sz w:val="24"/>
                <w:lang w:val="en-US"/>
              </w:rPr>
              <w:t>Disclosure, riskiness of financial institution, the aggregated risk, the downside risk, the systemic risk, the idiosyncratic risk, information asymmetry</w:t>
            </w:r>
          </w:p>
        </w:tc>
      </w:tr>
    </w:tbl>
    <w:p w:rsidR="00BD7FE7" w:rsidRPr="00BD7FE7" w:rsidRDefault="00BD7FE7" w:rsidP="00BD7FE7">
      <w:pPr>
        <w:rPr>
          <w:lang w:val="en-US"/>
        </w:rPr>
        <w:sectPr w:rsidR="00BD7FE7" w:rsidRPr="00BD7FE7" w:rsidSect="00121068">
          <w:pgSz w:w="11906" w:h="16838" w:code="9"/>
          <w:pgMar w:top="1134" w:right="850" w:bottom="1134" w:left="1701" w:header="708" w:footer="708" w:gutter="0"/>
          <w:cols w:space="708"/>
          <w:titlePg/>
          <w:docGrid w:linePitch="360"/>
        </w:sectPr>
      </w:pPr>
    </w:p>
    <w:sdt>
      <w:sdtPr>
        <w:rPr>
          <w:rFonts w:ascii="Times New Roman" w:eastAsiaTheme="minorHAnsi" w:hAnsi="Times New Roman" w:cs="Times New Roman"/>
          <w:b/>
          <w:color w:val="auto"/>
          <w:sz w:val="20"/>
          <w:szCs w:val="22"/>
          <w:lang w:eastAsia="en-US"/>
        </w:rPr>
        <w:id w:val="1957670203"/>
        <w:docPartObj>
          <w:docPartGallery w:val="Table of Contents"/>
          <w:docPartUnique/>
        </w:docPartObj>
      </w:sdtPr>
      <w:sdtEndPr>
        <w:rPr>
          <w:rFonts w:asciiTheme="minorHAnsi" w:hAnsiTheme="minorHAnsi" w:cstheme="minorBidi"/>
          <w:bCs/>
          <w:sz w:val="22"/>
        </w:rPr>
      </w:sdtEndPr>
      <w:sdtContent>
        <w:p w:rsidR="00CA33D8" w:rsidRPr="002E448E" w:rsidRDefault="002E448E" w:rsidP="002E448E">
          <w:pPr>
            <w:pStyle w:val="af"/>
            <w:spacing w:after="240"/>
            <w:rPr>
              <w:rFonts w:ascii="Times New Roman" w:hAnsi="Times New Roman" w:cs="Times New Roman"/>
              <w:b/>
              <w:color w:val="auto"/>
              <w:sz w:val="28"/>
              <w:lang w:val="en-US"/>
            </w:rPr>
          </w:pPr>
          <w:r w:rsidRPr="002E448E">
            <w:rPr>
              <w:rFonts w:ascii="Times New Roman" w:hAnsi="Times New Roman" w:cs="Times New Roman"/>
              <w:b/>
              <w:color w:val="auto"/>
              <w:sz w:val="28"/>
              <w:lang w:val="en-US"/>
            </w:rPr>
            <w:t>Table of contents</w:t>
          </w:r>
        </w:p>
        <w:p w:rsidR="00121068" w:rsidRPr="00121068" w:rsidRDefault="00CA33D8">
          <w:pPr>
            <w:pStyle w:val="11"/>
            <w:tabs>
              <w:tab w:val="right" w:leader="dot" w:pos="9345"/>
            </w:tabs>
            <w:rPr>
              <w:rFonts w:ascii="Times New Roman" w:eastAsiaTheme="minorEastAsia" w:hAnsi="Times New Roman" w:cs="Times New Roman"/>
              <w:noProof/>
              <w:sz w:val="24"/>
              <w:lang w:eastAsia="ru-RU"/>
            </w:rPr>
          </w:pPr>
          <w:r>
            <w:fldChar w:fldCharType="begin"/>
          </w:r>
          <w:r>
            <w:instrText xml:space="preserve"> TOC \o "1-3" \h \z \u </w:instrText>
          </w:r>
          <w:r>
            <w:fldChar w:fldCharType="separate"/>
          </w:r>
          <w:hyperlink w:anchor="_Toc451925540" w:history="1">
            <w:r w:rsidR="00121068" w:rsidRPr="00121068">
              <w:rPr>
                <w:rStyle w:val="ae"/>
                <w:rFonts w:ascii="Times New Roman" w:hAnsi="Times New Roman" w:cs="Times New Roman"/>
                <w:noProof/>
                <w:sz w:val="24"/>
                <w:lang w:val="en-US"/>
              </w:rPr>
              <w:t>Introduction</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_Toc451925540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7</w:t>
            </w:r>
            <w:r w:rsidR="00121068" w:rsidRPr="00121068">
              <w:rPr>
                <w:rFonts w:ascii="Times New Roman" w:hAnsi="Times New Roman" w:cs="Times New Roman"/>
                <w:noProof/>
                <w:webHidden/>
                <w:sz w:val="24"/>
              </w:rPr>
              <w:fldChar w:fldCharType="end"/>
            </w:r>
          </w:hyperlink>
        </w:p>
        <w:p w:rsidR="00121068" w:rsidRPr="00121068" w:rsidRDefault="00AE0B9C">
          <w:pPr>
            <w:pStyle w:val="11"/>
            <w:tabs>
              <w:tab w:val="right" w:leader="dot" w:pos="9345"/>
            </w:tabs>
            <w:rPr>
              <w:rFonts w:ascii="Times New Roman" w:eastAsiaTheme="minorEastAsia" w:hAnsi="Times New Roman" w:cs="Times New Roman"/>
              <w:noProof/>
              <w:sz w:val="24"/>
              <w:lang w:eastAsia="ru-RU"/>
            </w:rPr>
          </w:pPr>
          <w:hyperlink w:anchor="_Toc451925541" w:history="1">
            <w:r w:rsidR="00121068" w:rsidRPr="00121068">
              <w:rPr>
                <w:rStyle w:val="ae"/>
                <w:rFonts w:ascii="Times New Roman" w:hAnsi="Times New Roman" w:cs="Times New Roman"/>
                <w:noProof/>
                <w:sz w:val="24"/>
                <w:lang w:val="en-US"/>
              </w:rPr>
              <w:t>Chapter 1. Theoretical grounds of risk assessment</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_Toc451925541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10</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42" w:history="1">
            <w:r w:rsidR="00121068" w:rsidRPr="00121068">
              <w:rPr>
                <w:rStyle w:val="ae"/>
                <w:rFonts w:ascii="Times New Roman" w:hAnsi="Times New Roman" w:cs="Times New Roman"/>
                <w:noProof/>
                <w:sz w:val="24"/>
                <w:lang w:val="en-US"/>
              </w:rPr>
              <w:t>1.1. Standard Deviation as a measure of aggregated risk</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_Toc451925542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10</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43" w:history="1">
            <w:r w:rsidR="00121068" w:rsidRPr="00121068">
              <w:rPr>
                <w:rStyle w:val="ae"/>
                <w:rFonts w:ascii="Times New Roman" w:hAnsi="Times New Roman" w:cs="Times New Roman"/>
                <w:noProof/>
                <w:sz w:val="24"/>
                <w:lang w:val="en-US"/>
              </w:rPr>
              <w:t>1.2. Downside deviation as a measure of downside risk</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_Toc451925543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13</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44" w:history="1">
            <w:r w:rsidR="00121068" w:rsidRPr="00121068">
              <w:rPr>
                <w:rStyle w:val="ae"/>
                <w:rFonts w:ascii="Times New Roman" w:hAnsi="Times New Roman" w:cs="Times New Roman"/>
                <w:noProof/>
                <w:sz w:val="24"/>
                <w:lang w:val="en-US"/>
              </w:rPr>
              <w:t>1.3. Beta as a measure of systemic risk</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_Toc451925544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15</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45" w:history="1">
            <w:r w:rsidR="00121068" w:rsidRPr="00121068">
              <w:rPr>
                <w:rStyle w:val="ae"/>
                <w:rFonts w:ascii="Times New Roman" w:hAnsi="Times New Roman" w:cs="Times New Roman"/>
                <w:noProof/>
                <w:sz w:val="24"/>
                <w:lang w:val="en-US"/>
              </w:rPr>
              <w:t>1.4. Idiosyncratic risk and its measurement</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_Toc451925545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19</w:t>
            </w:r>
            <w:r w:rsidR="00121068" w:rsidRPr="00121068">
              <w:rPr>
                <w:rFonts w:ascii="Times New Roman" w:hAnsi="Times New Roman" w:cs="Times New Roman"/>
                <w:noProof/>
                <w:webHidden/>
                <w:sz w:val="24"/>
              </w:rPr>
              <w:fldChar w:fldCharType="end"/>
            </w:r>
          </w:hyperlink>
        </w:p>
        <w:p w:rsidR="00121068" w:rsidRPr="00121068" w:rsidRDefault="00AE0B9C">
          <w:pPr>
            <w:pStyle w:val="11"/>
            <w:tabs>
              <w:tab w:val="right" w:leader="dot" w:pos="9345"/>
            </w:tabs>
            <w:rPr>
              <w:rFonts w:ascii="Times New Roman" w:eastAsiaTheme="minorEastAsia" w:hAnsi="Times New Roman" w:cs="Times New Roman"/>
              <w:noProof/>
              <w:sz w:val="24"/>
              <w:lang w:eastAsia="ru-RU"/>
            </w:rPr>
          </w:pPr>
          <w:hyperlink w:anchor="_Toc451925546" w:history="1">
            <w:r w:rsidR="00121068" w:rsidRPr="00121068">
              <w:rPr>
                <w:rStyle w:val="ae"/>
                <w:rFonts w:ascii="Times New Roman" w:hAnsi="Times New Roman" w:cs="Times New Roman"/>
                <w:noProof/>
                <w:sz w:val="24"/>
                <w:lang w:val="en-US"/>
              </w:rPr>
              <w:t>Chapter 2. Corporate disclosure</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_Toc451925546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22</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47" w:history="1">
            <w:r w:rsidR="00121068" w:rsidRPr="00121068">
              <w:rPr>
                <w:rStyle w:val="ae"/>
                <w:rFonts w:ascii="Times New Roman" w:hAnsi="Times New Roman" w:cs="Times New Roman"/>
                <w:noProof/>
                <w:sz w:val="24"/>
                <w:lang w:val="en-US"/>
              </w:rPr>
              <w:t>2.1. The role of disclosure in capital markets</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_Toc451925547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22</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48" w:history="1">
            <w:r w:rsidR="00121068" w:rsidRPr="00121068">
              <w:rPr>
                <w:rStyle w:val="ae"/>
                <w:rFonts w:ascii="Times New Roman" w:hAnsi="Times New Roman" w:cs="Times New Roman"/>
                <w:noProof/>
                <w:sz w:val="24"/>
                <w:lang w:val="en-US"/>
              </w:rPr>
              <w:t>2.2. Regulation of disclosure and financial reporting</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_Toc451925548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24</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49" w:history="1">
            <w:r w:rsidR="00121068" w:rsidRPr="00121068">
              <w:rPr>
                <w:rStyle w:val="ae"/>
                <w:rFonts w:ascii="Times New Roman" w:hAnsi="Times New Roman" w:cs="Times New Roman"/>
                <w:noProof/>
                <w:sz w:val="24"/>
                <w:lang w:val="en-US"/>
              </w:rPr>
              <w:t>2.3. Relationship between disclosure and different types of risk</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_Toc451925549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27</w:t>
            </w:r>
            <w:r w:rsidR="00121068" w:rsidRPr="00121068">
              <w:rPr>
                <w:rFonts w:ascii="Times New Roman" w:hAnsi="Times New Roman" w:cs="Times New Roman"/>
                <w:noProof/>
                <w:webHidden/>
                <w:sz w:val="24"/>
              </w:rPr>
              <w:fldChar w:fldCharType="end"/>
            </w:r>
          </w:hyperlink>
        </w:p>
        <w:p w:rsidR="00121068" w:rsidRPr="00121068" w:rsidRDefault="00AE0B9C">
          <w:pPr>
            <w:pStyle w:val="11"/>
            <w:tabs>
              <w:tab w:val="right" w:leader="dot" w:pos="9345"/>
            </w:tabs>
            <w:rPr>
              <w:rFonts w:ascii="Times New Roman" w:eastAsiaTheme="minorEastAsia" w:hAnsi="Times New Roman" w:cs="Times New Roman"/>
              <w:noProof/>
              <w:sz w:val="24"/>
              <w:lang w:eastAsia="ru-RU"/>
            </w:rPr>
          </w:pPr>
          <w:hyperlink w:anchor="_Toc451925550" w:history="1">
            <w:r w:rsidR="00121068" w:rsidRPr="00121068">
              <w:rPr>
                <w:rStyle w:val="ae"/>
                <w:rFonts w:ascii="Times New Roman" w:hAnsi="Times New Roman" w:cs="Times New Roman"/>
                <w:noProof/>
                <w:sz w:val="24"/>
                <w:lang w:val="en-US"/>
              </w:rPr>
              <w:t>Chapter 3. Empirical study on relationship between disclosure and risk</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_Toc451925550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30</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51" w:history="1">
            <w:r w:rsidR="00121068" w:rsidRPr="00121068">
              <w:rPr>
                <w:rStyle w:val="ae"/>
                <w:rFonts w:ascii="Times New Roman" w:hAnsi="Times New Roman" w:cs="Times New Roman"/>
                <w:noProof/>
                <w:sz w:val="24"/>
                <w:lang w:val="en-US"/>
              </w:rPr>
              <w:t>3.1. Hypotheses development</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_Toc451925551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30</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52" w:history="1">
            <w:r w:rsidR="00121068" w:rsidRPr="00121068">
              <w:rPr>
                <w:rStyle w:val="ae"/>
                <w:rFonts w:ascii="Times New Roman" w:hAnsi="Times New Roman" w:cs="Times New Roman"/>
                <w:noProof/>
                <w:sz w:val="24"/>
                <w:lang w:val="en-US"/>
              </w:rPr>
              <w:t>3.2. Methodology</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_Toc451925552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30</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53" w:history="1">
            <w:r w:rsidR="00121068" w:rsidRPr="00121068">
              <w:rPr>
                <w:rStyle w:val="ae"/>
                <w:rFonts w:ascii="Times New Roman" w:hAnsi="Times New Roman" w:cs="Times New Roman"/>
                <w:noProof/>
                <w:sz w:val="24"/>
                <w:lang w:val="en-US"/>
              </w:rPr>
              <w:t>3.3. Sample selection and descriptive statistics</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_Toc451925553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34</w:t>
            </w:r>
            <w:r w:rsidR="00121068" w:rsidRPr="00121068">
              <w:rPr>
                <w:rFonts w:ascii="Times New Roman" w:hAnsi="Times New Roman" w:cs="Times New Roman"/>
                <w:noProof/>
                <w:webHidden/>
                <w:sz w:val="24"/>
              </w:rPr>
              <w:fldChar w:fldCharType="end"/>
            </w:r>
          </w:hyperlink>
        </w:p>
        <w:p w:rsidR="00121068" w:rsidRPr="00121068" w:rsidRDefault="00AE0B9C">
          <w:pPr>
            <w:pStyle w:val="31"/>
            <w:tabs>
              <w:tab w:val="right" w:leader="dot" w:pos="9345"/>
            </w:tabs>
            <w:rPr>
              <w:rFonts w:ascii="Times New Roman" w:eastAsiaTheme="minorEastAsia" w:hAnsi="Times New Roman" w:cs="Times New Roman"/>
              <w:noProof/>
              <w:sz w:val="24"/>
              <w:lang w:eastAsia="ru-RU"/>
            </w:rPr>
          </w:pPr>
          <w:hyperlink w:anchor="_Toc451925554" w:history="1">
            <w:r w:rsidR="00121068" w:rsidRPr="00121068">
              <w:rPr>
                <w:rStyle w:val="ae"/>
                <w:rFonts w:ascii="Times New Roman" w:hAnsi="Times New Roman" w:cs="Times New Roman"/>
                <w:noProof/>
                <w:sz w:val="24"/>
                <w:lang w:val="en-US"/>
              </w:rPr>
              <w:t>3.3.1. Sample selection</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_Toc451925554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34</w:t>
            </w:r>
            <w:r w:rsidR="00121068" w:rsidRPr="00121068">
              <w:rPr>
                <w:rFonts w:ascii="Times New Roman" w:hAnsi="Times New Roman" w:cs="Times New Roman"/>
                <w:noProof/>
                <w:webHidden/>
                <w:sz w:val="24"/>
              </w:rPr>
              <w:fldChar w:fldCharType="end"/>
            </w:r>
          </w:hyperlink>
        </w:p>
        <w:p w:rsidR="00121068" w:rsidRPr="00121068" w:rsidRDefault="00AE0B9C">
          <w:pPr>
            <w:pStyle w:val="31"/>
            <w:tabs>
              <w:tab w:val="right" w:leader="dot" w:pos="9345"/>
            </w:tabs>
            <w:rPr>
              <w:rFonts w:ascii="Times New Roman" w:eastAsiaTheme="minorEastAsia" w:hAnsi="Times New Roman" w:cs="Times New Roman"/>
              <w:noProof/>
              <w:sz w:val="24"/>
              <w:lang w:eastAsia="ru-RU"/>
            </w:rPr>
          </w:pPr>
          <w:hyperlink w:anchor="_Toc451925555" w:history="1">
            <w:r w:rsidR="00121068" w:rsidRPr="00121068">
              <w:rPr>
                <w:rStyle w:val="ae"/>
                <w:rFonts w:ascii="Times New Roman" w:hAnsi="Times New Roman" w:cs="Times New Roman"/>
                <w:noProof/>
                <w:sz w:val="24"/>
                <w:lang w:val="en-US"/>
              </w:rPr>
              <w:t>3.3.2. Descriptive statistics</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_Toc451925555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35</w:t>
            </w:r>
            <w:r w:rsidR="00121068" w:rsidRPr="00121068">
              <w:rPr>
                <w:rFonts w:ascii="Times New Roman" w:hAnsi="Times New Roman" w:cs="Times New Roman"/>
                <w:noProof/>
                <w:webHidden/>
                <w:sz w:val="24"/>
              </w:rPr>
              <w:fldChar w:fldCharType="end"/>
            </w:r>
          </w:hyperlink>
        </w:p>
        <w:p w:rsidR="00121068" w:rsidRPr="00121068" w:rsidRDefault="00AE0B9C">
          <w:pPr>
            <w:pStyle w:val="21"/>
            <w:tabs>
              <w:tab w:val="right" w:leader="dot" w:pos="9345"/>
            </w:tabs>
            <w:rPr>
              <w:rFonts w:ascii="Times New Roman" w:eastAsiaTheme="minorEastAsia" w:hAnsi="Times New Roman" w:cs="Times New Roman"/>
              <w:noProof/>
              <w:sz w:val="24"/>
              <w:lang w:eastAsia="ru-RU"/>
            </w:rPr>
          </w:pPr>
          <w:hyperlink w:anchor="_Toc451925556" w:history="1">
            <w:r w:rsidR="00121068" w:rsidRPr="00121068">
              <w:rPr>
                <w:rStyle w:val="ae"/>
                <w:rFonts w:ascii="Times New Roman" w:hAnsi="Times New Roman" w:cs="Times New Roman"/>
                <w:noProof/>
                <w:sz w:val="24"/>
                <w:lang w:val="en-US"/>
              </w:rPr>
              <w:t>3.4. Regression results and discussion</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_Toc451925556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39</w:t>
            </w:r>
            <w:r w:rsidR="00121068" w:rsidRPr="00121068">
              <w:rPr>
                <w:rFonts w:ascii="Times New Roman" w:hAnsi="Times New Roman" w:cs="Times New Roman"/>
                <w:noProof/>
                <w:webHidden/>
                <w:sz w:val="24"/>
              </w:rPr>
              <w:fldChar w:fldCharType="end"/>
            </w:r>
          </w:hyperlink>
        </w:p>
        <w:p w:rsidR="00121068" w:rsidRPr="00121068" w:rsidRDefault="00AE0B9C">
          <w:pPr>
            <w:pStyle w:val="31"/>
            <w:tabs>
              <w:tab w:val="right" w:leader="dot" w:pos="9345"/>
            </w:tabs>
            <w:rPr>
              <w:rFonts w:ascii="Times New Roman" w:eastAsiaTheme="minorEastAsia" w:hAnsi="Times New Roman" w:cs="Times New Roman"/>
              <w:noProof/>
              <w:sz w:val="24"/>
              <w:lang w:eastAsia="ru-RU"/>
            </w:rPr>
          </w:pPr>
          <w:hyperlink w:anchor="_Toc451925557" w:history="1">
            <w:r w:rsidR="00121068" w:rsidRPr="00121068">
              <w:rPr>
                <w:rStyle w:val="ae"/>
                <w:rFonts w:ascii="Times New Roman" w:hAnsi="Times New Roman" w:cs="Times New Roman"/>
                <w:noProof/>
                <w:sz w:val="24"/>
                <w:lang w:val="en-US"/>
              </w:rPr>
              <w:t>3.4.1. Regression results</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_Toc451925557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39</w:t>
            </w:r>
            <w:r w:rsidR="00121068" w:rsidRPr="00121068">
              <w:rPr>
                <w:rFonts w:ascii="Times New Roman" w:hAnsi="Times New Roman" w:cs="Times New Roman"/>
                <w:noProof/>
                <w:webHidden/>
                <w:sz w:val="24"/>
              </w:rPr>
              <w:fldChar w:fldCharType="end"/>
            </w:r>
          </w:hyperlink>
        </w:p>
        <w:p w:rsidR="00121068" w:rsidRPr="00121068" w:rsidRDefault="00AE0B9C">
          <w:pPr>
            <w:pStyle w:val="31"/>
            <w:tabs>
              <w:tab w:val="right" w:leader="dot" w:pos="9345"/>
            </w:tabs>
            <w:rPr>
              <w:rFonts w:ascii="Times New Roman" w:eastAsiaTheme="minorEastAsia" w:hAnsi="Times New Roman" w:cs="Times New Roman"/>
              <w:noProof/>
              <w:sz w:val="24"/>
              <w:lang w:eastAsia="ru-RU"/>
            </w:rPr>
          </w:pPr>
          <w:hyperlink w:anchor="_Toc451925558" w:history="1">
            <w:r w:rsidR="00121068" w:rsidRPr="00121068">
              <w:rPr>
                <w:rStyle w:val="ae"/>
                <w:rFonts w:ascii="Times New Roman" w:hAnsi="Times New Roman" w:cs="Times New Roman"/>
                <w:noProof/>
                <w:sz w:val="24"/>
                <w:lang w:val="en-US"/>
              </w:rPr>
              <w:t>3.4.2. Discussion</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_Toc451925558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41</w:t>
            </w:r>
            <w:r w:rsidR="00121068" w:rsidRPr="00121068">
              <w:rPr>
                <w:rFonts w:ascii="Times New Roman" w:hAnsi="Times New Roman" w:cs="Times New Roman"/>
                <w:noProof/>
                <w:webHidden/>
                <w:sz w:val="24"/>
              </w:rPr>
              <w:fldChar w:fldCharType="end"/>
            </w:r>
          </w:hyperlink>
        </w:p>
        <w:p w:rsidR="00121068" w:rsidRPr="00121068" w:rsidRDefault="00AE0B9C">
          <w:pPr>
            <w:pStyle w:val="11"/>
            <w:tabs>
              <w:tab w:val="right" w:leader="dot" w:pos="9345"/>
            </w:tabs>
            <w:rPr>
              <w:rFonts w:ascii="Times New Roman" w:eastAsiaTheme="minorEastAsia" w:hAnsi="Times New Roman" w:cs="Times New Roman"/>
              <w:noProof/>
              <w:sz w:val="24"/>
              <w:lang w:eastAsia="ru-RU"/>
            </w:rPr>
          </w:pPr>
          <w:hyperlink w:anchor="_Toc451925559" w:history="1">
            <w:r w:rsidR="00121068" w:rsidRPr="00121068">
              <w:rPr>
                <w:rStyle w:val="ae"/>
                <w:rFonts w:ascii="Times New Roman" w:hAnsi="Times New Roman" w:cs="Times New Roman"/>
                <w:noProof/>
                <w:sz w:val="24"/>
                <w:lang w:val="en-US"/>
              </w:rPr>
              <w:t>Conclusion</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_Toc451925559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44</w:t>
            </w:r>
            <w:r w:rsidR="00121068" w:rsidRPr="00121068">
              <w:rPr>
                <w:rFonts w:ascii="Times New Roman" w:hAnsi="Times New Roman" w:cs="Times New Roman"/>
                <w:noProof/>
                <w:webHidden/>
                <w:sz w:val="24"/>
              </w:rPr>
              <w:fldChar w:fldCharType="end"/>
            </w:r>
          </w:hyperlink>
        </w:p>
        <w:p w:rsidR="00121068" w:rsidRPr="00121068" w:rsidRDefault="00AE0B9C">
          <w:pPr>
            <w:pStyle w:val="11"/>
            <w:tabs>
              <w:tab w:val="right" w:leader="dot" w:pos="9345"/>
            </w:tabs>
            <w:rPr>
              <w:rFonts w:ascii="Times New Roman" w:eastAsiaTheme="minorEastAsia" w:hAnsi="Times New Roman" w:cs="Times New Roman"/>
              <w:noProof/>
              <w:sz w:val="24"/>
              <w:lang w:eastAsia="ru-RU"/>
            </w:rPr>
          </w:pPr>
          <w:hyperlink w:anchor="_Toc451925560" w:history="1">
            <w:r w:rsidR="00121068" w:rsidRPr="00121068">
              <w:rPr>
                <w:rStyle w:val="ae"/>
                <w:rFonts w:ascii="Times New Roman" w:hAnsi="Times New Roman" w:cs="Times New Roman"/>
                <w:noProof/>
                <w:sz w:val="24"/>
                <w:lang w:val="en-US"/>
              </w:rPr>
              <w:t>List of References</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_Toc451925560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46</w:t>
            </w:r>
            <w:r w:rsidR="00121068" w:rsidRPr="00121068">
              <w:rPr>
                <w:rFonts w:ascii="Times New Roman" w:hAnsi="Times New Roman" w:cs="Times New Roman"/>
                <w:noProof/>
                <w:webHidden/>
                <w:sz w:val="24"/>
              </w:rPr>
              <w:fldChar w:fldCharType="end"/>
            </w:r>
          </w:hyperlink>
        </w:p>
        <w:p w:rsidR="00121068" w:rsidRPr="00121068" w:rsidRDefault="00AE0B9C">
          <w:pPr>
            <w:pStyle w:val="11"/>
            <w:tabs>
              <w:tab w:val="right" w:leader="dot" w:pos="9345"/>
            </w:tabs>
            <w:rPr>
              <w:rFonts w:ascii="Times New Roman" w:eastAsiaTheme="minorEastAsia" w:hAnsi="Times New Roman" w:cs="Times New Roman"/>
              <w:noProof/>
              <w:sz w:val="24"/>
              <w:lang w:eastAsia="ru-RU"/>
            </w:rPr>
          </w:pPr>
          <w:hyperlink w:anchor="_Toc451925561" w:history="1">
            <w:r w:rsidR="00121068" w:rsidRPr="00121068">
              <w:rPr>
                <w:rStyle w:val="ae"/>
                <w:rFonts w:ascii="Times New Roman" w:hAnsi="Times New Roman" w:cs="Times New Roman"/>
                <w:noProof/>
                <w:sz w:val="24"/>
                <w:lang w:val="en-US"/>
              </w:rPr>
              <w:t>Appendix 1</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_Toc451925561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49</w:t>
            </w:r>
            <w:r w:rsidR="00121068" w:rsidRPr="00121068">
              <w:rPr>
                <w:rFonts w:ascii="Times New Roman" w:hAnsi="Times New Roman" w:cs="Times New Roman"/>
                <w:noProof/>
                <w:webHidden/>
                <w:sz w:val="24"/>
              </w:rPr>
              <w:fldChar w:fldCharType="end"/>
            </w:r>
          </w:hyperlink>
        </w:p>
        <w:p w:rsidR="00121068" w:rsidRDefault="00AE0B9C">
          <w:pPr>
            <w:pStyle w:val="11"/>
            <w:tabs>
              <w:tab w:val="right" w:leader="dot" w:pos="9345"/>
            </w:tabs>
            <w:rPr>
              <w:rFonts w:eastAsiaTheme="minorEastAsia"/>
              <w:noProof/>
              <w:lang w:eastAsia="ru-RU"/>
            </w:rPr>
          </w:pPr>
          <w:hyperlink w:anchor="_Toc451925562" w:history="1">
            <w:r w:rsidR="00121068" w:rsidRPr="00121068">
              <w:rPr>
                <w:rStyle w:val="ae"/>
                <w:rFonts w:ascii="Times New Roman" w:hAnsi="Times New Roman" w:cs="Times New Roman"/>
                <w:noProof/>
                <w:sz w:val="24"/>
                <w:lang w:val="en-US"/>
              </w:rPr>
              <w:t>Appendix 2</w:t>
            </w:r>
            <w:r w:rsidR="00121068" w:rsidRPr="00121068">
              <w:rPr>
                <w:rFonts w:ascii="Times New Roman" w:hAnsi="Times New Roman" w:cs="Times New Roman"/>
                <w:noProof/>
                <w:webHidden/>
                <w:sz w:val="24"/>
              </w:rPr>
              <w:tab/>
            </w:r>
            <w:r w:rsidR="00121068" w:rsidRPr="00121068">
              <w:rPr>
                <w:rFonts w:ascii="Times New Roman" w:hAnsi="Times New Roman" w:cs="Times New Roman"/>
                <w:noProof/>
                <w:webHidden/>
                <w:sz w:val="24"/>
              </w:rPr>
              <w:fldChar w:fldCharType="begin"/>
            </w:r>
            <w:r w:rsidR="00121068" w:rsidRPr="00121068">
              <w:rPr>
                <w:rFonts w:ascii="Times New Roman" w:hAnsi="Times New Roman" w:cs="Times New Roman"/>
                <w:noProof/>
                <w:webHidden/>
                <w:sz w:val="24"/>
              </w:rPr>
              <w:instrText xml:space="preserve"> PAGEREF _Toc451925562 \h </w:instrText>
            </w:r>
            <w:r w:rsidR="00121068" w:rsidRPr="00121068">
              <w:rPr>
                <w:rFonts w:ascii="Times New Roman" w:hAnsi="Times New Roman" w:cs="Times New Roman"/>
                <w:noProof/>
                <w:webHidden/>
                <w:sz w:val="24"/>
              </w:rPr>
            </w:r>
            <w:r w:rsidR="00121068" w:rsidRPr="00121068">
              <w:rPr>
                <w:rFonts w:ascii="Times New Roman" w:hAnsi="Times New Roman" w:cs="Times New Roman"/>
                <w:noProof/>
                <w:webHidden/>
                <w:sz w:val="24"/>
              </w:rPr>
              <w:fldChar w:fldCharType="separate"/>
            </w:r>
            <w:r w:rsidR="007C6B5B">
              <w:rPr>
                <w:rFonts w:ascii="Times New Roman" w:hAnsi="Times New Roman" w:cs="Times New Roman"/>
                <w:noProof/>
                <w:webHidden/>
                <w:sz w:val="24"/>
              </w:rPr>
              <w:t>51</w:t>
            </w:r>
            <w:r w:rsidR="00121068" w:rsidRPr="00121068">
              <w:rPr>
                <w:rFonts w:ascii="Times New Roman" w:hAnsi="Times New Roman" w:cs="Times New Roman"/>
                <w:noProof/>
                <w:webHidden/>
                <w:sz w:val="24"/>
              </w:rPr>
              <w:fldChar w:fldCharType="end"/>
            </w:r>
          </w:hyperlink>
        </w:p>
        <w:p w:rsidR="00CA33D8" w:rsidRDefault="00CA33D8">
          <w:r>
            <w:rPr>
              <w:b/>
              <w:bCs/>
            </w:rPr>
            <w:fldChar w:fldCharType="end"/>
          </w:r>
        </w:p>
      </w:sdtContent>
    </w:sdt>
    <w:p w:rsidR="00CA33D8" w:rsidRDefault="00CA33D8" w:rsidP="00900DFD">
      <w:pPr>
        <w:pStyle w:val="1"/>
        <w:rPr>
          <w:lang w:val="en-US"/>
        </w:rPr>
        <w:sectPr w:rsidR="00CA33D8" w:rsidSect="00121068">
          <w:pgSz w:w="11906" w:h="16838" w:code="9"/>
          <w:pgMar w:top="1134" w:right="850" w:bottom="1134" w:left="1701" w:header="708" w:footer="708" w:gutter="0"/>
          <w:cols w:space="708"/>
          <w:titlePg/>
          <w:docGrid w:linePitch="360"/>
        </w:sectPr>
      </w:pPr>
    </w:p>
    <w:p w:rsidR="007329FA" w:rsidRPr="0092456E" w:rsidRDefault="001E468E" w:rsidP="00900DFD">
      <w:pPr>
        <w:pStyle w:val="1"/>
        <w:rPr>
          <w:lang w:val="en-US"/>
        </w:rPr>
      </w:pPr>
      <w:bookmarkStart w:id="0" w:name="_Toc451925540"/>
      <w:r w:rsidRPr="0092456E">
        <w:rPr>
          <w:lang w:val="en-US"/>
        </w:rPr>
        <w:lastRenderedPageBreak/>
        <w:t>Introduction</w:t>
      </w:r>
      <w:bookmarkEnd w:id="0"/>
    </w:p>
    <w:p w:rsidR="0086257D" w:rsidRPr="0092456E" w:rsidRDefault="001E468E" w:rsidP="0086257D">
      <w:pPr>
        <w:spacing w:line="360" w:lineRule="auto"/>
        <w:ind w:firstLine="708"/>
        <w:jc w:val="both"/>
        <w:rPr>
          <w:rFonts w:ascii="Times New Roman" w:hAnsi="Times New Roman" w:cs="Times New Roman"/>
          <w:sz w:val="24"/>
          <w:szCs w:val="24"/>
          <w:lang w:val="en-US"/>
        </w:rPr>
      </w:pPr>
      <w:r w:rsidRPr="0092456E">
        <w:rPr>
          <w:rFonts w:ascii="Times New Roman" w:hAnsi="Times New Roman" w:cs="Times New Roman"/>
          <w:sz w:val="24"/>
          <w:szCs w:val="24"/>
          <w:lang w:val="en-US"/>
        </w:rPr>
        <w:t>Demand for corporate disclosure arises due to</w:t>
      </w:r>
      <w:r w:rsidR="009E38E5">
        <w:rPr>
          <w:rFonts w:ascii="Times New Roman" w:hAnsi="Times New Roman" w:cs="Times New Roman"/>
          <w:sz w:val="24"/>
          <w:szCs w:val="24"/>
          <w:lang w:val="en-US"/>
        </w:rPr>
        <w:t xml:space="preserve"> the</w:t>
      </w:r>
      <w:r w:rsidRPr="0092456E">
        <w:rPr>
          <w:rFonts w:ascii="Times New Roman" w:hAnsi="Times New Roman" w:cs="Times New Roman"/>
          <w:sz w:val="24"/>
          <w:szCs w:val="24"/>
          <w:lang w:val="en-US"/>
        </w:rPr>
        <w:t xml:space="preserve"> existences of information asymmetry</w:t>
      </w:r>
      <w:r w:rsidR="00AF4E99">
        <w:rPr>
          <w:rFonts w:ascii="Times New Roman" w:hAnsi="Times New Roman" w:cs="Times New Roman"/>
          <w:sz w:val="24"/>
          <w:szCs w:val="24"/>
          <w:lang w:val="en-US"/>
        </w:rPr>
        <w:t>,</w:t>
      </w:r>
      <w:r w:rsidR="00DC04A3" w:rsidRPr="0092456E">
        <w:rPr>
          <w:rFonts w:ascii="Times New Roman" w:hAnsi="Times New Roman" w:cs="Times New Roman"/>
          <w:sz w:val="24"/>
          <w:szCs w:val="24"/>
          <w:lang w:val="en-US"/>
        </w:rPr>
        <w:t xml:space="preserve"> when mangers have better information about the company’s performance than </w:t>
      </w:r>
      <w:r w:rsidR="00321573" w:rsidRPr="0092456E">
        <w:rPr>
          <w:rFonts w:ascii="Times New Roman" w:hAnsi="Times New Roman" w:cs="Times New Roman"/>
          <w:sz w:val="24"/>
          <w:szCs w:val="24"/>
          <w:lang w:val="en-US"/>
        </w:rPr>
        <w:t xml:space="preserve">investors </w:t>
      </w:r>
      <w:r w:rsidR="00DC04A3" w:rsidRPr="0092456E">
        <w:rPr>
          <w:rFonts w:ascii="Times New Roman" w:hAnsi="Times New Roman" w:cs="Times New Roman"/>
          <w:sz w:val="24"/>
          <w:szCs w:val="24"/>
          <w:lang w:val="en-US"/>
        </w:rPr>
        <w:t>and other external stakeholders</w:t>
      </w:r>
      <w:r w:rsidR="00321573">
        <w:rPr>
          <w:rFonts w:ascii="Times New Roman" w:hAnsi="Times New Roman" w:cs="Times New Roman"/>
          <w:sz w:val="24"/>
          <w:szCs w:val="24"/>
          <w:lang w:val="en-US"/>
        </w:rPr>
        <w:t xml:space="preserve"> do</w:t>
      </w:r>
      <w:r w:rsidR="00AF4E99">
        <w:rPr>
          <w:rFonts w:ascii="Times New Roman" w:hAnsi="Times New Roman" w:cs="Times New Roman"/>
          <w:sz w:val="24"/>
          <w:szCs w:val="24"/>
          <w:lang w:val="en-US"/>
        </w:rPr>
        <w:t>,</w:t>
      </w:r>
      <w:r w:rsidRPr="0092456E">
        <w:rPr>
          <w:rFonts w:ascii="Times New Roman" w:hAnsi="Times New Roman" w:cs="Times New Roman"/>
          <w:sz w:val="24"/>
          <w:szCs w:val="24"/>
          <w:lang w:val="en-US"/>
        </w:rPr>
        <w:t xml:space="preserve"> and agency problem</w:t>
      </w:r>
      <w:r w:rsidR="00AF4E99">
        <w:rPr>
          <w:rFonts w:ascii="Times New Roman" w:hAnsi="Times New Roman" w:cs="Times New Roman"/>
          <w:sz w:val="24"/>
          <w:szCs w:val="24"/>
          <w:lang w:val="en-US"/>
        </w:rPr>
        <w:t>,</w:t>
      </w:r>
      <w:r w:rsidR="00DC04A3" w:rsidRPr="0092456E">
        <w:rPr>
          <w:rFonts w:ascii="Times New Roman" w:hAnsi="Times New Roman" w:cs="Times New Roman"/>
          <w:sz w:val="24"/>
          <w:szCs w:val="24"/>
          <w:lang w:val="en-US"/>
        </w:rPr>
        <w:t xml:space="preserve"> when manager</w:t>
      </w:r>
      <w:r w:rsidR="00321573">
        <w:rPr>
          <w:rFonts w:ascii="Times New Roman" w:hAnsi="Times New Roman" w:cs="Times New Roman"/>
          <w:sz w:val="24"/>
          <w:szCs w:val="24"/>
          <w:lang w:val="en-US"/>
        </w:rPr>
        <w:t>s</w:t>
      </w:r>
      <w:r w:rsidR="00DC04A3" w:rsidRPr="0092456E">
        <w:rPr>
          <w:rFonts w:ascii="Times New Roman" w:hAnsi="Times New Roman" w:cs="Times New Roman"/>
          <w:sz w:val="24"/>
          <w:szCs w:val="24"/>
          <w:lang w:val="en-US"/>
        </w:rPr>
        <w:t xml:space="preserve"> act on their own interest</w:t>
      </w:r>
      <w:r w:rsidR="004D2AFD" w:rsidRPr="0092456E">
        <w:rPr>
          <w:rFonts w:ascii="Times New Roman" w:hAnsi="Times New Roman" w:cs="Times New Roman"/>
          <w:sz w:val="24"/>
          <w:szCs w:val="24"/>
          <w:lang w:val="en-US"/>
        </w:rPr>
        <w:t xml:space="preserve"> by putting the shareholders’ interests on the second place</w:t>
      </w:r>
      <w:r w:rsidRPr="0092456E">
        <w:rPr>
          <w:rFonts w:ascii="Times New Roman" w:hAnsi="Times New Roman" w:cs="Times New Roman"/>
          <w:sz w:val="24"/>
          <w:szCs w:val="24"/>
          <w:lang w:val="en-US"/>
        </w:rPr>
        <w:t>.</w:t>
      </w:r>
      <w:r w:rsidR="0086257D" w:rsidRPr="0092456E">
        <w:rPr>
          <w:rFonts w:ascii="Times New Roman" w:hAnsi="Times New Roman" w:cs="Times New Roman"/>
          <w:sz w:val="24"/>
          <w:szCs w:val="24"/>
          <w:lang w:val="en-US"/>
        </w:rPr>
        <w:t xml:space="preserve"> Information and agency problems create some obstacles for optimal allocation of resources in capital markets.</w:t>
      </w:r>
      <w:r w:rsidRPr="0092456E">
        <w:rPr>
          <w:rFonts w:ascii="Times New Roman" w:hAnsi="Times New Roman" w:cs="Times New Roman"/>
          <w:sz w:val="24"/>
          <w:szCs w:val="24"/>
          <w:lang w:val="en-US"/>
        </w:rPr>
        <w:t xml:space="preserve"> </w:t>
      </w:r>
      <w:r w:rsidR="00DC04A3" w:rsidRPr="0092456E">
        <w:rPr>
          <w:rFonts w:ascii="Times New Roman" w:hAnsi="Times New Roman" w:cs="Times New Roman"/>
          <w:sz w:val="24"/>
          <w:szCs w:val="24"/>
          <w:lang w:val="en-US"/>
        </w:rPr>
        <w:t>In particular</w:t>
      </w:r>
      <w:r w:rsidRPr="0092456E">
        <w:rPr>
          <w:rFonts w:ascii="Times New Roman" w:hAnsi="Times New Roman" w:cs="Times New Roman"/>
          <w:sz w:val="24"/>
          <w:szCs w:val="24"/>
          <w:lang w:val="en-US"/>
        </w:rPr>
        <w:t>, limited information, high level of complexity, opacity of banks contribute to mispricing of risks by investors.</w:t>
      </w:r>
      <w:r w:rsidR="00E33909" w:rsidRPr="0092456E">
        <w:rPr>
          <w:rFonts w:ascii="Times New Roman" w:hAnsi="Times New Roman" w:cs="Times New Roman"/>
          <w:sz w:val="24"/>
          <w:szCs w:val="24"/>
          <w:lang w:val="en-US"/>
        </w:rPr>
        <w:t xml:space="preserve"> </w:t>
      </w:r>
    </w:p>
    <w:p w:rsidR="007715B3" w:rsidRPr="0092456E" w:rsidRDefault="00D53C67" w:rsidP="007715B3">
      <w:pPr>
        <w:spacing w:line="360" w:lineRule="auto"/>
        <w:ind w:firstLine="708"/>
        <w:jc w:val="both"/>
        <w:rPr>
          <w:rFonts w:ascii="Times New Roman" w:hAnsi="Times New Roman" w:cs="Times New Roman"/>
          <w:sz w:val="24"/>
          <w:szCs w:val="24"/>
          <w:lang w:val="en-US"/>
        </w:rPr>
      </w:pPr>
      <w:r w:rsidRPr="0092456E">
        <w:rPr>
          <w:rFonts w:ascii="Times New Roman" w:hAnsi="Times New Roman" w:cs="Times New Roman"/>
          <w:sz w:val="24"/>
          <w:szCs w:val="24"/>
          <w:lang w:val="en-US"/>
        </w:rPr>
        <w:t>Requirements to increase the level of disclosure by managers might be a potential solution toward</w:t>
      </w:r>
      <w:r w:rsidR="00BE39E1">
        <w:rPr>
          <w:rFonts w:ascii="Times New Roman" w:hAnsi="Times New Roman" w:cs="Times New Roman"/>
          <w:sz w:val="24"/>
          <w:szCs w:val="24"/>
          <w:lang w:val="en-US"/>
        </w:rPr>
        <w:t>s mitigating the</w:t>
      </w:r>
      <w:r w:rsidR="001B4D68" w:rsidRPr="0092456E">
        <w:rPr>
          <w:rFonts w:ascii="Times New Roman" w:hAnsi="Times New Roman" w:cs="Times New Roman"/>
          <w:sz w:val="24"/>
          <w:szCs w:val="24"/>
          <w:lang w:val="en-US"/>
        </w:rPr>
        <w:t>s</w:t>
      </w:r>
      <w:r w:rsidR="00BE39E1">
        <w:rPr>
          <w:rFonts w:ascii="Times New Roman" w:hAnsi="Times New Roman" w:cs="Times New Roman"/>
          <w:sz w:val="24"/>
          <w:szCs w:val="24"/>
          <w:lang w:val="en-US"/>
        </w:rPr>
        <w:t>e</w:t>
      </w:r>
      <w:r w:rsidR="001B4D68" w:rsidRPr="0092456E">
        <w:rPr>
          <w:rFonts w:ascii="Times New Roman" w:hAnsi="Times New Roman" w:cs="Times New Roman"/>
          <w:sz w:val="24"/>
          <w:szCs w:val="24"/>
          <w:lang w:val="en-US"/>
        </w:rPr>
        <w:t xml:space="preserve"> problem</w:t>
      </w:r>
      <w:r w:rsidR="00BE39E1">
        <w:rPr>
          <w:rFonts w:ascii="Times New Roman" w:hAnsi="Times New Roman" w:cs="Times New Roman"/>
          <w:sz w:val="24"/>
          <w:szCs w:val="24"/>
          <w:lang w:val="en-US"/>
        </w:rPr>
        <w:t>s</w:t>
      </w:r>
      <w:r w:rsidR="001B4D68" w:rsidRPr="0092456E">
        <w:rPr>
          <w:rFonts w:ascii="Times New Roman" w:hAnsi="Times New Roman" w:cs="Times New Roman"/>
          <w:sz w:val="24"/>
          <w:szCs w:val="24"/>
          <w:lang w:val="en-US"/>
        </w:rPr>
        <w:t xml:space="preserve">. </w:t>
      </w:r>
      <w:r w:rsidR="00333787" w:rsidRPr="0092456E">
        <w:rPr>
          <w:rFonts w:ascii="Times New Roman" w:hAnsi="Times New Roman" w:cs="Times New Roman"/>
          <w:sz w:val="24"/>
          <w:szCs w:val="24"/>
          <w:lang w:val="en-US"/>
        </w:rPr>
        <w:t xml:space="preserve">Hence, the issue of transparency through greater disclosure has been an important theme discussed by regulatory authorities. Over the past years, some measures were taken in order to increase the transparency of financial institutions. For instance, Basel Committee introduced Basel II, Pillar 3 that includes a number of disclosure requirements aimed to improve the ability of investors </w:t>
      </w:r>
      <w:r w:rsidR="00E33909" w:rsidRPr="0092456E">
        <w:rPr>
          <w:rFonts w:ascii="Times New Roman" w:hAnsi="Times New Roman" w:cs="Times New Roman"/>
          <w:sz w:val="24"/>
          <w:szCs w:val="24"/>
          <w:lang w:val="en-US"/>
        </w:rPr>
        <w:t xml:space="preserve">to assess the bank’s risk and value. </w:t>
      </w:r>
      <w:r w:rsidR="0092222F" w:rsidRPr="0092456E">
        <w:rPr>
          <w:rFonts w:ascii="Times New Roman" w:hAnsi="Times New Roman" w:cs="Times New Roman"/>
          <w:sz w:val="24"/>
          <w:szCs w:val="24"/>
          <w:lang w:val="en-US"/>
        </w:rPr>
        <w:t xml:space="preserve">Whether such initiatives provide any benefits is an open question. </w:t>
      </w:r>
    </w:p>
    <w:p w:rsidR="007715B3" w:rsidRPr="0092456E" w:rsidRDefault="007715B3" w:rsidP="007715B3">
      <w:pPr>
        <w:spacing w:line="360" w:lineRule="auto"/>
        <w:ind w:firstLine="708"/>
        <w:jc w:val="both"/>
        <w:rPr>
          <w:rFonts w:ascii="Times New Roman" w:hAnsi="Times New Roman" w:cs="Times New Roman"/>
          <w:sz w:val="24"/>
          <w:szCs w:val="24"/>
          <w:lang w:val="en-US"/>
        </w:rPr>
      </w:pPr>
      <w:r w:rsidRPr="0092456E">
        <w:rPr>
          <w:rFonts w:ascii="Times New Roman" w:hAnsi="Times New Roman" w:cs="Times New Roman"/>
          <w:sz w:val="24"/>
          <w:szCs w:val="24"/>
          <w:lang w:val="en-US"/>
        </w:rPr>
        <w:t>Corporate disclosure reduce</w:t>
      </w:r>
      <w:r w:rsidR="004A72D5">
        <w:rPr>
          <w:rFonts w:ascii="Times New Roman" w:hAnsi="Times New Roman" w:cs="Times New Roman"/>
          <w:sz w:val="24"/>
          <w:szCs w:val="24"/>
          <w:lang w:val="en-US"/>
        </w:rPr>
        <w:t>s</w:t>
      </w:r>
      <w:r w:rsidRPr="0092456E">
        <w:rPr>
          <w:rFonts w:ascii="Times New Roman" w:hAnsi="Times New Roman" w:cs="Times New Roman"/>
          <w:sz w:val="24"/>
          <w:szCs w:val="24"/>
          <w:lang w:val="en-US"/>
        </w:rPr>
        <w:t xml:space="preserve"> information asymmetry between investors and company’s managers. A number of studies </w:t>
      </w:r>
      <w:r w:rsidR="0076322E" w:rsidRPr="0092456E">
        <w:rPr>
          <w:rFonts w:ascii="Times New Roman" w:hAnsi="Times New Roman" w:cs="Times New Roman"/>
          <w:sz w:val="24"/>
          <w:szCs w:val="24"/>
          <w:lang w:val="en-US"/>
        </w:rPr>
        <w:t>argue that enhanced disclosure and reduced information asymmetry have some desirable capital market consequences. Among these are efficient allocation of resources, improved liquidity of the stock, lower risk, development of capital mar</w:t>
      </w:r>
      <w:r w:rsidR="00E47893" w:rsidRPr="0092456E">
        <w:rPr>
          <w:rFonts w:ascii="Times New Roman" w:hAnsi="Times New Roman" w:cs="Times New Roman"/>
          <w:sz w:val="24"/>
          <w:szCs w:val="24"/>
          <w:lang w:val="en-US"/>
        </w:rPr>
        <w:t>ket, decreased cost of capital.</w:t>
      </w:r>
      <w:r w:rsidR="00E47893" w:rsidRPr="0092456E">
        <w:rPr>
          <w:rStyle w:val="a6"/>
          <w:rFonts w:ascii="Times New Roman" w:hAnsi="Times New Roman" w:cs="Times New Roman"/>
          <w:sz w:val="24"/>
          <w:szCs w:val="24"/>
          <w:lang w:val="en-US"/>
        </w:rPr>
        <w:footnoteReference w:id="1"/>
      </w:r>
    </w:p>
    <w:p w:rsidR="0092222F" w:rsidRPr="0092456E" w:rsidRDefault="0092222F" w:rsidP="0092222F">
      <w:pPr>
        <w:spacing w:line="360" w:lineRule="auto"/>
        <w:ind w:firstLine="708"/>
        <w:jc w:val="both"/>
        <w:rPr>
          <w:rFonts w:ascii="Times New Roman" w:hAnsi="Times New Roman" w:cs="Times New Roman"/>
          <w:sz w:val="24"/>
          <w:szCs w:val="24"/>
          <w:lang w:val="en-US"/>
        </w:rPr>
      </w:pPr>
      <w:r w:rsidRPr="0092456E">
        <w:rPr>
          <w:rFonts w:ascii="Times New Roman" w:hAnsi="Times New Roman" w:cs="Times New Roman"/>
          <w:sz w:val="24"/>
          <w:lang w:val="en-US"/>
        </w:rPr>
        <w:t>The main goal of this research paper</w:t>
      </w:r>
      <w:r w:rsidR="0076322E" w:rsidRPr="0092456E">
        <w:rPr>
          <w:rFonts w:ascii="Times New Roman" w:hAnsi="Times New Roman" w:cs="Times New Roman"/>
          <w:sz w:val="24"/>
          <w:lang w:val="en-US"/>
        </w:rPr>
        <w:t xml:space="preserve"> is to</w:t>
      </w:r>
      <w:r w:rsidRPr="0092456E">
        <w:rPr>
          <w:rFonts w:ascii="Times New Roman" w:hAnsi="Times New Roman" w:cs="Times New Roman"/>
          <w:sz w:val="24"/>
          <w:lang w:val="en-US"/>
        </w:rPr>
        <w:t xml:space="preserve"> </w:t>
      </w:r>
      <w:r w:rsidRPr="0092456E">
        <w:rPr>
          <w:rFonts w:ascii="Times New Roman" w:hAnsi="Times New Roman" w:cs="Times New Roman"/>
          <w:sz w:val="24"/>
          <w:szCs w:val="24"/>
          <w:lang w:val="en-US"/>
        </w:rPr>
        <w:t xml:space="preserve">investigate the relationship between disclosure and riskiness of a financial institution. Since higher disclosure reduces the information asymmetry between the </w:t>
      </w:r>
      <w:r w:rsidR="0076322E" w:rsidRPr="0092456E">
        <w:rPr>
          <w:rFonts w:ascii="Times New Roman" w:hAnsi="Times New Roman" w:cs="Times New Roman"/>
          <w:sz w:val="24"/>
          <w:szCs w:val="24"/>
          <w:lang w:val="en-US"/>
        </w:rPr>
        <w:t>company’s</w:t>
      </w:r>
      <w:r w:rsidRPr="0092456E">
        <w:rPr>
          <w:rFonts w:ascii="Times New Roman" w:hAnsi="Times New Roman" w:cs="Times New Roman"/>
          <w:sz w:val="24"/>
          <w:szCs w:val="24"/>
          <w:lang w:val="en-US"/>
        </w:rPr>
        <w:t xml:space="preserve"> management and investors, </w:t>
      </w:r>
      <w:r w:rsidR="00191879" w:rsidRPr="0092456E">
        <w:rPr>
          <w:rFonts w:ascii="Times New Roman" w:hAnsi="Times New Roman" w:cs="Times New Roman"/>
          <w:sz w:val="24"/>
          <w:szCs w:val="24"/>
          <w:lang w:val="en-US"/>
        </w:rPr>
        <w:t>then it</w:t>
      </w:r>
      <w:r w:rsidRPr="0092456E">
        <w:rPr>
          <w:rFonts w:ascii="Times New Roman" w:hAnsi="Times New Roman" w:cs="Times New Roman"/>
          <w:sz w:val="24"/>
          <w:szCs w:val="24"/>
          <w:lang w:val="en-US"/>
        </w:rPr>
        <w:t xml:space="preserve"> may</w:t>
      </w:r>
      <w:r w:rsidR="00191879" w:rsidRPr="0092456E">
        <w:rPr>
          <w:rFonts w:ascii="Times New Roman" w:hAnsi="Times New Roman" w:cs="Times New Roman"/>
          <w:sz w:val="24"/>
          <w:szCs w:val="24"/>
          <w:lang w:val="en-US"/>
        </w:rPr>
        <w:t xml:space="preserve"> in turn</w:t>
      </w:r>
      <w:r w:rsidRPr="0092456E">
        <w:rPr>
          <w:rFonts w:ascii="Times New Roman" w:hAnsi="Times New Roman" w:cs="Times New Roman"/>
          <w:sz w:val="24"/>
          <w:szCs w:val="24"/>
          <w:lang w:val="en-US"/>
        </w:rPr>
        <w:t xml:space="preserve"> affect the investor’s assessment of </w:t>
      </w:r>
      <w:r w:rsidR="00191879" w:rsidRPr="0092456E">
        <w:rPr>
          <w:rFonts w:ascii="Times New Roman" w:hAnsi="Times New Roman" w:cs="Times New Roman"/>
          <w:sz w:val="24"/>
          <w:szCs w:val="24"/>
          <w:lang w:val="en-US"/>
        </w:rPr>
        <w:t>bank</w:t>
      </w:r>
      <w:r w:rsidRPr="0092456E">
        <w:rPr>
          <w:rFonts w:ascii="Times New Roman" w:hAnsi="Times New Roman" w:cs="Times New Roman"/>
          <w:sz w:val="24"/>
          <w:szCs w:val="24"/>
          <w:lang w:val="en-US"/>
        </w:rPr>
        <w:t xml:space="preserve"> riskiness.</w:t>
      </w:r>
    </w:p>
    <w:p w:rsidR="00C67783" w:rsidRPr="0092456E" w:rsidRDefault="0092222F" w:rsidP="00C67783">
      <w:pPr>
        <w:spacing w:line="360" w:lineRule="auto"/>
        <w:ind w:firstLine="708"/>
        <w:jc w:val="both"/>
        <w:rPr>
          <w:rFonts w:ascii="Times New Roman" w:hAnsi="Times New Roman" w:cs="Times New Roman"/>
          <w:sz w:val="24"/>
          <w:lang w:val="en-US"/>
        </w:rPr>
      </w:pPr>
      <w:r w:rsidRPr="0092456E">
        <w:rPr>
          <w:rFonts w:ascii="Times New Roman" w:hAnsi="Times New Roman" w:cs="Times New Roman"/>
          <w:sz w:val="24"/>
          <w:szCs w:val="24"/>
          <w:lang w:val="en-US"/>
        </w:rPr>
        <w:t xml:space="preserve">The review of existing literature reveals that the effect of corporate disclosure on </w:t>
      </w:r>
      <w:r w:rsidR="00C67783" w:rsidRPr="0092456E">
        <w:rPr>
          <w:rFonts w:ascii="Times New Roman" w:hAnsi="Times New Roman" w:cs="Times New Roman"/>
          <w:sz w:val="24"/>
          <w:szCs w:val="24"/>
          <w:lang w:val="en-US"/>
        </w:rPr>
        <w:t xml:space="preserve">enterprise risks is ambiguous. </w:t>
      </w:r>
      <w:r w:rsidR="00C67783" w:rsidRPr="0092456E">
        <w:rPr>
          <w:rFonts w:ascii="Times New Roman" w:hAnsi="Times New Roman" w:cs="Times New Roman"/>
          <w:sz w:val="24"/>
          <w:lang w:val="en-US"/>
        </w:rPr>
        <w:t>Prior empirical research</w:t>
      </w:r>
      <w:r w:rsidR="004A72D5">
        <w:rPr>
          <w:rFonts w:ascii="Times New Roman" w:hAnsi="Times New Roman" w:cs="Times New Roman"/>
          <w:sz w:val="24"/>
          <w:lang w:val="en-US"/>
        </w:rPr>
        <w:t>es that investigate this issue provide</w:t>
      </w:r>
      <w:r w:rsidR="00C67783" w:rsidRPr="0092456E">
        <w:rPr>
          <w:rFonts w:ascii="Times New Roman" w:hAnsi="Times New Roman" w:cs="Times New Roman"/>
          <w:sz w:val="24"/>
          <w:lang w:val="en-US"/>
        </w:rPr>
        <w:t xml:space="preserve"> mixed evidence</w:t>
      </w:r>
      <w:r w:rsidR="00C67783" w:rsidRPr="0092456E">
        <w:rPr>
          <w:rFonts w:ascii="Times New Roman" w:hAnsi="Times New Roman" w:cs="Times New Roman"/>
          <w:sz w:val="24"/>
          <w:szCs w:val="24"/>
          <w:lang w:val="en-US"/>
        </w:rPr>
        <w:t xml:space="preserve">. </w:t>
      </w:r>
      <w:r w:rsidR="00C67783" w:rsidRPr="0092456E">
        <w:rPr>
          <w:rFonts w:ascii="Times New Roman" w:hAnsi="Times New Roman" w:cs="Times New Roman"/>
          <w:sz w:val="24"/>
          <w:lang w:val="en-US"/>
        </w:rPr>
        <w:t>On one hand, a number of studies reveal that the level of disclosure is positively associated with the stock return volatility</w:t>
      </w:r>
      <w:r w:rsidR="00C67783" w:rsidRPr="0092456E">
        <w:rPr>
          <w:rFonts w:ascii="Times New Roman" w:hAnsi="Times New Roman" w:cs="Times New Roman"/>
          <w:sz w:val="24"/>
          <w:szCs w:val="24"/>
          <w:lang w:val="en-US"/>
        </w:rPr>
        <w:t xml:space="preserve"> (Ross; 1989 and Leuz and Verrecchia; 2000)</w:t>
      </w:r>
      <w:r w:rsidR="00C67783" w:rsidRPr="0092456E">
        <w:rPr>
          <w:rFonts w:ascii="Times New Roman" w:hAnsi="Times New Roman" w:cs="Times New Roman"/>
          <w:sz w:val="24"/>
          <w:lang w:val="en-US"/>
        </w:rPr>
        <w:t>. However a number of studies argue that higher level of disclosure decrease stock price volatility (</w:t>
      </w:r>
      <w:r w:rsidR="00C67783" w:rsidRPr="0092456E">
        <w:rPr>
          <w:rFonts w:ascii="Times New Roman" w:hAnsi="Times New Roman" w:cs="Times New Roman"/>
          <w:sz w:val="24"/>
          <w:szCs w:val="24"/>
          <w:lang w:val="en-US"/>
        </w:rPr>
        <w:t xml:space="preserve">Bushee and Noe; 2000, Baumann and Nier; 2004, and Kothari, Li, and Short; 2009). </w:t>
      </w:r>
    </w:p>
    <w:p w:rsidR="001B4D68" w:rsidRPr="0092456E" w:rsidRDefault="00C67783" w:rsidP="00333787">
      <w:pPr>
        <w:spacing w:line="360" w:lineRule="auto"/>
        <w:ind w:firstLine="708"/>
        <w:jc w:val="both"/>
        <w:rPr>
          <w:rFonts w:ascii="Times New Roman" w:hAnsi="Times New Roman" w:cs="Times New Roman"/>
          <w:sz w:val="24"/>
          <w:szCs w:val="24"/>
          <w:lang w:val="en-US"/>
        </w:rPr>
      </w:pPr>
      <w:r w:rsidRPr="0092456E">
        <w:rPr>
          <w:rFonts w:ascii="Times New Roman" w:hAnsi="Times New Roman" w:cs="Times New Roman"/>
          <w:sz w:val="24"/>
          <w:szCs w:val="24"/>
          <w:lang w:val="en-US"/>
        </w:rPr>
        <w:t xml:space="preserve">To reach the </w:t>
      </w:r>
      <w:r w:rsidR="00B03582" w:rsidRPr="0092456E">
        <w:rPr>
          <w:rFonts w:ascii="Times New Roman" w:hAnsi="Times New Roman" w:cs="Times New Roman"/>
          <w:sz w:val="24"/>
          <w:szCs w:val="24"/>
          <w:lang w:val="en-US"/>
        </w:rPr>
        <w:t>goal of the paper a number of objectives were set:</w:t>
      </w:r>
    </w:p>
    <w:p w:rsidR="00B03582" w:rsidRPr="00B86BAC" w:rsidRDefault="00B03582" w:rsidP="00B86BAC">
      <w:pPr>
        <w:pStyle w:val="a3"/>
        <w:numPr>
          <w:ilvl w:val="0"/>
          <w:numId w:val="13"/>
        </w:numPr>
        <w:spacing w:line="360" w:lineRule="auto"/>
        <w:jc w:val="both"/>
        <w:rPr>
          <w:lang w:val="en-US"/>
        </w:rPr>
      </w:pPr>
      <w:r w:rsidRPr="00B86BAC">
        <w:rPr>
          <w:lang w:val="en-US"/>
        </w:rPr>
        <w:lastRenderedPageBreak/>
        <w:t xml:space="preserve">scrutinize the grounds of </w:t>
      </w:r>
      <w:r w:rsidR="007F6DB3" w:rsidRPr="00B86BAC">
        <w:rPr>
          <w:lang w:val="en-US"/>
        </w:rPr>
        <w:t xml:space="preserve">risk </w:t>
      </w:r>
      <w:r w:rsidR="0092456E" w:rsidRPr="00B86BAC">
        <w:rPr>
          <w:lang w:val="en-US"/>
        </w:rPr>
        <w:t>assessment, specifically</w:t>
      </w:r>
      <w:r w:rsidR="00BF09AB">
        <w:rPr>
          <w:lang w:val="en-US"/>
        </w:rPr>
        <w:t>,</w:t>
      </w:r>
      <w:r w:rsidR="0092456E" w:rsidRPr="00B86BAC">
        <w:rPr>
          <w:lang w:val="en-US"/>
        </w:rPr>
        <w:t xml:space="preserve"> define different types of risk and describe methods for their measurement </w:t>
      </w:r>
    </w:p>
    <w:p w:rsidR="00B03582" w:rsidRPr="00B86BAC" w:rsidRDefault="00B03582" w:rsidP="00B86BAC">
      <w:pPr>
        <w:pStyle w:val="a3"/>
        <w:numPr>
          <w:ilvl w:val="0"/>
          <w:numId w:val="13"/>
        </w:numPr>
        <w:spacing w:line="360" w:lineRule="auto"/>
        <w:jc w:val="both"/>
        <w:rPr>
          <w:lang w:val="en-US"/>
        </w:rPr>
      </w:pPr>
      <w:r w:rsidRPr="00B86BAC">
        <w:rPr>
          <w:lang w:val="en-US"/>
        </w:rPr>
        <w:t xml:space="preserve">scrutinize the </w:t>
      </w:r>
      <w:r w:rsidR="007F6DB3" w:rsidRPr="00B86BAC">
        <w:rPr>
          <w:lang w:val="en-US"/>
        </w:rPr>
        <w:t xml:space="preserve">role of corporate disclosure in capital markets and provide an overview of prior research devoted to the relationship between disclosure and different types of risk </w:t>
      </w:r>
    </w:p>
    <w:p w:rsidR="00B03582" w:rsidRPr="00B86BAC" w:rsidRDefault="00B03582" w:rsidP="00B86BAC">
      <w:pPr>
        <w:pStyle w:val="a3"/>
        <w:numPr>
          <w:ilvl w:val="0"/>
          <w:numId w:val="13"/>
        </w:numPr>
        <w:spacing w:line="360" w:lineRule="auto"/>
        <w:jc w:val="both"/>
        <w:rPr>
          <w:lang w:val="en-US"/>
        </w:rPr>
      </w:pPr>
      <w:r w:rsidRPr="00B86BAC">
        <w:rPr>
          <w:lang w:val="en-US"/>
        </w:rPr>
        <w:t xml:space="preserve">conduct empirical study to examine whether </w:t>
      </w:r>
      <w:r w:rsidR="007F6DB3" w:rsidRPr="00B86BAC">
        <w:rPr>
          <w:lang w:val="en-US"/>
        </w:rPr>
        <w:t>there is any relationship between corporate disclosure and riskiness of financial institution</w:t>
      </w:r>
    </w:p>
    <w:p w:rsidR="00B03582" w:rsidRPr="00B86BAC" w:rsidRDefault="00B03582" w:rsidP="00B86BAC">
      <w:pPr>
        <w:pStyle w:val="a3"/>
        <w:numPr>
          <w:ilvl w:val="0"/>
          <w:numId w:val="13"/>
        </w:numPr>
        <w:spacing w:line="360" w:lineRule="auto"/>
        <w:jc w:val="both"/>
        <w:rPr>
          <w:lang w:val="en-US"/>
        </w:rPr>
      </w:pPr>
      <w:r w:rsidRPr="00B86BAC">
        <w:rPr>
          <w:lang w:val="en-US"/>
        </w:rPr>
        <w:t xml:space="preserve">analyze empirical results and </w:t>
      </w:r>
      <w:r w:rsidR="0092456E" w:rsidRPr="00B86BAC">
        <w:rPr>
          <w:lang w:val="en-US"/>
        </w:rPr>
        <w:t>draw conclusions</w:t>
      </w:r>
    </w:p>
    <w:p w:rsidR="00B03582" w:rsidRPr="0092456E" w:rsidRDefault="009E38E5" w:rsidP="00B03582">
      <w:pPr>
        <w:spacing w:line="360" w:lineRule="auto"/>
        <w:ind w:firstLine="709"/>
        <w:jc w:val="both"/>
        <w:rPr>
          <w:rFonts w:ascii="Times New Roman" w:hAnsi="Times New Roman" w:cs="Times New Roman"/>
          <w:sz w:val="24"/>
          <w:szCs w:val="24"/>
          <w:lang w:val="en-US"/>
        </w:rPr>
      </w:pPr>
      <w:r w:rsidRPr="0092456E">
        <w:rPr>
          <w:rFonts w:ascii="Times New Roman" w:hAnsi="Times New Roman" w:cs="Times New Roman"/>
          <w:sz w:val="24"/>
          <w:szCs w:val="24"/>
          <w:lang w:val="en-US"/>
        </w:rPr>
        <w:t>Based on</w:t>
      </w:r>
      <w:r>
        <w:rPr>
          <w:rFonts w:ascii="Times New Roman" w:hAnsi="Times New Roman" w:cs="Times New Roman"/>
          <w:sz w:val="24"/>
          <w:szCs w:val="24"/>
          <w:lang w:val="en-US"/>
        </w:rPr>
        <w:t xml:space="preserve"> the</w:t>
      </w:r>
      <w:r w:rsidR="007F6DB3" w:rsidRPr="0092456E">
        <w:rPr>
          <w:rFonts w:ascii="Times New Roman" w:hAnsi="Times New Roman" w:cs="Times New Roman"/>
          <w:sz w:val="24"/>
          <w:szCs w:val="24"/>
          <w:lang w:val="en-US"/>
        </w:rPr>
        <w:t xml:space="preserve"> analysis</w:t>
      </w:r>
      <w:r w:rsidR="00B03582" w:rsidRPr="0092456E">
        <w:rPr>
          <w:rFonts w:ascii="Times New Roman" w:hAnsi="Times New Roman" w:cs="Times New Roman"/>
          <w:sz w:val="24"/>
          <w:szCs w:val="24"/>
          <w:lang w:val="en-US"/>
        </w:rPr>
        <w:t xml:space="preserve"> of prior research, </w:t>
      </w:r>
      <w:r w:rsidR="0092456E">
        <w:rPr>
          <w:rFonts w:ascii="Times New Roman" w:hAnsi="Times New Roman" w:cs="Times New Roman"/>
          <w:sz w:val="24"/>
          <w:szCs w:val="24"/>
          <w:lang w:val="en-US"/>
        </w:rPr>
        <w:t>four</w:t>
      </w:r>
      <w:r w:rsidR="00B03582" w:rsidRPr="0092456E">
        <w:rPr>
          <w:rFonts w:ascii="Times New Roman" w:hAnsi="Times New Roman" w:cs="Times New Roman"/>
          <w:sz w:val="24"/>
          <w:szCs w:val="24"/>
          <w:lang w:val="en-US"/>
        </w:rPr>
        <w:t xml:space="preserve"> hypotheses about the relationship between disclosure and riskiness of a financial institution</w:t>
      </w:r>
      <w:r w:rsidR="0092456E">
        <w:rPr>
          <w:rFonts w:ascii="Times New Roman" w:hAnsi="Times New Roman" w:cs="Times New Roman"/>
          <w:sz w:val="24"/>
          <w:szCs w:val="24"/>
          <w:lang w:val="en-US"/>
        </w:rPr>
        <w:t xml:space="preserve"> were stated</w:t>
      </w:r>
      <w:r w:rsidR="00B03582" w:rsidRPr="0092456E">
        <w:rPr>
          <w:rFonts w:ascii="Times New Roman" w:hAnsi="Times New Roman" w:cs="Times New Roman"/>
          <w:sz w:val="24"/>
          <w:szCs w:val="24"/>
          <w:lang w:val="en-US"/>
        </w:rPr>
        <w:t>. The hypotheses are formulated as follows.</w:t>
      </w:r>
    </w:p>
    <w:p w:rsidR="00B03582" w:rsidRPr="0092456E" w:rsidRDefault="00B03582" w:rsidP="00B03582">
      <w:pPr>
        <w:spacing w:line="360" w:lineRule="auto"/>
        <w:ind w:firstLine="709"/>
        <w:jc w:val="both"/>
        <w:rPr>
          <w:rFonts w:ascii="Times New Roman" w:hAnsi="Times New Roman" w:cs="Times New Roman"/>
          <w:i/>
          <w:sz w:val="24"/>
          <w:szCs w:val="24"/>
          <w:lang w:val="en-US"/>
        </w:rPr>
      </w:pPr>
      <w:r w:rsidRPr="0092456E">
        <w:rPr>
          <w:rFonts w:ascii="Times New Roman" w:hAnsi="Times New Roman" w:cs="Times New Roman"/>
          <w:i/>
          <w:sz w:val="24"/>
          <w:szCs w:val="24"/>
          <w:lang w:val="en-US"/>
        </w:rPr>
        <w:t xml:space="preserve">H1. </w:t>
      </w:r>
      <w:r w:rsidR="0043303E">
        <w:rPr>
          <w:rFonts w:ascii="Times New Roman" w:hAnsi="Times New Roman" w:cs="Times New Roman"/>
          <w:i/>
          <w:sz w:val="24"/>
          <w:szCs w:val="24"/>
          <w:lang w:val="en-US"/>
        </w:rPr>
        <w:t>The higher the</w:t>
      </w:r>
      <w:r w:rsidR="00F81E98" w:rsidRPr="0092456E">
        <w:rPr>
          <w:rFonts w:ascii="Times New Roman" w:hAnsi="Times New Roman" w:cs="Times New Roman"/>
          <w:i/>
          <w:sz w:val="24"/>
          <w:szCs w:val="24"/>
          <w:lang w:val="en-US"/>
        </w:rPr>
        <w:t xml:space="preserve"> level of</w:t>
      </w:r>
      <w:r w:rsidR="0043303E">
        <w:rPr>
          <w:rFonts w:ascii="Times New Roman" w:hAnsi="Times New Roman" w:cs="Times New Roman"/>
          <w:i/>
          <w:sz w:val="24"/>
          <w:szCs w:val="24"/>
          <w:lang w:val="en-US"/>
        </w:rPr>
        <w:t xml:space="preserve"> bank’s</w:t>
      </w:r>
      <w:r w:rsidR="00F81E98" w:rsidRPr="0092456E">
        <w:rPr>
          <w:rFonts w:ascii="Times New Roman" w:hAnsi="Times New Roman" w:cs="Times New Roman"/>
          <w:i/>
          <w:sz w:val="24"/>
          <w:szCs w:val="24"/>
          <w:lang w:val="en-US"/>
        </w:rPr>
        <w:t xml:space="preserve"> disclosure in the current year </w:t>
      </w:r>
      <w:r w:rsidR="0043303E">
        <w:rPr>
          <w:rFonts w:ascii="Times New Roman" w:hAnsi="Times New Roman" w:cs="Times New Roman"/>
          <w:i/>
          <w:sz w:val="24"/>
          <w:szCs w:val="24"/>
          <w:lang w:val="en-US"/>
        </w:rPr>
        <w:t>the</w:t>
      </w:r>
      <w:r w:rsidR="00F81E98" w:rsidRPr="0092456E">
        <w:rPr>
          <w:rFonts w:ascii="Times New Roman" w:hAnsi="Times New Roman" w:cs="Times New Roman"/>
          <w:i/>
          <w:sz w:val="24"/>
          <w:szCs w:val="24"/>
          <w:lang w:val="en-US"/>
        </w:rPr>
        <w:t xml:space="preserve"> lower</w:t>
      </w:r>
      <w:r w:rsidR="0043303E">
        <w:rPr>
          <w:rFonts w:ascii="Times New Roman" w:hAnsi="Times New Roman" w:cs="Times New Roman"/>
          <w:i/>
          <w:sz w:val="24"/>
          <w:szCs w:val="24"/>
          <w:lang w:val="en-US"/>
        </w:rPr>
        <w:t xml:space="preserve"> the</w:t>
      </w:r>
      <w:r w:rsidR="00F81E98" w:rsidRPr="0092456E">
        <w:rPr>
          <w:rFonts w:ascii="Times New Roman" w:hAnsi="Times New Roman" w:cs="Times New Roman"/>
          <w:i/>
          <w:sz w:val="24"/>
          <w:szCs w:val="24"/>
          <w:lang w:val="en-US"/>
        </w:rPr>
        <w:t xml:space="preserve"> aggregated risk in the following year. </w:t>
      </w:r>
    </w:p>
    <w:p w:rsidR="00B03582" w:rsidRPr="0092456E" w:rsidRDefault="00B03582" w:rsidP="00B03582">
      <w:pPr>
        <w:spacing w:line="360" w:lineRule="auto"/>
        <w:ind w:firstLine="709"/>
        <w:jc w:val="both"/>
        <w:rPr>
          <w:rFonts w:ascii="Times New Roman" w:hAnsi="Times New Roman" w:cs="Times New Roman"/>
          <w:i/>
          <w:sz w:val="24"/>
          <w:szCs w:val="24"/>
          <w:lang w:val="en-US"/>
        </w:rPr>
      </w:pPr>
      <w:r w:rsidRPr="0092456E">
        <w:rPr>
          <w:rFonts w:ascii="Times New Roman" w:hAnsi="Times New Roman" w:cs="Times New Roman"/>
          <w:i/>
          <w:sz w:val="24"/>
          <w:szCs w:val="24"/>
          <w:lang w:val="en-US"/>
        </w:rPr>
        <w:t xml:space="preserve">H2. </w:t>
      </w:r>
      <w:r w:rsidR="0043303E">
        <w:rPr>
          <w:rFonts w:ascii="Times New Roman" w:hAnsi="Times New Roman" w:cs="Times New Roman"/>
          <w:i/>
          <w:sz w:val="24"/>
          <w:szCs w:val="24"/>
          <w:lang w:val="en-US"/>
        </w:rPr>
        <w:t>The higher the</w:t>
      </w:r>
      <w:r w:rsidR="0043303E" w:rsidRPr="0092456E">
        <w:rPr>
          <w:rFonts w:ascii="Times New Roman" w:hAnsi="Times New Roman" w:cs="Times New Roman"/>
          <w:i/>
          <w:sz w:val="24"/>
          <w:szCs w:val="24"/>
          <w:lang w:val="en-US"/>
        </w:rPr>
        <w:t xml:space="preserve"> level of</w:t>
      </w:r>
      <w:r w:rsidR="0043303E">
        <w:rPr>
          <w:rFonts w:ascii="Times New Roman" w:hAnsi="Times New Roman" w:cs="Times New Roman"/>
          <w:i/>
          <w:sz w:val="24"/>
          <w:szCs w:val="24"/>
          <w:lang w:val="en-US"/>
        </w:rPr>
        <w:t xml:space="preserve"> bank’s</w:t>
      </w:r>
      <w:r w:rsidR="0043303E" w:rsidRPr="0092456E">
        <w:rPr>
          <w:rFonts w:ascii="Times New Roman" w:hAnsi="Times New Roman" w:cs="Times New Roman"/>
          <w:i/>
          <w:sz w:val="24"/>
          <w:szCs w:val="24"/>
          <w:lang w:val="en-US"/>
        </w:rPr>
        <w:t xml:space="preserve"> disclosure in the current year</w:t>
      </w:r>
      <w:r w:rsidR="00F81E98" w:rsidRPr="0092456E">
        <w:rPr>
          <w:rFonts w:ascii="Times New Roman" w:hAnsi="Times New Roman" w:cs="Times New Roman"/>
          <w:i/>
          <w:sz w:val="24"/>
          <w:szCs w:val="24"/>
          <w:lang w:val="en-US"/>
        </w:rPr>
        <w:t xml:space="preserve"> </w:t>
      </w:r>
      <w:r w:rsidR="0043303E">
        <w:rPr>
          <w:rFonts w:ascii="Times New Roman" w:hAnsi="Times New Roman" w:cs="Times New Roman"/>
          <w:i/>
          <w:sz w:val="24"/>
          <w:szCs w:val="24"/>
          <w:lang w:val="en-US"/>
        </w:rPr>
        <w:t>the</w:t>
      </w:r>
      <w:r w:rsidR="00F81E98" w:rsidRPr="0092456E">
        <w:rPr>
          <w:rFonts w:ascii="Times New Roman" w:hAnsi="Times New Roman" w:cs="Times New Roman"/>
          <w:i/>
          <w:sz w:val="24"/>
          <w:szCs w:val="24"/>
          <w:lang w:val="en-US"/>
        </w:rPr>
        <w:t xml:space="preserve"> lower</w:t>
      </w:r>
      <w:r w:rsidR="0043303E">
        <w:rPr>
          <w:rFonts w:ascii="Times New Roman" w:hAnsi="Times New Roman" w:cs="Times New Roman"/>
          <w:i/>
          <w:sz w:val="24"/>
          <w:szCs w:val="24"/>
          <w:lang w:val="en-US"/>
        </w:rPr>
        <w:t xml:space="preserve"> the</w:t>
      </w:r>
      <w:r w:rsidR="00F81E98" w:rsidRPr="0092456E">
        <w:rPr>
          <w:rFonts w:ascii="Times New Roman" w:hAnsi="Times New Roman" w:cs="Times New Roman"/>
          <w:i/>
          <w:sz w:val="24"/>
          <w:szCs w:val="24"/>
          <w:lang w:val="en-US"/>
        </w:rPr>
        <w:t xml:space="preserve"> </w:t>
      </w:r>
      <w:r w:rsidR="00DE47A1">
        <w:rPr>
          <w:rFonts w:ascii="Times New Roman" w:hAnsi="Times New Roman" w:cs="Times New Roman"/>
          <w:i/>
          <w:sz w:val="24"/>
          <w:szCs w:val="24"/>
          <w:lang w:val="en-US"/>
        </w:rPr>
        <w:t>systemic</w:t>
      </w:r>
      <w:r w:rsidR="00F81E98" w:rsidRPr="0092456E">
        <w:rPr>
          <w:rFonts w:ascii="Times New Roman" w:hAnsi="Times New Roman" w:cs="Times New Roman"/>
          <w:i/>
          <w:sz w:val="24"/>
          <w:szCs w:val="24"/>
          <w:lang w:val="en-US"/>
        </w:rPr>
        <w:t xml:space="preserve"> risk in the following year. </w:t>
      </w:r>
    </w:p>
    <w:p w:rsidR="00B03582" w:rsidRPr="0092456E" w:rsidRDefault="00B03582" w:rsidP="00B03582">
      <w:pPr>
        <w:spacing w:line="360" w:lineRule="auto"/>
        <w:ind w:firstLine="709"/>
        <w:jc w:val="both"/>
        <w:rPr>
          <w:rFonts w:ascii="Times New Roman" w:hAnsi="Times New Roman" w:cs="Times New Roman"/>
          <w:i/>
          <w:sz w:val="24"/>
          <w:szCs w:val="24"/>
          <w:lang w:val="en-US"/>
        </w:rPr>
      </w:pPr>
      <w:r w:rsidRPr="0092456E">
        <w:rPr>
          <w:rFonts w:ascii="Times New Roman" w:hAnsi="Times New Roman" w:cs="Times New Roman"/>
          <w:i/>
          <w:sz w:val="24"/>
          <w:szCs w:val="24"/>
          <w:lang w:val="en-US"/>
        </w:rPr>
        <w:t xml:space="preserve">H3. </w:t>
      </w:r>
      <w:r w:rsidR="0043303E">
        <w:rPr>
          <w:rFonts w:ascii="Times New Roman" w:hAnsi="Times New Roman" w:cs="Times New Roman"/>
          <w:i/>
          <w:sz w:val="24"/>
          <w:szCs w:val="24"/>
          <w:lang w:val="en-US"/>
        </w:rPr>
        <w:t>The higher the</w:t>
      </w:r>
      <w:r w:rsidR="0043303E" w:rsidRPr="0092456E">
        <w:rPr>
          <w:rFonts w:ascii="Times New Roman" w:hAnsi="Times New Roman" w:cs="Times New Roman"/>
          <w:i/>
          <w:sz w:val="24"/>
          <w:szCs w:val="24"/>
          <w:lang w:val="en-US"/>
        </w:rPr>
        <w:t xml:space="preserve"> level of</w:t>
      </w:r>
      <w:r w:rsidR="0043303E">
        <w:rPr>
          <w:rFonts w:ascii="Times New Roman" w:hAnsi="Times New Roman" w:cs="Times New Roman"/>
          <w:i/>
          <w:sz w:val="24"/>
          <w:szCs w:val="24"/>
          <w:lang w:val="en-US"/>
        </w:rPr>
        <w:t xml:space="preserve"> bank’s</w:t>
      </w:r>
      <w:r w:rsidR="0043303E" w:rsidRPr="0092456E">
        <w:rPr>
          <w:rFonts w:ascii="Times New Roman" w:hAnsi="Times New Roman" w:cs="Times New Roman"/>
          <w:i/>
          <w:sz w:val="24"/>
          <w:szCs w:val="24"/>
          <w:lang w:val="en-US"/>
        </w:rPr>
        <w:t xml:space="preserve"> disclosure in the current year </w:t>
      </w:r>
      <w:r w:rsidR="0043303E">
        <w:rPr>
          <w:rFonts w:ascii="Times New Roman" w:hAnsi="Times New Roman" w:cs="Times New Roman"/>
          <w:i/>
          <w:sz w:val="24"/>
          <w:szCs w:val="24"/>
          <w:lang w:val="en-US"/>
        </w:rPr>
        <w:t>the</w:t>
      </w:r>
      <w:r w:rsidR="00F81E98" w:rsidRPr="0092456E">
        <w:rPr>
          <w:rFonts w:ascii="Times New Roman" w:hAnsi="Times New Roman" w:cs="Times New Roman"/>
          <w:i/>
          <w:sz w:val="24"/>
          <w:szCs w:val="24"/>
          <w:lang w:val="en-US"/>
        </w:rPr>
        <w:t xml:space="preserve"> lower</w:t>
      </w:r>
      <w:r w:rsidR="0043303E">
        <w:rPr>
          <w:rFonts w:ascii="Times New Roman" w:hAnsi="Times New Roman" w:cs="Times New Roman"/>
          <w:i/>
          <w:sz w:val="24"/>
          <w:szCs w:val="24"/>
          <w:lang w:val="en-US"/>
        </w:rPr>
        <w:t xml:space="preserve"> the</w:t>
      </w:r>
      <w:r w:rsidR="00F81E98" w:rsidRPr="0092456E">
        <w:rPr>
          <w:rFonts w:ascii="Times New Roman" w:hAnsi="Times New Roman" w:cs="Times New Roman"/>
          <w:i/>
          <w:sz w:val="24"/>
          <w:szCs w:val="24"/>
          <w:lang w:val="en-US"/>
        </w:rPr>
        <w:t xml:space="preserve"> idiosyncratic risk in the following year. </w:t>
      </w:r>
      <w:bookmarkStart w:id="1" w:name="_GoBack"/>
      <w:bookmarkEnd w:id="1"/>
    </w:p>
    <w:p w:rsidR="00AF1F30" w:rsidRPr="0092456E" w:rsidRDefault="00B03582" w:rsidP="00B03582">
      <w:pPr>
        <w:spacing w:line="360" w:lineRule="auto"/>
        <w:ind w:firstLine="709"/>
        <w:jc w:val="both"/>
        <w:rPr>
          <w:rFonts w:ascii="Times New Roman" w:hAnsi="Times New Roman" w:cs="Times New Roman"/>
          <w:i/>
          <w:sz w:val="24"/>
          <w:szCs w:val="24"/>
          <w:lang w:val="en-US"/>
        </w:rPr>
      </w:pPr>
      <w:r w:rsidRPr="0092456E">
        <w:rPr>
          <w:rFonts w:ascii="Times New Roman" w:hAnsi="Times New Roman" w:cs="Times New Roman"/>
          <w:i/>
          <w:sz w:val="24"/>
          <w:szCs w:val="24"/>
          <w:lang w:val="en-US"/>
        </w:rPr>
        <w:t xml:space="preserve">H4. </w:t>
      </w:r>
      <w:r w:rsidR="0043303E">
        <w:rPr>
          <w:rFonts w:ascii="Times New Roman" w:hAnsi="Times New Roman" w:cs="Times New Roman"/>
          <w:i/>
          <w:sz w:val="24"/>
          <w:szCs w:val="24"/>
          <w:lang w:val="en-US"/>
        </w:rPr>
        <w:t>The higher the</w:t>
      </w:r>
      <w:r w:rsidR="0043303E" w:rsidRPr="0092456E">
        <w:rPr>
          <w:rFonts w:ascii="Times New Roman" w:hAnsi="Times New Roman" w:cs="Times New Roman"/>
          <w:i/>
          <w:sz w:val="24"/>
          <w:szCs w:val="24"/>
          <w:lang w:val="en-US"/>
        </w:rPr>
        <w:t xml:space="preserve"> level of</w:t>
      </w:r>
      <w:r w:rsidR="0043303E">
        <w:rPr>
          <w:rFonts w:ascii="Times New Roman" w:hAnsi="Times New Roman" w:cs="Times New Roman"/>
          <w:i/>
          <w:sz w:val="24"/>
          <w:szCs w:val="24"/>
          <w:lang w:val="en-US"/>
        </w:rPr>
        <w:t xml:space="preserve"> bank’s</w:t>
      </w:r>
      <w:r w:rsidR="0043303E" w:rsidRPr="0092456E">
        <w:rPr>
          <w:rFonts w:ascii="Times New Roman" w:hAnsi="Times New Roman" w:cs="Times New Roman"/>
          <w:i/>
          <w:sz w:val="24"/>
          <w:szCs w:val="24"/>
          <w:lang w:val="en-US"/>
        </w:rPr>
        <w:t xml:space="preserve"> disclosure in the current year </w:t>
      </w:r>
      <w:r w:rsidR="0043303E">
        <w:rPr>
          <w:rFonts w:ascii="Times New Roman" w:hAnsi="Times New Roman" w:cs="Times New Roman"/>
          <w:i/>
          <w:sz w:val="24"/>
          <w:szCs w:val="24"/>
          <w:lang w:val="en-US"/>
        </w:rPr>
        <w:t>the</w:t>
      </w:r>
      <w:r w:rsidR="00F81E98" w:rsidRPr="0092456E">
        <w:rPr>
          <w:rFonts w:ascii="Times New Roman" w:hAnsi="Times New Roman" w:cs="Times New Roman"/>
          <w:i/>
          <w:sz w:val="24"/>
          <w:szCs w:val="24"/>
          <w:lang w:val="en-US"/>
        </w:rPr>
        <w:t xml:space="preserve"> lower </w:t>
      </w:r>
      <w:r w:rsidR="0043303E">
        <w:rPr>
          <w:rFonts w:ascii="Times New Roman" w:hAnsi="Times New Roman" w:cs="Times New Roman"/>
          <w:i/>
          <w:sz w:val="24"/>
          <w:szCs w:val="24"/>
          <w:lang w:val="en-US"/>
        </w:rPr>
        <w:t xml:space="preserve">the </w:t>
      </w:r>
      <w:r w:rsidR="00F81E98" w:rsidRPr="0092456E">
        <w:rPr>
          <w:rFonts w:ascii="Times New Roman" w:hAnsi="Times New Roman" w:cs="Times New Roman"/>
          <w:i/>
          <w:sz w:val="24"/>
          <w:szCs w:val="24"/>
          <w:lang w:val="en-US"/>
        </w:rPr>
        <w:t xml:space="preserve">downside risk in the following year.  </w:t>
      </w:r>
    </w:p>
    <w:p w:rsidR="00B03582" w:rsidRPr="0092456E" w:rsidRDefault="00E825D9" w:rsidP="00E825D9">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testing </w:t>
      </w:r>
      <w:r w:rsidR="00B86BAC">
        <w:rPr>
          <w:rFonts w:ascii="Times New Roman" w:hAnsi="Times New Roman" w:cs="Times New Roman"/>
          <w:sz w:val="24"/>
          <w:szCs w:val="24"/>
          <w:lang w:val="en-US"/>
        </w:rPr>
        <w:t>these hypotheses</w:t>
      </w:r>
      <w:r>
        <w:rPr>
          <w:rFonts w:ascii="Times New Roman" w:hAnsi="Times New Roman" w:cs="Times New Roman"/>
          <w:sz w:val="24"/>
          <w:szCs w:val="24"/>
          <w:lang w:val="en-US"/>
        </w:rPr>
        <w:t xml:space="preserve"> a</w:t>
      </w:r>
      <w:r w:rsidRPr="00E825D9">
        <w:rPr>
          <w:rFonts w:ascii="Times New Roman" w:hAnsi="Times New Roman" w:cs="Times New Roman"/>
          <w:sz w:val="24"/>
          <w:szCs w:val="24"/>
          <w:lang w:val="en-US"/>
        </w:rPr>
        <w:t xml:space="preserve"> data set</w:t>
      </w:r>
      <w:r>
        <w:rPr>
          <w:rFonts w:ascii="Times New Roman" w:hAnsi="Times New Roman" w:cs="Times New Roman"/>
          <w:sz w:val="24"/>
          <w:szCs w:val="24"/>
          <w:lang w:val="en-US"/>
        </w:rPr>
        <w:t xml:space="preserve"> </w:t>
      </w:r>
      <w:r w:rsidRPr="00E825D9">
        <w:rPr>
          <w:rFonts w:ascii="Times New Roman" w:hAnsi="Times New Roman" w:cs="Times New Roman"/>
          <w:sz w:val="24"/>
          <w:szCs w:val="24"/>
          <w:lang w:val="en-US"/>
        </w:rPr>
        <w:t xml:space="preserve">on </w:t>
      </w:r>
      <w:r>
        <w:rPr>
          <w:rFonts w:ascii="Times New Roman" w:hAnsi="Times New Roman" w:cs="Times New Roman"/>
          <w:sz w:val="24"/>
          <w:szCs w:val="24"/>
          <w:lang w:val="en-US"/>
        </w:rPr>
        <w:t>66 publicly listed U</w:t>
      </w:r>
      <w:r w:rsidR="00321573">
        <w:rPr>
          <w:rFonts w:ascii="Times New Roman" w:hAnsi="Times New Roman" w:cs="Times New Roman"/>
          <w:sz w:val="24"/>
          <w:szCs w:val="24"/>
          <w:lang w:val="en-US"/>
        </w:rPr>
        <w:t xml:space="preserve">nited </w:t>
      </w:r>
      <w:r>
        <w:rPr>
          <w:rFonts w:ascii="Times New Roman" w:hAnsi="Times New Roman" w:cs="Times New Roman"/>
          <w:sz w:val="24"/>
          <w:szCs w:val="24"/>
          <w:lang w:val="en-US"/>
        </w:rPr>
        <w:t>S</w:t>
      </w:r>
      <w:r w:rsidR="00321573">
        <w:rPr>
          <w:rFonts w:ascii="Times New Roman" w:hAnsi="Times New Roman" w:cs="Times New Roman"/>
          <w:sz w:val="24"/>
          <w:szCs w:val="24"/>
          <w:lang w:val="en-US"/>
        </w:rPr>
        <w:t>tates</w:t>
      </w:r>
      <w:r>
        <w:rPr>
          <w:rFonts w:ascii="Times New Roman" w:hAnsi="Times New Roman" w:cs="Times New Roman"/>
          <w:sz w:val="24"/>
          <w:szCs w:val="24"/>
          <w:lang w:val="en-US"/>
        </w:rPr>
        <w:t xml:space="preserve"> bank holding companies</w:t>
      </w:r>
      <w:r w:rsidRPr="00E825D9">
        <w:rPr>
          <w:rFonts w:ascii="Times New Roman" w:hAnsi="Times New Roman" w:cs="Times New Roman"/>
          <w:sz w:val="24"/>
          <w:szCs w:val="24"/>
          <w:lang w:val="en-US"/>
        </w:rPr>
        <w:t xml:space="preserve"> </w:t>
      </w:r>
      <w:r>
        <w:rPr>
          <w:rFonts w:ascii="Times New Roman" w:hAnsi="Times New Roman" w:cs="Times New Roman"/>
          <w:sz w:val="24"/>
          <w:szCs w:val="24"/>
          <w:lang w:val="en-US"/>
        </w:rPr>
        <w:t>over the period 2010</w:t>
      </w:r>
      <w:r w:rsidRPr="00E825D9">
        <w:rPr>
          <w:rFonts w:ascii="Times New Roman" w:hAnsi="Times New Roman" w:cs="Times New Roman"/>
          <w:sz w:val="24"/>
          <w:szCs w:val="24"/>
          <w:lang w:val="en-US"/>
        </w:rPr>
        <w:t>-20</w:t>
      </w:r>
      <w:r>
        <w:rPr>
          <w:rFonts w:ascii="Times New Roman" w:hAnsi="Times New Roman" w:cs="Times New Roman"/>
          <w:sz w:val="24"/>
          <w:szCs w:val="24"/>
          <w:lang w:val="en-US"/>
        </w:rPr>
        <w:t>13 was formed</w:t>
      </w:r>
      <w:r w:rsidRPr="00E825D9">
        <w:rPr>
          <w:rFonts w:ascii="Times New Roman" w:hAnsi="Times New Roman" w:cs="Times New Roman"/>
          <w:sz w:val="24"/>
          <w:szCs w:val="24"/>
          <w:lang w:val="en-US"/>
        </w:rPr>
        <w:t>.</w:t>
      </w:r>
      <w:r>
        <w:rPr>
          <w:rFonts w:ascii="Times New Roman" w:hAnsi="Times New Roman" w:cs="Times New Roman"/>
          <w:sz w:val="24"/>
          <w:szCs w:val="24"/>
          <w:lang w:val="en-US"/>
        </w:rPr>
        <w:t xml:space="preserve"> Panel regression model was employed</w:t>
      </w:r>
      <w:r w:rsidR="002F79D7" w:rsidRPr="0092456E">
        <w:rPr>
          <w:rFonts w:ascii="Times New Roman" w:hAnsi="Times New Roman" w:cs="Times New Roman"/>
          <w:sz w:val="24"/>
          <w:szCs w:val="24"/>
          <w:lang w:val="en-US"/>
        </w:rPr>
        <w:t xml:space="preserve"> in order to analyze the relationship more thoroughly. The results of this empirical research will enable us to </w:t>
      </w:r>
      <w:r w:rsidR="00C24588">
        <w:rPr>
          <w:rFonts w:ascii="Times New Roman" w:hAnsi="Times New Roman" w:cs="Times New Roman"/>
          <w:sz w:val="24"/>
          <w:szCs w:val="24"/>
          <w:lang w:val="en-US"/>
        </w:rPr>
        <w:t>make</w:t>
      </w:r>
      <w:r w:rsidR="002F79D7" w:rsidRPr="0092456E">
        <w:rPr>
          <w:rFonts w:ascii="Times New Roman" w:hAnsi="Times New Roman" w:cs="Times New Roman"/>
          <w:sz w:val="24"/>
          <w:szCs w:val="24"/>
          <w:lang w:val="en-US"/>
        </w:rPr>
        <w:t xml:space="preserve"> conclusions</w:t>
      </w:r>
      <w:r w:rsidR="00C24588">
        <w:rPr>
          <w:rFonts w:ascii="Times New Roman" w:hAnsi="Times New Roman" w:cs="Times New Roman"/>
          <w:sz w:val="24"/>
          <w:szCs w:val="24"/>
          <w:lang w:val="en-US"/>
        </w:rPr>
        <w:t xml:space="preserve"> about</w:t>
      </w:r>
      <w:r w:rsidR="002F79D7" w:rsidRPr="0092456E">
        <w:rPr>
          <w:rFonts w:ascii="Times New Roman" w:hAnsi="Times New Roman" w:cs="Times New Roman"/>
          <w:sz w:val="24"/>
          <w:szCs w:val="24"/>
          <w:lang w:val="en-US"/>
        </w:rPr>
        <w:t xml:space="preserve"> </w:t>
      </w:r>
      <w:r w:rsidR="00C24588" w:rsidRPr="0092456E">
        <w:rPr>
          <w:rFonts w:ascii="Times New Roman" w:hAnsi="Times New Roman" w:cs="Times New Roman"/>
          <w:sz w:val="24"/>
          <w:szCs w:val="24"/>
          <w:lang w:val="en-US"/>
        </w:rPr>
        <w:t>the relationship between disclosure and riskiness of a financial institution</w:t>
      </w:r>
      <w:r w:rsidR="00C24588">
        <w:rPr>
          <w:rFonts w:ascii="Times New Roman" w:hAnsi="Times New Roman" w:cs="Times New Roman"/>
          <w:sz w:val="24"/>
          <w:szCs w:val="24"/>
          <w:lang w:val="en-US"/>
        </w:rPr>
        <w:t xml:space="preserve"> and provide some </w:t>
      </w:r>
      <w:r w:rsidR="00C24588" w:rsidRPr="00591201">
        <w:rPr>
          <w:rFonts w:ascii="Times New Roman" w:hAnsi="Times New Roman" w:cs="Times New Roman"/>
          <w:sz w:val="24"/>
          <w:szCs w:val="24"/>
          <w:lang w:val="en-US"/>
        </w:rPr>
        <w:t>possible policy implications</w:t>
      </w:r>
      <w:r w:rsidR="00C24588">
        <w:rPr>
          <w:rFonts w:ascii="Times New Roman" w:hAnsi="Times New Roman" w:cs="Times New Roman"/>
          <w:sz w:val="24"/>
          <w:szCs w:val="24"/>
          <w:lang w:val="en-US"/>
        </w:rPr>
        <w:t>.</w:t>
      </w:r>
    </w:p>
    <w:p w:rsidR="001E468E" w:rsidRDefault="002F79D7" w:rsidP="00333787">
      <w:pPr>
        <w:spacing w:line="360" w:lineRule="auto"/>
        <w:ind w:firstLine="708"/>
        <w:jc w:val="both"/>
        <w:rPr>
          <w:rFonts w:ascii="Times New Roman" w:hAnsi="Times New Roman" w:cs="Times New Roman"/>
          <w:sz w:val="24"/>
          <w:szCs w:val="24"/>
          <w:lang w:val="en-US"/>
        </w:rPr>
      </w:pPr>
      <w:r w:rsidRPr="0092456E">
        <w:rPr>
          <w:rFonts w:ascii="Times New Roman" w:hAnsi="Times New Roman" w:cs="Times New Roman"/>
          <w:sz w:val="24"/>
          <w:szCs w:val="24"/>
          <w:lang w:val="en-US"/>
        </w:rPr>
        <w:t xml:space="preserve">The research is divided into </w:t>
      </w:r>
      <w:r w:rsidR="0092456E">
        <w:rPr>
          <w:rFonts w:ascii="Times New Roman" w:hAnsi="Times New Roman" w:cs="Times New Roman"/>
          <w:sz w:val="24"/>
          <w:szCs w:val="24"/>
          <w:lang w:val="en-US"/>
        </w:rPr>
        <w:t>three</w:t>
      </w:r>
      <w:r w:rsidRPr="0092456E">
        <w:rPr>
          <w:rFonts w:ascii="Times New Roman" w:hAnsi="Times New Roman" w:cs="Times New Roman"/>
          <w:sz w:val="24"/>
          <w:szCs w:val="24"/>
          <w:lang w:val="en-US"/>
        </w:rPr>
        <w:t xml:space="preserve"> </w:t>
      </w:r>
      <w:r w:rsidR="002D2173">
        <w:rPr>
          <w:rFonts w:ascii="Times New Roman" w:hAnsi="Times New Roman" w:cs="Times New Roman"/>
          <w:sz w:val="24"/>
          <w:szCs w:val="24"/>
          <w:lang w:val="en-US"/>
        </w:rPr>
        <w:t>chapters</w:t>
      </w:r>
      <w:r w:rsidRPr="0092456E">
        <w:rPr>
          <w:rFonts w:ascii="Times New Roman" w:hAnsi="Times New Roman" w:cs="Times New Roman"/>
          <w:sz w:val="24"/>
          <w:szCs w:val="24"/>
          <w:lang w:val="en-US"/>
        </w:rPr>
        <w:t xml:space="preserve">. The first </w:t>
      </w:r>
      <w:r w:rsidR="002D2173">
        <w:rPr>
          <w:rFonts w:ascii="Times New Roman" w:hAnsi="Times New Roman" w:cs="Times New Roman"/>
          <w:sz w:val="24"/>
          <w:szCs w:val="24"/>
          <w:lang w:val="en-US"/>
        </w:rPr>
        <w:t>chapter of this paper</w:t>
      </w:r>
      <w:r w:rsidRPr="0092456E">
        <w:rPr>
          <w:rFonts w:ascii="Times New Roman" w:hAnsi="Times New Roman" w:cs="Times New Roman"/>
          <w:sz w:val="24"/>
          <w:szCs w:val="24"/>
          <w:lang w:val="en-US"/>
        </w:rPr>
        <w:t xml:space="preserve"> concentrates on</w:t>
      </w:r>
      <w:r w:rsidR="002D2173">
        <w:rPr>
          <w:rFonts w:ascii="Times New Roman" w:hAnsi="Times New Roman" w:cs="Times New Roman"/>
          <w:sz w:val="24"/>
          <w:szCs w:val="24"/>
          <w:lang w:val="en-US"/>
        </w:rPr>
        <w:t xml:space="preserve"> theoretical grounds of risk assessments. </w:t>
      </w:r>
      <w:r w:rsidR="004A72D5">
        <w:rPr>
          <w:rFonts w:ascii="Times New Roman" w:hAnsi="Times New Roman" w:cs="Times New Roman"/>
          <w:sz w:val="24"/>
          <w:szCs w:val="24"/>
          <w:lang w:val="en-US"/>
        </w:rPr>
        <w:t>Particularl</w:t>
      </w:r>
      <w:r w:rsidR="002D2173">
        <w:rPr>
          <w:rFonts w:ascii="Times New Roman" w:hAnsi="Times New Roman" w:cs="Times New Roman"/>
          <w:sz w:val="24"/>
          <w:szCs w:val="24"/>
          <w:lang w:val="en-US"/>
        </w:rPr>
        <w:t xml:space="preserve">y we describe different types of risk that investor face while making investment decisions. As it was already mentioned, we focus on four types of risk: the aggregated risk, the </w:t>
      </w:r>
      <w:r w:rsidR="00DE47A1">
        <w:rPr>
          <w:rFonts w:ascii="Times New Roman" w:hAnsi="Times New Roman" w:cs="Times New Roman"/>
          <w:sz w:val="24"/>
          <w:szCs w:val="24"/>
          <w:lang w:val="en-US"/>
        </w:rPr>
        <w:t>systemic</w:t>
      </w:r>
      <w:r w:rsidR="002D2173">
        <w:rPr>
          <w:rFonts w:ascii="Times New Roman" w:hAnsi="Times New Roman" w:cs="Times New Roman"/>
          <w:sz w:val="24"/>
          <w:szCs w:val="24"/>
          <w:lang w:val="en-US"/>
        </w:rPr>
        <w:t xml:space="preserve"> risk, the idiosyncratic risk and the downside risk.  For each type of risk we provide the definition, describe the approach for their </w:t>
      </w:r>
      <w:r w:rsidR="00665741">
        <w:rPr>
          <w:rFonts w:ascii="Times New Roman" w:hAnsi="Times New Roman" w:cs="Times New Roman"/>
          <w:sz w:val="24"/>
          <w:szCs w:val="24"/>
          <w:lang w:val="en-US"/>
        </w:rPr>
        <w:t>measurement and</w:t>
      </w:r>
      <w:r w:rsidR="002D2173">
        <w:rPr>
          <w:rFonts w:ascii="Times New Roman" w:hAnsi="Times New Roman" w:cs="Times New Roman"/>
          <w:sz w:val="24"/>
          <w:szCs w:val="24"/>
          <w:lang w:val="en-US"/>
        </w:rPr>
        <w:t xml:space="preserve"> review prior research where each risk measure was employed. In the second chapter we </w:t>
      </w:r>
      <w:r w:rsidR="00A11D7C">
        <w:rPr>
          <w:rFonts w:ascii="Times New Roman" w:hAnsi="Times New Roman" w:cs="Times New Roman"/>
          <w:sz w:val="24"/>
          <w:szCs w:val="24"/>
          <w:lang w:val="en-US"/>
        </w:rPr>
        <w:t>discuss the role</w:t>
      </w:r>
      <w:r w:rsidR="00BF09AB">
        <w:rPr>
          <w:rFonts w:ascii="Times New Roman" w:hAnsi="Times New Roman" w:cs="Times New Roman"/>
          <w:sz w:val="24"/>
          <w:szCs w:val="24"/>
          <w:lang w:val="en-US"/>
        </w:rPr>
        <w:t xml:space="preserve"> of corporate disclosure in </w:t>
      </w:r>
      <w:r w:rsidR="00A11D7C">
        <w:rPr>
          <w:rFonts w:ascii="Times New Roman" w:hAnsi="Times New Roman" w:cs="Times New Roman"/>
          <w:sz w:val="24"/>
          <w:szCs w:val="24"/>
          <w:lang w:val="en-US"/>
        </w:rPr>
        <w:t>capital markets, describe the disclosure regulation in the United States. Additionally we provide an overview of prior research</w:t>
      </w:r>
      <w:r w:rsidR="004A72D5">
        <w:rPr>
          <w:rFonts w:ascii="Times New Roman" w:hAnsi="Times New Roman" w:cs="Times New Roman"/>
          <w:sz w:val="24"/>
          <w:szCs w:val="24"/>
          <w:lang w:val="en-US"/>
        </w:rPr>
        <w:t>es</w:t>
      </w:r>
      <w:r w:rsidR="00A11D7C">
        <w:rPr>
          <w:rFonts w:ascii="Times New Roman" w:hAnsi="Times New Roman" w:cs="Times New Roman"/>
          <w:sz w:val="24"/>
          <w:szCs w:val="24"/>
          <w:lang w:val="en-US"/>
        </w:rPr>
        <w:t xml:space="preserve"> related to the analysis of </w:t>
      </w:r>
      <w:r w:rsidR="00A11D7C">
        <w:rPr>
          <w:rFonts w:ascii="Times New Roman" w:hAnsi="Times New Roman" w:cs="Times New Roman"/>
          <w:sz w:val="24"/>
          <w:szCs w:val="24"/>
          <w:lang w:val="en-US"/>
        </w:rPr>
        <w:lastRenderedPageBreak/>
        <w:t xml:space="preserve">relationship between disclosure and different types of risk. Chapter </w:t>
      </w:r>
      <w:r w:rsidR="00B86BAC">
        <w:rPr>
          <w:rFonts w:ascii="Times New Roman" w:hAnsi="Times New Roman" w:cs="Times New Roman"/>
          <w:sz w:val="24"/>
          <w:szCs w:val="24"/>
          <w:lang w:val="en-US"/>
        </w:rPr>
        <w:t>3</w:t>
      </w:r>
      <w:r w:rsidR="00A11D7C">
        <w:rPr>
          <w:rFonts w:ascii="Times New Roman" w:hAnsi="Times New Roman" w:cs="Times New Roman"/>
          <w:sz w:val="24"/>
          <w:szCs w:val="24"/>
          <w:lang w:val="en-US"/>
        </w:rPr>
        <w:t xml:space="preserve"> is devoted to the empirical analysis of the relationship between disclosure and different types of risk. </w:t>
      </w:r>
      <w:r w:rsidR="00A11D7C" w:rsidRPr="00A11D7C">
        <w:rPr>
          <w:rFonts w:ascii="Times New Roman" w:hAnsi="Times New Roman" w:cs="Times New Roman"/>
          <w:sz w:val="24"/>
          <w:szCs w:val="24"/>
          <w:lang w:val="en-US"/>
        </w:rPr>
        <w:t xml:space="preserve">The hypotheses, </w:t>
      </w:r>
      <w:r w:rsidR="00A11D7C">
        <w:rPr>
          <w:rFonts w:ascii="Times New Roman" w:hAnsi="Times New Roman" w:cs="Times New Roman"/>
          <w:sz w:val="24"/>
          <w:szCs w:val="24"/>
          <w:lang w:val="en-US"/>
        </w:rPr>
        <w:t>sample description</w:t>
      </w:r>
      <w:r w:rsidR="00A11D7C" w:rsidRPr="00A11D7C">
        <w:rPr>
          <w:rFonts w:ascii="Times New Roman" w:hAnsi="Times New Roman" w:cs="Times New Roman"/>
          <w:sz w:val="24"/>
          <w:szCs w:val="24"/>
          <w:lang w:val="en-US"/>
        </w:rPr>
        <w:t xml:space="preserve"> and the results of the </w:t>
      </w:r>
      <w:r w:rsidR="00A11D7C">
        <w:rPr>
          <w:rFonts w:ascii="Times New Roman" w:hAnsi="Times New Roman" w:cs="Times New Roman"/>
          <w:sz w:val="24"/>
          <w:szCs w:val="24"/>
          <w:lang w:val="en-US"/>
        </w:rPr>
        <w:t>analysis are</w:t>
      </w:r>
      <w:r w:rsidR="00A11D7C" w:rsidRPr="00A11D7C">
        <w:rPr>
          <w:rFonts w:ascii="Times New Roman" w:hAnsi="Times New Roman" w:cs="Times New Roman"/>
          <w:sz w:val="24"/>
          <w:szCs w:val="24"/>
          <w:lang w:val="en-US"/>
        </w:rPr>
        <w:t xml:space="preserve"> presented in this chapter</w:t>
      </w:r>
      <w:r w:rsidR="00A11D7C">
        <w:rPr>
          <w:rFonts w:ascii="Times New Roman" w:hAnsi="Times New Roman" w:cs="Times New Roman"/>
          <w:sz w:val="24"/>
          <w:szCs w:val="24"/>
          <w:lang w:val="en-US"/>
        </w:rPr>
        <w:t>. Based on the results some managerial implications are provided.</w:t>
      </w:r>
    </w:p>
    <w:p w:rsidR="00E71B39" w:rsidRDefault="00E71B39" w:rsidP="00333787">
      <w:pPr>
        <w:spacing w:line="360" w:lineRule="auto"/>
        <w:ind w:firstLine="708"/>
        <w:jc w:val="both"/>
        <w:rPr>
          <w:rFonts w:ascii="Times New Roman" w:hAnsi="Times New Roman" w:cs="Times New Roman"/>
          <w:sz w:val="24"/>
          <w:szCs w:val="24"/>
          <w:lang w:val="en-US"/>
        </w:rPr>
      </w:pPr>
    </w:p>
    <w:p w:rsidR="00BB23E4" w:rsidRPr="00745D55" w:rsidRDefault="00BB23E4" w:rsidP="00AC1B8C">
      <w:pPr>
        <w:pStyle w:val="1"/>
        <w:rPr>
          <w:rFonts w:cs="Times New Roman"/>
          <w:sz w:val="24"/>
          <w:szCs w:val="24"/>
          <w:lang w:val="en-US"/>
        </w:rPr>
      </w:pPr>
      <w:r w:rsidRPr="00AC1B8C">
        <w:rPr>
          <w:lang w:val="en-US"/>
        </w:rPr>
        <w:br w:type="page"/>
      </w:r>
      <w:bookmarkStart w:id="2" w:name="_Toc451925541"/>
      <w:r w:rsidR="00900DFD">
        <w:rPr>
          <w:lang w:val="en-US"/>
        </w:rPr>
        <w:lastRenderedPageBreak/>
        <w:t>Chapter 1. Theoretical grounds of risk assessment</w:t>
      </w:r>
      <w:bookmarkEnd w:id="2"/>
    </w:p>
    <w:p w:rsidR="00790587" w:rsidRDefault="00790587" w:rsidP="00BB23E4">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Investing in capital markets is concerned with</w:t>
      </w:r>
      <w:r w:rsidR="00AB3A57">
        <w:rPr>
          <w:rFonts w:ascii="Times New Roman" w:hAnsi="Times New Roman" w:cs="Times New Roman"/>
          <w:sz w:val="24"/>
          <w:lang w:val="en-US"/>
        </w:rPr>
        <w:t xml:space="preserve"> investor’s</w:t>
      </w:r>
      <w:r>
        <w:rPr>
          <w:rFonts w:ascii="Times New Roman" w:hAnsi="Times New Roman" w:cs="Times New Roman"/>
          <w:sz w:val="24"/>
          <w:lang w:val="en-US"/>
        </w:rPr>
        <w:t xml:space="preserve"> decision-making </w:t>
      </w:r>
      <w:r w:rsidR="00AB3A57">
        <w:rPr>
          <w:rFonts w:ascii="Times New Roman" w:hAnsi="Times New Roman" w:cs="Times New Roman"/>
          <w:sz w:val="24"/>
          <w:lang w:val="en-US"/>
        </w:rPr>
        <w:t xml:space="preserve">process </w:t>
      </w:r>
      <w:r>
        <w:rPr>
          <w:rFonts w:ascii="Times New Roman" w:hAnsi="Times New Roman" w:cs="Times New Roman"/>
          <w:sz w:val="24"/>
          <w:lang w:val="en-US"/>
        </w:rPr>
        <w:t>about what securities to invest in, how large investments should be and when to make</w:t>
      </w:r>
      <w:r w:rsidR="00DA29B1">
        <w:rPr>
          <w:rFonts w:ascii="Times New Roman" w:hAnsi="Times New Roman" w:cs="Times New Roman"/>
          <w:sz w:val="24"/>
          <w:lang w:val="en-US"/>
        </w:rPr>
        <w:t xml:space="preserve"> those</w:t>
      </w:r>
      <w:r>
        <w:rPr>
          <w:rFonts w:ascii="Times New Roman" w:hAnsi="Times New Roman" w:cs="Times New Roman"/>
          <w:sz w:val="24"/>
          <w:lang w:val="en-US"/>
        </w:rPr>
        <w:t xml:space="preserve"> investments. In broad sense investments means sacrificing current dollars for future dollars. Generally investing involves two attributes: </w:t>
      </w:r>
      <w:r w:rsidRPr="00790587">
        <w:rPr>
          <w:rFonts w:ascii="Times New Roman" w:hAnsi="Times New Roman" w:cs="Times New Roman"/>
          <w:b/>
          <w:sz w:val="24"/>
          <w:lang w:val="en-US"/>
        </w:rPr>
        <w:t>risk</w:t>
      </w:r>
      <w:r>
        <w:rPr>
          <w:rFonts w:ascii="Times New Roman" w:hAnsi="Times New Roman" w:cs="Times New Roman"/>
          <w:sz w:val="24"/>
          <w:lang w:val="en-US"/>
        </w:rPr>
        <w:t xml:space="preserve"> and time. The sacrifice usually is made in the present and reward comes later.</w:t>
      </w:r>
    </w:p>
    <w:p w:rsidR="00DA29B1" w:rsidRDefault="00DA29B1" w:rsidP="00BB23E4">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First,</w:t>
      </w:r>
      <w:r w:rsidR="00BB23E4">
        <w:rPr>
          <w:rFonts w:ascii="Times New Roman" w:hAnsi="Times New Roman" w:cs="Times New Roman"/>
          <w:sz w:val="24"/>
          <w:lang w:val="en-US"/>
        </w:rPr>
        <w:t xml:space="preserve"> we need to start with the definition of risk. </w:t>
      </w:r>
      <w:r w:rsidR="00040A5D">
        <w:rPr>
          <w:rFonts w:ascii="Times New Roman" w:hAnsi="Times New Roman" w:cs="Times New Roman"/>
          <w:sz w:val="24"/>
          <w:lang w:val="en-US"/>
        </w:rPr>
        <w:t xml:space="preserve">The literature review reveals that there are many </w:t>
      </w:r>
      <w:r w:rsidR="0091664C">
        <w:rPr>
          <w:rFonts w:ascii="Times New Roman" w:hAnsi="Times New Roman" w:cs="Times New Roman"/>
          <w:sz w:val="24"/>
          <w:lang w:val="en-US"/>
        </w:rPr>
        <w:t>definitions of risk</w:t>
      </w:r>
      <w:r w:rsidR="00040A5D">
        <w:rPr>
          <w:rFonts w:ascii="Times New Roman" w:hAnsi="Times New Roman" w:cs="Times New Roman"/>
          <w:sz w:val="24"/>
          <w:lang w:val="en-US"/>
        </w:rPr>
        <w:t xml:space="preserve">. </w:t>
      </w:r>
      <w:r w:rsidR="00B56054">
        <w:rPr>
          <w:rFonts w:ascii="Times New Roman" w:hAnsi="Times New Roman" w:cs="Times New Roman"/>
          <w:sz w:val="24"/>
          <w:lang w:val="en-US"/>
        </w:rPr>
        <w:t xml:space="preserve">Economist Frank Knight in his </w:t>
      </w:r>
      <w:r w:rsidR="00DC1AD5">
        <w:rPr>
          <w:rFonts w:ascii="Times New Roman" w:hAnsi="Times New Roman" w:cs="Times New Roman"/>
          <w:sz w:val="24"/>
          <w:lang w:val="en-US"/>
        </w:rPr>
        <w:t>work</w:t>
      </w:r>
      <w:r w:rsidR="00B56054">
        <w:rPr>
          <w:rFonts w:ascii="Times New Roman" w:hAnsi="Times New Roman" w:cs="Times New Roman"/>
          <w:sz w:val="24"/>
          <w:lang w:val="en-US"/>
        </w:rPr>
        <w:t xml:space="preserve"> </w:t>
      </w:r>
      <w:r w:rsidR="00AB3A57">
        <w:rPr>
          <w:rFonts w:ascii="Times New Roman" w:hAnsi="Times New Roman" w:cs="Times New Roman"/>
          <w:sz w:val="24"/>
          <w:lang w:val="en-US"/>
        </w:rPr>
        <w:t>“</w:t>
      </w:r>
      <w:r w:rsidR="00B56054">
        <w:rPr>
          <w:rFonts w:ascii="Times New Roman" w:hAnsi="Times New Roman" w:cs="Times New Roman"/>
          <w:sz w:val="24"/>
          <w:lang w:val="en-US"/>
        </w:rPr>
        <w:t>Risk, Uncertainty and Profit</w:t>
      </w:r>
      <w:r w:rsidR="00AB3A57">
        <w:rPr>
          <w:rFonts w:ascii="Times New Roman" w:hAnsi="Times New Roman" w:cs="Times New Roman"/>
          <w:sz w:val="24"/>
          <w:lang w:val="en-US"/>
        </w:rPr>
        <w:t xml:space="preserve">” 1921 </w:t>
      </w:r>
      <w:r w:rsidR="00B56054">
        <w:rPr>
          <w:rFonts w:ascii="Times New Roman" w:hAnsi="Times New Roman" w:cs="Times New Roman"/>
          <w:sz w:val="24"/>
          <w:lang w:val="en-US"/>
        </w:rPr>
        <w:t>provided the most popular definition of risk.  Frank Knight distinguish</w:t>
      </w:r>
      <w:r w:rsidR="00DC1AD5">
        <w:rPr>
          <w:rFonts w:ascii="Times New Roman" w:hAnsi="Times New Roman" w:cs="Times New Roman"/>
          <w:sz w:val="24"/>
          <w:lang w:val="en-US"/>
        </w:rPr>
        <w:t>es</w:t>
      </w:r>
      <w:r w:rsidR="00B56054">
        <w:rPr>
          <w:rFonts w:ascii="Times New Roman" w:hAnsi="Times New Roman" w:cs="Times New Roman"/>
          <w:sz w:val="24"/>
          <w:lang w:val="en-US"/>
        </w:rPr>
        <w:t xml:space="preserve"> measurable and unmeasurable uncertainty. He </w:t>
      </w:r>
      <w:r w:rsidR="00DC1AD5">
        <w:rPr>
          <w:rFonts w:ascii="Times New Roman" w:hAnsi="Times New Roman" w:cs="Times New Roman"/>
          <w:sz w:val="24"/>
          <w:lang w:val="en-US"/>
        </w:rPr>
        <w:t>defines</w:t>
      </w:r>
      <w:r w:rsidR="00B56054" w:rsidRPr="00B56054">
        <w:rPr>
          <w:rFonts w:ascii="Times New Roman" w:hAnsi="Times New Roman" w:cs="Times New Roman"/>
          <w:sz w:val="24"/>
          <w:lang w:val="en-US"/>
        </w:rPr>
        <w:t xml:space="preserve"> only quantifiable uncertainty to be risk</w:t>
      </w:r>
      <w:r w:rsidR="00B56054">
        <w:rPr>
          <w:rFonts w:ascii="Times New Roman" w:hAnsi="Times New Roman" w:cs="Times New Roman"/>
          <w:sz w:val="24"/>
          <w:lang w:val="en-US"/>
        </w:rPr>
        <w:t xml:space="preserve">. His definition emphasizes that risk is </w:t>
      </w:r>
      <w:r w:rsidR="00AF2BDD">
        <w:rPr>
          <w:rFonts w:ascii="Times New Roman" w:hAnsi="Times New Roman" w:cs="Times New Roman"/>
          <w:sz w:val="24"/>
          <w:lang w:val="en-US"/>
        </w:rPr>
        <w:t xml:space="preserve">related to uncertainty and tasks dealing with risk usually require uncertainty to be quantified.  </w:t>
      </w:r>
    </w:p>
    <w:p w:rsidR="00471E3C" w:rsidRDefault="00471E3C" w:rsidP="00471E3C">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In order to make wise investments </w:t>
      </w:r>
      <w:r w:rsidRPr="00471E3C">
        <w:rPr>
          <w:rFonts w:ascii="Times New Roman" w:hAnsi="Times New Roman" w:cs="Times New Roman"/>
          <w:sz w:val="24"/>
          <w:lang w:val="en-US"/>
        </w:rPr>
        <w:t>every investor must be able to identify and underst</w:t>
      </w:r>
      <w:r>
        <w:rPr>
          <w:rFonts w:ascii="Times New Roman" w:hAnsi="Times New Roman" w:cs="Times New Roman"/>
          <w:sz w:val="24"/>
          <w:lang w:val="en-US"/>
        </w:rPr>
        <w:t>and the types of risk they face and measure those</w:t>
      </w:r>
      <w:r w:rsidRPr="00471E3C">
        <w:rPr>
          <w:rFonts w:ascii="Times New Roman" w:hAnsi="Times New Roman" w:cs="Times New Roman"/>
          <w:sz w:val="24"/>
          <w:lang w:val="en-US"/>
        </w:rPr>
        <w:t xml:space="preserve"> risk</w:t>
      </w:r>
      <w:r>
        <w:rPr>
          <w:rFonts w:ascii="Times New Roman" w:hAnsi="Times New Roman" w:cs="Times New Roman"/>
          <w:sz w:val="24"/>
          <w:lang w:val="en-US"/>
        </w:rPr>
        <w:t>s accurately</w:t>
      </w:r>
      <w:r w:rsidRPr="00471E3C">
        <w:rPr>
          <w:rFonts w:ascii="Times New Roman" w:hAnsi="Times New Roman" w:cs="Times New Roman"/>
          <w:sz w:val="24"/>
          <w:lang w:val="en-US"/>
        </w:rPr>
        <w:t>.</w:t>
      </w:r>
      <w:r>
        <w:rPr>
          <w:rFonts w:ascii="Times New Roman" w:hAnsi="Times New Roman" w:cs="Times New Roman"/>
          <w:sz w:val="24"/>
          <w:lang w:val="en-US"/>
        </w:rPr>
        <w:t xml:space="preserve"> The quantification of risk is crucial task because based on this investor can make a decision</w:t>
      </w:r>
      <w:r w:rsidR="0091664C">
        <w:rPr>
          <w:rFonts w:ascii="Times New Roman" w:hAnsi="Times New Roman" w:cs="Times New Roman"/>
          <w:sz w:val="24"/>
          <w:lang w:val="en-US"/>
        </w:rPr>
        <w:t xml:space="preserve"> about</w:t>
      </w:r>
      <w:r>
        <w:rPr>
          <w:rFonts w:ascii="Times New Roman" w:hAnsi="Times New Roman" w:cs="Times New Roman"/>
          <w:sz w:val="24"/>
          <w:lang w:val="en-US"/>
        </w:rPr>
        <w:t xml:space="preserve"> </w:t>
      </w:r>
      <w:r w:rsidRPr="00471E3C">
        <w:rPr>
          <w:rFonts w:ascii="Times New Roman" w:hAnsi="Times New Roman" w:cs="Times New Roman"/>
          <w:sz w:val="24"/>
          <w:lang w:val="en-US"/>
        </w:rPr>
        <w:t xml:space="preserve">cancellation of the investment if the risks are too </w:t>
      </w:r>
      <w:r w:rsidR="00A57CEE">
        <w:rPr>
          <w:rFonts w:ascii="Times New Roman" w:hAnsi="Times New Roman" w:cs="Times New Roman"/>
          <w:sz w:val="24"/>
          <w:lang w:val="en-US"/>
        </w:rPr>
        <w:t>high compared</w:t>
      </w:r>
      <w:r w:rsidRPr="00471E3C">
        <w:rPr>
          <w:rFonts w:ascii="Times New Roman" w:hAnsi="Times New Roman" w:cs="Times New Roman"/>
          <w:sz w:val="24"/>
          <w:lang w:val="en-US"/>
        </w:rPr>
        <w:t xml:space="preserve"> to the expected financial return</w:t>
      </w:r>
      <w:r>
        <w:rPr>
          <w:rFonts w:ascii="Times New Roman" w:hAnsi="Times New Roman" w:cs="Times New Roman"/>
          <w:sz w:val="24"/>
          <w:lang w:val="en-US"/>
        </w:rPr>
        <w:t xml:space="preserve">. If investor make a decision to go ahead with investment then his capital must be sufficient </w:t>
      </w:r>
      <w:r w:rsidRPr="00471E3C">
        <w:rPr>
          <w:rFonts w:ascii="Times New Roman" w:hAnsi="Times New Roman" w:cs="Times New Roman"/>
          <w:sz w:val="24"/>
          <w:lang w:val="en-US"/>
        </w:rPr>
        <w:t>to cover the risks it faces</w:t>
      </w:r>
      <w:r>
        <w:rPr>
          <w:rFonts w:ascii="Times New Roman" w:hAnsi="Times New Roman" w:cs="Times New Roman"/>
          <w:sz w:val="24"/>
          <w:lang w:val="en-US"/>
        </w:rPr>
        <w:t>.</w:t>
      </w:r>
    </w:p>
    <w:p w:rsidR="00471E3C" w:rsidRPr="00E54880" w:rsidRDefault="00E54880" w:rsidP="00471E3C">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Investors face different types of risks while making investments. </w:t>
      </w:r>
      <w:r w:rsidRPr="00E54880">
        <w:rPr>
          <w:rFonts w:ascii="Times New Roman" w:hAnsi="Times New Roman" w:cs="Times New Roman"/>
          <w:sz w:val="24"/>
          <w:lang w:val="en-US"/>
        </w:rPr>
        <w:t>Understanding the types of investment risk allows an investor to manage risk and optimize outcomes.</w:t>
      </w:r>
      <w:r>
        <w:rPr>
          <w:rFonts w:ascii="Times New Roman" w:hAnsi="Times New Roman" w:cs="Times New Roman"/>
          <w:sz w:val="24"/>
          <w:lang w:val="en-US"/>
        </w:rPr>
        <w:t xml:space="preserve"> In this paper I will focus on four types of risks: the aggregated risk, the downside risk, the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w:t>
      </w:r>
      <w:r w:rsidRPr="00904C62">
        <w:rPr>
          <w:rFonts w:ascii="Times New Roman" w:hAnsi="Times New Roman" w:cs="Times New Roman"/>
          <w:sz w:val="24"/>
          <w:lang w:val="en-US"/>
        </w:rPr>
        <w:t xml:space="preserve"> and</w:t>
      </w:r>
      <w:r>
        <w:rPr>
          <w:rFonts w:ascii="Times New Roman" w:hAnsi="Times New Roman" w:cs="Times New Roman"/>
          <w:sz w:val="24"/>
          <w:lang w:val="en-US"/>
        </w:rPr>
        <w:t xml:space="preserve"> the</w:t>
      </w:r>
      <w:r w:rsidRPr="00904C62">
        <w:rPr>
          <w:rFonts w:ascii="Times New Roman" w:hAnsi="Times New Roman" w:cs="Times New Roman"/>
          <w:sz w:val="24"/>
          <w:lang w:val="en-US"/>
        </w:rPr>
        <w:t xml:space="preserve"> idiosyncratic </w:t>
      </w:r>
      <w:r>
        <w:rPr>
          <w:rFonts w:ascii="Times New Roman" w:hAnsi="Times New Roman" w:cs="Times New Roman"/>
          <w:sz w:val="24"/>
          <w:lang w:val="en-US"/>
        </w:rPr>
        <w:t xml:space="preserve">or firm-specific risk. </w:t>
      </w:r>
    </w:p>
    <w:p w:rsidR="00BB23E4" w:rsidRDefault="00BB23E4" w:rsidP="00BB23E4">
      <w:pPr>
        <w:spacing w:line="360" w:lineRule="auto"/>
        <w:ind w:firstLine="708"/>
        <w:jc w:val="both"/>
        <w:rPr>
          <w:rFonts w:ascii="Times New Roman" w:hAnsi="Times New Roman" w:cs="Times New Roman"/>
          <w:sz w:val="24"/>
          <w:lang w:val="en-US"/>
        </w:rPr>
      </w:pPr>
      <w:r w:rsidRPr="00FD4FE5">
        <w:rPr>
          <w:rFonts w:ascii="Times New Roman" w:hAnsi="Times New Roman" w:cs="Times New Roman"/>
          <w:sz w:val="24"/>
          <w:lang w:val="en-US"/>
        </w:rPr>
        <w:t xml:space="preserve">Next sections provide brief overview </w:t>
      </w:r>
      <w:r w:rsidR="00E54880" w:rsidRPr="00FD4FE5">
        <w:rPr>
          <w:rFonts w:ascii="Times New Roman" w:hAnsi="Times New Roman" w:cs="Times New Roman"/>
          <w:sz w:val="24"/>
          <w:lang w:val="en-US"/>
        </w:rPr>
        <w:t xml:space="preserve">of </w:t>
      </w:r>
      <w:r w:rsidR="00E54880">
        <w:rPr>
          <w:rFonts w:ascii="Times New Roman" w:hAnsi="Times New Roman" w:cs="Times New Roman"/>
          <w:sz w:val="24"/>
          <w:lang w:val="en-US"/>
        </w:rPr>
        <w:t xml:space="preserve">these </w:t>
      </w:r>
      <w:r>
        <w:rPr>
          <w:rFonts w:ascii="Times New Roman" w:hAnsi="Times New Roman" w:cs="Times New Roman"/>
          <w:sz w:val="24"/>
          <w:lang w:val="en-US"/>
        </w:rPr>
        <w:t>four types of risk</w:t>
      </w:r>
      <w:r w:rsidR="00E54880">
        <w:rPr>
          <w:rFonts w:ascii="Times New Roman" w:hAnsi="Times New Roman" w:cs="Times New Roman"/>
          <w:sz w:val="24"/>
          <w:lang w:val="en-US"/>
        </w:rPr>
        <w:t>. I will provide the definition of each of those types of risk, describe th</w:t>
      </w:r>
      <w:r w:rsidR="00F072F8">
        <w:rPr>
          <w:rFonts w:ascii="Times New Roman" w:hAnsi="Times New Roman" w:cs="Times New Roman"/>
          <w:sz w:val="24"/>
          <w:lang w:val="en-US"/>
        </w:rPr>
        <w:t>e methods for measuring them,</w:t>
      </w:r>
      <w:r w:rsidR="00E54880">
        <w:rPr>
          <w:rFonts w:ascii="Times New Roman" w:hAnsi="Times New Roman" w:cs="Times New Roman"/>
          <w:sz w:val="24"/>
          <w:lang w:val="en-US"/>
        </w:rPr>
        <w:t xml:space="preserve"> provide some relevant examples</w:t>
      </w:r>
      <w:r w:rsidR="00F072F8">
        <w:rPr>
          <w:rFonts w:ascii="Times New Roman" w:hAnsi="Times New Roman" w:cs="Times New Roman"/>
          <w:sz w:val="24"/>
          <w:lang w:val="en-US"/>
        </w:rPr>
        <w:t xml:space="preserve"> and make the overview</w:t>
      </w:r>
      <w:r w:rsidR="0054191B">
        <w:rPr>
          <w:rFonts w:ascii="Times New Roman" w:hAnsi="Times New Roman" w:cs="Times New Roman"/>
          <w:sz w:val="24"/>
          <w:lang w:val="en-US"/>
        </w:rPr>
        <w:t xml:space="preserve"> of</w:t>
      </w:r>
      <w:r w:rsidR="00F072F8">
        <w:rPr>
          <w:rFonts w:ascii="Times New Roman" w:hAnsi="Times New Roman" w:cs="Times New Roman"/>
          <w:sz w:val="24"/>
          <w:lang w:val="en-US"/>
        </w:rPr>
        <w:t xml:space="preserve"> prior studies in which those risk measures were employed</w:t>
      </w:r>
      <w:r w:rsidR="00E54880">
        <w:rPr>
          <w:rFonts w:ascii="Times New Roman" w:hAnsi="Times New Roman" w:cs="Times New Roman"/>
          <w:sz w:val="24"/>
          <w:lang w:val="en-US"/>
        </w:rPr>
        <w:t xml:space="preserve">.  </w:t>
      </w:r>
    </w:p>
    <w:p w:rsidR="00D92508" w:rsidRPr="00CA33D8" w:rsidRDefault="00CA33D8" w:rsidP="00CA33D8">
      <w:pPr>
        <w:pStyle w:val="2"/>
        <w:rPr>
          <w:lang w:val="en-US"/>
        </w:rPr>
      </w:pPr>
      <w:bookmarkStart w:id="3" w:name="_Toc451925542"/>
      <w:r>
        <w:rPr>
          <w:lang w:val="en-US"/>
        </w:rPr>
        <w:t>1.1.</w:t>
      </w:r>
      <w:r w:rsidRPr="00CA33D8">
        <w:rPr>
          <w:lang w:val="en-US"/>
        </w:rPr>
        <w:t xml:space="preserve"> </w:t>
      </w:r>
      <w:r w:rsidR="00D92508" w:rsidRPr="00CA33D8">
        <w:rPr>
          <w:lang w:val="en-US"/>
        </w:rPr>
        <w:t xml:space="preserve">Standard Deviation as a </w:t>
      </w:r>
      <w:r w:rsidR="00511ACA" w:rsidRPr="00CA33D8">
        <w:rPr>
          <w:lang w:val="en-US"/>
        </w:rPr>
        <w:t>m</w:t>
      </w:r>
      <w:r w:rsidR="00D92508" w:rsidRPr="00CA33D8">
        <w:rPr>
          <w:lang w:val="en-US"/>
        </w:rPr>
        <w:t>easure of</w:t>
      </w:r>
      <w:r w:rsidR="00A10E8F" w:rsidRPr="00A10E8F">
        <w:rPr>
          <w:lang w:val="en-US"/>
        </w:rPr>
        <w:t xml:space="preserve"> </w:t>
      </w:r>
      <w:r w:rsidR="00A10E8F">
        <w:rPr>
          <w:lang w:val="en-US"/>
        </w:rPr>
        <w:t>aggregated</w:t>
      </w:r>
      <w:r w:rsidR="00D92508" w:rsidRPr="00CA33D8">
        <w:rPr>
          <w:lang w:val="en-US"/>
        </w:rPr>
        <w:t xml:space="preserve"> </w:t>
      </w:r>
      <w:r w:rsidR="00511ACA" w:rsidRPr="00CA33D8">
        <w:rPr>
          <w:lang w:val="en-US"/>
        </w:rPr>
        <w:t>r</w:t>
      </w:r>
      <w:r w:rsidR="00D92508" w:rsidRPr="00CA33D8">
        <w:rPr>
          <w:lang w:val="en-US"/>
        </w:rPr>
        <w:t>isk</w:t>
      </w:r>
      <w:bookmarkEnd w:id="3"/>
    </w:p>
    <w:p w:rsidR="00C946D2" w:rsidRDefault="0034253E" w:rsidP="001A2BC8">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As it was stated previously majority of securities available for investment are risky due to uncertain outcomes and it is important to </w:t>
      </w:r>
      <w:r w:rsidR="001A2BC8">
        <w:rPr>
          <w:rFonts w:ascii="Times New Roman" w:hAnsi="Times New Roman" w:cs="Times New Roman"/>
          <w:sz w:val="24"/>
          <w:lang w:val="en-US"/>
        </w:rPr>
        <w:t>quantify risk accurately for effective investing</w:t>
      </w:r>
      <w:r>
        <w:rPr>
          <w:rFonts w:ascii="Times New Roman" w:hAnsi="Times New Roman" w:cs="Times New Roman"/>
          <w:sz w:val="24"/>
          <w:lang w:val="en-US"/>
        </w:rPr>
        <w:t>.</w:t>
      </w:r>
      <w:r w:rsidR="001A2BC8">
        <w:rPr>
          <w:rFonts w:ascii="Times New Roman" w:hAnsi="Times New Roman" w:cs="Times New Roman"/>
          <w:sz w:val="24"/>
          <w:lang w:val="en-US"/>
        </w:rPr>
        <w:t xml:space="preserve"> One possible way is to measure historical</w:t>
      </w:r>
      <w:r w:rsidR="001A2BC8" w:rsidRPr="00D25EE9">
        <w:rPr>
          <w:rFonts w:ascii="Times New Roman" w:hAnsi="Times New Roman" w:cs="Times New Roman"/>
          <w:sz w:val="24"/>
          <w:lang w:val="en-US"/>
        </w:rPr>
        <w:t xml:space="preserve"> stock market volatility</w:t>
      </w:r>
      <w:r w:rsidR="001A2BC8">
        <w:rPr>
          <w:rFonts w:ascii="Times New Roman" w:hAnsi="Times New Roman" w:cs="Times New Roman"/>
          <w:sz w:val="24"/>
          <w:lang w:val="en-US"/>
        </w:rPr>
        <w:t xml:space="preserve">. </w:t>
      </w:r>
      <w:r w:rsidR="00F23B1B">
        <w:rPr>
          <w:rFonts w:ascii="Times New Roman" w:hAnsi="Times New Roman" w:cs="Times New Roman"/>
          <w:sz w:val="24"/>
          <w:lang w:val="en-US"/>
        </w:rPr>
        <w:t xml:space="preserve">By knowing volatilities we can compare risk and reward between different stocks and other types of securities. </w:t>
      </w:r>
      <w:r w:rsidR="00F23B1B" w:rsidRPr="00D25EE9">
        <w:rPr>
          <w:rFonts w:ascii="Times New Roman" w:hAnsi="Times New Roman" w:cs="Times New Roman"/>
          <w:sz w:val="24"/>
          <w:lang w:val="en-US"/>
        </w:rPr>
        <w:t xml:space="preserve">This comparison </w:t>
      </w:r>
      <w:r w:rsidR="00F23B1B">
        <w:rPr>
          <w:rFonts w:ascii="Times New Roman" w:hAnsi="Times New Roman" w:cs="Times New Roman"/>
          <w:sz w:val="24"/>
          <w:lang w:val="en-US"/>
        </w:rPr>
        <w:t>enables</w:t>
      </w:r>
      <w:r w:rsidR="00F23B1B" w:rsidRPr="00D25EE9">
        <w:rPr>
          <w:rFonts w:ascii="Times New Roman" w:hAnsi="Times New Roman" w:cs="Times New Roman"/>
          <w:sz w:val="24"/>
          <w:lang w:val="en-US"/>
        </w:rPr>
        <w:t xml:space="preserve"> to determine the appropriate strategic asset allocation for an investor, given his objectives and risk tolerance.</w:t>
      </w:r>
    </w:p>
    <w:p w:rsidR="004628C8" w:rsidRDefault="004628C8" w:rsidP="004628C8">
      <w:pPr>
        <w:spacing w:line="360" w:lineRule="auto"/>
        <w:ind w:firstLine="708"/>
        <w:jc w:val="both"/>
        <w:rPr>
          <w:rFonts w:ascii="Times New Roman" w:hAnsi="Times New Roman" w:cs="Times New Roman"/>
          <w:sz w:val="24"/>
          <w:lang w:val="en-US"/>
        </w:rPr>
      </w:pPr>
      <w:r w:rsidRPr="000A6B62">
        <w:rPr>
          <w:rFonts w:ascii="Times New Roman" w:hAnsi="Times New Roman" w:cs="Times New Roman"/>
          <w:sz w:val="24"/>
          <w:lang w:val="en-US"/>
        </w:rPr>
        <w:lastRenderedPageBreak/>
        <w:t xml:space="preserve">Variance (or Standard deviation) </w:t>
      </w:r>
      <w:r>
        <w:rPr>
          <w:rFonts w:ascii="Times New Roman" w:hAnsi="Times New Roman" w:cs="Times New Roman"/>
          <w:sz w:val="24"/>
          <w:lang w:val="en-US"/>
        </w:rPr>
        <w:t>became</w:t>
      </w:r>
      <w:r w:rsidRPr="000A6B62">
        <w:rPr>
          <w:rFonts w:ascii="Times New Roman" w:hAnsi="Times New Roman" w:cs="Times New Roman"/>
          <w:sz w:val="24"/>
          <w:lang w:val="en-US"/>
        </w:rPr>
        <w:t xml:space="preserve"> the most common risk measure that is used by </w:t>
      </w:r>
      <w:r>
        <w:rPr>
          <w:rFonts w:ascii="Times New Roman" w:hAnsi="Times New Roman" w:cs="Times New Roman"/>
          <w:sz w:val="24"/>
          <w:lang w:val="en-US"/>
        </w:rPr>
        <w:t xml:space="preserve">investors. Markowitz introduced this measurement approach in </w:t>
      </w:r>
      <w:r w:rsidRPr="000A6B62">
        <w:rPr>
          <w:rFonts w:ascii="Times New Roman" w:hAnsi="Times New Roman" w:cs="Times New Roman"/>
          <w:sz w:val="24"/>
          <w:lang w:val="en-US"/>
        </w:rPr>
        <w:t>1952</w:t>
      </w:r>
      <w:r>
        <w:rPr>
          <w:rFonts w:ascii="Times New Roman" w:hAnsi="Times New Roman" w:cs="Times New Roman"/>
          <w:sz w:val="24"/>
          <w:lang w:val="en-US"/>
        </w:rPr>
        <w:t xml:space="preserve"> in his research paper Portfolio Selection and </w:t>
      </w:r>
      <w:r w:rsidR="0058506A">
        <w:rPr>
          <w:rFonts w:ascii="Times New Roman" w:hAnsi="Times New Roman" w:cs="Times New Roman"/>
          <w:sz w:val="24"/>
          <w:lang w:val="en-US"/>
        </w:rPr>
        <w:t>this approach is</w:t>
      </w:r>
      <w:r>
        <w:rPr>
          <w:rFonts w:ascii="Times New Roman" w:hAnsi="Times New Roman" w:cs="Times New Roman"/>
          <w:sz w:val="24"/>
          <w:lang w:val="en-US"/>
        </w:rPr>
        <w:t xml:space="preserve"> also known as Mean </w:t>
      </w:r>
      <w:r w:rsidRPr="000A6B62">
        <w:rPr>
          <w:rFonts w:ascii="Times New Roman" w:hAnsi="Times New Roman" w:cs="Times New Roman"/>
          <w:sz w:val="24"/>
          <w:lang w:val="en-US"/>
        </w:rPr>
        <w:t>Variance Analysis</w:t>
      </w:r>
      <w:r>
        <w:rPr>
          <w:rFonts w:ascii="Times New Roman" w:hAnsi="Times New Roman" w:cs="Times New Roman"/>
          <w:sz w:val="24"/>
          <w:lang w:val="en-US"/>
        </w:rPr>
        <w:t xml:space="preserve">. His paper is considered as </w:t>
      </w:r>
      <w:r w:rsidRPr="0012237F">
        <w:rPr>
          <w:rFonts w:ascii="Times New Roman" w:hAnsi="Times New Roman" w:cs="Times New Roman"/>
          <w:sz w:val="24"/>
          <w:lang w:val="en-US"/>
        </w:rPr>
        <w:t xml:space="preserve">the origin of the modern portfolio theory </w:t>
      </w:r>
      <w:r>
        <w:rPr>
          <w:rFonts w:ascii="Times New Roman" w:hAnsi="Times New Roman" w:cs="Times New Roman"/>
          <w:sz w:val="24"/>
          <w:lang w:val="en-US"/>
        </w:rPr>
        <w:t xml:space="preserve">approach to </w:t>
      </w:r>
      <w:r w:rsidRPr="0012237F">
        <w:rPr>
          <w:rFonts w:ascii="Times New Roman" w:hAnsi="Times New Roman" w:cs="Times New Roman"/>
          <w:sz w:val="24"/>
          <w:lang w:val="en-US"/>
        </w:rPr>
        <w:t>investing</w:t>
      </w:r>
      <w:r>
        <w:rPr>
          <w:rFonts w:ascii="Times New Roman" w:hAnsi="Times New Roman" w:cs="Times New Roman"/>
          <w:sz w:val="24"/>
          <w:lang w:val="en-US"/>
        </w:rPr>
        <w:t xml:space="preserve">. </w:t>
      </w:r>
    </w:p>
    <w:p w:rsidR="00D92508" w:rsidRDefault="00D92508" w:rsidP="004628C8">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V</w:t>
      </w:r>
      <w:r w:rsidRPr="00D25EE9">
        <w:rPr>
          <w:rFonts w:ascii="Times New Roman" w:hAnsi="Times New Roman" w:cs="Times New Roman"/>
          <w:sz w:val="24"/>
          <w:lang w:val="en-US"/>
        </w:rPr>
        <w:t>ariance and standard deviation</w:t>
      </w:r>
      <w:r>
        <w:rPr>
          <w:rFonts w:ascii="Times New Roman" w:hAnsi="Times New Roman" w:cs="Times New Roman"/>
          <w:sz w:val="24"/>
          <w:lang w:val="en-US"/>
        </w:rPr>
        <w:t xml:space="preserve"> are</w:t>
      </w:r>
      <w:r w:rsidRPr="00D25EE9">
        <w:rPr>
          <w:rFonts w:ascii="Times New Roman" w:hAnsi="Times New Roman" w:cs="Times New Roman"/>
          <w:sz w:val="24"/>
          <w:lang w:val="en-US"/>
        </w:rPr>
        <w:t xml:space="preserve"> standard statistical measures of spread. </w:t>
      </w:r>
      <w:r>
        <w:rPr>
          <w:rFonts w:ascii="Times New Roman" w:hAnsi="Times New Roman" w:cs="Times New Roman"/>
          <w:sz w:val="24"/>
          <w:lang w:val="en-US"/>
        </w:rPr>
        <w:t xml:space="preserve">The variance </w:t>
      </w:r>
      <w:r w:rsidRPr="00D25EE9">
        <w:rPr>
          <w:rFonts w:ascii="Times New Roman" w:hAnsi="Times New Roman" w:cs="Times New Roman"/>
          <w:sz w:val="24"/>
          <w:lang w:val="en-US"/>
        </w:rPr>
        <w:t xml:space="preserve">of the </w:t>
      </w:r>
      <w:r>
        <w:rPr>
          <w:rFonts w:ascii="Times New Roman" w:hAnsi="Times New Roman" w:cs="Times New Roman"/>
          <w:sz w:val="24"/>
          <w:lang w:val="en-US"/>
        </w:rPr>
        <w:t>asset</w:t>
      </w:r>
      <w:r w:rsidRPr="00D25EE9">
        <w:rPr>
          <w:rFonts w:ascii="Times New Roman" w:hAnsi="Times New Roman" w:cs="Times New Roman"/>
          <w:sz w:val="24"/>
          <w:lang w:val="en-US"/>
        </w:rPr>
        <w:t xml:space="preserve"> return is the expected squared deviati</w:t>
      </w:r>
      <w:r>
        <w:rPr>
          <w:rFonts w:ascii="Times New Roman" w:hAnsi="Times New Roman" w:cs="Times New Roman"/>
          <w:sz w:val="24"/>
          <w:lang w:val="en-US"/>
        </w:rPr>
        <w:t xml:space="preserve">on from the expected return (1.1). In </w:t>
      </w:r>
      <w:r w:rsidRPr="00D25EE9">
        <w:rPr>
          <w:rFonts w:ascii="Times New Roman" w:hAnsi="Times New Roman" w:cs="Times New Roman"/>
          <w:sz w:val="24"/>
          <w:lang w:val="en-US"/>
        </w:rPr>
        <w:t>other words</w:t>
      </w:r>
      <w:r>
        <w:rPr>
          <w:rFonts w:ascii="Times New Roman" w:hAnsi="Times New Roman" w:cs="Times New Roman"/>
          <w:sz w:val="24"/>
          <w:lang w:val="en-US"/>
        </w:rPr>
        <w:t>,</w:t>
      </w:r>
    </w:p>
    <w:p w:rsidR="00D92508" w:rsidRPr="00A93976" w:rsidRDefault="00D92508" w:rsidP="00F23B1B">
      <w:pPr>
        <w:spacing w:line="360" w:lineRule="auto"/>
        <w:ind w:firstLine="708"/>
        <w:jc w:val="both"/>
        <w:rPr>
          <w:rFonts w:ascii="Times New Roman" w:hAnsi="Times New Roman" w:cs="Times New Roman"/>
          <w:sz w:val="24"/>
          <w:lang w:val="en-US"/>
        </w:rPr>
      </w:pPr>
      <m:oMath>
        <m:r>
          <w:rPr>
            <w:rFonts w:ascii="Cambria Math" w:hAnsi="Cambria Math" w:cs="Times New Roman"/>
            <w:sz w:val="24"/>
            <w:lang w:val="en-US"/>
          </w:rPr>
          <m:t>V</m:t>
        </m:r>
        <m:d>
          <m:dPr>
            <m:begChr m:val="["/>
            <m:endChr m:val="]"/>
            <m:ctrlPr>
              <w:rPr>
                <w:rFonts w:ascii="Cambria Math" w:hAnsi="Cambria Math" w:cs="Times New Roman"/>
                <w:i/>
                <w:sz w:val="24"/>
                <w:lang w:val="en-US"/>
              </w:rPr>
            </m:ctrlPr>
          </m:dPr>
          <m:e>
            <m:r>
              <w:rPr>
                <w:rFonts w:ascii="Cambria Math" w:hAnsi="Cambria Math" w:cs="Times New Roman"/>
                <w:sz w:val="24"/>
                <w:lang w:val="en-US"/>
              </w:rPr>
              <m:t>r</m:t>
            </m:r>
          </m:e>
        </m:d>
        <m:r>
          <w:rPr>
            <w:rFonts w:ascii="Cambria Math" w:hAnsi="Cambria Math" w:cs="Times New Roman"/>
            <w:sz w:val="24"/>
            <w:lang w:val="en-US"/>
          </w:rPr>
          <m:t>=E</m:t>
        </m:r>
        <m:d>
          <m:dPr>
            <m:begChr m:val="["/>
            <m:endChr m:val="]"/>
            <m:ctrlPr>
              <w:rPr>
                <w:rFonts w:ascii="Cambria Math" w:hAnsi="Cambria Math" w:cs="Times New Roman"/>
                <w:i/>
                <w:sz w:val="24"/>
                <w:lang w:val="en-US"/>
              </w:rPr>
            </m:ctrlPr>
          </m:dPr>
          <m:e>
            <m:sSup>
              <m:sSupPr>
                <m:ctrlPr>
                  <w:rPr>
                    <w:rFonts w:ascii="Cambria Math" w:hAnsi="Cambria Math" w:cs="Times New Roman"/>
                    <w:i/>
                    <w:sz w:val="24"/>
                    <w:lang w:val="en-US"/>
                  </w:rPr>
                </m:ctrlPr>
              </m:sSupPr>
              <m:e>
                <m:d>
                  <m:dPr>
                    <m:ctrlPr>
                      <w:rPr>
                        <w:rFonts w:ascii="Cambria Math" w:hAnsi="Cambria Math" w:cs="Times New Roman"/>
                        <w:i/>
                        <w:sz w:val="24"/>
                        <w:lang w:val="en-US"/>
                      </w:rPr>
                    </m:ctrlPr>
                  </m:dPr>
                  <m:e>
                    <m:r>
                      <w:rPr>
                        <w:rFonts w:ascii="Cambria Math" w:hAnsi="Cambria Math" w:cs="Times New Roman"/>
                        <w:sz w:val="24"/>
                        <w:lang w:val="en-US"/>
                      </w:rPr>
                      <m:t>r-E</m:t>
                    </m:r>
                    <m:d>
                      <m:dPr>
                        <m:begChr m:val="["/>
                        <m:endChr m:val="]"/>
                        <m:ctrlPr>
                          <w:rPr>
                            <w:rFonts w:ascii="Cambria Math" w:hAnsi="Cambria Math" w:cs="Times New Roman"/>
                            <w:i/>
                            <w:sz w:val="24"/>
                            <w:lang w:val="en-US"/>
                          </w:rPr>
                        </m:ctrlPr>
                      </m:dPr>
                      <m:e>
                        <m:r>
                          <w:rPr>
                            <w:rFonts w:ascii="Cambria Math" w:hAnsi="Cambria Math" w:cs="Times New Roman"/>
                            <w:sz w:val="24"/>
                            <w:lang w:val="en-US"/>
                          </w:rPr>
                          <m:t>r</m:t>
                        </m:r>
                      </m:e>
                    </m:d>
                  </m:e>
                </m:d>
              </m:e>
              <m:sup>
                <m:r>
                  <w:rPr>
                    <w:rFonts w:ascii="Cambria Math" w:hAnsi="Cambria Math" w:cs="Times New Roman"/>
                    <w:sz w:val="24"/>
                    <w:lang w:val="en-US"/>
                  </w:rPr>
                  <m:t>2</m:t>
                </m:r>
              </m:sup>
            </m:sSup>
          </m:e>
        </m:d>
      </m:oMath>
      <w:r>
        <w:rPr>
          <w:rFonts w:ascii="Times New Roman" w:eastAsiaTheme="minorEastAsia" w:hAnsi="Times New Roman" w:cs="Times New Roman"/>
          <w:sz w:val="24"/>
          <w:lang w:val="en-US"/>
        </w:rPr>
        <w:t xml:space="preserve">                                                                             </w:t>
      </w:r>
      <w:r w:rsidR="00F23B1B">
        <w:rPr>
          <w:rFonts w:ascii="Times New Roman" w:eastAsiaTheme="minorEastAsia" w:hAnsi="Times New Roman" w:cs="Times New Roman"/>
          <w:sz w:val="24"/>
          <w:lang w:val="en-US"/>
        </w:rPr>
        <w:t xml:space="preserve">              </w:t>
      </w:r>
      <w:r>
        <w:rPr>
          <w:rFonts w:ascii="Times New Roman" w:eastAsiaTheme="minorEastAsia" w:hAnsi="Times New Roman" w:cs="Times New Roman"/>
          <w:sz w:val="24"/>
          <w:lang w:val="en-US"/>
        </w:rPr>
        <w:t xml:space="preserve">          (1.1)</w:t>
      </w:r>
    </w:p>
    <w:p w:rsidR="00D92508" w:rsidRDefault="00D92508" w:rsidP="00D92508">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where </w:t>
      </w:r>
      <m:oMath>
        <m:r>
          <w:rPr>
            <w:rFonts w:ascii="Cambria Math" w:hAnsi="Cambria Math" w:cs="Times New Roman"/>
            <w:sz w:val="24"/>
            <w:lang w:val="en-US"/>
          </w:rPr>
          <m:t>r</m:t>
        </m:r>
      </m:oMath>
      <w:r w:rsidRPr="003B3B31">
        <w:rPr>
          <w:rFonts w:ascii="Times New Roman" w:hAnsi="Times New Roman" w:cs="Times New Roman"/>
          <w:sz w:val="24"/>
          <w:lang w:val="en-US"/>
        </w:rPr>
        <w:t xml:space="preserve"> is the actual return and</w:t>
      </w:r>
      <w:r>
        <w:rPr>
          <w:rFonts w:ascii="Times New Roman" w:hAnsi="Times New Roman" w:cs="Times New Roman"/>
          <w:sz w:val="24"/>
          <w:lang w:val="en-US"/>
        </w:rPr>
        <w:t xml:space="preserve"> </w:t>
      </w:r>
      <m:oMath>
        <m:r>
          <w:rPr>
            <w:rFonts w:ascii="Cambria Math" w:hAnsi="Cambria Math" w:cs="Times New Roman"/>
            <w:sz w:val="24"/>
            <w:lang w:val="en-US"/>
          </w:rPr>
          <m:t>E</m:t>
        </m:r>
        <m:d>
          <m:dPr>
            <m:begChr m:val="["/>
            <m:endChr m:val="]"/>
            <m:ctrlPr>
              <w:rPr>
                <w:rFonts w:ascii="Cambria Math" w:hAnsi="Cambria Math" w:cs="Times New Roman"/>
                <w:i/>
                <w:sz w:val="24"/>
                <w:lang w:val="en-US"/>
              </w:rPr>
            </m:ctrlPr>
          </m:dPr>
          <m:e>
            <m:r>
              <w:rPr>
                <w:rFonts w:ascii="Cambria Math" w:hAnsi="Cambria Math" w:cs="Times New Roman"/>
                <w:sz w:val="24"/>
                <w:lang w:val="en-US"/>
              </w:rPr>
              <m:t>r</m:t>
            </m:r>
          </m:e>
        </m:d>
      </m:oMath>
      <w:r w:rsidRPr="003B3B31">
        <w:rPr>
          <w:rFonts w:ascii="Times New Roman" w:hAnsi="Times New Roman" w:cs="Times New Roman"/>
          <w:sz w:val="24"/>
          <w:lang w:val="en-US"/>
        </w:rPr>
        <w:t xml:space="preserve"> is the expected return. </w:t>
      </w:r>
      <w:r w:rsidR="00F23B1B">
        <w:rPr>
          <w:rFonts w:ascii="Times New Roman" w:hAnsi="Times New Roman" w:cs="Times New Roman"/>
          <w:sz w:val="24"/>
          <w:lang w:val="en-US"/>
        </w:rPr>
        <w:t>We can get t</w:t>
      </w:r>
      <w:r>
        <w:rPr>
          <w:rFonts w:ascii="Times New Roman" w:hAnsi="Times New Roman" w:cs="Times New Roman"/>
          <w:sz w:val="24"/>
          <w:lang w:val="en-US"/>
        </w:rPr>
        <w:t xml:space="preserve">he standard deviation </w:t>
      </w:r>
      <w:r w:rsidR="00F23B1B">
        <w:rPr>
          <w:rFonts w:ascii="Times New Roman" w:hAnsi="Times New Roman" w:cs="Times New Roman"/>
          <w:sz w:val="24"/>
          <w:lang w:val="en-US"/>
        </w:rPr>
        <w:t>by taking</w:t>
      </w:r>
      <w:r>
        <w:rPr>
          <w:rFonts w:ascii="Times New Roman" w:hAnsi="Times New Roman" w:cs="Times New Roman"/>
          <w:sz w:val="24"/>
          <w:lang w:val="en-US"/>
        </w:rPr>
        <w:t xml:space="preserve"> </w:t>
      </w:r>
      <w:r w:rsidRPr="003B3B31">
        <w:rPr>
          <w:rFonts w:ascii="Times New Roman" w:hAnsi="Times New Roman" w:cs="Times New Roman"/>
          <w:sz w:val="24"/>
          <w:lang w:val="en-US"/>
        </w:rPr>
        <w:t>the square root of the variance</w:t>
      </w:r>
      <w:r>
        <w:rPr>
          <w:rFonts w:ascii="Times New Roman" w:hAnsi="Times New Roman" w:cs="Times New Roman"/>
          <w:sz w:val="24"/>
          <w:lang w:val="en-US"/>
        </w:rPr>
        <w:t xml:space="preserve"> (</w:t>
      </w:r>
      <w:r w:rsidR="004628C8">
        <w:rPr>
          <w:rFonts w:ascii="Times New Roman" w:hAnsi="Times New Roman" w:cs="Times New Roman"/>
          <w:sz w:val="24"/>
          <w:lang w:val="en-US"/>
        </w:rPr>
        <w:t xml:space="preserve">equation </w:t>
      </w:r>
      <w:r>
        <w:rPr>
          <w:rFonts w:ascii="Times New Roman" w:hAnsi="Times New Roman" w:cs="Times New Roman"/>
          <w:sz w:val="24"/>
          <w:lang w:val="en-US"/>
        </w:rPr>
        <w:t>1.2)</w:t>
      </w:r>
      <w:r w:rsidRPr="003B3B31">
        <w:rPr>
          <w:rFonts w:ascii="Times New Roman" w:hAnsi="Times New Roman" w:cs="Times New Roman"/>
          <w:sz w:val="24"/>
          <w:lang w:val="en-US"/>
        </w:rPr>
        <w:t>:</w:t>
      </w:r>
    </w:p>
    <w:p w:rsidR="00D92508" w:rsidRPr="003B3B31" w:rsidRDefault="00D92508" w:rsidP="00D92508">
      <w:pPr>
        <w:spacing w:line="360" w:lineRule="auto"/>
        <w:ind w:firstLine="708"/>
        <w:jc w:val="both"/>
        <w:rPr>
          <w:rFonts w:ascii="Times New Roman" w:hAnsi="Times New Roman" w:cs="Times New Roman"/>
          <w:sz w:val="24"/>
          <w:lang w:val="en-US"/>
        </w:rPr>
      </w:pPr>
      <m:oMath>
        <m:r>
          <w:rPr>
            <w:rFonts w:ascii="Cambria Math" w:hAnsi="Cambria Math" w:cs="Times New Roman"/>
            <w:sz w:val="24"/>
            <w:lang w:val="en-US"/>
          </w:rPr>
          <m:t>σ=</m:t>
        </m:r>
        <m:rad>
          <m:radPr>
            <m:degHide m:val="1"/>
            <m:ctrlPr>
              <w:rPr>
                <w:rFonts w:ascii="Cambria Math" w:hAnsi="Cambria Math" w:cs="Times New Roman"/>
                <w:i/>
                <w:sz w:val="24"/>
                <w:lang w:val="en-US"/>
              </w:rPr>
            </m:ctrlPr>
          </m:radPr>
          <m:deg/>
          <m:e>
            <m:r>
              <w:rPr>
                <w:rFonts w:ascii="Cambria Math" w:hAnsi="Cambria Math" w:cs="Times New Roman"/>
                <w:sz w:val="24"/>
                <w:lang w:val="en-US"/>
              </w:rPr>
              <m:t>E</m:t>
            </m:r>
            <m:d>
              <m:dPr>
                <m:begChr m:val="["/>
                <m:endChr m:val="]"/>
                <m:ctrlPr>
                  <w:rPr>
                    <w:rFonts w:ascii="Cambria Math" w:hAnsi="Cambria Math" w:cs="Times New Roman"/>
                    <w:i/>
                    <w:sz w:val="24"/>
                    <w:lang w:val="en-US"/>
                  </w:rPr>
                </m:ctrlPr>
              </m:dPr>
              <m:e>
                <m:sSup>
                  <m:sSupPr>
                    <m:ctrlPr>
                      <w:rPr>
                        <w:rFonts w:ascii="Cambria Math" w:hAnsi="Cambria Math" w:cs="Times New Roman"/>
                        <w:i/>
                        <w:sz w:val="24"/>
                        <w:lang w:val="en-US"/>
                      </w:rPr>
                    </m:ctrlPr>
                  </m:sSupPr>
                  <m:e>
                    <m:d>
                      <m:dPr>
                        <m:ctrlPr>
                          <w:rPr>
                            <w:rFonts w:ascii="Cambria Math" w:hAnsi="Cambria Math" w:cs="Times New Roman"/>
                            <w:i/>
                            <w:sz w:val="24"/>
                            <w:lang w:val="en-US"/>
                          </w:rPr>
                        </m:ctrlPr>
                      </m:dPr>
                      <m:e>
                        <m:r>
                          <w:rPr>
                            <w:rFonts w:ascii="Cambria Math" w:hAnsi="Cambria Math" w:cs="Times New Roman"/>
                            <w:sz w:val="24"/>
                            <w:lang w:val="en-US"/>
                          </w:rPr>
                          <m:t>r-E</m:t>
                        </m:r>
                        <m:d>
                          <m:dPr>
                            <m:begChr m:val="["/>
                            <m:endChr m:val="]"/>
                            <m:ctrlPr>
                              <w:rPr>
                                <w:rFonts w:ascii="Cambria Math" w:hAnsi="Cambria Math" w:cs="Times New Roman"/>
                                <w:i/>
                                <w:sz w:val="24"/>
                                <w:lang w:val="en-US"/>
                              </w:rPr>
                            </m:ctrlPr>
                          </m:dPr>
                          <m:e>
                            <m:r>
                              <w:rPr>
                                <w:rFonts w:ascii="Cambria Math" w:hAnsi="Cambria Math" w:cs="Times New Roman"/>
                                <w:sz w:val="24"/>
                                <w:lang w:val="en-US"/>
                              </w:rPr>
                              <m:t>r</m:t>
                            </m:r>
                          </m:e>
                        </m:d>
                      </m:e>
                    </m:d>
                  </m:e>
                  <m:sup>
                    <m:r>
                      <w:rPr>
                        <w:rFonts w:ascii="Cambria Math" w:hAnsi="Cambria Math" w:cs="Times New Roman"/>
                        <w:sz w:val="24"/>
                        <w:lang w:val="en-US"/>
                      </w:rPr>
                      <m:t>2</m:t>
                    </m:r>
                  </m:sup>
                </m:sSup>
              </m:e>
            </m:d>
          </m:e>
        </m:rad>
      </m:oMath>
      <w:r>
        <w:rPr>
          <w:rFonts w:ascii="Times New Roman" w:eastAsiaTheme="minorEastAsia" w:hAnsi="Times New Roman" w:cs="Times New Roman"/>
          <w:sz w:val="24"/>
          <w:lang w:val="en-US"/>
        </w:rPr>
        <w:t xml:space="preserve">                                                                                                     (1.2)</w:t>
      </w:r>
    </w:p>
    <w:p w:rsidR="00D92508" w:rsidRPr="0012237F" w:rsidRDefault="00D92508" w:rsidP="00D92508">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basic problem facing each investor is to determine which particular risky securities to own. Because a portfolio is a collection of securities, </w:t>
      </w:r>
      <w:r w:rsidRPr="00906457">
        <w:rPr>
          <w:rFonts w:ascii="Times New Roman" w:hAnsi="Times New Roman" w:cs="Times New Roman"/>
          <w:sz w:val="24"/>
          <w:lang w:val="en-US"/>
        </w:rPr>
        <w:t>this problem is</w:t>
      </w:r>
      <w:r>
        <w:rPr>
          <w:rFonts w:ascii="Times New Roman" w:hAnsi="Times New Roman" w:cs="Times New Roman"/>
          <w:sz w:val="24"/>
          <w:lang w:val="en-US"/>
        </w:rPr>
        <w:t xml:space="preserve"> </w:t>
      </w:r>
      <w:r w:rsidRPr="00906457">
        <w:rPr>
          <w:rFonts w:ascii="Times New Roman" w:hAnsi="Times New Roman" w:cs="Times New Roman"/>
          <w:sz w:val="24"/>
          <w:lang w:val="en-US"/>
        </w:rPr>
        <w:t>equivalent to the investor selecting the optimal portfolio from a set of possible portfolios.</w:t>
      </w:r>
      <w:r>
        <w:rPr>
          <w:rFonts w:ascii="Times New Roman" w:hAnsi="Times New Roman" w:cs="Times New Roman"/>
          <w:sz w:val="24"/>
          <w:lang w:val="en-US"/>
        </w:rPr>
        <w:t xml:space="preserve">  </w:t>
      </w:r>
      <w:r w:rsidR="00F23B1B">
        <w:rPr>
          <w:rFonts w:ascii="Times New Roman" w:hAnsi="Times New Roman" w:cs="Times New Roman"/>
          <w:sz w:val="24"/>
          <w:lang w:val="en-US"/>
        </w:rPr>
        <w:t>Hence,</w:t>
      </w:r>
      <w:r w:rsidRPr="00906457">
        <w:rPr>
          <w:rFonts w:ascii="Times New Roman" w:hAnsi="Times New Roman" w:cs="Times New Roman"/>
          <w:sz w:val="24"/>
          <w:lang w:val="en-US"/>
        </w:rPr>
        <w:t xml:space="preserve"> it is often </w:t>
      </w:r>
      <w:r>
        <w:rPr>
          <w:rFonts w:ascii="Times New Roman" w:hAnsi="Times New Roman" w:cs="Times New Roman"/>
          <w:sz w:val="24"/>
          <w:lang w:val="en-US"/>
        </w:rPr>
        <w:t>called</w:t>
      </w:r>
      <w:r w:rsidRPr="00906457">
        <w:rPr>
          <w:rFonts w:ascii="Times New Roman" w:hAnsi="Times New Roman" w:cs="Times New Roman"/>
          <w:sz w:val="24"/>
          <w:lang w:val="en-US"/>
        </w:rPr>
        <w:t xml:space="preserve"> as the portfolio selection problem.</w:t>
      </w:r>
      <w:r w:rsidRPr="0012237F">
        <w:rPr>
          <w:rFonts w:ascii="Times New Roman" w:hAnsi="Times New Roman" w:cs="Times New Roman"/>
          <w:sz w:val="24"/>
          <w:lang w:val="en-US"/>
        </w:rPr>
        <w:t xml:space="preserve"> </w:t>
      </w:r>
      <w:r>
        <w:rPr>
          <w:rFonts w:ascii="Times New Roman" w:hAnsi="Times New Roman" w:cs="Times New Roman"/>
          <w:sz w:val="24"/>
          <w:lang w:val="en-US"/>
        </w:rPr>
        <w:t xml:space="preserve">One solution to this </w:t>
      </w:r>
      <w:r w:rsidRPr="0012237F">
        <w:rPr>
          <w:rFonts w:ascii="Times New Roman" w:hAnsi="Times New Roman" w:cs="Times New Roman"/>
          <w:sz w:val="24"/>
          <w:lang w:val="en-US"/>
        </w:rPr>
        <w:t xml:space="preserve">problem was </w:t>
      </w:r>
      <w:r>
        <w:rPr>
          <w:rFonts w:ascii="Times New Roman" w:hAnsi="Times New Roman" w:cs="Times New Roman"/>
          <w:sz w:val="24"/>
          <w:lang w:val="en-US"/>
        </w:rPr>
        <w:t>suggested</w:t>
      </w:r>
      <w:r w:rsidRPr="0012237F">
        <w:rPr>
          <w:rFonts w:ascii="Times New Roman" w:hAnsi="Times New Roman" w:cs="Times New Roman"/>
          <w:sz w:val="24"/>
          <w:lang w:val="en-US"/>
        </w:rPr>
        <w:t xml:space="preserve"> by Harry Markowitz</w:t>
      </w:r>
      <w:r w:rsidR="008E5586">
        <w:rPr>
          <w:rFonts w:ascii="Times New Roman" w:hAnsi="Times New Roman" w:cs="Times New Roman"/>
          <w:sz w:val="24"/>
          <w:lang w:val="en-US"/>
        </w:rPr>
        <w:t xml:space="preserve"> in his paper that was mentioned previously</w:t>
      </w:r>
      <w:r>
        <w:rPr>
          <w:rFonts w:ascii="Times New Roman" w:hAnsi="Times New Roman" w:cs="Times New Roman"/>
          <w:sz w:val="24"/>
          <w:lang w:val="en-US"/>
        </w:rPr>
        <w:t xml:space="preserve">. </w:t>
      </w:r>
    </w:p>
    <w:p w:rsidR="00D6571D" w:rsidRPr="00164573" w:rsidRDefault="00D92508" w:rsidP="00D6571D">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For the </w:t>
      </w:r>
      <w:r w:rsidRPr="00C80A2E">
        <w:rPr>
          <w:rFonts w:ascii="Times New Roman" w:hAnsi="Times New Roman" w:cs="Times New Roman"/>
          <w:sz w:val="24"/>
          <w:lang w:val="en-US"/>
        </w:rPr>
        <w:t xml:space="preserve">Markowitz's approach </w:t>
      </w:r>
      <w:r w:rsidR="0091664C">
        <w:rPr>
          <w:rFonts w:ascii="Times New Roman" w:hAnsi="Times New Roman" w:cs="Times New Roman"/>
          <w:sz w:val="24"/>
          <w:lang w:val="en-US"/>
        </w:rPr>
        <w:t>some assumptions are made.</w:t>
      </w:r>
      <w:r w:rsidRPr="00C80A2E">
        <w:rPr>
          <w:rFonts w:ascii="Times New Roman" w:hAnsi="Times New Roman" w:cs="Times New Roman"/>
          <w:sz w:val="24"/>
          <w:lang w:val="en-US"/>
        </w:rPr>
        <w:t xml:space="preserve"> </w:t>
      </w:r>
      <w:r w:rsidR="0091664C">
        <w:rPr>
          <w:rFonts w:ascii="Times New Roman" w:hAnsi="Times New Roman" w:cs="Times New Roman"/>
          <w:sz w:val="24"/>
          <w:lang w:val="en-US"/>
        </w:rPr>
        <w:t>A</w:t>
      </w:r>
      <w:r>
        <w:rPr>
          <w:rFonts w:ascii="Times New Roman" w:hAnsi="Times New Roman" w:cs="Times New Roman"/>
          <w:sz w:val="24"/>
          <w:lang w:val="en-US"/>
        </w:rPr>
        <w:t xml:space="preserve">n investor has a </w:t>
      </w:r>
      <w:r w:rsidR="0091664C">
        <w:rPr>
          <w:rFonts w:ascii="Times New Roman" w:hAnsi="Times New Roman" w:cs="Times New Roman"/>
          <w:sz w:val="24"/>
          <w:lang w:val="en-US"/>
        </w:rPr>
        <w:t>particular</w:t>
      </w:r>
      <w:r>
        <w:rPr>
          <w:rFonts w:ascii="Times New Roman" w:hAnsi="Times New Roman" w:cs="Times New Roman"/>
          <w:sz w:val="24"/>
          <w:lang w:val="en-US"/>
        </w:rPr>
        <w:t xml:space="preserve"> sum of </w:t>
      </w:r>
      <w:r w:rsidRPr="00C80A2E">
        <w:rPr>
          <w:rFonts w:ascii="Times New Roman" w:hAnsi="Times New Roman" w:cs="Times New Roman"/>
          <w:sz w:val="24"/>
          <w:lang w:val="en-US"/>
        </w:rPr>
        <w:t xml:space="preserve">money to invest at the present time. This </w:t>
      </w:r>
      <w:r w:rsidR="00C978F7">
        <w:rPr>
          <w:rFonts w:ascii="Times New Roman" w:hAnsi="Times New Roman" w:cs="Times New Roman"/>
          <w:sz w:val="24"/>
          <w:lang w:val="en-US"/>
        </w:rPr>
        <w:t>capital</w:t>
      </w:r>
      <w:r w:rsidRPr="00C80A2E">
        <w:rPr>
          <w:rFonts w:ascii="Times New Roman" w:hAnsi="Times New Roman" w:cs="Times New Roman"/>
          <w:sz w:val="24"/>
          <w:lang w:val="en-US"/>
        </w:rPr>
        <w:t xml:space="preserve"> wi</w:t>
      </w:r>
      <w:r>
        <w:rPr>
          <w:rFonts w:ascii="Times New Roman" w:hAnsi="Times New Roman" w:cs="Times New Roman"/>
          <w:sz w:val="24"/>
          <w:lang w:val="en-US"/>
        </w:rPr>
        <w:t xml:space="preserve">ll be invested for a particular </w:t>
      </w:r>
      <w:r w:rsidR="00C978F7">
        <w:rPr>
          <w:rFonts w:ascii="Times New Roman" w:hAnsi="Times New Roman" w:cs="Times New Roman"/>
          <w:sz w:val="24"/>
          <w:lang w:val="en-US"/>
        </w:rPr>
        <w:t>period</w:t>
      </w:r>
      <w:r w:rsidRPr="00C80A2E">
        <w:rPr>
          <w:rFonts w:ascii="Times New Roman" w:hAnsi="Times New Roman" w:cs="Times New Roman"/>
          <w:sz w:val="24"/>
          <w:lang w:val="en-US"/>
        </w:rPr>
        <w:t xml:space="preserve"> of time</w:t>
      </w:r>
      <w:r w:rsidR="00C978F7">
        <w:rPr>
          <w:rFonts w:ascii="Times New Roman" w:hAnsi="Times New Roman" w:cs="Times New Roman"/>
          <w:sz w:val="24"/>
          <w:lang w:val="en-US"/>
        </w:rPr>
        <w:t>, also</w:t>
      </w:r>
      <w:r w:rsidRPr="00C80A2E">
        <w:rPr>
          <w:rFonts w:ascii="Times New Roman" w:hAnsi="Times New Roman" w:cs="Times New Roman"/>
          <w:sz w:val="24"/>
          <w:lang w:val="en-US"/>
        </w:rPr>
        <w:t xml:space="preserve"> known as the investor's holding period. </w:t>
      </w:r>
      <w:r w:rsidR="00D6571D" w:rsidRPr="00C80A2E">
        <w:rPr>
          <w:rFonts w:ascii="Times New Roman" w:hAnsi="Times New Roman" w:cs="Times New Roman"/>
          <w:sz w:val="24"/>
          <w:lang w:val="en-US"/>
        </w:rPr>
        <w:t>At</w:t>
      </w:r>
      <w:r w:rsidR="00D6571D">
        <w:rPr>
          <w:rFonts w:ascii="Times New Roman" w:hAnsi="Times New Roman" w:cs="Times New Roman"/>
          <w:sz w:val="24"/>
          <w:lang w:val="en-US"/>
        </w:rPr>
        <w:t xml:space="preserve"> the end of the holding period, the investor has two possible options.  First, he can sell </w:t>
      </w:r>
      <w:r w:rsidR="00D6571D" w:rsidRPr="00C80A2E">
        <w:rPr>
          <w:rFonts w:ascii="Times New Roman" w:hAnsi="Times New Roman" w:cs="Times New Roman"/>
          <w:sz w:val="24"/>
          <w:lang w:val="en-US"/>
        </w:rPr>
        <w:t xml:space="preserve">the securities that were </w:t>
      </w:r>
      <w:r w:rsidR="00D6571D">
        <w:rPr>
          <w:rFonts w:ascii="Times New Roman" w:hAnsi="Times New Roman" w:cs="Times New Roman"/>
          <w:sz w:val="24"/>
          <w:lang w:val="en-US"/>
        </w:rPr>
        <w:t xml:space="preserve">bought at the beginning of the </w:t>
      </w:r>
      <w:r w:rsidR="00D6571D" w:rsidRPr="00C80A2E">
        <w:rPr>
          <w:rFonts w:ascii="Times New Roman" w:hAnsi="Times New Roman" w:cs="Times New Roman"/>
          <w:sz w:val="24"/>
          <w:lang w:val="en-US"/>
        </w:rPr>
        <w:t xml:space="preserve">period and then </w:t>
      </w:r>
      <w:r w:rsidR="00D6571D">
        <w:rPr>
          <w:rFonts w:ascii="Times New Roman" w:hAnsi="Times New Roman" w:cs="Times New Roman"/>
          <w:sz w:val="24"/>
          <w:lang w:val="en-US"/>
        </w:rPr>
        <w:t>spend money</w:t>
      </w:r>
      <w:r w:rsidR="00D6571D" w:rsidRPr="00C80A2E">
        <w:rPr>
          <w:rFonts w:ascii="Times New Roman" w:hAnsi="Times New Roman" w:cs="Times New Roman"/>
          <w:sz w:val="24"/>
          <w:lang w:val="en-US"/>
        </w:rPr>
        <w:t xml:space="preserve"> on consu</w:t>
      </w:r>
      <w:r w:rsidR="00D6571D">
        <w:rPr>
          <w:rFonts w:ascii="Times New Roman" w:hAnsi="Times New Roman" w:cs="Times New Roman"/>
          <w:sz w:val="24"/>
          <w:lang w:val="en-US"/>
        </w:rPr>
        <w:t xml:space="preserve">mption. Second, he can reinvest the capital by purchasing new securities. This approach can be </w:t>
      </w:r>
      <w:r w:rsidR="00665741">
        <w:rPr>
          <w:rFonts w:ascii="Times New Roman" w:hAnsi="Times New Roman" w:cs="Times New Roman"/>
          <w:sz w:val="24"/>
          <w:lang w:val="en-US"/>
        </w:rPr>
        <w:t>viewed as</w:t>
      </w:r>
      <w:r w:rsidR="00D6571D" w:rsidRPr="00C80A2E">
        <w:rPr>
          <w:rFonts w:ascii="Times New Roman" w:hAnsi="Times New Roman" w:cs="Times New Roman"/>
          <w:sz w:val="24"/>
          <w:lang w:val="en-US"/>
        </w:rPr>
        <w:t xml:space="preserve"> a single-period approach</w:t>
      </w:r>
      <w:r w:rsidR="00D6571D">
        <w:rPr>
          <w:rFonts w:ascii="Times New Roman" w:hAnsi="Times New Roman" w:cs="Times New Roman"/>
          <w:sz w:val="24"/>
          <w:lang w:val="en-US"/>
        </w:rPr>
        <w:t>. Investor mus</w:t>
      </w:r>
      <w:r w:rsidR="00665741">
        <w:rPr>
          <w:rFonts w:ascii="Times New Roman" w:hAnsi="Times New Roman" w:cs="Times New Roman"/>
          <w:sz w:val="24"/>
          <w:lang w:val="en-US"/>
        </w:rPr>
        <w:t>t</w:t>
      </w:r>
      <w:r w:rsidR="00D6571D">
        <w:rPr>
          <w:rFonts w:ascii="Times New Roman" w:hAnsi="Times New Roman" w:cs="Times New Roman"/>
          <w:sz w:val="24"/>
          <w:lang w:val="en-US"/>
        </w:rPr>
        <w:t xml:space="preserve"> decide which</w:t>
      </w:r>
      <w:r w:rsidR="00D6571D" w:rsidRPr="00C80A2E">
        <w:rPr>
          <w:rFonts w:ascii="Times New Roman" w:hAnsi="Times New Roman" w:cs="Times New Roman"/>
          <w:sz w:val="24"/>
          <w:lang w:val="en-US"/>
        </w:rPr>
        <w:t xml:space="preserve"> particular securities to </w:t>
      </w:r>
      <w:r w:rsidR="00D6571D">
        <w:rPr>
          <w:rFonts w:ascii="Times New Roman" w:hAnsi="Times New Roman" w:cs="Times New Roman"/>
          <w:sz w:val="24"/>
          <w:lang w:val="en-US"/>
        </w:rPr>
        <w:t xml:space="preserve">buy at the beginning of the period denoted </w:t>
      </w:r>
      <w:r w:rsidR="00D6571D" w:rsidRPr="00C80A2E">
        <w:rPr>
          <w:rFonts w:ascii="Times New Roman" w:hAnsi="Times New Roman" w:cs="Times New Roman"/>
          <w:sz w:val="24"/>
          <w:lang w:val="en-US"/>
        </w:rPr>
        <w:t xml:space="preserve">t = </w:t>
      </w:r>
      <w:r w:rsidR="00D6571D">
        <w:rPr>
          <w:rFonts w:ascii="Times New Roman" w:hAnsi="Times New Roman" w:cs="Times New Roman"/>
          <w:sz w:val="24"/>
          <w:lang w:val="en-US"/>
        </w:rPr>
        <w:t xml:space="preserve">0 and hold them until the end of the period denoted </w:t>
      </w:r>
      <w:r w:rsidR="00D6571D" w:rsidRPr="00C80A2E">
        <w:rPr>
          <w:rFonts w:ascii="Times New Roman" w:hAnsi="Times New Roman" w:cs="Times New Roman"/>
          <w:sz w:val="24"/>
          <w:lang w:val="en-US"/>
        </w:rPr>
        <w:t xml:space="preserve">t = </w:t>
      </w:r>
      <w:r w:rsidR="00665741">
        <w:rPr>
          <w:rFonts w:ascii="Times New Roman" w:hAnsi="Times New Roman" w:cs="Times New Roman"/>
          <w:sz w:val="24"/>
          <w:lang w:val="en-US"/>
        </w:rPr>
        <w:t>1</w:t>
      </w:r>
      <w:r w:rsidR="00D6571D">
        <w:rPr>
          <w:rFonts w:ascii="Times New Roman" w:hAnsi="Times New Roman" w:cs="Times New Roman"/>
          <w:sz w:val="24"/>
          <w:lang w:val="en-US"/>
        </w:rPr>
        <w:t>.</w:t>
      </w:r>
    </w:p>
    <w:p w:rsidR="00D92508" w:rsidRDefault="00D92508" w:rsidP="00D92508">
      <w:pPr>
        <w:spacing w:line="360" w:lineRule="auto"/>
        <w:ind w:firstLine="708"/>
        <w:jc w:val="both"/>
        <w:rPr>
          <w:rFonts w:ascii="Times New Roman" w:hAnsi="Times New Roman" w:cs="Times New Roman"/>
          <w:sz w:val="24"/>
          <w:lang w:val="en-US"/>
        </w:rPr>
      </w:pPr>
      <w:r w:rsidRPr="00C80A2E">
        <w:rPr>
          <w:rFonts w:ascii="Times New Roman" w:hAnsi="Times New Roman" w:cs="Times New Roman"/>
          <w:sz w:val="24"/>
          <w:lang w:val="en-US"/>
        </w:rPr>
        <w:t xml:space="preserve">In making this decision at t = 0, the investor should </w:t>
      </w:r>
      <w:r>
        <w:rPr>
          <w:rFonts w:ascii="Times New Roman" w:hAnsi="Times New Roman" w:cs="Times New Roman"/>
          <w:sz w:val="24"/>
          <w:lang w:val="en-US"/>
        </w:rPr>
        <w:t xml:space="preserve">recognize that security returns </w:t>
      </w:r>
      <w:r w:rsidRPr="00C80A2E">
        <w:rPr>
          <w:rFonts w:ascii="Times New Roman" w:hAnsi="Times New Roman" w:cs="Times New Roman"/>
          <w:sz w:val="24"/>
          <w:lang w:val="en-US"/>
        </w:rPr>
        <w:t>(and thus portfolio returns) over the forthcom</w:t>
      </w:r>
      <w:r>
        <w:rPr>
          <w:rFonts w:ascii="Times New Roman" w:hAnsi="Times New Roman" w:cs="Times New Roman"/>
          <w:sz w:val="24"/>
          <w:lang w:val="en-US"/>
        </w:rPr>
        <w:t xml:space="preserve">ing holding period are unknown. </w:t>
      </w:r>
      <w:r w:rsidRPr="00C80A2E">
        <w:rPr>
          <w:rFonts w:ascii="Times New Roman" w:hAnsi="Times New Roman" w:cs="Times New Roman"/>
          <w:sz w:val="24"/>
          <w:lang w:val="en-US"/>
        </w:rPr>
        <w:t xml:space="preserve">Nevertheless, the investor could estimate the </w:t>
      </w:r>
      <w:r w:rsidRPr="00C80A2E">
        <w:rPr>
          <w:rFonts w:ascii="Times New Roman" w:hAnsi="Times New Roman" w:cs="Times New Roman"/>
          <w:b/>
          <w:sz w:val="24"/>
          <w:lang w:val="en-US"/>
        </w:rPr>
        <w:t>expected</w:t>
      </w:r>
      <w:r>
        <w:rPr>
          <w:rFonts w:ascii="Times New Roman" w:hAnsi="Times New Roman" w:cs="Times New Roman"/>
          <w:sz w:val="24"/>
          <w:lang w:val="en-US"/>
        </w:rPr>
        <w:t xml:space="preserve"> (or mean) </w:t>
      </w:r>
      <w:r w:rsidRPr="00C80A2E">
        <w:rPr>
          <w:rFonts w:ascii="Times New Roman" w:hAnsi="Times New Roman" w:cs="Times New Roman"/>
          <w:b/>
          <w:sz w:val="24"/>
          <w:lang w:val="en-US"/>
        </w:rPr>
        <w:t>returns</w:t>
      </w:r>
      <w:r>
        <w:rPr>
          <w:rFonts w:ascii="Times New Roman" w:hAnsi="Times New Roman" w:cs="Times New Roman"/>
          <w:sz w:val="24"/>
          <w:lang w:val="en-US"/>
        </w:rPr>
        <w:t xml:space="preserve"> </w:t>
      </w:r>
      <w:r w:rsidRPr="00C80A2E">
        <w:rPr>
          <w:rFonts w:ascii="Times New Roman" w:hAnsi="Times New Roman" w:cs="Times New Roman"/>
          <w:sz w:val="24"/>
          <w:lang w:val="en-US"/>
        </w:rPr>
        <w:t xml:space="preserve">on the various securities under consideration and </w:t>
      </w:r>
      <w:r>
        <w:rPr>
          <w:rFonts w:ascii="Times New Roman" w:hAnsi="Times New Roman" w:cs="Times New Roman"/>
          <w:sz w:val="24"/>
          <w:lang w:val="en-US"/>
        </w:rPr>
        <w:t xml:space="preserve">then invest in the one with the </w:t>
      </w:r>
      <w:r w:rsidRPr="00C80A2E">
        <w:rPr>
          <w:rFonts w:ascii="Times New Roman" w:hAnsi="Times New Roman" w:cs="Times New Roman"/>
          <w:sz w:val="24"/>
          <w:lang w:val="en-US"/>
        </w:rPr>
        <w:t>highest expected return. Markowitz notes that this would generally be an unwise decision because</w:t>
      </w:r>
      <w:r>
        <w:rPr>
          <w:rFonts w:ascii="Times New Roman" w:hAnsi="Times New Roman" w:cs="Times New Roman"/>
          <w:sz w:val="24"/>
          <w:lang w:val="en-US"/>
        </w:rPr>
        <w:t xml:space="preserve"> </w:t>
      </w:r>
      <w:r w:rsidRPr="00C80A2E">
        <w:rPr>
          <w:rFonts w:ascii="Times New Roman" w:hAnsi="Times New Roman" w:cs="Times New Roman"/>
          <w:sz w:val="24"/>
          <w:lang w:val="en-US"/>
        </w:rPr>
        <w:t>the typical investor, although wanting "returns t</w:t>
      </w:r>
      <w:r>
        <w:rPr>
          <w:rFonts w:ascii="Times New Roman" w:hAnsi="Times New Roman" w:cs="Times New Roman"/>
          <w:sz w:val="24"/>
          <w:lang w:val="en-US"/>
        </w:rPr>
        <w:t xml:space="preserve">o be high," also wants "returns </w:t>
      </w:r>
      <w:r w:rsidRPr="00C80A2E">
        <w:rPr>
          <w:rFonts w:ascii="Times New Roman" w:hAnsi="Times New Roman" w:cs="Times New Roman"/>
          <w:sz w:val="24"/>
          <w:lang w:val="en-US"/>
        </w:rPr>
        <w:t>to be as certain as possible." Thus the investor, in se</w:t>
      </w:r>
      <w:r>
        <w:rPr>
          <w:rFonts w:ascii="Times New Roman" w:hAnsi="Times New Roman" w:cs="Times New Roman"/>
          <w:sz w:val="24"/>
          <w:lang w:val="en-US"/>
        </w:rPr>
        <w:t xml:space="preserve">eking to both maximize expected </w:t>
      </w:r>
      <w:r w:rsidRPr="00C80A2E">
        <w:rPr>
          <w:rFonts w:ascii="Times New Roman" w:hAnsi="Times New Roman" w:cs="Times New Roman"/>
          <w:sz w:val="24"/>
          <w:lang w:val="en-US"/>
        </w:rPr>
        <w:t xml:space="preserve">return and minimize uncertainty (that is, </w:t>
      </w:r>
      <w:r w:rsidRPr="00C80A2E">
        <w:rPr>
          <w:rFonts w:ascii="Times New Roman" w:hAnsi="Times New Roman" w:cs="Times New Roman"/>
          <w:b/>
          <w:sz w:val="24"/>
          <w:lang w:val="en-US"/>
        </w:rPr>
        <w:t>risk</w:t>
      </w:r>
      <w:r w:rsidRPr="00C80A2E">
        <w:rPr>
          <w:rFonts w:ascii="Times New Roman" w:hAnsi="Times New Roman" w:cs="Times New Roman"/>
          <w:sz w:val="24"/>
          <w:lang w:val="en-US"/>
        </w:rPr>
        <w:t xml:space="preserve">) , has two conflicting </w:t>
      </w:r>
      <w:r>
        <w:rPr>
          <w:rFonts w:ascii="Times New Roman" w:hAnsi="Times New Roman" w:cs="Times New Roman"/>
          <w:sz w:val="24"/>
          <w:lang w:val="en-US"/>
        </w:rPr>
        <w:t xml:space="preserve">objectives that </w:t>
      </w:r>
      <w:r w:rsidRPr="00C80A2E">
        <w:rPr>
          <w:rFonts w:ascii="Times New Roman" w:hAnsi="Times New Roman" w:cs="Times New Roman"/>
          <w:sz w:val="24"/>
          <w:lang w:val="en-US"/>
        </w:rPr>
        <w:t xml:space="preserve">must be balanced against each other when making the purchase decision at t = </w:t>
      </w:r>
      <w:r>
        <w:rPr>
          <w:rFonts w:ascii="Times New Roman" w:hAnsi="Times New Roman" w:cs="Times New Roman"/>
          <w:sz w:val="24"/>
          <w:lang w:val="en-US"/>
        </w:rPr>
        <w:t xml:space="preserve">0. </w:t>
      </w:r>
      <w:r w:rsidRPr="00C80A2E">
        <w:rPr>
          <w:rFonts w:ascii="Times New Roman" w:hAnsi="Times New Roman" w:cs="Times New Roman"/>
          <w:sz w:val="24"/>
          <w:lang w:val="en-US"/>
        </w:rPr>
        <w:t xml:space="preserve">The </w:t>
      </w:r>
      <w:r w:rsidRPr="00C80A2E">
        <w:rPr>
          <w:rFonts w:ascii="Times New Roman" w:hAnsi="Times New Roman" w:cs="Times New Roman"/>
          <w:sz w:val="24"/>
          <w:lang w:val="en-US"/>
        </w:rPr>
        <w:lastRenderedPageBreak/>
        <w:t>Markowitz approach for how the investor shoul</w:t>
      </w:r>
      <w:r>
        <w:rPr>
          <w:rFonts w:ascii="Times New Roman" w:hAnsi="Times New Roman" w:cs="Times New Roman"/>
          <w:sz w:val="24"/>
          <w:lang w:val="en-US"/>
        </w:rPr>
        <w:t xml:space="preserve">d go about making this decision </w:t>
      </w:r>
      <w:r w:rsidRPr="00C80A2E">
        <w:rPr>
          <w:rFonts w:ascii="Times New Roman" w:hAnsi="Times New Roman" w:cs="Times New Roman"/>
          <w:sz w:val="24"/>
          <w:lang w:val="en-US"/>
        </w:rPr>
        <w:t>gives full consideration to both of these objectives.</w:t>
      </w:r>
    </w:p>
    <w:p w:rsidR="0085257C" w:rsidRPr="0085257C" w:rsidRDefault="00D92508" w:rsidP="0085257C">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According to Markowitz a</w:t>
      </w:r>
      <w:r w:rsidRPr="0068367F">
        <w:rPr>
          <w:rFonts w:ascii="Times New Roman" w:hAnsi="Times New Roman" w:cs="Times New Roman"/>
          <w:sz w:val="24"/>
          <w:lang w:val="en-US"/>
        </w:rPr>
        <w:t xml:space="preserve"> useful measure of risk</w:t>
      </w:r>
      <w:r>
        <w:rPr>
          <w:rFonts w:ascii="Times New Roman" w:hAnsi="Times New Roman" w:cs="Times New Roman"/>
          <w:sz w:val="24"/>
          <w:lang w:val="en-US"/>
        </w:rPr>
        <w:t xml:space="preserve"> </w:t>
      </w:r>
      <w:r w:rsidRPr="0068367F">
        <w:rPr>
          <w:rFonts w:ascii="Times New Roman" w:hAnsi="Times New Roman" w:cs="Times New Roman"/>
          <w:sz w:val="24"/>
          <w:lang w:val="en-US"/>
        </w:rPr>
        <w:t>should somehow estimate the extent to which the actu</w:t>
      </w:r>
      <w:r>
        <w:rPr>
          <w:rFonts w:ascii="Times New Roman" w:hAnsi="Times New Roman" w:cs="Times New Roman"/>
          <w:sz w:val="24"/>
          <w:lang w:val="en-US"/>
        </w:rPr>
        <w:t xml:space="preserve">al outcome is likely to diverge </w:t>
      </w:r>
      <w:r w:rsidRPr="0068367F">
        <w:rPr>
          <w:rFonts w:ascii="Times New Roman" w:hAnsi="Times New Roman" w:cs="Times New Roman"/>
          <w:sz w:val="24"/>
          <w:lang w:val="en-US"/>
        </w:rPr>
        <w:t xml:space="preserve">from the expected outcome. Standard deviation is a </w:t>
      </w:r>
      <w:r>
        <w:rPr>
          <w:rFonts w:ascii="Times New Roman" w:hAnsi="Times New Roman" w:cs="Times New Roman"/>
          <w:sz w:val="24"/>
          <w:lang w:val="en-US"/>
        </w:rPr>
        <w:t xml:space="preserve">measure that does this, because </w:t>
      </w:r>
      <w:r w:rsidRPr="0068367F">
        <w:rPr>
          <w:rFonts w:ascii="Times New Roman" w:hAnsi="Times New Roman" w:cs="Times New Roman"/>
          <w:sz w:val="24"/>
          <w:lang w:val="en-US"/>
        </w:rPr>
        <w:t>it is an estimate of the likely divergence of an actual return from an expected return.</w:t>
      </w:r>
      <w:r>
        <w:rPr>
          <w:rFonts w:ascii="Times New Roman" w:hAnsi="Times New Roman" w:cs="Times New Roman"/>
          <w:sz w:val="24"/>
          <w:lang w:val="en-US"/>
        </w:rPr>
        <w:t xml:space="preserve"> </w:t>
      </w:r>
      <w:r w:rsidR="004628C8">
        <w:rPr>
          <w:rFonts w:ascii="Times New Roman" w:hAnsi="Times New Roman" w:cs="Times New Roman"/>
          <w:sz w:val="24"/>
          <w:lang w:val="en-US"/>
        </w:rPr>
        <w:t xml:space="preserve">By </w:t>
      </w:r>
      <w:r w:rsidR="00F072F8" w:rsidRPr="00B373FB">
        <w:rPr>
          <w:rFonts w:ascii="Times New Roman" w:hAnsi="Times New Roman" w:cs="Times New Roman"/>
          <w:sz w:val="24"/>
          <w:lang w:val="en-US"/>
        </w:rPr>
        <w:t>calculating the standard d</w:t>
      </w:r>
      <w:r w:rsidR="00F072F8">
        <w:rPr>
          <w:rFonts w:ascii="Times New Roman" w:hAnsi="Times New Roman" w:cs="Times New Roman"/>
          <w:sz w:val="24"/>
          <w:lang w:val="en-US"/>
        </w:rPr>
        <w:t xml:space="preserve">eviation, investor can get an idea of </w:t>
      </w:r>
      <w:r w:rsidRPr="00B373FB">
        <w:rPr>
          <w:rFonts w:ascii="Times New Roman" w:hAnsi="Times New Roman" w:cs="Times New Roman"/>
          <w:sz w:val="24"/>
          <w:lang w:val="en-US"/>
        </w:rPr>
        <w:t xml:space="preserve">what is normal, and what is outside the range of normality. </w:t>
      </w:r>
      <w:r w:rsidR="0085257C">
        <w:rPr>
          <w:rFonts w:ascii="Times New Roman" w:hAnsi="Times New Roman" w:cs="Times New Roman"/>
          <w:sz w:val="24"/>
          <w:lang w:val="en-US"/>
        </w:rPr>
        <w:t xml:space="preserve">A low standard deviation means that </w:t>
      </w:r>
      <w:r w:rsidR="0085257C" w:rsidRPr="00B373FB">
        <w:rPr>
          <w:rFonts w:ascii="Times New Roman" w:hAnsi="Times New Roman" w:cs="Times New Roman"/>
          <w:sz w:val="24"/>
          <w:lang w:val="en-US"/>
        </w:rPr>
        <w:t>returns are more likely to be in a narrow range</w:t>
      </w:r>
      <w:r w:rsidR="0085257C">
        <w:rPr>
          <w:rFonts w:ascii="Times New Roman" w:hAnsi="Times New Roman" w:cs="Times New Roman"/>
          <w:sz w:val="24"/>
          <w:lang w:val="en-US"/>
        </w:rPr>
        <w:t xml:space="preserve"> and it is better for investor, in contrary large standard deviation means that</w:t>
      </w:r>
      <w:r w:rsidR="0085257C" w:rsidRPr="00D25AA7">
        <w:rPr>
          <w:rFonts w:ascii="Times New Roman" w:hAnsi="Times New Roman" w:cs="Times New Roman"/>
          <w:sz w:val="24"/>
          <w:lang w:val="en-US"/>
        </w:rPr>
        <w:t xml:space="preserve"> </w:t>
      </w:r>
      <w:r w:rsidR="0085257C" w:rsidRPr="00E35944">
        <w:rPr>
          <w:rFonts w:ascii="Times New Roman" w:hAnsi="Times New Roman" w:cs="Times New Roman"/>
          <w:sz w:val="24"/>
          <w:lang w:val="en-US"/>
        </w:rPr>
        <w:t>returns are more likely to be scattered</w:t>
      </w:r>
      <w:r w:rsidR="0085257C">
        <w:rPr>
          <w:rFonts w:ascii="Times New Roman" w:hAnsi="Times New Roman" w:cs="Times New Roman"/>
          <w:sz w:val="24"/>
          <w:lang w:val="en-US"/>
        </w:rPr>
        <w:t>.</w:t>
      </w:r>
    </w:p>
    <w:p w:rsidR="000C43BA" w:rsidRDefault="000C43BA" w:rsidP="00D92508">
      <w:pPr>
        <w:spacing w:line="360" w:lineRule="auto"/>
        <w:ind w:firstLine="708"/>
        <w:jc w:val="both"/>
        <w:rPr>
          <w:rFonts w:ascii="Times New Roman" w:hAnsi="Times New Roman" w:cs="Times New Roman"/>
          <w:sz w:val="24"/>
          <w:szCs w:val="24"/>
          <w:lang w:val="en-US"/>
        </w:rPr>
      </w:pPr>
      <w:r w:rsidRPr="00E35944">
        <w:rPr>
          <w:rFonts w:ascii="Times New Roman" w:hAnsi="Times New Roman" w:cs="Times New Roman"/>
          <w:sz w:val="24"/>
          <w:szCs w:val="24"/>
          <w:lang w:val="en-US"/>
        </w:rPr>
        <w:t>While standard deviation are indeed useful as a risk mea</w:t>
      </w:r>
      <w:r w:rsidR="00CD02D3">
        <w:rPr>
          <w:rFonts w:ascii="Times New Roman" w:hAnsi="Times New Roman" w:cs="Times New Roman"/>
          <w:sz w:val="24"/>
          <w:szCs w:val="24"/>
          <w:lang w:val="en-US"/>
        </w:rPr>
        <w:t>sure, there are limitations to its</w:t>
      </w:r>
      <w:r w:rsidRPr="00E35944">
        <w:rPr>
          <w:rFonts w:ascii="Times New Roman" w:hAnsi="Times New Roman" w:cs="Times New Roman"/>
          <w:sz w:val="24"/>
          <w:szCs w:val="24"/>
          <w:lang w:val="en-US"/>
        </w:rPr>
        <w:t xml:space="preserve"> use. Standard deviation </w:t>
      </w:r>
      <w:r>
        <w:rPr>
          <w:rFonts w:ascii="Times New Roman" w:hAnsi="Times New Roman" w:cs="Times New Roman"/>
          <w:sz w:val="24"/>
          <w:szCs w:val="24"/>
          <w:lang w:val="en-US"/>
        </w:rPr>
        <w:t xml:space="preserve">is inappropriate </w:t>
      </w:r>
      <w:r w:rsidRPr="00E35944">
        <w:rPr>
          <w:rFonts w:ascii="Times New Roman" w:hAnsi="Times New Roman" w:cs="Times New Roman"/>
          <w:sz w:val="24"/>
          <w:szCs w:val="24"/>
          <w:lang w:val="en-US"/>
        </w:rPr>
        <w:t xml:space="preserve">tool for investments with asymmetric </w:t>
      </w:r>
      <w:r>
        <w:rPr>
          <w:rFonts w:ascii="Times New Roman" w:hAnsi="Times New Roman" w:cs="Times New Roman"/>
          <w:sz w:val="24"/>
          <w:szCs w:val="24"/>
          <w:lang w:val="en-US"/>
        </w:rPr>
        <w:t>return distribution</w:t>
      </w:r>
      <w:r w:rsidRPr="00E35944">
        <w:rPr>
          <w:rFonts w:ascii="Times New Roman" w:hAnsi="Times New Roman" w:cs="Times New Roman"/>
          <w:sz w:val="24"/>
          <w:szCs w:val="24"/>
          <w:lang w:val="en-US"/>
        </w:rPr>
        <w:t>.</w:t>
      </w:r>
      <w:r>
        <w:rPr>
          <w:rFonts w:ascii="Times New Roman" w:hAnsi="Times New Roman" w:cs="Times New Roman"/>
          <w:sz w:val="24"/>
          <w:szCs w:val="24"/>
          <w:lang w:val="en-US"/>
        </w:rPr>
        <w:t xml:space="preserve"> When security returns are normally </w:t>
      </w:r>
      <w:r w:rsidR="00665741">
        <w:rPr>
          <w:rFonts w:ascii="Times New Roman" w:hAnsi="Times New Roman" w:cs="Times New Roman"/>
          <w:sz w:val="24"/>
          <w:szCs w:val="24"/>
          <w:lang w:val="en-US"/>
        </w:rPr>
        <w:t>distributed,</w:t>
      </w:r>
      <w:r>
        <w:rPr>
          <w:rFonts w:ascii="Times New Roman" w:hAnsi="Times New Roman" w:cs="Times New Roman"/>
          <w:sz w:val="24"/>
          <w:szCs w:val="24"/>
          <w:lang w:val="en-US"/>
        </w:rPr>
        <w:t xml:space="preserve"> t</w:t>
      </w:r>
      <w:r w:rsidRPr="00E35944">
        <w:rPr>
          <w:rFonts w:ascii="Times New Roman" w:hAnsi="Times New Roman" w:cs="Times New Roman"/>
          <w:sz w:val="24"/>
          <w:szCs w:val="24"/>
          <w:lang w:val="en-US"/>
        </w:rPr>
        <w:t>he normal distribution curve</w:t>
      </w:r>
      <w:r>
        <w:rPr>
          <w:rFonts w:ascii="Times New Roman" w:hAnsi="Times New Roman" w:cs="Times New Roman"/>
          <w:sz w:val="24"/>
          <w:szCs w:val="24"/>
          <w:lang w:val="en-US"/>
        </w:rPr>
        <w:t xml:space="preserve"> should look </w:t>
      </w:r>
      <w:r w:rsidRPr="00E35944">
        <w:rPr>
          <w:rFonts w:ascii="Times New Roman" w:hAnsi="Times New Roman" w:cs="Times New Roman"/>
          <w:sz w:val="24"/>
          <w:szCs w:val="24"/>
          <w:lang w:val="en-US"/>
        </w:rPr>
        <w:t>symmetric</w:t>
      </w:r>
      <w:r>
        <w:rPr>
          <w:rFonts w:ascii="Times New Roman" w:hAnsi="Times New Roman" w:cs="Times New Roman"/>
          <w:sz w:val="24"/>
          <w:szCs w:val="24"/>
          <w:lang w:val="en-US"/>
        </w:rPr>
        <w:t xml:space="preserve">. Return values should be equally likely to plot </w:t>
      </w:r>
      <w:r w:rsidRPr="00E35944">
        <w:rPr>
          <w:rFonts w:ascii="Times New Roman" w:hAnsi="Times New Roman" w:cs="Times New Roman"/>
          <w:sz w:val="24"/>
          <w:szCs w:val="24"/>
          <w:lang w:val="en-US"/>
        </w:rPr>
        <w:t>around the middle</w:t>
      </w:r>
      <w:r>
        <w:rPr>
          <w:rFonts w:ascii="Times New Roman" w:hAnsi="Times New Roman" w:cs="Times New Roman"/>
          <w:sz w:val="24"/>
          <w:szCs w:val="24"/>
          <w:lang w:val="en-US"/>
        </w:rPr>
        <w:t xml:space="preserve">. </w:t>
      </w:r>
      <w:r w:rsidRPr="00E35944">
        <w:rPr>
          <w:rFonts w:ascii="Times New Roman" w:hAnsi="Times New Roman" w:cs="Times New Roman"/>
          <w:sz w:val="24"/>
          <w:szCs w:val="24"/>
          <w:lang w:val="en-US"/>
        </w:rPr>
        <w:t xml:space="preserve">As we can see from the diagram (fig. 1.1) below </w:t>
      </w:r>
      <w:r w:rsidRPr="00E35944">
        <w:rPr>
          <w:rFonts w:ascii="Times New Roman" w:hAnsi="Times New Roman" w:cs="Times New Roman"/>
          <w:color w:val="000000"/>
          <w:sz w:val="24"/>
          <w:szCs w:val="24"/>
          <w:shd w:val="clear" w:color="auto" w:fill="FFFFFF"/>
          <w:lang w:val="en-US"/>
        </w:rPr>
        <w:t>the distribution cur</w:t>
      </w:r>
      <w:r w:rsidRPr="00E35944">
        <w:rPr>
          <w:rFonts w:ascii="Times New Roman" w:hAnsi="Times New Roman" w:cs="Times New Roman"/>
          <w:sz w:val="24"/>
          <w:szCs w:val="24"/>
          <w:lang w:val="en-US"/>
        </w:rPr>
        <w:t>ve is skewed on the right side of the mean.</w:t>
      </w:r>
      <w:r>
        <w:rPr>
          <w:rFonts w:ascii="Times New Roman" w:hAnsi="Times New Roman" w:cs="Times New Roman"/>
          <w:sz w:val="24"/>
          <w:szCs w:val="24"/>
          <w:lang w:val="en-US"/>
        </w:rPr>
        <w:t xml:space="preserve"> In this case skewed distribution of returns might limit the usefulness </w:t>
      </w:r>
      <w:r w:rsidRPr="00E35944">
        <w:rPr>
          <w:rFonts w:ascii="Times New Roman" w:hAnsi="Times New Roman" w:cs="Times New Roman"/>
          <w:sz w:val="24"/>
          <w:szCs w:val="24"/>
          <w:lang w:val="en-US"/>
        </w:rPr>
        <w:t>of the standard</w:t>
      </w:r>
      <w:r>
        <w:rPr>
          <w:rFonts w:ascii="Times New Roman" w:hAnsi="Times New Roman" w:cs="Times New Roman"/>
          <w:sz w:val="24"/>
          <w:szCs w:val="24"/>
          <w:lang w:val="en-US"/>
        </w:rPr>
        <w:t xml:space="preserve"> deviation as a risk measure since the returns are unlikely fall in that</w:t>
      </w:r>
      <w:r w:rsidRPr="00E35944">
        <w:rPr>
          <w:rFonts w:ascii="Times New Roman" w:hAnsi="Times New Roman" w:cs="Times New Roman"/>
          <w:sz w:val="24"/>
          <w:szCs w:val="24"/>
          <w:lang w:val="en-US"/>
        </w:rPr>
        <w:t xml:space="preserve"> range</w:t>
      </w:r>
      <w:r>
        <w:rPr>
          <w:rFonts w:ascii="Times New Roman" w:hAnsi="Times New Roman" w:cs="Times New Roman"/>
          <w:sz w:val="24"/>
          <w:szCs w:val="24"/>
          <w:lang w:val="en-US"/>
        </w:rPr>
        <w:t xml:space="preserve">. </w:t>
      </w:r>
    </w:p>
    <w:p w:rsidR="00D92508" w:rsidRDefault="00D92508" w:rsidP="00D92508">
      <w:pPr>
        <w:spacing w:line="360" w:lineRule="auto"/>
        <w:ind w:firstLine="708"/>
        <w:jc w:val="both"/>
        <w:rPr>
          <w:rFonts w:ascii="Times New Roman" w:hAnsi="Times New Roman" w:cs="Times New Roman"/>
          <w:sz w:val="24"/>
          <w:lang w:val="en-US"/>
        </w:rPr>
      </w:pPr>
      <w:r>
        <w:rPr>
          <w:noProof/>
          <w:lang w:eastAsia="ru-RU"/>
        </w:rPr>
        <w:drawing>
          <wp:inline distT="0" distB="0" distL="0" distR="0" wp14:anchorId="136F4FDB" wp14:editId="30572DD8">
            <wp:extent cx="4981575" cy="24384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2508" w:rsidRPr="00E35944" w:rsidRDefault="00F05F7B" w:rsidP="00E35944">
      <w:pPr>
        <w:spacing w:line="360" w:lineRule="auto"/>
        <w:ind w:firstLine="708"/>
        <w:jc w:val="both"/>
        <w:rPr>
          <w:rFonts w:ascii="Times New Roman" w:hAnsi="Times New Roman" w:cs="Times New Roman"/>
          <w:b/>
          <w:sz w:val="24"/>
          <w:lang w:val="en-US"/>
        </w:rPr>
      </w:pPr>
      <w:r w:rsidRPr="00E35944">
        <w:rPr>
          <w:rFonts w:ascii="Times New Roman" w:hAnsi="Times New Roman" w:cs="Times New Roman"/>
          <w:b/>
          <w:sz w:val="24"/>
          <w:lang w:val="en-US"/>
        </w:rPr>
        <w:t>Fig</w:t>
      </w:r>
      <w:r w:rsidR="00A7634E">
        <w:rPr>
          <w:rFonts w:ascii="Times New Roman" w:hAnsi="Times New Roman" w:cs="Times New Roman"/>
          <w:b/>
          <w:sz w:val="24"/>
          <w:lang w:val="en-US"/>
        </w:rPr>
        <w:t>ure</w:t>
      </w:r>
      <w:r w:rsidR="00D92508" w:rsidRPr="00E35944">
        <w:rPr>
          <w:rFonts w:ascii="Times New Roman" w:hAnsi="Times New Roman" w:cs="Times New Roman"/>
          <w:b/>
          <w:sz w:val="24"/>
          <w:lang w:val="en-US"/>
        </w:rPr>
        <w:t xml:space="preserve"> </w:t>
      </w:r>
      <w:r w:rsidR="00E35944">
        <w:rPr>
          <w:rFonts w:ascii="Times New Roman" w:hAnsi="Times New Roman" w:cs="Times New Roman"/>
          <w:b/>
          <w:sz w:val="24"/>
          <w:lang w:val="en-US"/>
        </w:rPr>
        <w:t>1.1</w:t>
      </w:r>
      <w:r w:rsidR="00D92508" w:rsidRPr="00E35944">
        <w:rPr>
          <w:rFonts w:ascii="Times New Roman" w:hAnsi="Times New Roman" w:cs="Times New Roman"/>
          <w:b/>
          <w:sz w:val="24"/>
          <w:lang w:val="en-US"/>
        </w:rPr>
        <w:t xml:space="preserve"> </w:t>
      </w:r>
      <w:r w:rsidR="00D92508" w:rsidRPr="000C1526">
        <w:rPr>
          <w:rFonts w:ascii="Times New Roman" w:hAnsi="Times New Roman" w:cs="Times New Roman"/>
          <w:sz w:val="24"/>
          <w:lang w:val="en-US"/>
        </w:rPr>
        <w:t>Histogram of Cullen/Frost Bankers, Inc. weekly rates of return, 2011-2013</w:t>
      </w:r>
    </w:p>
    <w:p w:rsidR="00D92508" w:rsidRDefault="00D92508" w:rsidP="00D92508">
      <w:pPr>
        <w:spacing w:line="360" w:lineRule="auto"/>
        <w:ind w:firstLine="708"/>
        <w:jc w:val="both"/>
        <w:rPr>
          <w:rFonts w:ascii="Times New Roman" w:hAnsi="Times New Roman" w:cs="Times New Roman"/>
          <w:sz w:val="24"/>
          <w:lang w:val="en-US"/>
        </w:rPr>
      </w:pPr>
      <w:r w:rsidRPr="005A46C9">
        <w:rPr>
          <w:rFonts w:ascii="Times New Roman" w:hAnsi="Times New Roman" w:cs="Times New Roman"/>
          <w:sz w:val="24"/>
          <w:lang w:val="en-US"/>
        </w:rPr>
        <w:t>Another issue with standard deviation is that it can reflect</w:t>
      </w:r>
      <w:r>
        <w:rPr>
          <w:rFonts w:ascii="Times New Roman" w:hAnsi="Times New Roman" w:cs="Times New Roman"/>
          <w:sz w:val="24"/>
          <w:lang w:val="en-US"/>
        </w:rPr>
        <w:t xml:space="preserve"> only</w:t>
      </w:r>
      <w:r w:rsidRPr="005C58D6">
        <w:rPr>
          <w:rFonts w:ascii="Times New Roman" w:hAnsi="Times New Roman" w:cs="Times New Roman"/>
          <w:sz w:val="24"/>
          <w:lang w:val="en-US"/>
        </w:rPr>
        <w:t xml:space="preserve"> historical volatility. To gain any knowledge about future volatil</w:t>
      </w:r>
      <w:r w:rsidR="00CD02D3">
        <w:rPr>
          <w:rFonts w:ascii="Times New Roman" w:hAnsi="Times New Roman" w:cs="Times New Roman"/>
          <w:sz w:val="24"/>
          <w:lang w:val="en-US"/>
        </w:rPr>
        <w:t>ity, an investor has to make an</w:t>
      </w:r>
      <w:r w:rsidRPr="005C58D6">
        <w:rPr>
          <w:rFonts w:ascii="Times New Roman" w:hAnsi="Times New Roman" w:cs="Times New Roman"/>
          <w:sz w:val="24"/>
          <w:lang w:val="en-US"/>
        </w:rPr>
        <w:t xml:space="preserve"> assumption that future volatility is represented by the distribution of historical volatility results.</w:t>
      </w:r>
    </w:p>
    <w:p w:rsidR="00D92508" w:rsidRDefault="00D92508" w:rsidP="00D92508">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Despite the fact that there are</w:t>
      </w:r>
      <w:r w:rsidRPr="00AB48EB">
        <w:rPr>
          <w:rFonts w:ascii="Times New Roman" w:hAnsi="Times New Roman" w:cs="Times New Roman"/>
          <w:sz w:val="24"/>
          <w:lang w:val="en-US"/>
        </w:rPr>
        <w:t xml:space="preserve"> a number of </w:t>
      </w:r>
      <w:r w:rsidR="0085257C">
        <w:rPr>
          <w:rFonts w:ascii="Times New Roman" w:hAnsi="Times New Roman" w:cs="Times New Roman"/>
          <w:sz w:val="24"/>
          <w:lang w:val="en-US"/>
        </w:rPr>
        <w:t>weaknesses</w:t>
      </w:r>
      <w:r w:rsidRPr="00AB48EB">
        <w:rPr>
          <w:rFonts w:ascii="Times New Roman" w:hAnsi="Times New Roman" w:cs="Times New Roman"/>
          <w:sz w:val="24"/>
          <w:lang w:val="en-US"/>
        </w:rPr>
        <w:t xml:space="preserve"> associated with relying on the standard deviation of returns as </w:t>
      </w:r>
      <w:r w:rsidR="0085257C">
        <w:rPr>
          <w:rFonts w:ascii="Times New Roman" w:hAnsi="Times New Roman" w:cs="Times New Roman"/>
          <w:sz w:val="24"/>
          <w:lang w:val="en-US"/>
        </w:rPr>
        <w:t>a measure of the aggregated risk</w:t>
      </w:r>
      <w:r w:rsidRPr="00AB48EB">
        <w:rPr>
          <w:rFonts w:ascii="Times New Roman" w:hAnsi="Times New Roman" w:cs="Times New Roman"/>
          <w:sz w:val="24"/>
          <w:lang w:val="en-US"/>
        </w:rPr>
        <w:t xml:space="preserve">, standard deviation does provide some insight, and in many circumstances is in fact meaningful. </w:t>
      </w:r>
    </w:p>
    <w:p w:rsidR="00D92508" w:rsidRDefault="00D92508" w:rsidP="00D92508">
      <w:pPr>
        <w:spacing w:line="360" w:lineRule="auto"/>
        <w:ind w:firstLine="708"/>
        <w:jc w:val="both"/>
        <w:rPr>
          <w:rFonts w:ascii="Times New Roman" w:hAnsi="Times New Roman" w:cs="Times New Roman"/>
          <w:sz w:val="24"/>
          <w:lang w:val="en-US"/>
        </w:rPr>
      </w:pPr>
      <w:r w:rsidRPr="00C5586D">
        <w:rPr>
          <w:rFonts w:ascii="Times New Roman" w:hAnsi="Times New Roman" w:cs="Times New Roman"/>
          <w:sz w:val="24"/>
          <w:lang w:val="en-US"/>
        </w:rPr>
        <w:lastRenderedPageBreak/>
        <w:t xml:space="preserve">Demsetz, Saidenberg, </w:t>
      </w:r>
      <w:r w:rsidR="0094392D">
        <w:rPr>
          <w:rFonts w:ascii="Times New Roman" w:hAnsi="Times New Roman" w:cs="Times New Roman"/>
          <w:sz w:val="24"/>
          <w:lang w:val="en-US"/>
        </w:rPr>
        <w:t>and Strahan (</w:t>
      </w:r>
      <w:r>
        <w:rPr>
          <w:rFonts w:ascii="Times New Roman" w:hAnsi="Times New Roman" w:cs="Times New Roman"/>
          <w:sz w:val="24"/>
          <w:lang w:val="en-US"/>
        </w:rPr>
        <w:t>1997</w:t>
      </w:r>
      <w:r w:rsidR="0094392D">
        <w:rPr>
          <w:rFonts w:ascii="Times New Roman" w:hAnsi="Times New Roman" w:cs="Times New Roman"/>
          <w:sz w:val="24"/>
          <w:lang w:val="en-US"/>
        </w:rPr>
        <w:t>)</w:t>
      </w:r>
      <w:r>
        <w:rPr>
          <w:rFonts w:ascii="Times New Roman" w:hAnsi="Times New Roman" w:cs="Times New Roman"/>
          <w:sz w:val="24"/>
          <w:lang w:val="en-US"/>
        </w:rPr>
        <w:t xml:space="preserve"> in their study for the sample of 367 U.S. bank holding companies</w:t>
      </w:r>
      <w:r w:rsidR="0085257C">
        <w:rPr>
          <w:rFonts w:ascii="Times New Roman" w:hAnsi="Times New Roman" w:cs="Times New Roman"/>
          <w:sz w:val="24"/>
          <w:lang w:val="en-US"/>
        </w:rPr>
        <w:t xml:space="preserve"> chose</w:t>
      </w:r>
      <w:r>
        <w:rPr>
          <w:rFonts w:ascii="Times New Roman" w:hAnsi="Times New Roman" w:cs="Times New Roman"/>
          <w:sz w:val="24"/>
          <w:lang w:val="en-US"/>
        </w:rPr>
        <w:t xml:space="preserve"> </w:t>
      </w:r>
      <w:r w:rsidR="0085257C">
        <w:rPr>
          <w:rFonts w:ascii="Times New Roman" w:hAnsi="Times New Roman" w:cs="Times New Roman"/>
          <w:sz w:val="24"/>
          <w:lang w:val="en-US"/>
        </w:rPr>
        <w:t xml:space="preserve">the </w:t>
      </w:r>
      <w:r>
        <w:rPr>
          <w:rFonts w:ascii="Times New Roman" w:hAnsi="Times New Roman" w:cs="Times New Roman"/>
          <w:sz w:val="24"/>
          <w:lang w:val="en-US"/>
        </w:rPr>
        <w:t>annualized standard deviation of the weekly stock return for a given bank holding company</w:t>
      </w:r>
      <w:r w:rsidR="0085257C">
        <w:rPr>
          <w:rFonts w:ascii="Times New Roman" w:hAnsi="Times New Roman" w:cs="Times New Roman"/>
          <w:sz w:val="24"/>
          <w:lang w:val="en-US"/>
        </w:rPr>
        <w:t xml:space="preserve"> as main risk measure</w:t>
      </w:r>
      <w:r>
        <w:rPr>
          <w:rFonts w:ascii="Times New Roman" w:hAnsi="Times New Roman" w:cs="Times New Roman"/>
          <w:sz w:val="24"/>
          <w:lang w:val="en-US"/>
        </w:rPr>
        <w:t>. Authors justify the choice of this risk measure by the fact that it incorporates risks associated with all of the BHC’s assets, liabilities and off-balance sheet positions, and</w:t>
      </w:r>
      <w:r w:rsidR="00624632">
        <w:rPr>
          <w:rFonts w:ascii="Times New Roman" w:hAnsi="Times New Roman" w:cs="Times New Roman"/>
          <w:sz w:val="24"/>
          <w:lang w:val="en-US"/>
        </w:rPr>
        <w:t xml:space="preserve"> </w:t>
      </w:r>
      <w:r>
        <w:rPr>
          <w:rFonts w:ascii="Times New Roman" w:hAnsi="Times New Roman" w:cs="Times New Roman"/>
          <w:sz w:val="24"/>
          <w:lang w:val="en-US"/>
        </w:rPr>
        <w:t xml:space="preserve"> reflects BHC leverage. Sorescu and Spanjol </w:t>
      </w:r>
      <w:r w:rsidR="0094392D">
        <w:rPr>
          <w:rFonts w:ascii="Times New Roman" w:hAnsi="Times New Roman" w:cs="Times New Roman"/>
          <w:sz w:val="24"/>
          <w:lang w:val="en-US"/>
        </w:rPr>
        <w:t>(</w:t>
      </w:r>
      <w:r w:rsidRPr="000B2C2A">
        <w:rPr>
          <w:rFonts w:ascii="Times New Roman" w:hAnsi="Times New Roman" w:cs="Times New Roman"/>
          <w:sz w:val="24"/>
          <w:lang w:val="en-US"/>
        </w:rPr>
        <w:t>2008</w:t>
      </w:r>
      <w:r w:rsidR="0094392D">
        <w:rPr>
          <w:rFonts w:ascii="Times New Roman" w:hAnsi="Times New Roman" w:cs="Times New Roman"/>
          <w:sz w:val="24"/>
          <w:lang w:val="en-US"/>
        </w:rPr>
        <w:t>)</w:t>
      </w:r>
      <w:r>
        <w:rPr>
          <w:rFonts w:ascii="Times New Roman" w:hAnsi="Times New Roman" w:cs="Times New Roman"/>
          <w:sz w:val="24"/>
          <w:lang w:val="en-US"/>
        </w:rPr>
        <w:t xml:space="preserve"> in their research paper use total firm risk as one of the facets of firm performance. They justify the choice by telling that t</w:t>
      </w:r>
      <w:r w:rsidRPr="000B2C2A">
        <w:rPr>
          <w:rFonts w:ascii="Times New Roman" w:hAnsi="Times New Roman" w:cs="Times New Roman"/>
          <w:sz w:val="24"/>
          <w:lang w:val="en-US"/>
        </w:rPr>
        <w:t xml:space="preserve">otal risk has a </w:t>
      </w:r>
      <w:r w:rsidR="00DE47A1">
        <w:rPr>
          <w:rFonts w:ascii="Times New Roman" w:hAnsi="Times New Roman" w:cs="Times New Roman"/>
          <w:sz w:val="24"/>
          <w:lang w:val="en-US"/>
        </w:rPr>
        <w:t>systemic</w:t>
      </w:r>
      <w:r w:rsidRPr="000B2C2A">
        <w:rPr>
          <w:rFonts w:ascii="Times New Roman" w:hAnsi="Times New Roman" w:cs="Times New Roman"/>
          <w:sz w:val="24"/>
          <w:lang w:val="en-US"/>
        </w:rPr>
        <w:t xml:space="preserve"> component that is of interest only to shareholders, as well as an idiosyncratic component that affects not only shareholders but also managers and other firm stakeholders. </w:t>
      </w:r>
      <w:r>
        <w:rPr>
          <w:rFonts w:ascii="Times New Roman" w:hAnsi="Times New Roman" w:cs="Times New Roman"/>
          <w:sz w:val="24"/>
          <w:lang w:val="en-US"/>
        </w:rPr>
        <w:t>They</w:t>
      </w:r>
      <w:r w:rsidRPr="000B2C2A">
        <w:rPr>
          <w:rFonts w:ascii="Times New Roman" w:hAnsi="Times New Roman" w:cs="Times New Roman"/>
          <w:sz w:val="24"/>
          <w:lang w:val="en-US"/>
        </w:rPr>
        <w:t xml:space="preserve"> focus on total risk because it affects the utility of shareholders and other stakeholders alike.</w:t>
      </w:r>
    </w:p>
    <w:p w:rsidR="008E5586" w:rsidRPr="00263E49" w:rsidRDefault="00CA33D8" w:rsidP="00CA33D8">
      <w:pPr>
        <w:pStyle w:val="2"/>
        <w:rPr>
          <w:lang w:val="en-US"/>
        </w:rPr>
      </w:pPr>
      <w:bookmarkStart w:id="4" w:name="_Toc451925543"/>
      <w:r>
        <w:rPr>
          <w:rFonts w:eastAsiaTheme="minorHAnsi"/>
          <w:lang w:val="en-US"/>
        </w:rPr>
        <w:t>1.2.</w:t>
      </w:r>
      <w:r w:rsidR="00511ACA">
        <w:rPr>
          <w:rFonts w:eastAsiaTheme="minorHAnsi"/>
          <w:lang w:val="en-US"/>
        </w:rPr>
        <w:t xml:space="preserve"> </w:t>
      </w:r>
      <w:r w:rsidR="008E5586" w:rsidRPr="00CA33D8">
        <w:rPr>
          <w:lang w:val="en-US"/>
        </w:rPr>
        <w:t>Downside</w:t>
      </w:r>
      <w:r w:rsidR="00A10E8F">
        <w:rPr>
          <w:lang w:val="en-US"/>
        </w:rPr>
        <w:t xml:space="preserve"> deviation as a measure of downside</w:t>
      </w:r>
      <w:r w:rsidR="008E5586">
        <w:rPr>
          <w:lang w:val="en-US"/>
        </w:rPr>
        <w:t xml:space="preserve"> risk</w:t>
      </w:r>
      <w:bookmarkEnd w:id="4"/>
    </w:p>
    <w:p w:rsidR="003D3EE6" w:rsidRDefault="003D3EE6" w:rsidP="008E558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Downside risk is a financial risk that is associated with losses.</w:t>
      </w:r>
      <w:r w:rsidR="0085257C">
        <w:rPr>
          <w:rStyle w:val="a6"/>
          <w:rFonts w:ascii="Times New Roman" w:hAnsi="Times New Roman" w:cs="Times New Roman"/>
          <w:sz w:val="24"/>
          <w:lang w:val="en-US"/>
        </w:rPr>
        <w:footnoteReference w:id="2"/>
      </w:r>
      <w:r>
        <w:rPr>
          <w:rFonts w:ascii="Times New Roman" w:hAnsi="Times New Roman" w:cs="Times New Roman"/>
          <w:sz w:val="24"/>
          <w:lang w:val="en-US"/>
        </w:rPr>
        <w:t xml:space="preserve"> Put differently, it is a risk of the actual returns being below the expected returns. For instance</w:t>
      </w:r>
      <w:r w:rsidR="00C978F7">
        <w:rPr>
          <w:rFonts w:ascii="Times New Roman" w:hAnsi="Times New Roman" w:cs="Times New Roman"/>
          <w:sz w:val="24"/>
          <w:lang w:val="en-US"/>
        </w:rPr>
        <w:t>,</w:t>
      </w:r>
      <w:r>
        <w:rPr>
          <w:rFonts w:ascii="Times New Roman" w:hAnsi="Times New Roman" w:cs="Times New Roman"/>
          <w:sz w:val="24"/>
          <w:lang w:val="en-US"/>
        </w:rPr>
        <w:t xml:space="preserve"> if investor is worried about losing money he would consider </w:t>
      </w:r>
      <w:r w:rsidR="003E0F0A">
        <w:rPr>
          <w:rFonts w:ascii="Times New Roman" w:hAnsi="Times New Roman" w:cs="Times New Roman"/>
          <w:sz w:val="24"/>
          <w:lang w:val="en-US"/>
        </w:rPr>
        <w:t>the possibility of getting negative returns risky.</w:t>
      </w:r>
    </w:p>
    <w:p w:rsidR="007C7076" w:rsidRDefault="007C7076" w:rsidP="007C707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The history of downside risk began with the publication</w:t>
      </w:r>
      <w:r w:rsidRPr="009024B2">
        <w:rPr>
          <w:rFonts w:ascii="Times New Roman" w:hAnsi="Times New Roman" w:cs="Times New Roman"/>
          <w:sz w:val="24"/>
          <w:lang w:val="en-US"/>
        </w:rPr>
        <w:t xml:space="preserve"> </w:t>
      </w:r>
      <w:r w:rsidRPr="00A375D6">
        <w:rPr>
          <w:rFonts w:ascii="Times New Roman" w:hAnsi="Times New Roman" w:cs="Times New Roman"/>
          <w:sz w:val="24"/>
          <w:lang w:val="en-US"/>
        </w:rPr>
        <w:t>of two papers in 1952</w:t>
      </w:r>
      <w:r>
        <w:rPr>
          <w:rFonts w:ascii="Times New Roman" w:hAnsi="Times New Roman" w:cs="Times New Roman"/>
          <w:sz w:val="24"/>
          <w:lang w:val="en-US"/>
        </w:rPr>
        <w:t xml:space="preserve">. In the first paper “Portfolio selection” by </w:t>
      </w:r>
      <w:r w:rsidRPr="00A375D6">
        <w:rPr>
          <w:rFonts w:ascii="Times New Roman" w:hAnsi="Times New Roman" w:cs="Times New Roman"/>
          <w:sz w:val="24"/>
          <w:lang w:val="en-US"/>
        </w:rPr>
        <w:t>Markowitz</w:t>
      </w:r>
      <w:r>
        <w:rPr>
          <w:rFonts w:ascii="Times New Roman" w:hAnsi="Times New Roman" w:cs="Times New Roman"/>
          <w:sz w:val="24"/>
          <w:lang w:val="en-US"/>
        </w:rPr>
        <w:t xml:space="preserve"> </w:t>
      </w:r>
      <w:r w:rsidRPr="00A375D6">
        <w:rPr>
          <w:rFonts w:ascii="Times New Roman" w:hAnsi="Times New Roman" w:cs="Times New Roman"/>
          <w:sz w:val="24"/>
          <w:lang w:val="en-US"/>
        </w:rPr>
        <w:t>a quantitative framework for measuring portfolio risk and return</w:t>
      </w:r>
      <w:r>
        <w:rPr>
          <w:rFonts w:ascii="Times New Roman" w:hAnsi="Times New Roman" w:cs="Times New Roman"/>
          <w:sz w:val="24"/>
          <w:lang w:val="en-US"/>
        </w:rPr>
        <w:t xml:space="preserve"> was introduced. Markowitz</w:t>
      </w:r>
      <w:r w:rsidRPr="00A375D6">
        <w:rPr>
          <w:rFonts w:ascii="Times New Roman" w:hAnsi="Times New Roman" w:cs="Times New Roman"/>
          <w:sz w:val="24"/>
          <w:lang w:val="en-US"/>
        </w:rPr>
        <w:t xml:space="preserve"> used mean returns,</w:t>
      </w:r>
      <w:r>
        <w:rPr>
          <w:rFonts w:ascii="Times New Roman" w:hAnsi="Times New Roman" w:cs="Times New Roman"/>
          <w:sz w:val="24"/>
          <w:lang w:val="en-US"/>
        </w:rPr>
        <w:t xml:space="preserve"> security</w:t>
      </w:r>
      <w:r w:rsidRPr="00A375D6">
        <w:rPr>
          <w:rFonts w:ascii="Times New Roman" w:hAnsi="Times New Roman" w:cs="Times New Roman"/>
          <w:sz w:val="24"/>
          <w:lang w:val="en-US"/>
        </w:rPr>
        <w:t xml:space="preserve"> variances and covariances to </w:t>
      </w:r>
      <w:r>
        <w:rPr>
          <w:rFonts w:ascii="Times New Roman" w:hAnsi="Times New Roman" w:cs="Times New Roman"/>
          <w:sz w:val="24"/>
          <w:lang w:val="en-US"/>
        </w:rPr>
        <w:t>build</w:t>
      </w:r>
      <w:r w:rsidRPr="00A375D6">
        <w:rPr>
          <w:rFonts w:ascii="Times New Roman" w:hAnsi="Times New Roman" w:cs="Times New Roman"/>
          <w:sz w:val="24"/>
          <w:lang w:val="en-US"/>
        </w:rPr>
        <w:t xml:space="preserve"> an efficient frontier where every portfolio on the frontier maximizes the expected return for a given variance or minimizes the variance for a given expected return.</w:t>
      </w:r>
    </w:p>
    <w:p w:rsidR="008E5586" w:rsidRDefault="007C7076" w:rsidP="007C7076">
      <w:pPr>
        <w:spacing w:line="360" w:lineRule="auto"/>
        <w:ind w:firstLine="708"/>
        <w:jc w:val="both"/>
        <w:rPr>
          <w:rFonts w:ascii="Times New Roman" w:hAnsi="Times New Roman" w:cs="Times New Roman"/>
          <w:sz w:val="24"/>
          <w:lang w:val="en-US"/>
        </w:rPr>
      </w:pPr>
      <w:r w:rsidRPr="009024B2">
        <w:rPr>
          <w:rFonts w:ascii="Times New Roman" w:hAnsi="Times New Roman" w:cs="Times New Roman"/>
          <w:sz w:val="24"/>
          <w:lang w:val="en-US"/>
        </w:rPr>
        <w:t xml:space="preserve">An economist </w:t>
      </w:r>
      <w:r>
        <w:rPr>
          <w:rFonts w:ascii="Times New Roman" w:hAnsi="Times New Roman" w:cs="Times New Roman"/>
          <w:sz w:val="24"/>
          <w:lang w:val="en-US"/>
        </w:rPr>
        <w:t>Andrew</w:t>
      </w:r>
      <w:r w:rsidRPr="009024B2">
        <w:rPr>
          <w:rFonts w:ascii="Times New Roman" w:hAnsi="Times New Roman" w:cs="Times New Roman"/>
          <w:sz w:val="24"/>
          <w:lang w:val="en-US"/>
        </w:rPr>
        <w:t xml:space="preserve"> Roy</w:t>
      </w:r>
      <w:r>
        <w:rPr>
          <w:rFonts w:ascii="Times New Roman" w:hAnsi="Times New Roman" w:cs="Times New Roman"/>
          <w:sz w:val="24"/>
          <w:lang w:val="en-US"/>
        </w:rPr>
        <w:t xml:space="preserve"> in 1952 published the paper called “</w:t>
      </w:r>
      <w:r w:rsidRPr="003E0F0A">
        <w:rPr>
          <w:rFonts w:ascii="Times New Roman" w:hAnsi="Times New Roman" w:cs="Times New Roman"/>
          <w:sz w:val="24"/>
          <w:lang w:val="en-US"/>
        </w:rPr>
        <w:t>Safety First and the Holding of Assets</w:t>
      </w:r>
      <w:r>
        <w:rPr>
          <w:rFonts w:ascii="Times New Roman" w:hAnsi="Times New Roman" w:cs="Times New Roman"/>
          <w:sz w:val="24"/>
          <w:lang w:val="en-US"/>
        </w:rPr>
        <w:t xml:space="preserve">”. In his research </w:t>
      </w:r>
      <w:r w:rsidR="00CD02D3">
        <w:rPr>
          <w:rFonts w:ascii="Times New Roman" w:hAnsi="Times New Roman" w:cs="Times New Roman"/>
          <w:sz w:val="24"/>
          <w:lang w:val="en-US"/>
        </w:rPr>
        <w:t>author</w:t>
      </w:r>
      <w:r>
        <w:rPr>
          <w:rFonts w:ascii="Times New Roman" w:hAnsi="Times New Roman" w:cs="Times New Roman"/>
          <w:sz w:val="24"/>
          <w:lang w:val="en-US"/>
        </w:rPr>
        <w:t xml:space="preserve"> tries to develop the Markowitz’s framework and suggests</w:t>
      </w:r>
      <w:r w:rsidRPr="009024B2">
        <w:rPr>
          <w:rFonts w:ascii="Times New Roman" w:hAnsi="Times New Roman" w:cs="Times New Roman"/>
          <w:sz w:val="24"/>
          <w:lang w:val="en-US"/>
        </w:rPr>
        <w:t xml:space="preserve"> </w:t>
      </w:r>
      <w:r w:rsidRPr="00A375D6">
        <w:rPr>
          <w:rFonts w:ascii="Times New Roman" w:hAnsi="Times New Roman" w:cs="Times New Roman"/>
          <w:sz w:val="24"/>
          <w:lang w:val="en-US"/>
        </w:rPr>
        <w:t>the best risk-return tradeoff</w:t>
      </w:r>
      <w:r>
        <w:rPr>
          <w:rFonts w:ascii="Times New Roman" w:hAnsi="Times New Roman" w:cs="Times New Roman"/>
          <w:sz w:val="24"/>
          <w:lang w:val="en-US"/>
        </w:rPr>
        <w:t xml:space="preserve"> while constructing the investment portfolio. Roy realized that downside losses and upside gains are not similar for investors and they care differently about them. Roy claimed that investor would prefer</w:t>
      </w:r>
      <w:r w:rsidRPr="00A375D6">
        <w:rPr>
          <w:rFonts w:ascii="Times New Roman" w:hAnsi="Times New Roman" w:cs="Times New Roman"/>
          <w:sz w:val="24"/>
          <w:lang w:val="en-US"/>
        </w:rPr>
        <w:t xml:space="preserve"> the investment with the smallest probability of going below the </w:t>
      </w:r>
      <w:r>
        <w:rPr>
          <w:rFonts w:ascii="Times New Roman" w:hAnsi="Times New Roman" w:cs="Times New Roman"/>
          <w:sz w:val="24"/>
          <w:lang w:val="en-US"/>
        </w:rPr>
        <w:t>desired return or target return</w:t>
      </w:r>
      <w:r w:rsidR="008E5586" w:rsidRPr="00A375D6">
        <w:rPr>
          <w:rFonts w:ascii="Times New Roman" w:hAnsi="Times New Roman" w:cs="Times New Roman"/>
          <w:sz w:val="24"/>
          <w:lang w:val="en-US"/>
        </w:rPr>
        <w:t>.</w:t>
      </w:r>
    </w:p>
    <w:p w:rsidR="008E5586" w:rsidRDefault="00261FDB" w:rsidP="00261FDB">
      <w:pPr>
        <w:spacing w:line="360" w:lineRule="auto"/>
        <w:ind w:firstLine="708"/>
        <w:jc w:val="both"/>
        <w:rPr>
          <w:rFonts w:ascii="Times New Roman" w:hAnsi="Times New Roman" w:cs="Times New Roman"/>
          <w:sz w:val="24"/>
          <w:lang w:val="en-US"/>
        </w:rPr>
      </w:pPr>
      <w:r w:rsidRPr="00303FFE">
        <w:rPr>
          <w:rFonts w:ascii="Times New Roman" w:hAnsi="Times New Roman" w:cs="Times New Roman"/>
          <w:sz w:val="24"/>
          <w:lang w:val="en-US"/>
        </w:rPr>
        <w:t xml:space="preserve">Later Markowitz recognized </w:t>
      </w:r>
      <w:r w:rsidRPr="00A375D6">
        <w:rPr>
          <w:rFonts w:ascii="Times New Roman" w:hAnsi="Times New Roman" w:cs="Times New Roman"/>
          <w:sz w:val="24"/>
          <w:lang w:val="en-US"/>
        </w:rPr>
        <w:t>the importance of this idea.</w:t>
      </w:r>
      <w:r>
        <w:rPr>
          <w:rFonts w:ascii="Times New Roman" w:hAnsi="Times New Roman" w:cs="Times New Roman"/>
          <w:sz w:val="24"/>
          <w:lang w:val="en-US"/>
        </w:rPr>
        <w:t xml:space="preserve"> In paper</w:t>
      </w:r>
      <w:r w:rsidRPr="00303FFE">
        <w:rPr>
          <w:rFonts w:ascii="Times New Roman" w:hAnsi="Times New Roman" w:cs="Times New Roman"/>
          <w:sz w:val="24"/>
          <w:lang w:val="en-US"/>
        </w:rPr>
        <w:t> </w:t>
      </w:r>
      <w:r>
        <w:rPr>
          <w:rFonts w:ascii="Times New Roman" w:hAnsi="Times New Roman" w:cs="Times New Roman"/>
          <w:sz w:val="24"/>
          <w:lang w:val="en-US"/>
        </w:rPr>
        <w:t>“</w:t>
      </w:r>
      <w:hyperlink r:id="rId13" w:history="1">
        <w:r w:rsidRPr="00303FFE">
          <w:rPr>
            <w:rFonts w:ascii="Times New Roman" w:hAnsi="Times New Roman" w:cs="Times New Roman"/>
            <w:sz w:val="24"/>
            <w:lang w:val="en-US"/>
          </w:rPr>
          <w:t>Portfolio Selection: Efficient Diversification of Investments</w:t>
        </w:r>
      </w:hyperlink>
      <w:r>
        <w:rPr>
          <w:rFonts w:ascii="Times New Roman" w:hAnsi="Times New Roman" w:cs="Times New Roman"/>
          <w:sz w:val="24"/>
          <w:lang w:val="en-US"/>
        </w:rPr>
        <w:t xml:space="preserve">” published in 1959 </w:t>
      </w:r>
      <w:r w:rsidRPr="00303FFE">
        <w:rPr>
          <w:rFonts w:ascii="Times New Roman" w:hAnsi="Times New Roman" w:cs="Times New Roman"/>
          <w:sz w:val="24"/>
          <w:lang w:val="en-US"/>
        </w:rPr>
        <w:t>Markowitz</w:t>
      </w:r>
      <w:r>
        <w:rPr>
          <w:rFonts w:ascii="Times New Roman" w:hAnsi="Times New Roman" w:cs="Times New Roman"/>
          <w:sz w:val="24"/>
          <w:lang w:val="en-US"/>
        </w:rPr>
        <w:t xml:space="preserve"> assumed that investors are inclined to minimize downside risk for two reasons. First, </w:t>
      </w:r>
      <w:r w:rsidRPr="00A375D6">
        <w:rPr>
          <w:rFonts w:ascii="Times New Roman" w:hAnsi="Times New Roman" w:cs="Times New Roman"/>
          <w:sz w:val="24"/>
          <w:lang w:val="en-US"/>
        </w:rPr>
        <w:t xml:space="preserve">only downside risk </w:t>
      </w:r>
      <w:r>
        <w:rPr>
          <w:rFonts w:ascii="Times New Roman" w:hAnsi="Times New Roman" w:cs="Times New Roman"/>
          <w:sz w:val="24"/>
          <w:lang w:val="en-US"/>
        </w:rPr>
        <w:t xml:space="preserve">is relevant to an investor. Second, security returns may not be normally distributed. For those reasons downside risk measure would help investor to make right decision when faced with </w:t>
      </w:r>
      <w:r w:rsidRPr="00A375D6">
        <w:rPr>
          <w:rFonts w:ascii="Times New Roman" w:hAnsi="Times New Roman" w:cs="Times New Roman"/>
          <w:sz w:val="24"/>
          <w:lang w:val="en-US"/>
        </w:rPr>
        <w:t>non</w:t>
      </w:r>
      <w:r>
        <w:rPr>
          <w:rFonts w:ascii="Times New Roman" w:hAnsi="Times New Roman" w:cs="Times New Roman"/>
          <w:sz w:val="24"/>
          <w:lang w:val="en-US"/>
        </w:rPr>
        <w:t>-</w:t>
      </w:r>
      <w:r w:rsidRPr="00A375D6">
        <w:rPr>
          <w:rFonts w:ascii="Times New Roman" w:hAnsi="Times New Roman" w:cs="Times New Roman"/>
          <w:sz w:val="24"/>
          <w:lang w:val="en-US"/>
        </w:rPr>
        <w:t>normal security return distributions</w:t>
      </w:r>
      <w:r>
        <w:rPr>
          <w:rFonts w:ascii="Times New Roman" w:hAnsi="Times New Roman" w:cs="Times New Roman"/>
          <w:sz w:val="24"/>
          <w:lang w:val="en-US"/>
        </w:rPr>
        <w:t xml:space="preserve">. </w:t>
      </w:r>
      <w:r w:rsidRPr="00303FFE">
        <w:rPr>
          <w:rFonts w:ascii="Times New Roman" w:hAnsi="Times New Roman" w:cs="Times New Roman"/>
          <w:sz w:val="24"/>
          <w:lang w:val="en-US"/>
        </w:rPr>
        <w:t>Markowitz</w:t>
      </w:r>
      <w:r>
        <w:rPr>
          <w:rFonts w:ascii="Times New Roman" w:hAnsi="Times New Roman" w:cs="Times New Roman"/>
          <w:sz w:val="24"/>
          <w:lang w:val="en-US"/>
        </w:rPr>
        <w:t xml:space="preserve"> highlights that when security returns are normally distributed both </w:t>
      </w:r>
      <w:r>
        <w:rPr>
          <w:rFonts w:ascii="Times New Roman" w:hAnsi="Times New Roman" w:cs="Times New Roman"/>
          <w:sz w:val="24"/>
          <w:lang w:val="en-US"/>
        </w:rPr>
        <w:lastRenderedPageBreak/>
        <w:t xml:space="preserve">downside risk measure as well as standard deviation provide accurate results. However, in case when the returns distribution is not normal </w:t>
      </w:r>
      <w:r w:rsidRPr="00A375D6">
        <w:rPr>
          <w:rFonts w:ascii="Times New Roman" w:hAnsi="Times New Roman" w:cs="Times New Roman"/>
          <w:sz w:val="24"/>
          <w:lang w:val="en-US"/>
        </w:rPr>
        <w:t xml:space="preserve">only the downside risk measure provides the </w:t>
      </w:r>
      <w:r>
        <w:rPr>
          <w:rFonts w:ascii="Times New Roman" w:hAnsi="Times New Roman" w:cs="Times New Roman"/>
          <w:sz w:val="24"/>
          <w:lang w:val="en-US"/>
        </w:rPr>
        <w:t>appropriate</w:t>
      </w:r>
      <w:r w:rsidRPr="00A375D6">
        <w:rPr>
          <w:rFonts w:ascii="Times New Roman" w:hAnsi="Times New Roman" w:cs="Times New Roman"/>
          <w:sz w:val="24"/>
          <w:lang w:val="en-US"/>
        </w:rPr>
        <w:t xml:space="preserve"> </w:t>
      </w:r>
      <w:r>
        <w:rPr>
          <w:rFonts w:ascii="Times New Roman" w:hAnsi="Times New Roman" w:cs="Times New Roman"/>
          <w:sz w:val="24"/>
          <w:lang w:val="en-US"/>
        </w:rPr>
        <w:t>results.</w:t>
      </w:r>
    </w:p>
    <w:p w:rsidR="00C96A80" w:rsidRPr="00C96A80" w:rsidRDefault="00C96A80" w:rsidP="00C96A80">
      <w:pPr>
        <w:spacing w:line="360" w:lineRule="auto"/>
        <w:ind w:firstLine="708"/>
        <w:jc w:val="both"/>
        <w:rPr>
          <w:rFonts w:ascii="Times New Roman" w:hAnsi="Times New Roman" w:cs="Times New Roman"/>
          <w:sz w:val="24"/>
          <w:lang w:val="en-US"/>
        </w:rPr>
      </w:pPr>
      <w:r w:rsidRPr="00C96A80">
        <w:rPr>
          <w:rFonts w:ascii="Times New Roman" w:hAnsi="Times New Roman" w:cs="Times New Roman"/>
          <w:sz w:val="24"/>
          <w:lang w:val="en-US"/>
        </w:rPr>
        <w:t>Hence, standard deviation as a measure of the aggregated risk describes the volatility around the mean of an investment’s returns</w:t>
      </w:r>
      <w:r>
        <w:rPr>
          <w:rFonts w:ascii="Times New Roman" w:hAnsi="Times New Roman" w:cs="Times New Roman"/>
          <w:sz w:val="24"/>
          <w:lang w:val="en-US"/>
        </w:rPr>
        <w:t>.</w:t>
      </w:r>
      <w:r w:rsidRPr="00C96A80">
        <w:rPr>
          <w:rFonts w:ascii="Times New Roman" w:hAnsi="Times New Roman" w:cs="Times New Roman"/>
          <w:sz w:val="24"/>
          <w:lang w:val="en-US"/>
        </w:rPr>
        <w:t xml:space="preserve"> However, this risk measure has several significant disadvantages:</w:t>
      </w:r>
    </w:p>
    <w:p w:rsidR="008E5586" w:rsidRPr="00F26C23" w:rsidRDefault="00C96A80" w:rsidP="008E5586">
      <w:pPr>
        <w:pStyle w:val="a3"/>
        <w:numPr>
          <w:ilvl w:val="0"/>
          <w:numId w:val="4"/>
        </w:numPr>
        <w:spacing w:after="160" w:line="360" w:lineRule="auto"/>
        <w:jc w:val="both"/>
        <w:rPr>
          <w:lang w:val="en-US"/>
        </w:rPr>
      </w:pPr>
      <w:r>
        <w:rPr>
          <w:lang w:val="en-US"/>
        </w:rPr>
        <w:t xml:space="preserve">Standard deviation </w:t>
      </w:r>
      <w:r w:rsidR="008E5586" w:rsidRPr="00F26C23">
        <w:rPr>
          <w:lang w:val="en-US"/>
        </w:rPr>
        <w:t xml:space="preserve">includes both variation above the mean below the mean.  </w:t>
      </w:r>
      <w:r>
        <w:rPr>
          <w:lang w:val="en-US"/>
        </w:rPr>
        <w:t>However, this behavior does not represent the risk preferences of majority investors</w:t>
      </w:r>
      <w:r w:rsidR="008E5586" w:rsidRPr="00F26C23">
        <w:rPr>
          <w:lang w:val="en-US"/>
        </w:rPr>
        <w:t xml:space="preserve">. </w:t>
      </w:r>
      <w:r>
        <w:rPr>
          <w:lang w:val="en-US"/>
        </w:rPr>
        <w:t>Majority</w:t>
      </w:r>
      <w:r w:rsidR="008E5586" w:rsidRPr="00F26C23">
        <w:rPr>
          <w:lang w:val="en-US"/>
        </w:rPr>
        <w:t xml:space="preserve"> investors only </w:t>
      </w:r>
      <w:r>
        <w:rPr>
          <w:lang w:val="en-US"/>
        </w:rPr>
        <w:t>consider variation</w:t>
      </w:r>
      <w:r w:rsidR="00CD02D3">
        <w:rPr>
          <w:lang w:val="en-US"/>
        </w:rPr>
        <w:t xml:space="preserve"> below acceptable return as undesirable</w:t>
      </w:r>
      <w:r>
        <w:rPr>
          <w:lang w:val="en-US"/>
        </w:rPr>
        <w:t xml:space="preserve"> risk</w:t>
      </w:r>
      <w:r w:rsidR="008E5586">
        <w:rPr>
          <w:lang w:val="en-US"/>
        </w:rPr>
        <w:t>.</w:t>
      </w:r>
    </w:p>
    <w:p w:rsidR="008E5586" w:rsidRPr="00F26C23" w:rsidRDefault="00C96A80" w:rsidP="008E5586">
      <w:pPr>
        <w:pStyle w:val="a3"/>
        <w:numPr>
          <w:ilvl w:val="0"/>
          <w:numId w:val="4"/>
        </w:numPr>
        <w:spacing w:after="160" w:line="360" w:lineRule="auto"/>
        <w:jc w:val="both"/>
        <w:rPr>
          <w:lang w:val="en-US"/>
        </w:rPr>
      </w:pPr>
      <w:r>
        <w:rPr>
          <w:lang w:val="en-US"/>
        </w:rPr>
        <w:t xml:space="preserve">Standard deviation </w:t>
      </w:r>
      <w:r w:rsidR="008E5586" w:rsidRPr="00F26C23">
        <w:rPr>
          <w:lang w:val="en-US"/>
        </w:rPr>
        <w:t>assumes that the returns are symmetric. This is not valid for exotic investments techniques like options or short selling.</w:t>
      </w:r>
    </w:p>
    <w:p w:rsidR="008E5586" w:rsidRDefault="00C96A80" w:rsidP="008E5586">
      <w:pPr>
        <w:pStyle w:val="a3"/>
        <w:numPr>
          <w:ilvl w:val="0"/>
          <w:numId w:val="4"/>
        </w:numPr>
        <w:spacing w:after="160" w:line="360" w:lineRule="auto"/>
        <w:jc w:val="both"/>
        <w:rPr>
          <w:lang w:val="en-US"/>
        </w:rPr>
      </w:pPr>
      <w:r>
        <w:rPr>
          <w:lang w:val="en-US"/>
        </w:rPr>
        <w:t xml:space="preserve">Standard deviation </w:t>
      </w:r>
      <w:r w:rsidR="008E5586">
        <w:rPr>
          <w:lang w:val="en-US"/>
        </w:rPr>
        <w:t>assumes that all investors</w:t>
      </w:r>
      <w:r>
        <w:rPr>
          <w:lang w:val="en-US"/>
        </w:rPr>
        <w:t xml:space="preserve"> </w:t>
      </w:r>
      <w:r w:rsidR="008E5586" w:rsidRPr="00F26C23">
        <w:rPr>
          <w:lang w:val="en-US"/>
        </w:rPr>
        <w:t>have the same definition of risk</w:t>
      </w:r>
      <w:r>
        <w:rPr>
          <w:lang w:val="en-US"/>
        </w:rPr>
        <w:t>.</w:t>
      </w:r>
      <w:r w:rsidR="00CD5F5C">
        <w:rPr>
          <w:rStyle w:val="a6"/>
          <w:lang w:val="en-US"/>
        </w:rPr>
        <w:footnoteReference w:id="3"/>
      </w:r>
    </w:p>
    <w:p w:rsidR="00FA468D" w:rsidRPr="00FA468D" w:rsidRDefault="00B4277B" w:rsidP="00FA468D">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Downside deviation </w:t>
      </w:r>
      <w:r w:rsidRPr="0054064E">
        <w:rPr>
          <w:rFonts w:ascii="Times New Roman" w:hAnsi="Times New Roman" w:cs="Times New Roman"/>
          <w:sz w:val="24"/>
          <w:lang w:val="en-US"/>
        </w:rPr>
        <w:t>(semi-deviation)</w:t>
      </w:r>
      <w:r>
        <w:rPr>
          <w:rFonts w:ascii="Times New Roman" w:hAnsi="Times New Roman" w:cs="Times New Roman"/>
          <w:sz w:val="24"/>
          <w:lang w:val="en-US"/>
        </w:rPr>
        <w:t xml:space="preserve"> is commonly used measurement approach of downside risk. This approach could be viewed as standard deviation of returns below minimum accepted returns (MAR). </w:t>
      </w:r>
      <w:r w:rsidR="00FA468D" w:rsidRPr="00F26C23">
        <w:rPr>
          <w:rFonts w:ascii="Times New Roman" w:hAnsi="Times New Roman" w:cs="Times New Roman"/>
          <w:sz w:val="24"/>
          <w:lang w:val="en-US"/>
        </w:rPr>
        <w:t>Downside deviation</w:t>
      </w:r>
      <w:r w:rsidR="00FA468D">
        <w:rPr>
          <w:rFonts w:ascii="Times New Roman" w:hAnsi="Times New Roman" w:cs="Times New Roman"/>
          <w:sz w:val="24"/>
          <w:lang w:val="en-US"/>
        </w:rPr>
        <w:t xml:space="preserve"> as a risk measure overcomes some disadvantages of </w:t>
      </w:r>
      <w:r w:rsidR="00FA468D" w:rsidRPr="00F26C23">
        <w:rPr>
          <w:rFonts w:ascii="Times New Roman" w:hAnsi="Times New Roman" w:cs="Times New Roman"/>
          <w:sz w:val="24"/>
          <w:lang w:val="en-US"/>
        </w:rPr>
        <w:t>standard deviation</w:t>
      </w:r>
      <w:r w:rsidR="00FA468D">
        <w:rPr>
          <w:rFonts w:ascii="Times New Roman" w:hAnsi="Times New Roman" w:cs="Times New Roman"/>
          <w:sz w:val="24"/>
          <w:lang w:val="en-US"/>
        </w:rPr>
        <w:t xml:space="preserve">, which </w:t>
      </w:r>
      <w:r w:rsidR="00FA468D" w:rsidRPr="00F26C23">
        <w:rPr>
          <w:rFonts w:ascii="Times New Roman" w:hAnsi="Times New Roman" w:cs="Times New Roman"/>
          <w:sz w:val="24"/>
          <w:lang w:val="en-US"/>
        </w:rPr>
        <w:t>makes no distinction between</w:t>
      </w:r>
      <w:r w:rsidR="00FA468D">
        <w:rPr>
          <w:rFonts w:ascii="Times New Roman" w:hAnsi="Times New Roman" w:cs="Times New Roman"/>
          <w:sz w:val="24"/>
          <w:lang w:val="en-US"/>
        </w:rPr>
        <w:t xml:space="preserve"> upside volatility and downside volatility. In case of standard deviation both</w:t>
      </w:r>
      <w:r w:rsidR="00FA468D" w:rsidRPr="00F26C23">
        <w:rPr>
          <w:rFonts w:ascii="Times New Roman" w:hAnsi="Times New Roman" w:cs="Times New Roman"/>
          <w:sz w:val="24"/>
          <w:lang w:val="en-US"/>
        </w:rPr>
        <w:t xml:space="preserve"> upside and downside </w:t>
      </w:r>
      <w:r w:rsidR="00FA468D">
        <w:rPr>
          <w:rFonts w:ascii="Times New Roman" w:hAnsi="Times New Roman" w:cs="Times New Roman"/>
          <w:sz w:val="24"/>
          <w:lang w:val="en-US"/>
        </w:rPr>
        <w:t>volatility</w:t>
      </w:r>
      <w:r w:rsidR="00FA468D" w:rsidRPr="00F26C23">
        <w:rPr>
          <w:rFonts w:ascii="Times New Roman" w:hAnsi="Times New Roman" w:cs="Times New Roman"/>
          <w:sz w:val="24"/>
          <w:lang w:val="en-US"/>
        </w:rPr>
        <w:t xml:space="preserve"> </w:t>
      </w:r>
      <w:r w:rsidR="00FA468D">
        <w:rPr>
          <w:rFonts w:ascii="Times New Roman" w:hAnsi="Times New Roman" w:cs="Times New Roman"/>
          <w:sz w:val="24"/>
          <w:lang w:val="en-US"/>
        </w:rPr>
        <w:t xml:space="preserve">equally influence the calculation of this risk measure. </w:t>
      </w:r>
      <w:r w:rsidR="009D3691">
        <w:rPr>
          <w:rFonts w:ascii="Times New Roman" w:hAnsi="Times New Roman" w:cs="Times New Roman"/>
          <w:sz w:val="24"/>
          <w:lang w:val="en-US"/>
        </w:rPr>
        <w:t>However,</w:t>
      </w:r>
      <w:r w:rsidR="00FA468D">
        <w:rPr>
          <w:rFonts w:ascii="Times New Roman" w:hAnsi="Times New Roman" w:cs="Times New Roman"/>
          <w:sz w:val="24"/>
          <w:lang w:val="en-US"/>
        </w:rPr>
        <w:t xml:space="preserve"> d</w:t>
      </w:r>
      <w:r w:rsidR="00FA468D" w:rsidRPr="00F26C23">
        <w:rPr>
          <w:rFonts w:ascii="Times New Roman" w:hAnsi="Times New Roman" w:cs="Times New Roman"/>
          <w:sz w:val="24"/>
          <w:lang w:val="en-US"/>
        </w:rPr>
        <w:t>ownside deviation</w:t>
      </w:r>
      <w:r w:rsidR="00FA468D">
        <w:rPr>
          <w:rFonts w:ascii="Times New Roman" w:hAnsi="Times New Roman" w:cs="Times New Roman"/>
          <w:sz w:val="24"/>
          <w:lang w:val="en-US"/>
        </w:rPr>
        <w:t xml:space="preserve"> considers </w:t>
      </w:r>
      <w:r w:rsidR="009D3691">
        <w:rPr>
          <w:rFonts w:ascii="Times New Roman" w:hAnsi="Times New Roman" w:cs="Times New Roman"/>
          <w:sz w:val="24"/>
          <w:lang w:val="en-US"/>
        </w:rPr>
        <w:t>only returns</w:t>
      </w:r>
      <w:r w:rsidR="00FA468D">
        <w:rPr>
          <w:rFonts w:ascii="Times New Roman" w:hAnsi="Times New Roman" w:cs="Times New Roman"/>
          <w:sz w:val="24"/>
          <w:lang w:val="en-US"/>
        </w:rPr>
        <w:t xml:space="preserve"> below </w:t>
      </w:r>
      <w:r w:rsidR="00FA468D" w:rsidRPr="00F26C23">
        <w:rPr>
          <w:rFonts w:ascii="Times New Roman" w:hAnsi="Times New Roman" w:cs="Times New Roman"/>
          <w:sz w:val="24"/>
          <w:lang w:val="en-US"/>
        </w:rPr>
        <w:t xml:space="preserve">a minimum acceptable </w:t>
      </w:r>
      <w:r w:rsidR="00FA468D">
        <w:rPr>
          <w:rFonts w:ascii="Times New Roman" w:hAnsi="Times New Roman" w:cs="Times New Roman"/>
          <w:sz w:val="24"/>
          <w:lang w:val="en-US"/>
        </w:rPr>
        <w:t>value and ignores upside deviation.</w:t>
      </w:r>
    </w:p>
    <w:p w:rsidR="0054064E" w:rsidRDefault="008E5586" w:rsidP="00FA468D">
      <w:pPr>
        <w:spacing w:line="360" w:lineRule="auto"/>
        <w:ind w:firstLine="708"/>
        <w:jc w:val="both"/>
        <w:rPr>
          <w:rFonts w:ascii="Times New Roman" w:hAnsi="Times New Roman" w:cs="Times New Roman"/>
          <w:sz w:val="24"/>
          <w:lang w:val="en-US"/>
        </w:rPr>
      </w:pPr>
      <w:r w:rsidRPr="00AF2CEC">
        <w:rPr>
          <w:rFonts w:ascii="Times New Roman" w:hAnsi="Times New Roman" w:cs="Times New Roman"/>
          <w:sz w:val="24"/>
          <w:lang w:val="en-US"/>
        </w:rPr>
        <w:t xml:space="preserve">Downside deviation </w:t>
      </w:r>
      <w:r>
        <w:rPr>
          <w:rFonts w:ascii="Times New Roman" w:hAnsi="Times New Roman" w:cs="Times New Roman"/>
          <w:sz w:val="24"/>
          <w:lang w:val="en-US"/>
        </w:rPr>
        <w:t>of</w:t>
      </w:r>
      <w:r w:rsidRPr="00AF2CEC">
        <w:rPr>
          <w:rFonts w:ascii="Times New Roman" w:hAnsi="Times New Roman" w:cs="Times New Roman"/>
          <w:sz w:val="24"/>
          <w:lang w:val="en-US"/>
        </w:rPr>
        <w:t xml:space="preserve"> returns is defined by the following equation</w:t>
      </w:r>
      <w:r>
        <w:rPr>
          <w:rFonts w:ascii="Times New Roman" w:hAnsi="Times New Roman" w:cs="Times New Roman"/>
          <w:sz w:val="24"/>
          <w:lang w:val="en-US"/>
        </w:rPr>
        <w:t xml:space="preserve"> (1.3):</w:t>
      </w:r>
    </w:p>
    <w:p w:rsidR="008E5586" w:rsidRPr="003B3B31" w:rsidRDefault="008E5586" w:rsidP="0054064E">
      <w:pPr>
        <w:spacing w:line="360" w:lineRule="auto"/>
        <w:ind w:firstLine="708"/>
        <w:jc w:val="both"/>
        <w:rPr>
          <w:rFonts w:ascii="Times New Roman" w:hAnsi="Times New Roman" w:cs="Times New Roman"/>
          <w:sz w:val="24"/>
          <w:lang w:val="en-US"/>
        </w:rPr>
      </w:pPr>
      <m:oMath>
        <m:r>
          <w:rPr>
            <w:rFonts w:ascii="Cambria Math" w:hAnsi="Cambria Math" w:cs="Times New Roman"/>
            <w:sz w:val="24"/>
            <w:lang w:val="en-US"/>
          </w:rPr>
          <m:t>σ=</m:t>
        </m:r>
        <m:rad>
          <m:radPr>
            <m:degHide m:val="1"/>
            <m:ctrlPr>
              <w:rPr>
                <w:rFonts w:ascii="Cambria Math" w:hAnsi="Cambria Math" w:cs="Times New Roman"/>
                <w:i/>
                <w:sz w:val="24"/>
                <w:lang w:val="en-US"/>
              </w:rPr>
            </m:ctrlPr>
          </m:radPr>
          <m:deg/>
          <m:e>
            <m:r>
              <w:rPr>
                <w:rFonts w:ascii="Cambria Math" w:hAnsi="Cambria Math" w:cs="Times New Roman"/>
                <w:sz w:val="24"/>
                <w:lang w:val="en-US"/>
              </w:rPr>
              <m:t>E</m:t>
            </m:r>
            <m:d>
              <m:dPr>
                <m:begChr m:val="["/>
                <m:endChr m:val="]"/>
                <m:ctrlPr>
                  <w:rPr>
                    <w:rFonts w:ascii="Cambria Math" w:hAnsi="Cambria Math" w:cs="Times New Roman"/>
                    <w:i/>
                    <w:sz w:val="24"/>
                    <w:lang w:val="en-US"/>
                  </w:rPr>
                </m:ctrlPr>
              </m:dPr>
              <m:e>
                <m:r>
                  <w:rPr>
                    <w:rFonts w:ascii="Cambria Math" w:hAnsi="Cambria Math" w:cs="Times New Roman"/>
                    <w:sz w:val="24"/>
                    <w:lang w:val="en-US"/>
                  </w:rPr>
                  <m:t>min</m:t>
                </m:r>
                <m:sSup>
                  <m:sSupPr>
                    <m:ctrlPr>
                      <w:rPr>
                        <w:rFonts w:ascii="Cambria Math" w:hAnsi="Cambria Math" w:cs="Times New Roman"/>
                        <w:i/>
                        <w:sz w:val="24"/>
                        <w:lang w:val="en-US"/>
                      </w:rPr>
                    </m:ctrlPr>
                  </m:sSupPr>
                  <m:e>
                    <m:d>
                      <m:dPr>
                        <m:begChr m:val="["/>
                        <m:endChr m:val="]"/>
                        <m:ctrlPr>
                          <w:rPr>
                            <w:rFonts w:ascii="Cambria Math" w:hAnsi="Cambria Math" w:cs="Times New Roman"/>
                            <w:i/>
                            <w:sz w:val="24"/>
                            <w:lang w:val="en-US"/>
                          </w:rPr>
                        </m:ctrlPr>
                      </m:dPr>
                      <m:e>
                        <m:d>
                          <m:dPr>
                            <m:ctrlPr>
                              <w:rPr>
                                <w:rFonts w:ascii="Cambria Math" w:hAnsi="Cambria Math" w:cs="Times New Roman"/>
                                <w:i/>
                                <w:sz w:val="24"/>
                                <w:lang w:val="en-US"/>
                              </w:rPr>
                            </m:ctrlPr>
                          </m:dPr>
                          <m:e>
                            <m:r>
                              <w:rPr>
                                <w:rFonts w:ascii="Cambria Math" w:hAnsi="Cambria Math" w:cs="Times New Roman"/>
                                <w:sz w:val="24"/>
                                <w:lang w:val="en-US"/>
                              </w:rPr>
                              <m:t>r-c</m:t>
                            </m:r>
                          </m:e>
                        </m:d>
                        <m:r>
                          <w:rPr>
                            <w:rFonts w:ascii="Cambria Math" w:hAnsi="Cambria Math" w:cs="Times New Roman"/>
                            <w:sz w:val="24"/>
                            <w:lang w:val="en-US"/>
                          </w:rPr>
                          <m:t>,0</m:t>
                        </m:r>
                      </m:e>
                    </m:d>
                  </m:e>
                  <m:sup>
                    <m:r>
                      <w:rPr>
                        <w:rFonts w:ascii="Cambria Math" w:hAnsi="Cambria Math" w:cs="Times New Roman"/>
                        <w:sz w:val="24"/>
                        <w:lang w:val="en-US"/>
                      </w:rPr>
                      <m:t>2</m:t>
                    </m:r>
                  </m:sup>
                </m:sSup>
              </m:e>
            </m:d>
          </m:e>
        </m:rad>
      </m:oMath>
      <w:r>
        <w:rPr>
          <w:rFonts w:ascii="Times New Roman" w:eastAsiaTheme="minorEastAsia" w:hAnsi="Times New Roman" w:cs="Times New Roman"/>
          <w:sz w:val="24"/>
          <w:lang w:val="en-US"/>
        </w:rPr>
        <w:t xml:space="preserve">                </w:t>
      </w:r>
      <w:r w:rsidR="0054064E">
        <w:rPr>
          <w:rFonts w:ascii="Times New Roman" w:eastAsiaTheme="minorEastAsia" w:hAnsi="Times New Roman" w:cs="Times New Roman"/>
          <w:sz w:val="24"/>
          <w:lang w:val="en-US"/>
        </w:rPr>
        <w:t xml:space="preserve">                                                           </w:t>
      </w:r>
      <w:r>
        <w:rPr>
          <w:rFonts w:ascii="Times New Roman" w:eastAsiaTheme="minorEastAsia" w:hAnsi="Times New Roman" w:cs="Times New Roman"/>
          <w:sz w:val="24"/>
          <w:lang w:val="en-US"/>
        </w:rPr>
        <w:t xml:space="preserve">            </w:t>
      </w:r>
      <w:r w:rsidR="0054064E">
        <w:rPr>
          <w:rFonts w:ascii="Times New Roman" w:eastAsiaTheme="minorEastAsia" w:hAnsi="Times New Roman" w:cs="Times New Roman"/>
          <w:sz w:val="24"/>
          <w:lang w:val="en-US"/>
        </w:rPr>
        <w:t xml:space="preserve">       (1.3</w:t>
      </w:r>
      <w:r>
        <w:rPr>
          <w:rFonts w:ascii="Times New Roman" w:eastAsiaTheme="minorEastAsia" w:hAnsi="Times New Roman" w:cs="Times New Roman"/>
          <w:sz w:val="24"/>
          <w:lang w:val="en-US"/>
        </w:rPr>
        <w:t>)</w:t>
      </w:r>
    </w:p>
    <w:p w:rsidR="008E5586" w:rsidRDefault="008E5586" w:rsidP="008E5586">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where </w:t>
      </w:r>
      <m:oMath>
        <m:r>
          <m:rPr>
            <m:sty m:val="p"/>
          </m:rPr>
          <w:rPr>
            <w:rFonts w:ascii="Cambria Math" w:hAnsi="Cambria Math" w:cs="Times New Roman"/>
            <w:sz w:val="24"/>
            <w:lang w:val="en-US"/>
          </w:rPr>
          <m:t>r</m:t>
        </m:r>
      </m:oMath>
      <w:r w:rsidRPr="003B3B31">
        <w:rPr>
          <w:rFonts w:ascii="Times New Roman" w:hAnsi="Times New Roman" w:cs="Times New Roman"/>
          <w:sz w:val="24"/>
          <w:lang w:val="en-US"/>
        </w:rPr>
        <w:t xml:space="preserve"> is the actual return</w:t>
      </w:r>
      <w:r>
        <w:rPr>
          <w:rFonts w:ascii="Times New Roman" w:hAnsi="Times New Roman" w:cs="Times New Roman"/>
          <w:sz w:val="24"/>
          <w:lang w:val="en-US"/>
        </w:rPr>
        <w:t xml:space="preserve"> below </w:t>
      </w:r>
      <m:oMath>
        <m:r>
          <w:rPr>
            <w:rFonts w:ascii="Cambria Math" w:hAnsi="Cambria Math" w:cs="Times New Roman"/>
            <w:sz w:val="24"/>
            <w:lang w:val="en-US"/>
          </w:rPr>
          <m:t>c</m:t>
        </m:r>
      </m:oMath>
      <w:r>
        <w:rPr>
          <w:rFonts w:ascii="Times New Roman" w:hAnsi="Times New Roman" w:cs="Times New Roman"/>
          <w:sz w:val="24"/>
          <w:lang w:val="en-US"/>
        </w:rPr>
        <w:t>.</w:t>
      </w:r>
      <w:r w:rsidRPr="00AF2CEC">
        <w:rPr>
          <w:rFonts w:ascii="Times New Roman" w:hAnsi="Times New Roman" w:cs="Times New Roman"/>
          <w:sz w:val="24"/>
          <w:lang w:val="en-US"/>
        </w:rPr>
        <w:t xml:space="preserve"> </w:t>
      </w:r>
      <w:r w:rsidR="00FA468D">
        <w:rPr>
          <w:rFonts w:ascii="Times New Roman" w:hAnsi="Times New Roman" w:cs="Times New Roman"/>
          <w:sz w:val="24"/>
          <w:lang w:val="en-US"/>
        </w:rPr>
        <w:t>The most f</w:t>
      </w:r>
      <w:r w:rsidRPr="00AF2CEC">
        <w:rPr>
          <w:rFonts w:ascii="Times New Roman" w:hAnsi="Times New Roman" w:cs="Times New Roman"/>
          <w:sz w:val="24"/>
          <w:lang w:val="en-US"/>
        </w:rPr>
        <w:t xml:space="preserve">requently used values for </w:t>
      </w:r>
      <m:oMath>
        <m:r>
          <w:rPr>
            <w:rFonts w:ascii="Cambria Math" w:hAnsi="Cambria Math" w:cs="Times New Roman"/>
            <w:sz w:val="24"/>
            <w:lang w:val="en-US"/>
          </w:rPr>
          <m:t>c</m:t>
        </m:r>
      </m:oMath>
      <w:r w:rsidRPr="00AF2CEC">
        <w:rPr>
          <w:rFonts w:ascii="Times New Roman" w:hAnsi="Times New Roman" w:cs="Times New Roman"/>
          <w:sz w:val="24"/>
          <w:lang w:val="en-US"/>
        </w:rPr>
        <w:t xml:space="preserve"> are the risk-free rate, a </w:t>
      </w:r>
      <w:r w:rsidR="00FA468D">
        <w:rPr>
          <w:rFonts w:ascii="Times New Roman" w:hAnsi="Times New Roman" w:cs="Times New Roman"/>
          <w:sz w:val="24"/>
          <w:lang w:val="en-US"/>
        </w:rPr>
        <w:t>minimum acceptable return of</w:t>
      </w:r>
      <w:r w:rsidRPr="00AF2CEC">
        <w:rPr>
          <w:rFonts w:ascii="Times New Roman" w:hAnsi="Times New Roman" w:cs="Times New Roman"/>
          <w:sz w:val="24"/>
          <w:lang w:val="en-US"/>
        </w:rPr>
        <w:t xml:space="preserve"> 0</w:t>
      </w:r>
      <w:r>
        <w:rPr>
          <w:rFonts w:ascii="Times New Roman" w:hAnsi="Times New Roman" w:cs="Times New Roman"/>
          <w:sz w:val="24"/>
          <w:lang w:val="en-US"/>
        </w:rPr>
        <w:t>.0</w:t>
      </w:r>
      <w:r w:rsidRPr="00AF2CEC">
        <w:rPr>
          <w:rFonts w:ascii="Times New Roman" w:hAnsi="Times New Roman" w:cs="Times New Roman"/>
          <w:sz w:val="24"/>
          <w:lang w:val="en-US"/>
        </w:rPr>
        <w:t>%, or the mean</w:t>
      </w:r>
      <w:r w:rsidR="00FA468D">
        <w:rPr>
          <w:rFonts w:ascii="Times New Roman" w:hAnsi="Times New Roman" w:cs="Times New Roman"/>
          <w:sz w:val="24"/>
          <w:lang w:val="en-US"/>
        </w:rPr>
        <w:t xml:space="preserve"> of t</w:t>
      </w:r>
      <w:r w:rsidRPr="00AF2CEC">
        <w:rPr>
          <w:rFonts w:ascii="Times New Roman" w:hAnsi="Times New Roman" w:cs="Times New Roman"/>
          <w:sz w:val="24"/>
          <w:lang w:val="en-US"/>
        </w:rPr>
        <w:t>he return series itself.</w:t>
      </w:r>
    </w:p>
    <w:p w:rsidR="00234806" w:rsidRDefault="00234806" w:rsidP="0023480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Similar to</w:t>
      </w:r>
      <w:r w:rsidRPr="00AF2CEC">
        <w:rPr>
          <w:rFonts w:ascii="Times New Roman" w:hAnsi="Times New Roman" w:cs="Times New Roman"/>
          <w:sz w:val="24"/>
          <w:lang w:val="en-US"/>
        </w:rPr>
        <w:t xml:space="preserve"> </w:t>
      </w:r>
      <w:r>
        <w:rPr>
          <w:rFonts w:ascii="Times New Roman" w:hAnsi="Times New Roman" w:cs="Times New Roman"/>
          <w:sz w:val="24"/>
          <w:lang w:val="en-US"/>
        </w:rPr>
        <w:t>standard deviation</w:t>
      </w:r>
      <w:r w:rsidRPr="00AF2CEC">
        <w:rPr>
          <w:rFonts w:ascii="Times New Roman" w:hAnsi="Times New Roman" w:cs="Times New Roman"/>
          <w:sz w:val="24"/>
          <w:lang w:val="en-US"/>
        </w:rPr>
        <w:t xml:space="preserve">, the lower the </w:t>
      </w:r>
      <w:r>
        <w:rPr>
          <w:rFonts w:ascii="Times New Roman" w:hAnsi="Times New Roman" w:cs="Times New Roman"/>
          <w:sz w:val="24"/>
          <w:lang w:val="en-US"/>
        </w:rPr>
        <w:t>downside deviation</w:t>
      </w:r>
      <w:r w:rsidRPr="00AF2CEC">
        <w:rPr>
          <w:rFonts w:ascii="Times New Roman" w:hAnsi="Times New Roman" w:cs="Times New Roman"/>
          <w:sz w:val="24"/>
          <w:lang w:val="en-US"/>
        </w:rPr>
        <w:t xml:space="preserve"> the better</w:t>
      </w:r>
      <w:r w:rsidR="009D3691">
        <w:rPr>
          <w:rFonts w:ascii="Times New Roman" w:hAnsi="Times New Roman" w:cs="Times New Roman"/>
          <w:sz w:val="24"/>
          <w:lang w:val="en-US"/>
        </w:rPr>
        <w:t xml:space="preserve"> </w:t>
      </w:r>
      <w:r>
        <w:rPr>
          <w:rFonts w:ascii="Times New Roman" w:hAnsi="Times New Roman" w:cs="Times New Roman"/>
          <w:sz w:val="24"/>
          <w:lang w:val="en-US"/>
        </w:rPr>
        <w:t>for investors</w:t>
      </w:r>
      <w:r w:rsidRPr="00AF2CEC">
        <w:rPr>
          <w:rFonts w:ascii="Times New Roman" w:hAnsi="Times New Roman" w:cs="Times New Roman"/>
          <w:sz w:val="24"/>
          <w:lang w:val="en-US"/>
        </w:rPr>
        <w:t>.</w:t>
      </w:r>
      <w:r>
        <w:rPr>
          <w:rFonts w:ascii="Times New Roman" w:hAnsi="Times New Roman" w:cs="Times New Roman"/>
          <w:sz w:val="24"/>
          <w:lang w:val="en-US"/>
        </w:rPr>
        <w:t xml:space="preserve"> However, it is important to look </w:t>
      </w:r>
      <w:r w:rsidRPr="00AF2CEC">
        <w:rPr>
          <w:rFonts w:ascii="Times New Roman" w:hAnsi="Times New Roman" w:cs="Times New Roman"/>
          <w:sz w:val="24"/>
          <w:lang w:val="en-US"/>
        </w:rPr>
        <w:t>at the downside deviation of a relevant benchmark</w:t>
      </w:r>
      <w:r w:rsidRPr="006F40B1">
        <w:rPr>
          <w:rFonts w:ascii="Times New Roman" w:hAnsi="Times New Roman" w:cs="Times New Roman"/>
          <w:sz w:val="24"/>
          <w:lang w:val="en-US"/>
        </w:rPr>
        <w:t xml:space="preserve"> </w:t>
      </w:r>
      <w:r>
        <w:rPr>
          <w:rFonts w:ascii="Times New Roman" w:hAnsi="Times New Roman" w:cs="Times New Roman"/>
          <w:sz w:val="24"/>
          <w:lang w:val="en-US"/>
        </w:rPr>
        <w:t xml:space="preserve">security </w:t>
      </w:r>
      <w:r w:rsidRPr="00AF2CEC">
        <w:rPr>
          <w:rFonts w:ascii="Times New Roman" w:hAnsi="Times New Roman" w:cs="Times New Roman"/>
          <w:sz w:val="24"/>
          <w:lang w:val="en-US"/>
        </w:rPr>
        <w:t>or an appropriate peer group</w:t>
      </w:r>
      <w:r>
        <w:rPr>
          <w:rFonts w:ascii="Times New Roman" w:hAnsi="Times New Roman" w:cs="Times New Roman"/>
          <w:sz w:val="24"/>
          <w:lang w:val="en-US"/>
        </w:rPr>
        <w:t xml:space="preserve"> in order to get an understanding of normal value for   </w:t>
      </w:r>
      <w:r w:rsidRPr="00AF2CEC">
        <w:rPr>
          <w:rFonts w:ascii="Times New Roman" w:hAnsi="Times New Roman" w:cs="Times New Roman"/>
          <w:sz w:val="24"/>
          <w:lang w:val="en-US"/>
        </w:rPr>
        <w:t>the downside deviation.</w:t>
      </w:r>
    </w:p>
    <w:p w:rsidR="008E5586" w:rsidRPr="00B872C9" w:rsidRDefault="00234806" w:rsidP="008E558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The</w:t>
      </w:r>
      <w:r w:rsidR="008E5586" w:rsidRPr="00B872C9">
        <w:rPr>
          <w:rFonts w:ascii="Times New Roman" w:hAnsi="Times New Roman" w:cs="Times New Roman"/>
          <w:sz w:val="24"/>
          <w:lang w:val="en-US"/>
        </w:rPr>
        <w:t xml:space="preserve"> graph</w:t>
      </w:r>
      <w:r>
        <w:rPr>
          <w:rFonts w:ascii="Times New Roman" w:hAnsi="Times New Roman" w:cs="Times New Roman"/>
          <w:sz w:val="24"/>
          <w:lang w:val="en-US"/>
        </w:rPr>
        <w:t xml:space="preserve"> below (fig. 1.2)</w:t>
      </w:r>
      <w:r w:rsidR="008E5586" w:rsidRPr="00B872C9">
        <w:rPr>
          <w:rFonts w:ascii="Times New Roman" w:hAnsi="Times New Roman" w:cs="Times New Roman"/>
          <w:sz w:val="24"/>
          <w:lang w:val="en-US"/>
        </w:rPr>
        <w:t xml:space="preserve"> shows a volatile series of </w:t>
      </w:r>
      <w:r w:rsidR="008E5586" w:rsidRPr="000128E7">
        <w:rPr>
          <w:rFonts w:ascii="Times New Roman" w:hAnsi="Times New Roman" w:cs="Times New Roman"/>
          <w:sz w:val="24"/>
          <w:lang w:val="en-US"/>
        </w:rPr>
        <w:t>Cullen/Frost Bankers, Inc.</w:t>
      </w:r>
      <w:r w:rsidR="008E5586">
        <w:rPr>
          <w:rFonts w:ascii="Times New Roman" w:hAnsi="Times New Roman" w:cs="Times New Roman"/>
          <w:sz w:val="24"/>
          <w:lang w:val="en-US"/>
        </w:rPr>
        <w:t xml:space="preserve"> </w:t>
      </w:r>
      <w:r w:rsidR="008E5586" w:rsidRPr="00B872C9">
        <w:rPr>
          <w:rFonts w:ascii="Times New Roman" w:hAnsi="Times New Roman" w:cs="Times New Roman"/>
          <w:sz w:val="24"/>
          <w:lang w:val="en-US"/>
        </w:rPr>
        <w:t>returns used for the calculation of both standard deviation and downside deviation. Standard deviation incorporates all of the data</w:t>
      </w:r>
      <w:r w:rsidR="008E5586">
        <w:rPr>
          <w:rFonts w:ascii="Times New Roman" w:hAnsi="Times New Roman" w:cs="Times New Roman"/>
          <w:sz w:val="24"/>
          <w:lang w:val="en-US"/>
        </w:rPr>
        <w:t xml:space="preserve"> </w:t>
      </w:r>
      <w:r w:rsidR="008E5586" w:rsidRPr="00B872C9">
        <w:rPr>
          <w:rFonts w:ascii="Times New Roman" w:hAnsi="Times New Roman" w:cs="Times New Roman"/>
          <w:sz w:val="24"/>
          <w:lang w:val="en-US"/>
        </w:rPr>
        <w:t xml:space="preserve">points in the series. With downside deviation only the </w:t>
      </w:r>
      <w:r w:rsidR="008E5586">
        <w:rPr>
          <w:rFonts w:ascii="Times New Roman" w:hAnsi="Times New Roman" w:cs="Times New Roman"/>
          <w:sz w:val="24"/>
          <w:lang w:val="en-US"/>
        </w:rPr>
        <w:t>returns below 0.0%</w:t>
      </w:r>
      <w:r w:rsidR="008E5586" w:rsidRPr="00B872C9">
        <w:rPr>
          <w:rFonts w:ascii="Times New Roman" w:hAnsi="Times New Roman" w:cs="Times New Roman"/>
          <w:sz w:val="24"/>
          <w:lang w:val="en-US"/>
        </w:rPr>
        <w:t xml:space="preserve"> are counted.</w:t>
      </w:r>
    </w:p>
    <w:p w:rsidR="008E5586" w:rsidRDefault="008E5586" w:rsidP="008E5586">
      <w:pPr>
        <w:spacing w:line="360" w:lineRule="auto"/>
        <w:ind w:firstLine="708"/>
        <w:jc w:val="both"/>
        <w:rPr>
          <w:rFonts w:ascii="Times New Roman" w:hAnsi="Times New Roman" w:cs="Times New Roman"/>
          <w:sz w:val="24"/>
          <w:lang w:val="en-US"/>
        </w:rPr>
      </w:pPr>
      <w:r>
        <w:rPr>
          <w:noProof/>
          <w:lang w:eastAsia="ru-RU"/>
        </w:rPr>
        <w:drawing>
          <wp:inline distT="0" distB="0" distL="0" distR="0" wp14:anchorId="31A2CF3E" wp14:editId="4DF54F45">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5586" w:rsidRPr="00CA7EF3" w:rsidRDefault="0054064E" w:rsidP="008E5586">
      <w:pPr>
        <w:spacing w:line="360" w:lineRule="auto"/>
        <w:ind w:firstLine="708"/>
        <w:jc w:val="center"/>
        <w:rPr>
          <w:rFonts w:ascii="Times New Roman" w:hAnsi="Times New Roman" w:cs="Times New Roman"/>
          <w:sz w:val="24"/>
          <w:lang w:val="en-US"/>
        </w:rPr>
      </w:pPr>
      <w:r w:rsidRPr="0054064E">
        <w:rPr>
          <w:rFonts w:ascii="Times New Roman" w:hAnsi="Times New Roman" w:cs="Times New Roman"/>
          <w:b/>
          <w:sz w:val="24"/>
          <w:lang w:val="en-US"/>
        </w:rPr>
        <w:t>Fig</w:t>
      </w:r>
      <w:r w:rsidR="003F7222">
        <w:rPr>
          <w:rFonts w:ascii="Times New Roman" w:hAnsi="Times New Roman" w:cs="Times New Roman"/>
          <w:b/>
          <w:sz w:val="24"/>
          <w:lang w:val="en-US"/>
        </w:rPr>
        <w:t>ure</w:t>
      </w:r>
      <w:r w:rsidRPr="0054064E">
        <w:rPr>
          <w:rFonts w:ascii="Times New Roman" w:hAnsi="Times New Roman" w:cs="Times New Roman"/>
          <w:b/>
          <w:sz w:val="24"/>
          <w:lang w:val="en-US"/>
        </w:rPr>
        <w:t xml:space="preserve"> 1.2</w:t>
      </w:r>
      <w:r w:rsidR="008E5586" w:rsidRPr="0054064E">
        <w:rPr>
          <w:rFonts w:ascii="Times New Roman" w:hAnsi="Times New Roman" w:cs="Times New Roman"/>
          <w:b/>
          <w:sz w:val="24"/>
          <w:lang w:val="en-US"/>
        </w:rPr>
        <w:t xml:space="preserve"> </w:t>
      </w:r>
      <w:r w:rsidR="008E5586" w:rsidRPr="00CA7EF3">
        <w:rPr>
          <w:rFonts w:ascii="Times New Roman" w:hAnsi="Times New Roman" w:cs="Times New Roman"/>
          <w:sz w:val="24"/>
          <w:lang w:val="en-US"/>
        </w:rPr>
        <w:t>Cullen/Frost Bankers, Inc. weekly rate of return, 2011 - 2013</w:t>
      </w:r>
    </w:p>
    <w:p w:rsidR="008E5586" w:rsidRDefault="008E5586" w:rsidP="008E5586">
      <w:pPr>
        <w:spacing w:line="360" w:lineRule="auto"/>
        <w:ind w:firstLine="708"/>
        <w:jc w:val="both"/>
        <w:rPr>
          <w:rFonts w:ascii="Times New Roman" w:hAnsi="Times New Roman" w:cs="Times New Roman"/>
          <w:sz w:val="24"/>
          <w:lang w:val="en-US"/>
        </w:rPr>
      </w:pPr>
      <w:r w:rsidRPr="00B574F7">
        <w:rPr>
          <w:rFonts w:ascii="Times New Roman" w:hAnsi="Times New Roman" w:cs="Times New Roman"/>
          <w:sz w:val="24"/>
          <w:lang w:val="en-US"/>
        </w:rPr>
        <w:t>In this example</w:t>
      </w:r>
      <w:r>
        <w:rPr>
          <w:rFonts w:ascii="Times New Roman" w:hAnsi="Times New Roman" w:cs="Times New Roman"/>
          <w:sz w:val="24"/>
          <w:lang w:val="en-US"/>
        </w:rPr>
        <w:t xml:space="preserve"> of </w:t>
      </w:r>
      <w:r w:rsidRPr="000128E7">
        <w:rPr>
          <w:rFonts w:ascii="Times New Roman" w:hAnsi="Times New Roman" w:cs="Times New Roman"/>
          <w:sz w:val="24"/>
          <w:lang w:val="en-US"/>
        </w:rPr>
        <w:t>Cullen/Frost Bankers, Inc.</w:t>
      </w:r>
      <w:r w:rsidRPr="00B574F7">
        <w:rPr>
          <w:rFonts w:ascii="Times New Roman" w:hAnsi="Times New Roman" w:cs="Times New Roman"/>
          <w:sz w:val="24"/>
          <w:lang w:val="en-US"/>
        </w:rPr>
        <w:t>, the downside deviation of 1.59</w:t>
      </w:r>
      <w:r>
        <w:rPr>
          <w:rFonts w:ascii="Times New Roman" w:hAnsi="Times New Roman" w:cs="Times New Roman"/>
          <w:sz w:val="24"/>
          <w:lang w:val="en-US"/>
        </w:rPr>
        <w:t>%</w:t>
      </w:r>
      <w:r w:rsidRPr="00B574F7">
        <w:rPr>
          <w:rFonts w:ascii="Times New Roman" w:hAnsi="Times New Roman" w:cs="Times New Roman"/>
          <w:sz w:val="24"/>
          <w:lang w:val="en-US"/>
        </w:rPr>
        <w:t xml:space="preserve"> is lower </w:t>
      </w:r>
      <w:r>
        <w:rPr>
          <w:rFonts w:ascii="Times New Roman" w:hAnsi="Times New Roman" w:cs="Times New Roman"/>
          <w:sz w:val="24"/>
          <w:lang w:val="en-US"/>
        </w:rPr>
        <w:t>than the standard deviation of 2</w:t>
      </w:r>
      <w:r w:rsidRPr="00B574F7">
        <w:rPr>
          <w:rFonts w:ascii="Times New Roman" w:hAnsi="Times New Roman" w:cs="Times New Roman"/>
          <w:sz w:val="24"/>
          <w:lang w:val="en-US"/>
        </w:rPr>
        <w:t>.60</w:t>
      </w:r>
      <w:r>
        <w:rPr>
          <w:rFonts w:ascii="Times New Roman" w:hAnsi="Times New Roman" w:cs="Times New Roman"/>
          <w:sz w:val="24"/>
          <w:lang w:val="en-US"/>
        </w:rPr>
        <w:t>%</w:t>
      </w:r>
      <w:r w:rsidRPr="00B574F7">
        <w:rPr>
          <w:rFonts w:ascii="Times New Roman" w:hAnsi="Times New Roman" w:cs="Times New Roman"/>
          <w:sz w:val="24"/>
          <w:lang w:val="en-US"/>
        </w:rPr>
        <w:t xml:space="preserve">.  </w:t>
      </w:r>
      <w:r>
        <w:rPr>
          <w:rFonts w:ascii="Times New Roman" w:hAnsi="Times New Roman" w:cs="Times New Roman"/>
          <w:sz w:val="24"/>
          <w:lang w:val="en-US"/>
        </w:rPr>
        <w:t>This</w:t>
      </w:r>
      <w:r w:rsidRPr="00B574F7">
        <w:rPr>
          <w:rFonts w:ascii="Times New Roman" w:hAnsi="Times New Roman" w:cs="Times New Roman"/>
          <w:sz w:val="24"/>
          <w:lang w:val="en-US"/>
        </w:rPr>
        <w:t xml:space="preserve"> means that the downside volatility in this return stream is lower than the overall volatility. If the reverse was true (where the downside deviation was higher than the standard deviation), that would mean that the </w:t>
      </w:r>
      <w:r w:rsidRPr="000128E7">
        <w:rPr>
          <w:rFonts w:ascii="Times New Roman" w:hAnsi="Times New Roman" w:cs="Times New Roman"/>
          <w:sz w:val="24"/>
          <w:lang w:val="en-US"/>
        </w:rPr>
        <w:t>Cullen/Frost Bankers, Inc.</w:t>
      </w:r>
      <w:r w:rsidRPr="00B574F7">
        <w:rPr>
          <w:rFonts w:ascii="Times New Roman" w:hAnsi="Times New Roman" w:cs="Times New Roman"/>
          <w:sz w:val="24"/>
          <w:lang w:val="en-US"/>
        </w:rPr>
        <w:t xml:space="preserve"> negative </w:t>
      </w:r>
      <w:r>
        <w:rPr>
          <w:rFonts w:ascii="Times New Roman" w:hAnsi="Times New Roman" w:cs="Times New Roman"/>
          <w:sz w:val="24"/>
          <w:lang w:val="en-US"/>
        </w:rPr>
        <w:t>weeks</w:t>
      </w:r>
      <w:r w:rsidRPr="00B574F7">
        <w:rPr>
          <w:rFonts w:ascii="Times New Roman" w:hAnsi="Times New Roman" w:cs="Times New Roman"/>
          <w:sz w:val="24"/>
          <w:lang w:val="en-US"/>
        </w:rPr>
        <w:t xml:space="preserve"> are much more volatile than the positive </w:t>
      </w:r>
      <w:r>
        <w:rPr>
          <w:rFonts w:ascii="Times New Roman" w:hAnsi="Times New Roman" w:cs="Times New Roman"/>
          <w:sz w:val="24"/>
          <w:lang w:val="en-US"/>
        </w:rPr>
        <w:t>week</w:t>
      </w:r>
      <w:r w:rsidRPr="00B574F7">
        <w:rPr>
          <w:rFonts w:ascii="Times New Roman" w:hAnsi="Times New Roman" w:cs="Times New Roman"/>
          <w:sz w:val="24"/>
          <w:lang w:val="en-US"/>
        </w:rPr>
        <w:t>s. Both standard deviation and downside deviation have unique qualities in assessing risk and can be used differently.</w:t>
      </w:r>
      <w:r>
        <w:rPr>
          <w:rFonts w:ascii="Times New Roman" w:hAnsi="Times New Roman" w:cs="Times New Roman"/>
          <w:sz w:val="24"/>
          <w:lang w:val="en-US"/>
        </w:rPr>
        <w:tab/>
      </w:r>
    </w:p>
    <w:p w:rsidR="008E5586" w:rsidRDefault="008E5586" w:rsidP="008E558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Ang, C</w:t>
      </w:r>
      <w:r w:rsidR="0094392D">
        <w:rPr>
          <w:rFonts w:ascii="Times New Roman" w:hAnsi="Times New Roman" w:cs="Times New Roman"/>
          <w:sz w:val="24"/>
          <w:lang w:val="en-US"/>
        </w:rPr>
        <w:t>hen and Xing</w:t>
      </w:r>
      <w:r>
        <w:rPr>
          <w:rFonts w:ascii="Times New Roman" w:hAnsi="Times New Roman" w:cs="Times New Roman"/>
          <w:sz w:val="24"/>
          <w:lang w:val="en-US"/>
        </w:rPr>
        <w:t xml:space="preserve"> </w:t>
      </w:r>
      <w:r w:rsidR="0094392D">
        <w:rPr>
          <w:rFonts w:ascii="Times New Roman" w:hAnsi="Times New Roman" w:cs="Times New Roman"/>
          <w:sz w:val="24"/>
          <w:lang w:val="en-US"/>
        </w:rPr>
        <w:t>(</w:t>
      </w:r>
      <w:r>
        <w:rPr>
          <w:rFonts w:ascii="Times New Roman" w:hAnsi="Times New Roman" w:cs="Times New Roman"/>
          <w:sz w:val="24"/>
          <w:lang w:val="en-US"/>
        </w:rPr>
        <w:t>2005</w:t>
      </w:r>
      <w:r w:rsidR="0094392D">
        <w:rPr>
          <w:rFonts w:ascii="Times New Roman" w:hAnsi="Times New Roman" w:cs="Times New Roman"/>
          <w:sz w:val="24"/>
          <w:lang w:val="en-US"/>
        </w:rPr>
        <w:t>)</w:t>
      </w:r>
      <w:r>
        <w:rPr>
          <w:rFonts w:ascii="Times New Roman" w:hAnsi="Times New Roman" w:cs="Times New Roman"/>
          <w:sz w:val="24"/>
          <w:lang w:val="en-US"/>
        </w:rPr>
        <w:t xml:space="preserve"> in their report</w:t>
      </w:r>
      <w:r w:rsidR="0094392D">
        <w:rPr>
          <w:rFonts w:ascii="Times New Roman" w:hAnsi="Times New Roman" w:cs="Times New Roman"/>
          <w:sz w:val="24"/>
          <w:lang w:val="en-US"/>
        </w:rPr>
        <w:t xml:space="preserve"> investigated</w:t>
      </w:r>
      <w:r>
        <w:rPr>
          <w:rFonts w:ascii="Times New Roman" w:hAnsi="Times New Roman" w:cs="Times New Roman"/>
          <w:sz w:val="24"/>
          <w:lang w:val="en-US"/>
        </w:rPr>
        <w:t xml:space="preserve"> </w:t>
      </w:r>
      <w:r w:rsidRPr="005C197D">
        <w:rPr>
          <w:rFonts w:ascii="Times New Roman" w:hAnsi="Times New Roman" w:cs="Times New Roman"/>
          <w:sz w:val="24"/>
          <w:lang w:val="en-US"/>
        </w:rPr>
        <w:t>whether the cross-section of stock returns reflects a premium for downside risk. The</w:t>
      </w:r>
      <w:r w:rsidR="0094392D">
        <w:rPr>
          <w:rFonts w:ascii="Times New Roman" w:hAnsi="Times New Roman" w:cs="Times New Roman"/>
          <w:sz w:val="24"/>
          <w:lang w:val="en-US"/>
        </w:rPr>
        <w:t>y</w:t>
      </w:r>
      <w:r w:rsidRPr="005C197D">
        <w:rPr>
          <w:rFonts w:ascii="Times New Roman" w:hAnsi="Times New Roman" w:cs="Times New Roman"/>
          <w:sz w:val="24"/>
          <w:lang w:val="en-US"/>
        </w:rPr>
        <w:t xml:space="preserve"> highlight the importance of downside risk because investors care differently about downside losses versus upside gains. Agents who place greater weight on downside risk demand additional compensation for holding stocks with high sensitivities to downside market movements.</w:t>
      </w:r>
    </w:p>
    <w:p w:rsidR="008E5586" w:rsidRDefault="00CA33D8" w:rsidP="00CA33D8">
      <w:pPr>
        <w:pStyle w:val="2"/>
        <w:rPr>
          <w:lang w:val="en-US"/>
        </w:rPr>
      </w:pPr>
      <w:bookmarkStart w:id="5" w:name="_Toc451925544"/>
      <w:r>
        <w:rPr>
          <w:lang w:val="en-US"/>
        </w:rPr>
        <w:t>1.3.</w:t>
      </w:r>
      <w:r w:rsidR="00511ACA">
        <w:rPr>
          <w:lang w:val="en-US"/>
        </w:rPr>
        <w:t xml:space="preserve"> </w:t>
      </w:r>
      <w:r w:rsidR="002E448E">
        <w:rPr>
          <w:lang w:val="en-US"/>
        </w:rPr>
        <w:t>Beta as a measure of s</w:t>
      </w:r>
      <w:r w:rsidR="008E5586" w:rsidRPr="00CA33D8">
        <w:rPr>
          <w:lang w:val="en-US"/>
        </w:rPr>
        <w:t>ystemic</w:t>
      </w:r>
      <w:r w:rsidR="008E5586">
        <w:rPr>
          <w:lang w:val="en-US"/>
        </w:rPr>
        <w:t xml:space="preserve"> risk</w:t>
      </w:r>
      <w:bookmarkEnd w:id="5"/>
    </w:p>
    <w:p w:rsidR="008E5586" w:rsidRDefault="008E5586" w:rsidP="008E558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S</w:t>
      </w:r>
      <w:r w:rsidRPr="00CF2204">
        <w:rPr>
          <w:rFonts w:ascii="Times New Roman" w:hAnsi="Times New Roman" w:cs="Times New Roman"/>
          <w:sz w:val="24"/>
          <w:lang w:val="en-US"/>
        </w:rPr>
        <w:t xml:space="preserve">ystemic risk is a difficult concept to define precisely. A recent report by the Group of Ten countries (2001) on financial sector consolidation defined systemic risk as “the risk that an event will trigger a loss of economic value or confidence in, and attendant increases in uncertainty about, </w:t>
      </w:r>
      <w:r w:rsidRPr="00CF2204">
        <w:rPr>
          <w:rFonts w:ascii="Times New Roman" w:hAnsi="Times New Roman" w:cs="Times New Roman"/>
          <w:sz w:val="24"/>
          <w:lang w:val="en-US"/>
        </w:rPr>
        <w:lastRenderedPageBreak/>
        <w:t>a substantial portion of the financial system that is serious enough to quite probably have significant adverse effects on the real economy.”</w:t>
      </w:r>
      <w:r>
        <w:rPr>
          <w:rStyle w:val="a6"/>
          <w:rFonts w:ascii="Times New Roman" w:hAnsi="Times New Roman" w:cs="Times New Roman"/>
          <w:sz w:val="24"/>
          <w:lang w:val="en-US"/>
        </w:rPr>
        <w:footnoteReference w:id="4"/>
      </w:r>
    </w:p>
    <w:p w:rsidR="00353A13" w:rsidRPr="00F35346" w:rsidRDefault="00353A13" w:rsidP="00353A13">
      <w:pPr>
        <w:spacing w:line="360" w:lineRule="auto"/>
        <w:ind w:firstLine="708"/>
        <w:jc w:val="both"/>
        <w:rPr>
          <w:rFonts w:ascii="Times New Roman" w:hAnsi="Times New Roman" w:cs="Times New Roman"/>
          <w:sz w:val="24"/>
          <w:szCs w:val="24"/>
          <w:lang w:val="en-US"/>
        </w:rPr>
      </w:pPr>
      <w:r w:rsidRPr="00F35346">
        <w:rPr>
          <w:rFonts w:ascii="Times New Roman" w:hAnsi="Times New Roman" w:cs="Times New Roman"/>
          <w:sz w:val="24"/>
          <w:szCs w:val="24"/>
          <w:lang w:val="en-US"/>
        </w:rPr>
        <w:t xml:space="preserve">However, there is a common point in various definitions of </w:t>
      </w:r>
      <w:r w:rsidR="00DE47A1">
        <w:rPr>
          <w:rFonts w:ascii="Times New Roman" w:hAnsi="Times New Roman" w:cs="Times New Roman"/>
          <w:sz w:val="24"/>
          <w:szCs w:val="24"/>
          <w:lang w:val="en-US"/>
        </w:rPr>
        <w:t>systemic</w:t>
      </w:r>
      <w:r w:rsidRPr="00F35346">
        <w:rPr>
          <w:rFonts w:ascii="Times New Roman" w:hAnsi="Times New Roman" w:cs="Times New Roman"/>
          <w:sz w:val="24"/>
          <w:szCs w:val="24"/>
          <w:lang w:val="en-US"/>
        </w:rPr>
        <w:t xml:space="preserve"> risk.  Occasionally a trigger event such as an economic shock or institutional failure takes place that in turn result in a chain of bad economic consequences. The consequences may range from significant losses to financial institutions or substantial financial-market price volatility to financial institution or market failures</w:t>
      </w:r>
      <w:r w:rsidR="0094392D">
        <w:rPr>
          <w:rFonts w:ascii="Times New Roman" w:hAnsi="Times New Roman" w:cs="Times New Roman"/>
          <w:sz w:val="24"/>
          <w:szCs w:val="24"/>
          <w:lang w:val="en-US"/>
        </w:rPr>
        <w:t>,</w:t>
      </w:r>
      <w:r>
        <w:rPr>
          <w:rFonts w:ascii="Times New Roman" w:hAnsi="Times New Roman" w:cs="Times New Roman"/>
          <w:sz w:val="24"/>
          <w:szCs w:val="24"/>
          <w:lang w:val="en-US"/>
        </w:rPr>
        <w:t xml:space="preserve"> and they affect </w:t>
      </w:r>
      <w:r w:rsidRPr="00F35346">
        <w:rPr>
          <w:rFonts w:ascii="Times New Roman" w:hAnsi="Times New Roman" w:cs="Times New Roman"/>
          <w:sz w:val="24"/>
          <w:szCs w:val="24"/>
          <w:lang w:val="en-US"/>
        </w:rPr>
        <w:t xml:space="preserve">financial institutions, markets, or both. This situation is often called a domino effect.  </w:t>
      </w:r>
    </w:p>
    <w:p w:rsidR="00120031" w:rsidRDefault="00120031" w:rsidP="00120031">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failure of banks and </w:t>
      </w:r>
      <w:r w:rsidRPr="00DB077E">
        <w:rPr>
          <w:rFonts w:ascii="Times New Roman" w:hAnsi="Times New Roman" w:cs="Times New Roman"/>
          <w:sz w:val="24"/>
          <w:lang w:val="en-US"/>
        </w:rPr>
        <w:t>other financial institutions</w:t>
      </w:r>
      <w:r>
        <w:rPr>
          <w:rFonts w:ascii="Times New Roman" w:hAnsi="Times New Roman" w:cs="Times New Roman"/>
          <w:sz w:val="24"/>
          <w:lang w:val="en-US"/>
        </w:rPr>
        <w:t xml:space="preserve"> as important sources of capital, especially in significant numbers, can result in lack of capital available for society and its increased costs. </w:t>
      </w:r>
      <w:r w:rsidRPr="00DB077E">
        <w:rPr>
          <w:rFonts w:ascii="Times New Roman" w:hAnsi="Times New Roman" w:cs="Times New Roman"/>
          <w:sz w:val="24"/>
          <w:lang w:val="en-US"/>
        </w:rPr>
        <w:t>Increase</w:t>
      </w:r>
      <w:r>
        <w:rPr>
          <w:rFonts w:ascii="Times New Roman" w:hAnsi="Times New Roman" w:cs="Times New Roman"/>
          <w:sz w:val="24"/>
          <w:lang w:val="en-US"/>
        </w:rPr>
        <w:t>d</w:t>
      </w:r>
      <w:r w:rsidRPr="00DB077E">
        <w:rPr>
          <w:rFonts w:ascii="Times New Roman" w:hAnsi="Times New Roman" w:cs="Times New Roman"/>
          <w:sz w:val="24"/>
          <w:lang w:val="en-US"/>
        </w:rPr>
        <w:t xml:space="preserve"> cost of capital</w:t>
      </w:r>
      <w:r>
        <w:rPr>
          <w:rFonts w:ascii="Times New Roman" w:hAnsi="Times New Roman" w:cs="Times New Roman"/>
          <w:sz w:val="24"/>
          <w:lang w:val="en-US"/>
        </w:rPr>
        <w:t xml:space="preserve"> as well as</w:t>
      </w:r>
      <w:r w:rsidRPr="00DB077E">
        <w:rPr>
          <w:rFonts w:ascii="Times New Roman" w:hAnsi="Times New Roman" w:cs="Times New Roman"/>
          <w:sz w:val="24"/>
          <w:lang w:val="en-US"/>
        </w:rPr>
        <w:t xml:space="preserve"> decrease in its availability, are the most </w:t>
      </w:r>
      <w:r>
        <w:rPr>
          <w:rFonts w:ascii="Times New Roman" w:hAnsi="Times New Roman" w:cs="Times New Roman"/>
          <w:sz w:val="24"/>
          <w:lang w:val="en-US"/>
        </w:rPr>
        <w:t>severe</w:t>
      </w:r>
      <w:r w:rsidRPr="00DB077E">
        <w:rPr>
          <w:rFonts w:ascii="Times New Roman" w:hAnsi="Times New Roman" w:cs="Times New Roman"/>
          <w:sz w:val="24"/>
          <w:lang w:val="en-US"/>
        </w:rPr>
        <w:t xml:space="preserve"> consequences of a systemic failure.</w:t>
      </w:r>
    </w:p>
    <w:p w:rsidR="00564E2D" w:rsidRPr="005117C0" w:rsidRDefault="00564E2D" w:rsidP="00564E2D">
      <w:pPr>
        <w:spacing w:line="360" w:lineRule="auto"/>
        <w:ind w:firstLine="708"/>
        <w:jc w:val="both"/>
        <w:rPr>
          <w:lang w:val="en-US"/>
        </w:rPr>
      </w:pPr>
      <w:r>
        <w:rPr>
          <w:rFonts w:ascii="Times New Roman" w:hAnsi="Times New Roman" w:cs="Times New Roman"/>
          <w:sz w:val="24"/>
          <w:lang w:val="en-US"/>
        </w:rPr>
        <w:t xml:space="preserve">A “bank run” could be one of the classic examples of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 A “bank run” occurs when a large number of bank’s customers withdraw money from their deposits and bank is not able to satisfy these </w:t>
      </w:r>
      <w:r w:rsidRPr="00DB077E">
        <w:rPr>
          <w:rFonts w:ascii="Times New Roman" w:hAnsi="Times New Roman" w:cs="Times New Roman"/>
          <w:sz w:val="24"/>
          <w:lang w:val="en-US"/>
        </w:rPr>
        <w:t>demands</w:t>
      </w:r>
      <w:r>
        <w:rPr>
          <w:rFonts w:ascii="Times New Roman" w:hAnsi="Times New Roman" w:cs="Times New Roman"/>
          <w:sz w:val="24"/>
          <w:lang w:val="en-US"/>
        </w:rPr>
        <w:t>. This in turn cause</w:t>
      </w:r>
      <w:r w:rsidRPr="005117C0">
        <w:rPr>
          <w:rFonts w:ascii="Times New Roman" w:hAnsi="Times New Roman" w:cs="Times New Roman"/>
          <w:sz w:val="24"/>
          <w:lang w:val="en-US"/>
        </w:rPr>
        <w:t xml:space="preserve"> </w:t>
      </w:r>
      <w:r w:rsidRPr="00DB077E">
        <w:rPr>
          <w:rFonts w:ascii="Times New Roman" w:hAnsi="Times New Roman" w:cs="Times New Roman"/>
          <w:sz w:val="24"/>
          <w:lang w:val="en-US"/>
        </w:rPr>
        <w:t>other ban</w:t>
      </w:r>
      <w:r>
        <w:rPr>
          <w:rFonts w:ascii="Times New Roman" w:hAnsi="Times New Roman" w:cs="Times New Roman"/>
          <w:sz w:val="24"/>
          <w:lang w:val="en-US"/>
        </w:rPr>
        <w:t xml:space="preserve">ks or their creditors to fail. This situation occurs when customers believe that financial institution might become insolvent and they try to </w:t>
      </w:r>
      <w:r w:rsidRPr="00DB077E">
        <w:rPr>
          <w:rFonts w:ascii="Times New Roman" w:hAnsi="Times New Roman" w:cs="Times New Roman"/>
          <w:sz w:val="24"/>
          <w:lang w:val="en-US"/>
        </w:rPr>
        <w:t>withdraw their monies</w:t>
      </w:r>
      <w:r>
        <w:rPr>
          <w:rFonts w:ascii="Times New Roman" w:hAnsi="Times New Roman" w:cs="Times New Roman"/>
          <w:sz w:val="24"/>
          <w:lang w:val="en-US"/>
        </w:rPr>
        <w:t xml:space="preserve"> quickly. Banks normally keeps a small amount </w:t>
      </w:r>
      <w:r w:rsidRPr="00FA15DB">
        <w:rPr>
          <w:rFonts w:ascii="Times New Roman" w:hAnsi="Times New Roman" w:cs="Times New Roman"/>
          <w:sz w:val="24"/>
          <w:lang w:val="en-US"/>
        </w:rPr>
        <w:t>of their assets as cash</w:t>
      </w:r>
      <w:r>
        <w:rPr>
          <w:rFonts w:ascii="Times New Roman" w:hAnsi="Times New Roman" w:cs="Times New Roman"/>
          <w:sz w:val="24"/>
          <w:lang w:val="en-US"/>
        </w:rPr>
        <w:t xml:space="preserve">, they might have </w:t>
      </w:r>
      <w:r w:rsidRPr="00DB077E">
        <w:rPr>
          <w:rFonts w:ascii="Times New Roman" w:hAnsi="Times New Roman" w:cs="Times New Roman"/>
          <w:sz w:val="24"/>
          <w:lang w:val="en-US"/>
        </w:rPr>
        <w:t xml:space="preserve">insufficient cash to </w:t>
      </w:r>
      <w:r>
        <w:rPr>
          <w:rFonts w:ascii="Times New Roman" w:hAnsi="Times New Roman" w:cs="Times New Roman"/>
          <w:sz w:val="24"/>
          <w:lang w:val="en-US"/>
        </w:rPr>
        <w:t xml:space="preserve">satisfy </w:t>
      </w:r>
      <w:r w:rsidRPr="00DB077E">
        <w:rPr>
          <w:rFonts w:ascii="Times New Roman" w:hAnsi="Times New Roman" w:cs="Times New Roman"/>
          <w:sz w:val="24"/>
          <w:lang w:val="en-US"/>
        </w:rPr>
        <w:t>demands, causing it to default and ultimately fai</w:t>
      </w:r>
      <w:r>
        <w:rPr>
          <w:rFonts w:ascii="Times New Roman" w:hAnsi="Times New Roman" w:cs="Times New Roman"/>
          <w:sz w:val="24"/>
          <w:lang w:val="en-US"/>
        </w:rPr>
        <w:t>l. Since banks are</w:t>
      </w:r>
      <w:r w:rsidRPr="00DB077E">
        <w:rPr>
          <w:rFonts w:ascii="Times New Roman" w:hAnsi="Times New Roman" w:cs="Times New Roman"/>
          <w:sz w:val="24"/>
          <w:lang w:val="en-US"/>
        </w:rPr>
        <w:t xml:space="preserve"> closely</w:t>
      </w:r>
      <w:r>
        <w:rPr>
          <w:rFonts w:ascii="Times New Roman" w:hAnsi="Times New Roman" w:cs="Times New Roman"/>
          <w:sz w:val="24"/>
          <w:lang w:val="en-US"/>
        </w:rPr>
        <w:t xml:space="preserve"> interconnected</w:t>
      </w:r>
      <w:r w:rsidRPr="00DB077E">
        <w:rPr>
          <w:rFonts w:ascii="Times New Roman" w:hAnsi="Times New Roman" w:cs="Times New Roman"/>
          <w:sz w:val="24"/>
          <w:lang w:val="en-US"/>
        </w:rPr>
        <w:t xml:space="preserve"> financially</w:t>
      </w:r>
      <w:r>
        <w:rPr>
          <w:rFonts w:ascii="Times New Roman" w:hAnsi="Times New Roman" w:cs="Times New Roman"/>
          <w:sz w:val="24"/>
          <w:lang w:val="en-US"/>
        </w:rPr>
        <w:t xml:space="preserve">, specifically they </w:t>
      </w:r>
      <w:r w:rsidRPr="00DB077E">
        <w:rPr>
          <w:rFonts w:ascii="Times New Roman" w:hAnsi="Times New Roman" w:cs="Times New Roman"/>
          <w:sz w:val="24"/>
          <w:lang w:val="en-US"/>
        </w:rPr>
        <w:t>lend to and borrow from each other, hold deposit balances with each other, and make payments through the interbank clearing system</w:t>
      </w:r>
      <w:r>
        <w:rPr>
          <w:rFonts w:ascii="Times New Roman" w:hAnsi="Times New Roman" w:cs="Times New Roman"/>
          <w:sz w:val="24"/>
          <w:lang w:val="en-US"/>
        </w:rPr>
        <w:t>, this may cause a chain of subsequent failures of the banks.</w:t>
      </w:r>
    </w:p>
    <w:p w:rsidR="008E5586" w:rsidRDefault="008E5586" w:rsidP="008E558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Previously we discussed how investors use mean variance approach for the optimal portfolio construction. Now I will discuss</w:t>
      </w:r>
      <w:r w:rsidR="00F92921">
        <w:rPr>
          <w:rFonts w:ascii="Times New Roman" w:hAnsi="Times New Roman" w:cs="Times New Roman"/>
          <w:sz w:val="24"/>
          <w:lang w:val="en-US"/>
        </w:rPr>
        <w:t xml:space="preserve"> the Capital Asset Pricing Model (CAPM) of</w:t>
      </w:r>
      <w:r>
        <w:rPr>
          <w:rFonts w:ascii="Times New Roman" w:hAnsi="Times New Roman" w:cs="Times New Roman"/>
          <w:sz w:val="24"/>
          <w:lang w:val="en-US"/>
        </w:rPr>
        <w:t xml:space="preserve"> how assets are priced. The </w:t>
      </w:r>
      <w:r w:rsidRPr="00144E78">
        <w:rPr>
          <w:rFonts w:ascii="Times New Roman" w:hAnsi="Times New Roman" w:cs="Times New Roman"/>
          <w:sz w:val="24"/>
          <w:lang w:val="en-US"/>
        </w:rPr>
        <w:t>major implication of the</w:t>
      </w:r>
      <w:r w:rsidR="00F92921">
        <w:rPr>
          <w:rFonts w:ascii="Times New Roman" w:hAnsi="Times New Roman" w:cs="Times New Roman"/>
          <w:sz w:val="24"/>
          <w:lang w:val="en-US"/>
        </w:rPr>
        <w:t xml:space="preserve"> CAPM</w:t>
      </w:r>
      <w:r w:rsidRPr="00144E78">
        <w:rPr>
          <w:rFonts w:ascii="Times New Roman" w:hAnsi="Times New Roman" w:cs="Times New Roman"/>
          <w:sz w:val="24"/>
          <w:lang w:val="en-US"/>
        </w:rPr>
        <w:t xml:space="preserve"> is that the expected ret</w:t>
      </w:r>
      <w:r>
        <w:rPr>
          <w:rFonts w:ascii="Times New Roman" w:hAnsi="Times New Roman" w:cs="Times New Roman"/>
          <w:sz w:val="24"/>
          <w:lang w:val="en-US"/>
        </w:rPr>
        <w:t xml:space="preserve">urn of an asset will be related </w:t>
      </w:r>
      <w:r w:rsidRPr="00144E78">
        <w:rPr>
          <w:rFonts w:ascii="Times New Roman" w:hAnsi="Times New Roman" w:cs="Times New Roman"/>
          <w:sz w:val="24"/>
          <w:lang w:val="en-US"/>
        </w:rPr>
        <w:t xml:space="preserve">to a measure </w:t>
      </w:r>
      <w:r w:rsidR="00505E21" w:rsidRPr="00144E78">
        <w:rPr>
          <w:rFonts w:ascii="Times New Roman" w:hAnsi="Times New Roman" w:cs="Times New Roman"/>
          <w:sz w:val="24"/>
          <w:lang w:val="en-US"/>
        </w:rPr>
        <w:t xml:space="preserve">of </w:t>
      </w:r>
      <w:r w:rsidR="00DE47A1">
        <w:rPr>
          <w:rFonts w:ascii="Times New Roman" w:hAnsi="Times New Roman" w:cs="Times New Roman"/>
          <w:sz w:val="24"/>
          <w:lang w:val="en-US"/>
        </w:rPr>
        <w:t>systemic</w:t>
      </w:r>
      <w:r w:rsidR="00505E21">
        <w:rPr>
          <w:rFonts w:ascii="Times New Roman" w:hAnsi="Times New Roman" w:cs="Times New Roman"/>
          <w:sz w:val="24"/>
          <w:lang w:val="en-US"/>
        </w:rPr>
        <w:t xml:space="preserve"> </w:t>
      </w:r>
      <w:r w:rsidRPr="00144E78">
        <w:rPr>
          <w:rFonts w:ascii="Times New Roman" w:hAnsi="Times New Roman" w:cs="Times New Roman"/>
          <w:sz w:val="24"/>
          <w:lang w:val="en-US"/>
        </w:rPr>
        <w:t>risk for that asset known as beta.</w:t>
      </w:r>
      <w:r w:rsidR="00505E21">
        <w:rPr>
          <w:rFonts w:ascii="Times New Roman" w:hAnsi="Times New Roman" w:cs="Times New Roman"/>
          <w:sz w:val="24"/>
          <w:lang w:val="en-US"/>
        </w:rPr>
        <w:t xml:space="preserve"> The CAPM looks as follows (equation </w:t>
      </w:r>
      <w:r w:rsidR="0020083B">
        <w:rPr>
          <w:rFonts w:ascii="Times New Roman" w:hAnsi="Times New Roman" w:cs="Times New Roman"/>
          <w:sz w:val="24"/>
          <w:lang w:val="en-US"/>
        </w:rPr>
        <w:t>1.4</w:t>
      </w:r>
      <w:r w:rsidR="00505E21">
        <w:rPr>
          <w:rFonts w:ascii="Times New Roman" w:hAnsi="Times New Roman" w:cs="Times New Roman"/>
          <w:sz w:val="24"/>
          <w:lang w:val="en-US"/>
        </w:rPr>
        <w:t>)</w:t>
      </w:r>
    </w:p>
    <w:p w:rsidR="00F92921" w:rsidRPr="00AE3450" w:rsidRDefault="00505E21" w:rsidP="000C1526">
      <w:pPr>
        <w:spacing w:line="360" w:lineRule="auto"/>
        <w:ind w:firstLine="708"/>
        <w:jc w:val="both"/>
        <w:rPr>
          <w:rFonts w:ascii="Times New Roman" w:eastAsiaTheme="minorEastAsia" w:hAnsi="Times New Roman" w:cs="Times New Roman"/>
          <w:sz w:val="24"/>
          <w:lang w:val="en-US"/>
        </w:rPr>
      </w:pPr>
      <m:oMath>
        <m:r>
          <w:rPr>
            <w:rFonts w:ascii="Cambria Math" w:hAnsi="Cambria Math" w:cs="Times New Roman"/>
            <w:sz w:val="24"/>
            <w:lang w:val="en-US"/>
          </w:rPr>
          <m:t>E</m:t>
        </m:r>
        <m:d>
          <m:dPr>
            <m:begChr m:val="["/>
            <m:endChr m:val="]"/>
            <m:ctrlPr>
              <w:rPr>
                <w:rFonts w:ascii="Cambria Math" w:hAnsi="Cambria Math" w:cs="Times New Roman"/>
                <w:i/>
                <w:sz w:val="24"/>
                <w:lang w:val="en-US"/>
              </w:rPr>
            </m:ctrlPr>
          </m:dPr>
          <m:e>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i</m:t>
                </m:r>
              </m:sub>
            </m:sSub>
          </m:e>
        </m:d>
        <m:r>
          <w:rPr>
            <w:rFonts w:ascii="Cambria Math" w:hAnsi="Cambria Math" w:cs="Times New Roman"/>
            <w:sz w:val="24"/>
            <w:lang w:val="en-US"/>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f</m:t>
            </m:r>
          </m:sub>
        </m:sSub>
        <m:r>
          <w:rPr>
            <w:rFonts w:ascii="Cambria Math" w:hAnsi="Cambria Math" w:cs="Times New Roman"/>
            <w:sz w:val="24"/>
            <w:lang w:val="en-US"/>
          </w:rPr>
          <m:t>+</m:t>
        </m:r>
        <m:sSub>
          <m:sSubPr>
            <m:ctrlPr>
              <w:rPr>
                <w:rFonts w:ascii="Cambria Math" w:hAnsi="Cambria Math" w:cs="Times New Roman"/>
                <w:i/>
                <w:sz w:val="24"/>
                <w:lang w:val="en-US"/>
              </w:rPr>
            </m:ctrlPr>
          </m:sSubPr>
          <m:e>
            <m:r>
              <w:rPr>
                <w:rFonts w:ascii="Cambria Math" w:hAnsi="Cambria Math" w:cs="Times New Roman"/>
                <w:sz w:val="24"/>
                <w:lang w:val="en-US"/>
              </w:rPr>
              <m:t>β</m:t>
            </m:r>
          </m:e>
          <m:sub>
            <m:r>
              <w:rPr>
                <w:rFonts w:ascii="Cambria Math" w:hAnsi="Cambria Math" w:cs="Times New Roman"/>
                <w:sz w:val="24"/>
                <w:lang w:val="en-US"/>
              </w:rPr>
              <m:t>i</m:t>
            </m:r>
          </m:sub>
        </m:sSub>
        <m:r>
          <w:rPr>
            <w:rFonts w:ascii="Cambria Math" w:hAnsi="Cambria Math" w:cs="Times New Roman"/>
            <w:sz w:val="24"/>
            <w:lang w:val="en-US"/>
          </w:rPr>
          <m:t>(E</m:t>
        </m:r>
        <m:d>
          <m:dPr>
            <m:begChr m:val="["/>
            <m:endChr m:val="]"/>
            <m:ctrlPr>
              <w:rPr>
                <w:rFonts w:ascii="Cambria Math" w:hAnsi="Cambria Math" w:cs="Times New Roman"/>
                <w:i/>
                <w:sz w:val="24"/>
                <w:lang w:val="en-US"/>
              </w:rPr>
            </m:ctrlPr>
          </m:dPr>
          <m:e>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m</m:t>
                </m:r>
              </m:sub>
            </m:sSub>
          </m:e>
        </m:d>
        <m:r>
          <w:rPr>
            <w:rFonts w:ascii="Cambria Math" w:hAnsi="Cambria Math" w:cs="Times New Roman"/>
            <w:sz w:val="24"/>
            <w:lang w:val="en-US"/>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f</m:t>
            </m:r>
          </m:sub>
        </m:sSub>
        <m:r>
          <w:rPr>
            <w:rFonts w:ascii="Cambria Math" w:hAnsi="Cambria Math" w:cs="Times New Roman"/>
            <w:sz w:val="24"/>
            <w:lang w:val="en-US"/>
          </w:rPr>
          <m:t>)</m:t>
        </m:r>
      </m:oMath>
      <w:r w:rsidR="0020083B">
        <w:rPr>
          <w:rFonts w:ascii="Times New Roman" w:eastAsiaTheme="minorEastAsia" w:hAnsi="Times New Roman" w:cs="Times New Roman"/>
          <w:sz w:val="24"/>
          <w:lang w:val="en-US"/>
        </w:rPr>
        <w:t xml:space="preserve">                                                        </w:t>
      </w:r>
      <w:r w:rsidR="000C1526">
        <w:rPr>
          <w:rFonts w:ascii="Times New Roman" w:eastAsiaTheme="minorEastAsia" w:hAnsi="Times New Roman" w:cs="Times New Roman"/>
          <w:sz w:val="24"/>
          <w:lang w:val="en-US"/>
        </w:rPr>
        <w:t xml:space="preserve">      </w:t>
      </w:r>
      <w:r w:rsidR="0020083B">
        <w:rPr>
          <w:rFonts w:ascii="Times New Roman" w:eastAsiaTheme="minorEastAsia" w:hAnsi="Times New Roman" w:cs="Times New Roman"/>
          <w:sz w:val="24"/>
          <w:lang w:val="en-US"/>
        </w:rPr>
        <w:t xml:space="preserve">                             (1.4)</w:t>
      </w:r>
    </w:p>
    <w:p w:rsidR="00AE3450" w:rsidRDefault="0020083B" w:rsidP="009C19F1">
      <w:pPr>
        <w:spacing w:line="360" w:lineRule="auto"/>
        <w:ind w:firstLine="708"/>
        <w:jc w:val="both"/>
        <w:rPr>
          <w:rFonts w:ascii="Times New Roman" w:eastAsiaTheme="minorEastAsia" w:hAnsi="Times New Roman" w:cs="Times New Roman"/>
          <w:lang w:val="en-US"/>
        </w:rPr>
      </w:pPr>
      <w:r>
        <w:rPr>
          <w:rFonts w:ascii="Times New Roman" w:eastAsiaTheme="minorEastAsia" w:hAnsi="Times New Roman" w:cs="Times New Roman"/>
          <w:lang w:val="en-US"/>
        </w:rPr>
        <w:t>w</w:t>
      </w:r>
      <w:r w:rsidR="00AE3450">
        <w:rPr>
          <w:rFonts w:ascii="Times New Roman" w:eastAsiaTheme="minorEastAsia" w:hAnsi="Times New Roman" w:cs="Times New Roman"/>
          <w:lang w:val="en-US"/>
        </w:rPr>
        <w:t>here</w:t>
      </w:r>
      <w:r>
        <w:rPr>
          <w:rFonts w:ascii="Times New Roman" w:eastAsiaTheme="minorEastAsia" w:hAnsi="Times New Roman" w:cs="Times New Roman"/>
          <w:lang w:val="en-US"/>
        </w:rPr>
        <w:t>:</w:t>
      </w:r>
    </w:p>
    <w:p w:rsidR="00AE3450" w:rsidRPr="00745D55" w:rsidRDefault="00AE3450" w:rsidP="009C19F1">
      <w:pPr>
        <w:spacing w:line="360" w:lineRule="auto"/>
        <w:ind w:firstLine="708"/>
        <w:jc w:val="both"/>
        <w:rPr>
          <w:rFonts w:ascii="Times New Roman" w:eastAsiaTheme="minorEastAsia" w:hAnsi="Times New Roman" w:cs="Times New Roman"/>
          <w:sz w:val="24"/>
          <w:szCs w:val="24"/>
          <w:lang w:val="en-US"/>
        </w:rPr>
      </w:pPr>
      <m:oMath>
        <m:r>
          <w:rPr>
            <w:rFonts w:ascii="Cambria Math" w:hAnsi="Cambria Math" w:cs="Times New Roman"/>
            <w:sz w:val="24"/>
            <w:lang w:val="en-US"/>
          </w:rPr>
          <m:t>E</m:t>
        </m:r>
        <m:d>
          <m:dPr>
            <m:begChr m:val="["/>
            <m:endChr m:val="]"/>
            <m:ctrlPr>
              <w:rPr>
                <w:rFonts w:ascii="Cambria Math" w:hAnsi="Cambria Math" w:cs="Times New Roman"/>
                <w:i/>
                <w:sz w:val="24"/>
                <w:lang w:val="en-US"/>
              </w:rPr>
            </m:ctrlPr>
          </m:dPr>
          <m:e>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i</m:t>
                </m:r>
              </m:sub>
            </m:sSub>
          </m:e>
        </m:d>
        <m:r>
          <w:rPr>
            <w:rFonts w:ascii="Cambria Math" w:hAnsi="Cambria Math" w:cs="Times New Roman"/>
            <w:sz w:val="24"/>
            <w:lang w:val="en-US"/>
          </w:rPr>
          <m:t xml:space="preserve"> </m:t>
        </m:r>
      </m:oMath>
      <w:r>
        <w:rPr>
          <w:rFonts w:ascii="Times New Roman" w:eastAsiaTheme="minorEastAsia" w:hAnsi="Times New Roman" w:cs="Times New Roman"/>
          <w:sz w:val="24"/>
          <w:szCs w:val="24"/>
          <w:lang w:val="en-US"/>
        </w:rPr>
        <w:t>– the expected return on the capital asset</w:t>
      </w:r>
    </w:p>
    <w:p w:rsidR="00AE3450" w:rsidRPr="00745D55" w:rsidRDefault="00AE0B9C" w:rsidP="009C19F1">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m:t>
            </m:r>
          </m:sub>
        </m:sSub>
      </m:oMath>
      <w:r w:rsidR="00AE3450" w:rsidRPr="00745D55">
        <w:rPr>
          <w:rFonts w:ascii="Times New Roman" w:eastAsiaTheme="minorEastAsia" w:hAnsi="Times New Roman" w:cs="Times New Roman"/>
          <w:sz w:val="24"/>
          <w:szCs w:val="24"/>
          <w:lang w:val="en-US"/>
        </w:rPr>
        <w:t xml:space="preserve"> </w:t>
      </w:r>
      <w:r w:rsidR="00AE3450">
        <w:rPr>
          <w:rFonts w:ascii="Times New Roman" w:eastAsiaTheme="minorEastAsia" w:hAnsi="Times New Roman" w:cs="Times New Roman"/>
          <w:sz w:val="24"/>
          <w:szCs w:val="24"/>
          <w:lang w:val="en-US"/>
        </w:rPr>
        <w:t>–</w:t>
      </w:r>
      <w:r w:rsidR="00AE3450" w:rsidRPr="00745D55">
        <w:rPr>
          <w:rFonts w:ascii="Times New Roman" w:eastAsiaTheme="minorEastAsia" w:hAnsi="Times New Roman" w:cs="Times New Roman"/>
          <w:sz w:val="24"/>
          <w:szCs w:val="24"/>
          <w:lang w:val="en-US"/>
        </w:rPr>
        <w:t xml:space="preserve"> </w:t>
      </w:r>
      <w:r w:rsidR="00AE3450">
        <w:rPr>
          <w:rFonts w:ascii="Times New Roman" w:eastAsiaTheme="minorEastAsia" w:hAnsi="Times New Roman" w:cs="Times New Roman"/>
          <w:sz w:val="24"/>
          <w:szCs w:val="24"/>
          <w:lang w:val="en-US"/>
        </w:rPr>
        <w:t>the risk-free rate</w:t>
      </w:r>
    </w:p>
    <w:p w:rsidR="00AE3450" w:rsidRPr="00AE3450" w:rsidRDefault="00AE0B9C" w:rsidP="009C19F1">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oMath>
      <w:r w:rsidR="00AE3450" w:rsidRPr="00745D55">
        <w:rPr>
          <w:rFonts w:ascii="Times New Roman" w:eastAsiaTheme="minorEastAsia" w:hAnsi="Times New Roman" w:cs="Times New Roman"/>
          <w:sz w:val="24"/>
          <w:szCs w:val="24"/>
          <w:lang w:val="en-US"/>
        </w:rPr>
        <w:t xml:space="preserve"> – </w:t>
      </w:r>
      <w:r w:rsidR="00AE3450">
        <w:rPr>
          <w:rFonts w:ascii="Times New Roman" w:eastAsiaTheme="minorEastAsia" w:hAnsi="Times New Roman" w:cs="Times New Roman"/>
          <w:sz w:val="24"/>
          <w:szCs w:val="24"/>
          <w:lang w:val="en-US"/>
        </w:rPr>
        <w:t>beta of the security</w:t>
      </w:r>
    </w:p>
    <w:p w:rsidR="00AE3450" w:rsidRPr="00AE3450" w:rsidRDefault="00AE3450" w:rsidP="009C19F1">
      <w:pPr>
        <w:spacing w:line="360" w:lineRule="auto"/>
        <w:ind w:firstLine="708"/>
        <w:jc w:val="both"/>
        <w:rPr>
          <w:rFonts w:ascii="Times New Roman" w:hAnsi="Times New Roman" w:cs="Times New Roman"/>
          <w:sz w:val="28"/>
          <w:lang w:val="en-US"/>
        </w:rPr>
      </w:pPr>
      <m:oMath>
        <m:r>
          <w:rPr>
            <w:rFonts w:ascii="Cambria Math" w:hAnsi="Cambria Math" w:cs="Times New Roman"/>
            <w:sz w:val="24"/>
            <w:lang w:val="en-US"/>
          </w:rPr>
          <m:t>E</m:t>
        </m:r>
        <m:d>
          <m:dPr>
            <m:begChr m:val="["/>
            <m:endChr m:val="]"/>
            <m:ctrlPr>
              <w:rPr>
                <w:rFonts w:ascii="Cambria Math" w:hAnsi="Cambria Math" w:cs="Times New Roman"/>
                <w:i/>
                <w:sz w:val="24"/>
                <w:lang w:val="en-US"/>
              </w:rPr>
            </m:ctrlPr>
          </m:dPr>
          <m:e>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m</m:t>
                </m:r>
              </m:sub>
            </m:sSub>
          </m:e>
        </m:d>
      </m:oMath>
      <w:r w:rsidRPr="00745D55">
        <w:rPr>
          <w:rFonts w:ascii="Times New Roman" w:eastAsiaTheme="minorEastAsia" w:hAnsi="Times New Roman" w:cs="Times New Roman"/>
          <w:sz w:val="24"/>
          <w:lang w:val="en-US"/>
        </w:rPr>
        <w:t xml:space="preserve">– </w:t>
      </w:r>
      <w:r w:rsidRPr="00AE3450">
        <w:rPr>
          <w:rFonts w:ascii="Times New Roman" w:eastAsiaTheme="minorEastAsia" w:hAnsi="Times New Roman" w:cs="Times New Roman"/>
          <w:sz w:val="24"/>
          <w:szCs w:val="24"/>
          <w:lang w:val="en-US"/>
        </w:rPr>
        <w:t>the expected return of the market</w:t>
      </w:r>
    </w:p>
    <w:p w:rsidR="00AE3450" w:rsidRPr="00321430" w:rsidRDefault="00AE3450" w:rsidP="00AE3450">
      <w:pPr>
        <w:spacing w:line="360" w:lineRule="auto"/>
        <w:ind w:firstLine="708"/>
        <w:jc w:val="both"/>
        <w:rPr>
          <w:rFonts w:ascii="Times New Roman" w:hAnsi="Times New Roman" w:cs="Times New Roman"/>
          <w:sz w:val="24"/>
          <w:szCs w:val="24"/>
          <w:lang w:val="en-US"/>
        </w:rPr>
      </w:pPr>
      <w:r w:rsidRPr="0032143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term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oMath>
      <w:r w:rsidRPr="00321430">
        <w:rPr>
          <w:rFonts w:ascii="Times New Roman" w:hAnsi="Times New Roman" w:cs="Times New Roman"/>
          <w:sz w:val="24"/>
          <w:szCs w:val="24"/>
          <w:lang w:val="en-US"/>
        </w:rPr>
        <w:t xml:space="preserve"> in </w:t>
      </w:r>
      <w:r>
        <w:rPr>
          <w:rFonts w:ascii="Times New Roman" w:hAnsi="Times New Roman" w:cs="Times New Roman"/>
          <w:sz w:val="24"/>
          <w:szCs w:val="24"/>
          <w:lang w:val="en-US"/>
        </w:rPr>
        <w:t>CAPM is also known as beta coefficient</w:t>
      </w:r>
      <w:r w:rsidRPr="00321430">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w:t>
      </w:r>
      <w:r w:rsidRPr="00321430">
        <w:rPr>
          <w:rFonts w:ascii="Times New Roman" w:hAnsi="Times New Roman" w:cs="Times New Roman"/>
          <w:sz w:val="24"/>
          <w:szCs w:val="24"/>
          <w:lang w:val="en-US"/>
        </w:rPr>
        <w:t>s the sensitivity of the security’s returns to the market index’s return</w:t>
      </w:r>
      <w:r w:rsidR="0020083B">
        <w:rPr>
          <w:rFonts w:ascii="Times New Roman" w:hAnsi="Times New Roman" w:cs="Times New Roman"/>
          <w:sz w:val="24"/>
          <w:szCs w:val="24"/>
          <w:lang w:val="en-US"/>
        </w:rPr>
        <w:t>s and can be viewed as a measure</w:t>
      </w:r>
      <w:r w:rsidRPr="00321430">
        <w:rPr>
          <w:rFonts w:ascii="Times New Roman" w:hAnsi="Times New Roman" w:cs="Times New Roman"/>
          <w:sz w:val="24"/>
          <w:szCs w:val="24"/>
          <w:lang w:val="en-US"/>
        </w:rPr>
        <w:t xml:space="preserve"> of </w:t>
      </w:r>
      <w:r w:rsidR="00DE47A1">
        <w:rPr>
          <w:rFonts w:ascii="Times New Roman" w:hAnsi="Times New Roman" w:cs="Times New Roman"/>
          <w:sz w:val="24"/>
          <w:szCs w:val="24"/>
          <w:lang w:val="en-US"/>
        </w:rPr>
        <w:t>systemic</w:t>
      </w:r>
      <w:r w:rsidRPr="00321430">
        <w:rPr>
          <w:rFonts w:ascii="Times New Roman" w:hAnsi="Times New Roman" w:cs="Times New Roman"/>
          <w:sz w:val="24"/>
          <w:szCs w:val="24"/>
          <w:lang w:val="en-US"/>
        </w:rPr>
        <w:t xml:space="preserve"> risk. The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oMath>
      <w:r w:rsidRPr="00321430">
        <w:rPr>
          <w:rFonts w:ascii="Times New Roman" w:hAnsi="Times New Roman" w:cs="Times New Roman"/>
          <w:sz w:val="24"/>
          <w:szCs w:val="24"/>
          <w:lang w:val="en-US"/>
        </w:rPr>
        <w:t xml:space="preserve"> term in the </w:t>
      </w:r>
      <w:r w:rsidR="0020083B">
        <w:rPr>
          <w:rFonts w:ascii="Times New Roman" w:hAnsi="Times New Roman" w:cs="Times New Roman"/>
          <w:sz w:val="24"/>
          <w:szCs w:val="24"/>
          <w:lang w:val="en-US"/>
        </w:rPr>
        <w:t>CAPM i</w:t>
      </w:r>
      <w:r w:rsidRPr="00321430">
        <w:rPr>
          <w:rFonts w:ascii="Times New Roman" w:hAnsi="Times New Roman" w:cs="Times New Roman"/>
          <w:sz w:val="24"/>
          <w:szCs w:val="24"/>
          <w:lang w:val="en-US"/>
        </w:rPr>
        <w:t>s equal to:</w:t>
      </w:r>
    </w:p>
    <w:p w:rsidR="00AE3450" w:rsidRPr="00321430" w:rsidRDefault="00AE3450" w:rsidP="00AE3450">
      <w:pPr>
        <w:spacing w:line="360" w:lineRule="auto"/>
        <w:ind w:firstLine="708"/>
        <w:jc w:val="both"/>
        <w:rPr>
          <w:rFonts w:ascii="Times New Roman" w:eastAsiaTheme="minorEastAsia" w:hAnsi="Times New Roman" w:cs="Times New Roman"/>
          <w:sz w:val="24"/>
          <w:szCs w:val="24"/>
          <w:lang w:val="en-US"/>
        </w:rPr>
      </w:pPr>
      <w:r w:rsidRPr="00321430">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im</m:t>
                </m:r>
              </m:sub>
            </m:sSub>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m</m:t>
                </m:r>
              </m:sub>
              <m:sup>
                <m:r>
                  <w:rPr>
                    <w:rFonts w:ascii="Cambria Math" w:hAnsi="Cambria Math" w:cs="Times New Roman"/>
                    <w:sz w:val="24"/>
                    <w:szCs w:val="24"/>
                    <w:lang w:val="en-US"/>
                  </w:rPr>
                  <m:t>2</m:t>
                </m:r>
              </m:sup>
            </m:sSubSup>
          </m:den>
        </m:f>
      </m:oMath>
      <w:r w:rsidR="0020083B">
        <w:rPr>
          <w:rFonts w:ascii="Times New Roman" w:eastAsiaTheme="minorEastAsia" w:hAnsi="Times New Roman" w:cs="Times New Roman"/>
          <w:sz w:val="24"/>
          <w:szCs w:val="24"/>
          <w:lang w:val="en-US"/>
        </w:rPr>
        <w:t xml:space="preserve">                                                                                                                            (1.5)</w:t>
      </w:r>
    </w:p>
    <w:p w:rsidR="0020083B" w:rsidRPr="00505E21" w:rsidRDefault="00AE3450" w:rsidP="0020083B">
      <w:pPr>
        <w:spacing w:line="360" w:lineRule="auto"/>
        <w:jc w:val="both"/>
        <w:rPr>
          <w:rFonts w:ascii="Times New Roman" w:hAnsi="Times New Roman" w:cs="Times New Roman"/>
          <w:sz w:val="24"/>
          <w:lang w:val="en-US"/>
        </w:rPr>
      </w:pPr>
      <w:r>
        <w:rPr>
          <w:rFonts w:ascii="Times New Roman" w:eastAsiaTheme="minorEastAsia" w:hAnsi="Times New Roman" w:cs="Times New Roman"/>
          <w:sz w:val="24"/>
          <w:szCs w:val="24"/>
          <w:lang w:val="en-US"/>
        </w:rPr>
        <w:t>w</w:t>
      </w:r>
      <w:r w:rsidRPr="00321430">
        <w:rPr>
          <w:rFonts w:ascii="Times New Roman" w:eastAsiaTheme="minorEastAsia" w:hAnsi="Times New Roman" w:cs="Times New Roman"/>
          <w:sz w:val="24"/>
          <w:szCs w:val="24"/>
          <w:lang w:val="en-US"/>
        </w:rPr>
        <w:t xml:space="preserve">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im</m:t>
            </m:r>
          </m:sub>
        </m:sSub>
      </m:oMath>
      <w:r w:rsidRPr="00321430">
        <w:rPr>
          <w:rFonts w:ascii="Times New Roman" w:eastAsiaTheme="minorEastAsia" w:hAnsi="Times New Roman" w:cs="Times New Roman"/>
          <w:sz w:val="24"/>
          <w:szCs w:val="24"/>
          <w:lang w:val="en-US"/>
        </w:rPr>
        <w:t xml:space="preserve"> denotes the cova</w:t>
      </w:r>
      <w:r w:rsidR="0020083B">
        <w:rPr>
          <w:rFonts w:ascii="Times New Roman" w:eastAsiaTheme="minorEastAsia" w:hAnsi="Times New Roman" w:cs="Times New Roman"/>
          <w:sz w:val="24"/>
          <w:szCs w:val="24"/>
          <w:lang w:val="en-US"/>
        </w:rPr>
        <w:t xml:space="preserve">riance of the returns on stock </w:t>
      </w:r>
      <w:r w:rsidR="0020083B" w:rsidRPr="0020083B">
        <w:rPr>
          <w:rFonts w:ascii="Times New Roman" w:eastAsiaTheme="minorEastAsia" w:hAnsi="Times New Roman" w:cs="Times New Roman"/>
          <w:i/>
          <w:sz w:val="24"/>
          <w:szCs w:val="24"/>
          <w:lang w:val="en-US"/>
        </w:rPr>
        <w:t>i</w:t>
      </w:r>
      <w:r w:rsidRPr="00321430">
        <w:rPr>
          <w:rFonts w:ascii="Times New Roman" w:eastAsiaTheme="minorEastAsia" w:hAnsi="Times New Roman" w:cs="Times New Roman"/>
          <w:sz w:val="24"/>
          <w:szCs w:val="24"/>
          <w:lang w:val="en-US"/>
        </w:rPr>
        <w:t xml:space="preserve">  and the market index,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m</m:t>
            </m:r>
          </m:sub>
          <m:sup>
            <m:r>
              <w:rPr>
                <w:rFonts w:ascii="Cambria Math" w:hAnsi="Cambria Math" w:cs="Times New Roman"/>
                <w:sz w:val="24"/>
                <w:szCs w:val="24"/>
                <w:lang w:val="en-US"/>
              </w:rPr>
              <m:t>2</m:t>
            </m:r>
          </m:sup>
        </m:sSubSup>
      </m:oMath>
      <w:r w:rsidRPr="00321430">
        <w:rPr>
          <w:rFonts w:ascii="Times New Roman" w:eastAsiaTheme="minorEastAsia" w:hAnsi="Times New Roman" w:cs="Times New Roman"/>
          <w:sz w:val="24"/>
          <w:szCs w:val="24"/>
          <w:lang w:val="en-US"/>
        </w:rPr>
        <w:t xml:space="preserve"> denotes the variance of returns on the market index.</w:t>
      </w:r>
    </w:p>
    <w:p w:rsidR="0020083B" w:rsidRDefault="00505E21" w:rsidP="0020083B">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The estimates</w:t>
      </w:r>
      <w:r w:rsidR="008E5586">
        <w:rPr>
          <w:rFonts w:ascii="Times New Roman" w:hAnsi="Times New Roman" w:cs="Times New Roman"/>
          <w:sz w:val="24"/>
          <w:lang w:val="en-US"/>
        </w:rPr>
        <w:t xml:space="preserve"> of beta can be </w:t>
      </w:r>
      <w:r>
        <w:rPr>
          <w:rFonts w:ascii="Times New Roman" w:hAnsi="Times New Roman" w:cs="Times New Roman"/>
          <w:sz w:val="24"/>
          <w:lang w:val="en-US"/>
        </w:rPr>
        <w:t>obtained</w:t>
      </w:r>
      <w:r w:rsidR="008E5586">
        <w:rPr>
          <w:rFonts w:ascii="Times New Roman" w:hAnsi="Times New Roman" w:cs="Times New Roman"/>
          <w:sz w:val="24"/>
          <w:lang w:val="en-US"/>
        </w:rPr>
        <w:t xml:space="preserve"> through the market model</w:t>
      </w:r>
      <w:r w:rsidR="0020083B">
        <w:rPr>
          <w:rFonts w:ascii="Times New Roman" w:hAnsi="Times New Roman" w:cs="Times New Roman"/>
          <w:sz w:val="24"/>
          <w:lang w:val="en-US"/>
        </w:rPr>
        <w:t xml:space="preserve"> (equation </w:t>
      </w:r>
      <w:r w:rsidR="00234661">
        <w:rPr>
          <w:rFonts w:ascii="Times New Roman" w:hAnsi="Times New Roman" w:cs="Times New Roman"/>
          <w:sz w:val="24"/>
          <w:lang w:val="en-US"/>
        </w:rPr>
        <w:t>1.6</w:t>
      </w:r>
      <w:r w:rsidR="0020083B">
        <w:rPr>
          <w:rFonts w:ascii="Times New Roman" w:hAnsi="Times New Roman" w:cs="Times New Roman"/>
          <w:sz w:val="24"/>
          <w:lang w:val="en-US"/>
        </w:rPr>
        <w:t>)</w:t>
      </w:r>
      <w:r w:rsidR="008E5586">
        <w:rPr>
          <w:rFonts w:ascii="Times New Roman" w:hAnsi="Times New Roman" w:cs="Times New Roman"/>
          <w:sz w:val="24"/>
          <w:lang w:val="en-US"/>
        </w:rPr>
        <w:t>. Market model</w:t>
      </w:r>
      <w:r w:rsidR="0020083B">
        <w:rPr>
          <w:rFonts w:ascii="Times New Roman" w:hAnsi="Times New Roman" w:cs="Times New Roman"/>
          <w:sz w:val="24"/>
          <w:lang w:val="en-US"/>
        </w:rPr>
        <w:t xml:space="preserve"> is an empirical version of CAPM and it</w:t>
      </w:r>
      <w:r w:rsidR="008E5586">
        <w:rPr>
          <w:rFonts w:ascii="Times New Roman" w:hAnsi="Times New Roman" w:cs="Times New Roman"/>
          <w:sz w:val="24"/>
          <w:lang w:val="en-US"/>
        </w:rPr>
        <w:t xml:space="preserve"> captures the relationship betwe</w:t>
      </w:r>
      <w:r w:rsidR="0020083B">
        <w:rPr>
          <w:rFonts w:ascii="Times New Roman" w:hAnsi="Times New Roman" w:cs="Times New Roman"/>
          <w:sz w:val="24"/>
          <w:lang w:val="en-US"/>
        </w:rPr>
        <w:t>en security and market returns.</w:t>
      </w:r>
    </w:p>
    <w:p w:rsidR="008E5586" w:rsidRPr="0020083B" w:rsidRDefault="00AE0B9C" w:rsidP="0020083B">
      <w:pPr>
        <w:spacing w:line="360" w:lineRule="auto"/>
        <w:ind w:firstLine="708"/>
        <w:jc w:val="both"/>
        <w:rPr>
          <w:rFonts w:ascii="Times New Roman" w:hAnsi="Times New Roman" w:cs="Times New Roman"/>
          <w:sz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m:t>
            </m:r>
          </m:sub>
        </m:sSub>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ε</m:t>
            </m:r>
          </m:e>
          <m:sub>
            <m:r>
              <w:rPr>
                <w:rFonts w:ascii="Cambria Math" w:eastAsiaTheme="minorEastAsia" w:hAnsi="Cambria Math" w:cs="Times New Roman"/>
                <w:sz w:val="24"/>
                <w:lang w:val="en-US"/>
              </w:rPr>
              <m:t>i,m</m:t>
            </m:r>
          </m:sub>
        </m:sSub>
      </m:oMath>
      <w:r w:rsidR="0020083B">
        <w:rPr>
          <w:rFonts w:ascii="Times New Roman" w:eastAsiaTheme="minorEastAsia" w:hAnsi="Times New Roman" w:cs="Times New Roman"/>
          <w:sz w:val="24"/>
          <w:lang w:val="en-US"/>
        </w:rPr>
        <w:t xml:space="preserve">                                                                                                   (1.6)</w:t>
      </w:r>
    </w:p>
    <w:p w:rsidR="008E5586" w:rsidRPr="00D6571D" w:rsidRDefault="00D6571D" w:rsidP="009C19F1">
      <w:pPr>
        <w:spacing w:line="360" w:lineRule="auto"/>
        <w:ind w:firstLine="708"/>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w</w:t>
      </w:r>
      <w:r w:rsidR="008E5586" w:rsidRPr="00D6571D">
        <w:rPr>
          <w:rFonts w:ascii="Times New Roman" w:eastAsiaTheme="minorEastAsia" w:hAnsi="Times New Roman" w:cs="Times New Roman"/>
          <w:sz w:val="24"/>
          <w:lang w:val="en-US"/>
        </w:rPr>
        <w:t>here</w:t>
      </w:r>
      <w:r w:rsidRPr="00D6571D">
        <w:rPr>
          <w:rFonts w:ascii="Times New Roman" w:eastAsiaTheme="minorEastAsia" w:hAnsi="Times New Roman" w:cs="Times New Roman"/>
          <w:sz w:val="24"/>
          <w:lang w:val="en-US"/>
        </w:rPr>
        <w:t>:</w:t>
      </w:r>
    </w:p>
    <w:p w:rsidR="008E5586" w:rsidRPr="00745D55" w:rsidRDefault="00AE0B9C" w:rsidP="009C19F1">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oMath>
      <w:r w:rsidR="008E5586" w:rsidRPr="00745D55">
        <w:rPr>
          <w:rFonts w:ascii="Times New Roman" w:eastAsiaTheme="minorEastAsia" w:hAnsi="Times New Roman" w:cs="Times New Roman"/>
          <w:sz w:val="24"/>
          <w:szCs w:val="24"/>
          <w:lang w:val="en-US"/>
        </w:rPr>
        <w:t xml:space="preserve"> – </w:t>
      </w:r>
      <w:r w:rsidR="0020083B">
        <w:rPr>
          <w:rFonts w:ascii="Times New Roman" w:eastAsiaTheme="minorEastAsia" w:hAnsi="Times New Roman" w:cs="Times New Roman"/>
          <w:sz w:val="24"/>
          <w:szCs w:val="24"/>
          <w:lang w:val="en-US"/>
        </w:rPr>
        <w:t xml:space="preserve">the </w:t>
      </w:r>
      <w:r w:rsidR="008E5586" w:rsidRPr="00745D55">
        <w:rPr>
          <w:rFonts w:ascii="Times New Roman" w:eastAsiaTheme="minorEastAsia" w:hAnsi="Times New Roman" w:cs="Times New Roman"/>
          <w:sz w:val="24"/>
          <w:szCs w:val="24"/>
          <w:lang w:val="en-US"/>
        </w:rPr>
        <w:t xml:space="preserve">return on security </w:t>
      </w:r>
      <w:r w:rsidR="00F92921" w:rsidRPr="0020083B">
        <w:rPr>
          <w:rFonts w:ascii="Times New Roman" w:eastAsiaTheme="minorEastAsia" w:hAnsi="Times New Roman" w:cs="Times New Roman"/>
          <w:i/>
          <w:sz w:val="24"/>
          <w:szCs w:val="24"/>
          <w:lang w:val="en-US"/>
        </w:rPr>
        <w:t>i</w:t>
      </w:r>
      <w:r w:rsidR="008E5586" w:rsidRPr="00745D55">
        <w:rPr>
          <w:rFonts w:ascii="Times New Roman" w:eastAsiaTheme="minorEastAsia" w:hAnsi="Times New Roman" w:cs="Times New Roman"/>
          <w:sz w:val="24"/>
          <w:szCs w:val="24"/>
          <w:lang w:val="en-US"/>
        </w:rPr>
        <w:t xml:space="preserve"> for some given period </w:t>
      </w:r>
    </w:p>
    <w:p w:rsidR="008E5586" w:rsidRPr="00745D55" w:rsidRDefault="00AE0B9C" w:rsidP="009C19F1">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m:t>
            </m:r>
          </m:sub>
        </m:sSub>
      </m:oMath>
      <w:r w:rsidR="0020083B">
        <w:rPr>
          <w:rFonts w:ascii="Times New Roman" w:eastAsiaTheme="minorEastAsia" w:hAnsi="Times New Roman" w:cs="Times New Roman"/>
          <w:sz w:val="24"/>
          <w:szCs w:val="24"/>
          <w:lang w:val="en-US"/>
        </w:rPr>
        <w:t xml:space="preserve"> - the return on market index</w:t>
      </w:r>
      <w:r w:rsidR="008E5586" w:rsidRPr="00745D55">
        <w:rPr>
          <w:rFonts w:ascii="Times New Roman" w:eastAsiaTheme="minorEastAsia" w:hAnsi="Times New Roman" w:cs="Times New Roman"/>
          <w:sz w:val="24"/>
          <w:szCs w:val="24"/>
          <w:lang w:val="en-US"/>
        </w:rPr>
        <w:t xml:space="preserve"> for the same period</w:t>
      </w:r>
    </w:p>
    <w:p w:rsidR="008E5586" w:rsidRPr="00745D55" w:rsidRDefault="00AE0B9C" w:rsidP="009C19F1">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m:t>
            </m:r>
          </m:sub>
        </m:sSub>
      </m:oMath>
      <w:r w:rsidR="008E5586" w:rsidRPr="00745D55">
        <w:rPr>
          <w:rFonts w:ascii="Times New Roman" w:eastAsiaTheme="minorEastAsia" w:hAnsi="Times New Roman" w:cs="Times New Roman"/>
          <w:sz w:val="24"/>
          <w:szCs w:val="24"/>
          <w:lang w:val="en-US"/>
        </w:rPr>
        <w:t xml:space="preserve"> – </w:t>
      </w:r>
      <w:r w:rsidR="0020083B">
        <w:rPr>
          <w:rFonts w:ascii="Times New Roman" w:eastAsiaTheme="minorEastAsia" w:hAnsi="Times New Roman" w:cs="Times New Roman"/>
          <w:sz w:val="24"/>
          <w:szCs w:val="24"/>
          <w:lang w:val="en-US"/>
        </w:rPr>
        <w:t xml:space="preserve">the </w:t>
      </w:r>
      <w:r w:rsidR="008E5586" w:rsidRPr="00745D55">
        <w:rPr>
          <w:rFonts w:ascii="Times New Roman" w:eastAsiaTheme="minorEastAsia" w:hAnsi="Times New Roman" w:cs="Times New Roman"/>
          <w:sz w:val="24"/>
          <w:szCs w:val="24"/>
          <w:lang w:val="en-US"/>
        </w:rPr>
        <w:t>intercept term</w:t>
      </w:r>
    </w:p>
    <w:p w:rsidR="008E5586" w:rsidRPr="00745D55" w:rsidRDefault="00AE0B9C" w:rsidP="009C19F1">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m:t>
            </m:r>
          </m:sub>
        </m:sSub>
      </m:oMath>
      <w:r w:rsidR="008E5586" w:rsidRPr="00745D55">
        <w:rPr>
          <w:rFonts w:ascii="Times New Roman" w:eastAsiaTheme="minorEastAsia" w:hAnsi="Times New Roman" w:cs="Times New Roman"/>
          <w:sz w:val="24"/>
          <w:szCs w:val="24"/>
          <w:lang w:val="en-US"/>
        </w:rPr>
        <w:t xml:space="preserve"> – </w:t>
      </w:r>
      <w:r w:rsidR="0020083B">
        <w:rPr>
          <w:rFonts w:ascii="Times New Roman" w:eastAsiaTheme="minorEastAsia" w:hAnsi="Times New Roman" w:cs="Times New Roman"/>
          <w:sz w:val="24"/>
          <w:szCs w:val="24"/>
          <w:lang w:val="en-US"/>
        </w:rPr>
        <w:t xml:space="preserve">the </w:t>
      </w:r>
      <w:r w:rsidR="008E5586" w:rsidRPr="00745D55">
        <w:rPr>
          <w:rFonts w:ascii="Times New Roman" w:eastAsiaTheme="minorEastAsia" w:hAnsi="Times New Roman" w:cs="Times New Roman"/>
          <w:sz w:val="24"/>
          <w:szCs w:val="24"/>
          <w:lang w:val="en-US"/>
        </w:rPr>
        <w:t>slope term</w:t>
      </w:r>
    </w:p>
    <w:p w:rsidR="008E5586" w:rsidRPr="00745D55" w:rsidRDefault="00AE0B9C" w:rsidP="009C19F1">
      <w:pPr>
        <w:spacing w:line="360" w:lineRule="auto"/>
        <w:ind w:firstLine="708"/>
        <w:jc w:val="both"/>
        <w:rPr>
          <w:rFonts w:ascii="Times New Roman" w:hAnsi="Times New Roman" w:cs="Times New Roman"/>
          <w:sz w:val="28"/>
          <w:lang w:val="en-US"/>
        </w:rPr>
      </w:pP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ε</m:t>
            </m:r>
          </m:e>
          <m:sub>
            <m:r>
              <w:rPr>
                <w:rFonts w:ascii="Cambria Math" w:eastAsiaTheme="minorEastAsia" w:hAnsi="Cambria Math" w:cs="Times New Roman"/>
                <w:sz w:val="24"/>
                <w:lang w:val="en-US"/>
              </w:rPr>
              <m:t>i,m</m:t>
            </m:r>
          </m:sub>
        </m:sSub>
      </m:oMath>
      <w:r w:rsidR="008E5586" w:rsidRPr="00745D55">
        <w:rPr>
          <w:rFonts w:ascii="Times New Roman" w:eastAsiaTheme="minorEastAsia" w:hAnsi="Times New Roman" w:cs="Times New Roman"/>
          <w:sz w:val="24"/>
          <w:lang w:val="en-US"/>
        </w:rPr>
        <w:t xml:space="preserve"> – </w:t>
      </w:r>
      <w:r w:rsidR="0020083B">
        <w:rPr>
          <w:rFonts w:ascii="Times New Roman" w:eastAsiaTheme="minorEastAsia" w:hAnsi="Times New Roman" w:cs="Times New Roman"/>
          <w:sz w:val="24"/>
          <w:lang w:val="en-US"/>
        </w:rPr>
        <w:t xml:space="preserve">the </w:t>
      </w:r>
      <w:r w:rsidR="008E5586" w:rsidRPr="00745D55">
        <w:rPr>
          <w:rFonts w:ascii="Times New Roman" w:eastAsiaTheme="minorEastAsia" w:hAnsi="Times New Roman" w:cs="Times New Roman"/>
          <w:sz w:val="24"/>
          <w:lang w:val="en-US"/>
        </w:rPr>
        <w:t>random error term</w:t>
      </w:r>
    </w:p>
    <w:p w:rsidR="008E5586" w:rsidRDefault="008E5586" w:rsidP="0020083B">
      <w:pPr>
        <w:spacing w:line="360" w:lineRule="auto"/>
        <w:ind w:firstLine="708"/>
        <w:jc w:val="both"/>
        <w:rPr>
          <w:rFonts w:ascii="Times New Roman" w:eastAsiaTheme="minorEastAsia" w:hAnsi="Times New Roman" w:cs="Times New Roman"/>
          <w:sz w:val="24"/>
          <w:szCs w:val="24"/>
          <w:lang w:val="en-US"/>
        </w:rPr>
      </w:pPr>
      <w:r w:rsidRPr="00321430">
        <w:rPr>
          <w:rFonts w:ascii="Times New Roman" w:hAnsi="Times New Roman" w:cs="Times New Roman"/>
          <w:sz w:val="24"/>
          <w:szCs w:val="24"/>
          <w:lang w:val="en-US"/>
        </w:rPr>
        <w:t>The slope</w:t>
      </w:r>
      <w:r w:rsidR="0020585E">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m:t>
            </m:r>
          </m:sub>
        </m:sSub>
      </m:oMath>
      <w:r w:rsidRPr="00321430">
        <w:rPr>
          <w:rFonts w:ascii="Times New Roman" w:hAnsi="Times New Roman" w:cs="Times New Roman"/>
          <w:sz w:val="24"/>
          <w:szCs w:val="24"/>
          <w:lang w:val="en-US"/>
        </w:rPr>
        <w:t xml:space="preserve"> in a security’s market model measures the sensitivity of the security’s returns to the market index’s returns and can be viewed as an estimate of </w:t>
      </w:r>
      <w:r w:rsidR="00DE47A1">
        <w:rPr>
          <w:rFonts w:ascii="Times New Roman" w:hAnsi="Times New Roman" w:cs="Times New Roman"/>
          <w:sz w:val="24"/>
          <w:szCs w:val="24"/>
          <w:lang w:val="en-US"/>
        </w:rPr>
        <w:t>systemic</w:t>
      </w:r>
      <w:r w:rsidRPr="00321430">
        <w:rPr>
          <w:rFonts w:ascii="Times New Roman" w:hAnsi="Times New Roman" w:cs="Times New Roman"/>
          <w:sz w:val="24"/>
          <w:szCs w:val="24"/>
          <w:lang w:val="en-US"/>
        </w:rPr>
        <w:t xml:space="preserve"> risk. </w:t>
      </w:r>
    </w:p>
    <w:p w:rsidR="008E5586" w:rsidRDefault="008E5586" w:rsidP="009D40A4">
      <w:pPr>
        <w:spacing w:line="360" w:lineRule="auto"/>
        <w:ind w:firstLine="708"/>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Some interpretations of beta are explained in the table:</w:t>
      </w:r>
    </w:p>
    <w:p w:rsidR="007E10F5" w:rsidRPr="007E10F5" w:rsidRDefault="007E10F5" w:rsidP="00AD09F1">
      <w:pPr>
        <w:spacing w:line="360" w:lineRule="auto"/>
        <w:jc w:val="both"/>
        <w:rPr>
          <w:rFonts w:ascii="Times New Roman" w:eastAsiaTheme="minorEastAsia" w:hAnsi="Times New Roman" w:cs="Times New Roman"/>
          <w:b/>
          <w:sz w:val="24"/>
          <w:szCs w:val="24"/>
          <w:lang w:val="en-US"/>
        </w:rPr>
      </w:pPr>
      <w:r w:rsidRPr="007E10F5">
        <w:rPr>
          <w:rFonts w:ascii="Times New Roman" w:eastAsiaTheme="minorEastAsia" w:hAnsi="Times New Roman" w:cs="Times New Roman"/>
          <w:b/>
          <w:sz w:val="24"/>
          <w:szCs w:val="24"/>
          <w:lang w:val="en-US"/>
        </w:rPr>
        <w:t xml:space="preserve">Table 1.1 </w:t>
      </w:r>
      <w:r w:rsidRPr="00CA7EF3">
        <w:rPr>
          <w:rFonts w:ascii="Times New Roman" w:eastAsiaTheme="minorEastAsia" w:hAnsi="Times New Roman" w:cs="Times New Roman"/>
          <w:sz w:val="24"/>
          <w:szCs w:val="24"/>
          <w:lang w:val="en-US"/>
        </w:rPr>
        <w:t>Interpretation of beta value</w:t>
      </w:r>
      <w:r w:rsidRPr="007E10F5">
        <w:rPr>
          <w:rFonts w:ascii="Times New Roman" w:eastAsiaTheme="minorEastAsia" w:hAnsi="Times New Roman" w:cs="Times New Roman"/>
          <w:b/>
          <w:sz w:val="24"/>
          <w:szCs w:val="24"/>
          <w:lang w:val="en-US"/>
        </w:rPr>
        <w:t xml:space="preserve"> </w:t>
      </w:r>
    </w:p>
    <w:tbl>
      <w:tblPr>
        <w:tblStyle w:val="ab"/>
        <w:tblW w:w="0" w:type="auto"/>
        <w:tblLook w:val="04A0" w:firstRow="1" w:lastRow="0" w:firstColumn="1" w:lastColumn="0" w:noHBand="0" w:noVBand="1"/>
      </w:tblPr>
      <w:tblGrid>
        <w:gridCol w:w="1980"/>
        <w:gridCol w:w="7365"/>
      </w:tblGrid>
      <w:tr w:rsidR="008E5586" w:rsidTr="00DF26A7">
        <w:tc>
          <w:tcPr>
            <w:tcW w:w="1980" w:type="dxa"/>
          </w:tcPr>
          <w:p w:rsidR="008E5586" w:rsidRPr="00767646" w:rsidRDefault="008E5586" w:rsidP="00DF26A7">
            <w:pPr>
              <w:spacing w:line="360" w:lineRule="auto"/>
              <w:jc w:val="both"/>
              <w:rPr>
                <w:rFonts w:ascii="Times New Roman" w:hAnsi="Times New Roman" w:cs="Times New Roman"/>
                <w:sz w:val="24"/>
                <w:szCs w:val="24"/>
                <w:lang w:val="en-US"/>
              </w:rPr>
            </w:pPr>
            <w:r w:rsidRPr="00767646">
              <w:rPr>
                <w:rFonts w:ascii="Times New Roman" w:hAnsi="Times New Roman" w:cs="Times New Roman"/>
                <w:sz w:val="24"/>
                <w:szCs w:val="24"/>
                <w:lang w:val="en-US"/>
              </w:rPr>
              <w:t>Value of Beta</w:t>
            </w:r>
          </w:p>
        </w:tc>
        <w:tc>
          <w:tcPr>
            <w:tcW w:w="7365" w:type="dxa"/>
          </w:tcPr>
          <w:p w:rsidR="008E5586" w:rsidRPr="00767646" w:rsidRDefault="008E5586" w:rsidP="00DF26A7">
            <w:pPr>
              <w:spacing w:line="360" w:lineRule="auto"/>
              <w:jc w:val="center"/>
              <w:rPr>
                <w:rFonts w:ascii="Times New Roman" w:hAnsi="Times New Roman" w:cs="Times New Roman"/>
                <w:sz w:val="24"/>
                <w:szCs w:val="24"/>
                <w:lang w:val="en-US"/>
              </w:rPr>
            </w:pPr>
            <w:r w:rsidRPr="00767646">
              <w:rPr>
                <w:rFonts w:ascii="Times New Roman" w:hAnsi="Times New Roman" w:cs="Times New Roman"/>
                <w:sz w:val="24"/>
                <w:szCs w:val="24"/>
                <w:lang w:val="en-US"/>
              </w:rPr>
              <w:t>Interpretation</w:t>
            </w:r>
          </w:p>
        </w:tc>
      </w:tr>
      <w:tr w:rsidR="008E5586" w:rsidRPr="00AF0B79" w:rsidTr="00DF26A7">
        <w:tc>
          <w:tcPr>
            <w:tcW w:w="1980" w:type="dxa"/>
          </w:tcPr>
          <w:p w:rsidR="008E5586" w:rsidRPr="00767646" w:rsidRDefault="008E5586" w:rsidP="00DF26A7">
            <w:pPr>
              <w:spacing w:line="360" w:lineRule="auto"/>
              <w:jc w:val="both"/>
              <w:rPr>
                <w:rFonts w:ascii="Times New Roman" w:hAnsi="Times New Roman" w:cs="Times New Roman"/>
                <w:sz w:val="24"/>
                <w:szCs w:val="24"/>
                <w:lang w:val="en-US"/>
              </w:rPr>
            </w:pPr>
            <w:r w:rsidRPr="00767646">
              <w:rPr>
                <w:rFonts w:ascii="Times New Roman" w:hAnsi="Times New Roman" w:cs="Times New Roman"/>
                <w:sz w:val="24"/>
                <w:szCs w:val="24"/>
                <w:lang w:val="en-US"/>
              </w:rPr>
              <w:t>β &lt; 0</w:t>
            </w:r>
          </w:p>
        </w:tc>
        <w:tc>
          <w:tcPr>
            <w:tcW w:w="7365" w:type="dxa"/>
          </w:tcPr>
          <w:p w:rsidR="008E5586" w:rsidRPr="00767646" w:rsidRDefault="008E5586" w:rsidP="00DF26A7">
            <w:pPr>
              <w:spacing w:line="360" w:lineRule="auto"/>
              <w:jc w:val="both"/>
              <w:rPr>
                <w:rFonts w:ascii="Times New Roman" w:hAnsi="Times New Roman" w:cs="Times New Roman"/>
                <w:color w:val="000000" w:themeColor="text1"/>
                <w:sz w:val="24"/>
                <w:szCs w:val="24"/>
                <w:shd w:val="clear" w:color="auto" w:fill="F9F9F9"/>
                <w:lang w:val="en-US"/>
              </w:rPr>
            </w:pPr>
            <w:r>
              <w:rPr>
                <w:rFonts w:ascii="Times New Roman" w:hAnsi="Times New Roman" w:cs="Times New Roman"/>
                <w:color w:val="000000" w:themeColor="text1"/>
                <w:sz w:val="24"/>
                <w:szCs w:val="24"/>
                <w:lang w:val="en-US"/>
              </w:rPr>
              <w:t>Asset movement is in the opposite direction of the market index</w:t>
            </w:r>
          </w:p>
        </w:tc>
      </w:tr>
      <w:tr w:rsidR="008E5586" w:rsidRPr="00AF0B79" w:rsidTr="00DF26A7">
        <w:tc>
          <w:tcPr>
            <w:tcW w:w="1980" w:type="dxa"/>
          </w:tcPr>
          <w:p w:rsidR="008E5586" w:rsidRPr="00767646" w:rsidRDefault="008E5586" w:rsidP="00DF26A7">
            <w:pPr>
              <w:spacing w:line="360" w:lineRule="auto"/>
              <w:jc w:val="both"/>
              <w:rPr>
                <w:rFonts w:ascii="Times New Roman" w:hAnsi="Times New Roman" w:cs="Times New Roman"/>
                <w:sz w:val="24"/>
                <w:szCs w:val="24"/>
                <w:lang w:val="en-US"/>
              </w:rPr>
            </w:pPr>
            <w:r w:rsidRPr="00767646">
              <w:rPr>
                <w:rFonts w:ascii="Times New Roman" w:hAnsi="Times New Roman" w:cs="Times New Roman"/>
                <w:sz w:val="24"/>
                <w:szCs w:val="24"/>
                <w:lang w:val="en-US"/>
              </w:rPr>
              <w:t>β = 0</w:t>
            </w:r>
          </w:p>
        </w:tc>
        <w:tc>
          <w:tcPr>
            <w:tcW w:w="7365" w:type="dxa"/>
          </w:tcPr>
          <w:p w:rsidR="008E5586" w:rsidRPr="00767646" w:rsidRDefault="008E5586" w:rsidP="00DF26A7">
            <w:pPr>
              <w:spacing w:line="360" w:lineRule="auto"/>
              <w:jc w:val="both"/>
              <w:rPr>
                <w:rFonts w:ascii="Times New Roman" w:hAnsi="Times New Roman" w:cs="Times New Roman"/>
                <w:color w:val="000000" w:themeColor="text1"/>
                <w:sz w:val="24"/>
                <w:szCs w:val="24"/>
                <w:shd w:val="clear" w:color="auto" w:fill="F9F9F9"/>
                <w:lang w:val="en-US"/>
              </w:rPr>
            </w:pPr>
            <w:r>
              <w:rPr>
                <w:rFonts w:ascii="Times New Roman" w:hAnsi="Times New Roman" w:cs="Times New Roman"/>
                <w:color w:val="000000" w:themeColor="text1"/>
                <w:sz w:val="24"/>
                <w:szCs w:val="24"/>
                <w:lang w:val="en-US"/>
              </w:rPr>
              <w:t>Asset movement is uncorrelated to the market index</w:t>
            </w:r>
          </w:p>
        </w:tc>
      </w:tr>
      <w:tr w:rsidR="008E5586" w:rsidRPr="00AF0B79" w:rsidTr="00DF26A7">
        <w:tc>
          <w:tcPr>
            <w:tcW w:w="1980" w:type="dxa"/>
          </w:tcPr>
          <w:p w:rsidR="008E5586" w:rsidRPr="00767646" w:rsidRDefault="008E5586" w:rsidP="00DF26A7">
            <w:pPr>
              <w:spacing w:line="360" w:lineRule="auto"/>
              <w:jc w:val="both"/>
              <w:rPr>
                <w:rFonts w:ascii="Times New Roman" w:hAnsi="Times New Roman" w:cs="Times New Roman"/>
                <w:sz w:val="24"/>
                <w:szCs w:val="24"/>
                <w:lang w:val="en-US"/>
              </w:rPr>
            </w:pPr>
            <w:r w:rsidRPr="00767646">
              <w:rPr>
                <w:rFonts w:ascii="Times New Roman" w:hAnsi="Times New Roman" w:cs="Times New Roman"/>
                <w:sz w:val="24"/>
                <w:szCs w:val="24"/>
                <w:lang w:val="en-US"/>
              </w:rPr>
              <w:t>β &gt; 0 to 1</w:t>
            </w:r>
          </w:p>
        </w:tc>
        <w:tc>
          <w:tcPr>
            <w:tcW w:w="7365" w:type="dxa"/>
          </w:tcPr>
          <w:p w:rsidR="008E5586" w:rsidRPr="00767646" w:rsidRDefault="008E5586" w:rsidP="00DF26A7">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Asset moves i</w:t>
            </w:r>
            <w:r w:rsidRPr="00767646">
              <w:rPr>
                <w:rFonts w:ascii="Times New Roman" w:hAnsi="Times New Roman" w:cs="Times New Roman"/>
                <w:color w:val="000000" w:themeColor="text1"/>
                <w:sz w:val="24"/>
                <w:szCs w:val="24"/>
                <w:lang w:val="en-US"/>
              </w:rPr>
              <w:t>n the same direction as the market index, with less volatility</w:t>
            </w:r>
          </w:p>
        </w:tc>
      </w:tr>
      <w:tr w:rsidR="008E5586" w:rsidRPr="00AF0B79" w:rsidTr="00DF26A7">
        <w:tc>
          <w:tcPr>
            <w:tcW w:w="1980" w:type="dxa"/>
          </w:tcPr>
          <w:p w:rsidR="008E5586" w:rsidRPr="00767646" w:rsidRDefault="008E5586" w:rsidP="00DF26A7">
            <w:pPr>
              <w:spacing w:line="360" w:lineRule="auto"/>
              <w:jc w:val="both"/>
              <w:rPr>
                <w:rFonts w:ascii="Times New Roman" w:hAnsi="Times New Roman" w:cs="Times New Roman"/>
                <w:sz w:val="24"/>
                <w:szCs w:val="24"/>
                <w:lang w:val="en-US"/>
              </w:rPr>
            </w:pPr>
            <w:r w:rsidRPr="00767646">
              <w:rPr>
                <w:rFonts w:ascii="Times New Roman" w:hAnsi="Times New Roman" w:cs="Times New Roman"/>
                <w:sz w:val="24"/>
                <w:szCs w:val="24"/>
                <w:lang w:val="en-US"/>
              </w:rPr>
              <w:lastRenderedPageBreak/>
              <w:t>β = 1</w:t>
            </w:r>
          </w:p>
        </w:tc>
        <w:tc>
          <w:tcPr>
            <w:tcW w:w="7365" w:type="dxa"/>
          </w:tcPr>
          <w:p w:rsidR="008E5586" w:rsidRPr="00767646" w:rsidRDefault="008E5586" w:rsidP="00DF26A7">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Asset moves </w:t>
            </w:r>
            <w:r w:rsidRPr="00767646">
              <w:rPr>
                <w:rFonts w:ascii="Times New Roman" w:hAnsi="Times New Roman" w:cs="Times New Roman"/>
                <w:color w:val="000000" w:themeColor="text1"/>
                <w:sz w:val="24"/>
                <w:szCs w:val="24"/>
                <w:lang w:val="en-US"/>
              </w:rPr>
              <w:t>in the same direction as t</w:t>
            </w:r>
            <w:r>
              <w:rPr>
                <w:rFonts w:ascii="Times New Roman" w:hAnsi="Times New Roman" w:cs="Times New Roman"/>
                <w:color w:val="000000" w:themeColor="text1"/>
                <w:sz w:val="24"/>
                <w:szCs w:val="24"/>
                <w:lang w:val="en-US"/>
              </w:rPr>
              <w:t>he market index, with the same volatility</w:t>
            </w:r>
          </w:p>
        </w:tc>
      </w:tr>
      <w:tr w:rsidR="008E5586" w:rsidRPr="00AF0B79" w:rsidTr="00DF26A7">
        <w:tc>
          <w:tcPr>
            <w:tcW w:w="1980" w:type="dxa"/>
          </w:tcPr>
          <w:p w:rsidR="008E5586" w:rsidRPr="00767646" w:rsidRDefault="008E5586" w:rsidP="00DF26A7">
            <w:pPr>
              <w:spacing w:line="360" w:lineRule="auto"/>
              <w:jc w:val="both"/>
              <w:rPr>
                <w:rFonts w:ascii="Times New Roman" w:hAnsi="Times New Roman" w:cs="Times New Roman"/>
                <w:sz w:val="24"/>
                <w:szCs w:val="24"/>
                <w:lang w:val="en-US"/>
              </w:rPr>
            </w:pPr>
            <w:r w:rsidRPr="00767646">
              <w:rPr>
                <w:rFonts w:ascii="Times New Roman" w:hAnsi="Times New Roman" w:cs="Times New Roman"/>
                <w:sz w:val="24"/>
                <w:szCs w:val="24"/>
                <w:lang w:val="en-US"/>
              </w:rPr>
              <w:t>β &gt; 0</w:t>
            </w:r>
          </w:p>
        </w:tc>
        <w:tc>
          <w:tcPr>
            <w:tcW w:w="7365" w:type="dxa"/>
          </w:tcPr>
          <w:p w:rsidR="008E5586" w:rsidRPr="00767646" w:rsidRDefault="008E5586" w:rsidP="00DF26A7">
            <w:pPr>
              <w:spacing w:line="36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Asset moves </w:t>
            </w:r>
            <w:r w:rsidRPr="00767646">
              <w:rPr>
                <w:rFonts w:ascii="Times New Roman" w:hAnsi="Times New Roman" w:cs="Times New Roman"/>
                <w:color w:val="000000" w:themeColor="text1"/>
                <w:sz w:val="24"/>
                <w:szCs w:val="24"/>
                <w:lang w:val="en-US"/>
              </w:rPr>
              <w:t>in the same direction as t</w:t>
            </w:r>
            <w:r>
              <w:rPr>
                <w:rFonts w:ascii="Times New Roman" w:hAnsi="Times New Roman" w:cs="Times New Roman"/>
                <w:color w:val="000000" w:themeColor="text1"/>
                <w:sz w:val="24"/>
                <w:szCs w:val="24"/>
                <w:lang w:val="en-US"/>
              </w:rPr>
              <w:t>he market index, with the higher volatility</w:t>
            </w:r>
            <w:r w:rsidRPr="004C3517">
              <w:rPr>
                <w:rFonts w:ascii="Times New Roman" w:hAnsi="Times New Roman" w:cs="Times New Roman"/>
                <w:sz w:val="24"/>
                <w:lang w:val="en-US"/>
              </w:rPr>
              <w:t xml:space="preserve">, and is very sensitive to </w:t>
            </w:r>
            <w:r w:rsidR="00DE47A1">
              <w:rPr>
                <w:rFonts w:ascii="Times New Roman" w:hAnsi="Times New Roman" w:cs="Times New Roman"/>
                <w:sz w:val="24"/>
                <w:lang w:val="en-US"/>
              </w:rPr>
              <w:t>systemic</w:t>
            </w:r>
            <w:r w:rsidRPr="004C3517">
              <w:rPr>
                <w:rFonts w:ascii="Times New Roman" w:hAnsi="Times New Roman" w:cs="Times New Roman"/>
                <w:sz w:val="24"/>
                <w:lang w:val="en-US"/>
              </w:rPr>
              <w:t xml:space="preserve"> risk</w:t>
            </w:r>
          </w:p>
        </w:tc>
      </w:tr>
    </w:tbl>
    <w:p w:rsidR="008E5586" w:rsidRDefault="008E5586" w:rsidP="008E5586">
      <w:pPr>
        <w:spacing w:line="360" w:lineRule="auto"/>
        <w:jc w:val="both"/>
        <w:rPr>
          <w:rFonts w:ascii="Times New Roman" w:hAnsi="Times New Roman" w:cs="Times New Roman"/>
          <w:sz w:val="24"/>
          <w:szCs w:val="24"/>
          <w:lang w:val="en-US"/>
        </w:rPr>
      </w:pPr>
    </w:p>
    <w:p w:rsidR="008E5586" w:rsidRPr="00321430" w:rsidRDefault="008E5586" w:rsidP="008E5586">
      <w:pPr>
        <w:spacing w:line="360" w:lineRule="auto"/>
        <w:ind w:firstLine="708"/>
        <w:jc w:val="both"/>
        <w:rPr>
          <w:rFonts w:ascii="Times New Roman" w:hAnsi="Times New Roman" w:cs="Times New Roman"/>
          <w:sz w:val="24"/>
          <w:lang w:val="en-US"/>
        </w:rPr>
      </w:pPr>
      <w:r w:rsidRPr="00321430">
        <w:rPr>
          <w:rFonts w:ascii="Times New Roman" w:hAnsi="Times New Roman" w:cs="Times New Roman"/>
          <w:sz w:val="24"/>
          <w:lang w:val="en-US"/>
        </w:rPr>
        <w:t xml:space="preserve">For example, the beta of United Community Banks, Inc. for 2012 is 1.5 in relation to </w:t>
      </w:r>
      <w:r>
        <w:rPr>
          <w:rFonts w:ascii="Times New Roman" w:hAnsi="Times New Roman" w:cs="Times New Roman"/>
          <w:sz w:val="24"/>
          <w:lang w:val="en-US"/>
        </w:rPr>
        <w:t>the</w:t>
      </w:r>
      <w:r w:rsidRPr="00321430">
        <w:rPr>
          <w:rFonts w:ascii="Times New Roman" w:hAnsi="Times New Roman" w:cs="Times New Roman"/>
          <w:sz w:val="24"/>
          <w:lang w:val="en-US"/>
        </w:rPr>
        <w:t xml:space="preserve"> market index, such as the NASDAQ. If the market increases by 2%, then United Community Banks, Inc. stock price will generally increase by 3%. Likewise, if the market decreases by 2%, United Community Banks, Inc. stock price generally decreases by 3%. United Community Banks, Inc. stock price is sensitive to </w:t>
      </w:r>
      <w:r w:rsidR="00DE47A1">
        <w:rPr>
          <w:rFonts w:ascii="Times New Roman" w:hAnsi="Times New Roman" w:cs="Times New Roman"/>
          <w:sz w:val="24"/>
          <w:lang w:val="en-US"/>
        </w:rPr>
        <w:t>systemic</w:t>
      </w:r>
      <w:r w:rsidRPr="00321430">
        <w:rPr>
          <w:rFonts w:ascii="Times New Roman" w:hAnsi="Times New Roman" w:cs="Times New Roman"/>
          <w:sz w:val="24"/>
          <w:lang w:val="en-US"/>
        </w:rPr>
        <w:t xml:space="preserve"> risk, but the risk can be reduced by </w:t>
      </w:r>
      <w:hyperlink r:id="rId15" w:history="1">
        <w:r w:rsidRPr="00321430">
          <w:rPr>
            <w:rFonts w:ascii="Times New Roman" w:hAnsi="Times New Roman" w:cs="Times New Roman"/>
            <w:sz w:val="24"/>
            <w:lang w:val="en-US"/>
          </w:rPr>
          <w:t>hedging</w:t>
        </w:r>
      </w:hyperlink>
      <w:r w:rsidRPr="00321430">
        <w:rPr>
          <w:rFonts w:ascii="Times New Roman" w:hAnsi="Times New Roman" w:cs="Times New Roman"/>
          <w:sz w:val="24"/>
          <w:lang w:val="en-US"/>
        </w:rPr>
        <w:t>.</w:t>
      </w:r>
    </w:p>
    <w:p w:rsidR="008E5586" w:rsidRDefault="008E5586" w:rsidP="008E5586">
      <w:pPr>
        <w:spacing w:line="360" w:lineRule="auto"/>
        <w:ind w:firstLine="708"/>
        <w:jc w:val="both"/>
        <w:rPr>
          <w:rFonts w:ascii="Times New Roman" w:hAnsi="Times New Roman" w:cs="Times New Roman"/>
          <w:sz w:val="24"/>
          <w:lang w:val="en-US"/>
        </w:rPr>
      </w:pPr>
      <w:r w:rsidRPr="00DB077E">
        <w:rPr>
          <w:rFonts w:ascii="Times New Roman" w:hAnsi="Times New Roman" w:cs="Times New Roman"/>
          <w:sz w:val="24"/>
          <w:lang w:val="en-US"/>
        </w:rPr>
        <w:t xml:space="preserve">Under modern </w:t>
      </w:r>
      <w:r>
        <w:rPr>
          <w:rFonts w:ascii="Times New Roman" w:hAnsi="Times New Roman" w:cs="Times New Roman"/>
          <w:sz w:val="24"/>
          <w:lang w:val="en-US"/>
        </w:rPr>
        <w:t>portfolio</w:t>
      </w:r>
      <w:r w:rsidRPr="00DB077E">
        <w:rPr>
          <w:rFonts w:ascii="Times New Roman" w:hAnsi="Times New Roman" w:cs="Times New Roman"/>
          <w:sz w:val="24"/>
          <w:lang w:val="en-US"/>
        </w:rPr>
        <w:t xml:space="preserve"> theory, investors and other market participants can protect themselves from risk by diversifying their investments. To the extent risk is negatively correlated, or uncorrelated, with market risk, the randomly distributed risks of a diversified investment portfolio “would tend to cancel out, pr</w:t>
      </w:r>
      <w:r>
        <w:rPr>
          <w:rFonts w:ascii="Times New Roman" w:hAnsi="Times New Roman" w:cs="Times New Roman"/>
          <w:sz w:val="24"/>
          <w:lang w:val="en-US"/>
        </w:rPr>
        <w:t>oducing a riskl</w:t>
      </w:r>
      <w:r w:rsidR="00A43170">
        <w:rPr>
          <w:rFonts w:ascii="Times New Roman" w:hAnsi="Times New Roman" w:cs="Times New Roman"/>
          <w:sz w:val="24"/>
          <w:lang w:val="en-US"/>
        </w:rPr>
        <w:t>ess portfolio” (fig. 1.3).</w:t>
      </w:r>
      <w:r w:rsidRPr="00DB077E">
        <w:rPr>
          <w:rFonts w:ascii="Times New Roman" w:hAnsi="Times New Roman" w:cs="Times New Roman"/>
          <w:sz w:val="24"/>
          <w:lang w:val="en-US"/>
        </w:rPr>
        <w:t xml:space="preserve"> </w:t>
      </w:r>
      <w:r>
        <w:rPr>
          <w:rFonts w:ascii="Times New Roman" w:hAnsi="Times New Roman" w:cs="Times New Roman"/>
          <w:sz w:val="24"/>
          <w:lang w:val="en-US"/>
        </w:rPr>
        <w:t>However,</w:t>
      </w:r>
      <w:r w:rsidRPr="00DB077E">
        <w:rPr>
          <w:rFonts w:ascii="Times New Roman" w:hAnsi="Times New Roman" w:cs="Times New Roman"/>
          <w:sz w:val="24"/>
          <w:lang w:val="en-US"/>
        </w:rPr>
        <w:t xml:space="preserve"> you can’t avoid</w:t>
      </w:r>
      <w:r>
        <w:rPr>
          <w:rFonts w:ascii="Times New Roman" w:hAnsi="Times New Roman" w:cs="Times New Roman"/>
          <w:sz w:val="24"/>
          <w:lang w:val="en-US"/>
        </w:rPr>
        <w:t xml:space="preserve"> systemic risk</w:t>
      </w:r>
      <w:r w:rsidRPr="00DB077E">
        <w:rPr>
          <w:rFonts w:ascii="Times New Roman" w:hAnsi="Times New Roman" w:cs="Times New Roman"/>
          <w:sz w:val="24"/>
          <w:lang w:val="en-US"/>
        </w:rPr>
        <w:t xml:space="preserve">, regardless of how much you diversify. </w:t>
      </w:r>
      <w:r>
        <w:rPr>
          <w:rFonts w:ascii="Times New Roman" w:hAnsi="Times New Roman" w:cs="Times New Roman"/>
          <w:sz w:val="24"/>
          <w:lang w:val="en-US"/>
        </w:rPr>
        <w:t>Systemic</w:t>
      </w:r>
      <w:r w:rsidRPr="00DB077E">
        <w:rPr>
          <w:rFonts w:ascii="Times New Roman" w:hAnsi="Times New Roman" w:cs="Times New Roman"/>
          <w:sz w:val="24"/>
          <w:lang w:val="en-US"/>
        </w:rPr>
        <w:t xml:space="preserve"> risk stems from the fact that there ar</w:t>
      </w:r>
      <w:r>
        <w:rPr>
          <w:rFonts w:ascii="Times New Roman" w:hAnsi="Times New Roman" w:cs="Times New Roman"/>
          <w:sz w:val="24"/>
          <w:lang w:val="en-US"/>
        </w:rPr>
        <w:t xml:space="preserve">e other economy wide perils that </w:t>
      </w:r>
      <w:r w:rsidRPr="00DB077E">
        <w:rPr>
          <w:rFonts w:ascii="Times New Roman" w:hAnsi="Times New Roman" w:cs="Times New Roman"/>
          <w:sz w:val="24"/>
          <w:lang w:val="en-US"/>
        </w:rPr>
        <w:t>threaten all businesses. That is why stocks have a tendency to move together. And that is why</w:t>
      </w:r>
      <w:r>
        <w:rPr>
          <w:rFonts w:ascii="Times New Roman" w:hAnsi="Times New Roman" w:cs="Times New Roman"/>
          <w:sz w:val="24"/>
          <w:lang w:val="en-US"/>
        </w:rPr>
        <w:t xml:space="preserve"> </w:t>
      </w:r>
      <w:r w:rsidRPr="00DB077E">
        <w:rPr>
          <w:rFonts w:ascii="Times New Roman" w:hAnsi="Times New Roman" w:cs="Times New Roman"/>
          <w:sz w:val="24"/>
          <w:lang w:val="en-US"/>
        </w:rPr>
        <w:t>investors are exposed to market uncertainties, no matter how many stocks they hold.</w:t>
      </w:r>
    </w:p>
    <w:p w:rsidR="008E5586" w:rsidRDefault="008E5586" w:rsidP="008E5586">
      <w:pPr>
        <w:spacing w:line="360" w:lineRule="auto"/>
        <w:ind w:firstLine="708"/>
        <w:jc w:val="center"/>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14:anchorId="56EEEA6C" wp14:editId="26A421B4">
            <wp:extent cx="3754172" cy="1943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ersification-of-Unsystematic-Risk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59482" cy="1945848"/>
                    </a:xfrm>
                    <a:prstGeom prst="rect">
                      <a:avLst/>
                    </a:prstGeom>
                  </pic:spPr>
                </pic:pic>
              </a:graphicData>
            </a:graphic>
          </wp:inline>
        </w:drawing>
      </w:r>
    </w:p>
    <w:p w:rsidR="008E5586" w:rsidRDefault="00CA7EF3" w:rsidP="008E5586">
      <w:pPr>
        <w:spacing w:line="360" w:lineRule="auto"/>
        <w:ind w:firstLine="708"/>
        <w:jc w:val="center"/>
        <w:rPr>
          <w:rFonts w:ascii="Times New Roman" w:hAnsi="Times New Roman" w:cs="Times New Roman"/>
          <w:sz w:val="24"/>
          <w:lang w:val="en-US"/>
        </w:rPr>
      </w:pPr>
      <w:r w:rsidRPr="00CA7EF3">
        <w:rPr>
          <w:rFonts w:ascii="Times New Roman" w:hAnsi="Times New Roman" w:cs="Times New Roman"/>
          <w:b/>
          <w:sz w:val="24"/>
          <w:lang w:val="en-US"/>
        </w:rPr>
        <w:t>Fig</w:t>
      </w:r>
      <w:r w:rsidR="003F7222">
        <w:rPr>
          <w:rFonts w:ascii="Times New Roman" w:hAnsi="Times New Roman" w:cs="Times New Roman"/>
          <w:b/>
          <w:sz w:val="24"/>
          <w:lang w:val="en-US"/>
        </w:rPr>
        <w:t>ure</w:t>
      </w:r>
      <w:r w:rsidR="008E5586" w:rsidRPr="00CA7EF3">
        <w:rPr>
          <w:rFonts w:ascii="Times New Roman" w:hAnsi="Times New Roman" w:cs="Times New Roman"/>
          <w:b/>
          <w:sz w:val="24"/>
          <w:lang w:val="en-US"/>
        </w:rPr>
        <w:t xml:space="preserve"> </w:t>
      </w:r>
      <w:r w:rsidRPr="00CA7EF3">
        <w:rPr>
          <w:rFonts w:ascii="Times New Roman" w:hAnsi="Times New Roman" w:cs="Times New Roman"/>
          <w:b/>
          <w:sz w:val="24"/>
          <w:lang w:val="en-US"/>
        </w:rPr>
        <w:t>1.</w:t>
      </w:r>
      <w:r w:rsidR="008E5586" w:rsidRPr="00CA7EF3">
        <w:rPr>
          <w:rFonts w:ascii="Times New Roman" w:hAnsi="Times New Roman" w:cs="Times New Roman"/>
          <w:b/>
          <w:sz w:val="24"/>
          <w:lang w:val="en-US"/>
        </w:rPr>
        <w:t>3</w:t>
      </w:r>
      <w:r w:rsidR="008E5586">
        <w:rPr>
          <w:rFonts w:ascii="Times New Roman" w:hAnsi="Times New Roman" w:cs="Times New Roman"/>
          <w:sz w:val="24"/>
          <w:lang w:val="en-US"/>
        </w:rPr>
        <w:t xml:space="preserve"> Modern portfolio theory</w:t>
      </w:r>
      <w:r w:rsidR="00624632">
        <w:rPr>
          <w:rFonts w:ascii="Times New Roman" w:hAnsi="Times New Roman" w:cs="Times New Roman"/>
          <w:sz w:val="24"/>
          <w:lang w:val="en-US"/>
        </w:rPr>
        <w:t>. Source: Investopedia</w:t>
      </w:r>
      <w:r w:rsidR="00FE450D">
        <w:rPr>
          <w:rFonts w:ascii="Times New Roman" w:hAnsi="Times New Roman" w:cs="Times New Roman"/>
          <w:sz w:val="24"/>
          <w:lang w:val="en-US"/>
        </w:rPr>
        <w:t xml:space="preserve"> </w:t>
      </w:r>
      <w:r w:rsidR="00624632">
        <w:rPr>
          <w:rFonts w:ascii="Times New Roman" w:hAnsi="Times New Roman" w:cs="Times New Roman"/>
          <w:sz w:val="24"/>
          <w:lang w:val="en-US"/>
        </w:rPr>
        <w:t>(2006)</w:t>
      </w:r>
    </w:p>
    <w:p w:rsidR="008E5586" w:rsidRDefault="008E5586" w:rsidP="008E558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For a reasonably </w:t>
      </w:r>
      <w:r w:rsidRPr="0019304C">
        <w:rPr>
          <w:rFonts w:ascii="Times New Roman" w:hAnsi="Times New Roman" w:cs="Times New Roman"/>
          <w:sz w:val="24"/>
          <w:lang w:val="en-US"/>
        </w:rPr>
        <w:t xml:space="preserve">well-diversified portfolio, only </w:t>
      </w:r>
      <w:r w:rsidR="00DE47A1">
        <w:rPr>
          <w:rFonts w:ascii="Times New Roman" w:hAnsi="Times New Roman" w:cs="Times New Roman"/>
          <w:sz w:val="24"/>
          <w:lang w:val="en-US"/>
        </w:rPr>
        <w:t>systemic</w:t>
      </w:r>
      <w:r w:rsidRPr="0019304C">
        <w:rPr>
          <w:rFonts w:ascii="Times New Roman" w:hAnsi="Times New Roman" w:cs="Times New Roman"/>
          <w:sz w:val="24"/>
          <w:lang w:val="en-US"/>
        </w:rPr>
        <w:t xml:space="preserve"> risk matters.</w:t>
      </w:r>
      <w:r>
        <w:rPr>
          <w:rFonts w:ascii="Times New Roman" w:hAnsi="Times New Roman" w:cs="Times New Roman"/>
          <w:sz w:val="24"/>
          <w:lang w:val="en-US"/>
        </w:rPr>
        <w:t xml:space="preserve"> If </w:t>
      </w:r>
      <w:r w:rsidRPr="0019304C">
        <w:rPr>
          <w:rFonts w:ascii="Times New Roman" w:hAnsi="Times New Roman" w:cs="Times New Roman"/>
          <w:sz w:val="24"/>
          <w:lang w:val="en-US"/>
        </w:rPr>
        <w:t>you have only a single stock, specific risk is very important</w:t>
      </w:r>
      <w:r>
        <w:rPr>
          <w:rFonts w:ascii="Times New Roman" w:hAnsi="Times New Roman" w:cs="Times New Roman"/>
          <w:sz w:val="24"/>
          <w:lang w:val="en-US"/>
        </w:rPr>
        <w:t xml:space="preserve">; but once you have a portfolio </w:t>
      </w:r>
      <w:r w:rsidRPr="0019304C">
        <w:rPr>
          <w:rFonts w:ascii="Times New Roman" w:hAnsi="Times New Roman" w:cs="Times New Roman"/>
          <w:sz w:val="24"/>
          <w:lang w:val="en-US"/>
        </w:rPr>
        <w:t xml:space="preserve">20 or more stocks, diversification has </w:t>
      </w:r>
      <w:r>
        <w:rPr>
          <w:rFonts w:ascii="Times New Roman" w:hAnsi="Times New Roman" w:cs="Times New Roman"/>
          <w:sz w:val="24"/>
          <w:lang w:val="en-US"/>
        </w:rPr>
        <w:t xml:space="preserve">reduced specific risk. </w:t>
      </w:r>
      <w:r w:rsidRPr="0019304C">
        <w:rPr>
          <w:rFonts w:ascii="Times New Roman" w:hAnsi="Times New Roman" w:cs="Times New Roman"/>
          <w:sz w:val="24"/>
          <w:lang w:val="en-US"/>
        </w:rPr>
        <w:t xml:space="preserve"> Therefore, t</w:t>
      </w:r>
      <w:r>
        <w:rPr>
          <w:rFonts w:ascii="Times New Roman" w:hAnsi="Times New Roman" w:cs="Times New Roman"/>
          <w:sz w:val="24"/>
          <w:lang w:val="en-US"/>
        </w:rPr>
        <w:t xml:space="preserve">he predominant source of </w:t>
      </w:r>
      <w:r w:rsidRPr="0019304C">
        <w:rPr>
          <w:rFonts w:ascii="Times New Roman" w:hAnsi="Times New Roman" w:cs="Times New Roman"/>
          <w:sz w:val="24"/>
          <w:lang w:val="en-US"/>
        </w:rPr>
        <w:t xml:space="preserve">uncertainty for a </w:t>
      </w:r>
      <w:r w:rsidRPr="0019304C">
        <w:rPr>
          <w:rFonts w:ascii="Times New Roman" w:hAnsi="Times New Roman" w:cs="Times New Roman"/>
          <w:sz w:val="24"/>
          <w:lang w:val="en-US"/>
        </w:rPr>
        <w:lastRenderedPageBreak/>
        <w:t>diversified investor is that the market wil</w:t>
      </w:r>
      <w:r>
        <w:rPr>
          <w:rFonts w:ascii="Times New Roman" w:hAnsi="Times New Roman" w:cs="Times New Roman"/>
          <w:sz w:val="24"/>
          <w:lang w:val="en-US"/>
        </w:rPr>
        <w:t xml:space="preserve">l rise or plummet, carrying the </w:t>
      </w:r>
      <w:r w:rsidRPr="0019304C">
        <w:rPr>
          <w:rFonts w:ascii="Times New Roman" w:hAnsi="Times New Roman" w:cs="Times New Roman"/>
          <w:sz w:val="24"/>
          <w:lang w:val="en-US"/>
        </w:rPr>
        <w:t>investor’s portfolio with it.</w:t>
      </w:r>
      <w:r w:rsidR="00CD5F5C">
        <w:rPr>
          <w:rStyle w:val="a6"/>
          <w:rFonts w:ascii="Times New Roman" w:hAnsi="Times New Roman" w:cs="Times New Roman"/>
          <w:sz w:val="24"/>
          <w:lang w:val="en-US"/>
        </w:rPr>
        <w:footnoteReference w:id="5"/>
      </w:r>
    </w:p>
    <w:p w:rsidR="008E5586" w:rsidRPr="0051644C" w:rsidRDefault="008E5586" w:rsidP="001568B5">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Taking into account significant interconnection among </w:t>
      </w:r>
      <w:r w:rsidRPr="00225F55">
        <w:rPr>
          <w:rFonts w:ascii="Times New Roman" w:hAnsi="Times New Roman" w:cs="Times New Roman"/>
          <w:sz w:val="24"/>
          <w:lang w:val="en-US"/>
        </w:rPr>
        <w:t>financial market participants and institutions</w:t>
      </w:r>
      <w:r>
        <w:rPr>
          <w:rFonts w:ascii="Times New Roman" w:hAnsi="Times New Roman" w:cs="Times New Roman"/>
          <w:sz w:val="24"/>
          <w:lang w:val="en-US"/>
        </w:rPr>
        <w:t xml:space="preserve">,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 is quite important for researchers. Particularly Lambert (2007) uses nondiversifiable or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 in his</w:t>
      </w:r>
      <w:r w:rsidR="00A43170">
        <w:rPr>
          <w:rFonts w:ascii="Times New Roman" w:hAnsi="Times New Roman" w:cs="Times New Roman"/>
          <w:sz w:val="24"/>
          <w:lang w:val="en-US"/>
        </w:rPr>
        <w:t xml:space="preserve"> research</w:t>
      </w:r>
      <w:r w:rsidRPr="0051644C">
        <w:rPr>
          <w:rFonts w:ascii="Times New Roman" w:hAnsi="Times New Roman" w:cs="Times New Roman"/>
          <w:sz w:val="24"/>
          <w:lang w:val="en-US"/>
        </w:rPr>
        <w:t xml:space="preserve"> w</w:t>
      </w:r>
      <w:r>
        <w:rPr>
          <w:rFonts w:ascii="Times New Roman" w:hAnsi="Times New Roman" w:cs="Times New Roman"/>
          <w:sz w:val="24"/>
          <w:lang w:val="en-US"/>
        </w:rPr>
        <w:t>here he</w:t>
      </w:r>
      <w:r w:rsidRPr="0051644C">
        <w:rPr>
          <w:rFonts w:ascii="Times New Roman" w:hAnsi="Times New Roman" w:cs="Times New Roman"/>
          <w:sz w:val="24"/>
          <w:lang w:val="en-US"/>
        </w:rPr>
        <w:t xml:space="preserve"> examine</w:t>
      </w:r>
      <w:r>
        <w:rPr>
          <w:rFonts w:ascii="Times New Roman" w:hAnsi="Times New Roman" w:cs="Times New Roman"/>
          <w:sz w:val="24"/>
          <w:lang w:val="en-US"/>
        </w:rPr>
        <w:t>s</w:t>
      </w:r>
      <w:r w:rsidRPr="0051644C">
        <w:rPr>
          <w:rFonts w:ascii="Times New Roman" w:hAnsi="Times New Roman" w:cs="Times New Roman"/>
          <w:sz w:val="24"/>
          <w:lang w:val="en-US"/>
        </w:rPr>
        <w:t xml:space="preserve"> whether and h</w:t>
      </w:r>
      <w:r>
        <w:rPr>
          <w:rFonts w:ascii="Times New Roman" w:hAnsi="Times New Roman" w:cs="Times New Roman"/>
          <w:sz w:val="24"/>
          <w:lang w:val="en-US"/>
        </w:rPr>
        <w:t xml:space="preserve">ow accounting information about </w:t>
      </w:r>
      <w:r w:rsidRPr="0051644C">
        <w:rPr>
          <w:rFonts w:ascii="Times New Roman" w:hAnsi="Times New Roman" w:cs="Times New Roman"/>
          <w:sz w:val="24"/>
          <w:lang w:val="en-US"/>
        </w:rPr>
        <w:t>a firm manifests in its cost of capital, despite the forces of diversification.</w:t>
      </w:r>
      <w:r w:rsidR="001568B5">
        <w:rPr>
          <w:rFonts w:ascii="Times New Roman" w:hAnsi="Times New Roman" w:cs="Times New Roman"/>
          <w:sz w:val="24"/>
          <w:lang w:val="en-US"/>
        </w:rPr>
        <w:t xml:space="preserve"> </w:t>
      </w:r>
      <w:r>
        <w:rPr>
          <w:rFonts w:ascii="Times New Roman" w:hAnsi="Times New Roman" w:cs="Times New Roman"/>
          <w:sz w:val="24"/>
          <w:lang w:val="en-US"/>
        </w:rPr>
        <w:t xml:space="preserve">Lambert claims that </w:t>
      </w:r>
      <w:r w:rsidRPr="0051644C">
        <w:rPr>
          <w:rFonts w:ascii="Times New Roman" w:hAnsi="Times New Roman" w:cs="Times New Roman"/>
          <w:sz w:val="24"/>
          <w:lang w:val="en-US"/>
        </w:rPr>
        <w:t xml:space="preserve">most analytical models in accounting </w:t>
      </w:r>
      <w:r>
        <w:rPr>
          <w:rFonts w:ascii="Times New Roman" w:hAnsi="Times New Roman" w:cs="Times New Roman"/>
          <w:sz w:val="24"/>
          <w:lang w:val="en-US"/>
        </w:rPr>
        <w:t xml:space="preserve">examine the role of information in single-firm settings. While this </w:t>
      </w:r>
      <w:r w:rsidRPr="0051644C">
        <w:rPr>
          <w:rFonts w:ascii="Times New Roman" w:hAnsi="Times New Roman" w:cs="Times New Roman"/>
          <w:sz w:val="24"/>
          <w:lang w:val="en-US"/>
        </w:rPr>
        <w:t>literature yields many useful insights, its applicab</w:t>
      </w:r>
      <w:r>
        <w:rPr>
          <w:rFonts w:ascii="Times New Roman" w:hAnsi="Times New Roman" w:cs="Times New Roman"/>
          <w:sz w:val="24"/>
          <w:lang w:val="en-US"/>
        </w:rPr>
        <w:t xml:space="preserve">ility to cost of capital issues </w:t>
      </w:r>
      <w:r w:rsidRPr="0051644C">
        <w:rPr>
          <w:rFonts w:ascii="Times New Roman" w:hAnsi="Times New Roman" w:cs="Times New Roman"/>
          <w:sz w:val="24"/>
          <w:lang w:val="en-US"/>
        </w:rPr>
        <w:t>is limited. In single-firm settings, firm-spec</w:t>
      </w:r>
      <w:r>
        <w:rPr>
          <w:rFonts w:ascii="Times New Roman" w:hAnsi="Times New Roman" w:cs="Times New Roman"/>
          <w:sz w:val="24"/>
          <w:lang w:val="en-US"/>
        </w:rPr>
        <w:t xml:space="preserve">ific variance is priced because </w:t>
      </w:r>
      <w:r w:rsidRPr="0051644C">
        <w:rPr>
          <w:rFonts w:ascii="Times New Roman" w:hAnsi="Times New Roman" w:cs="Times New Roman"/>
          <w:sz w:val="24"/>
          <w:lang w:val="en-US"/>
        </w:rPr>
        <w:t>there are no alternative securities that wou</w:t>
      </w:r>
      <w:r>
        <w:rPr>
          <w:rFonts w:ascii="Times New Roman" w:hAnsi="Times New Roman" w:cs="Times New Roman"/>
          <w:sz w:val="24"/>
          <w:lang w:val="en-US"/>
        </w:rPr>
        <w:t xml:space="preserve">ld allow investors to diversify </w:t>
      </w:r>
      <w:r w:rsidRPr="0051644C">
        <w:rPr>
          <w:rFonts w:ascii="Times New Roman" w:hAnsi="Times New Roman" w:cs="Times New Roman"/>
          <w:sz w:val="24"/>
          <w:lang w:val="en-US"/>
        </w:rPr>
        <w:t>idiosyncratic risk.</w:t>
      </w:r>
      <w:r>
        <w:rPr>
          <w:rFonts w:ascii="Times New Roman" w:hAnsi="Times New Roman" w:cs="Times New Roman"/>
          <w:sz w:val="24"/>
          <w:lang w:val="en-US"/>
        </w:rPr>
        <w:t xml:space="preserve"> </w:t>
      </w:r>
    </w:p>
    <w:p w:rsidR="008E5586" w:rsidRDefault="00511ACA" w:rsidP="00CA33D8">
      <w:pPr>
        <w:pStyle w:val="2"/>
        <w:rPr>
          <w:lang w:val="en-US"/>
        </w:rPr>
      </w:pPr>
      <w:r>
        <w:rPr>
          <w:lang w:val="en-US"/>
        </w:rPr>
        <w:t xml:space="preserve"> </w:t>
      </w:r>
      <w:bookmarkStart w:id="6" w:name="_Toc451925545"/>
      <w:r w:rsidR="00CA33D8">
        <w:rPr>
          <w:lang w:val="en-US"/>
        </w:rPr>
        <w:t xml:space="preserve">1.4. </w:t>
      </w:r>
      <w:r w:rsidR="008E5586" w:rsidRPr="00CA33D8">
        <w:rPr>
          <w:lang w:val="en-US"/>
        </w:rPr>
        <w:t>Idiosyncratic</w:t>
      </w:r>
      <w:r w:rsidR="008E5586" w:rsidRPr="00904C62">
        <w:rPr>
          <w:lang w:val="en-US"/>
        </w:rPr>
        <w:t xml:space="preserve"> risk</w:t>
      </w:r>
      <w:r w:rsidR="00A10E8F">
        <w:rPr>
          <w:lang w:val="en-US"/>
        </w:rPr>
        <w:t xml:space="preserve"> and its measure</w:t>
      </w:r>
      <w:r w:rsidR="002E448E">
        <w:rPr>
          <w:lang w:val="en-US"/>
        </w:rPr>
        <w:t>ment</w:t>
      </w:r>
      <w:bookmarkEnd w:id="6"/>
    </w:p>
    <w:p w:rsidR="002E6C2B" w:rsidRDefault="002E6C2B" w:rsidP="002E6C2B">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idiosyncratic or firm-specific risk is unpredictable variability in the earnings of the issuing firm that is attributable to events that are specific to that firm, rather than to systemic macroeconomic events. Idiosyncratic risk is predominant within any organization because of influence of internal factors. These factors usually can be controlled by organization. </w:t>
      </w:r>
      <w:r w:rsidRPr="00146591">
        <w:rPr>
          <w:rFonts w:ascii="Times New Roman" w:hAnsi="Times New Roman" w:cs="Times New Roman"/>
          <w:sz w:val="24"/>
          <w:lang w:val="en-US"/>
        </w:rPr>
        <w:t xml:space="preserve">It is a micro in nature as it affects only a particular organization. </w:t>
      </w:r>
      <w:r>
        <w:rPr>
          <w:rFonts w:ascii="Times New Roman" w:hAnsi="Times New Roman" w:cs="Times New Roman"/>
          <w:sz w:val="24"/>
          <w:lang w:val="en-US"/>
        </w:rPr>
        <w:t>This type of risk is can be managed and or</w:t>
      </w:r>
      <w:r w:rsidRPr="002E6C2B">
        <w:rPr>
          <w:rFonts w:ascii="Times New Roman" w:hAnsi="Times New Roman" w:cs="Times New Roman"/>
          <w:sz w:val="24"/>
          <w:lang w:val="en-US"/>
        </w:rPr>
        <w:t xml:space="preserve"> </w:t>
      </w:r>
      <w:r w:rsidRPr="00146591">
        <w:rPr>
          <w:rFonts w:ascii="Times New Roman" w:hAnsi="Times New Roman" w:cs="Times New Roman"/>
          <w:sz w:val="24"/>
          <w:lang w:val="en-US"/>
        </w:rPr>
        <w:t>organization</w:t>
      </w:r>
      <w:r>
        <w:rPr>
          <w:rFonts w:ascii="Times New Roman" w:hAnsi="Times New Roman" w:cs="Times New Roman"/>
          <w:sz w:val="24"/>
          <w:lang w:val="en-US"/>
        </w:rPr>
        <w:t xml:space="preserve"> can take particular actions to reduce the effect of idiosyncratic risk.</w:t>
      </w:r>
      <w:r w:rsidR="00B3186A">
        <w:rPr>
          <w:rStyle w:val="a6"/>
          <w:rFonts w:ascii="Times New Roman" w:hAnsi="Times New Roman" w:cs="Times New Roman"/>
          <w:sz w:val="24"/>
          <w:lang w:val="en-US"/>
        </w:rPr>
        <w:footnoteReference w:id="6"/>
      </w:r>
    </w:p>
    <w:p w:rsidR="008E5586" w:rsidRDefault="008E5586" w:rsidP="008E5586">
      <w:pPr>
        <w:spacing w:line="360" w:lineRule="auto"/>
        <w:ind w:firstLine="708"/>
        <w:jc w:val="both"/>
        <w:rPr>
          <w:rFonts w:ascii="Times New Roman" w:eastAsiaTheme="minorEastAsia" w:hAnsi="Times New Roman" w:cs="Times New Roman"/>
          <w:sz w:val="24"/>
          <w:lang w:val="en-US"/>
        </w:rPr>
      </w:pPr>
      <w:r>
        <w:rPr>
          <w:rFonts w:ascii="Times New Roman" w:hAnsi="Times New Roman" w:cs="Times New Roman"/>
          <w:sz w:val="24"/>
          <w:lang w:val="en-US"/>
        </w:rPr>
        <w:t xml:space="preserve">According to the market model, the total risk of any security </w:t>
      </w:r>
      <w:r w:rsidRPr="008E5586">
        <w:rPr>
          <w:rFonts w:ascii="Times New Roman" w:hAnsi="Times New Roman" w:cs="Times New Roman"/>
          <w:i/>
          <w:sz w:val="24"/>
          <w:lang w:val="en-US"/>
        </w:rPr>
        <w:t>i</w:t>
      </w:r>
      <w:r>
        <w:rPr>
          <w:rFonts w:ascii="Times New Roman" w:hAnsi="Times New Roman" w:cs="Times New Roman"/>
          <w:sz w:val="24"/>
          <w:lang w:val="en-US"/>
        </w:rPr>
        <w:t xml:space="preserve">, measured by its variance and denoted </w:t>
      </w:r>
      <m:oMath>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i</m:t>
            </m:r>
          </m:sub>
          <m:sup>
            <m:r>
              <w:rPr>
                <w:rFonts w:ascii="Cambria Math" w:hAnsi="Cambria Math" w:cs="Times New Roman"/>
                <w:sz w:val="24"/>
                <w:lang w:val="en-US"/>
              </w:rPr>
              <m:t>2</m:t>
            </m:r>
          </m:sup>
        </m:sSubSup>
      </m:oMath>
      <w:r>
        <w:rPr>
          <w:rFonts w:ascii="Times New Roman" w:eastAsiaTheme="minorEastAsia" w:hAnsi="Times New Roman" w:cs="Times New Roman"/>
          <w:sz w:val="24"/>
          <w:lang w:val="en-US"/>
        </w:rPr>
        <w:t>, consists of two parts:</w:t>
      </w:r>
      <w:r w:rsidRPr="0019304C">
        <w:rPr>
          <w:rFonts w:ascii="Times New Roman" w:hAnsi="Times New Roman" w:cs="Times New Roman"/>
          <w:sz w:val="24"/>
          <w:lang w:val="en-US"/>
        </w:rPr>
        <w:t xml:space="preserve"> </w:t>
      </w:r>
      <w:r w:rsidRPr="00904C62">
        <w:rPr>
          <w:rFonts w:ascii="Times New Roman" w:hAnsi="Times New Roman" w:cs="Times New Roman"/>
          <w:sz w:val="24"/>
          <w:lang w:val="en-US"/>
        </w:rPr>
        <w:t>idiosyncratic risk</w:t>
      </w:r>
      <w:r w:rsidRPr="0019304C">
        <w:rPr>
          <w:rFonts w:ascii="Times New Roman" w:hAnsi="Times New Roman" w:cs="Times New Roman"/>
          <w:sz w:val="24"/>
          <w:lang w:val="en-US"/>
        </w:rPr>
        <w:t xml:space="preserve"> and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 That is,</w:t>
      </w:r>
      <w:r w:rsidR="00825301">
        <w:rPr>
          <w:rFonts w:ascii="Times New Roman" w:hAnsi="Times New Roman" w:cs="Times New Roman"/>
          <w:sz w:val="24"/>
          <w:lang w:val="en-US"/>
        </w:rPr>
        <w:t xml:space="preserve"> total risk</w:t>
      </w:r>
      <w:r>
        <w:rPr>
          <w:rFonts w:ascii="Times New Roman" w:hAnsi="Times New Roman" w:cs="Times New Roman"/>
          <w:sz w:val="24"/>
          <w:lang w:val="en-US"/>
        </w:rPr>
        <w:t xml:space="preserve"> </w:t>
      </w:r>
      <m:oMath>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i</m:t>
            </m:r>
          </m:sub>
          <m:sup>
            <m:r>
              <w:rPr>
                <w:rFonts w:ascii="Cambria Math" w:hAnsi="Cambria Math" w:cs="Times New Roman"/>
                <w:sz w:val="24"/>
                <w:lang w:val="en-US"/>
              </w:rPr>
              <m:t>2</m:t>
            </m:r>
          </m:sup>
        </m:sSubSup>
      </m:oMath>
      <w:r>
        <w:rPr>
          <w:rFonts w:ascii="Times New Roman" w:eastAsiaTheme="minorEastAsia" w:hAnsi="Times New Roman" w:cs="Times New Roman"/>
          <w:sz w:val="24"/>
          <w:lang w:val="en-US"/>
        </w:rPr>
        <w:t xml:space="preserve"> equals the following:</w:t>
      </w:r>
    </w:p>
    <w:p w:rsidR="008E5586" w:rsidRPr="008E5586" w:rsidRDefault="00AE0B9C" w:rsidP="008E5586">
      <w:pPr>
        <w:spacing w:line="360" w:lineRule="auto"/>
        <w:ind w:firstLine="708"/>
        <w:jc w:val="both"/>
        <w:rPr>
          <w:rFonts w:ascii="Times New Roman" w:eastAsiaTheme="minorEastAsia" w:hAnsi="Times New Roman" w:cs="Times New Roman"/>
          <w:sz w:val="24"/>
          <w:lang w:val="en-US"/>
        </w:rPr>
      </w:pPr>
      <m:oMath>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i</m:t>
            </m:r>
          </m:sub>
          <m:sup>
            <m:r>
              <w:rPr>
                <w:rFonts w:ascii="Cambria Math" w:hAnsi="Cambria Math" w:cs="Times New Roman"/>
                <w:sz w:val="24"/>
                <w:lang w:val="en-US"/>
              </w:rPr>
              <m:t>2</m:t>
            </m:r>
          </m:sup>
        </m:sSubSup>
        <m:r>
          <w:rPr>
            <w:rFonts w:ascii="Cambria Math" w:hAnsi="Cambria Math" w:cs="Times New Roman"/>
            <w:sz w:val="24"/>
            <w:lang w:val="en-US"/>
          </w:rPr>
          <m:t>=</m:t>
        </m:r>
        <m:sSubSup>
          <m:sSubSupPr>
            <m:ctrlPr>
              <w:rPr>
                <w:rFonts w:ascii="Cambria Math" w:hAnsi="Cambria Math" w:cs="Times New Roman"/>
                <w:i/>
                <w:sz w:val="24"/>
                <w:lang w:val="en-US"/>
              </w:rPr>
            </m:ctrlPr>
          </m:sSubSupPr>
          <m:e>
            <m:r>
              <w:rPr>
                <w:rFonts w:ascii="Cambria Math" w:hAnsi="Cambria Math" w:cs="Times New Roman"/>
                <w:sz w:val="24"/>
                <w:lang w:val="en-US"/>
              </w:rPr>
              <m:t>β</m:t>
            </m:r>
          </m:e>
          <m:sub>
            <m:r>
              <w:rPr>
                <w:rFonts w:ascii="Cambria Math" w:hAnsi="Cambria Math" w:cs="Times New Roman"/>
                <w:sz w:val="24"/>
                <w:lang w:val="en-US"/>
              </w:rPr>
              <m:t>im</m:t>
            </m:r>
          </m:sub>
          <m:sup>
            <m:r>
              <w:rPr>
                <w:rFonts w:ascii="Cambria Math" w:hAnsi="Cambria Math" w:cs="Times New Roman"/>
                <w:sz w:val="24"/>
                <w:lang w:val="en-US"/>
              </w:rPr>
              <m:t>2</m:t>
            </m:r>
          </m:sup>
        </m:sSubSup>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m</m:t>
            </m:r>
          </m:sub>
          <m:sup>
            <m:r>
              <w:rPr>
                <w:rFonts w:ascii="Cambria Math" w:hAnsi="Cambria Math" w:cs="Times New Roman"/>
                <w:sz w:val="24"/>
                <w:lang w:val="en-US"/>
              </w:rPr>
              <m:t>2</m:t>
            </m:r>
          </m:sup>
        </m:sSubSup>
        <m:r>
          <w:rPr>
            <w:rFonts w:ascii="Cambria Math" w:hAnsi="Cambria Math" w:cs="Times New Roman"/>
            <w:sz w:val="24"/>
            <w:lang w:val="en-US"/>
          </w:rPr>
          <m:t>+</m:t>
        </m:r>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εi</m:t>
            </m:r>
          </m:sub>
          <m:sup>
            <m:r>
              <w:rPr>
                <w:rFonts w:ascii="Cambria Math" w:hAnsi="Cambria Math" w:cs="Times New Roman"/>
                <w:sz w:val="24"/>
                <w:lang w:val="en-US"/>
              </w:rPr>
              <m:t>2</m:t>
            </m:r>
          </m:sup>
        </m:sSubSup>
      </m:oMath>
      <w:r w:rsidR="008E5586">
        <w:rPr>
          <w:rFonts w:ascii="Times New Roman" w:eastAsiaTheme="minorEastAsia" w:hAnsi="Times New Roman" w:cs="Times New Roman"/>
          <w:sz w:val="24"/>
          <w:lang w:val="en-US"/>
        </w:rPr>
        <w:t xml:space="preserve">                                                                                                                (</w:t>
      </w:r>
      <w:r w:rsidR="003E4589">
        <w:rPr>
          <w:rFonts w:ascii="Times New Roman" w:eastAsiaTheme="minorEastAsia" w:hAnsi="Times New Roman" w:cs="Times New Roman"/>
          <w:sz w:val="24"/>
          <w:lang w:val="en-US"/>
        </w:rPr>
        <w:t>1.7</w:t>
      </w:r>
      <w:r w:rsidR="008E5586">
        <w:rPr>
          <w:rFonts w:ascii="Times New Roman" w:eastAsiaTheme="minorEastAsia" w:hAnsi="Times New Roman" w:cs="Times New Roman"/>
          <w:sz w:val="24"/>
          <w:lang w:val="en-US"/>
        </w:rPr>
        <w:t xml:space="preserve">)            </w:t>
      </w:r>
    </w:p>
    <w:p w:rsidR="008E5586" w:rsidRDefault="008E5586" w:rsidP="008E5586">
      <w:pPr>
        <w:spacing w:line="360" w:lineRule="auto"/>
        <w:jc w:val="both"/>
        <w:rPr>
          <w:rFonts w:ascii="Times New Roman" w:hAnsi="Times New Roman" w:cs="Times New Roman"/>
          <w:sz w:val="24"/>
          <w:lang w:val="en-US"/>
        </w:rPr>
      </w:pPr>
      <w:r>
        <w:rPr>
          <w:rFonts w:ascii="Times New Roman" w:eastAsiaTheme="minorEastAsia" w:hAnsi="Times New Roman" w:cs="Times New Roman"/>
          <w:sz w:val="24"/>
          <w:lang w:val="en-US"/>
        </w:rPr>
        <w:t xml:space="preserve">where </w:t>
      </w:r>
      <m:oMath>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m</m:t>
            </m:r>
          </m:sub>
          <m:sup>
            <m:r>
              <w:rPr>
                <w:rFonts w:ascii="Cambria Math" w:hAnsi="Cambria Math" w:cs="Times New Roman"/>
                <w:sz w:val="24"/>
                <w:lang w:val="en-US"/>
              </w:rPr>
              <m:t>2</m:t>
            </m:r>
          </m:sup>
        </m:sSubSup>
      </m:oMath>
      <w:r>
        <w:rPr>
          <w:rFonts w:ascii="Times New Roman" w:eastAsiaTheme="minorEastAsia" w:hAnsi="Times New Roman" w:cs="Times New Roman"/>
          <w:sz w:val="24"/>
          <w:lang w:val="en-US"/>
        </w:rPr>
        <w:t xml:space="preserve"> denotes the variance of returns on the market index. Thus </w:t>
      </w:r>
      <m:oMath>
        <m:sSubSup>
          <m:sSubSupPr>
            <m:ctrlPr>
              <w:rPr>
                <w:rFonts w:ascii="Cambria Math" w:hAnsi="Cambria Math" w:cs="Times New Roman"/>
                <w:i/>
                <w:sz w:val="24"/>
                <w:lang w:val="en-US"/>
              </w:rPr>
            </m:ctrlPr>
          </m:sSubSupPr>
          <m:e>
            <m:r>
              <w:rPr>
                <w:rFonts w:ascii="Cambria Math" w:hAnsi="Cambria Math" w:cs="Times New Roman"/>
                <w:sz w:val="24"/>
                <w:lang w:val="en-US"/>
              </w:rPr>
              <m:t>β</m:t>
            </m:r>
          </m:e>
          <m:sub>
            <m:r>
              <w:rPr>
                <w:rFonts w:ascii="Cambria Math" w:hAnsi="Cambria Math" w:cs="Times New Roman"/>
                <w:sz w:val="24"/>
                <w:lang w:val="en-US"/>
              </w:rPr>
              <m:t>im</m:t>
            </m:r>
          </m:sub>
          <m:sup>
            <m:r>
              <w:rPr>
                <w:rFonts w:ascii="Cambria Math" w:hAnsi="Cambria Math" w:cs="Times New Roman"/>
                <w:sz w:val="24"/>
                <w:lang w:val="en-US"/>
              </w:rPr>
              <m:t>2</m:t>
            </m:r>
          </m:sup>
        </m:sSubSup>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m</m:t>
            </m:r>
          </m:sub>
          <m:sup>
            <m:r>
              <w:rPr>
                <w:rFonts w:ascii="Cambria Math" w:hAnsi="Cambria Math" w:cs="Times New Roman"/>
                <w:sz w:val="24"/>
                <w:lang w:val="en-US"/>
              </w:rPr>
              <m:t>2</m:t>
            </m:r>
          </m:sup>
        </m:sSubSup>
      </m:oMath>
      <w:r>
        <w:rPr>
          <w:rFonts w:ascii="Times New Roman" w:eastAsiaTheme="minorEastAsia" w:hAnsi="Times New Roman" w:cs="Times New Roman"/>
          <w:sz w:val="24"/>
          <w:lang w:val="en-US"/>
        </w:rPr>
        <w:t xml:space="preserve"> denotes the </w:t>
      </w:r>
      <w:r w:rsidR="00DE47A1">
        <w:rPr>
          <w:rFonts w:ascii="Times New Roman" w:eastAsiaTheme="minorEastAsia" w:hAnsi="Times New Roman" w:cs="Times New Roman"/>
          <w:sz w:val="24"/>
          <w:lang w:val="en-US"/>
        </w:rPr>
        <w:t>systemic</w:t>
      </w:r>
      <w:r>
        <w:rPr>
          <w:rFonts w:ascii="Times New Roman" w:eastAsiaTheme="minorEastAsia" w:hAnsi="Times New Roman" w:cs="Times New Roman"/>
          <w:sz w:val="24"/>
          <w:lang w:val="en-US"/>
        </w:rPr>
        <w:t xml:space="preserve"> risk of security </w:t>
      </w:r>
      <w:r w:rsidRPr="002E6C2B">
        <w:rPr>
          <w:rFonts w:ascii="Times New Roman" w:eastAsiaTheme="minorEastAsia" w:hAnsi="Times New Roman" w:cs="Times New Roman"/>
          <w:i/>
          <w:sz w:val="24"/>
          <w:lang w:val="en-US"/>
        </w:rPr>
        <w:t>i</w:t>
      </w:r>
      <w:r>
        <w:rPr>
          <w:rFonts w:ascii="Times New Roman" w:eastAsiaTheme="minorEastAsia" w:hAnsi="Times New Roman" w:cs="Times New Roman"/>
          <w:sz w:val="24"/>
          <w:lang w:val="en-US"/>
        </w:rPr>
        <w:t xml:space="preserve">, and </w:t>
      </w:r>
      <m:oMath>
        <m:sSubSup>
          <m:sSubSupPr>
            <m:ctrlPr>
              <w:rPr>
                <w:rFonts w:ascii="Cambria Math" w:hAnsi="Cambria Math" w:cs="Times New Roman"/>
                <w:i/>
                <w:sz w:val="24"/>
                <w:lang w:val="en-US"/>
              </w:rPr>
            </m:ctrlPr>
          </m:sSubSupPr>
          <m:e>
            <m:r>
              <w:rPr>
                <w:rFonts w:ascii="Cambria Math" w:hAnsi="Cambria Math" w:cs="Times New Roman"/>
                <w:sz w:val="24"/>
                <w:lang w:val="en-US"/>
              </w:rPr>
              <m:t>σ</m:t>
            </m:r>
          </m:e>
          <m:sub>
            <m:r>
              <w:rPr>
                <w:rFonts w:ascii="Cambria Math" w:hAnsi="Cambria Math" w:cs="Times New Roman"/>
                <w:sz w:val="24"/>
                <w:lang w:val="en-US"/>
              </w:rPr>
              <m:t>εi</m:t>
            </m:r>
          </m:sub>
          <m:sup>
            <m:r>
              <w:rPr>
                <w:rFonts w:ascii="Cambria Math" w:hAnsi="Cambria Math" w:cs="Times New Roman"/>
                <w:sz w:val="24"/>
                <w:lang w:val="en-US"/>
              </w:rPr>
              <m:t>2</m:t>
            </m:r>
          </m:sup>
        </m:sSubSup>
      </m:oMath>
      <w:r>
        <w:rPr>
          <w:rFonts w:ascii="Times New Roman" w:eastAsiaTheme="minorEastAsia" w:hAnsi="Times New Roman" w:cs="Times New Roman"/>
          <w:sz w:val="24"/>
          <w:lang w:val="en-US"/>
        </w:rPr>
        <w:t xml:space="preserve"> denotes the </w:t>
      </w:r>
      <w:r w:rsidRPr="00904C62">
        <w:rPr>
          <w:rFonts w:ascii="Times New Roman" w:hAnsi="Times New Roman" w:cs="Times New Roman"/>
          <w:sz w:val="24"/>
          <w:lang w:val="en-US"/>
        </w:rPr>
        <w:t>idiosyncratic risk</w:t>
      </w:r>
      <w:r>
        <w:rPr>
          <w:rFonts w:ascii="Times New Roman" w:hAnsi="Times New Roman" w:cs="Times New Roman"/>
          <w:sz w:val="24"/>
          <w:lang w:val="en-US"/>
        </w:rPr>
        <w:t xml:space="preserve"> of security </w:t>
      </w:r>
      <w:r w:rsidRPr="008E5586">
        <w:rPr>
          <w:rFonts w:ascii="Times New Roman" w:hAnsi="Times New Roman" w:cs="Times New Roman"/>
          <w:i/>
          <w:sz w:val="24"/>
          <w:lang w:val="en-US"/>
        </w:rPr>
        <w:t>i</w:t>
      </w:r>
      <w:r>
        <w:rPr>
          <w:rFonts w:ascii="Times New Roman" w:hAnsi="Times New Roman" w:cs="Times New Roman"/>
          <w:sz w:val="24"/>
          <w:lang w:val="en-US"/>
        </w:rPr>
        <w:t xml:space="preserve"> as measured by the variance of the random err</w:t>
      </w:r>
      <w:r w:rsidR="00A43170">
        <w:rPr>
          <w:rFonts w:ascii="Times New Roman" w:hAnsi="Times New Roman" w:cs="Times New Roman"/>
          <w:sz w:val="24"/>
          <w:lang w:val="en-US"/>
        </w:rPr>
        <w:t xml:space="preserve">or term, appearing in equation </w:t>
      </w:r>
      <w:r w:rsidR="003E4589">
        <w:rPr>
          <w:rFonts w:ascii="Times New Roman" w:hAnsi="Times New Roman" w:cs="Times New Roman"/>
          <w:sz w:val="24"/>
          <w:lang w:val="en-US"/>
        </w:rPr>
        <w:t>1.7</w:t>
      </w:r>
      <w:r>
        <w:rPr>
          <w:rFonts w:ascii="Times New Roman" w:hAnsi="Times New Roman" w:cs="Times New Roman"/>
          <w:sz w:val="24"/>
          <w:lang w:val="en-US"/>
        </w:rPr>
        <w:t xml:space="preserve">. </w:t>
      </w:r>
    </w:p>
    <w:p w:rsidR="008E5586" w:rsidRDefault="008E5586" w:rsidP="008E5586">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At this point, it might be interesting: why divide risk into two parts. For the investor, it would seem that risk is risk – whatever it source.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 is related to the beta of the company. According to CAPM, companies with larger betas will have larger expected returns. </w:t>
      </w:r>
      <w:r w:rsidR="00825301">
        <w:rPr>
          <w:rFonts w:ascii="Times New Roman" w:hAnsi="Times New Roman" w:cs="Times New Roman"/>
          <w:sz w:val="24"/>
          <w:lang w:val="en-US"/>
        </w:rPr>
        <w:t>However,</w:t>
      </w:r>
      <w:r>
        <w:rPr>
          <w:rFonts w:ascii="Times New Roman" w:hAnsi="Times New Roman" w:cs="Times New Roman"/>
          <w:sz w:val="24"/>
          <w:lang w:val="en-US"/>
        </w:rPr>
        <w:t xml:space="preserve"> idiosyncratic risk is not related to the beta. There is no reason why companies with </w:t>
      </w:r>
      <w:r>
        <w:rPr>
          <w:rFonts w:ascii="Times New Roman" w:hAnsi="Times New Roman" w:cs="Times New Roman"/>
          <w:sz w:val="24"/>
          <w:lang w:val="en-US"/>
        </w:rPr>
        <w:lastRenderedPageBreak/>
        <w:t xml:space="preserve">higher idiosyncratic risk should have higher expected returns. </w:t>
      </w:r>
      <w:r w:rsidRPr="00C05E53">
        <w:rPr>
          <w:rFonts w:ascii="Times New Roman" w:hAnsi="Times New Roman" w:cs="Times New Roman"/>
          <w:sz w:val="24"/>
          <w:lang w:val="en-US"/>
        </w:rPr>
        <w:t>Thus according</w:t>
      </w:r>
      <w:r>
        <w:rPr>
          <w:rFonts w:ascii="Times New Roman" w:hAnsi="Times New Roman" w:cs="Times New Roman"/>
          <w:sz w:val="24"/>
          <w:lang w:val="en-US"/>
        </w:rPr>
        <w:t xml:space="preserve"> </w:t>
      </w:r>
      <w:r w:rsidRPr="00C05E53">
        <w:rPr>
          <w:rFonts w:ascii="Times New Roman" w:hAnsi="Times New Roman" w:cs="Times New Roman"/>
          <w:sz w:val="24"/>
          <w:lang w:val="en-US"/>
        </w:rPr>
        <w:t xml:space="preserve">to the CAPM, investors are rewarded for </w:t>
      </w:r>
      <w:r>
        <w:rPr>
          <w:rFonts w:ascii="Times New Roman" w:hAnsi="Times New Roman" w:cs="Times New Roman"/>
          <w:sz w:val="24"/>
          <w:lang w:val="en-US"/>
        </w:rPr>
        <w:t xml:space="preserve">bearing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 but not for </w:t>
      </w:r>
      <w:r w:rsidRPr="00C05E53">
        <w:rPr>
          <w:rFonts w:ascii="Times New Roman" w:hAnsi="Times New Roman" w:cs="Times New Roman"/>
          <w:sz w:val="24"/>
          <w:lang w:val="en-US"/>
        </w:rPr>
        <w:t xml:space="preserve">bearing </w:t>
      </w:r>
      <w:r>
        <w:rPr>
          <w:rFonts w:ascii="Times New Roman" w:hAnsi="Times New Roman" w:cs="Times New Roman"/>
          <w:sz w:val="24"/>
          <w:lang w:val="en-US"/>
        </w:rPr>
        <w:t>idiosyncratic risk</w:t>
      </w:r>
      <w:r w:rsidRPr="00C05E53">
        <w:rPr>
          <w:rFonts w:ascii="Times New Roman" w:hAnsi="Times New Roman" w:cs="Times New Roman"/>
          <w:sz w:val="24"/>
          <w:lang w:val="en-US"/>
        </w:rPr>
        <w:t>.</w:t>
      </w:r>
      <w:r>
        <w:rPr>
          <w:rFonts w:ascii="Times New Roman" w:hAnsi="Times New Roman" w:cs="Times New Roman"/>
          <w:sz w:val="24"/>
          <w:lang w:val="en-US"/>
        </w:rPr>
        <w:t xml:space="preserve">     </w:t>
      </w:r>
    </w:p>
    <w:p w:rsidR="008E5586" w:rsidRDefault="008E5586" w:rsidP="008E5586">
      <w:pPr>
        <w:spacing w:line="360" w:lineRule="auto"/>
        <w:jc w:val="both"/>
        <w:rPr>
          <w:rFonts w:ascii="Times New Roman" w:hAnsi="Times New Roman" w:cs="Times New Roman"/>
          <w:sz w:val="24"/>
          <w:lang w:val="en-US"/>
        </w:rPr>
      </w:pPr>
      <w:r>
        <w:rPr>
          <w:rFonts w:ascii="Times New Roman" w:hAnsi="Times New Roman" w:cs="Times New Roman"/>
          <w:noProof/>
          <w:sz w:val="24"/>
          <w:lang w:eastAsia="ru-RU"/>
        </w:rPr>
        <mc:AlternateContent>
          <mc:Choice Requires="wpg">
            <w:drawing>
              <wp:anchor distT="0" distB="0" distL="114300" distR="114300" simplePos="0" relativeHeight="251659264" behindDoc="0" locked="0" layoutInCell="1" allowOverlap="1" wp14:anchorId="3D281ECA" wp14:editId="47320B4A">
                <wp:simplePos x="0" y="0"/>
                <wp:positionH relativeFrom="column">
                  <wp:posOffset>-3810</wp:posOffset>
                </wp:positionH>
                <wp:positionV relativeFrom="paragraph">
                  <wp:posOffset>708025</wp:posOffset>
                </wp:positionV>
                <wp:extent cx="5924550" cy="1162050"/>
                <wp:effectExtent l="0" t="0" r="19050" b="19050"/>
                <wp:wrapTopAndBottom/>
                <wp:docPr id="2" name="Группа 2"/>
                <wp:cNvGraphicFramePr/>
                <a:graphic xmlns:a="http://schemas.openxmlformats.org/drawingml/2006/main">
                  <a:graphicData uri="http://schemas.microsoft.com/office/word/2010/wordprocessingGroup">
                    <wpg:wgp>
                      <wpg:cNvGrpSpPr/>
                      <wpg:grpSpPr>
                        <a:xfrm>
                          <a:off x="0" y="0"/>
                          <a:ext cx="5924550" cy="1162050"/>
                          <a:chOff x="0" y="0"/>
                          <a:chExt cx="5924550" cy="1162050"/>
                        </a:xfrm>
                      </wpg:grpSpPr>
                      <wps:wsp>
                        <wps:cNvPr id="10" name="Скругленный прямоугольник 10"/>
                        <wps:cNvSpPr/>
                        <wps:spPr>
                          <a:xfrm>
                            <a:off x="2152650" y="0"/>
                            <a:ext cx="1619250" cy="400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CD5F5C" w:rsidRDefault="00CD5F5C" w:rsidP="008E5586">
                              <w:pPr>
                                <w:jc w:val="center"/>
                              </w:pPr>
                              <w:r>
                                <w:rPr>
                                  <w:rFonts w:ascii="Times New Roman" w:hAnsi="Times New Roman" w:cs="Times New Roman"/>
                                  <w:sz w:val="24"/>
                                  <w:lang w:val="en-US"/>
                                </w:rPr>
                                <w:t>Idiosyncratic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0" y="752475"/>
                            <a:ext cx="16192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D5F5C" w:rsidRPr="0038694D" w:rsidRDefault="00CD5F5C" w:rsidP="008E5586">
                              <w:pPr>
                                <w:jc w:val="center"/>
                                <w:rPr>
                                  <w:rFonts w:ascii="Times New Roman" w:hAnsi="Times New Roman" w:cs="Times New Roman"/>
                                  <w:sz w:val="24"/>
                                  <w:szCs w:val="24"/>
                                  <w:lang w:val="en-US"/>
                                </w:rPr>
                              </w:pPr>
                              <w:r w:rsidRPr="0038694D">
                                <w:rPr>
                                  <w:rFonts w:ascii="Times New Roman" w:hAnsi="Times New Roman" w:cs="Times New Roman"/>
                                  <w:sz w:val="24"/>
                                  <w:szCs w:val="24"/>
                                  <w:lang w:val="en-US"/>
                                </w:rPr>
                                <w:t>Credit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2152650" y="752475"/>
                            <a:ext cx="16192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D5F5C" w:rsidRPr="0038694D" w:rsidRDefault="00CD5F5C" w:rsidP="008E5586">
                              <w:pPr>
                                <w:jc w:val="center"/>
                                <w:rPr>
                                  <w:rFonts w:ascii="Times New Roman" w:hAnsi="Times New Roman" w:cs="Times New Roman"/>
                                  <w:sz w:val="24"/>
                                  <w:lang w:val="en-US"/>
                                </w:rPr>
                              </w:pPr>
                              <w:r>
                                <w:rPr>
                                  <w:rFonts w:ascii="Times New Roman" w:hAnsi="Times New Roman" w:cs="Times New Roman"/>
                                  <w:sz w:val="24"/>
                                  <w:lang w:val="en-US"/>
                                </w:rPr>
                                <w:t>Market</w:t>
                              </w:r>
                              <w:r w:rsidRPr="0038694D">
                                <w:rPr>
                                  <w:rFonts w:ascii="Times New Roman" w:hAnsi="Times New Roman" w:cs="Times New Roman"/>
                                  <w:sz w:val="24"/>
                                  <w:lang w:val="en-US"/>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4305300" y="762000"/>
                            <a:ext cx="16192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D5F5C" w:rsidRPr="0038694D" w:rsidRDefault="00CD5F5C" w:rsidP="008E5586">
                              <w:pPr>
                                <w:jc w:val="center"/>
                                <w:rPr>
                                  <w:rFonts w:ascii="Times New Roman" w:hAnsi="Times New Roman" w:cs="Times New Roman"/>
                                  <w:sz w:val="24"/>
                                  <w:lang w:val="en-US"/>
                                </w:rPr>
                              </w:pPr>
                              <w:r w:rsidRPr="0038694D">
                                <w:rPr>
                                  <w:rFonts w:ascii="Times New Roman" w:hAnsi="Times New Roman" w:cs="Times New Roman"/>
                                  <w:sz w:val="24"/>
                                  <w:lang w:val="en-US"/>
                                </w:rPr>
                                <w:t>Operational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единительная линия 20"/>
                        <wps:cNvCnPr/>
                        <wps:spPr>
                          <a:xfrm>
                            <a:off x="2962275" y="409575"/>
                            <a:ext cx="0" cy="333375"/>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21" name="Прямая соединительная линия 21"/>
                        <wps:cNvCnPr/>
                        <wps:spPr>
                          <a:xfrm>
                            <a:off x="790575" y="533400"/>
                            <a:ext cx="4343400" cy="1905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23" name="Прямая соединительная линия 23"/>
                        <wps:cNvCnPr/>
                        <wps:spPr>
                          <a:xfrm>
                            <a:off x="5133975" y="561975"/>
                            <a:ext cx="0" cy="20955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24" name="Прямая соединительная линия 24"/>
                        <wps:cNvCnPr/>
                        <wps:spPr>
                          <a:xfrm>
                            <a:off x="790575" y="542925"/>
                            <a:ext cx="0" cy="209550"/>
                          </a:xfrm>
                          <a:prstGeom prst="line">
                            <a:avLst/>
                          </a:prstGeom>
                        </wps:spPr>
                        <wps:style>
                          <a:lnRef idx="3">
                            <a:schemeClr val="accent6"/>
                          </a:lnRef>
                          <a:fillRef idx="0">
                            <a:schemeClr val="accent6"/>
                          </a:fillRef>
                          <a:effectRef idx="2">
                            <a:schemeClr val="accent6"/>
                          </a:effectRef>
                          <a:fontRef idx="minor">
                            <a:schemeClr val="tx1"/>
                          </a:fontRef>
                        </wps:style>
                        <wps:bodyPr/>
                      </wps:wsp>
                    </wpg:wgp>
                  </a:graphicData>
                </a:graphic>
              </wp:anchor>
            </w:drawing>
          </mc:Choice>
          <mc:Fallback>
            <w:pict>
              <v:group w14:anchorId="3D281ECA" id="Группа 2" o:spid="_x0000_s1026" style="position:absolute;left:0;text-align:left;margin-left:-.3pt;margin-top:55.75pt;width:466.5pt;height:91.5pt;z-index:251659264" coordsize="59245,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">
                <v:roundrect id="Скругленный прямоугольник 10" o:spid="_x0000_s1027" style="position:absolute;left:21526;width:16193;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4GMIA&#10;AADbAAAADwAAAGRycy9kb3ducmV2LnhtbESPwWrDQAxE74X8w6JCbs26JrTB9do0oYH22CQfILyK&#10;bezVGu/GdvP11aHQm8SMZp7ycnG9mmgMrWcDz5sEFHHlbcu1gcv5+LQDFSKyxd4zGfihAGWxesgx&#10;s37mb5pOsVYSwiFDA02MQ6Z1qBpyGDZ+IBbt6keHUdax1nbEWcJdr9MkedEOW5aGBgc6NFR1p5sz&#10;8GH3V/vV8e1178Jwn7cpJlNqzPpxeX8DFWmJ/+a/608r+EIvv8gAu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gYwgAAANsAAAAPAAAAAAAAAAAAAAAAAJgCAABkcnMvZG93&#10;bnJldi54bWxQSwUGAAAAAAQABAD1AAAAhwMAAAAA&#10;" fillcolor="#82a0d7 [2168]" strokecolor="#4472c4 [3208]" strokeweight=".5pt">
                  <v:fill color2="#678ccf [2616]" rotate="t" colors="0 #a8b7df;.5 #9aabd9;1 #879ed7" focus="100%" type="gradient">
                    <o:fill v:ext="view" type="gradientUnscaled"/>
                  </v:fill>
                  <v:stroke joinstyle="miter"/>
                  <v:textbox>
                    <w:txbxContent>
                      <w:p w:rsidR="00CD5F5C" w:rsidRDefault="00CD5F5C" w:rsidP="008E5586">
                        <w:pPr>
                          <w:jc w:val="center"/>
                        </w:pPr>
                        <w:r>
                          <w:rPr>
                            <w:rFonts w:ascii="Times New Roman" w:hAnsi="Times New Roman" w:cs="Times New Roman"/>
                            <w:sz w:val="24"/>
                            <w:lang w:val="en-US"/>
                          </w:rPr>
                          <w:t>Idiosyncratic risk</w:t>
                        </w:r>
                      </w:p>
                    </w:txbxContent>
                  </v:textbox>
                </v:roundrect>
                <v:roundrect id="Скругленный прямоугольник 14" o:spid="_x0000_s1028" style="position:absolute;top:7524;width:16192;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sAMQA&#10;AADbAAAADwAAAGRycy9kb3ducmV2LnhtbERPS2vCQBC+C/6HZYReRDdKEY2u4oOCvRRMBfU2ZKdJ&#10;aHY2ZteY+uu7BaG3+fies1i1phQN1a6wrGA0jEAQp1YXnCk4fr4NpiCcR9ZYWiYFP+Rgtex2Fhhr&#10;e+cDNYnPRAhhF6OC3PsqltKlORl0Q1sRB+7L1gZ9gHUmdY33EG5KOY6iiTRYcGjIsaJtTul3cjMK&#10;HrPpY1JumtP75TqTu1HSP3/sb0q99Nr1HISn1v+Ln+69DvNf4e+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LADEAAAA2wAAAA8AAAAAAAAAAAAAAAAAmAIAAGRycy9k&#10;b3ducmV2LnhtbFBLBQYAAAAABAAEAPUAAACJAwAAAAA=&#10;" fillcolor="#9ecb81 [2169]" strokecolor="#70ad47 [3209]" strokeweight=".5pt">
                  <v:fill color2="#8ac066 [2617]" rotate="t" colors="0 #b5d5a7;.5 #aace99;1 #9cca86" focus="100%" type="gradient">
                    <o:fill v:ext="view" type="gradientUnscaled"/>
                  </v:fill>
                  <v:stroke joinstyle="miter"/>
                  <v:textbox>
                    <w:txbxContent>
                      <w:p w:rsidR="00CD5F5C" w:rsidRPr="0038694D" w:rsidRDefault="00CD5F5C" w:rsidP="008E5586">
                        <w:pPr>
                          <w:jc w:val="center"/>
                          <w:rPr>
                            <w:rFonts w:ascii="Times New Roman" w:hAnsi="Times New Roman" w:cs="Times New Roman"/>
                            <w:sz w:val="24"/>
                            <w:szCs w:val="24"/>
                            <w:lang w:val="en-US"/>
                          </w:rPr>
                        </w:pPr>
                        <w:r w:rsidRPr="0038694D">
                          <w:rPr>
                            <w:rFonts w:ascii="Times New Roman" w:hAnsi="Times New Roman" w:cs="Times New Roman"/>
                            <w:sz w:val="24"/>
                            <w:szCs w:val="24"/>
                            <w:lang w:val="en-US"/>
                          </w:rPr>
                          <w:t>Credit risk</w:t>
                        </w:r>
                      </w:p>
                    </w:txbxContent>
                  </v:textbox>
                </v:roundrect>
                <v:roundrect id="Скругленный прямоугольник 15" o:spid="_x0000_s1029" style="position:absolute;left:21526;top:7524;width:16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Jm8QA&#10;AADbAAAADwAAAGRycy9kb3ducmV2LnhtbERPS2vCQBC+C/6HZYReRDcKFY2u4oOCvRRMBfU2ZKdJ&#10;aHY2ZteY+uu7BaG3+fies1i1phQN1a6wrGA0jEAQp1YXnCk4fr4NpiCcR9ZYWiYFP+Rgtex2Fhhr&#10;e+cDNYnPRAhhF6OC3PsqltKlORl0Q1sRB+7L1gZ9gHUmdY33EG5KOY6iiTRYcGjIsaJtTul3cjMK&#10;HrPpY1JumtP75TqTu1HSP3/sb0q99Nr1HISn1v+Ln+69DvNf4e+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iZvEAAAA2wAAAA8AAAAAAAAAAAAAAAAAmAIAAGRycy9k&#10;b3ducmV2LnhtbFBLBQYAAAAABAAEAPUAAACJAwAAAAA=&#10;" fillcolor="#9ecb81 [2169]" strokecolor="#70ad47 [3209]" strokeweight=".5pt">
                  <v:fill color2="#8ac066 [2617]" rotate="t" colors="0 #b5d5a7;.5 #aace99;1 #9cca86" focus="100%" type="gradient">
                    <o:fill v:ext="view" type="gradientUnscaled"/>
                  </v:fill>
                  <v:stroke joinstyle="miter"/>
                  <v:textbox>
                    <w:txbxContent>
                      <w:p w:rsidR="00CD5F5C" w:rsidRPr="0038694D" w:rsidRDefault="00CD5F5C" w:rsidP="008E5586">
                        <w:pPr>
                          <w:jc w:val="center"/>
                          <w:rPr>
                            <w:rFonts w:ascii="Times New Roman" w:hAnsi="Times New Roman" w:cs="Times New Roman"/>
                            <w:sz w:val="24"/>
                            <w:lang w:val="en-US"/>
                          </w:rPr>
                        </w:pPr>
                        <w:r>
                          <w:rPr>
                            <w:rFonts w:ascii="Times New Roman" w:hAnsi="Times New Roman" w:cs="Times New Roman"/>
                            <w:sz w:val="24"/>
                            <w:lang w:val="en-US"/>
                          </w:rPr>
                          <w:t>Market</w:t>
                        </w:r>
                        <w:r w:rsidRPr="0038694D">
                          <w:rPr>
                            <w:rFonts w:ascii="Times New Roman" w:hAnsi="Times New Roman" w:cs="Times New Roman"/>
                            <w:sz w:val="24"/>
                            <w:lang w:val="en-US"/>
                          </w:rPr>
                          <w:t xml:space="preserve"> risk</w:t>
                        </w:r>
                      </w:p>
                    </w:txbxContent>
                  </v:textbox>
                </v:roundrect>
                <v:roundrect id="Скругленный прямоугольник 16" o:spid="_x0000_s1030" style="position:absolute;left:43053;top:7620;width:16192;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7MQA&#10;AADbAAAADwAAAGRycy9kb3ducmV2LnhtbERPTWvCQBC9C/6HZYRepG7sIWjqKmop2EvBKNjehuyY&#10;BLOzMbvG1F/vFgRv83ifM1t0phItNa60rGA8ikAQZ1aXnCvY7z5fJyCcR9ZYWSYFf+RgMe/3Zpho&#10;e+UttanPRQhhl6CCwvs6kdJlBRl0I1sTB+5oG4M+wCaXusFrCDeVfIuiWBosOTQUWNO6oOyUXoyC&#10;23Ryi6tVe/j6PU/lxzgd/nxvLkq9DLrlOwhPnX+KH+6NDvNj+P8lH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F+zEAAAA2wAAAA8AAAAAAAAAAAAAAAAAmAIAAGRycy9k&#10;b3ducmV2LnhtbFBLBQYAAAAABAAEAPUAAACJAwAAAAA=&#10;" fillcolor="#9ecb81 [2169]" strokecolor="#70ad47 [3209]" strokeweight=".5pt">
                  <v:fill color2="#8ac066 [2617]" rotate="t" colors="0 #b5d5a7;.5 #aace99;1 #9cca86" focus="100%" type="gradient">
                    <o:fill v:ext="view" type="gradientUnscaled"/>
                  </v:fill>
                  <v:stroke joinstyle="miter"/>
                  <v:textbox>
                    <w:txbxContent>
                      <w:p w:rsidR="00CD5F5C" w:rsidRPr="0038694D" w:rsidRDefault="00CD5F5C" w:rsidP="008E5586">
                        <w:pPr>
                          <w:jc w:val="center"/>
                          <w:rPr>
                            <w:rFonts w:ascii="Times New Roman" w:hAnsi="Times New Roman" w:cs="Times New Roman"/>
                            <w:sz w:val="24"/>
                            <w:lang w:val="en-US"/>
                          </w:rPr>
                        </w:pPr>
                        <w:r w:rsidRPr="0038694D">
                          <w:rPr>
                            <w:rFonts w:ascii="Times New Roman" w:hAnsi="Times New Roman" w:cs="Times New Roman"/>
                            <w:sz w:val="24"/>
                            <w:lang w:val="en-US"/>
                          </w:rPr>
                          <w:t>Operational risk</w:t>
                        </w:r>
                      </w:p>
                    </w:txbxContent>
                  </v:textbox>
                </v:roundrect>
                <v:line id="Прямая соединительная линия 20" o:spid="_x0000_s1031" style="position:absolute;visibility:visible;mso-wrap-style:square" from="29622,4095" to="2962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Id78AAADbAAAADwAAAGRycy9kb3ducmV2LnhtbERPTWvCQBC9F/wPywje6qZBpEZXKaLg&#10;pYemIh6H7DQJzc6G3TXGf+8cCj0+3vdmN7pODRRi69nA2zwDRVx523Jt4Px9fH0HFROyxc4zGXhQ&#10;hN128rLBwvo7f9FQplpJCMcCDTQp9YXWsWrIYZz7nli4Hx8cJoGh1jbgXcJdp/MsW2qHLUtDgz3t&#10;G6p+y5szkH/e8n5ZLi7jIaQhXtvVCi/WmNl0/FiDSjSmf/Gf+2TFJ+vli/wAvX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oId78AAADbAAAADwAAAAAAAAAAAAAAAACh&#10;AgAAZHJzL2Rvd25yZXYueG1sUEsFBgAAAAAEAAQA+QAAAI0DAAAAAA==&#10;" strokecolor="#70ad47 [3209]" strokeweight="1.5pt">
                  <v:stroke joinstyle="miter"/>
                </v:line>
                <v:line id="Прямая соединительная линия 21" o:spid="_x0000_s1032" style="position:absolute;visibility:visible;mso-wrap-style:square" from="7905,5334" to="5133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t7MMAAADbAAAADwAAAGRycy9kb3ducmV2LnhtbESPzWrDMBCE74G+g9hCb7EcU0LtRgml&#10;JNBLD3GD6XGxNraJtTKS/NO3rwKFHoeZb4bZHRbTi4mc7ywr2CQpCOLa6o4bBZev0/oFhA/IGnvL&#10;pOCHPBz2D6sdFtrOfKapDI2IJewLVNCGMBRS+rolgz6xA3H0rtYZDFG6RmqHcyw3vczSdCsNdhwX&#10;WhzovaX6Vo5GQfY5ZsO2fK6WowuT/+7yHCut1NPj8vYKItAS/sN/9IeO3AbuX+IP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2rezDAAAA2wAAAA8AAAAAAAAAAAAA&#10;AAAAoQIAAGRycy9kb3ducmV2LnhtbFBLBQYAAAAABAAEAPkAAACRAwAAAAA=&#10;" strokecolor="#70ad47 [3209]" strokeweight="1.5pt">
                  <v:stroke joinstyle="miter"/>
                </v:line>
                <v:line id="Прямая соединительная линия 23" o:spid="_x0000_s1033" style="position:absolute;visibility:visible;mso-wrap-style:square" from="51339,5619" to="51339,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WAMMAAADbAAAADwAAAGRycy9kb3ducmV2LnhtbESPzWrDMBCE74G+g9hCb4lcN4TajRJK&#10;SKGXHOIU0+NibWwTa2Uk+advXxUKOQ4z3wyz3c+mEyM531pW8LxKQBBXVrdcK/i6fCxfQfiArLGz&#10;TAp+yMN+97DYYq7txGcai1CLWMI+RwVNCH0upa8aMuhXtieO3tU6gyFKV0vtcIrlppNpkmykwZbj&#10;QoM9HRqqbsVgFKSnIe03xbqcjy6M/rvNMiy1Uk+P8/sbiEBzuIf/6U8duRf4+xJ/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olgDDAAAA2wAAAA8AAAAAAAAAAAAA&#10;AAAAoQIAAGRycy9kb3ducmV2LnhtbFBLBQYAAAAABAAEAPkAAACRAwAAAAA=&#10;" strokecolor="#70ad47 [3209]" strokeweight="1.5pt">
                  <v:stroke joinstyle="miter"/>
                </v:line>
                <v:line id="Прямая соединительная линия 24" o:spid="_x0000_s1034" style="position:absolute;visibility:visible;mso-wrap-style:square" from="7905,5429" to="790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OdMEAAADbAAAADwAAAGRycy9kb3ducmV2LnhtbESPQYvCMBSE74L/ITzBm6YWkbUaRcSF&#10;vXiwK+Lx0TzbYvNSkljrvzfCwh6HmW+GWW9704iOnK8tK5hNExDEhdU1lwrOv9+TLxA+IGtsLJOC&#10;F3nYboaDNWbaPvlEXR5KEUvYZ6igCqHNpPRFRQb91LbE0btZZzBE6UqpHT5juWlkmiQLabDmuFBh&#10;S/uKinv+MArS4yNtF/n80h9c6Py1Xi7xopUaj/rdCkSgPvyH/+gfHbk5fL7EH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gQ50wQAAANsAAAAPAAAAAAAAAAAAAAAA&#10;AKECAABkcnMvZG93bnJldi54bWxQSwUGAAAAAAQABAD5AAAAjwMAAAAA&#10;" strokecolor="#70ad47 [3209]" strokeweight="1.5pt">
                  <v:stroke joinstyle="miter"/>
                </v:line>
                <w10:wrap type="topAndBottom"/>
              </v:group>
            </w:pict>
          </mc:Fallback>
        </mc:AlternateContent>
      </w:r>
      <w:r>
        <w:rPr>
          <w:rFonts w:ascii="Times New Roman" w:hAnsi="Times New Roman" w:cs="Times New Roman"/>
          <w:sz w:val="24"/>
          <w:lang w:val="en-US"/>
        </w:rPr>
        <w:tab/>
        <w:t xml:space="preserve">Since this research is related to </w:t>
      </w:r>
      <w:r w:rsidR="0087483B">
        <w:rPr>
          <w:rFonts w:ascii="Times New Roman" w:hAnsi="Times New Roman" w:cs="Times New Roman"/>
          <w:sz w:val="24"/>
          <w:lang w:val="en-US"/>
        </w:rPr>
        <w:t>financial institutions</w:t>
      </w:r>
      <w:r>
        <w:rPr>
          <w:rFonts w:ascii="Times New Roman" w:hAnsi="Times New Roman" w:cs="Times New Roman"/>
          <w:sz w:val="24"/>
          <w:lang w:val="en-US"/>
        </w:rPr>
        <w:t xml:space="preserve"> let’s have a look at the main sources </w:t>
      </w:r>
      <w:r w:rsidR="00825301">
        <w:rPr>
          <w:rFonts w:ascii="Times New Roman" w:hAnsi="Times New Roman" w:cs="Times New Roman"/>
          <w:sz w:val="24"/>
          <w:lang w:val="en-US"/>
        </w:rPr>
        <w:t>of idiosyncratic</w:t>
      </w:r>
      <w:r>
        <w:rPr>
          <w:rFonts w:ascii="Times New Roman" w:hAnsi="Times New Roman" w:cs="Times New Roman"/>
          <w:sz w:val="24"/>
          <w:lang w:val="en-US"/>
        </w:rPr>
        <w:t xml:space="preserve"> risk in the banking sector</w:t>
      </w:r>
      <w:r w:rsidR="003C3A2D">
        <w:rPr>
          <w:rFonts w:ascii="Times New Roman" w:hAnsi="Times New Roman" w:cs="Times New Roman"/>
          <w:sz w:val="24"/>
          <w:lang w:val="en-US"/>
        </w:rPr>
        <w:t xml:space="preserve"> (fig. 1.4)</w:t>
      </w:r>
      <w:r>
        <w:rPr>
          <w:rFonts w:ascii="Times New Roman" w:hAnsi="Times New Roman" w:cs="Times New Roman"/>
          <w:sz w:val="24"/>
          <w:lang w:val="en-US"/>
        </w:rPr>
        <w:t>:</w:t>
      </w:r>
    </w:p>
    <w:p w:rsidR="008E5586" w:rsidRDefault="008E5586" w:rsidP="008E5586">
      <w:pPr>
        <w:spacing w:line="360" w:lineRule="auto"/>
        <w:rPr>
          <w:rFonts w:ascii="Times New Roman" w:hAnsi="Times New Roman" w:cs="Times New Roman"/>
          <w:sz w:val="24"/>
          <w:lang w:val="en-US"/>
        </w:rPr>
      </w:pPr>
    </w:p>
    <w:p w:rsidR="008E5586" w:rsidRPr="0087483B" w:rsidRDefault="008E5586" w:rsidP="008E5586">
      <w:pPr>
        <w:spacing w:line="360" w:lineRule="auto"/>
        <w:jc w:val="center"/>
        <w:rPr>
          <w:rFonts w:ascii="Times New Roman" w:hAnsi="Times New Roman" w:cs="Times New Roman"/>
          <w:b/>
          <w:sz w:val="24"/>
          <w:lang w:val="en-US"/>
        </w:rPr>
      </w:pPr>
      <w:r w:rsidRPr="0087483B">
        <w:rPr>
          <w:rFonts w:ascii="Times New Roman" w:hAnsi="Times New Roman" w:cs="Times New Roman"/>
          <w:b/>
          <w:sz w:val="24"/>
          <w:lang w:val="en-US"/>
        </w:rPr>
        <w:t>Fig</w:t>
      </w:r>
      <w:r w:rsidR="005A5461">
        <w:rPr>
          <w:rFonts w:ascii="Times New Roman" w:hAnsi="Times New Roman" w:cs="Times New Roman"/>
          <w:b/>
          <w:sz w:val="24"/>
          <w:lang w:val="en-US"/>
        </w:rPr>
        <w:t>ure</w:t>
      </w:r>
      <w:r w:rsidRPr="0087483B">
        <w:rPr>
          <w:rFonts w:ascii="Times New Roman" w:hAnsi="Times New Roman" w:cs="Times New Roman"/>
          <w:b/>
          <w:sz w:val="24"/>
          <w:lang w:val="en-US"/>
        </w:rPr>
        <w:t xml:space="preserve"> </w:t>
      </w:r>
      <w:r w:rsidR="003F7222">
        <w:rPr>
          <w:rFonts w:ascii="Times New Roman" w:hAnsi="Times New Roman" w:cs="Times New Roman"/>
          <w:b/>
          <w:sz w:val="24"/>
          <w:lang w:val="en-US"/>
        </w:rPr>
        <w:t>1.</w:t>
      </w:r>
      <w:r w:rsidRPr="0087483B">
        <w:rPr>
          <w:rFonts w:ascii="Times New Roman" w:hAnsi="Times New Roman" w:cs="Times New Roman"/>
          <w:b/>
          <w:sz w:val="24"/>
          <w:lang w:val="en-US"/>
        </w:rPr>
        <w:t xml:space="preserve">4 </w:t>
      </w:r>
      <w:r w:rsidRPr="005A5461">
        <w:rPr>
          <w:rFonts w:ascii="Times New Roman" w:hAnsi="Times New Roman" w:cs="Times New Roman"/>
          <w:sz w:val="24"/>
          <w:lang w:val="en-US"/>
        </w:rPr>
        <w:t>Types of idiosyncratic risk in banking sector</w:t>
      </w:r>
      <w:r w:rsidR="00E7103B">
        <w:rPr>
          <w:rFonts w:ascii="Times New Roman" w:hAnsi="Times New Roman" w:cs="Times New Roman"/>
          <w:sz w:val="24"/>
          <w:lang w:val="en-US"/>
        </w:rPr>
        <w:t>. Source: Investopedia (2007</w:t>
      </w:r>
      <w:r w:rsidR="00B3186A">
        <w:rPr>
          <w:rFonts w:ascii="Times New Roman" w:hAnsi="Times New Roman" w:cs="Times New Roman"/>
          <w:sz w:val="24"/>
          <w:lang w:val="en-US"/>
        </w:rPr>
        <w:t>)</w:t>
      </w:r>
    </w:p>
    <w:p w:rsidR="008E5586" w:rsidRDefault="008E5586" w:rsidP="008E5586">
      <w:pPr>
        <w:spacing w:line="360" w:lineRule="auto"/>
        <w:ind w:firstLine="360"/>
        <w:jc w:val="both"/>
        <w:rPr>
          <w:rFonts w:ascii="Times New Roman" w:hAnsi="Times New Roman" w:cs="Times New Roman"/>
          <w:sz w:val="24"/>
          <w:lang w:val="en-US"/>
        </w:rPr>
      </w:pPr>
      <w:r w:rsidRPr="00746AA1">
        <w:rPr>
          <w:rFonts w:ascii="Times New Roman" w:hAnsi="Times New Roman" w:cs="Times New Roman"/>
          <w:b/>
          <w:sz w:val="24"/>
          <w:lang w:val="en-US"/>
        </w:rPr>
        <w:t>Credit risk</w:t>
      </w:r>
      <w:r w:rsidRPr="00A1587F">
        <w:rPr>
          <w:rFonts w:ascii="Times New Roman" w:hAnsi="Times New Roman" w:cs="Times New Roman"/>
          <w:sz w:val="24"/>
          <w:lang w:val="en-US"/>
        </w:rPr>
        <w:t xml:space="preserve"> is the potential loss a bank would suffer if a bank borrower, also known as the counterparty, fails to meet its obligations— pay interest on the loan and repay the amount borrowed— in accordance with agreed terms. Credit risk is the single largest risk most banks face and arises from the possibility that loans or bonds held by a bank will not be repaid either partially or fully. Credit risk is often synonymous with default risk.</w:t>
      </w:r>
      <w:r w:rsidR="00F22BC9">
        <w:rPr>
          <w:rStyle w:val="a6"/>
          <w:rFonts w:ascii="Times New Roman" w:hAnsi="Times New Roman" w:cs="Times New Roman"/>
          <w:sz w:val="24"/>
          <w:lang w:val="en-US"/>
        </w:rPr>
        <w:footnoteReference w:id="7"/>
      </w:r>
    </w:p>
    <w:p w:rsidR="00475212" w:rsidRPr="00F22BC9" w:rsidRDefault="00475212" w:rsidP="008E5586">
      <w:pPr>
        <w:spacing w:line="360" w:lineRule="auto"/>
        <w:ind w:firstLine="360"/>
        <w:jc w:val="both"/>
        <w:rPr>
          <w:rFonts w:ascii="Times New Roman" w:hAnsi="Times New Roman" w:cs="Times New Roman"/>
          <w:sz w:val="24"/>
          <w:lang w:val="en-US"/>
        </w:rPr>
      </w:pPr>
      <w:r>
        <w:rPr>
          <w:rFonts w:ascii="Times New Roman" w:hAnsi="Times New Roman" w:cs="Times New Roman"/>
          <w:sz w:val="24"/>
          <w:lang w:val="en-US"/>
        </w:rPr>
        <w:t xml:space="preserve">For instance, the </w:t>
      </w:r>
      <w:r w:rsidRPr="00A1587F">
        <w:rPr>
          <w:rFonts w:ascii="Times New Roman" w:hAnsi="Times New Roman" w:cs="Times New Roman"/>
          <w:sz w:val="24"/>
          <w:lang w:val="en-US"/>
        </w:rPr>
        <w:t>large Swiss bank UBS</w:t>
      </w:r>
      <w:r w:rsidR="003C3A2D">
        <w:rPr>
          <w:rFonts w:ascii="Times New Roman" w:hAnsi="Times New Roman" w:cs="Times New Roman"/>
          <w:sz w:val="24"/>
          <w:lang w:val="en-US"/>
        </w:rPr>
        <w:t xml:space="preserve"> incurred huge losses </w:t>
      </w:r>
      <w:r w:rsidRPr="00A1587F">
        <w:rPr>
          <w:rFonts w:ascii="Times New Roman" w:hAnsi="Times New Roman" w:cs="Times New Roman"/>
          <w:sz w:val="24"/>
          <w:lang w:val="en-US"/>
        </w:rPr>
        <w:t>in value of loans</w:t>
      </w:r>
      <w:r>
        <w:rPr>
          <w:rFonts w:ascii="Times New Roman" w:hAnsi="Times New Roman" w:cs="Times New Roman"/>
          <w:sz w:val="24"/>
          <w:lang w:val="en-US"/>
        </w:rPr>
        <w:t xml:space="preserve"> that were made to </w:t>
      </w:r>
      <w:r w:rsidRPr="00A1587F">
        <w:rPr>
          <w:rFonts w:ascii="Times New Roman" w:hAnsi="Times New Roman" w:cs="Times New Roman"/>
          <w:sz w:val="24"/>
          <w:lang w:val="en-US"/>
        </w:rPr>
        <w:t>high-risk borrowers</w:t>
      </w:r>
      <w:r>
        <w:rPr>
          <w:rFonts w:ascii="Times New Roman" w:hAnsi="Times New Roman" w:cs="Times New Roman"/>
          <w:sz w:val="24"/>
          <w:lang w:val="en-US"/>
        </w:rPr>
        <w:t>.</w:t>
      </w:r>
      <w:r w:rsidR="00F22BC9">
        <w:rPr>
          <w:rFonts w:ascii="Times New Roman" w:hAnsi="Times New Roman" w:cs="Times New Roman"/>
          <w:sz w:val="24"/>
          <w:lang w:val="en-US"/>
        </w:rPr>
        <w:t xml:space="preserve"> As a result, the bank announced a loss of </w:t>
      </w:r>
      <w:r w:rsidR="00F22BC9" w:rsidRPr="00F22BC9">
        <w:rPr>
          <w:rFonts w:ascii="Times New Roman" w:hAnsi="Times New Roman" w:cs="Times New Roman"/>
          <w:lang w:val="en-US"/>
        </w:rPr>
        <w:t>$</w:t>
      </w:r>
      <w:r w:rsidR="00F22BC9">
        <w:rPr>
          <w:rFonts w:ascii="Times New Roman" w:hAnsi="Times New Roman" w:cs="Times New Roman"/>
          <w:lang w:val="en-US"/>
        </w:rPr>
        <w:t xml:space="preserve"> </w:t>
      </w:r>
      <w:r w:rsidR="00F22BC9" w:rsidRPr="00A1587F">
        <w:rPr>
          <w:rFonts w:ascii="Times New Roman" w:hAnsi="Times New Roman" w:cs="Times New Roman"/>
          <w:sz w:val="24"/>
          <w:lang w:val="en-US"/>
        </w:rPr>
        <w:t>10 billion</w:t>
      </w:r>
      <w:r w:rsidR="00F22BC9">
        <w:rPr>
          <w:rFonts w:ascii="Times New Roman" w:hAnsi="Times New Roman" w:cs="Times New Roman"/>
          <w:sz w:val="24"/>
          <w:lang w:val="en-US"/>
        </w:rPr>
        <w:t xml:space="preserve">. Most of </w:t>
      </w:r>
      <w:r w:rsidR="00F22BC9" w:rsidRPr="00A1587F">
        <w:rPr>
          <w:rFonts w:ascii="Times New Roman" w:hAnsi="Times New Roman" w:cs="Times New Roman"/>
          <w:sz w:val="24"/>
          <w:lang w:val="en-US"/>
        </w:rPr>
        <w:t>high-risk borrowers</w:t>
      </w:r>
      <w:r w:rsidR="00F22BC9">
        <w:rPr>
          <w:rFonts w:ascii="Times New Roman" w:hAnsi="Times New Roman" w:cs="Times New Roman"/>
          <w:sz w:val="24"/>
          <w:lang w:val="en-US"/>
        </w:rPr>
        <w:t xml:space="preserve"> were not able to repay </w:t>
      </w:r>
      <w:r w:rsidR="00F22BC9" w:rsidRPr="00A1587F">
        <w:rPr>
          <w:rFonts w:ascii="Times New Roman" w:hAnsi="Times New Roman" w:cs="Times New Roman"/>
          <w:sz w:val="24"/>
          <w:lang w:val="en-US"/>
        </w:rPr>
        <w:t>their loans</w:t>
      </w:r>
      <w:r w:rsidR="00F22BC9">
        <w:rPr>
          <w:rFonts w:ascii="Times New Roman" w:hAnsi="Times New Roman" w:cs="Times New Roman"/>
          <w:sz w:val="24"/>
          <w:lang w:val="en-US"/>
        </w:rPr>
        <w:t xml:space="preserve">, at the same time </w:t>
      </w:r>
      <w:r w:rsidR="00F22BC9" w:rsidRPr="00A1587F">
        <w:rPr>
          <w:rFonts w:ascii="Times New Roman" w:hAnsi="Times New Roman" w:cs="Times New Roman"/>
          <w:sz w:val="24"/>
          <w:lang w:val="en-US"/>
        </w:rPr>
        <w:t>the complex models used</w:t>
      </w:r>
      <w:r w:rsidR="00F22BC9">
        <w:rPr>
          <w:rFonts w:ascii="Times New Roman" w:hAnsi="Times New Roman" w:cs="Times New Roman"/>
          <w:sz w:val="24"/>
          <w:lang w:val="en-US"/>
        </w:rPr>
        <w:t xml:space="preserve"> by </w:t>
      </w:r>
      <w:r w:rsidR="00F22BC9" w:rsidRPr="00A1587F">
        <w:rPr>
          <w:rFonts w:ascii="Times New Roman" w:hAnsi="Times New Roman" w:cs="Times New Roman"/>
          <w:sz w:val="24"/>
          <w:lang w:val="en-US"/>
        </w:rPr>
        <w:t xml:space="preserve">Swiss bank UBS to predict the likelihood of credit losses </w:t>
      </w:r>
      <w:r w:rsidR="00F22BC9">
        <w:rPr>
          <w:rFonts w:ascii="Times New Roman" w:hAnsi="Times New Roman" w:cs="Times New Roman"/>
          <w:sz w:val="24"/>
          <w:lang w:val="en-US"/>
        </w:rPr>
        <w:t xml:space="preserve">were incorrect. There are many similar cases when major banks all over the world incur </w:t>
      </w:r>
      <w:r w:rsidR="00F22BC9" w:rsidRPr="00A1587F">
        <w:rPr>
          <w:rFonts w:ascii="Times New Roman" w:hAnsi="Times New Roman" w:cs="Times New Roman"/>
          <w:sz w:val="24"/>
          <w:lang w:val="en-US"/>
        </w:rPr>
        <w:t xml:space="preserve">losses due to assessing the </w:t>
      </w:r>
      <w:r w:rsidR="00F22BC9">
        <w:rPr>
          <w:rFonts w:ascii="Times New Roman" w:hAnsi="Times New Roman" w:cs="Times New Roman"/>
          <w:sz w:val="24"/>
          <w:lang w:val="en-US"/>
        </w:rPr>
        <w:t>probability</w:t>
      </w:r>
      <w:r w:rsidR="00F22BC9" w:rsidRPr="00A1587F">
        <w:rPr>
          <w:rFonts w:ascii="Times New Roman" w:hAnsi="Times New Roman" w:cs="Times New Roman"/>
          <w:sz w:val="24"/>
          <w:lang w:val="en-US"/>
        </w:rPr>
        <w:t xml:space="preserve"> of default on mortgage payments</w:t>
      </w:r>
      <w:r w:rsidR="00F22BC9">
        <w:rPr>
          <w:rFonts w:ascii="Times New Roman" w:hAnsi="Times New Roman" w:cs="Times New Roman"/>
          <w:sz w:val="24"/>
          <w:lang w:val="en-US"/>
        </w:rPr>
        <w:t xml:space="preserve"> incorrectly</w:t>
      </w:r>
      <w:r w:rsidR="00F22BC9" w:rsidRPr="00A1587F">
        <w:rPr>
          <w:rFonts w:ascii="Times New Roman" w:hAnsi="Times New Roman" w:cs="Times New Roman"/>
          <w:sz w:val="24"/>
          <w:lang w:val="en-US"/>
        </w:rPr>
        <w:t>.</w:t>
      </w:r>
      <w:r w:rsidR="00F22BC9">
        <w:rPr>
          <w:rFonts w:ascii="Times New Roman" w:hAnsi="Times New Roman" w:cs="Times New Roman"/>
          <w:sz w:val="24"/>
          <w:lang w:val="en-US"/>
        </w:rPr>
        <w:t xml:space="preserve"> </w:t>
      </w:r>
    </w:p>
    <w:p w:rsidR="008E5586" w:rsidRDefault="008E5586" w:rsidP="008E5586">
      <w:pPr>
        <w:spacing w:line="360" w:lineRule="auto"/>
        <w:ind w:firstLine="360"/>
        <w:jc w:val="both"/>
        <w:rPr>
          <w:rFonts w:ascii="Times New Roman" w:hAnsi="Times New Roman" w:cs="Times New Roman"/>
          <w:sz w:val="24"/>
          <w:lang w:val="en-US"/>
        </w:rPr>
      </w:pPr>
      <w:r w:rsidRPr="00746AA1">
        <w:rPr>
          <w:rFonts w:ascii="Times New Roman" w:hAnsi="Times New Roman" w:cs="Times New Roman"/>
          <w:b/>
          <w:sz w:val="24"/>
          <w:lang w:val="en-US"/>
        </w:rPr>
        <w:t>Market risk</w:t>
      </w:r>
      <w:r>
        <w:rPr>
          <w:rFonts w:ascii="Times New Roman" w:hAnsi="Times New Roman" w:cs="Times New Roman"/>
          <w:sz w:val="24"/>
          <w:lang w:val="en-US"/>
        </w:rPr>
        <w:t xml:space="preserve"> is the risk of loss resulting from changes in market prices that is due to changes in foreign exchange rates, interest rates, commodities and equity prices. The major components of market risk are:</w:t>
      </w:r>
    </w:p>
    <w:p w:rsidR="008E5586" w:rsidRDefault="008E5586" w:rsidP="008E5586">
      <w:pPr>
        <w:pStyle w:val="a3"/>
        <w:numPr>
          <w:ilvl w:val="0"/>
          <w:numId w:val="3"/>
        </w:numPr>
        <w:spacing w:after="160" w:line="360" w:lineRule="auto"/>
        <w:jc w:val="both"/>
        <w:rPr>
          <w:lang w:val="en-US"/>
        </w:rPr>
      </w:pPr>
      <w:r>
        <w:rPr>
          <w:lang w:val="en-US"/>
        </w:rPr>
        <w:t xml:space="preserve">Interest rate risk </w:t>
      </w:r>
      <w:r w:rsidRPr="00746AA1">
        <w:rPr>
          <w:lang w:val="en-US"/>
        </w:rPr>
        <w:t>is the potential loss due to movements in interest rates. This risk arises because bank assets (loans and bonds) usually have a significantly longer maturity than bank liabilities (deposits).</w:t>
      </w:r>
      <w:r>
        <w:rPr>
          <w:lang w:val="en-US"/>
        </w:rPr>
        <w:t xml:space="preserve"> </w:t>
      </w:r>
    </w:p>
    <w:p w:rsidR="008E5586" w:rsidRDefault="008E5586" w:rsidP="008E5586">
      <w:pPr>
        <w:pStyle w:val="a3"/>
        <w:numPr>
          <w:ilvl w:val="0"/>
          <w:numId w:val="3"/>
        </w:numPr>
        <w:spacing w:after="160" w:line="360" w:lineRule="auto"/>
        <w:jc w:val="both"/>
        <w:rPr>
          <w:lang w:val="en-US"/>
        </w:rPr>
      </w:pPr>
      <w:r>
        <w:rPr>
          <w:lang w:val="en-US"/>
        </w:rPr>
        <w:t xml:space="preserve">Equity risk </w:t>
      </w:r>
      <w:r w:rsidRPr="00746AA1">
        <w:rPr>
          <w:lang w:val="en-US"/>
        </w:rPr>
        <w:t>is the potential loss due to an adverse change in the price of stock.</w:t>
      </w:r>
    </w:p>
    <w:p w:rsidR="008E5586" w:rsidRDefault="008E5586" w:rsidP="008E5586">
      <w:pPr>
        <w:pStyle w:val="a3"/>
        <w:numPr>
          <w:ilvl w:val="0"/>
          <w:numId w:val="3"/>
        </w:numPr>
        <w:spacing w:after="160" w:line="360" w:lineRule="auto"/>
        <w:jc w:val="both"/>
        <w:rPr>
          <w:lang w:val="en-US"/>
        </w:rPr>
      </w:pPr>
      <w:r>
        <w:rPr>
          <w:lang w:val="en-US"/>
        </w:rPr>
        <w:lastRenderedPageBreak/>
        <w:t xml:space="preserve">Foreign exchange risk </w:t>
      </w:r>
      <w:r w:rsidRPr="00746AA1">
        <w:rPr>
          <w:lang w:val="en-US"/>
        </w:rPr>
        <w:t>is the risk that the value of the bank’s assets or liabilities changes due to currency exchange rate fluctuations.</w:t>
      </w:r>
    </w:p>
    <w:p w:rsidR="008E5586" w:rsidRPr="00746AA1" w:rsidRDefault="008E5586" w:rsidP="0054191B">
      <w:pPr>
        <w:pStyle w:val="a3"/>
        <w:numPr>
          <w:ilvl w:val="0"/>
          <w:numId w:val="3"/>
        </w:numPr>
        <w:spacing w:after="160" w:line="360" w:lineRule="auto"/>
        <w:jc w:val="both"/>
        <w:rPr>
          <w:lang w:val="en-US"/>
        </w:rPr>
      </w:pPr>
      <w:r>
        <w:rPr>
          <w:lang w:val="en-US"/>
        </w:rPr>
        <w:t xml:space="preserve">Commodity risk </w:t>
      </w:r>
      <w:r w:rsidRPr="00746AA1">
        <w:rPr>
          <w:lang w:val="en-US"/>
        </w:rPr>
        <w:t>is the potential loss due to an adverse change in commodity prices</w:t>
      </w:r>
      <w:r w:rsidR="001076B7">
        <w:rPr>
          <w:rStyle w:val="a6"/>
          <w:lang w:val="en-US"/>
        </w:rPr>
        <w:footnoteReference w:id="8"/>
      </w:r>
      <w:r w:rsidRPr="00746AA1">
        <w:rPr>
          <w:lang w:val="en-US"/>
        </w:rPr>
        <w:t>.</w:t>
      </w:r>
    </w:p>
    <w:p w:rsidR="008E5586" w:rsidRDefault="008E5586" w:rsidP="0054191B">
      <w:pPr>
        <w:spacing w:line="360" w:lineRule="auto"/>
        <w:ind w:firstLine="360"/>
        <w:jc w:val="both"/>
        <w:rPr>
          <w:rFonts w:ascii="Times New Roman" w:hAnsi="Times New Roman" w:cs="Times New Roman"/>
          <w:sz w:val="24"/>
          <w:lang w:val="en-US"/>
        </w:rPr>
      </w:pPr>
      <w:r w:rsidRPr="00746AA1">
        <w:rPr>
          <w:rFonts w:ascii="Times New Roman" w:hAnsi="Times New Roman" w:cs="Times New Roman"/>
          <w:b/>
          <w:sz w:val="24"/>
          <w:lang w:val="en-US"/>
        </w:rPr>
        <w:t>Operational risk</w:t>
      </w:r>
      <w:r w:rsidRPr="00FC238A">
        <w:rPr>
          <w:rFonts w:ascii="Times New Roman" w:hAnsi="Times New Roman" w:cs="Times New Roman"/>
          <w:sz w:val="24"/>
          <w:lang w:val="en-US"/>
        </w:rPr>
        <w:t xml:space="preserve"> is the risk of loss resulting from inadequate or failed internal processes, people and systems or from external events. This definition includes legal risk, but excludes strategic and reputational risk.</w:t>
      </w:r>
      <w:r w:rsidR="00142B20">
        <w:rPr>
          <w:rStyle w:val="a6"/>
          <w:rFonts w:ascii="Times New Roman" w:hAnsi="Times New Roman" w:cs="Times New Roman"/>
          <w:sz w:val="24"/>
          <w:lang w:val="en-US"/>
        </w:rPr>
        <w:footnoteReference w:id="9"/>
      </w:r>
    </w:p>
    <w:p w:rsidR="0006265D" w:rsidRPr="004E4B47" w:rsidRDefault="004E4B47" w:rsidP="0054191B">
      <w:pPr>
        <w:spacing w:line="360" w:lineRule="auto"/>
        <w:ind w:firstLine="708"/>
        <w:jc w:val="both"/>
        <w:rPr>
          <w:lang w:val="en-US"/>
        </w:rPr>
      </w:pPr>
      <w:r>
        <w:rPr>
          <w:rFonts w:ascii="Times New Roman" w:hAnsi="Times New Roman" w:cs="Times New Roman"/>
          <w:sz w:val="24"/>
          <w:lang w:val="en-US"/>
        </w:rPr>
        <w:t xml:space="preserve">An example of operational risk could be the collapse of </w:t>
      </w:r>
      <w:r w:rsidRPr="00FC238A">
        <w:rPr>
          <w:rFonts w:ascii="Times New Roman" w:hAnsi="Times New Roman" w:cs="Times New Roman"/>
          <w:sz w:val="24"/>
          <w:lang w:val="en-US"/>
        </w:rPr>
        <w:t>Baring Brothers and Co. Ltd.</w:t>
      </w:r>
      <w:r>
        <w:rPr>
          <w:rFonts w:ascii="Times New Roman" w:hAnsi="Times New Roman" w:cs="Times New Roman"/>
          <w:sz w:val="24"/>
          <w:lang w:val="en-US"/>
        </w:rPr>
        <w:t xml:space="preserve"> after incurring losses of £ </w:t>
      </w:r>
      <w:r w:rsidRPr="00FC238A">
        <w:rPr>
          <w:rFonts w:ascii="Times New Roman" w:hAnsi="Times New Roman" w:cs="Times New Roman"/>
          <w:sz w:val="24"/>
          <w:lang w:val="en-US"/>
        </w:rPr>
        <w:t>827 million</w:t>
      </w:r>
      <w:r>
        <w:rPr>
          <w:rFonts w:ascii="Times New Roman" w:hAnsi="Times New Roman" w:cs="Times New Roman"/>
          <w:sz w:val="24"/>
          <w:lang w:val="en-US"/>
        </w:rPr>
        <w:t xml:space="preserve"> in 1995. The main reason of bank’s collapse was </w:t>
      </w:r>
      <w:r w:rsidRPr="00FC238A">
        <w:rPr>
          <w:rFonts w:ascii="Times New Roman" w:hAnsi="Times New Roman" w:cs="Times New Roman"/>
          <w:sz w:val="24"/>
          <w:lang w:val="en-US"/>
        </w:rPr>
        <w:t>the failure of its internal control processes and procedures.</w:t>
      </w:r>
      <w:r>
        <w:rPr>
          <w:rFonts w:ascii="Times New Roman" w:hAnsi="Times New Roman" w:cs="Times New Roman"/>
          <w:sz w:val="24"/>
          <w:lang w:val="en-US"/>
        </w:rPr>
        <w:t xml:space="preserve"> Bank’s traders </w:t>
      </w:r>
      <w:r w:rsidRPr="00FC238A">
        <w:rPr>
          <w:rFonts w:ascii="Times New Roman" w:hAnsi="Times New Roman" w:cs="Times New Roman"/>
          <w:sz w:val="24"/>
          <w:lang w:val="en-US"/>
        </w:rPr>
        <w:t xml:space="preserve">was able to authorize </w:t>
      </w:r>
      <w:r>
        <w:rPr>
          <w:rFonts w:ascii="Times New Roman" w:hAnsi="Times New Roman" w:cs="Times New Roman"/>
          <w:sz w:val="24"/>
          <w:lang w:val="en-US"/>
        </w:rPr>
        <w:t>their trading activities</w:t>
      </w:r>
      <w:r w:rsidRPr="00FC238A">
        <w:rPr>
          <w:rFonts w:ascii="Times New Roman" w:hAnsi="Times New Roman" w:cs="Times New Roman"/>
          <w:sz w:val="24"/>
          <w:lang w:val="en-US"/>
        </w:rPr>
        <w:t xml:space="preserve"> and book them into the bank’s systems without any supervision</w:t>
      </w:r>
      <w:r>
        <w:rPr>
          <w:rFonts w:ascii="Times New Roman" w:hAnsi="Times New Roman" w:cs="Times New Roman"/>
          <w:sz w:val="24"/>
          <w:lang w:val="en-US"/>
        </w:rPr>
        <w:t xml:space="preserve">. Only </w:t>
      </w:r>
      <w:r w:rsidRPr="00FC238A">
        <w:rPr>
          <w:rFonts w:ascii="Times New Roman" w:hAnsi="Times New Roman" w:cs="Times New Roman"/>
          <w:sz w:val="24"/>
          <w:lang w:val="en-US"/>
        </w:rPr>
        <w:t>after the trades started to lose significant amounts of money and it was no longer possible for the trader to keep the trades and the losses secret</w:t>
      </w:r>
      <w:r>
        <w:rPr>
          <w:rFonts w:ascii="Times New Roman" w:hAnsi="Times New Roman" w:cs="Times New Roman"/>
          <w:sz w:val="24"/>
          <w:lang w:val="en-US"/>
        </w:rPr>
        <w:t xml:space="preserve"> t</w:t>
      </w:r>
      <w:r w:rsidRPr="00FC238A">
        <w:rPr>
          <w:rFonts w:ascii="Times New Roman" w:hAnsi="Times New Roman" w:cs="Times New Roman"/>
          <w:sz w:val="24"/>
          <w:lang w:val="en-US"/>
        </w:rPr>
        <w:t>he trader’s supervisors</w:t>
      </w:r>
      <w:r>
        <w:rPr>
          <w:rFonts w:ascii="Times New Roman" w:hAnsi="Times New Roman" w:cs="Times New Roman"/>
          <w:sz w:val="24"/>
          <w:lang w:val="en-US"/>
        </w:rPr>
        <w:t xml:space="preserve"> were alerted.</w:t>
      </w:r>
      <w:r w:rsidR="0006265D">
        <w:rPr>
          <w:rFonts w:ascii="Times New Roman" w:hAnsi="Times New Roman" w:cs="Times New Roman"/>
          <w:sz w:val="24"/>
          <w:lang w:val="en-US"/>
        </w:rPr>
        <w:tab/>
      </w:r>
      <w:r w:rsidR="007368CC" w:rsidRPr="007368CC">
        <w:rPr>
          <w:rFonts w:ascii="Times New Roman" w:hAnsi="Times New Roman" w:cs="Times New Roman"/>
          <w:sz w:val="24"/>
          <w:lang w:val="en-US"/>
        </w:rPr>
        <w:t xml:space="preserve"> </w:t>
      </w:r>
    </w:p>
    <w:p w:rsidR="005506B6" w:rsidRDefault="008E5586" w:rsidP="0054191B">
      <w:pPr>
        <w:spacing w:line="360" w:lineRule="auto"/>
        <w:ind w:firstLine="708"/>
        <w:jc w:val="both"/>
        <w:rPr>
          <w:lang w:val="en-US"/>
        </w:rPr>
      </w:pPr>
      <w:r w:rsidRPr="0054191B">
        <w:rPr>
          <w:rFonts w:ascii="Times New Roman" w:hAnsi="Times New Roman" w:cs="Times New Roman"/>
          <w:sz w:val="24"/>
          <w:szCs w:val="24"/>
          <w:lang w:val="en-US"/>
        </w:rPr>
        <w:t xml:space="preserve">The idiosyncratic risk is also important for researchers for some reasons. </w:t>
      </w:r>
      <w:r w:rsidRPr="002D2173">
        <w:rPr>
          <w:rFonts w:ascii="Times New Roman" w:hAnsi="Times New Roman" w:cs="Times New Roman"/>
          <w:sz w:val="24"/>
          <w:szCs w:val="24"/>
          <w:lang w:val="en-US"/>
        </w:rPr>
        <w:t>Campbell</w:t>
      </w:r>
      <w:r w:rsidR="0087483B" w:rsidRPr="002D2173">
        <w:rPr>
          <w:rFonts w:ascii="Times New Roman" w:hAnsi="Times New Roman" w:cs="Times New Roman"/>
          <w:sz w:val="24"/>
          <w:szCs w:val="24"/>
          <w:lang w:val="en-US"/>
        </w:rPr>
        <w:t xml:space="preserve"> </w:t>
      </w:r>
      <w:r w:rsidR="002A7861">
        <w:rPr>
          <w:rFonts w:ascii="Times New Roman" w:hAnsi="Times New Roman" w:cs="Times New Roman"/>
          <w:sz w:val="24"/>
          <w:szCs w:val="24"/>
          <w:lang w:val="en-US"/>
        </w:rPr>
        <w:t>(</w:t>
      </w:r>
      <w:r w:rsidRPr="002D2173">
        <w:rPr>
          <w:rFonts w:ascii="Times New Roman" w:hAnsi="Times New Roman" w:cs="Times New Roman"/>
          <w:sz w:val="24"/>
          <w:szCs w:val="24"/>
          <w:lang w:val="en-US"/>
        </w:rPr>
        <w:t>2001</w:t>
      </w:r>
      <w:r w:rsidR="002A7861">
        <w:rPr>
          <w:rFonts w:ascii="Times New Roman" w:hAnsi="Times New Roman" w:cs="Times New Roman"/>
          <w:sz w:val="24"/>
          <w:szCs w:val="24"/>
          <w:lang w:val="en-US"/>
        </w:rPr>
        <w:t>)</w:t>
      </w:r>
      <w:r w:rsidRPr="002D2173">
        <w:rPr>
          <w:rFonts w:ascii="Times New Roman" w:hAnsi="Times New Roman" w:cs="Times New Roman"/>
          <w:sz w:val="24"/>
          <w:szCs w:val="24"/>
          <w:lang w:val="en-US"/>
        </w:rPr>
        <w:t xml:space="preserve"> received the following result - the level of average stock return volatility mostly attributable to idiosyncratic </w:t>
      </w:r>
      <w:r w:rsidR="002A7861" w:rsidRPr="002D2173">
        <w:rPr>
          <w:rFonts w:ascii="Times New Roman" w:hAnsi="Times New Roman" w:cs="Times New Roman"/>
          <w:sz w:val="24"/>
          <w:szCs w:val="24"/>
          <w:lang w:val="en-US"/>
        </w:rPr>
        <w:t>volatility has</w:t>
      </w:r>
      <w:r w:rsidRPr="002D2173">
        <w:rPr>
          <w:rFonts w:ascii="Times New Roman" w:hAnsi="Times New Roman" w:cs="Times New Roman"/>
          <w:sz w:val="24"/>
          <w:szCs w:val="24"/>
          <w:lang w:val="en-US"/>
        </w:rPr>
        <w:t xml:space="preserve"> increased considerably from 1962 to 1997 in the </w:t>
      </w:r>
      <w:r w:rsidR="007368CC" w:rsidRPr="002D2173">
        <w:rPr>
          <w:rFonts w:ascii="Times New Roman" w:hAnsi="Times New Roman" w:cs="Times New Roman"/>
          <w:sz w:val="24"/>
          <w:szCs w:val="24"/>
          <w:lang w:val="en-US"/>
        </w:rPr>
        <w:t>United States</w:t>
      </w:r>
      <w:r w:rsidRPr="002D2173">
        <w:rPr>
          <w:rFonts w:ascii="Times New Roman" w:hAnsi="Times New Roman" w:cs="Times New Roman"/>
          <w:sz w:val="24"/>
          <w:szCs w:val="24"/>
          <w:lang w:val="en-US"/>
        </w:rPr>
        <w:t xml:space="preserve">. </w:t>
      </w:r>
      <w:r w:rsidR="007368CC" w:rsidRPr="002D2173">
        <w:rPr>
          <w:rFonts w:ascii="Times New Roman" w:hAnsi="Times New Roman" w:cs="Times New Roman"/>
          <w:sz w:val="24"/>
          <w:szCs w:val="24"/>
          <w:lang w:val="en-US"/>
        </w:rPr>
        <w:t xml:space="preserve">At the same time </w:t>
      </w:r>
      <w:r w:rsidR="0087483B" w:rsidRPr="002D2173">
        <w:rPr>
          <w:rFonts w:ascii="Times New Roman" w:hAnsi="Times New Roman" w:cs="Times New Roman"/>
          <w:sz w:val="24"/>
          <w:szCs w:val="24"/>
          <w:lang w:val="en-US"/>
        </w:rPr>
        <w:t>M</w:t>
      </w:r>
      <w:r w:rsidR="002A7861">
        <w:rPr>
          <w:rFonts w:ascii="Times New Roman" w:hAnsi="Times New Roman" w:cs="Times New Roman"/>
          <w:sz w:val="24"/>
          <w:szCs w:val="24"/>
          <w:lang w:val="en-US"/>
        </w:rPr>
        <w:t>orck</w:t>
      </w:r>
      <w:r w:rsidR="0087483B" w:rsidRPr="002D2173">
        <w:rPr>
          <w:rFonts w:ascii="Times New Roman" w:hAnsi="Times New Roman" w:cs="Times New Roman"/>
          <w:sz w:val="24"/>
          <w:szCs w:val="24"/>
          <w:lang w:val="en-US"/>
        </w:rPr>
        <w:t xml:space="preserve"> </w:t>
      </w:r>
      <w:r w:rsidR="002A7861">
        <w:rPr>
          <w:rFonts w:ascii="Times New Roman" w:hAnsi="Times New Roman" w:cs="Times New Roman"/>
          <w:sz w:val="24"/>
          <w:szCs w:val="24"/>
          <w:lang w:val="en-US"/>
        </w:rPr>
        <w:t>(</w:t>
      </w:r>
      <w:r w:rsidRPr="002D2173">
        <w:rPr>
          <w:rFonts w:ascii="Times New Roman" w:hAnsi="Times New Roman" w:cs="Times New Roman"/>
          <w:sz w:val="24"/>
          <w:szCs w:val="24"/>
          <w:lang w:val="en-US"/>
        </w:rPr>
        <w:t>2000</w:t>
      </w:r>
      <w:r w:rsidR="002A7861">
        <w:rPr>
          <w:rFonts w:ascii="Times New Roman" w:hAnsi="Times New Roman" w:cs="Times New Roman"/>
          <w:sz w:val="24"/>
          <w:szCs w:val="24"/>
          <w:lang w:val="en-US"/>
        </w:rPr>
        <w:t>)</w:t>
      </w:r>
      <w:r w:rsidRPr="002D2173">
        <w:rPr>
          <w:rFonts w:ascii="Times New Roman" w:hAnsi="Times New Roman" w:cs="Times New Roman"/>
          <w:sz w:val="24"/>
          <w:szCs w:val="24"/>
          <w:lang w:val="en-US"/>
        </w:rPr>
        <w:t xml:space="preserve"> found that the ratio of idiosyncratic risk to </w:t>
      </w:r>
      <w:r w:rsidR="00DE47A1">
        <w:rPr>
          <w:rFonts w:ascii="Times New Roman" w:hAnsi="Times New Roman" w:cs="Times New Roman"/>
          <w:sz w:val="24"/>
          <w:szCs w:val="24"/>
          <w:lang w:val="en-US"/>
        </w:rPr>
        <w:t>systemic</w:t>
      </w:r>
      <w:r w:rsidRPr="002D2173">
        <w:rPr>
          <w:rFonts w:ascii="Times New Roman" w:hAnsi="Times New Roman" w:cs="Times New Roman"/>
          <w:sz w:val="24"/>
          <w:szCs w:val="24"/>
          <w:lang w:val="en-US"/>
        </w:rPr>
        <w:t xml:space="preserve"> risk has surged over time in the U</w:t>
      </w:r>
      <w:r w:rsidR="007368CC" w:rsidRPr="002D2173">
        <w:rPr>
          <w:rFonts w:ascii="Times New Roman" w:hAnsi="Times New Roman" w:cs="Times New Roman"/>
          <w:sz w:val="24"/>
          <w:szCs w:val="24"/>
          <w:lang w:val="en-US"/>
        </w:rPr>
        <w:t>nited States</w:t>
      </w:r>
      <w:r w:rsidRPr="002D2173">
        <w:rPr>
          <w:rFonts w:ascii="Times New Roman" w:hAnsi="Times New Roman" w:cs="Times New Roman"/>
          <w:sz w:val="24"/>
          <w:szCs w:val="24"/>
          <w:lang w:val="en-US"/>
        </w:rPr>
        <w:t>.</w:t>
      </w:r>
      <w:r w:rsidR="007368CC" w:rsidRPr="002D2173">
        <w:rPr>
          <w:rFonts w:ascii="Times New Roman" w:hAnsi="Times New Roman" w:cs="Times New Roman"/>
          <w:sz w:val="24"/>
          <w:szCs w:val="24"/>
          <w:lang w:val="en-US"/>
        </w:rPr>
        <w:t xml:space="preserve"> Motivated by results of Campbell </w:t>
      </w:r>
      <w:r w:rsidRPr="002D2173">
        <w:rPr>
          <w:rFonts w:ascii="Times New Roman" w:hAnsi="Times New Roman" w:cs="Times New Roman"/>
          <w:sz w:val="24"/>
          <w:szCs w:val="24"/>
          <w:lang w:val="en-US"/>
        </w:rPr>
        <w:t xml:space="preserve">Rajgopal and Venkatachalam </w:t>
      </w:r>
      <w:r w:rsidR="002A7861">
        <w:rPr>
          <w:rFonts w:ascii="Times New Roman" w:hAnsi="Times New Roman" w:cs="Times New Roman"/>
          <w:sz w:val="24"/>
          <w:szCs w:val="24"/>
          <w:lang w:val="en-US"/>
        </w:rPr>
        <w:t>(</w:t>
      </w:r>
      <w:r w:rsidRPr="002D2173">
        <w:rPr>
          <w:rFonts w:ascii="Times New Roman" w:hAnsi="Times New Roman" w:cs="Times New Roman"/>
          <w:sz w:val="24"/>
          <w:szCs w:val="24"/>
          <w:lang w:val="en-US"/>
        </w:rPr>
        <w:t>2010</w:t>
      </w:r>
      <w:r w:rsidR="002A7861">
        <w:rPr>
          <w:rFonts w:ascii="Times New Roman" w:hAnsi="Times New Roman" w:cs="Times New Roman"/>
          <w:sz w:val="24"/>
          <w:szCs w:val="24"/>
          <w:lang w:val="en-US"/>
        </w:rPr>
        <w:t>)</w:t>
      </w:r>
      <w:r w:rsidRPr="002D2173">
        <w:rPr>
          <w:rFonts w:ascii="Times New Roman" w:hAnsi="Times New Roman" w:cs="Times New Roman"/>
          <w:sz w:val="24"/>
          <w:szCs w:val="24"/>
          <w:lang w:val="en-US"/>
        </w:rPr>
        <w:t xml:space="preserve"> focused on the idiosyncratic risk </w:t>
      </w:r>
      <w:r w:rsidR="007368CC" w:rsidRPr="002D2173">
        <w:rPr>
          <w:rFonts w:ascii="Times New Roman" w:hAnsi="Times New Roman" w:cs="Times New Roman"/>
          <w:sz w:val="24"/>
          <w:szCs w:val="24"/>
          <w:lang w:val="en-US"/>
        </w:rPr>
        <w:t>while investigating relationship between quality of accounting information and idiosyncratic risk.</w:t>
      </w:r>
      <w:r w:rsidRPr="00AC1B8C">
        <w:rPr>
          <w:lang w:val="en-US"/>
        </w:rPr>
        <w:br w:type="page"/>
      </w:r>
    </w:p>
    <w:p w:rsidR="005506B6" w:rsidRPr="002D2173" w:rsidRDefault="005506B6" w:rsidP="005506B6">
      <w:pPr>
        <w:spacing w:line="360" w:lineRule="auto"/>
        <w:jc w:val="both"/>
        <w:rPr>
          <w:rStyle w:val="10"/>
          <w:lang w:val="en-US"/>
        </w:rPr>
        <w:sectPr w:rsidR="005506B6" w:rsidRPr="002D2173" w:rsidSect="00121068">
          <w:pgSz w:w="11906" w:h="16838" w:code="9"/>
          <w:pgMar w:top="1134" w:right="850" w:bottom="1134" w:left="1701" w:header="708" w:footer="708" w:gutter="0"/>
          <w:cols w:space="708"/>
          <w:titlePg/>
          <w:docGrid w:linePitch="360"/>
        </w:sectPr>
      </w:pPr>
    </w:p>
    <w:p w:rsidR="005506B6" w:rsidRPr="002D2173" w:rsidRDefault="005506B6" w:rsidP="00AE4F91">
      <w:pPr>
        <w:pStyle w:val="1"/>
        <w:rPr>
          <w:rStyle w:val="10"/>
          <w:b/>
          <w:lang w:val="en-US"/>
        </w:rPr>
      </w:pPr>
      <w:bookmarkStart w:id="7" w:name="_Toc451925546"/>
      <w:r w:rsidRPr="002D2173">
        <w:rPr>
          <w:rStyle w:val="10"/>
          <w:b/>
          <w:lang w:val="en-US"/>
        </w:rPr>
        <w:lastRenderedPageBreak/>
        <w:t>Chapter 2. Corporate disclosure</w:t>
      </w:r>
      <w:bookmarkEnd w:id="7"/>
    </w:p>
    <w:p w:rsidR="00AE4F91" w:rsidRPr="00AE4F91" w:rsidRDefault="00AE4F91" w:rsidP="00AE4F91">
      <w:pPr>
        <w:pStyle w:val="2"/>
        <w:rPr>
          <w:lang w:val="en-US"/>
        </w:rPr>
      </w:pPr>
      <w:bookmarkStart w:id="8" w:name="_Toc451925547"/>
      <w:r>
        <w:rPr>
          <w:lang w:val="en-US"/>
        </w:rPr>
        <w:t xml:space="preserve">2.1. </w:t>
      </w:r>
      <w:r w:rsidRPr="00AE4F91">
        <w:rPr>
          <w:lang w:val="en-US"/>
        </w:rPr>
        <w:t>The role of disclosure in capital markets</w:t>
      </w:r>
      <w:bookmarkEnd w:id="8"/>
      <w:r w:rsidRPr="00AE4F91">
        <w:rPr>
          <w:lang w:val="en-US"/>
        </w:rPr>
        <w:tab/>
      </w:r>
    </w:p>
    <w:p w:rsidR="00AE4F91" w:rsidRDefault="00AE4F91" w:rsidP="00AE4F91">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Corporate disclosure is a key element for the functioning of capital markets. </w:t>
      </w:r>
      <w:r w:rsidR="00BB666C">
        <w:rPr>
          <w:rFonts w:ascii="Times New Roman" w:hAnsi="Times New Roman" w:cs="Times New Roman"/>
          <w:sz w:val="24"/>
          <w:lang w:val="en-US"/>
        </w:rPr>
        <w:t>The o</w:t>
      </w:r>
      <w:r>
        <w:rPr>
          <w:rFonts w:ascii="Times New Roman" w:hAnsi="Times New Roman" w:cs="Times New Roman"/>
          <w:sz w:val="24"/>
          <w:lang w:val="en-US"/>
        </w:rPr>
        <w:t xml:space="preserve">ptimal allocation of savings to </w:t>
      </w:r>
      <w:r w:rsidRPr="000D4031">
        <w:rPr>
          <w:rFonts w:ascii="Times New Roman" w:hAnsi="Times New Roman" w:cs="Times New Roman"/>
          <w:sz w:val="24"/>
          <w:lang w:val="en-US"/>
        </w:rPr>
        <w:t>investment opportunities</w:t>
      </w:r>
      <w:r w:rsidR="00BB666C">
        <w:rPr>
          <w:rFonts w:ascii="Times New Roman" w:hAnsi="Times New Roman" w:cs="Times New Roman"/>
          <w:sz w:val="24"/>
          <w:lang w:val="en-US"/>
        </w:rPr>
        <w:t xml:space="preserve"> is one of the most crucial</w:t>
      </w:r>
      <w:r w:rsidR="00CE04DD">
        <w:rPr>
          <w:rFonts w:ascii="Times New Roman" w:hAnsi="Times New Roman" w:cs="Times New Roman"/>
          <w:sz w:val="24"/>
          <w:lang w:val="en-US"/>
        </w:rPr>
        <w:t xml:space="preserve"> issues</w:t>
      </w:r>
      <w:r w:rsidR="00BB666C">
        <w:rPr>
          <w:rFonts w:ascii="Times New Roman" w:hAnsi="Times New Roman" w:cs="Times New Roman"/>
          <w:sz w:val="24"/>
          <w:lang w:val="en-US"/>
        </w:rPr>
        <w:t xml:space="preserve"> that every economy faces</w:t>
      </w:r>
      <w:r w:rsidRPr="000D4031">
        <w:rPr>
          <w:rFonts w:ascii="Times New Roman" w:hAnsi="Times New Roman" w:cs="Times New Roman"/>
          <w:sz w:val="24"/>
          <w:lang w:val="en-US"/>
        </w:rPr>
        <w:t>.</w:t>
      </w:r>
      <w:r>
        <w:rPr>
          <w:rFonts w:ascii="Times New Roman" w:hAnsi="Times New Roman" w:cs="Times New Roman"/>
          <w:sz w:val="24"/>
          <w:lang w:val="en-US"/>
        </w:rPr>
        <w:t xml:space="preserve"> Typically, there are many companies that want to attract financial resources to fund their activities as well as savers that would like to allocate their</w:t>
      </w:r>
      <w:r w:rsidRPr="008C74CB">
        <w:rPr>
          <w:rFonts w:ascii="Times New Roman" w:hAnsi="Times New Roman" w:cs="Times New Roman"/>
          <w:sz w:val="24"/>
          <w:lang w:val="en-US"/>
        </w:rPr>
        <w:t xml:space="preserve"> capital with the expectation of a future financial return.</w:t>
      </w:r>
      <w:r>
        <w:rPr>
          <w:rFonts w:ascii="Times New Roman" w:hAnsi="Times New Roman" w:cs="Times New Roman"/>
          <w:sz w:val="24"/>
          <w:lang w:val="en-US"/>
        </w:rPr>
        <w:t xml:space="preserve"> </w:t>
      </w:r>
      <w:r w:rsidR="00BB666C">
        <w:rPr>
          <w:rFonts w:ascii="Times New Roman" w:hAnsi="Times New Roman" w:cs="Times New Roman"/>
          <w:sz w:val="24"/>
          <w:lang w:val="en-US"/>
        </w:rPr>
        <w:t xml:space="preserve">However, there are at least two reason that prevent </w:t>
      </w:r>
      <w:r>
        <w:rPr>
          <w:rFonts w:ascii="Times New Roman" w:hAnsi="Times New Roman" w:cs="Times New Roman"/>
          <w:sz w:val="24"/>
          <w:lang w:val="en-US"/>
        </w:rPr>
        <w:t>both parties to m</w:t>
      </w:r>
      <w:r w:rsidR="00BB666C">
        <w:rPr>
          <w:rFonts w:ascii="Times New Roman" w:hAnsi="Times New Roman" w:cs="Times New Roman"/>
          <w:sz w:val="24"/>
          <w:lang w:val="en-US"/>
        </w:rPr>
        <w:t>ake business with each other and match</w:t>
      </w:r>
      <w:r>
        <w:rPr>
          <w:rFonts w:ascii="Times New Roman" w:hAnsi="Times New Roman" w:cs="Times New Roman"/>
          <w:sz w:val="24"/>
          <w:lang w:val="en-US"/>
        </w:rPr>
        <w:t xml:space="preserve"> savings with investment opportunit</w:t>
      </w:r>
      <w:r w:rsidR="00766714">
        <w:rPr>
          <w:rFonts w:ascii="Times New Roman" w:hAnsi="Times New Roman" w:cs="Times New Roman"/>
          <w:sz w:val="24"/>
          <w:lang w:val="en-US"/>
        </w:rPr>
        <w:t>ies. First, there is so called information problem</w:t>
      </w:r>
      <w:r w:rsidR="008272F8">
        <w:rPr>
          <w:rFonts w:ascii="Times New Roman" w:hAnsi="Times New Roman" w:cs="Times New Roman"/>
          <w:sz w:val="24"/>
          <w:lang w:val="en-US"/>
        </w:rPr>
        <w:t>,</w:t>
      </w:r>
      <w:r>
        <w:rPr>
          <w:rFonts w:ascii="Times New Roman" w:hAnsi="Times New Roman" w:cs="Times New Roman"/>
          <w:sz w:val="24"/>
          <w:lang w:val="en-US"/>
        </w:rPr>
        <w:t xml:space="preserve"> when companies have better information about business investment opportunities than </w:t>
      </w:r>
      <w:r w:rsidR="00BB666C">
        <w:rPr>
          <w:rFonts w:ascii="Times New Roman" w:hAnsi="Times New Roman" w:cs="Times New Roman"/>
          <w:sz w:val="24"/>
          <w:lang w:val="en-US"/>
        </w:rPr>
        <w:t>investors do</w:t>
      </w:r>
      <w:r w:rsidR="00766714">
        <w:rPr>
          <w:rFonts w:ascii="Times New Roman" w:hAnsi="Times New Roman" w:cs="Times New Roman"/>
          <w:sz w:val="24"/>
          <w:lang w:val="en-US"/>
        </w:rPr>
        <w:t>. Second is the agency problem</w:t>
      </w:r>
      <w:r w:rsidR="008272F8">
        <w:rPr>
          <w:rFonts w:ascii="Times New Roman" w:hAnsi="Times New Roman" w:cs="Times New Roman"/>
          <w:sz w:val="24"/>
          <w:lang w:val="en-US"/>
        </w:rPr>
        <w:t>,</w:t>
      </w:r>
      <w:r>
        <w:rPr>
          <w:rFonts w:ascii="Times New Roman" w:hAnsi="Times New Roman" w:cs="Times New Roman"/>
          <w:sz w:val="24"/>
          <w:lang w:val="en-US"/>
        </w:rPr>
        <w:t xml:space="preserve"> when </w:t>
      </w:r>
      <w:r w:rsidRPr="008A23C6">
        <w:rPr>
          <w:rFonts w:ascii="Times New Roman" w:hAnsi="Times New Roman" w:cs="Times New Roman"/>
          <w:sz w:val="24"/>
          <w:lang w:val="en-US"/>
        </w:rPr>
        <w:t xml:space="preserve">there is a conflict of interest between the needs of the </w:t>
      </w:r>
      <w:r>
        <w:rPr>
          <w:rFonts w:ascii="Times New Roman" w:hAnsi="Times New Roman" w:cs="Times New Roman"/>
          <w:sz w:val="24"/>
          <w:lang w:val="en-US"/>
        </w:rPr>
        <w:t>investors</w:t>
      </w:r>
      <w:r w:rsidRPr="008A23C6">
        <w:rPr>
          <w:rFonts w:ascii="Times New Roman" w:hAnsi="Times New Roman" w:cs="Times New Roman"/>
          <w:sz w:val="24"/>
          <w:lang w:val="en-US"/>
        </w:rPr>
        <w:t xml:space="preserve"> and the needs of the </w:t>
      </w:r>
      <w:r>
        <w:rPr>
          <w:rFonts w:ascii="Times New Roman" w:hAnsi="Times New Roman" w:cs="Times New Roman"/>
          <w:sz w:val="24"/>
          <w:lang w:val="en-US"/>
        </w:rPr>
        <w:t>company’s management</w:t>
      </w:r>
      <w:r w:rsidRPr="008A23C6">
        <w:rPr>
          <w:rFonts w:ascii="Times New Roman" w:hAnsi="Times New Roman" w:cs="Times New Roman"/>
          <w:sz w:val="24"/>
          <w:lang w:val="en-US"/>
        </w:rPr>
        <w:t>.</w:t>
      </w:r>
    </w:p>
    <w:p w:rsidR="00AE4F91" w:rsidRDefault="00766714" w:rsidP="00AE4F91">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w:t>
      </w:r>
      <w:r w:rsidR="00AE4F91">
        <w:rPr>
          <w:rFonts w:ascii="Times New Roman" w:hAnsi="Times New Roman" w:cs="Times New Roman"/>
          <w:sz w:val="24"/>
          <w:lang w:val="en-US"/>
        </w:rPr>
        <w:t>inf</w:t>
      </w:r>
      <w:r w:rsidR="006B7FCD">
        <w:rPr>
          <w:rFonts w:ascii="Times New Roman" w:hAnsi="Times New Roman" w:cs="Times New Roman"/>
          <w:sz w:val="24"/>
          <w:lang w:val="en-US"/>
        </w:rPr>
        <w:t>ormation problem arises when investors</w:t>
      </w:r>
      <w:r w:rsidR="00AE4F91">
        <w:rPr>
          <w:rFonts w:ascii="Times New Roman" w:hAnsi="Times New Roman" w:cs="Times New Roman"/>
          <w:sz w:val="24"/>
          <w:lang w:val="en-US"/>
        </w:rPr>
        <w:t xml:space="preserve"> do not have the same degree of </w:t>
      </w:r>
      <w:r w:rsidR="00AE4F91" w:rsidRPr="00A7342B">
        <w:rPr>
          <w:rFonts w:ascii="Times New Roman" w:hAnsi="Times New Roman" w:cs="Times New Roman"/>
          <w:sz w:val="24"/>
          <w:lang w:val="en-US"/>
        </w:rPr>
        <w:t>information</w:t>
      </w:r>
      <w:r w:rsidR="006B7FCD">
        <w:rPr>
          <w:rFonts w:ascii="Times New Roman" w:hAnsi="Times New Roman" w:cs="Times New Roman"/>
          <w:sz w:val="24"/>
          <w:lang w:val="en-US"/>
        </w:rPr>
        <w:t xml:space="preserve"> about company’s activities</w:t>
      </w:r>
      <w:r w:rsidR="00AE4F91" w:rsidRPr="00A7342B">
        <w:rPr>
          <w:rFonts w:ascii="Times New Roman" w:hAnsi="Times New Roman" w:cs="Times New Roman"/>
          <w:sz w:val="24"/>
          <w:lang w:val="en-US"/>
        </w:rPr>
        <w:t xml:space="preserve"> necessary to </w:t>
      </w:r>
      <w:r w:rsidR="006B7FCD">
        <w:rPr>
          <w:rFonts w:ascii="Times New Roman" w:hAnsi="Times New Roman" w:cs="Times New Roman"/>
          <w:sz w:val="24"/>
          <w:lang w:val="en-US"/>
        </w:rPr>
        <w:t xml:space="preserve">make a wise investment </w:t>
      </w:r>
      <w:r w:rsidR="00AE4F91" w:rsidRPr="00A7342B">
        <w:rPr>
          <w:rFonts w:ascii="Times New Roman" w:hAnsi="Times New Roman" w:cs="Times New Roman"/>
          <w:sz w:val="24"/>
          <w:lang w:val="en-US"/>
        </w:rPr>
        <w:t>decision.</w:t>
      </w:r>
      <w:r w:rsidR="00AE4F91">
        <w:rPr>
          <w:rFonts w:ascii="Times New Roman" w:hAnsi="Times New Roman" w:cs="Times New Roman"/>
          <w:sz w:val="24"/>
          <w:lang w:val="en-US"/>
        </w:rPr>
        <w:t xml:space="preserve"> </w:t>
      </w:r>
      <w:r w:rsidR="006B7FCD">
        <w:rPr>
          <w:rFonts w:ascii="Times New Roman" w:hAnsi="Times New Roman" w:cs="Times New Roman"/>
          <w:sz w:val="24"/>
          <w:lang w:val="en-US"/>
        </w:rPr>
        <w:t>The problem</w:t>
      </w:r>
      <w:r w:rsidR="00AE4F91" w:rsidRPr="007A7AF7">
        <w:rPr>
          <w:rFonts w:ascii="Times New Roman" w:hAnsi="Times New Roman" w:cs="Times New Roman"/>
          <w:sz w:val="24"/>
          <w:lang w:val="en-US"/>
        </w:rPr>
        <w:t xml:space="preserve"> of information asymmetry between the buyer and </w:t>
      </w:r>
      <w:hyperlink r:id="rId17" w:history="1">
        <w:r w:rsidR="00AE4F91" w:rsidRPr="007A7AF7">
          <w:rPr>
            <w:rFonts w:ascii="Times New Roman" w:hAnsi="Times New Roman" w:cs="Times New Roman"/>
            <w:sz w:val="24"/>
            <w:lang w:val="en-US"/>
          </w:rPr>
          <w:t>seller</w:t>
        </w:r>
      </w:hyperlink>
      <w:r w:rsidR="00AE4F91" w:rsidRPr="007A7AF7">
        <w:rPr>
          <w:rFonts w:ascii="Times New Roman" w:hAnsi="Times New Roman" w:cs="Times New Roman"/>
          <w:sz w:val="24"/>
          <w:lang w:val="en-US"/>
        </w:rPr>
        <w:t> </w:t>
      </w:r>
      <w:r>
        <w:rPr>
          <w:rFonts w:ascii="Times New Roman" w:hAnsi="Times New Roman" w:cs="Times New Roman"/>
          <w:sz w:val="24"/>
          <w:lang w:val="en-US"/>
        </w:rPr>
        <w:t>of an investment also called “</w:t>
      </w:r>
      <w:r w:rsidR="00AE4F91">
        <w:rPr>
          <w:rFonts w:ascii="Times New Roman" w:hAnsi="Times New Roman" w:cs="Times New Roman"/>
          <w:sz w:val="24"/>
          <w:lang w:val="en-US"/>
        </w:rPr>
        <w:t>l</w:t>
      </w:r>
      <w:r w:rsidR="00AE4F91" w:rsidRPr="007A7AF7">
        <w:rPr>
          <w:rFonts w:ascii="Times New Roman" w:hAnsi="Times New Roman" w:cs="Times New Roman"/>
          <w:sz w:val="24"/>
          <w:lang w:val="en-US"/>
        </w:rPr>
        <w:t>emons</w:t>
      </w:r>
      <w:r>
        <w:rPr>
          <w:rFonts w:ascii="Times New Roman" w:hAnsi="Times New Roman" w:cs="Times New Roman"/>
          <w:sz w:val="24"/>
          <w:lang w:val="en-US"/>
        </w:rPr>
        <w:t>”</w:t>
      </w:r>
      <w:r w:rsidR="00AE4F91" w:rsidRPr="007A7AF7">
        <w:rPr>
          <w:rFonts w:ascii="Times New Roman" w:hAnsi="Times New Roman" w:cs="Times New Roman"/>
          <w:sz w:val="24"/>
          <w:lang w:val="en-US"/>
        </w:rPr>
        <w:t xml:space="preserve"> problem was </w:t>
      </w:r>
      <w:r w:rsidR="00AE4F91">
        <w:rPr>
          <w:rFonts w:ascii="Times New Roman" w:hAnsi="Times New Roman" w:cs="Times New Roman"/>
          <w:sz w:val="24"/>
          <w:lang w:val="en-US"/>
        </w:rPr>
        <w:t xml:space="preserve">discussed </w:t>
      </w:r>
      <w:r w:rsidR="00AE4F91" w:rsidRPr="007A7AF7">
        <w:rPr>
          <w:rFonts w:ascii="Times New Roman" w:hAnsi="Times New Roman" w:cs="Times New Roman"/>
          <w:sz w:val="24"/>
          <w:lang w:val="en-US"/>
        </w:rPr>
        <w:t>by a 1970 research paper by </w:t>
      </w:r>
      <w:hyperlink r:id="rId18" w:history="1">
        <w:r w:rsidR="00AE4F91" w:rsidRPr="007A7AF7">
          <w:rPr>
            <w:rFonts w:ascii="Times New Roman" w:hAnsi="Times New Roman" w:cs="Times New Roman"/>
            <w:sz w:val="24"/>
            <w:lang w:val="en-US"/>
          </w:rPr>
          <w:t>economist</w:t>
        </w:r>
      </w:hyperlink>
      <w:r w:rsidR="00AE4F91" w:rsidRPr="007A7AF7">
        <w:rPr>
          <w:rFonts w:ascii="Times New Roman" w:hAnsi="Times New Roman" w:cs="Times New Roman"/>
          <w:sz w:val="24"/>
          <w:lang w:val="en-US"/>
        </w:rPr>
        <w:t> George Akerlof.</w:t>
      </w:r>
      <w:r w:rsidR="00AE4F91">
        <w:rPr>
          <w:rFonts w:ascii="Times New Roman" w:hAnsi="Times New Roman" w:cs="Times New Roman"/>
          <w:sz w:val="24"/>
          <w:lang w:val="en-US"/>
        </w:rPr>
        <w:t xml:space="preserve"> The </w:t>
      </w:r>
      <w:r>
        <w:rPr>
          <w:rFonts w:ascii="Times New Roman" w:hAnsi="Times New Roman" w:cs="Times New Roman"/>
          <w:sz w:val="24"/>
          <w:lang w:val="en-US"/>
        </w:rPr>
        <w:t>“</w:t>
      </w:r>
      <w:r w:rsidR="00AE4F91">
        <w:rPr>
          <w:rFonts w:ascii="Times New Roman" w:hAnsi="Times New Roman" w:cs="Times New Roman"/>
          <w:sz w:val="24"/>
          <w:lang w:val="en-US"/>
        </w:rPr>
        <w:t>lemons</w:t>
      </w:r>
      <w:r>
        <w:rPr>
          <w:rFonts w:ascii="Times New Roman" w:hAnsi="Times New Roman" w:cs="Times New Roman"/>
          <w:sz w:val="24"/>
          <w:lang w:val="en-US"/>
        </w:rPr>
        <w:t>”</w:t>
      </w:r>
      <w:r w:rsidR="00AE4F91">
        <w:rPr>
          <w:rFonts w:ascii="Times New Roman" w:hAnsi="Times New Roman" w:cs="Times New Roman"/>
          <w:sz w:val="24"/>
          <w:lang w:val="en-US"/>
        </w:rPr>
        <w:t xml:space="preserve"> problem may potentially lead to </w:t>
      </w:r>
      <w:r w:rsidR="006B7FCD">
        <w:rPr>
          <w:rFonts w:ascii="Times New Roman" w:hAnsi="Times New Roman" w:cs="Times New Roman"/>
          <w:sz w:val="24"/>
          <w:lang w:val="en-US"/>
        </w:rPr>
        <w:t>ineffective</w:t>
      </w:r>
      <w:r w:rsidR="00AE4F91" w:rsidRPr="00240078">
        <w:rPr>
          <w:rFonts w:ascii="Times New Roman" w:hAnsi="Times New Roman" w:cs="Times New Roman"/>
          <w:sz w:val="24"/>
          <w:lang w:val="en-US"/>
        </w:rPr>
        <w:t xml:space="preserve"> functioning of the capital market</w:t>
      </w:r>
      <w:r w:rsidR="006B7FCD">
        <w:rPr>
          <w:rFonts w:ascii="Times New Roman" w:hAnsi="Times New Roman" w:cs="Times New Roman"/>
          <w:sz w:val="24"/>
          <w:lang w:val="en-US"/>
        </w:rPr>
        <w:t xml:space="preserve"> or even to its failure.</w:t>
      </w:r>
      <w:r w:rsidR="00AE4F91">
        <w:rPr>
          <w:rFonts w:ascii="Times New Roman" w:hAnsi="Times New Roman" w:cs="Times New Roman"/>
          <w:sz w:val="24"/>
          <w:lang w:val="en-US"/>
        </w:rPr>
        <w:t xml:space="preserve"> For example, </w:t>
      </w:r>
      <w:r w:rsidR="006B7FCD">
        <w:rPr>
          <w:rFonts w:ascii="Times New Roman" w:hAnsi="Times New Roman" w:cs="Times New Roman"/>
          <w:sz w:val="24"/>
          <w:lang w:val="en-US"/>
        </w:rPr>
        <w:t>let’s think about the</w:t>
      </w:r>
      <w:r w:rsidR="00AE4F91">
        <w:rPr>
          <w:rFonts w:ascii="Times New Roman" w:hAnsi="Times New Roman" w:cs="Times New Roman"/>
          <w:sz w:val="24"/>
          <w:lang w:val="en-US"/>
        </w:rPr>
        <w:t xml:space="preserve"> situation where half of banks perform significantly riskier activities than the other half. Investors are rational and make their investment decisions based on the information that they possess. If investors can not distinguish the riskiness of the investment opportunities they will assess it at the average level. </w:t>
      </w:r>
      <w:r w:rsidR="006B7FCD">
        <w:rPr>
          <w:rFonts w:ascii="Times New Roman" w:hAnsi="Times New Roman" w:cs="Times New Roman"/>
          <w:sz w:val="24"/>
          <w:lang w:val="en-US"/>
        </w:rPr>
        <w:t>Hence</w:t>
      </w:r>
      <w:r w:rsidR="00AE4F91" w:rsidRPr="007A7AF7">
        <w:rPr>
          <w:rFonts w:ascii="Times New Roman" w:hAnsi="Times New Roman" w:cs="Times New Roman"/>
          <w:sz w:val="24"/>
          <w:lang w:val="en-US"/>
        </w:rPr>
        <w:t xml:space="preserve">, if the </w:t>
      </w:r>
      <w:r w:rsidR="00AE4F91">
        <w:rPr>
          <w:rFonts w:ascii="Times New Roman" w:hAnsi="Times New Roman" w:cs="Times New Roman"/>
          <w:sz w:val="24"/>
          <w:lang w:val="en-US"/>
        </w:rPr>
        <w:t>“</w:t>
      </w:r>
      <w:r w:rsidR="00AE4F91" w:rsidRPr="007A7AF7">
        <w:rPr>
          <w:rFonts w:ascii="Times New Roman" w:hAnsi="Times New Roman" w:cs="Times New Roman"/>
          <w:sz w:val="24"/>
          <w:lang w:val="en-US"/>
        </w:rPr>
        <w:t>lemons</w:t>
      </w:r>
      <w:r w:rsidR="00AE4F91">
        <w:rPr>
          <w:rFonts w:ascii="Times New Roman" w:hAnsi="Times New Roman" w:cs="Times New Roman"/>
          <w:sz w:val="24"/>
          <w:lang w:val="en-US"/>
        </w:rPr>
        <w:t>”</w:t>
      </w:r>
      <w:r w:rsidR="00AE4F91" w:rsidRPr="007A7AF7">
        <w:rPr>
          <w:rFonts w:ascii="Times New Roman" w:hAnsi="Times New Roman" w:cs="Times New Roman"/>
          <w:sz w:val="24"/>
          <w:lang w:val="en-US"/>
        </w:rPr>
        <w:t xml:space="preserve"> problem </w:t>
      </w:r>
      <w:r w:rsidR="006B7FCD">
        <w:rPr>
          <w:rFonts w:ascii="Times New Roman" w:hAnsi="Times New Roman" w:cs="Times New Roman"/>
          <w:sz w:val="24"/>
          <w:lang w:val="en-US"/>
        </w:rPr>
        <w:t>exists in the economy then</w:t>
      </w:r>
      <w:r w:rsidR="00AE4F91" w:rsidRPr="007A7AF7">
        <w:rPr>
          <w:rFonts w:ascii="Times New Roman" w:hAnsi="Times New Roman" w:cs="Times New Roman"/>
          <w:sz w:val="24"/>
          <w:lang w:val="en-US"/>
        </w:rPr>
        <w:t xml:space="preserve"> the capital market will </w:t>
      </w:r>
      <w:r w:rsidR="006B7FCD">
        <w:rPr>
          <w:rFonts w:ascii="Times New Roman" w:hAnsi="Times New Roman" w:cs="Times New Roman"/>
          <w:sz w:val="24"/>
          <w:lang w:val="en-US"/>
        </w:rPr>
        <w:t xml:space="preserve">reasonably </w:t>
      </w:r>
      <w:r w:rsidR="00AE4F91" w:rsidRPr="007A7AF7">
        <w:rPr>
          <w:rFonts w:ascii="Times New Roman" w:hAnsi="Times New Roman" w:cs="Times New Roman"/>
          <w:sz w:val="24"/>
          <w:lang w:val="en-US"/>
        </w:rPr>
        <w:t xml:space="preserve">undervalue some good </w:t>
      </w:r>
      <w:r w:rsidR="00AE4F91">
        <w:rPr>
          <w:rFonts w:ascii="Times New Roman" w:hAnsi="Times New Roman" w:cs="Times New Roman"/>
          <w:sz w:val="24"/>
          <w:lang w:val="en-US"/>
        </w:rPr>
        <w:t>investments opportunities</w:t>
      </w:r>
      <w:r w:rsidR="00AE4F91" w:rsidRPr="007A7AF7">
        <w:rPr>
          <w:rFonts w:ascii="Times New Roman" w:hAnsi="Times New Roman" w:cs="Times New Roman"/>
          <w:sz w:val="24"/>
          <w:lang w:val="en-US"/>
        </w:rPr>
        <w:t xml:space="preserve"> and overvalue some bad </w:t>
      </w:r>
      <w:r w:rsidR="00AE4F91">
        <w:rPr>
          <w:rFonts w:ascii="Times New Roman" w:hAnsi="Times New Roman" w:cs="Times New Roman"/>
          <w:sz w:val="24"/>
          <w:lang w:val="en-US"/>
        </w:rPr>
        <w:t>investment opportunities</w:t>
      </w:r>
      <w:r w:rsidR="00AE4F91" w:rsidRPr="007A7AF7">
        <w:rPr>
          <w:rFonts w:ascii="Times New Roman" w:hAnsi="Times New Roman" w:cs="Times New Roman"/>
          <w:sz w:val="24"/>
          <w:lang w:val="en-US"/>
        </w:rPr>
        <w:t xml:space="preserve"> relative to the information available to </w:t>
      </w:r>
      <w:r w:rsidR="00AE4F91">
        <w:rPr>
          <w:rFonts w:ascii="Times New Roman" w:hAnsi="Times New Roman" w:cs="Times New Roman"/>
          <w:sz w:val="24"/>
          <w:lang w:val="en-US"/>
        </w:rPr>
        <w:t>investors</w:t>
      </w:r>
      <w:r w:rsidR="00AE4F91" w:rsidRPr="007A7AF7">
        <w:rPr>
          <w:rFonts w:ascii="Times New Roman" w:hAnsi="Times New Roman" w:cs="Times New Roman"/>
          <w:sz w:val="24"/>
          <w:lang w:val="en-US"/>
        </w:rPr>
        <w:t>.</w:t>
      </w:r>
      <w:r w:rsidR="006B7FCD">
        <w:rPr>
          <w:rStyle w:val="a6"/>
          <w:rFonts w:ascii="Times New Roman" w:hAnsi="Times New Roman" w:cs="Times New Roman"/>
          <w:sz w:val="24"/>
          <w:lang w:val="en-US"/>
        </w:rPr>
        <w:footnoteReference w:id="10"/>
      </w:r>
    </w:p>
    <w:p w:rsidR="00AE4F91" w:rsidRDefault="00AE4F91" w:rsidP="00AE4F91">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One way to mitigate the </w:t>
      </w:r>
      <w:r w:rsidR="002677CE">
        <w:rPr>
          <w:rFonts w:ascii="Times New Roman" w:hAnsi="Times New Roman" w:cs="Times New Roman"/>
          <w:sz w:val="24"/>
          <w:lang w:val="en-US"/>
        </w:rPr>
        <w:t>“</w:t>
      </w:r>
      <w:r>
        <w:rPr>
          <w:rFonts w:ascii="Times New Roman" w:hAnsi="Times New Roman" w:cs="Times New Roman"/>
          <w:sz w:val="24"/>
          <w:lang w:val="en-US"/>
        </w:rPr>
        <w:t>lemons</w:t>
      </w:r>
      <w:r w:rsidR="002677CE">
        <w:rPr>
          <w:rFonts w:ascii="Times New Roman" w:hAnsi="Times New Roman" w:cs="Times New Roman"/>
          <w:sz w:val="24"/>
          <w:lang w:val="en-US"/>
        </w:rPr>
        <w:t>”</w:t>
      </w:r>
      <w:r>
        <w:rPr>
          <w:rFonts w:ascii="Times New Roman" w:hAnsi="Times New Roman" w:cs="Times New Roman"/>
          <w:sz w:val="24"/>
          <w:lang w:val="en-US"/>
        </w:rPr>
        <w:t xml:space="preserve"> problem is </w:t>
      </w:r>
      <w:r w:rsidR="002677CE">
        <w:rPr>
          <w:rFonts w:ascii="CMR12" w:hAnsi="CMR12" w:cs="CMR12"/>
          <w:sz w:val="24"/>
          <w:szCs w:val="24"/>
          <w:lang w:val="en-US"/>
        </w:rPr>
        <w:t>solid</w:t>
      </w:r>
      <w:r w:rsidRPr="009003B0">
        <w:rPr>
          <w:rFonts w:ascii="CMR12" w:hAnsi="CMR12" w:cs="CMR12"/>
          <w:sz w:val="24"/>
          <w:szCs w:val="24"/>
          <w:lang w:val="en-US"/>
        </w:rPr>
        <w:t>, timely, and granular</w:t>
      </w:r>
      <w:r>
        <w:rPr>
          <w:rFonts w:cs="CMR12"/>
          <w:sz w:val="24"/>
          <w:szCs w:val="24"/>
          <w:lang w:val="en-US"/>
        </w:rPr>
        <w:t xml:space="preserve"> </w:t>
      </w:r>
      <w:r w:rsidRPr="009003B0">
        <w:rPr>
          <w:rFonts w:ascii="CMR12" w:hAnsi="CMR12" w:cs="CMR12"/>
          <w:sz w:val="24"/>
          <w:szCs w:val="24"/>
          <w:lang w:val="en-US"/>
        </w:rPr>
        <w:t>information disclosure</w:t>
      </w:r>
      <w:r>
        <w:rPr>
          <w:rFonts w:ascii="CMR12" w:hAnsi="CMR12" w:cs="CMR12"/>
          <w:sz w:val="24"/>
          <w:szCs w:val="24"/>
          <w:lang w:val="en-US"/>
        </w:rPr>
        <w:t>.</w:t>
      </w:r>
      <w:r w:rsidR="002677CE">
        <w:rPr>
          <w:rFonts w:ascii="CMR12" w:hAnsi="CMR12" w:cs="CMR12"/>
          <w:sz w:val="24"/>
          <w:szCs w:val="24"/>
          <w:lang w:val="en-US"/>
        </w:rPr>
        <w:t xml:space="preserve"> H</w:t>
      </w:r>
      <w:r>
        <w:rPr>
          <w:rFonts w:ascii="CMR12" w:hAnsi="CMR12" w:cs="CMR12"/>
          <w:sz w:val="24"/>
          <w:szCs w:val="24"/>
          <w:lang w:val="en-US"/>
        </w:rPr>
        <w:t xml:space="preserve">igher disclosure </w:t>
      </w:r>
      <w:r w:rsidR="00EC1E53">
        <w:rPr>
          <w:rFonts w:ascii="CMR12" w:hAnsi="CMR12" w:cs="CMR12"/>
          <w:sz w:val="24"/>
          <w:szCs w:val="24"/>
          <w:lang w:val="en-US"/>
        </w:rPr>
        <w:t>decreases the level of</w:t>
      </w:r>
      <w:r w:rsidRPr="009003B0">
        <w:rPr>
          <w:rFonts w:ascii="Times New Roman" w:hAnsi="Times New Roman" w:cs="Times New Roman"/>
          <w:sz w:val="24"/>
          <w:lang w:val="en-US"/>
        </w:rPr>
        <w:t xml:space="preserve"> information asymmetries between the bank manage</w:t>
      </w:r>
      <w:r>
        <w:rPr>
          <w:rFonts w:ascii="Times New Roman" w:hAnsi="Times New Roman" w:cs="Times New Roman"/>
          <w:sz w:val="24"/>
          <w:lang w:val="en-US"/>
        </w:rPr>
        <w:t>ment and investors. This in turn may aff</w:t>
      </w:r>
      <w:r w:rsidRPr="009003B0">
        <w:rPr>
          <w:rFonts w:ascii="Times New Roman" w:hAnsi="Times New Roman" w:cs="Times New Roman"/>
          <w:sz w:val="24"/>
          <w:lang w:val="en-US"/>
        </w:rPr>
        <w:t xml:space="preserve">ect investors' assessment of the riskiness of the </w:t>
      </w:r>
      <w:r>
        <w:rPr>
          <w:rFonts w:ascii="Times New Roman" w:hAnsi="Times New Roman" w:cs="Times New Roman"/>
          <w:sz w:val="24"/>
          <w:lang w:val="en-US"/>
        </w:rPr>
        <w:t>fi</w:t>
      </w:r>
      <w:r w:rsidRPr="009003B0">
        <w:rPr>
          <w:rFonts w:ascii="Times New Roman" w:hAnsi="Times New Roman" w:cs="Times New Roman"/>
          <w:sz w:val="24"/>
          <w:lang w:val="en-US"/>
        </w:rPr>
        <w:t xml:space="preserve">rm </w:t>
      </w:r>
      <w:r w:rsidR="00EC1E53">
        <w:rPr>
          <w:rFonts w:ascii="Times New Roman" w:hAnsi="Times New Roman" w:cs="Times New Roman"/>
          <w:sz w:val="24"/>
          <w:lang w:val="en-US"/>
        </w:rPr>
        <w:t>and</w:t>
      </w:r>
      <w:r>
        <w:rPr>
          <w:rFonts w:ascii="CMR12" w:hAnsi="CMR12" w:cs="CMR12"/>
          <w:sz w:val="24"/>
          <w:szCs w:val="24"/>
          <w:lang w:val="en-US"/>
        </w:rPr>
        <w:t xml:space="preserve"> </w:t>
      </w:r>
      <w:r w:rsidRPr="009003B0">
        <w:rPr>
          <w:rFonts w:ascii="Times New Roman" w:hAnsi="Times New Roman" w:cs="Times New Roman"/>
          <w:sz w:val="24"/>
          <w:lang w:val="en-US"/>
        </w:rPr>
        <w:t xml:space="preserve">reduce the </w:t>
      </w:r>
      <w:r w:rsidR="004622AE">
        <w:rPr>
          <w:rFonts w:ascii="Times New Roman" w:hAnsi="Times New Roman" w:cs="Times New Roman"/>
          <w:sz w:val="24"/>
          <w:lang w:val="en-US"/>
        </w:rPr>
        <w:t>diversity</w:t>
      </w:r>
      <w:r w:rsidRPr="009003B0">
        <w:rPr>
          <w:rFonts w:ascii="Times New Roman" w:hAnsi="Times New Roman" w:cs="Times New Roman"/>
          <w:sz w:val="24"/>
          <w:lang w:val="en-US"/>
        </w:rPr>
        <w:t xml:space="preserve"> of </w:t>
      </w:r>
      <w:r w:rsidR="00EC1E53">
        <w:rPr>
          <w:rFonts w:ascii="Times New Roman" w:hAnsi="Times New Roman" w:cs="Times New Roman"/>
          <w:sz w:val="24"/>
          <w:lang w:val="en-US"/>
        </w:rPr>
        <w:t>judgments</w:t>
      </w:r>
      <w:r w:rsidRPr="009003B0">
        <w:rPr>
          <w:rFonts w:ascii="Times New Roman" w:hAnsi="Times New Roman" w:cs="Times New Roman"/>
          <w:sz w:val="24"/>
          <w:lang w:val="en-US"/>
        </w:rPr>
        <w:t xml:space="preserve"> about the true value of the </w:t>
      </w:r>
      <w:r>
        <w:rPr>
          <w:rFonts w:ascii="Times New Roman" w:hAnsi="Times New Roman" w:cs="Times New Roman"/>
          <w:sz w:val="24"/>
          <w:lang w:val="en-US"/>
        </w:rPr>
        <w:t>fi</w:t>
      </w:r>
      <w:r w:rsidRPr="009003B0">
        <w:rPr>
          <w:rFonts w:ascii="Times New Roman" w:hAnsi="Times New Roman" w:cs="Times New Roman"/>
          <w:sz w:val="24"/>
          <w:lang w:val="en-US"/>
        </w:rPr>
        <w:t>rm</w:t>
      </w:r>
      <w:r>
        <w:rPr>
          <w:rFonts w:ascii="Times New Roman" w:hAnsi="Times New Roman" w:cs="Times New Roman"/>
          <w:sz w:val="24"/>
          <w:lang w:val="en-US"/>
        </w:rPr>
        <w:t>.</w:t>
      </w:r>
    </w:p>
    <w:p w:rsidR="00AE4F91" w:rsidRDefault="00AE4F91" w:rsidP="009E7B1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lang w:val="en-US"/>
        </w:rPr>
        <w:t xml:space="preserve">Better disclosure can </w:t>
      </w:r>
      <w:r w:rsidR="002677CE">
        <w:rPr>
          <w:rFonts w:ascii="Times New Roman" w:hAnsi="Times New Roman" w:cs="Times New Roman"/>
          <w:sz w:val="24"/>
          <w:lang w:val="en-US"/>
        </w:rPr>
        <w:t>support</w:t>
      </w:r>
      <w:r>
        <w:rPr>
          <w:rFonts w:ascii="Times New Roman" w:hAnsi="Times New Roman" w:cs="Times New Roman"/>
          <w:sz w:val="24"/>
          <w:lang w:val="en-US"/>
        </w:rPr>
        <w:t xml:space="preserve"> market discipline </w:t>
      </w:r>
      <w:r w:rsidRPr="00C646CD">
        <w:rPr>
          <w:rFonts w:ascii="Times New Roman" w:hAnsi="Times New Roman" w:cs="Times New Roman"/>
          <w:sz w:val="24"/>
          <w:szCs w:val="24"/>
          <w:lang w:val="en-US"/>
        </w:rPr>
        <w:t xml:space="preserve">and </w:t>
      </w:r>
      <w:r w:rsidR="002677CE">
        <w:rPr>
          <w:rFonts w:ascii="Times New Roman" w:hAnsi="Times New Roman" w:cs="Times New Roman"/>
          <w:sz w:val="24"/>
          <w:szCs w:val="24"/>
          <w:lang w:val="en-US"/>
        </w:rPr>
        <w:t>increase</w:t>
      </w:r>
      <w:r w:rsidRPr="00C646CD">
        <w:rPr>
          <w:rFonts w:ascii="Times New Roman" w:hAnsi="Times New Roman" w:cs="Times New Roman"/>
          <w:sz w:val="24"/>
          <w:szCs w:val="24"/>
          <w:lang w:val="en-US"/>
        </w:rPr>
        <w:t xml:space="preserve"> financial stability</w:t>
      </w:r>
      <w:r>
        <w:rPr>
          <w:rFonts w:ascii="Times New Roman" w:hAnsi="Times New Roman" w:cs="Times New Roman"/>
          <w:sz w:val="24"/>
          <w:szCs w:val="24"/>
          <w:lang w:val="en-US"/>
        </w:rPr>
        <w:t xml:space="preserve"> in non-crisis times. Good information can help investors to price risks more accurately and this in turn can act </w:t>
      </w:r>
      <w:r w:rsidRPr="00C646CD">
        <w:rPr>
          <w:rFonts w:ascii="Times New Roman" w:hAnsi="Times New Roman" w:cs="Times New Roman"/>
          <w:sz w:val="24"/>
          <w:szCs w:val="24"/>
          <w:lang w:val="en-US"/>
        </w:rPr>
        <w:t xml:space="preserve">as a disciplining force on banks. </w:t>
      </w:r>
      <w:r w:rsidR="009E7B11">
        <w:rPr>
          <w:rFonts w:ascii="Times New Roman" w:hAnsi="Times New Roman" w:cs="Times New Roman"/>
          <w:sz w:val="24"/>
          <w:szCs w:val="24"/>
          <w:lang w:val="en-US"/>
        </w:rPr>
        <w:t xml:space="preserve">If banks are taking too much risks and are not able to provide </w:t>
      </w:r>
      <w:r w:rsidR="009E7B11" w:rsidRPr="00C646CD">
        <w:rPr>
          <w:rFonts w:ascii="Times New Roman" w:hAnsi="Times New Roman" w:cs="Times New Roman"/>
          <w:sz w:val="24"/>
          <w:szCs w:val="24"/>
          <w:lang w:val="en-US"/>
        </w:rPr>
        <w:t xml:space="preserve">an </w:t>
      </w:r>
      <w:r w:rsidR="009E7B11" w:rsidRPr="00C646CD">
        <w:rPr>
          <w:rFonts w:ascii="Times New Roman" w:hAnsi="Times New Roman" w:cs="Times New Roman"/>
          <w:sz w:val="24"/>
          <w:szCs w:val="24"/>
          <w:lang w:val="en-US"/>
        </w:rPr>
        <w:lastRenderedPageBreak/>
        <w:t>attractive trade-off between risks and returns</w:t>
      </w:r>
      <w:r w:rsidR="009E7B11">
        <w:rPr>
          <w:rFonts w:ascii="Times New Roman" w:hAnsi="Times New Roman" w:cs="Times New Roman"/>
          <w:sz w:val="24"/>
          <w:szCs w:val="24"/>
          <w:lang w:val="en-US"/>
        </w:rPr>
        <w:t xml:space="preserve"> then investors are less likely to provide funding to those banks. </w:t>
      </w:r>
      <w:r w:rsidR="002677CE">
        <w:rPr>
          <w:rFonts w:ascii="Times New Roman" w:hAnsi="Times New Roman" w:cs="Times New Roman"/>
          <w:sz w:val="24"/>
          <w:szCs w:val="24"/>
          <w:lang w:val="en-US"/>
        </w:rPr>
        <w:t>Thus,</w:t>
      </w:r>
      <w:r>
        <w:rPr>
          <w:rFonts w:ascii="Times New Roman" w:hAnsi="Times New Roman" w:cs="Times New Roman"/>
          <w:sz w:val="24"/>
          <w:szCs w:val="24"/>
          <w:lang w:val="en-US"/>
        </w:rPr>
        <w:t xml:space="preserve"> managers of the bank will carefully ponder the risk-taking decisions. This market discipline mechanism ensure investors that managers act in their interests. Therefore providing better information may reduce the probability of future financial crisis.</w:t>
      </w:r>
    </w:p>
    <w:p w:rsidR="000214B3" w:rsidRDefault="000214B3" w:rsidP="000214B3">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financial crisis of 2007-2009 could be a good example of information asymmetry problem. Introduction of new types of securities increased the level </w:t>
      </w:r>
      <w:r w:rsidR="00766714">
        <w:rPr>
          <w:rFonts w:ascii="Times New Roman" w:hAnsi="Times New Roman" w:cs="Times New Roman"/>
          <w:sz w:val="24"/>
          <w:szCs w:val="24"/>
          <w:lang w:val="en-US"/>
        </w:rPr>
        <w:t>of information</w:t>
      </w:r>
      <w:r>
        <w:rPr>
          <w:rFonts w:ascii="Times New Roman" w:hAnsi="Times New Roman" w:cs="Times New Roman"/>
          <w:sz w:val="24"/>
          <w:szCs w:val="24"/>
          <w:lang w:val="en-US"/>
        </w:rPr>
        <w:t xml:space="preserve"> asymmetry in financial markets. Due to complexity of new instruments and the lack of </w:t>
      </w:r>
      <w:r w:rsidR="00766714">
        <w:rPr>
          <w:rFonts w:ascii="Times New Roman" w:hAnsi="Times New Roman" w:cs="Times New Roman"/>
          <w:sz w:val="24"/>
          <w:szCs w:val="24"/>
          <w:lang w:val="en-US"/>
        </w:rPr>
        <w:t>transparency,</w:t>
      </w:r>
      <w:r>
        <w:rPr>
          <w:rFonts w:ascii="Times New Roman" w:hAnsi="Times New Roman" w:cs="Times New Roman"/>
          <w:sz w:val="24"/>
          <w:szCs w:val="24"/>
          <w:lang w:val="en-US"/>
        </w:rPr>
        <w:t xml:space="preserve"> it was a complicated task for investors to assess securitized assets properly. </w:t>
      </w:r>
      <w:r w:rsidRPr="00B473A4">
        <w:rPr>
          <w:rFonts w:ascii="Times New Roman" w:hAnsi="Times New Roman" w:cs="Times New Roman"/>
          <w:sz w:val="24"/>
          <w:szCs w:val="24"/>
          <w:lang w:val="en-US"/>
        </w:rPr>
        <w:t>Structured products, such as collateralized debt obligations (CDO</w:t>
      </w:r>
      <w:r>
        <w:rPr>
          <w:rFonts w:ascii="Times New Roman" w:hAnsi="Times New Roman" w:cs="Times New Roman"/>
          <w:sz w:val="24"/>
          <w:szCs w:val="24"/>
          <w:lang w:val="en-US"/>
        </w:rPr>
        <w:t>s</w:t>
      </w:r>
      <w:r w:rsidRPr="00B473A4">
        <w:rPr>
          <w:rFonts w:ascii="Times New Roman" w:hAnsi="Times New Roman" w:cs="Times New Roman"/>
          <w:sz w:val="24"/>
          <w:szCs w:val="24"/>
          <w:lang w:val="en-US"/>
        </w:rPr>
        <w:t>), were created from diversified portfolios of mortgages and other types of assets, such as corporate bonds, credit cards, and auto loans.</w:t>
      </w:r>
      <w:r>
        <w:rPr>
          <w:rFonts w:ascii="Times New Roman" w:hAnsi="Times New Roman" w:cs="Times New Roman"/>
          <w:sz w:val="24"/>
          <w:szCs w:val="24"/>
          <w:lang w:val="en-US"/>
        </w:rPr>
        <w:t xml:space="preserve"> This information problem </w:t>
      </w:r>
      <w:r w:rsidR="00D0684B">
        <w:rPr>
          <w:rFonts w:ascii="Times New Roman" w:hAnsi="Times New Roman" w:cs="Times New Roman"/>
          <w:sz w:val="24"/>
          <w:szCs w:val="24"/>
          <w:lang w:val="en-US"/>
        </w:rPr>
        <w:t>resulted in</w:t>
      </w:r>
      <w:r w:rsidRPr="00CB3522">
        <w:rPr>
          <w:rFonts w:ascii="Times New Roman" w:hAnsi="Times New Roman" w:cs="Times New Roman"/>
          <w:sz w:val="24"/>
          <w:szCs w:val="24"/>
          <w:lang w:val="en-US"/>
        </w:rPr>
        <w:t xml:space="preserve"> market freezes</w:t>
      </w:r>
      <w:r w:rsidR="00D0684B">
        <w:rPr>
          <w:rFonts w:ascii="Times New Roman" w:hAnsi="Times New Roman" w:cs="Times New Roman"/>
          <w:sz w:val="24"/>
          <w:szCs w:val="24"/>
          <w:lang w:val="en-US"/>
        </w:rPr>
        <w:t xml:space="preserve"> since</w:t>
      </w:r>
      <w:r w:rsidRPr="00CB3522">
        <w:rPr>
          <w:rFonts w:ascii="Times New Roman" w:hAnsi="Times New Roman" w:cs="Times New Roman"/>
          <w:sz w:val="24"/>
          <w:szCs w:val="24"/>
          <w:lang w:val="en-US"/>
        </w:rPr>
        <w:t xml:space="preserve"> </w:t>
      </w:r>
      <w:r w:rsidR="00D0684B">
        <w:rPr>
          <w:rFonts w:ascii="Times New Roman" w:hAnsi="Times New Roman" w:cs="Times New Roman"/>
          <w:sz w:val="24"/>
          <w:szCs w:val="24"/>
          <w:lang w:val="en-US"/>
        </w:rPr>
        <w:t>majority of market participants believed</w:t>
      </w:r>
      <w:r w:rsidRPr="00CB3522">
        <w:rPr>
          <w:rFonts w:ascii="Times New Roman" w:hAnsi="Times New Roman" w:cs="Times New Roman"/>
          <w:sz w:val="24"/>
          <w:szCs w:val="24"/>
          <w:lang w:val="en-US"/>
        </w:rPr>
        <w:t xml:space="preserve"> that most securities in the market were of low quality.</w:t>
      </w:r>
      <w:r w:rsidRPr="00C6605D">
        <w:rPr>
          <w:rFonts w:ascii="Times New Roman" w:hAnsi="Times New Roman" w:cs="Times New Roman"/>
          <w:sz w:val="24"/>
          <w:szCs w:val="24"/>
          <w:lang w:val="en-US"/>
        </w:rPr>
        <w:t xml:space="preserve"> </w:t>
      </w:r>
      <w:r w:rsidRPr="00CB3522">
        <w:rPr>
          <w:rFonts w:ascii="Times New Roman" w:hAnsi="Times New Roman" w:cs="Times New Roman"/>
          <w:sz w:val="24"/>
          <w:szCs w:val="24"/>
          <w:lang w:val="en-US"/>
        </w:rPr>
        <w:t>For example, during the crisis, the demand for asset-backed securities (ABS) in the United States</w:t>
      </w:r>
      <w:r>
        <w:rPr>
          <w:rFonts w:ascii="Times New Roman" w:hAnsi="Times New Roman" w:cs="Times New Roman"/>
          <w:sz w:val="24"/>
          <w:szCs w:val="24"/>
          <w:lang w:val="en-US"/>
        </w:rPr>
        <w:t xml:space="preserve"> collapsed from over </w:t>
      </w:r>
      <w:r w:rsidRPr="00CB3522">
        <w:rPr>
          <w:rFonts w:ascii="Times New Roman" w:hAnsi="Times New Roman" w:cs="Times New Roman"/>
          <w:sz w:val="24"/>
          <w:szCs w:val="24"/>
          <w:lang w:val="en-US"/>
        </w:rPr>
        <w:t>$</w:t>
      </w:r>
      <w:r>
        <w:rPr>
          <w:rFonts w:ascii="Times New Roman" w:hAnsi="Times New Roman" w:cs="Times New Roman"/>
          <w:sz w:val="24"/>
          <w:szCs w:val="24"/>
          <w:lang w:val="en-US"/>
        </w:rPr>
        <w:t xml:space="preserve"> 500 billion in 2007 to </w:t>
      </w:r>
      <w:r w:rsidRPr="00CB35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B3522">
        <w:rPr>
          <w:rFonts w:ascii="Times New Roman" w:hAnsi="Times New Roman" w:cs="Times New Roman"/>
          <w:sz w:val="24"/>
          <w:szCs w:val="24"/>
          <w:lang w:val="en-US"/>
        </w:rPr>
        <w:t>20 billion in 2009</w:t>
      </w:r>
      <w:r>
        <w:rPr>
          <w:rFonts w:ascii="Times New Roman" w:hAnsi="Times New Roman" w:cs="Times New Roman"/>
          <w:sz w:val="24"/>
          <w:szCs w:val="24"/>
          <w:lang w:val="en-US"/>
        </w:rPr>
        <w:t>.</w:t>
      </w:r>
      <w:r w:rsidR="00697537">
        <w:rPr>
          <w:rStyle w:val="a6"/>
          <w:rFonts w:ascii="Times New Roman" w:hAnsi="Times New Roman" w:cs="Times New Roman"/>
          <w:sz w:val="24"/>
          <w:szCs w:val="24"/>
          <w:lang w:val="en-US"/>
        </w:rPr>
        <w:footnoteReference w:id="11"/>
      </w:r>
    </w:p>
    <w:p w:rsidR="008F2872" w:rsidRDefault="00AE4F91" w:rsidP="008F2872">
      <w:pPr>
        <w:spacing w:line="360" w:lineRule="auto"/>
        <w:ind w:firstLine="708"/>
        <w:jc w:val="both"/>
        <w:rPr>
          <w:rFonts w:ascii="Times New Roman" w:hAnsi="Times New Roman" w:cs="Times New Roman"/>
          <w:sz w:val="24"/>
          <w:szCs w:val="24"/>
          <w:lang w:val="en-US"/>
        </w:rPr>
      </w:pPr>
      <w:r w:rsidRPr="006F2DB9">
        <w:rPr>
          <w:rFonts w:ascii="Times New Roman" w:hAnsi="Times New Roman" w:cs="Times New Roman"/>
          <w:sz w:val="24"/>
          <w:szCs w:val="24"/>
          <w:lang w:val="en-US"/>
        </w:rPr>
        <w:t xml:space="preserve">The agency problem </w:t>
      </w:r>
      <w:r w:rsidR="00936199">
        <w:rPr>
          <w:rFonts w:ascii="Times New Roman" w:hAnsi="Times New Roman" w:cs="Times New Roman"/>
          <w:sz w:val="24"/>
          <w:szCs w:val="24"/>
          <w:lang w:val="en-US"/>
        </w:rPr>
        <w:t xml:space="preserve">comes out </w:t>
      </w:r>
      <w:r w:rsidRPr="006F2DB9">
        <w:rPr>
          <w:rFonts w:ascii="Times New Roman" w:hAnsi="Times New Roman" w:cs="Times New Roman"/>
          <w:sz w:val="24"/>
          <w:szCs w:val="24"/>
          <w:lang w:val="en-US"/>
        </w:rPr>
        <w:t xml:space="preserve">because </w:t>
      </w:r>
      <w:r>
        <w:rPr>
          <w:rFonts w:ascii="Times New Roman" w:hAnsi="Times New Roman" w:cs="Times New Roman"/>
          <w:sz w:val="24"/>
          <w:szCs w:val="24"/>
          <w:lang w:val="en-US"/>
        </w:rPr>
        <w:t xml:space="preserve">usually investors that provide capital to the companies </w:t>
      </w:r>
      <w:r w:rsidRPr="006F2DB9">
        <w:rPr>
          <w:rFonts w:ascii="Times New Roman" w:hAnsi="Times New Roman" w:cs="Times New Roman"/>
          <w:sz w:val="24"/>
          <w:szCs w:val="24"/>
          <w:lang w:val="en-US"/>
        </w:rPr>
        <w:t xml:space="preserve">typically </w:t>
      </w:r>
      <w:r w:rsidR="00936199">
        <w:rPr>
          <w:rFonts w:ascii="Times New Roman" w:hAnsi="Times New Roman" w:cs="Times New Roman"/>
          <w:sz w:val="24"/>
          <w:szCs w:val="24"/>
          <w:lang w:val="en-US"/>
        </w:rPr>
        <w:t>are not supposed</w:t>
      </w:r>
      <w:r w:rsidRPr="006F2DB9">
        <w:rPr>
          <w:rFonts w:ascii="Times New Roman" w:hAnsi="Times New Roman" w:cs="Times New Roman"/>
          <w:sz w:val="24"/>
          <w:szCs w:val="24"/>
          <w:lang w:val="en-US"/>
        </w:rPr>
        <w:t xml:space="preserve"> to play an active role in its management</w:t>
      </w:r>
      <w:r>
        <w:rPr>
          <w:rFonts w:ascii="Times New Roman" w:hAnsi="Times New Roman" w:cs="Times New Roman"/>
          <w:sz w:val="24"/>
          <w:szCs w:val="24"/>
          <w:lang w:val="en-US"/>
        </w:rPr>
        <w:t xml:space="preserve"> and that </w:t>
      </w:r>
      <w:r w:rsidRPr="006F2DB9">
        <w:rPr>
          <w:rFonts w:ascii="Times New Roman" w:hAnsi="Times New Roman" w:cs="Times New Roman"/>
          <w:sz w:val="24"/>
          <w:szCs w:val="24"/>
          <w:lang w:val="en-US"/>
        </w:rPr>
        <w:t xml:space="preserve">responsibility is delegated to the </w:t>
      </w:r>
      <w:r>
        <w:rPr>
          <w:rFonts w:ascii="Times New Roman" w:hAnsi="Times New Roman" w:cs="Times New Roman"/>
          <w:sz w:val="24"/>
          <w:szCs w:val="24"/>
          <w:lang w:val="en-US"/>
        </w:rPr>
        <w:t>company’s management</w:t>
      </w:r>
      <w:r w:rsidRPr="006F2DB9">
        <w:rPr>
          <w:rFonts w:ascii="Times New Roman" w:hAnsi="Times New Roman" w:cs="Times New Roman"/>
          <w:sz w:val="24"/>
          <w:szCs w:val="24"/>
          <w:lang w:val="en-US"/>
        </w:rPr>
        <w:t>.</w:t>
      </w:r>
      <w:r>
        <w:rPr>
          <w:rFonts w:ascii="Times New Roman" w:hAnsi="Times New Roman" w:cs="Times New Roman"/>
          <w:sz w:val="24"/>
          <w:szCs w:val="24"/>
          <w:lang w:val="en-US"/>
        </w:rPr>
        <w:t xml:space="preserve"> Consequently, once investors have </w:t>
      </w:r>
      <w:r w:rsidRPr="006F2DB9">
        <w:rPr>
          <w:rFonts w:ascii="Times New Roman" w:hAnsi="Times New Roman" w:cs="Times New Roman"/>
          <w:sz w:val="24"/>
          <w:szCs w:val="24"/>
          <w:lang w:val="en-US"/>
        </w:rPr>
        <w:t xml:space="preserve">invested their funds in a </w:t>
      </w:r>
      <w:r>
        <w:rPr>
          <w:rFonts w:ascii="Times New Roman" w:hAnsi="Times New Roman" w:cs="Times New Roman"/>
          <w:sz w:val="24"/>
          <w:szCs w:val="24"/>
          <w:lang w:val="en-US"/>
        </w:rPr>
        <w:t>company</w:t>
      </w:r>
      <w:r w:rsidRPr="006F2DB9">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management has </w:t>
      </w:r>
      <w:r w:rsidRPr="006F2DB9">
        <w:rPr>
          <w:rFonts w:ascii="Times New Roman" w:hAnsi="Times New Roman" w:cs="Times New Roman"/>
          <w:sz w:val="24"/>
          <w:szCs w:val="24"/>
          <w:lang w:val="en-US"/>
        </w:rPr>
        <w:t xml:space="preserve">an incentive to make decisions </w:t>
      </w:r>
      <w:r>
        <w:rPr>
          <w:rFonts w:ascii="Times New Roman" w:hAnsi="Times New Roman" w:cs="Times New Roman"/>
          <w:sz w:val="24"/>
          <w:szCs w:val="24"/>
          <w:lang w:val="en-US"/>
        </w:rPr>
        <w:t xml:space="preserve">in their own </w:t>
      </w:r>
      <w:r w:rsidR="00766714">
        <w:rPr>
          <w:rFonts w:ascii="Times New Roman" w:hAnsi="Times New Roman" w:cs="Times New Roman"/>
          <w:sz w:val="24"/>
          <w:szCs w:val="24"/>
          <w:lang w:val="en-US"/>
        </w:rPr>
        <w:t>interest</w:t>
      </w:r>
      <w:r>
        <w:rPr>
          <w:rFonts w:ascii="Times New Roman" w:hAnsi="Times New Roman" w:cs="Times New Roman"/>
          <w:sz w:val="24"/>
          <w:szCs w:val="24"/>
          <w:lang w:val="en-US"/>
        </w:rPr>
        <w:t>. For example, if investors</w:t>
      </w:r>
      <w:r w:rsidRPr="006F2DB9">
        <w:rPr>
          <w:rFonts w:ascii="Times New Roman" w:hAnsi="Times New Roman" w:cs="Times New Roman"/>
          <w:sz w:val="24"/>
          <w:szCs w:val="24"/>
          <w:lang w:val="en-US"/>
        </w:rPr>
        <w:t xml:space="preserve"> acquire an equity stake in a </w:t>
      </w:r>
      <w:r>
        <w:rPr>
          <w:rFonts w:ascii="Times New Roman" w:hAnsi="Times New Roman" w:cs="Times New Roman"/>
          <w:sz w:val="24"/>
          <w:szCs w:val="24"/>
          <w:lang w:val="en-US"/>
        </w:rPr>
        <w:t>company</w:t>
      </w:r>
      <w:r w:rsidRPr="006F2DB9">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management can use those funds to </w:t>
      </w:r>
      <w:r w:rsidRPr="006F2DB9">
        <w:rPr>
          <w:rFonts w:ascii="Times New Roman" w:hAnsi="Times New Roman" w:cs="Times New Roman"/>
          <w:sz w:val="24"/>
          <w:szCs w:val="24"/>
          <w:lang w:val="en-US"/>
        </w:rPr>
        <w:t>acquire perquisites, pay excessive comp</w:t>
      </w:r>
      <w:r>
        <w:rPr>
          <w:rFonts w:ascii="Times New Roman" w:hAnsi="Times New Roman" w:cs="Times New Roman"/>
          <w:sz w:val="24"/>
          <w:szCs w:val="24"/>
          <w:lang w:val="en-US"/>
        </w:rPr>
        <w:t xml:space="preserve">ensation, or make investment or </w:t>
      </w:r>
      <w:r w:rsidRPr="006F2DB9">
        <w:rPr>
          <w:rFonts w:ascii="Times New Roman" w:hAnsi="Times New Roman" w:cs="Times New Roman"/>
          <w:sz w:val="24"/>
          <w:szCs w:val="24"/>
          <w:lang w:val="en-US"/>
        </w:rPr>
        <w:t>operating decisions that are harmful to the inte</w:t>
      </w:r>
      <w:r>
        <w:rPr>
          <w:rFonts w:ascii="Times New Roman" w:hAnsi="Times New Roman" w:cs="Times New Roman"/>
          <w:sz w:val="24"/>
          <w:szCs w:val="24"/>
          <w:lang w:val="en-US"/>
        </w:rPr>
        <w:t>rests of outside investors (</w:t>
      </w:r>
      <w:r w:rsidRPr="006F2DB9">
        <w:rPr>
          <w:rFonts w:ascii="Times New Roman" w:hAnsi="Times New Roman" w:cs="Times New Roman"/>
          <w:sz w:val="24"/>
          <w:szCs w:val="24"/>
          <w:lang w:val="en-US"/>
        </w:rPr>
        <w:t>Jensen and Meckling, 1976).</w:t>
      </w:r>
    </w:p>
    <w:p w:rsidR="00AE4F91" w:rsidRDefault="00AE4F91" w:rsidP="00AE4F9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possible solution to the agency problem </w:t>
      </w:r>
      <w:r w:rsidR="008F2872">
        <w:rPr>
          <w:rFonts w:ascii="Times New Roman" w:hAnsi="Times New Roman" w:cs="Times New Roman"/>
          <w:sz w:val="24"/>
          <w:szCs w:val="24"/>
          <w:lang w:val="en-US"/>
        </w:rPr>
        <w:t>may be the</w:t>
      </w:r>
      <w:r>
        <w:rPr>
          <w:rFonts w:ascii="Times New Roman" w:hAnsi="Times New Roman" w:cs="Times New Roman"/>
          <w:sz w:val="24"/>
          <w:szCs w:val="24"/>
          <w:lang w:val="en-US"/>
        </w:rPr>
        <w:t xml:space="preserve"> </w:t>
      </w:r>
      <w:r w:rsidRPr="006F2DB9">
        <w:rPr>
          <w:rFonts w:ascii="Times New Roman" w:hAnsi="Times New Roman" w:cs="Times New Roman"/>
          <w:sz w:val="24"/>
          <w:szCs w:val="24"/>
          <w:lang w:val="en-US"/>
        </w:rPr>
        <w:t xml:space="preserve">optimal contracts between </w:t>
      </w:r>
      <w:r>
        <w:rPr>
          <w:rFonts w:ascii="Times New Roman" w:hAnsi="Times New Roman" w:cs="Times New Roman"/>
          <w:sz w:val="24"/>
          <w:szCs w:val="24"/>
          <w:lang w:val="en-US"/>
        </w:rPr>
        <w:t>management</w:t>
      </w:r>
      <w:r w:rsidRPr="006F2DB9">
        <w:rPr>
          <w:rFonts w:ascii="Times New Roman" w:hAnsi="Times New Roman" w:cs="Times New Roman"/>
          <w:sz w:val="24"/>
          <w:szCs w:val="24"/>
          <w:lang w:val="en-US"/>
        </w:rPr>
        <w:t xml:space="preserve"> and investors, such as compensatio</w:t>
      </w:r>
      <w:r w:rsidR="008F2872">
        <w:rPr>
          <w:rFonts w:ascii="Times New Roman" w:hAnsi="Times New Roman" w:cs="Times New Roman"/>
          <w:sz w:val="24"/>
          <w:szCs w:val="24"/>
          <w:lang w:val="en-US"/>
        </w:rPr>
        <w:t>n agreements and debt contracts aimed</w:t>
      </w:r>
      <w:r w:rsidRPr="006F2DB9">
        <w:rPr>
          <w:rFonts w:ascii="Times New Roman" w:hAnsi="Times New Roman" w:cs="Times New Roman"/>
          <w:sz w:val="24"/>
          <w:szCs w:val="24"/>
          <w:lang w:val="en-US"/>
        </w:rPr>
        <w:t xml:space="preserve"> to </w:t>
      </w:r>
      <w:r w:rsidR="008F2872">
        <w:rPr>
          <w:rFonts w:ascii="Times New Roman" w:hAnsi="Times New Roman" w:cs="Times New Roman"/>
          <w:sz w:val="24"/>
          <w:szCs w:val="24"/>
          <w:lang w:val="en-US"/>
        </w:rPr>
        <w:t>adjust</w:t>
      </w:r>
      <w:r w:rsidRPr="006F2DB9">
        <w:rPr>
          <w:rFonts w:ascii="Times New Roman" w:hAnsi="Times New Roman" w:cs="Times New Roman"/>
          <w:sz w:val="24"/>
          <w:szCs w:val="24"/>
          <w:lang w:val="en-US"/>
        </w:rPr>
        <w:t xml:space="preserve"> the interests of</w:t>
      </w:r>
      <w:r>
        <w:rPr>
          <w:rFonts w:ascii="Times New Roman" w:hAnsi="Times New Roman" w:cs="Times New Roman"/>
          <w:sz w:val="24"/>
          <w:szCs w:val="24"/>
          <w:lang w:val="en-US"/>
        </w:rPr>
        <w:t xml:space="preserve"> the</w:t>
      </w:r>
      <w:r w:rsidR="008F2872">
        <w:rPr>
          <w:rFonts w:ascii="Times New Roman" w:hAnsi="Times New Roman" w:cs="Times New Roman"/>
          <w:sz w:val="24"/>
          <w:szCs w:val="24"/>
          <w:lang w:val="en-US"/>
        </w:rPr>
        <w:t xml:space="preserve"> company’s managers</w:t>
      </w:r>
      <w:r>
        <w:rPr>
          <w:rFonts w:ascii="Times New Roman" w:hAnsi="Times New Roman" w:cs="Times New Roman"/>
          <w:sz w:val="24"/>
          <w:szCs w:val="24"/>
          <w:lang w:val="en-US"/>
        </w:rPr>
        <w:t xml:space="preserve"> with</w:t>
      </w:r>
      <w:r w:rsidR="008F2872">
        <w:rPr>
          <w:rFonts w:ascii="Times New Roman" w:hAnsi="Times New Roman" w:cs="Times New Roman"/>
          <w:sz w:val="24"/>
          <w:szCs w:val="24"/>
          <w:lang w:val="en-US"/>
        </w:rPr>
        <w:t xml:space="preserve"> interests</w:t>
      </w:r>
      <w:r>
        <w:rPr>
          <w:rFonts w:ascii="Times New Roman" w:hAnsi="Times New Roman" w:cs="Times New Roman"/>
          <w:sz w:val="24"/>
          <w:szCs w:val="24"/>
          <w:lang w:val="en-US"/>
        </w:rPr>
        <w:t xml:space="preserve"> of </w:t>
      </w:r>
      <w:r w:rsidR="008F2872">
        <w:rPr>
          <w:rFonts w:ascii="Times New Roman" w:hAnsi="Times New Roman" w:cs="Times New Roman"/>
          <w:sz w:val="24"/>
          <w:szCs w:val="24"/>
          <w:lang w:val="en-US"/>
        </w:rPr>
        <w:t>outside</w:t>
      </w:r>
      <w:r w:rsidRPr="006F2DB9">
        <w:rPr>
          <w:rFonts w:ascii="Times New Roman" w:hAnsi="Times New Roman" w:cs="Times New Roman"/>
          <w:sz w:val="24"/>
          <w:szCs w:val="24"/>
          <w:lang w:val="en-US"/>
        </w:rPr>
        <w:t xml:space="preserve"> </w:t>
      </w:r>
      <w:r w:rsidR="00021351">
        <w:rPr>
          <w:rFonts w:ascii="Times New Roman" w:hAnsi="Times New Roman" w:cs="Times New Roman"/>
          <w:sz w:val="24"/>
          <w:szCs w:val="24"/>
          <w:lang w:val="en-US"/>
        </w:rPr>
        <w:t>stakeholders</w:t>
      </w:r>
      <w:r w:rsidRPr="006F2DB9">
        <w:rPr>
          <w:rFonts w:ascii="Times New Roman" w:hAnsi="Times New Roman" w:cs="Times New Roman"/>
          <w:sz w:val="24"/>
          <w:szCs w:val="24"/>
          <w:lang w:val="en-US"/>
        </w:rPr>
        <w:t>. The</w:t>
      </w:r>
      <w:r>
        <w:rPr>
          <w:rFonts w:ascii="Times New Roman" w:hAnsi="Times New Roman" w:cs="Times New Roman"/>
          <w:sz w:val="24"/>
          <w:szCs w:val="24"/>
          <w:lang w:val="en-US"/>
        </w:rPr>
        <w:t xml:space="preserve">se contracts </w:t>
      </w:r>
      <w:r w:rsidR="00007511">
        <w:rPr>
          <w:rFonts w:ascii="Times New Roman" w:hAnsi="Times New Roman" w:cs="Times New Roman"/>
          <w:sz w:val="24"/>
          <w:szCs w:val="24"/>
          <w:lang w:val="en-US"/>
        </w:rPr>
        <w:t>often</w:t>
      </w:r>
      <w:r>
        <w:rPr>
          <w:rFonts w:ascii="Times New Roman" w:hAnsi="Times New Roman" w:cs="Times New Roman"/>
          <w:sz w:val="24"/>
          <w:szCs w:val="24"/>
          <w:lang w:val="en-US"/>
        </w:rPr>
        <w:t xml:space="preserve"> require company’s management</w:t>
      </w:r>
      <w:r w:rsidRPr="006F2DB9">
        <w:rPr>
          <w:rFonts w:ascii="Times New Roman" w:hAnsi="Times New Roman" w:cs="Times New Roman"/>
          <w:sz w:val="24"/>
          <w:szCs w:val="24"/>
          <w:lang w:val="en-US"/>
        </w:rPr>
        <w:t xml:space="preserve"> to </w:t>
      </w:r>
      <w:r w:rsidR="00007511">
        <w:rPr>
          <w:rFonts w:ascii="Times New Roman" w:hAnsi="Times New Roman" w:cs="Times New Roman"/>
          <w:sz w:val="24"/>
          <w:szCs w:val="24"/>
          <w:lang w:val="en-US"/>
        </w:rPr>
        <w:t>provide</w:t>
      </w:r>
      <w:r w:rsidRPr="006F2DB9">
        <w:rPr>
          <w:rFonts w:ascii="Times New Roman" w:hAnsi="Times New Roman" w:cs="Times New Roman"/>
          <w:sz w:val="24"/>
          <w:szCs w:val="24"/>
          <w:lang w:val="en-US"/>
        </w:rPr>
        <w:t xml:space="preserve"> relevant inform</w:t>
      </w:r>
      <w:r>
        <w:rPr>
          <w:rFonts w:ascii="Times New Roman" w:hAnsi="Times New Roman" w:cs="Times New Roman"/>
          <w:sz w:val="24"/>
          <w:szCs w:val="24"/>
          <w:lang w:val="en-US"/>
        </w:rPr>
        <w:t xml:space="preserve">ation that </w:t>
      </w:r>
      <w:r w:rsidR="00007511">
        <w:rPr>
          <w:rFonts w:ascii="Times New Roman" w:hAnsi="Times New Roman" w:cs="Times New Roman"/>
          <w:sz w:val="24"/>
          <w:szCs w:val="24"/>
          <w:lang w:val="en-US"/>
        </w:rPr>
        <w:t>allows</w:t>
      </w:r>
      <w:r>
        <w:rPr>
          <w:rFonts w:ascii="Times New Roman" w:hAnsi="Times New Roman" w:cs="Times New Roman"/>
          <w:sz w:val="24"/>
          <w:szCs w:val="24"/>
          <w:lang w:val="en-US"/>
        </w:rPr>
        <w:t xml:space="preserve"> investors to </w:t>
      </w:r>
      <w:r w:rsidR="00007511">
        <w:rPr>
          <w:rFonts w:ascii="Times New Roman" w:hAnsi="Times New Roman" w:cs="Times New Roman"/>
          <w:sz w:val="24"/>
          <w:szCs w:val="24"/>
          <w:lang w:val="en-US"/>
        </w:rPr>
        <w:t>check</w:t>
      </w:r>
      <w:r w:rsidRPr="006F2DB9">
        <w:rPr>
          <w:rFonts w:ascii="Times New Roman" w:hAnsi="Times New Roman" w:cs="Times New Roman"/>
          <w:sz w:val="24"/>
          <w:szCs w:val="24"/>
          <w:lang w:val="en-US"/>
        </w:rPr>
        <w:t xml:space="preserve"> compliance with contractual agreements and to </w:t>
      </w:r>
      <w:r w:rsidR="00007511">
        <w:rPr>
          <w:rFonts w:ascii="Times New Roman" w:hAnsi="Times New Roman" w:cs="Times New Roman"/>
          <w:sz w:val="24"/>
          <w:szCs w:val="24"/>
          <w:lang w:val="en-US"/>
        </w:rPr>
        <w:t xml:space="preserve">assess </w:t>
      </w:r>
      <w:r w:rsidRPr="006F2DB9">
        <w:rPr>
          <w:rFonts w:ascii="Times New Roman" w:hAnsi="Times New Roman" w:cs="Times New Roman"/>
          <w:sz w:val="24"/>
          <w:szCs w:val="24"/>
          <w:lang w:val="en-US"/>
        </w:rPr>
        <w:t>whe</w:t>
      </w:r>
      <w:r>
        <w:rPr>
          <w:rFonts w:ascii="Times New Roman" w:hAnsi="Times New Roman" w:cs="Times New Roman"/>
          <w:sz w:val="24"/>
          <w:szCs w:val="24"/>
          <w:lang w:val="en-US"/>
        </w:rPr>
        <w:t>ther managers</w:t>
      </w:r>
      <w:r w:rsidRPr="006F2DB9">
        <w:rPr>
          <w:rFonts w:ascii="Times New Roman" w:hAnsi="Times New Roman" w:cs="Times New Roman"/>
          <w:sz w:val="24"/>
          <w:szCs w:val="24"/>
          <w:lang w:val="en-US"/>
        </w:rPr>
        <w:t xml:space="preserve"> have managed the </w:t>
      </w:r>
      <w:r>
        <w:rPr>
          <w:rFonts w:ascii="Times New Roman" w:hAnsi="Times New Roman" w:cs="Times New Roman"/>
          <w:sz w:val="24"/>
          <w:szCs w:val="24"/>
          <w:lang w:val="en-US"/>
        </w:rPr>
        <w:t>company</w:t>
      </w:r>
      <w:r w:rsidRPr="006F2DB9">
        <w:rPr>
          <w:rFonts w:ascii="Times New Roman" w:hAnsi="Times New Roman" w:cs="Times New Roman"/>
          <w:sz w:val="24"/>
          <w:szCs w:val="24"/>
          <w:lang w:val="en-US"/>
        </w:rPr>
        <w:t>’s resourc</w:t>
      </w:r>
      <w:r>
        <w:rPr>
          <w:rFonts w:ascii="Times New Roman" w:hAnsi="Times New Roman" w:cs="Times New Roman"/>
          <w:sz w:val="24"/>
          <w:szCs w:val="24"/>
          <w:lang w:val="en-US"/>
        </w:rPr>
        <w:t xml:space="preserve">es in the interests of </w:t>
      </w:r>
      <w:r w:rsidR="00007511">
        <w:rPr>
          <w:rFonts w:ascii="Times New Roman" w:hAnsi="Times New Roman" w:cs="Times New Roman"/>
          <w:sz w:val="24"/>
          <w:szCs w:val="24"/>
          <w:lang w:val="en-US"/>
        </w:rPr>
        <w:t>company’s investors</w:t>
      </w:r>
      <w:r w:rsidRPr="006F2DB9">
        <w:rPr>
          <w:rFonts w:ascii="Times New Roman" w:hAnsi="Times New Roman" w:cs="Times New Roman"/>
          <w:sz w:val="24"/>
          <w:szCs w:val="24"/>
          <w:lang w:val="en-US"/>
        </w:rPr>
        <w:t>.</w:t>
      </w:r>
    </w:p>
    <w:p w:rsidR="00AE4F91" w:rsidRPr="006110C8" w:rsidRDefault="00AE4F91" w:rsidP="00AE4F9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case of well-known US telecommunication corporation WorldCom can be a good example of agency problem that was not resolved by mean of corporate disclosure.</w:t>
      </w:r>
      <w:r w:rsidRPr="002C7A26">
        <w:rPr>
          <w:rFonts w:ascii="Times New Roman" w:hAnsi="Times New Roman" w:cs="Times New Roman"/>
          <w:sz w:val="24"/>
          <w:szCs w:val="24"/>
          <w:lang w:val="en-US"/>
        </w:rPr>
        <w:t xml:space="preserve"> </w:t>
      </w:r>
      <w:r w:rsidR="006110C8">
        <w:rPr>
          <w:rFonts w:ascii="Times New Roman" w:hAnsi="Times New Roman" w:cs="Times New Roman"/>
          <w:sz w:val="24"/>
          <w:szCs w:val="24"/>
          <w:lang w:val="en-US"/>
        </w:rPr>
        <w:t xml:space="preserve">In 2001 </w:t>
      </w:r>
      <w:r w:rsidR="006110C8" w:rsidRPr="002C7A26">
        <w:rPr>
          <w:rFonts w:ascii="Times New Roman" w:hAnsi="Times New Roman" w:cs="Times New Roman"/>
          <w:sz w:val="24"/>
          <w:szCs w:val="24"/>
          <w:lang w:val="en-US"/>
        </w:rPr>
        <w:t>WorldCom CEO Bernard Ebbers</w:t>
      </w:r>
      <w:r w:rsidR="006110C8">
        <w:rPr>
          <w:rFonts w:ascii="Times New Roman" w:hAnsi="Times New Roman" w:cs="Times New Roman"/>
          <w:sz w:val="24"/>
          <w:szCs w:val="24"/>
          <w:lang w:val="en-US"/>
        </w:rPr>
        <w:t xml:space="preserve"> managed to take from the company more than </w:t>
      </w:r>
      <w:r w:rsidR="006110C8" w:rsidRPr="002C7A26">
        <w:rPr>
          <w:rFonts w:ascii="Times New Roman" w:hAnsi="Times New Roman" w:cs="Times New Roman"/>
          <w:sz w:val="24"/>
          <w:szCs w:val="24"/>
          <w:lang w:val="en-US"/>
        </w:rPr>
        <w:t>$</w:t>
      </w:r>
      <w:r w:rsidR="006110C8">
        <w:rPr>
          <w:rFonts w:ascii="Times New Roman" w:hAnsi="Times New Roman" w:cs="Times New Roman"/>
          <w:sz w:val="24"/>
          <w:szCs w:val="24"/>
          <w:lang w:val="en-US"/>
        </w:rPr>
        <w:t xml:space="preserve"> </w:t>
      </w:r>
      <w:r w:rsidR="006110C8" w:rsidRPr="002C7A26">
        <w:rPr>
          <w:rFonts w:ascii="Times New Roman" w:hAnsi="Times New Roman" w:cs="Times New Roman"/>
          <w:sz w:val="24"/>
          <w:szCs w:val="24"/>
          <w:lang w:val="en-US"/>
        </w:rPr>
        <w:t>400 million</w:t>
      </w:r>
      <w:r w:rsidR="006110C8">
        <w:rPr>
          <w:rFonts w:ascii="Times New Roman" w:hAnsi="Times New Roman" w:cs="Times New Roman"/>
          <w:sz w:val="24"/>
          <w:szCs w:val="24"/>
          <w:lang w:val="en-US"/>
        </w:rPr>
        <w:t xml:space="preserve"> </w:t>
      </w:r>
      <w:r w:rsidR="006110C8" w:rsidRPr="002C7A26">
        <w:rPr>
          <w:rFonts w:ascii="Times New Roman" w:hAnsi="Times New Roman" w:cs="Times New Roman"/>
          <w:sz w:val="24"/>
          <w:szCs w:val="24"/>
          <w:lang w:val="en-US"/>
        </w:rPr>
        <w:t xml:space="preserve">in </w:t>
      </w:r>
      <w:r w:rsidR="006110C8" w:rsidRPr="002C7A26">
        <w:rPr>
          <w:rFonts w:ascii="Times New Roman" w:hAnsi="Times New Roman" w:cs="Times New Roman"/>
          <w:sz w:val="24"/>
          <w:szCs w:val="24"/>
          <w:lang w:val="en-US"/>
        </w:rPr>
        <w:lastRenderedPageBreak/>
        <w:t>loans at the favorable interest rate of 2.15 percent.</w:t>
      </w:r>
      <w:r w:rsidR="006110C8">
        <w:rPr>
          <w:rFonts w:ascii="Times New Roman" w:hAnsi="Times New Roman" w:cs="Times New Roman"/>
          <w:sz w:val="24"/>
          <w:szCs w:val="24"/>
          <w:lang w:val="en-US"/>
        </w:rPr>
        <w:t xml:space="preserve"> The details of this transaction were not presented in company’s annual report and they </w:t>
      </w:r>
      <w:r w:rsidR="00B81504">
        <w:rPr>
          <w:rFonts w:ascii="Times New Roman" w:hAnsi="Times New Roman" w:cs="Times New Roman"/>
          <w:sz w:val="24"/>
          <w:szCs w:val="24"/>
          <w:lang w:val="en-US"/>
        </w:rPr>
        <w:t>did not</w:t>
      </w:r>
      <w:r w:rsidR="006110C8">
        <w:rPr>
          <w:rFonts w:ascii="Times New Roman" w:hAnsi="Times New Roman" w:cs="Times New Roman"/>
          <w:sz w:val="24"/>
          <w:szCs w:val="24"/>
          <w:lang w:val="en-US"/>
        </w:rPr>
        <w:t xml:space="preserve"> come out </w:t>
      </w:r>
      <w:r w:rsidR="006110C8" w:rsidRPr="002C7A26">
        <w:rPr>
          <w:rFonts w:ascii="Times New Roman" w:hAnsi="Times New Roman" w:cs="Times New Roman"/>
          <w:sz w:val="24"/>
          <w:szCs w:val="24"/>
          <w:lang w:val="en-US"/>
        </w:rPr>
        <w:t xml:space="preserve">until </w:t>
      </w:r>
      <w:r w:rsidR="006110C8">
        <w:rPr>
          <w:rFonts w:ascii="Times New Roman" w:hAnsi="Times New Roman" w:cs="Times New Roman"/>
          <w:sz w:val="24"/>
          <w:szCs w:val="24"/>
          <w:lang w:val="en-US"/>
        </w:rPr>
        <w:t xml:space="preserve">WorldCom </w:t>
      </w:r>
      <w:r w:rsidR="006110C8" w:rsidRPr="002C7A26">
        <w:rPr>
          <w:rFonts w:ascii="Times New Roman" w:hAnsi="Times New Roman" w:cs="Times New Roman"/>
          <w:sz w:val="24"/>
          <w:szCs w:val="24"/>
          <w:lang w:val="en-US"/>
        </w:rPr>
        <w:t>accounting scanda</w:t>
      </w:r>
      <w:r w:rsidR="006110C8">
        <w:rPr>
          <w:rFonts w:ascii="Times New Roman" w:hAnsi="Times New Roman" w:cs="Times New Roman"/>
          <w:sz w:val="24"/>
          <w:szCs w:val="24"/>
          <w:lang w:val="en-US"/>
        </w:rPr>
        <w:t>l.</w:t>
      </w:r>
      <w:r w:rsidR="00007511">
        <w:rPr>
          <w:rStyle w:val="a6"/>
          <w:rFonts w:ascii="Times New Roman" w:hAnsi="Times New Roman" w:cs="Times New Roman"/>
          <w:sz w:val="24"/>
          <w:szCs w:val="24"/>
          <w:lang w:val="en-US"/>
        </w:rPr>
        <w:footnoteReference w:id="12"/>
      </w:r>
    </w:p>
    <w:p w:rsidR="002819BB" w:rsidRPr="002819BB" w:rsidRDefault="002819BB" w:rsidP="002819BB">
      <w:pPr>
        <w:pStyle w:val="2"/>
        <w:rPr>
          <w:lang w:val="en-US"/>
        </w:rPr>
      </w:pPr>
      <w:bookmarkStart w:id="9" w:name="_Toc451925548"/>
      <w:r>
        <w:rPr>
          <w:lang w:val="en-US"/>
        </w:rPr>
        <w:t xml:space="preserve">2.2. </w:t>
      </w:r>
      <w:r w:rsidRPr="002819BB">
        <w:rPr>
          <w:lang w:val="en-US"/>
        </w:rPr>
        <w:t>Regulation of disclosure and financial reporting</w:t>
      </w:r>
      <w:bookmarkEnd w:id="9"/>
    </w:p>
    <w:p w:rsidR="009B2949" w:rsidRDefault="009B2949" w:rsidP="00B3017B">
      <w:pPr>
        <w:spacing w:line="360" w:lineRule="auto"/>
        <w:ind w:firstLine="708"/>
        <w:jc w:val="both"/>
        <w:rPr>
          <w:rFonts w:ascii="Times New Roman" w:hAnsi="Times New Roman" w:cs="Times New Roman"/>
          <w:sz w:val="24"/>
          <w:lang w:val="en-US"/>
        </w:rPr>
      </w:pPr>
      <w:r w:rsidRPr="00893596">
        <w:rPr>
          <w:rFonts w:ascii="Times New Roman" w:hAnsi="Times New Roman" w:cs="Times New Roman"/>
          <w:sz w:val="24"/>
          <w:lang w:val="en-US"/>
        </w:rPr>
        <w:t>There are sufficient number of regulations governing corporate disclosure</w:t>
      </w:r>
      <w:r>
        <w:rPr>
          <w:rFonts w:ascii="Times New Roman" w:hAnsi="Times New Roman" w:cs="Times New Roman"/>
          <w:sz w:val="24"/>
          <w:lang w:val="en-US"/>
        </w:rPr>
        <w:t xml:space="preserve"> and reporting</w:t>
      </w:r>
      <w:r w:rsidRPr="00893596">
        <w:rPr>
          <w:rFonts w:ascii="Times New Roman" w:hAnsi="Times New Roman" w:cs="Times New Roman"/>
          <w:sz w:val="24"/>
          <w:lang w:val="en-US"/>
        </w:rPr>
        <w:t xml:space="preserve"> in each country all over the globe</w:t>
      </w:r>
      <w:r>
        <w:rPr>
          <w:rFonts w:ascii="Times New Roman" w:hAnsi="Times New Roman" w:cs="Times New Roman"/>
          <w:sz w:val="24"/>
          <w:lang w:val="en-US"/>
        </w:rPr>
        <w:t xml:space="preserve">. For instance, in the United States every company </w:t>
      </w:r>
      <w:r w:rsidRPr="008E7511">
        <w:rPr>
          <w:rFonts w:ascii="Times New Roman" w:hAnsi="Times New Roman" w:cs="Times New Roman"/>
          <w:sz w:val="24"/>
          <w:lang w:val="en-US"/>
        </w:rPr>
        <w:t>accessing capital markets</w:t>
      </w:r>
      <w:r>
        <w:rPr>
          <w:rFonts w:ascii="Times New Roman" w:hAnsi="Times New Roman" w:cs="Times New Roman"/>
          <w:sz w:val="24"/>
          <w:lang w:val="en-US"/>
        </w:rPr>
        <w:t xml:space="preserve"> must follow </w:t>
      </w:r>
      <w:r w:rsidRPr="008E7511">
        <w:rPr>
          <w:rFonts w:ascii="Times New Roman" w:hAnsi="Times New Roman" w:cs="Times New Roman"/>
          <w:sz w:val="24"/>
          <w:lang w:val="en-US"/>
        </w:rPr>
        <w:t>Securities and Exchange Commission (SEC)</w:t>
      </w:r>
      <w:r>
        <w:rPr>
          <w:rFonts w:ascii="Times New Roman" w:hAnsi="Times New Roman" w:cs="Times New Roman"/>
          <w:sz w:val="24"/>
          <w:lang w:val="en-US"/>
        </w:rPr>
        <w:t xml:space="preserve"> rules concerning corporate disclosure. All </w:t>
      </w:r>
      <w:r w:rsidRPr="000B782B">
        <w:rPr>
          <w:rFonts w:ascii="Times New Roman" w:hAnsi="Times New Roman" w:cs="Times New Roman"/>
          <w:sz w:val="24"/>
          <w:lang w:val="en-US"/>
        </w:rPr>
        <w:t>disclosure</w:t>
      </w:r>
      <w:r>
        <w:rPr>
          <w:rFonts w:ascii="Times New Roman" w:hAnsi="Times New Roman" w:cs="Times New Roman"/>
          <w:sz w:val="24"/>
          <w:lang w:val="en-US"/>
        </w:rPr>
        <w:t xml:space="preserve"> rules and requirements set by SEC have</w:t>
      </w:r>
      <w:r w:rsidRPr="00893596">
        <w:rPr>
          <w:rFonts w:ascii="Times New Roman" w:hAnsi="Times New Roman" w:cs="Times New Roman"/>
          <w:sz w:val="24"/>
          <w:lang w:val="en-US"/>
        </w:rPr>
        <w:t xml:space="preserve"> </w:t>
      </w:r>
      <w:r w:rsidRPr="000B782B">
        <w:rPr>
          <w:rFonts w:ascii="Times New Roman" w:hAnsi="Times New Roman" w:cs="Times New Roman"/>
          <w:sz w:val="24"/>
          <w:lang w:val="en-US"/>
        </w:rPr>
        <w:t>statutory authority</w:t>
      </w:r>
      <w:r>
        <w:rPr>
          <w:rFonts w:ascii="Times New Roman" w:hAnsi="Times New Roman" w:cs="Times New Roman"/>
          <w:sz w:val="24"/>
          <w:lang w:val="en-US"/>
        </w:rPr>
        <w:t xml:space="preserve">, and some </w:t>
      </w:r>
      <w:r w:rsidRPr="000B782B">
        <w:rPr>
          <w:rFonts w:ascii="Times New Roman" w:hAnsi="Times New Roman" w:cs="Times New Roman"/>
          <w:sz w:val="24"/>
          <w:lang w:val="en-US"/>
        </w:rPr>
        <w:t>amendments</w:t>
      </w:r>
      <w:r>
        <w:rPr>
          <w:rFonts w:ascii="Times New Roman" w:hAnsi="Times New Roman" w:cs="Times New Roman"/>
          <w:sz w:val="24"/>
          <w:lang w:val="en-US"/>
        </w:rPr>
        <w:t xml:space="preserve"> to these regulations could be implemented over time. For example, after introduction </w:t>
      </w:r>
      <w:r w:rsidRPr="000B782B">
        <w:rPr>
          <w:rFonts w:ascii="Times New Roman" w:hAnsi="Times New Roman" w:cs="Times New Roman"/>
          <w:sz w:val="24"/>
          <w:lang w:val="en-US"/>
        </w:rPr>
        <w:t>of the Sarbanes-Oxley Act</w:t>
      </w:r>
      <w:r>
        <w:rPr>
          <w:rFonts w:ascii="Times New Roman" w:hAnsi="Times New Roman" w:cs="Times New Roman"/>
          <w:sz w:val="24"/>
          <w:lang w:val="en-US"/>
        </w:rPr>
        <w:t xml:space="preserve"> in</w:t>
      </w:r>
      <w:r w:rsidRPr="00F352C9">
        <w:rPr>
          <w:rFonts w:ascii="Times New Roman" w:hAnsi="Times New Roman" w:cs="Times New Roman"/>
          <w:sz w:val="24"/>
          <w:lang w:val="en-US"/>
        </w:rPr>
        <w:t xml:space="preserve"> </w:t>
      </w:r>
      <w:r w:rsidRPr="000B782B">
        <w:rPr>
          <w:rFonts w:ascii="Times New Roman" w:hAnsi="Times New Roman" w:cs="Times New Roman"/>
          <w:sz w:val="24"/>
          <w:lang w:val="en-US"/>
        </w:rPr>
        <w:t>the summer of 2002</w:t>
      </w:r>
      <w:r>
        <w:rPr>
          <w:rFonts w:ascii="Times New Roman" w:hAnsi="Times New Roman" w:cs="Times New Roman"/>
          <w:sz w:val="24"/>
          <w:lang w:val="en-US"/>
        </w:rPr>
        <w:t xml:space="preserve">, significant </w:t>
      </w:r>
      <w:r w:rsidRPr="000B782B">
        <w:rPr>
          <w:rFonts w:ascii="Times New Roman" w:hAnsi="Times New Roman" w:cs="Times New Roman"/>
          <w:sz w:val="24"/>
          <w:lang w:val="en-US"/>
        </w:rPr>
        <w:t>amendments</w:t>
      </w:r>
      <w:r>
        <w:rPr>
          <w:rFonts w:ascii="Times New Roman" w:hAnsi="Times New Roman" w:cs="Times New Roman"/>
          <w:sz w:val="24"/>
          <w:lang w:val="en-US"/>
        </w:rPr>
        <w:t xml:space="preserve"> were made to regulations</w:t>
      </w:r>
      <w:r w:rsidRPr="00F352C9">
        <w:rPr>
          <w:rFonts w:ascii="Times New Roman" w:hAnsi="Times New Roman" w:cs="Times New Roman"/>
          <w:sz w:val="24"/>
          <w:lang w:val="en-US"/>
        </w:rPr>
        <w:t xml:space="preserve"> </w:t>
      </w:r>
      <w:r w:rsidRPr="00893596">
        <w:rPr>
          <w:rFonts w:ascii="Times New Roman" w:hAnsi="Times New Roman" w:cs="Times New Roman"/>
          <w:sz w:val="24"/>
          <w:lang w:val="en-US"/>
        </w:rPr>
        <w:t>governing corporate disclosure</w:t>
      </w:r>
      <w:r>
        <w:rPr>
          <w:rFonts w:ascii="Times New Roman" w:hAnsi="Times New Roman" w:cs="Times New Roman"/>
          <w:sz w:val="24"/>
          <w:lang w:val="en-US"/>
        </w:rPr>
        <w:t xml:space="preserve"> in the United States. This act came out because of </w:t>
      </w:r>
      <w:r w:rsidRPr="0095233C">
        <w:rPr>
          <w:rFonts w:ascii="Times New Roman" w:hAnsi="Times New Roman" w:cs="Times New Roman"/>
          <w:sz w:val="24"/>
          <w:lang w:val="en-US"/>
        </w:rPr>
        <w:t xml:space="preserve">unexpected bankruptcy </w:t>
      </w:r>
      <w:r>
        <w:rPr>
          <w:rFonts w:ascii="Times New Roman" w:hAnsi="Times New Roman" w:cs="Times New Roman"/>
          <w:sz w:val="24"/>
          <w:lang w:val="en-US"/>
        </w:rPr>
        <w:t>of huge energy-trading company</w:t>
      </w:r>
      <w:r w:rsidRPr="0095233C">
        <w:rPr>
          <w:rFonts w:ascii="Times New Roman" w:hAnsi="Times New Roman" w:cs="Times New Roman"/>
          <w:sz w:val="24"/>
          <w:lang w:val="en-US"/>
        </w:rPr>
        <w:t xml:space="preserve"> Enron</w:t>
      </w:r>
      <w:r>
        <w:rPr>
          <w:rFonts w:ascii="Times New Roman" w:hAnsi="Times New Roman" w:cs="Times New Roman"/>
          <w:sz w:val="24"/>
          <w:lang w:val="en-US"/>
        </w:rPr>
        <w:t>.</w:t>
      </w:r>
    </w:p>
    <w:p w:rsidR="00F26A33" w:rsidRDefault="00F26A33" w:rsidP="00F26A3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primary goal of SEC regulations is to require publicly owned companies to disclosure certain types of information to </w:t>
      </w:r>
      <w:r w:rsidRPr="0095233C">
        <w:rPr>
          <w:rFonts w:ascii="Times New Roman" w:hAnsi="Times New Roman" w:cs="Times New Roman"/>
          <w:sz w:val="24"/>
          <w:lang w:val="en-US"/>
        </w:rPr>
        <w:t>the SEC and to the company's stockholders.</w:t>
      </w:r>
      <w:r>
        <w:rPr>
          <w:rFonts w:ascii="Times New Roman" w:hAnsi="Times New Roman" w:cs="Times New Roman"/>
          <w:sz w:val="24"/>
          <w:lang w:val="en-US"/>
        </w:rPr>
        <w:t xml:space="preserve"> Moreover, when company is going to issue </w:t>
      </w:r>
      <w:r w:rsidRPr="0082015D">
        <w:rPr>
          <w:rFonts w:ascii="Times New Roman" w:hAnsi="Times New Roman" w:cs="Times New Roman"/>
          <w:sz w:val="24"/>
          <w:lang w:val="en-US"/>
        </w:rPr>
        <w:t>new securities, such as stocks and bonds</w:t>
      </w:r>
      <w:r>
        <w:rPr>
          <w:rFonts w:ascii="Times New Roman" w:hAnsi="Times New Roman" w:cs="Times New Roman"/>
          <w:sz w:val="24"/>
          <w:lang w:val="en-US"/>
        </w:rPr>
        <w:t xml:space="preserve">, the SEC’s disclosure rules require the provision of </w:t>
      </w:r>
      <w:r w:rsidRPr="0082015D">
        <w:rPr>
          <w:rFonts w:ascii="Times New Roman" w:hAnsi="Times New Roman" w:cs="Times New Roman"/>
          <w:sz w:val="24"/>
          <w:lang w:val="en-US"/>
        </w:rPr>
        <w:t xml:space="preserve">relevant </w:t>
      </w:r>
      <w:r>
        <w:rPr>
          <w:rFonts w:ascii="Times New Roman" w:hAnsi="Times New Roman" w:cs="Times New Roman"/>
          <w:sz w:val="24"/>
          <w:lang w:val="en-US"/>
        </w:rPr>
        <w:t xml:space="preserve">information about company’s </w:t>
      </w:r>
      <w:r w:rsidRPr="0082015D">
        <w:rPr>
          <w:rFonts w:ascii="Times New Roman" w:hAnsi="Times New Roman" w:cs="Times New Roman"/>
          <w:sz w:val="24"/>
          <w:lang w:val="en-US"/>
        </w:rPr>
        <w:t>business and financial information to potential investors</w:t>
      </w:r>
      <w:r>
        <w:rPr>
          <w:rFonts w:ascii="Times New Roman" w:hAnsi="Times New Roman" w:cs="Times New Roman"/>
          <w:sz w:val="24"/>
          <w:lang w:val="en-US"/>
        </w:rPr>
        <w:t>. The system of mandatory disclosure is also called</w:t>
      </w:r>
      <w:r w:rsidRPr="0082015D">
        <w:rPr>
          <w:rFonts w:ascii="Times New Roman" w:hAnsi="Times New Roman" w:cs="Times New Roman"/>
          <w:sz w:val="24"/>
          <w:lang w:val="en-US"/>
        </w:rPr>
        <w:t xml:space="preserve"> the integrated disclosure system.</w:t>
      </w:r>
      <w:r w:rsidRPr="00E155B7">
        <w:rPr>
          <w:rFonts w:ascii="Times New Roman" w:hAnsi="Times New Roman" w:cs="Times New Roman"/>
          <w:sz w:val="24"/>
          <w:lang w:val="en-US"/>
        </w:rPr>
        <w:t xml:space="preserve"> </w:t>
      </w:r>
      <w:r>
        <w:rPr>
          <w:rFonts w:ascii="Times New Roman" w:hAnsi="Times New Roman" w:cs="Times New Roman"/>
          <w:sz w:val="24"/>
          <w:lang w:val="en-US"/>
        </w:rPr>
        <w:t xml:space="preserve">In order to make disclosure system less </w:t>
      </w:r>
      <w:r w:rsidRPr="0082015D">
        <w:rPr>
          <w:rFonts w:ascii="Times New Roman" w:hAnsi="Times New Roman" w:cs="Times New Roman"/>
          <w:sz w:val="24"/>
          <w:lang w:val="en-US"/>
        </w:rPr>
        <w:t>burdensome</w:t>
      </w:r>
      <w:r>
        <w:rPr>
          <w:rFonts w:ascii="Times New Roman" w:hAnsi="Times New Roman" w:cs="Times New Roman"/>
          <w:sz w:val="24"/>
          <w:lang w:val="en-US"/>
        </w:rPr>
        <w:t xml:space="preserve"> for companies SEC standardized various</w:t>
      </w:r>
      <w:r w:rsidRPr="0082015D">
        <w:rPr>
          <w:rFonts w:ascii="Times New Roman" w:hAnsi="Times New Roman" w:cs="Times New Roman"/>
          <w:sz w:val="24"/>
          <w:lang w:val="en-US"/>
        </w:rPr>
        <w:t xml:space="preserve"> forms and </w:t>
      </w:r>
      <w:r>
        <w:rPr>
          <w:rFonts w:ascii="Times New Roman" w:hAnsi="Times New Roman" w:cs="Times New Roman"/>
          <w:sz w:val="24"/>
          <w:lang w:val="en-US"/>
        </w:rPr>
        <w:t>decreased the level of variation in disclosure rules to the SEC and company’s investors.</w:t>
      </w:r>
    </w:p>
    <w:p w:rsidR="002819BB" w:rsidRDefault="00CE2BAE" w:rsidP="00CE2BAE">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According to SEC disclosure requirements, p</w:t>
      </w:r>
      <w:r w:rsidRPr="0082015D">
        <w:rPr>
          <w:rFonts w:ascii="Times New Roman" w:hAnsi="Times New Roman" w:cs="Times New Roman"/>
          <w:sz w:val="24"/>
          <w:lang w:val="en-US"/>
        </w:rPr>
        <w:t>ublicly owned companies</w:t>
      </w:r>
      <w:r>
        <w:rPr>
          <w:rFonts w:ascii="Times New Roman" w:hAnsi="Times New Roman" w:cs="Times New Roman"/>
          <w:sz w:val="24"/>
          <w:lang w:val="en-US"/>
        </w:rPr>
        <w:t xml:space="preserve"> must provide</w:t>
      </w:r>
      <w:r w:rsidRPr="00E155B7">
        <w:rPr>
          <w:rFonts w:ascii="Times New Roman" w:hAnsi="Times New Roman" w:cs="Times New Roman"/>
          <w:sz w:val="24"/>
          <w:lang w:val="en-US"/>
        </w:rPr>
        <w:t xml:space="preserve"> </w:t>
      </w:r>
      <w:r w:rsidRPr="0082015D">
        <w:rPr>
          <w:rFonts w:ascii="Times New Roman" w:hAnsi="Times New Roman" w:cs="Times New Roman"/>
          <w:sz w:val="24"/>
          <w:lang w:val="en-US"/>
        </w:rPr>
        <w:t>two</w:t>
      </w:r>
      <w:r w:rsidR="009E7B11">
        <w:rPr>
          <w:rFonts w:ascii="Times New Roman" w:hAnsi="Times New Roman" w:cs="Times New Roman"/>
          <w:sz w:val="24"/>
          <w:lang w:val="en-US"/>
        </w:rPr>
        <w:t xml:space="preserve"> annual reports, one for the </w:t>
      </w:r>
      <w:r w:rsidRPr="008E7511">
        <w:rPr>
          <w:rFonts w:ascii="Times New Roman" w:hAnsi="Times New Roman" w:cs="Times New Roman"/>
          <w:sz w:val="24"/>
          <w:lang w:val="en-US"/>
        </w:rPr>
        <w:t>Securities and Exchange Commission</w:t>
      </w:r>
      <w:r w:rsidRPr="0082015D">
        <w:rPr>
          <w:rFonts w:ascii="Times New Roman" w:hAnsi="Times New Roman" w:cs="Times New Roman"/>
          <w:sz w:val="24"/>
          <w:lang w:val="en-US"/>
        </w:rPr>
        <w:t xml:space="preserve"> and </w:t>
      </w:r>
      <w:r>
        <w:rPr>
          <w:rFonts w:ascii="Times New Roman" w:hAnsi="Times New Roman" w:cs="Times New Roman"/>
          <w:sz w:val="24"/>
          <w:lang w:val="en-US"/>
        </w:rPr>
        <w:t>another</w:t>
      </w:r>
      <w:r w:rsidRPr="0082015D">
        <w:rPr>
          <w:rFonts w:ascii="Times New Roman" w:hAnsi="Times New Roman" w:cs="Times New Roman"/>
          <w:sz w:val="24"/>
          <w:lang w:val="en-US"/>
        </w:rPr>
        <w:t xml:space="preserve"> for </w:t>
      </w:r>
      <w:r>
        <w:rPr>
          <w:rFonts w:ascii="Times New Roman" w:hAnsi="Times New Roman" w:cs="Times New Roman"/>
          <w:sz w:val="24"/>
          <w:lang w:val="en-US"/>
        </w:rPr>
        <w:t>company’s</w:t>
      </w:r>
      <w:r w:rsidRPr="0082015D">
        <w:rPr>
          <w:rFonts w:ascii="Times New Roman" w:hAnsi="Times New Roman" w:cs="Times New Roman"/>
          <w:sz w:val="24"/>
          <w:lang w:val="en-US"/>
        </w:rPr>
        <w:t xml:space="preserve"> shareholders.</w:t>
      </w:r>
      <w:r>
        <w:rPr>
          <w:rFonts w:ascii="Times New Roman" w:hAnsi="Times New Roman" w:cs="Times New Roman"/>
          <w:sz w:val="24"/>
          <w:lang w:val="en-US"/>
        </w:rPr>
        <w:t xml:space="preserve"> The annual report prepared for SEC is called </w:t>
      </w:r>
      <w:r w:rsidRPr="0082015D">
        <w:rPr>
          <w:rFonts w:ascii="Times New Roman" w:hAnsi="Times New Roman" w:cs="Times New Roman"/>
          <w:sz w:val="24"/>
          <w:lang w:val="en-US"/>
        </w:rPr>
        <w:t>Form 10-K</w:t>
      </w:r>
      <w:r>
        <w:rPr>
          <w:rFonts w:ascii="Times New Roman" w:hAnsi="Times New Roman" w:cs="Times New Roman"/>
          <w:sz w:val="24"/>
          <w:lang w:val="en-US"/>
        </w:rPr>
        <w:t xml:space="preserve"> and the </w:t>
      </w:r>
      <w:r w:rsidRPr="0082015D">
        <w:rPr>
          <w:rFonts w:ascii="Times New Roman" w:hAnsi="Times New Roman" w:cs="Times New Roman"/>
          <w:sz w:val="24"/>
          <w:lang w:val="en-US"/>
        </w:rPr>
        <w:t>content</w:t>
      </w:r>
      <w:r>
        <w:rPr>
          <w:rFonts w:ascii="Times New Roman" w:hAnsi="Times New Roman" w:cs="Times New Roman"/>
          <w:sz w:val="24"/>
          <w:lang w:val="en-US"/>
        </w:rPr>
        <w:t xml:space="preserve"> of this form is strictly regulated </w:t>
      </w:r>
      <w:r w:rsidRPr="0082015D">
        <w:rPr>
          <w:rFonts w:ascii="Times New Roman" w:hAnsi="Times New Roman" w:cs="Times New Roman"/>
          <w:sz w:val="24"/>
          <w:lang w:val="en-US"/>
        </w:rPr>
        <w:t>by federal statutes</w:t>
      </w:r>
      <w:r>
        <w:rPr>
          <w:rFonts w:ascii="Times New Roman" w:hAnsi="Times New Roman" w:cs="Times New Roman"/>
          <w:sz w:val="24"/>
          <w:lang w:val="en-US"/>
        </w:rPr>
        <w:t>. However, the information</w:t>
      </w:r>
      <w:r w:rsidR="00766714">
        <w:rPr>
          <w:rFonts w:ascii="Times New Roman" w:hAnsi="Times New Roman" w:cs="Times New Roman"/>
          <w:sz w:val="24"/>
          <w:lang w:val="en-US"/>
        </w:rPr>
        <w:t xml:space="preserve"> provided</w:t>
      </w:r>
      <w:r>
        <w:rPr>
          <w:rFonts w:ascii="Times New Roman" w:hAnsi="Times New Roman" w:cs="Times New Roman"/>
          <w:sz w:val="24"/>
          <w:lang w:val="en-US"/>
        </w:rPr>
        <w:t xml:space="preserve"> </w:t>
      </w:r>
      <w:r w:rsidR="00766714">
        <w:rPr>
          <w:rFonts w:ascii="Times New Roman" w:hAnsi="Times New Roman" w:cs="Times New Roman"/>
          <w:sz w:val="24"/>
          <w:lang w:val="en-US"/>
        </w:rPr>
        <w:t>in</w:t>
      </w:r>
      <w:r>
        <w:rPr>
          <w:rFonts w:ascii="Times New Roman" w:hAnsi="Times New Roman" w:cs="Times New Roman"/>
          <w:sz w:val="24"/>
          <w:lang w:val="en-US"/>
        </w:rPr>
        <w:t xml:space="preserve"> annual report</w:t>
      </w:r>
      <w:r w:rsidR="00766714">
        <w:rPr>
          <w:rFonts w:ascii="Times New Roman" w:hAnsi="Times New Roman" w:cs="Times New Roman"/>
          <w:sz w:val="24"/>
          <w:lang w:val="en-US"/>
        </w:rPr>
        <w:t>s</w:t>
      </w:r>
      <w:r>
        <w:rPr>
          <w:rFonts w:ascii="Times New Roman" w:hAnsi="Times New Roman" w:cs="Times New Roman"/>
          <w:sz w:val="24"/>
          <w:lang w:val="en-US"/>
        </w:rPr>
        <w:t xml:space="preserve"> for s</w:t>
      </w:r>
      <w:r w:rsidR="00766714">
        <w:rPr>
          <w:rFonts w:ascii="Times New Roman" w:hAnsi="Times New Roman" w:cs="Times New Roman"/>
          <w:sz w:val="24"/>
          <w:lang w:val="en-US"/>
        </w:rPr>
        <w:t>hare</w:t>
      </w:r>
      <w:r>
        <w:rPr>
          <w:rFonts w:ascii="Times New Roman" w:hAnsi="Times New Roman" w:cs="Times New Roman"/>
          <w:sz w:val="24"/>
          <w:lang w:val="en-US"/>
        </w:rPr>
        <w:t xml:space="preserve">holders was not strictly governed. </w:t>
      </w:r>
      <w:r w:rsidRPr="00CD0C0C">
        <w:rPr>
          <w:rFonts w:ascii="Times New Roman" w:hAnsi="Times New Roman" w:cs="Times New Roman"/>
          <w:sz w:val="24"/>
          <w:lang w:val="en-US"/>
        </w:rPr>
        <w:t>Over the years,</w:t>
      </w:r>
      <w:r>
        <w:rPr>
          <w:rFonts w:ascii="Times New Roman" w:hAnsi="Times New Roman" w:cs="Times New Roman"/>
          <w:sz w:val="24"/>
          <w:lang w:val="en-US"/>
        </w:rPr>
        <w:t xml:space="preserve"> the SEC managed to get more influence on the annual reports’ content.</w:t>
      </w:r>
      <w:r w:rsidR="002819BB" w:rsidRPr="00CD0C0C">
        <w:rPr>
          <w:rFonts w:ascii="Times New Roman" w:hAnsi="Times New Roman" w:cs="Times New Roman"/>
          <w:sz w:val="24"/>
          <w:lang w:val="en-US"/>
        </w:rPr>
        <w:t xml:space="preserve"> </w:t>
      </w:r>
    </w:p>
    <w:p w:rsidR="00140828" w:rsidRDefault="00766714" w:rsidP="00140828">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In the annual reports for share</w:t>
      </w:r>
      <w:r w:rsidR="00140828">
        <w:rPr>
          <w:rFonts w:ascii="Times New Roman" w:hAnsi="Times New Roman" w:cs="Times New Roman"/>
          <w:sz w:val="24"/>
          <w:lang w:val="en-US"/>
        </w:rPr>
        <w:t xml:space="preserve">holders and potential investors companies must include </w:t>
      </w:r>
      <w:r w:rsidR="00140828" w:rsidRPr="00CD0C0C">
        <w:rPr>
          <w:rFonts w:ascii="Times New Roman" w:hAnsi="Times New Roman" w:cs="Times New Roman"/>
          <w:sz w:val="24"/>
          <w:lang w:val="en-US"/>
        </w:rPr>
        <w:t>certified financial statements and other specific items.</w:t>
      </w:r>
      <w:r w:rsidR="00140828">
        <w:rPr>
          <w:rFonts w:ascii="Times New Roman" w:hAnsi="Times New Roman" w:cs="Times New Roman"/>
          <w:sz w:val="24"/>
          <w:lang w:val="en-US"/>
        </w:rPr>
        <w:t xml:space="preserve"> The content of </w:t>
      </w:r>
      <w:r w:rsidR="00140828" w:rsidRPr="00CD0C0C">
        <w:rPr>
          <w:rFonts w:ascii="Times New Roman" w:hAnsi="Times New Roman" w:cs="Times New Roman"/>
          <w:sz w:val="24"/>
          <w:lang w:val="en-US"/>
        </w:rPr>
        <w:t>financial statements</w:t>
      </w:r>
      <w:r w:rsidR="00140828">
        <w:rPr>
          <w:rFonts w:ascii="Times New Roman" w:hAnsi="Times New Roman" w:cs="Times New Roman"/>
          <w:sz w:val="24"/>
          <w:lang w:val="en-US"/>
        </w:rPr>
        <w:t xml:space="preserve"> comprises t</w:t>
      </w:r>
      <w:r w:rsidR="00140828" w:rsidRPr="00CD0C0C">
        <w:rPr>
          <w:rFonts w:ascii="Times New Roman" w:hAnsi="Times New Roman" w:cs="Times New Roman"/>
          <w:sz w:val="24"/>
          <w:lang w:val="en-US"/>
        </w:rPr>
        <w:t>wo-year audited balance sheet and a three-year audited statement of income and cash flows</w:t>
      </w:r>
      <w:r w:rsidR="00140828">
        <w:rPr>
          <w:rFonts w:ascii="Times New Roman" w:hAnsi="Times New Roman" w:cs="Times New Roman"/>
          <w:sz w:val="24"/>
          <w:lang w:val="en-US"/>
        </w:rPr>
        <w:t xml:space="preserve">. Additionally annual reports must contain </w:t>
      </w:r>
      <w:r w:rsidR="00140828" w:rsidRPr="00CD0C0C">
        <w:rPr>
          <w:rFonts w:ascii="Times New Roman" w:hAnsi="Times New Roman" w:cs="Times New Roman"/>
          <w:sz w:val="24"/>
          <w:lang w:val="en-US"/>
        </w:rPr>
        <w:t>five years of selected financial data, including</w:t>
      </w:r>
      <w:r w:rsidR="00140828">
        <w:rPr>
          <w:rFonts w:ascii="Times New Roman" w:hAnsi="Times New Roman" w:cs="Times New Roman"/>
          <w:sz w:val="24"/>
          <w:lang w:val="en-US"/>
        </w:rPr>
        <w:t xml:space="preserve"> </w:t>
      </w:r>
      <w:r w:rsidR="00140828" w:rsidRPr="00CD0C0C">
        <w:rPr>
          <w:rFonts w:ascii="Times New Roman" w:hAnsi="Times New Roman" w:cs="Times New Roman"/>
          <w:sz w:val="24"/>
          <w:lang w:val="en-US"/>
        </w:rPr>
        <w:lastRenderedPageBreak/>
        <w:t>income or loss from continuing operations</w:t>
      </w:r>
      <w:r w:rsidR="00140828">
        <w:rPr>
          <w:rFonts w:ascii="Times New Roman" w:hAnsi="Times New Roman" w:cs="Times New Roman"/>
          <w:sz w:val="24"/>
          <w:lang w:val="en-US"/>
        </w:rPr>
        <w:t xml:space="preserve">, </w:t>
      </w:r>
      <w:r w:rsidR="00140828" w:rsidRPr="00CD0C0C">
        <w:rPr>
          <w:rFonts w:ascii="Times New Roman" w:hAnsi="Times New Roman" w:cs="Times New Roman"/>
          <w:sz w:val="24"/>
          <w:lang w:val="en-US"/>
        </w:rPr>
        <w:t>net sales or operating revenues</w:t>
      </w:r>
      <w:r w:rsidR="00140828">
        <w:rPr>
          <w:rFonts w:ascii="Times New Roman" w:hAnsi="Times New Roman" w:cs="Times New Roman"/>
          <w:sz w:val="24"/>
          <w:lang w:val="en-US"/>
        </w:rPr>
        <w:t xml:space="preserve">, </w:t>
      </w:r>
      <w:r w:rsidR="00140828" w:rsidRPr="00CD0C0C">
        <w:rPr>
          <w:rFonts w:ascii="Times New Roman" w:hAnsi="Times New Roman" w:cs="Times New Roman"/>
          <w:sz w:val="24"/>
          <w:lang w:val="en-US"/>
        </w:rPr>
        <w:t>total assets, long-term obligations and redeemable preferred stock, and cash dividends declared per common share.</w:t>
      </w:r>
      <w:r w:rsidR="00B3017B">
        <w:rPr>
          <w:rStyle w:val="a6"/>
          <w:rFonts w:ascii="Times New Roman" w:hAnsi="Times New Roman" w:cs="Times New Roman"/>
          <w:sz w:val="24"/>
          <w:lang w:val="en-US"/>
        </w:rPr>
        <w:footnoteReference w:id="13"/>
      </w:r>
      <w:r w:rsidR="00140828">
        <w:rPr>
          <w:rFonts w:ascii="Times New Roman" w:hAnsi="Times New Roman" w:cs="Times New Roman"/>
          <w:sz w:val="24"/>
          <w:lang w:val="en-US"/>
        </w:rPr>
        <w:t xml:space="preserve"> </w:t>
      </w:r>
    </w:p>
    <w:p w:rsidR="002819BB" w:rsidRDefault="002819BB" w:rsidP="002819BB">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Specifically for banking industry </w:t>
      </w:r>
      <w:r w:rsidRPr="00603FB9">
        <w:rPr>
          <w:rFonts w:ascii="Times New Roman" w:hAnsi="Times New Roman" w:cs="Times New Roman"/>
          <w:sz w:val="24"/>
          <w:lang w:val="en-US"/>
        </w:rPr>
        <w:t>The Basel Committee on Banking Supervision</w:t>
      </w:r>
      <w:r>
        <w:rPr>
          <w:rFonts w:ascii="Times New Roman" w:hAnsi="Times New Roman" w:cs="Times New Roman"/>
          <w:sz w:val="24"/>
          <w:lang w:val="en-US"/>
        </w:rPr>
        <w:t xml:space="preserve"> (BCBS) issued the document </w:t>
      </w:r>
      <w:r w:rsidR="00766714">
        <w:rPr>
          <w:rFonts w:ascii="Times New Roman" w:hAnsi="Times New Roman" w:cs="Times New Roman"/>
          <w:sz w:val="24"/>
          <w:lang w:val="en-US"/>
        </w:rPr>
        <w:t>Basel I</w:t>
      </w:r>
      <w:r w:rsidRPr="00603FB9">
        <w:rPr>
          <w:rFonts w:ascii="Times New Roman" w:hAnsi="Times New Roman" w:cs="Times New Roman"/>
          <w:sz w:val="24"/>
          <w:lang w:val="en-US"/>
        </w:rPr>
        <w:t>I</w:t>
      </w:r>
      <w:r>
        <w:rPr>
          <w:rFonts w:ascii="Times New Roman" w:hAnsi="Times New Roman" w:cs="Times New Roman"/>
          <w:sz w:val="24"/>
          <w:lang w:val="en-US"/>
        </w:rPr>
        <w:t xml:space="preserve"> that is </w:t>
      </w:r>
      <w:r w:rsidRPr="00603FB9">
        <w:rPr>
          <w:rFonts w:ascii="Times New Roman" w:hAnsi="Times New Roman" w:cs="Times New Roman"/>
          <w:sz w:val="24"/>
          <w:lang w:val="en-US"/>
        </w:rPr>
        <w:t>a global, voluntary regulatory framework on bank </w:t>
      </w:r>
      <w:hyperlink r:id="rId19" w:tooltip="Capital adequacy" w:history="1">
        <w:r w:rsidRPr="00603FB9">
          <w:rPr>
            <w:rFonts w:ascii="Times New Roman" w:hAnsi="Times New Roman" w:cs="Times New Roman"/>
            <w:sz w:val="24"/>
            <w:lang w:val="en-US"/>
          </w:rPr>
          <w:t>capital adequacy</w:t>
        </w:r>
      </w:hyperlink>
      <w:r w:rsidRPr="00603FB9">
        <w:rPr>
          <w:rFonts w:ascii="Times New Roman" w:hAnsi="Times New Roman" w:cs="Times New Roman"/>
          <w:sz w:val="24"/>
          <w:lang w:val="en-US"/>
        </w:rPr>
        <w:t>, </w:t>
      </w:r>
      <w:hyperlink r:id="rId20" w:tooltip="Market liquidity" w:history="1">
        <w:r w:rsidR="00140828" w:rsidRPr="00603FB9">
          <w:rPr>
            <w:rFonts w:ascii="Times New Roman" w:hAnsi="Times New Roman" w:cs="Times New Roman"/>
            <w:sz w:val="24"/>
            <w:lang w:val="en-US"/>
          </w:rPr>
          <w:t>market liquidity</w:t>
        </w:r>
      </w:hyperlink>
      <w:r w:rsidR="00140828" w:rsidRPr="00603FB9">
        <w:rPr>
          <w:rFonts w:ascii="Times New Roman" w:hAnsi="Times New Roman" w:cs="Times New Roman"/>
          <w:sz w:val="24"/>
          <w:lang w:val="en-US"/>
        </w:rPr>
        <w:t> </w:t>
      </w:r>
      <w:hyperlink r:id="rId21" w:tooltip="Liquidity risk" w:history="1">
        <w:r w:rsidR="00140828" w:rsidRPr="00603FB9">
          <w:rPr>
            <w:rFonts w:ascii="Times New Roman" w:hAnsi="Times New Roman" w:cs="Times New Roman"/>
            <w:sz w:val="24"/>
            <w:lang w:val="en-US"/>
          </w:rPr>
          <w:t>risk</w:t>
        </w:r>
      </w:hyperlink>
      <w:r w:rsidR="00140828">
        <w:rPr>
          <w:rFonts w:ascii="Times New Roman" w:hAnsi="Times New Roman" w:cs="Times New Roman"/>
          <w:sz w:val="24"/>
          <w:lang w:val="en-US"/>
        </w:rPr>
        <w:t xml:space="preserve">, and </w:t>
      </w:r>
      <w:hyperlink r:id="rId22" w:tooltip="Bank stress tests" w:history="1">
        <w:r w:rsidRPr="00603FB9">
          <w:rPr>
            <w:rFonts w:ascii="Times New Roman" w:hAnsi="Times New Roman" w:cs="Times New Roman"/>
            <w:sz w:val="24"/>
            <w:lang w:val="en-US"/>
          </w:rPr>
          <w:t>stress testing</w:t>
        </w:r>
      </w:hyperlink>
      <w:r w:rsidRPr="00603FB9">
        <w:rPr>
          <w:rFonts w:ascii="Times New Roman" w:hAnsi="Times New Roman" w:cs="Times New Roman"/>
          <w:sz w:val="24"/>
          <w:lang w:val="en-US"/>
        </w:rPr>
        <w:t>.</w:t>
      </w:r>
      <w:r>
        <w:rPr>
          <w:rFonts w:ascii="Times New Roman" w:hAnsi="Times New Roman" w:cs="Times New Roman"/>
          <w:sz w:val="24"/>
          <w:lang w:val="en-US"/>
        </w:rPr>
        <w:t xml:space="preserve"> The BCBS recognizes market discipline as a key objective and claims that the </w:t>
      </w:r>
      <w:r w:rsidRPr="00603FB9">
        <w:rPr>
          <w:rFonts w:ascii="Times New Roman" w:hAnsi="Times New Roman" w:cs="Times New Roman"/>
          <w:sz w:val="24"/>
          <w:lang w:val="en-US"/>
        </w:rPr>
        <w:t>provision of meaningful information about common key risk metrics to market participants is a fundamental tenet of a sound banking system. It reduces information asymmetry and helps promote comparability of banks’ risk profiles within and across jurisdictions.</w:t>
      </w:r>
      <w:r>
        <w:rPr>
          <w:rFonts w:ascii="Times New Roman" w:hAnsi="Times New Roman" w:cs="Times New Roman"/>
          <w:sz w:val="24"/>
          <w:lang w:val="en-US"/>
        </w:rPr>
        <w:t xml:space="preserve"> </w:t>
      </w:r>
    </w:p>
    <w:p w:rsidR="003E0DB3" w:rsidRDefault="003E0DB3" w:rsidP="003E0DB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primary goal of Pillar 3 of </w:t>
      </w:r>
      <w:r w:rsidRPr="00962CB0">
        <w:rPr>
          <w:rFonts w:ascii="Times New Roman" w:hAnsi="Times New Roman" w:cs="Times New Roman"/>
          <w:sz w:val="24"/>
          <w:lang w:val="en-US"/>
        </w:rPr>
        <w:t>the Basel</w:t>
      </w:r>
      <w:r>
        <w:rPr>
          <w:rFonts w:ascii="Times New Roman" w:hAnsi="Times New Roman" w:cs="Times New Roman"/>
          <w:sz w:val="24"/>
          <w:lang w:val="en-US"/>
        </w:rPr>
        <w:t xml:space="preserve"> II </w:t>
      </w:r>
      <w:r w:rsidRPr="00962CB0">
        <w:rPr>
          <w:rFonts w:ascii="Times New Roman" w:hAnsi="Times New Roman" w:cs="Times New Roman"/>
          <w:sz w:val="24"/>
          <w:lang w:val="en-US"/>
        </w:rPr>
        <w:t>framework</w:t>
      </w:r>
      <w:r>
        <w:rPr>
          <w:rFonts w:ascii="Times New Roman" w:hAnsi="Times New Roman" w:cs="Times New Roman"/>
          <w:sz w:val="24"/>
          <w:lang w:val="en-US"/>
        </w:rPr>
        <w:t xml:space="preserve"> is to encourage </w:t>
      </w:r>
      <w:r w:rsidRPr="00962CB0">
        <w:rPr>
          <w:rFonts w:ascii="Times New Roman" w:hAnsi="Times New Roman" w:cs="Times New Roman"/>
          <w:sz w:val="24"/>
          <w:lang w:val="en-US"/>
        </w:rPr>
        <w:t xml:space="preserve">market discipline through regulatory disclosure </w:t>
      </w:r>
      <w:r>
        <w:rPr>
          <w:rFonts w:ascii="Times New Roman" w:hAnsi="Times New Roman" w:cs="Times New Roman"/>
          <w:sz w:val="24"/>
          <w:lang w:val="en-US"/>
        </w:rPr>
        <w:t>rules</w:t>
      </w:r>
      <w:r w:rsidRPr="00962CB0">
        <w:rPr>
          <w:rFonts w:ascii="Times New Roman" w:hAnsi="Times New Roman" w:cs="Times New Roman"/>
          <w:sz w:val="24"/>
          <w:lang w:val="en-US"/>
        </w:rPr>
        <w:t>.</w:t>
      </w:r>
      <w:r>
        <w:rPr>
          <w:rFonts w:ascii="Times New Roman" w:hAnsi="Times New Roman" w:cs="Times New Roman"/>
          <w:sz w:val="24"/>
          <w:lang w:val="en-US"/>
        </w:rPr>
        <w:t xml:space="preserve"> </w:t>
      </w:r>
      <w:r w:rsidRPr="00DF489A">
        <w:rPr>
          <w:rFonts w:ascii="Times New Roman" w:hAnsi="Times New Roman" w:cs="Times New Roman"/>
          <w:sz w:val="24"/>
          <w:lang w:val="en-US"/>
        </w:rPr>
        <w:t>Disclosure</w:t>
      </w:r>
      <w:r>
        <w:rPr>
          <w:rFonts w:ascii="Times New Roman" w:hAnsi="Times New Roman" w:cs="Times New Roman"/>
          <w:sz w:val="24"/>
          <w:lang w:val="en-US"/>
        </w:rPr>
        <w:t xml:space="preserve"> requirements enable market participants to obtain important information of the company’s </w:t>
      </w:r>
      <w:r w:rsidRPr="00DF489A">
        <w:rPr>
          <w:rFonts w:ascii="Times New Roman" w:hAnsi="Times New Roman" w:cs="Times New Roman"/>
          <w:sz w:val="24"/>
          <w:lang w:val="en-US"/>
        </w:rPr>
        <w:t>capital</w:t>
      </w:r>
      <w:r>
        <w:rPr>
          <w:rFonts w:ascii="Times New Roman" w:hAnsi="Times New Roman" w:cs="Times New Roman"/>
          <w:sz w:val="24"/>
          <w:lang w:val="en-US"/>
        </w:rPr>
        <w:t>,</w:t>
      </w:r>
      <w:r w:rsidRPr="00FF0DD2">
        <w:rPr>
          <w:rFonts w:ascii="Times New Roman" w:hAnsi="Times New Roman" w:cs="Times New Roman"/>
          <w:sz w:val="24"/>
          <w:lang w:val="en-US"/>
        </w:rPr>
        <w:t xml:space="preserve"> </w:t>
      </w:r>
      <w:r w:rsidRPr="00DF489A">
        <w:rPr>
          <w:rFonts w:ascii="Times New Roman" w:hAnsi="Times New Roman" w:cs="Times New Roman"/>
          <w:sz w:val="24"/>
          <w:lang w:val="en-US"/>
        </w:rPr>
        <w:t>risk assessment processes</w:t>
      </w:r>
      <w:r>
        <w:rPr>
          <w:rFonts w:ascii="Times New Roman" w:hAnsi="Times New Roman" w:cs="Times New Roman"/>
          <w:sz w:val="24"/>
          <w:lang w:val="en-US"/>
        </w:rPr>
        <w:t>, risk exposures</w:t>
      </w:r>
      <w:r w:rsidRPr="00FF0DD2">
        <w:rPr>
          <w:rFonts w:ascii="Times New Roman" w:hAnsi="Times New Roman" w:cs="Times New Roman"/>
          <w:sz w:val="24"/>
          <w:lang w:val="en-US"/>
        </w:rPr>
        <w:t xml:space="preserve"> </w:t>
      </w:r>
      <w:r w:rsidRPr="00DF489A">
        <w:rPr>
          <w:rFonts w:ascii="Times New Roman" w:hAnsi="Times New Roman" w:cs="Times New Roman"/>
          <w:sz w:val="24"/>
          <w:lang w:val="en-US"/>
        </w:rPr>
        <w:t>and hence the capital adequacy of the institution.</w:t>
      </w:r>
      <w:r>
        <w:rPr>
          <w:rFonts w:ascii="Times New Roman" w:hAnsi="Times New Roman" w:cs="Times New Roman"/>
          <w:sz w:val="24"/>
          <w:lang w:val="en-US"/>
        </w:rPr>
        <w:t xml:space="preserve"> The availability of this information in turn promote </w:t>
      </w:r>
      <w:r w:rsidRPr="00DF489A">
        <w:rPr>
          <w:rFonts w:ascii="Times New Roman" w:hAnsi="Times New Roman" w:cs="Times New Roman"/>
          <w:sz w:val="24"/>
          <w:lang w:val="en-US"/>
        </w:rPr>
        <w:t>market discipline</w:t>
      </w:r>
      <w:r>
        <w:rPr>
          <w:rFonts w:ascii="Times New Roman" w:hAnsi="Times New Roman" w:cs="Times New Roman"/>
          <w:sz w:val="24"/>
          <w:lang w:val="en-US"/>
        </w:rPr>
        <w:t>.</w:t>
      </w:r>
    </w:p>
    <w:p w:rsidR="002819BB" w:rsidRDefault="002819BB" w:rsidP="002819BB">
      <w:pPr>
        <w:spacing w:line="360" w:lineRule="auto"/>
        <w:ind w:firstLine="708"/>
        <w:jc w:val="both"/>
        <w:rPr>
          <w:rFonts w:ascii="Times New Roman" w:hAnsi="Times New Roman" w:cs="Times New Roman"/>
          <w:sz w:val="24"/>
          <w:lang w:val="en-US"/>
        </w:rPr>
      </w:pPr>
      <w:r w:rsidRPr="008A4E5E">
        <w:rPr>
          <w:rFonts w:ascii="Times New Roman" w:hAnsi="Times New Roman" w:cs="Times New Roman"/>
          <w:sz w:val="24"/>
          <w:lang w:val="en-US"/>
        </w:rPr>
        <w:t xml:space="preserve">The </w:t>
      </w:r>
      <w:r w:rsidRPr="00603FB9">
        <w:rPr>
          <w:rFonts w:ascii="Times New Roman" w:hAnsi="Times New Roman" w:cs="Times New Roman"/>
          <w:sz w:val="24"/>
          <w:lang w:val="en-US"/>
        </w:rPr>
        <w:t>Basel Committee on Banking Supervision</w:t>
      </w:r>
      <w:r>
        <w:rPr>
          <w:rFonts w:ascii="Times New Roman" w:hAnsi="Times New Roman" w:cs="Times New Roman"/>
          <w:sz w:val="24"/>
          <w:lang w:val="en-US"/>
        </w:rPr>
        <w:t xml:space="preserve"> </w:t>
      </w:r>
      <w:r w:rsidRPr="00627B9A">
        <w:rPr>
          <w:rFonts w:ascii="Times New Roman" w:hAnsi="Times New Roman" w:cs="Times New Roman"/>
          <w:sz w:val="24"/>
          <w:lang w:val="en-US"/>
        </w:rPr>
        <w:t xml:space="preserve">has </w:t>
      </w:r>
      <w:r>
        <w:rPr>
          <w:rFonts w:ascii="Times New Roman" w:hAnsi="Times New Roman" w:cs="Times New Roman"/>
          <w:sz w:val="24"/>
          <w:lang w:val="en-US"/>
        </w:rPr>
        <w:t>formulated</w:t>
      </w:r>
      <w:r w:rsidRPr="00627B9A">
        <w:rPr>
          <w:rFonts w:ascii="Times New Roman" w:hAnsi="Times New Roman" w:cs="Times New Roman"/>
          <w:sz w:val="24"/>
          <w:lang w:val="en-US"/>
        </w:rPr>
        <w:t xml:space="preserve"> five guiding principles for banks’ Pillar 3 risk disclosures. </w:t>
      </w:r>
      <w:r>
        <w:rPr>
          <w:rFonts w:ascii="Times New Roman" w:hAnsi="Times New Roman" w:cs="Times New Roman"/>
          <w:sz w:val="24"/>
          <w:lang w:val="en-US"/>
        </w:rPr>
        <w:t>These principles will enable market participants to</w:t>
      </w:r>
      <w:r w:rsidR="00766714">
        <w:rPr>
          <w:rFonts w:ascii="Times New Roman" w:hAnsi="Times New Roman" w:cs="Times New Roman"/>
          <w:sz w:val="24"/>
          <w:lang w:val="en-US"/>
        </w:rPr>
        <w:t xml:space="preserve"> </w:t>
      </w:r>
      <w:r>
        <w:rPr>
          <w:rFonts w:ascii="Times New Roman" w:hAnsi="Times New Roman" w:cs="Times New Roman"/>
          <w:sz w:val="24"/>
          <w:lang w:val="en-US"/>
        </w:rPr>
        <w:t>understand the bank’s business and its risks</w:t>
      </w:r>
      <w:r w:rsidR="004622AE">
        <w:rPr>
          <w:rFonts w:ascii="Times New Roman" w:hAnsi="Times New Roman" w:cs="Times New Roman"/>
          <w:sz w:val="24"/>
          <w:lang w:val="en-US"/>
        </w:rPr>
        <w:t xml:space="preserve"> clearly</w:t>
      </w:r>
      <w:r w:rsidRPr="00627B9A">
        <w:rPr>
          <w:rFonts w:ascii="Times New Roman" w:hAnsi="Times New Roman" w:cs="Times New Roman"/>
          <w:sz w:val="24"/>
          <w:lang w:val="en-US"/>
        </w:rPr>
        <w:t>. The principles are as follows:</w:t>
      </w:r>
    </w:p>
    <w:p w:rsidR="002819BB" w:rsidRPr="007A339C" w:rsidRDefault="002819BB" w:rsidP="007A339C">
      <w:pPr>
        <w:pStyle w:val="a3"/>
        <w:numPr>
          <w:ilvl w:val="0"/>
          <w:numId w:val="10"/>
        </w:numPr>
        <w:spacing w:after="160" w:line="360" w:lineRule="auto"/>
        <w:jc w:val="both"/>
        <w:rPr>
          <w:lang w:val="en-US"/>
        </w:rPr>
      </w:pPr>
      <w:r w:rsidRPr="00627B9A">
        <w:rPr>
          <w:b/>
          <w:lang w:val="en-US"/>
        </w:rPr>
        <w:t>Disclosures should be clear</w:t>
      </w:r>
      <w:r w:rsidRPr="00627B9A">
        <w:rPr>
          <w:lang w:val="en-US"/>
        </w:rPr>
        <w:t xml:space="preserve">. </w:t>
      </w:r>
      <w:r w:rsidR="007A339C" w:rsidRPr="007A339C">
        <w:rPr>
          <w:lang w:val="en-US"/>
        </w:rPr>
        <w:t>All information provided through corporate disclosure should be displayed in a way that company’s stakeholder can easily understand it. Important points in disclosure   should be highlighted. Additionally if report contain some complex issues, they should be explained in simple language</w:t>
      </w:r>
      <w:r w:rsidRPr="007A339C">
        <w:rPr>
          <w:lang w:val="en-US"/>
        </w:rPr>
        <w:t>. Related risk information should be presented together.</w:t>
      </w:r>
    </w:p>
    <w:p w:rsidR="007676C7" w:rsidRPr="007676C7" w:rsidRDefault="002819BB" w:rsidP="007676C7">
      <w:pPr>
        <w:pStyle w:val="a3"/>
        <w:numPr>
          <w:ilvl w:val="0"/>
          <w:numId w:val="10"/>
        </w:numPr>
        <w:spacing w:after="160" w:line="360" w:lineRule="auto"/>
        <w:jc w:val="both"/>
        <w:rPr>
          <w:lang w:val="en-US"/>
        </w:rPr>
      </w:pPr>
      <w:r w:rsidRPr="00C06B1B">
        <w:rPr>
          <w:b/>
          <w:lang w:val="en-US"/>
        </w:rPr>
        <w:t xml:space="preserve">Disclosures should be comprehensive. </w:t>
      </w:r>
      <w:r w:rsidR="007676C7" w:rsidRPr="007676C7">
        <w:rPr>
          <w:lang w:val="en-US"/>
        </w:rPr>
        <w:t>Disclosure should provide information about bank’s main activities, all major risks incorporated in those activities, some qualitative and quantitative information on how bank identifies, measures and manages those risks.  All should be described in a way that bank’s key stakeholders could</w:t>
      </w:r>
      <w:r w:rsidR="007676C7">
        <w:rPr>
          <w:lang w:val="en-US"/>
        </w:rPr>
        <w:t xml:space="preserve"> better</w:t>
      </w:r>
      <w:r w:rsidR="007676C7" w:rsidRPr="007676C7">
        <w:rPr>
          <w:lang w:val="en-US"/>
        </w:rPr>
        <w:t xml:space="preserve"> understand bank’s risk tolerance. </w:t>
      </w:r>
    </w:p>
    <w:p w:rsidR="002819BB" w:rsidRPr="002100E3" w:rsidRDefault="002819BB" w:rsidP="002D2173">
      <w:pPr>
        <w:pStyle w:val="a3"/>
        <w:numPr>
          <w:ilvl w:val="0"/>
          <w:numId w:val="10"/>
        </w:numPr>
        <w:spacing w:after="160" w:line="360" w:lineRule="auto"/>
        <w:jc w:val="both"/>
        <w:rPr>
          <w:lang w:val="en-US"/>
        </w:rPr>
      </w:pPr>
      <w:r w:rsidRPr="002100E3">
        <w:rPr>
          <w:b/>
          <w:lang w:val="en-US"/>
        </w:rPr>
        <w:t>Disclosures should be meaningful to user.</w:t>
      </w:r>
      <w:r w:rsidR="002100E3" w:rsidRPr="002100E3">
        <w:rPr>
          <w:b/>
          <w:lang w:val="en-US"/>
        </w:rPr>
        <w:t xml:space="preserve"> </w:t>
      </w:r>
      <w:r w:rsidR="002100E3" w:rsidRPr="002100E3">
        <w:rPr>
          <w:lang w:val="en-US"/>
        </w:rPr>
        <w:t xml:space="preserve">The most important current and emerging risks and how they are managed should be highlighted in the disclosure. Managers should provide relevant references to balance sheet and income </w:t>
      </w:r>
      <w:r w:rsidR="002100E3" w:rsidRPr="002100E3">
        <w:rPr>
          <w:lang w:val="en-US"/>
        </w:rPr>
        <w:lastRenderedPageBreak/>
        <w:t>statement. The information that is not actual and may mislead users must be eliminated</w:t>
      </w:r>
      <w:r w:rsidR="002100E3">
        <w:rPr>
          <w:lang w:val="en-US"/>
        </w:rPr>
        <w:t>.</w:t>
      </w:r>
      <w:r w:rsidRPr="002100E3">
        <w:rPr>
          <w:lang w:val="en-US"/>
        </w:rPr>
        <w:t xml:space="preserve"> </w:t>
      </w:r>
    </w:p>
    <w:p w:rsidR="00FD0E35" w:rsidRPr="00FD0E35" w:rsidRDefault="002819BB" w:rsidP="00FD0E35">
      <w:pPr>
        <w:pStyle w:val="a3"/>
        <w:numPr>
          <w:ilvl w:val="0"/>
          <w:numId w:val="10"/>
        </w:numPr>
        <w:spacing w:after="160" w:line="360" w:lineRule="auto"/>
        <w:jc w:val="both"/>
        <w:rPr>
          <w:lang w:val="en-US"/>
        </w:rPr>
      </w:pPr>
      <w:r w:rsidRPr="00C06B1B">
        <w:rPr>
          <w:b/>
          <w:lang w:val="en-US"/>
        </w:rPr>
        <w:t>Disclosures should be consistent over time</w:t>
      </w:r>
      <w:r>
        <w:rPr>
          <w:lang w:val="en-US"/>
        </w:rPr>
        <w:t>.</w:t>
      </w:r>
      <w:r w:rsidR="00FD0E35">
        <w:rPr>
          <w:lang w:val="en-US"/>
        </w:rPr>
        <w:t xml:space="preserve"> </w:t>
      </w:r>
      <w:r w:rsidR="00FD0E35" w:rsidRPr="00FD0E35">
        <w:rPr>
          <w:lang w:val="en-US"/>
        </w:rPr>
        <w:t>According to this principle, disclosure should be consistent over time in order to enable main users of disclosure to spot main trends in a bank’s risk profile across all significant aspects of its business.</w:t>
      </w:r>
    </w:p>
    <w:p w:rsidR="002819BB" w:rsidRPr="00627B9A" w:rsidRDefault="002819BB" w:rsidP="002819BB">
      <w:pPr>
        <w:pStyle w:val="a3"/>
        <w:numPr>
          <w:ilvl w:val="0"/>
          <w:numId w:val="10"/>
        </w:numPr>
        <w:spacing w:after="160" w:line="360" w:lineRule="auto"/>
        <w:jc w:val="both"/>
        <w:rPr>
          <w:lang w:val="en-US"/>
        </w:rPr>
      </w:pPr>
      <w:r w:rsidRPr="00C06B1B">
        <w:rPr>
          <w:b/>
          <w:lang w:val="en-US"/>
        </w:rPr>
        <w:t>Disclosures should be comparable across banks</w:t>
      </w:r>
      <w:r>
        <w:rPr>
          <w:lang w:val="en-US"/>
        </w:rPr>
        <w:t>. The format of disclosure presentation should enable the market participants to conduct</w:t>
      </w:r>
      <w:r w:rsidRPr="00C06B1B">
        <w:rPr>
          <w:lang w:val="en-US"/>
        </w:rPr>
        <w:t xml:space="preserve"> meaningful comparisons of b</w:t>
      </w:r>
      <w:r>
        <w:rPr>
          <w:lang w:val="en-US"/>
        </w:rPr>
        <w:t>usiness activities,</w:t>
      </w:r>
      <w:r w:rsidRPr="00C06B1B">
        <w:rPr>
          <w:lang w:val="en-US"/>
        </w:rPr>
        <w:t xml:space="preserve"> risk management </w:t>
      </w:r>
      <w:r>
        <w:rPr>
          <w:lang w:val="en-US"/>
        </w:rPr>
        <w:t xml:space="preserve">and risks </w:t>
      </w:r>
      <w:r w:rsidRPr="00C06B1B">
        <w:rPr>
          <w:lang w:val="en-US"/>
        </w:rPr>
        <w:t xml:space="preserve">between </w:t>
      </w:r>
      <w:r w:rsidR="00FD0E35">
        <w:rPr>
          <w:lang w:val="en-US"/>
        </w:rPr>
        <w:t>different</w:t>
      </w:r>
      <w:r>
        <w:rPr>
          <w:lang w:val="en-US"/>
        </w:rPr>
        <w:t xml:space="preserve"> banks</w:t>
      </w:r>
      <w:r w:rsidRPr="00C06B1B">
        <w:rPr>
          <w:lang w:val="en-US"/>
        </w:rPr>
        <w:t>.</w:t>
      </w:r>
      <w:r w:rsidR="002367B6">
        <w:rPr>
          <w:rStyle w:val="a6"/>
          <w:lang w:val="en-US"/>
        </w:rPr>
        <w:footnoteReference w:id="14"/>
      </w:r>
      <w:r w:rsidRPr="00C06B1B">
        <w:rPr>
          <w:lang w:val="en-US"/>
        </w:rPr>
        <w:t xml:space="preserve"> </w:t>
      </w:r>
      <w:r>
        <w:rPr>
          <w:lang w:val="en-US"/>
        </w:rPr>
        <w:t xml:space="preserve"> </w:t>
      </w:r>
    </w:p>
    <w:p w:rsidR="00B23012" w:rsidRPr="00F574E0" w:rsidRDefault="00B23012" w:rsidP="00B23012">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Moreover, in order to achieve an appropriate </w:t>
      </w:r>
      <w:r w:rsidRPr="008A4E5E">
        <w:rPr>
          <w:rFonts w:ascii="Times New Roman" w:hAnsi="Times New Roman" w:cs="Times New Roman"/>
          <w:sz w:val="24"/>
          <w:lang w:val="en-US"/>
        </w:rPr>
        <w:t>level of bank transparency</w:t>
      </w:r>
      <w:r>
        <w:rPr>
          <w:rFonts w:ascii="Times New Roman" w:hAnsi="Times New Roman" w:cs="Times New Roman"/>
          <w:sz w:val="24"/>
          <w:lang w:val="en-US"/>
        </w:rPr>
        <w:t xml:space="preserve"> and to help users of disclosure to assess bank’s risks correctly, </w:t>
      </w:r>
      <w:r w:rsidRPr="008A4E5E">
        <w:rPr>
          <w:rFonts w:ascii="Times New Roman" w:hAnsi="Times New Roman" w:cs="Times New Roman"/>
          <w:sz w:val="24"/>
          <w:lang w:val="en-US"/>
        </w:rPr>
        <w:t xml:space="preserve">The </w:t>
      </w:r>
      <w:r w:rsidRPr="00603FB9">
        <w:rPr>
          <w:rFonts w:ascii="Times New Roman" w:hAnsi="Times New Roman" w:cs="Times New Roman"/>
          <w:sz w:val="24"/>
          <w:lang w:val="en-US"/>
        </w:rPr>
        <w:t>Basel Committee on Banking Supervision</w:t>
      </w:r>
      <w:r w:rsidR="00F415C5">
        <w:rPr>
          <w:rFonts w:ascii="Times New Roman" w:hAnsi="Times New Roman" w:cs="Times New Roman"/>
          <w:sz w:val="24"/>
          <w:lang w:val="en-US"/>
        </w:rPr>
        <w:t xml:space="preserve"> in its report “Enhancing bank transparency”</w:t>
      </w:r>
      <w:r>
        <w:rPr>
          <w:rFonts w:ascii="Times New Roman" w:hAnsi="Times New Roman" w:cs="Times New Roman"/>
          <w:sz w:val="24"/>
          <w:lang w:val="en-US"/>
        </w:rPr>
        <w:t xml:space="preserve"> identified the following six categories of </w:t>
      </w:r>
      <w:r w:rsidRPr="008A4E5E">
        <w:rPr>
          <w:rFonts w:ascii="Times New Roman" w:hAnsi="Times New Roman" w:cs="Times New Roman"/>
          <w:sz w:val="24"/>
          <w:lang w:val="en-US"/>
        </w:rPr>
        <w:t>information</w:t>
      </w:r>
      <w:r w:rsidR="00F415C5">
        <w:rPr>
          <w:rFonts w:ascii="Times New Roman" w:hAnsi="Times New Roman" w:cs="Times New Roman"/>
          <w:sz w:val="24"/>
          <w:lang w:val="en-US"/>
        </w:rPr>
        <w:t xml:space="preserve"> that should be </w:t>
      </w:r>
      <w:r>
        <w:rPr>
          <w:rFonts w:ascii="Times New Roman" w:hAnsi="Times New Roman" w:cs="Times New Roman"/>
          <w:sz w:val="24"/>
          <w:lang w:val="en-US"/>
        </w:rPr>
        <w:t>provided in clear manner and appropriately detailed.</w:t>
      </w:r>
    </w:p>
    <w:p w:rsidR="002819BB" w:rsidRPr="00F6180D" w:rsidRDefault="002819BB" w:rsidP="002819BB">
      <w:pPr>
        <w:pStyle w:val="a3"/>
        <w:numPr>
          <w:ilvl w:val="0"/>
          <w:numId w:val="11"/>
        </w:numPr>
        <w:spacing w:after="160" w:line="360" w:lineRule="auto"/>
        <w:jc w:val="both"/>
        <w:rPr>
          <w:lang w:val="en-US"/>
        </w:rPr>
      </w:pPr>
      <w:r w:rsidRPr="00C06B1B">
        <w:rPr>
          <w:b/>
          <w:lang w:val="en-US"/>
        </w:rPr>
        <w:t>Financial performance.</w:t>
      </w:r>
      <w:r w:rsidR="00B23012">
        <w:rPr>
          <w:b/>
          <w:lang w:val="en-US"/>
        </w:rPr>
        <w:t xml:space="preserve"> </w:t>
      </w:r>
      <w:r w:rsidR="00B23012">
        <w:rPr>
          <w:lang w:val="en-US"/>
        </w:rPr>
        <w:t>The bank need to provide informat</w:t>
      </w:r>
      <w:r w:rsidR="00B0469A">
        <w:rPr>
          <w:lang w:val="en-US"/>
        </w:rPr>
        <w:t xml:space="preserve">ion about its profitability for several periods. This type of information will help market participants and regulators to assess the effectiveness of usage of bank’s resources, changes in the future financial performance and ability of bank to repay its liabilities and deposits.  </w:t>
      </w:r>
    </w:p>
    <w:p w:rsidR="00B0469A" w:rsidRDefault="002819BB" w:rsidP="00B0469A">
      <w:pPr>
        <w:pStyle w:val="a3"/>
        <w:numPr>
          <w:ilvl w:val="0"/>
          <w:numId w:val="11"/>
        </w:numPr>
        <w:spacing w:after="160" w:line="360" w:lineRule="auto"/>
        <w:jc w:val="both"/>
        <w:rPr>
          <w:lang w:val="en-US"/>
        </w:rPr>
      </w:pPr>
      <w:r w:rsidRPr="00B0469A">
        <w:rPr>
          <w:b/>
          <w:lang w:val="en-US"/>
        </w:rPr>
        <w:t>Financial position (including capital, solvency and liquidity)</w:t>
      </w:r>
      <w:r w:rsidRPr="00B0469A">
        <w:rPr>
          <w:lang w:val="en-US"/>
        </w:rPr>
        <w:t xml:space="preserve">. </w:t>
      </w:r>
      <w:r w:rsidR="00B0469A">
        <w:rPr>
          <w:lang w:val="en-US"/>
        </w:rPr>
        <w:t>This category of information generally includes balance sheet of the bank that shows different types of assets, liabilities and sources of equity capital. These will help market participants and regulators to assess the ability of bank to meet its liabilities and other financial commitments.</w:t>
      </w:r>
    </w:p>
    <w:p w:rsidR="002819BB" w:rsidRPr="00B0469A" w:rsidRDefault="002819BB" w:rsidP="00B0469A">
      <w:pPr>
        <w:pStyle w:val="a3"/>
        <w:numPr>
          <w:ilvl w:val="0"/>
          <w:numId w:val="11"/>
        </w:numPr>
        <w:spacing w:after="160" w:line="360" w:lineRule="auto"/>
        <w:jc w:val="both"/>
        <w:rPr>
          <w:lang w:val="en-US"/>
        </w:rPr>
      </w:pPr>
      <w:r w:rsidRPr="00B0469A">
        <w:rPr>
          <w:b/>
          <w:lang w:val="en-US"/>
        </w:rPr>
        <w:t>Risk management strategies and practices.</w:t>
      </w:r>
      <w:r w:rsidRPr="00B0469A">
        <w:rPr>
          <w:lang w:val="en-US"/>
        </w:rPr>
        <w:t xml:space="preserve"> </w:t>
      </w:r>
      <w:r w:rsidR="00AF25D6">
        <w:rPr>
          <w:lang w:val="en-US"/>
        </w:rPr>
        <w:t>Disclosure should include the description of bank’s management approach in managing risks, particularly, the information about how risks arise, how they are managed and controlled. This category might be helpful in assessing the current condition of the bank, its future performance and the effectiveness of bank’s management.</w:t>
      </w:r>
    </w:p>
    <w:p w:rsidR="00AF25D6" w:rsidRDefault="002819BB" w:rsidP="00665741">
      <w:pPr>
        <w:pStyle w:val="a3"/>
        <w:numPr>
          <w:ilvl w:val="0"/>
          <w:numId w:val="11"/>
        </w:numPr>
        <w:spacing w:after="160" w:line="360" w:lineRule="auto"/>
        <w:jc w:val="both"/>
        <w:rPr>
          <w:lang w:val="en-US"/>
        </w:rPr>
      </w:pPr>
      <w:r w:rsidRPr="00AF25D6">
        <w:rPr>
          <w:b/>
          <w:lang w:val="en-US"/>
        </w:rPr>
        <w:t>Risk exposures</w:t>
      </w:r>
      <w:r w:rsidRPr="00AF25D6">
        <w:rPr>
          <w:lang w:val="en-US"/>
        </w:rPr>
        <w:t xml:space="preserve"> </w:t>
      </w:r>
      <w:r w:rsidRPr="00AF25D6">
        <w:rPr>
          <w:b/>
          <w:lang w:val="en-US"/>
        </w:rPr>
        <w:t>(including credit risk, market risk, liquidity risk, and operational, legal and other risks)</w:t>
      </w:r>
      <w:r w:rsidRPr="00AF25D6">
        <w:rPr>
          <w:lang w:val="en-US"/>
        </w:rPr>
        <w:t xml:space="preserve">. </w:t>
      </w:r>
      <w:r w:rsidR="00AF25D6">
        <w:rPr>
          <w:lang w:val="en-US"/>
        </w:rPr>
        <w:t xml:space="preserve">Banks should provide some quantified </w:t>
      </w:r>
      <w:r w:rsidR="00AF25D6">
        <w:rPr>
          <w:lang w:val="en-US"/>
        </w:rPr>
        <w:lastRenderedPageBreak/>
        <w:t>information about potential losses of its activities. This information reflect the financial strengths of the bank as well as its ability to perform in stress periods.</w:t>
      </w:r>
    </w:p>
    <w:p w:rsidR="002819BB" w:rsidRPr="00AF25D6" w:rsidRDefault="002819BB" w:rsidP="00665741">
      <w:pPr>
        <w:pStyle w:val="a3"/>
        <w:numPr>
          <w:ilvl w:val="0"/>
          <w:numId w:val="11"/>
        </w:numPr>
        <w:spacing w:after="160" w:line="360" w:lineRule="auto"/>
        <w:jc w:val="both"/>
        <w:rPr>
          <w:lang w:val="en-US"/>
        </w:rPr>
      </w:pPr>
      <w:r w:rsidRPr="00AF25D6">
        <w:rPr>
          <w:b/>
          <w:lang w:val="en-US"/>
        </w:rPr>
        <w:t>Accounting policies.</w:t>
      </w:r>
      <w:r w:rsidRPr="00AF25D6">
        <w:rPr>
          <w:lang w:val="en-US"/>
        </w:rPr>
        <w:t xml:space="preserve"> </w:t>
      </w:r>
      <w:r w:rsidR="00E05B63">
        <w:rPr>
          <w:lang w:val="en-US"/>
        </w:rPr>
        <w:t xml:space="preserve">Disclosure should provide information on different accounting policies employed by the bank. It will help to understand how different items are measured and to interpret information properly. </w:t>
      </w:r>
    </w:p>
    <w:p w:rsidR="002819BB" w:rsidRDefault="002819BB" w:rsidP="002819BB">
      <w:pPr>
        <w:pStyle w:val="a3"/>
        <w:numPr>
          <w:ilvl w:val="0"/>
          <w:numId w:val="11"/>
        </w:numPr>
        <w:spacing w:after="160" w:line="360" w:lineRule="auto"/>
        <w:jc w:val="both"/>
        <w:rPr>
          <w:lang w:val="en-US"/>
        </w:rPr>
      </w:pPr>
      <w:r w:rsidRPr="00C06B1B">
        <w:rPr>
          <w:b/>
          <w:lang w:val="en-US"/>
        </w:rPr>
        <w:t>Basic business, management and corporate governance information.</w:t>
      </w:r>
      <w:r w:rsidR="00E05B63">
        <w:rPr>
          <w:b/>
          <w:lang w:val="en-US"/>
        </w:rPr>
        <w:t xml:space="preserve"> </w:t>
      </w:r>
      <w:r w:rsidR="00E05B63">
        <w:rPr>
          <w:lang w:val="en-US"/>
        </w:rPr>
        <w:t>This category includes basic information about bank’s business and management. Disclosure on these is important because it helps to evaluate the financial performance, financial position, risk management policies, risk exposure in the context of bank’s business.</w:t>
      </w:r>
      <w:r w:rsidR="002367B6">
        <w:rPr>
          <w:rStyle w:val="a6"/>
          <w:lang w:val="en-US"/>
        </w:rPr>
        <w:footnoteReference w:id="15"/>
      </w:r>
      <w:r w:rsidR="009E7B11">
        <w:rPr>
          <w:lang w:val="en-US"/>
        </w:rPr>
        <w:tab/>
      </w:r>
    </w:p>
    <w:p w:rsidR="00A3064A" w:rsidRPr="00A3064A" w:rsidRDefault="00A3064A" w:rsidP="00A3064A">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lang w:val="en-US"/>
        </w:rPr>
        <w:t xml:space="preserve">Thus, </w:t>
      </w:r>
      <w:r w:rsidRPr="008A4E5E">
        <w:rPr>
          <w:rFonts w:ascii="Times New Roman" w:hAnsi="Times New Roman" w:cs="Times New Roman"/>
          <w:sz w:val="24"/>
          <w:lang w:val="en-US"/>
        </w:rPr>
        <w:t xml:space="preserve">The </w:t>
      </w:r>
      <w:r w:rsidRPr="00603FB9">
        <w:rPr>
          <w:rFonts w:ascii="Times New Roman" w:hAnsi="Times New Roman" w:cs="Times New Roman"/>
          <w:sz w:val="24"/>
          <w:lang w:val="en-US"/>
        </w:rPr>
        <w:t>Basel Committee on Banking Supervision</w:t>
      </w:r>
      <w:r>
        <w:rPr>
          <w:rFonts w:ascii="Times New Roman" w:hAnsi="Times New Roman" w:cs="Times New Roman"/>
          <w:sz w:val="24"/>
          <w:lang w:val="en-US"/>
        </w:rPr>
        <w:t xml:space="preserve"> considers consistent corporate disclosure as the key element in supporting stable financial system. In the next section we will look at prior researches that </w:t>
      </w:r>
      <w:r w:rsidR="00F415C5">
        <w:rPr>
          <w:rFonts w:ascii="Times New Roman" w:hAnsi="Times New Roman" w:cs="Times New Roman"/>
          <w:sz w:val="24"/>
          <w:lang w:val="en-US"/>
        </w:rPr>
        <w:t>investigated the consequences of disclosure in capital markets, particularly we will focus on the influence of disclosure on enterprise risks.</w:t>
      </w:r>
      <w:r>
        <w:rPr>
          <w:rFonts w:ascii="Times New Roman" w:hAnsi="Times New Roman" w:cs="Times New Roman"/>
          <w:sz w:val="24"/>
          <w:lang w:val="en-US"/>
        </w:rPr>
        <w:t xml:space="preserve">    </w:t>
      </w:r>
    </w:p>
    <w:p w:rsidR="002819BB" w:rsidRDefault="00CA33D8" w:rsidP="00CA33D8">
      <w:pPr>
        <w:pStyle w:val="2"/>
        <w:rPr>
          <w:i/>
          <w:lang w:val="en-US"/>
        </w:rPr>
      </w:pPr>
      <w:bookmarkStart w:id="10" w:name="_Toc335622846"/>
      <w:bookmarkStart w:id="11" w:name="_Toc451925549"/>
      <w:r>
        <w:rPr>
          <w:lang w:val="en-US"/>
        </w:rPr>
        <w:t>2.3.</w:t>
      </w:r>
      <w:r w:rsidR="002819BB">
        <w:rPr>
          <w:lang w:val="en-US"/>
        </w:rPr>
        <w:t xml:space="preserve"> </w:t>
      </w:r>
      <w:r w:rsidR="002819BB" w:rsidRPr="00CA33D8">
        <w:rPr>
          <w:lang w:val="en-US"/>
        </w:rPr>
        <w:t>Relationship</w:t>
      </w:r>
      <w:r w:rsidR="002819BB" w:rsidRPr="00E96CD2">
        <w:rPr>
          <w:lang w:val="en-US"/>
        </w:rPr>
        <w:t xml:space="preserve"> between </w:t>
      </w:r>
      <w:r w:rsidR="002819BB">
        <w:rPr>
          <w:lang w:val="en-US"/>
        </w:rPr>
        <w:t>disclosure</w:t>
      </w:r>
      <w:r w:rsidR="002819BB" w:rsidRPr="00E96CD2">
        <w:rPr>
          <w:lang w:val="en-US"/>
        </w:rPr>
        <w:t xml:space="preserve"> and </w:t>
      </w:r>
      <w:bookmarkEnd w:id="10"/>
      <w:r w:rsidR="002819BB">
        <w:rPr>
          <w:lang w:val="en-US"/>
        </w:rPr>
        <w:t>different types of risk</w:t>
      </w:r>
      <w:bookmarkEnd w:id="11"/>
    </w:p>
    <w:p w:rsidR="002819BB" w:rsidRPr="002439C8" w:rsidRDefault="002819BB" w:rsidP="002819BB">
      <w:pPr>
        <w:spacing w:line="360" w:lineRule="auto"/>
        <w:ind w:firstLine="708"/>
        <w:jc w:val="both"/>
        <w:rPr>
          <w:rFonts w:ascii="Times New Roman" w:hAnsi="Times New Roman" w:cs="Times New Roman"/>
          <w:sz w:val="24"/>
          <w:lang w:val="en-US"/>
        </w:rPr>
      </w:pPr>
      <w:r w:rsidRPr="002439C8">
        <w:rPr>
          <w:rFonts w:ascii="Times New Roman" w:hAnsi="Times New Roman" w:cs="Times New Roman"/>
          <w:sz w:val="24"/>
          <w:lang w:val="en-US"/>
        </w:rPr>
        <w:t xml:space="preserve">Prior </w:t>
      </w:r>
      <w:r>
        <w:rPr>
          <w:rFonts w:ascii="Times New Roman" w:hAnsi="Times New Roman" w:cs="Times New Roman"/>
          <w:sz w:val="24"/>
          <w:lang w:val="en-US"/>
        </w:rPr>
        <w:t xml:space="preserve">studies examined the capital market consequences of managers’ corporate disclosure </w:t>
      </w:r>
      <w:r w:rsidRPr="002439C8">
        <w:rPr>
          <w:rFonts w:ascii="Times New Roman" w:hAnsi="Times New Roman" w:cs="Times New Roman"/>
          <w:sz w:val="24"/>
          <w:szCs w:val="24"/>
          <w:lang w:val="en-US"/>
        </w:rPr>
        <w:t>decisions.  These studies identify following affects for companies that make extensive voluntary disclosures:</w:t>
      </w:r>
      <w:r w:rsidRPr="0092456E">
        <w:rPr>
          <w:rFonts w:ascii="Times New Roman" w:hAnsi="Times New Roman" w:cs="Times New Roman"/>
          <w:sz w:val="24"/>
          <w:szCs w:val="24"/>
          <w:lang w:val="en-US"/>
        </w:rPr>
        <w:t xml:space="preserve"> improved liquidity of the stock, lower </w:t>
      </w:r>
      <w:r>
        <w:rPr>
          <w:rFonts w:ascii="Times New Roman" w:hAnsi="Times New Roman" w:cs="Times New Roman"/>
          <w:sz w:val="24"/>
          <w:szCs w:val="24"/>
          <w:lang w:val="en-US"/>
        </w:rPr>
        <w:t xml:space="preserve">risk, </w:t>
      </w:r>
      <w:r w:rsidRPr="0092456E">
        <w:rPr>
          <w:rFonts w:ascii="Times New Roman" w:hAnsi="Times New Roman" w:cs="Times New Roman"/>
          <w:sz w:val="24"/>
          <w:szCs w:val="24"/>
          <w:lang w:val="en-US"/>
        </w:rPr>
        <w:t>decreased cost of capital</w:t>
      </w:r>
      <w:r>
        <w:rPr>
          <w:rFonts w:ascii="Times New Roman" w:hAnsi="Times New Roman" w:cs="Times New Roman"/>
          <w:sz w:val="24"/>
          <w:szCs w:val="24"/>
          <w:lang w:val="en-US"/>
        </w:rPr>
        <w:t xml:space="preserve">, </w:t>
      </w:r>
      <w:r w:rsidRPr="002439C8">
        <w:rPr>
          <w:rFonts w:ascii="Times New Roman" w:hAnsi="Times New Roman" w:cs="Times New Roman"/>
          <w:sz w:val="24"/>
          <w:szCs w:val="24"/>
          <w:lang w:val="en-US"/>
        </w:rPr>
        <w:t>increased following by financial analysts</w:t>
      </w:r>
      <w:r>
        <w:rPr>
          <w:rFonts w:ascii="Times New Roman" w:hAnsi="Times New Roman" w:cs="Times New Roman"/>
          <w:sz w:val="24"/>
          <w:szCs w:val="24"/>
          <w:lang w:val="en-US"/>
        </w:rPr>
        <w:t>.</w:t>
      </w:r>
      <w:r>
        <w:rPr>
          <w:rStyle w:val="a6"/>
          <w:rFonts w:ascii="Times New Roman" w:hAnsi="Times New Roman" w:cs="Times New Roman"/>
          <w:sz w:val="24"/>
          <w:lang w:val="en-US"/>
        </w:rPr>
        <w:footnoteReference w:id="16"/>
      </w:r>
    </w:p>
    <w:p w:rsidR="002819BB" w:rsidRPr="006C3D0E" w:rsidRDefault="002819BB" w:rsidP="002819BB">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We will focus on</w:t>
      </w:r>
      <w:r w:rsidRPr="006C3D0E">
        <w:rPr>
          <w:rFonts w:ascii="Times New Roman" w:hAnsi="Times New Roman" w:cs="Times New Roman"/>
          <w:sz w:val="24"/>
          <w:lang w:val="en-US"/>
        </w:rPr>
        <w:t xml:space="preserve"> the supposed impact of voluntary disclosure on different types of risks discussed earlier. As described in cha</w:t>
      </w:r>
      <w:r w:rsidR="00F415C5">
        <w:rPr>
          <w:rFonts w:ascii="Times New Roman" w:hAnsi="Times New Roman" w:cs="Times New Roman"/>
          <w:sz w:val="24"/>
          <w:lang w:val="en-US"/>
        </w:rPr>
        <w:t xml:space="preserve">pter 1 there are number of risks </w:t>
      </w:r>
      <w:r w:rsidRPr="006C3D0E">
        <w:rPr>
          <w:rFonts w:ascii="Times New Roman" w:hAnsi="Times New Roman" w:cs="Times New Roman"/>
          <w:sz w:val="24"/>
          <w:lang w:val="en-US"/>
        </w:rPr>
        <w:t xml:space="preserve">such as the aggregated risk, the </w:t>
      </w:r>
      <w:r w:rsidR="00DE47A1">
        <w:rPr>
          <w:rFonts w:ascii="Times New Roman" w:hAnsi="Times New Roman" w:cs="Times New Roman"/>
          <w:sz w:val="24"/>
          <w:lang w:val="en-US"/>
        </w:rPr>
        <w:t>systemic</w:t>
      </w:r>
      <w:r w:rsidRPr="006C3D0E">
        <w:rPr>
          <w:rFonts w:ascii="Times New Roman" w:hAnsi="Times New Roman" w:cs="Times New Roman"/>
          <w:sz w:val="24"/>
          <w:lang w:val="en-US"/>
        </w:rPr>
        <w:t xml:space="preserve"> risk, the idiosyncratic risk and the downside risk.</w:t>
      </w:r>
    </w:p>
    <w:p w:rsidR="00001281" w:rsidRDefault="002819BB" w:rsidP="002819BB">
      <w:pPr>
        <w:spacing w:line="360" w:lineRule="auto"/>
        <w:ind w:firstLine="708"/>
        <w:jc w:val="both"/>
        <w:rPr>
          <w:rFonts w:ascii="Times New Roman" w:hAnsi="Times New Roman" w:cs="Times New Roman"/>
          <w:sz w:val="24"/>
          <w:lang w:val="en-US"/>
        </w:rPr>
      </w:pPr>
      <w:r w:rsidRPr="006C3D0E">
        <w:rPr>
          <w:rFonts w:ascii="Times New Roman" w:hAnsi="Times New Roman" w:cs="Times New Roman"/>
          <w:sz w:val="24"/>
          <w:lang w:val="en-US"/>
        </w:rPr>
        <w:t xml:space="preserve">There are a number of research papers that have examined the relationship between these risk measures and disclosure. Prior empirical research provides mixed evidence on the impact of disclosure on stock price volatility or the aggregated risk. On one hand, a number of studies reveal that the level of disclosure is positively associated with the stock return volatility. For instance, Lang and Lundholm </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1993</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 xml:space="preserve"> on the basis of the analysis of U.S. companies concluded that the corporate disclosure is positively associated with company’s stock return volatility.  They used data from the Report of the Financial Analysts Federation Corporate Information Committee as a measure of the informativeness of a firm’s disclosure policy. A study c</w:t>
      </w:r>
      <w:r w:rsidR="00315455">
        <w:rPr>
          <w:rFonts w:ascii="Times New Roman" w:hAnsi="Times New Roman" w:cs="Times New Roman"/>
          <w:sz w:val="24"/>
          <w:lang w:val="en-US"/>
        </w:rPr>
        <w:t xml:space="preserve">onducted by Leuz and </w:t>
      </w:r>
      <w:r w:rsidR="00315455">
        <w:rPr>
          <w:rFonts w:ascii="Times New Roman" w:hAnsi="Times New Roman" w:cs="Times New Roman"/>
          <w:sz w:val="24"/>
          <w:lang w:val="en-US"/>
        </w:rPr>
        <w:lastRenderedPageBreak/>
        <w:t>Verrecchia</w:t>
      </w:r>
      <w:r w:rsidRPr="006C3D0E">
        <w:rPr>
          <w:rFonts w:ascii="Times New Roman" w:hAnsi="Times New Roman" w:cs="Times New Roman"/>
          <w:sz w:val="24"/>
          <w:lang w:val="en-US"/>
        </w:rPr>
        <w:t xml:space="preserve"> </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2000</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 xml:space="preserve"> supported this result. </w:t>
      </w:r>
      <w:r w:rsidR="00001281">
        <w:rPr>
          <w:rFonts w:ascii="Times New Roman" w:hAnsi="Times New Roman" w:cs="Times New Roman"/>
          <w:sz w:val="24"/>
          <w:lang w:val="en-US"/>
        </w:rPr>
        <w:t>Based on the sample of</w:t>
      </w:r>
      <w:r w:rsidRPr="006C3D0E">
        <w:rPr>
          <w:rFonts w:ascii="Times New Roman" w:hAnsi="Times New Roman" w:cs="Times New Roman"/>
          <w:sz w:val="24"/>
          <w:lang w:val="en-US"/>
        </w:rPr>
        <w:t xml:space="preserve"> German firms, </w:t>
      </w:r>
      <w:r w:rsidR="00001281">
        <w:rPr>
          <w:rFonts w:ascii="Times New Roman" w:hAnsi="Times New Roman" w:cs="Times New Roman"/>
          <w:sz w:val="24"/>
          <w:lang w:val="en-US"/>
        </w:rPr>
        <w:t xml:space="preserve">authors found that the change of reporting from </w:t>
      </w:r>
      <w:r w:rsidR="00001281" w:rsidRPr="006C3D0E">
        <w:rPr>
          <w:rFonts w:ascii="Times New Roman" w:hAnsi="Times New Roman" w:cs="Times New Roman"/>
          <w:sz w:val="24"/>
          <w:lang w:val="en-US"/>
        </w:rPr>
        <w:t>German to U.S. generally accepted accounting principles</w:t>
      </w:r>
      <w:r w:rsidR="00001281">
        <w:rPr>
          <w:rFonts w:ascii="Times New Roman" w:hAnsi="Times New Roman" w:cs="Times New Roman"/>
          <w:sz w:val="24"/>
          <w:lang w:val="en-US"/>
        </w:rPr>
        <w:t xml:space="preserve">, </w:t>
      </w:r>
      <w:r w:rsidR="00001281" w:rsidRPr="006C3D0E">
        <w:rPr>
          <w:rFonts w:ascii="Times New Roman" w:hAnsi="Times New Roman" w:cs="Times New Roman"/>
          <w:sz w:val="24"/>
          <w:lang w:val="en-US"/>
        </w:rPr>
        <w:t>which is interpreted as an increase in disclosure, increase</w:t>
      </w:r>
      <w:r w:rsidR="00001281">
        <w:rPr>
          <w:rFonts w:ascii="Times New Roman" w:hAnsi="Times New Roman" w:cs="Times New Roman"/>
          <w:sz w:val="24"/>
          <w:lang w:val="en-US"/>
        </w:rPr>
        <w:t>d the overall</w:t>
      </w:r>
      <w:r w:rsidR="00001281" w:rsidRPr="006C3D0E">
        <w:rPr>
          <w:rFonts w:ascii="Times New Roman" w:hAnsi="Times New Roman" w:cs="Times New Roman"/>
          <w:sz w:val="24"/>
          <w:lang w:val="en-US"/>
        </w:rPr>
        <w:t xml:space="preserve"> volatility</w:t>
      </w:r>
      <w:r w:rsidR="00001281">
        <w:rPr>
          <w:rFonts w:ascii="Times New Roman" w:hAnsi="Times New Roman" w:cs="Times New Roman"/>
          <w:sz w:val="24"/>
          <w:lang w:val="en-US"/>
        </w:rPr>
        <w:t>.</w:t>
      </w:r>
    </w:p>
    <w:p w:rsidR="002819BB" w:rsidRPr="006C3D0E" w:rsidRDefault="002819BB" w:rsidP="002819BB">
      <w:pPr>
        <w:spacing w:line="360" w:lineRule="auto"/>
        <w:ind w:firstLine="708"/>
        <w:jc w:val="both"/>
        <w:rPr>
          <w:rFonts w:ascii="Times New Roman" w:hAnsi="Times New Roman" w:cs="Times New Roman"/>
          <w:sz w:val="24"/>
          <w:lang w:val="en-US"/>
        </w:rPr>
      </w:pPr>
      <w:r w:rsidRPr="006C3D0E">
        <w:rPr>
          <w:rFonts w:ascii="Times New Roman" w:hAnsi="Times New Roman" w:cs="Times New Roman"/>
          <w:sz w:val="24"/>
          <w:lang w:val="en-US"/>
        </w:rPr>
        <w:t xml:space="preserve">On the contrary, some studies provide evidence that disclosure decreases stock price volatility.  For example, Bushee and Noe </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2000</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 xml:space="preserve"> in their study concluded that enhanced disclosure reduce the volatility of a firm's stock price. It is explained by the fact that for the sample U.S. companies more forthcoming disclosure attract quasi-indexers. This institution exhibits long investment horizons and low portfolio turnover. Attracting this type of institution helps reduce the volatility of a firm's stock price. Authors measured disclosure using the annual ranking of corporate disclosure practices published by the Association for Investment and Management Research (AIMR). Additional support to this finding is provided by Baumann and Nier </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2004</w:t>
      </w:r>
      <w:r w:rsidR="00315455" w:rsidRPr="00315455">
        <w:rPr>
          <w:rFonts w:ascii="Times New Roman" w:hAnsi="Times New Roman" w:cs="Times New Roman"/>
          <w:sz w:val="24"/>
          <w:lang w:val="en-US"/>
        </w:rPr>
        <w:t>)</w:t>
      </w:r>
      <w:r w:rsidRPr="006C3D0E">
        <w:rPr>
          <w:rFonts w:ascii="Times New Roman" w:hAnsi="Times New Roman" w:cs="Times New Roman"/>
          <w:sz w:val="24"/>
          <w:lang w:val="en-US"/>
        </w:rPr>
        <w:t xml:space="preserve">. They found that banks that disclose more information on key items of disclosure show lower measures of stock volatility than do banks that disclose less information. The study was conducted on the basis of 600 banks across thirty-one countries over the period 1993-2000. </w:t>
      </w:r>
    </w:p>
    <w:p w:rsidR="002819BB" w:rsidRDefault="002819BB" w:rsidP="00FB6F49">
      <w:pPr>
        <w:spacing w:line="360" w:lineRule="auto"/>
        <w:ind w:firstLine="708"/>
        <w:jc w:val="both"/>
        <w:rPr>
          <w:rFonts w:ascii="Times New Roman" w:hAnsi="Times New Roman" w:cs="Times New Roman"/>
          <w:sz w:val="24"/>
          <w:lang w:val="en-US"/>
        </w:rPr>
      </w:pPr>
      <w:r w:rsidRPr="006C3D0E">
        <w:rPr>
          <w:rFonts w:ascii="Times New Roman" w:hAnsi="Times New Roman" w:cs="Times New Roman"/>
          <w:sz w:val="24"/>
          <w:lang w:val="en-US"/>
        </w:rPr>
        <w:t xml:space="preserve">Recently, a new stream of literature has emerged to investigate the impact of information quality on both idiosyncratic risk and </w:t>
      </w:r>
      <w:r w:rsidR="00DE47A1">
        <w:rPr>
          <w:rFonts w:ascii="Times New Roman" w:hAnsi="Times New Roman" w:cs="Times New Roman"/>
          <w:sz w:val="24"/>
          <w:lang w:val="en-US"/>
        </w:rPr>
        <w:t>systemic</w:t>
      </w:r>
      <w:r w:rsidRPr="006C3D0E">
        <w:rPr>
          <w:rFonts w:ascii="Times New Roman" w:hAnsi="Times New Roman" w:cs="Times New Roman"/>
          <w:sz w:val="24"/>
          <w:lang w:val="en-US"/>
        </w:rPr>
        <w:t xml:space="preserve"> risk.</w:t>
      </w:r>
      <w:r w:rsidR="00315455">
        <w:rPr>
          <w:rFonts w:ascii="Times New Roman" w:hAnsi="Times New Roman" w:cs="Times New Roman"/>
          <w:sz w:val="24"/>
          <w:lang w:val="en-US"/>
        </w:rPr>
        <w:t xml:space="preserve"> Lambert</w:t>
      </w:r>
      <w:r>
        <w:rPr>
          <w:rFonts w:ascii="Times New Roman" w:hAnsi="Times New Roman" w:cs="Times New Roman"/>
          <w:sz w:val="24"/>
          <w:lang w:val="en-US"/>
        </w:rPr>
        <w:t xml:space="preserve"> </w:t>
      </w:r>
      <w:r w:rsidR="00315455" w:rsidRPr="00315455">
        <w:rPr>
          <w:rFonts w:ascii="Times New Roman" w:hAnsi="Times New Roman" w:cs="Times New Roman"/>
          <w:sz w:val="24"/>
          <w:lang w:val="en-US"/>
        </w:rPr>
        <w:t>(</w:t>
      </w:r>
      <w:r>
        <w:rPr>
          <w:rFonts w:ascii="Times New Roman" w:hAnsi="Times New Roman" w:cs="Times New Roman"/>
          <w:sz w:val="24"/>
          <w:lang w:val="en-US"/>
        </w:rPr>
        <w:t>2007</w:t>
      </w:r>
      <w:r w:rsidR="00315455" w:rsidRPr="00315455">
        <w:rPr>
          <w:rFonts w:ascii="Times New Roman" w:hAnsi="Times New Roman" w:cs="Times New Roman"/>
          <w:sz w:val="24"/>
          <w:lang w:val="en-US"/>
        </w:rPr>
        <w:t>)</w:t>
      </w:r>
      <w:r>
        <w:rPr>
          <w:rFonts w:ascii="Times New Roman" w:hAnsi="Times New Roman" w:cs="Times New Roman"/>
          <w:sz w:val="24"/>
          <w:lang w:val="en-US"/>
        </w:rPr>
        <w:t xml:space="preserve"> examined </w:t>
      </w:r>
      <w:r w:rsidRPr="00783D4A">
        <w:rPr>
          <w:rFonts w:ascii="Times New Roman" w:hAnsi="Times New Roman" w:cs="Times New Roman"/>
          <w:sz w:val="24"/>
          <w:lang w:val="en-US"/>
        </w:rPr>
        <w:t xml:space="preserve">how the quality of a firm’s accounting information </w:t>
      </w:r>
      <w:r>
        <w:rPr>
          <w:rFonts w:ascii="Times New Roman" w:hAnsi="Times New Roman" w:cs="Times New Roman"/>
          <w:sz w:val="24"/>
          <w:lang w:val="en-US"/>
        </w:rPr>
        <w:t>affects</w:t>
      </w:r>
      <w:r w:rsidRPr="00783D4A">
        <w:rPr>
          <w:rFonts w:ascii="Times New Roman" w:hAnsi="Times New Roman" w:cs="Times New Roman"/>
          <w:sz w:val="24"/>
          <w:lang w:val="en-US"/>
        </w:rPr>
        <w:t xml:space="preserve"> its cost of capital</w:t>
      </w:r>
      <w:r>
        <w:rPr>
          <w:rFonts w:ascii="Times New Roman" w:hAnsi="Times New Roman" w:cs="Times New Roman"/>
          <w:sz w:val="24"/>
          <w:lang w:val="en-US"/>
        </w:rPr>
        <w:t xml:space="preserve">. He </w:t>
      </w:r>
      <w:r w:rsidRPr="00783D4A">
        <w:rPr>
          <w:rFonts w:ascii="Times New Roman" w:hAnsi="Times New Roman" w:cs="Times New Roman"/>
          <w:sz w:val="24"/>
          <w:lang w:val="en-US"/>
        </w:rPr>
        <w:t>demonstrated that the quality of accounting information influences a firm’s cost of capital directly by affecting market participants’ perceptions about the di</w:t>
      </w:r>
      <w:r>
        <w:rPr>
          <w:rFonts w:ascii="Times New Roman" w:hAnsi="Times New Roman" w:cs="Times New Roman"/>
          <w:sz w:val="24"/>
          <w:lang w:val="en-US"/>
        </w:rPr>
        <w:t>stribution of future cash flows</w:t>
      </w:r>
      <w:r w:rsidRPr="00783D4A">
        <w:rPr>
          <w:rFonts w:ascii="Times New Roman" w:hAnsi="Times New Roman" w:cs="Times New Roman"/>
          <w:sz w:val="24"/>
          <w:lang w:val="en-US"/>
        </w:rPr>
        <w:t>.</w:t>
      </w:r>
      <w:r>
        <w:rPr>
          <w:rFonts w:ascii="Times New Roman" w:hAnsi="Times New Roman" w:cs="Times New Roman"/>
          <w:sz w:val="24"/>
          <w:lang w:val="en-US"/>
        </w:rPr>
        <w:t xml:space="preserve"> </w:t>
      </w:r>
      <w:r w:rsidRPr="0096612A">
        <w:rPr>
          <w:rFonts w:ascii="Times New Roman" w:hAnsi="Times New Roman" w:cs="Times New Roman"/>
          <w:sz w:val="24"/>
          <w:lang w:val="en-US"/>
        </w:rPr>
        <w:t xml:space="preserve">The direct effect occurs because the quality of disclosures </w:t>
      </w:r>
      <w:r>
        <w:rPr>
          <w:rFonts w:ascii="Times New Roman" w:hAnsi="Times New Roman" w:cs="Times New Roman"/>
          <w:sz w:val="24"/>
          <w:lang w:val="en-US"/>
        </w:rPr>
        <w:t>affects the assessed covariance</w:t>
      </w:r>
      <w:r w:rsidRPr="0096612A">
        <w:rPr>
          <w:rFonts w:ascii="Times New Roman" w:hAnsi="Times New Roman" w:cs="Times New Roman"/>
          <w:sz w:val="24"/>
          <w:lang w:val="en-US"/>
        </w:rPr>
        <w:t xml:space="preserve"> between a firm’s cash flow and other firms’ cash flows</w:t>
      </w:r>
      <w:r>
        <w:rPr>
          <w:rFonts w:ascii="Times New Roman" w:hAnsi="Times New Roman" w:cs="Times New Roman"/>
          <w:sz w:val="24"/>
          <w:lang w:val="en-US"/>
        </w:rPr>
        <w:t xml:space="preserve"> that is </w:t>
      </w:r>
      <w:r w:rsidR="00DE47A1">
        <w:rPr>
          <w:rFonts w:ascii="Times New Roman" w:hAnsi="Times New Roman" w:cs="Times New Roman"/>
          <w:sz w:val="24"/>
          <w:lang w:val="en-US"/>
        </w:rPr>
        <w:t>systemic</w:t>
      </w:r>
      <w:r>
        <w:rPr>
          <w:rFonts w:ascii="Times New Roman" w:hAnsi="Times New Roman" w:cs="Times New Roman"/>
          <w:sz w:val="24"/>
          <w:lang w:val="en-US"/>
        </w:rPr>
        <w:t xml:space="preserve"> risk</w:t>
      </w:r>
      <w:r w:rsidRPr="0096612A">
        <w:rPr>
          <w:rFonts w:ascii="Times New Roman" w:hAnsi="Times New Roman" w:cs="Times New Roman"/>
          <w:sz w:val="24"/>
          <w:lang w:val="en-US"/>
        </w:rPr>
        <w:t>.</w:t>
      </w:r>
      <w:r>
        <w:rPr>
          <w:rFonts w:ascii="Times New Roman" w:hAnsi="Times New Roman" w:cs="Times New Roman"/>
          <w:sz w:val="24"/>
          <w:lang w:val="en-US"/>
        </w:rPr>
        <w:t xml:space="preserve"> T</w:t>
      </w:r>
      <w:r w:rsidRPr="0096612A">
        <w:rPr>
          <w:rFonts w:ascii="Times New Roman" w:hAnsi="Times New Roman" w:cs="Times New Roman"/>
          <w:sz w:val="24"/>
          <w:lang w:val="en-US"/>
        </w:rPr>
        <w:t>he</w:t>
      </w:r>
      <w:r>
        <w:rPr>
          <w:rFonts w:ascii="Times New Roman" w:hAnsi="Times New Roman" w:cs="Times New Roman"/>
          <w:sz w:val="24"/>
          <w:lang w:val="en-US"/>
        </w:rPr>
        <w:t>se</w:t>
      </w:r>
      <w:r w:rsidRPr="0096612A">
        <w:rPr>
          <w:rFonts w:ascii="Times New Roman" w:hAnsi="Times New Roman" w:cs="Times New Roman"/>
          <w:sz w:val="24"/>
          <w:lang w:val="en-US"/>
        </w:rPr>
        <w:t xml:space="preserve"> effects entirely consistent with the CAPM. That is, the information effects are fully captured by an appropriately specified forward-looking beta and the </w:t>
      </w:r>
      <w:r w:rsidR="00001281" w:rsidRPr="0096612A">
        <w:rPr>
          <w:rFonts w:ascii="Times New Roman" w:hAnsi="Times New Roman" w:cs="Times New Roman"/>
          <w:sz w:val="24"/>
          <w:lang w:val="en-US"/>
        </w:rPr>
        <w:t>market wide</w:t>
      </w:r>
      <w:r w:rsidRPr="0096612A">
        <w:rPr>
          <w:rFonts w:ascii="Times New Roman" w:hAnsi="Times New Roman" w:cs="Times New Roman"/>
          <w:sz w:val="24"/>
          <w:lang w:val="en-US"/>
        </w:rPr>
        <w:t xml:space="preserve"> premium for risk.</w:t>
      </w:r>
      <w:r>
        <w:rPr>
          <w:rFonts w:ascii="Times New Roman" w:hAnsi="Times New Roman" w:cs="Times New Roman"/>
          <w:sz w:val="24"/>
          <w:lang w:val="en-US"/>
        </w:rPr>
        <w:t xml:space="preserve"> </w:t>
      </w:r>
      <w:r w:rsidRPr="00D449F6">
        <w:rPr>
          <w:rFonts w:ascii="Times New Roman" w:hAnsi="Times New Roman" w:cs="Times New Roman"/>
          <w:sz w:val="24"/>
          <w:lang w:val="en-US"/>
        </w:rPr>
        <w:t>Ashbaugh-Skaife</w:t>
      </w:r>
      <w:r>
        <w:rPr>
          <w:rFonts w:ascii="Times New Roman" w:hAnsi="Times New Roman" w:cs="Times New Roman"/>
          <w:sz w:val="24"/>
          <w:lang w:val="en-US"/>
        </w:rPr>
        <w:t xml:space="preserve"> </w:t>
      </w:r>
      <w:r w:rsidR="00315455" w:rsidRPr="00315455">
        <w:rPr>
          <w:rFonts w:ascii="Times New Roman" w:hAnsi="Times New Roman" w:cs="Times New Roman"/>
          <w:sz w:val="24"/>
          <w:lang w:val="en-US"/>
        </w:rPr>
        <w:t>(</w:t>
      </w:r>
      <w:r w:rsidRPr="00D449F6">
        <w:rPr>
          <w:rFonts w:ascii="Times New Roman" w:hAnsi="Times New Roman" w:cs="Times New Roman"/>
          <w:sz w:val="24"/>
          <w:lang w:val="en-US"/>
        </w:rPr>
        <w:t>2009</w:t>
      </w:r>
      <w:r w:rsidR="00315455" w:rsidRPr="00315455">
        <w:rPr>
          <w:rFonts w:ascii="Times New Roman" w:hAnsi="Times New Roman" w:cs="Times New Roman"/>
          <w:sz w:val="24"/>
          <w:lang w:val="en-US"/>
        </w:rPr>
        <w:t>)</w:t>
      </w:r>
      <w:r>
        <w:rPr>
          <w:rFonts w:ascii="Times New Roman" w:hAnsi="Times New Roman" w:cs="Times New Roman"/>
          <w:sz w:val="24"/>
          <w:lang w:val="en-US"/>
        </w:rPr>
        <w:t xml:space="preserve"> investigated whether </w:t>
      </w:r>
      <w:r w:rsidRPr="00D449F6">
        <w:rPr>
          <w:rFonts w:ascii="Times New Roman" w:hAnsi="Times New Roman" w:cs="Times New Roman"/>
          <w:sz w:val="24"/>
          <w:lang w:val="en-US"/>
        </w:rPr>
        <w:t>disclose</w:t>
      </w:r>
      <w:r w:rsidR="006A4D63">
        <w:rPr>
          <w:rFonts w:ascii="Times New Roman" w:hAnsi="Times New Roman" w:cs="Times New Roman"/>
          <w:sz w:val="24"/>
          <w:lang w:val="en-US"/>
        </w:rPr>
        <w:t xml:space="preserve"> of</w:t>
      </w:r>
      <w:r w:rsidRPr="00D449F6">
        <w:rPr>
          <w:rFonts w:ascii="Times New Roman" w:hAnsi="Times New Roman" w:cs="Times New Roman"/>
          <w:sz w:val="24"/>
          <w:lang w:val="en-US"/>
        </w:rPr>
        <w:t xml:space="preserve"> internal control deficiencies</w:t>
      </w:r>
      <w:r>
        <w:rPr>
          <w:rFonts w:ascii="Times New Roman" w:hAnsi="Times New Roman" w:cs="Times New Roman"/>
          <w:sz w:val="24"/>
          <w:lang w:val="en-US"/>
        </w:rPr>
        <w:t xml:space="preserve"> by U.S. firms result</w:t>
      </w:r>
      <w:r w:rsidR="006A4D63">
        <w:rPr>
          <w:rFonts w:ascii="Times New Roman" w:hAnsi="Times New Roman" w:cs="Times New Roman"/>
          <w:sz w:val="24"/>
          <w:lang w:val="en-US"/>
        </w:rPr>
        <w:t>s</w:t>
      </w:r>
      <w:r>
        <w:rPr>
          <w:rFonts w:ascii="Times New Roman" w:hAnsi="Times New Roman" w:cs="Times New Roman"/>
          <w:sz w:val="24"/>
          <w:lang w:val="en-US"/>
        </w:rPr>
        <w:t xml:space="preserve"> in </w:t>
      </w:r>
      <w:r w:rsidRPr="00D449F6">
        <w:rPr>
          <w:rFonts w:ascii="Times New Roman" w:hAnsi="Times New Roman" w:cs="Times New Roman"/>
          <w:sz w:val="24"/>
          <w:lang w:val="en-US"/>
        </w:rPr>
        <w:t xml:space="preserve">higher </w:t>
      </w:r>
      <w:r w:rsidR="00DE47A1">
        <w:rPr>
          <w:rFonts w:ascii="Times New Roman" w:hAnsi="Times New Roman" w:cs="Times New Roman"/>
          <w:sz w:val="24"/>
          <w:lang w:val="en-US"/>
        </w:rPr>
        <w:t>systemic</w:t>
      </w:r>
      <w:r w:rsidRPr="00D449F6">
        <w:rPr>
          <w:rFonts w:ascii="Times New Roman" w:hAnsi="Times New Roman" w:cs="Times New Roman"/>
          <w:sz w:val="24"/>
          <w:lang w:val="en-US"/>
        </w:rPr>
        <w:t xml:space="preserve"> risk, higher idiosyncratic risk, and higher cost of equity relative to firms with effective internal controls.</w:t>
      </w:r>
      <w:r>
        <w:rPr>
          <w:rFonts w:ascii="Times New Roman" w:hAnsi="Times New Roman" w:cs="Times New Roman"/>
          <w:sz w:val="24"/>
          <w:lang w:val="en-US"/>
        </w:rPr>
        <w:t xml:space="preserve"> </w:t>
      </w:r>
      <w:r w:rsidRPr="00D449F6">
        <w:rPr>
          <w:rFonts w:ascii="Times New Roman" w:hAnsi="Times New Roman" w:cs="Times New Roman"/>
          <w:sz w:val="24"/>
          <w:lang w:val="en-US"/>
        </w:rPr>
        <w:t xml:space="preserve">In cross-sectional tests, </w:t>
      </w:r>
      <w:r>
        <w:rPr>
          <w:rFonts w:ascii="Times New Roman" w:hAnsi="Times New Roman" w:cs="Times New Roman"/>
          <w:sz w:val="24"/>
          <w:lang w:val="en-US"/>
        </w:rPr>
        <w:t>authors</w:t>
      </w:r>
      <w:r w:rsidRPr="00D449F6">
        <w:rPr>
          <w:rFonts w:ascii="Times New Roman" w:hAnsi="Times New Roman" w:cs="Times New Roman"/>
          <w:sz w:val="24"/>
          <w:lang w:val="en-US"/>
        </w:rPr>
        <w:t xml:space="preserve"> f</w:t>
      </w:r>
      <w:r>
        <w:rPr>
          <w:rFonts w:ascii="Times New Roman" w:hAnsi="Times New Roman" w:cs="Times New Roman"/>
          <w:sz w:val="24"/>
          <w:lang w:val="en-US"/>
        </w:rPr>
        <w:t>ou</w:t>
      </w:r>
      <w:r w:rsidRPr="00D449F6">
        <w:rPr>
          <w:rFonts w:ascii="Times New Roman" w:hAnsi="Times New Roman" w:cs="Times New Roman"/>
          <w:sz w:val="24"/>
          <w:lang w:val="en-US"/>
        </w:rPr>
        <w:t xml:space="preserve">nd that firms </w:t>
      </w:r>
      <w:r>
        <w:rPr>
          <w:rFonts w:ascii="Times New Roman" w:hAnsi="Times New Roman" w:cs="Times New Roman"/>
          <w:sz w:val="24"/>
          <w:lang w:val="en-US"/>
        </w:rPr>
        <w:t xml:space="preserve">with </w:t>
      </w:r>
      <w:r w:rsidRPr="00D449F6">
        <w:rPr>
          <w:rFonts w:ascii="Times New Roman" w:hAnsi="Times New Roman" w:cs="Times New Roman"/>
          <w:sz w:val="24"/>
          <w:lang w:val="en-US"/>
        </w:rPr>
        <w:t>internal control deficiencies</w:t>
      </w:r>
      <w:r>
        <w:rPr>
          <w:rFonts w:ascii="Times New Roman" w:hAnsi="Times New Roman" w:cs="Times New Roman"/>
          <w:sz w:val="24"/>
          <w:lang w:val="en-US"/>
        </w:rPr>
        <w:t xml:space="preserve"> have significantly </w:t>
      </w:r>
      <w:r w:rsidRPr="00D449F6">
        <w:rPr>
          <w:rFonts w:ascii="Times New Roman" w:hAnsi="Times New Roman" w:cs="Times New Roman"/>
          <w:sz w:val="24"/>
          <w:lang w:val="en-US"/>
        </w:rPr>
        <w:t>higher betas, idiosyncratic risk, and cost of e</w:t>
      </w:r>
      <w:r>
        <w:rPr>
          <w:rFonts w:ascii="Times New Roman" w:hAnsi="Times New Roman" w:cs="Times New Roman"/>
          <w:sz w:val="24"/>
          <w:lang w:val="en-US"/>
        </w:rPr>
        <w:t xml:space="preserve">quity capital relative to firms not reporting </w:t>
      </w:r>
      <w:r w:rsidRPr="00D449F6">
        <w:rPr>
          <w:rFonts w:ascii="Times New Roman" w:hAnsi="Times New Roman" w:cs="Times New Roman"/>
          <w:sz w:val="24"/>
          <w:lang w:val="en-US"/>
        </w:rPr>
        <w:t>internal control deficiencies.</w:t>
      </w:r>
      <w:r>
        <w:rPr>
          <w:rFonts w:ascii="Times New Roman" w:hAnsi="Times New Roman" w:cs="Times New Roman"/>
          <w:sz w:val="24"/>
          <w:lang w:val="en-US"/>
        </w:rPr>
        <w:t xml:space="preserve"> In addition, </w:t>
      </w:r>
      <w:r w:rsidRPr="008B16EF">
        <w:rPr>
          <w:rFonts w:ascii="Times New Roman" w:hAnsi="Times New Roman" w:cs="Times New Roman"/>
          <w:sz w:val="24"/>
          <w:lang w:val="en-US"/>
        </w:rPr>
        <w:t>Rajgopal and Venkatachalam (2010)</w:t>
      </w:r>
      <w:r>
        <w:rPr>
          <w:rFonts w:ascii="Times New Roman" w:hAnsi="Times New Roman" w:cs="Times New Roman"/>
          <w:sz w:val="24"/>
          <w:lang w:val="en-US"/>
        </w:rPr>
        <w:t xml:space="preserve"> on the sample of firms </w:t>
      </w:r>
      <w:r w:rsidRPr="00672AAA">
        <w:rPr>
          <w:rFonts w:ascii="Times New Roman" w:hAnsi="Times New Roman" w:cs="Times New Roman"/>
          <w:sz w:val="24"/>
          <w:lang w:val="en-US"/>
        </w:rPr>
        <w:t>from NYSE, AMEX and NASDAQ</w:t>
      </w:r>
      <w:r>
        <w:rPr>
          <w:rFonts w:ascii="Times New Roman" w:hAnsi="Times New Roman" w:cs="Times New Roman"/>
          <w:sz w:val="24"/>
          <w:lang w:val="en-US"/>
        </w:rPr>
        <w:t xml:space="preserve"> explored whether</w:t>
      </w:r>
      <w:r w:rsidRPr="008B16EF">
        <w:rPr>
          <w:rFonts w:ascii="Times New Roman" w:hAnsi="Times New Roman" w:cs="Times New Roman"/>
          <w:sz w:val="24"/>
          <w:lang w:val="en-US"/>
        </w:rPr>
        <w:t xml:space="preserve"> financial reporting quality</w:t>
      </w:r>
      <w:r>
        <w:rPr>
          <w:rFonts w:ascii="Times New Roman" w:hAnsi="Times New Roman" w:cs="Times New Roman"/>
          <w:sz w:val="24"/>
          <w:lang w:val="en-US"/>
        </w:rPr>
        <w:t xml:space="preserve"> has any impact </w:t>
      </w:r>
      <w:r w:rsidRPr="008B16EF">
        <w:rPr>
          <w:rFonts w:ascii="Times New Roman" w:hAnsi="Times New Roman" w:cs="Times New Roman"/>
          <w:sz w:val="24"/>
          <w:lang w:val="en-US"/>
        </w:rPr>
        <w:t>on idiosyncratic volatility</w:t>
      </w:r>
      <w:r>
        <w:rPr>
          <w:rFonts w:ascii="Times New Roman" w:hAnsi="Times New Roman" w:cs="Times New Roman"/>
          <w:sz w:val="24"/>
          <w:lang w:val="en-US"/>
        </w:rPr>
        <w:t xml:space="preserve">. They used </w:t>
      </w:r>
      <w:r w:rsidRPr="008B16EF">
        <w:rPr>
          <w:rFonts w:ascii="Times New Roman" w:hAnsi="Times New Roman" w:cs="Times New Roman"/>
          <w:sz w:val="24"/>
          <w:lang w:val="en-US"/>
        </w:rPr>
        <w:t xml:space="preserve">earnings quality as proxies for financial reporting quality. </w:t>
      </w:r>
      <w:r>
        <w:rPr>
          <w:rFonts w:ascii="Times New Roman" w:hAnsi="Times New Roman" w:cs="Times New Roman"/>
          <w:sz w:val="24"/>
          <w:lang w:val="en-US"/>
        </w:rPr>
        <w:t xml:space="preserve">The main finding of the research is that </w:t>
      </w:r>
      <w:r w:rsidRPr="008B16EF">
        <w:rPr>
          <w:rFonts w:ascii="Times New Roman" w:hAnsi="Times New Roman" w:cs="Times New Roman"/>
          <w:sz w:val="24"/>
          <w:lang w:val="en-US"/>
        </w:rPr>
        <w:t>worsening earnings quality is positively associated with rising return vo</w:t>
      </w:r>
      <w:r>
        <w:rPr>
          <w:rFonts w:ascii="Times New Roman" w:hAnsi="Times New Roman" w:cs="Times New Roman"/>
          <w:sz w:val="24"/>
          <w:lang w:val="en-US"/>
        </w:rPr>
        <w:t>latility over the 40-year period</w:t>
      </w:r>
      <w:r w:rsidRPr="008B16EF">
        <w:rPr>
          <w:rFonts w:ascii="Times New Roman" w:hAnsi="Times New Roman" w:cs="Times New Roman"/>
          <w:sz w:val="24"/>
          <w:lang w:val="en-US"/>
        </w:rPr>
        <w:t>.</w:t>
      </w:r>
    </w:p>
    <w:p w:rsidR="00B850D6" w:rsidRDefault="00FB6F49" w:rsidP="00B850D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lang w:val="en-US"/>
        </w:rPr>
        <w:t xml:space="preserve">There are a few number of research studies that investigates the relationship between the level of disclosure and the downside risk. </w:t>
      </w:r>
      <w:r w:rsidRPr="00150921">
        <w:rPr>
          <w:rFonts w:ascii="Times New Roman" w:hAnsi="Times New Roman" w:cs="Times New Roman"/>
          <w:sz w:val="24"/>
          <w:szCs w:val="24"/>
          <w:lang w:val="en-US"/>
        </w:rPr>
        <w:t>Ederington and Lee</w:t>
      </w:r>
      <w:r w:rsidR="00710A32">
        <w:rPr>
          <w:rFonts w:ascii="Times New Roman" w:hAnsi="Times New Roman" w:cs="Times New Roman"/>
          <w:sz w:val="24"/>
          <w:szCs w:val="24"/>
          <w:lang w:val="en-US"/>
        </w:rPr>
        <w:t xml:space="preserve"> (</w:t>
      </w:r>
      <w:r w:rsidRPr="00150921">
        <w:rPr>
          <w:rFonts w:ascii="Times New Roman" w:hAnsi="Times New Roman" w:cs="Times New Roman"/>
          <w:sz w:val="24"/>
          <w:szCs w:val="24"/>
          <w:lang w:val="en-US"/>
        </w:rPr>
        <w:t>1996</w:t>
      </w:r>
      <w:r w:rsidR="00710A32">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investigated the impact of </w:t>
      </w:r>
      <w:r>
        <w:rPr>
          <w:rFonts w:ascii="Times New Roman" w:hAnsi="Times New Roman" w:cs="Times New Roman"/>
          <w:sz w:val="24"/>
          <w:szCs w:val="24"/>
          <w:lang w:val="en-US"/>
        </w:rPr>
        <w:lastRenderedPageBreak/>
        <w:t>information releases on the downside risk in the Deutschemark market. As a measure of downside risk authors employed implied standard deviation from option market. On one hand</w:t>
      </w:r>
      <w:r w:rsidR="007A4CF6">
        <w:rPr>
          <w:rFonts w:ascii="Times New Roman" w:hAnsi="Times New Roman" w:cs="Times New Roman"/>
          <w:sz w:val="24"/>
          <w:szCs w:val="24"/>
          <w:lang w:val="en-US"/>
        </w:rPr>
        <w:t>,</w:t>
      </w:r>
      <w:r>
        <w:rPr>
          <w:rFonts w:ascii="Times New Roman" w:hAnsi="Times New Roman" w:cs="Times New Roman"/>
          <w:sz w:val="24"/>
          <w:szCs w:val="24"/>
          <w:lang w:val="en-US"/>
        </w:rPr>
        <w:t xml:space="preserve"> authors found that scheduled information releases lead to decrease in the implied standa</w:t>
      </w:r>
      <w:r w:rsidR="007A4CF6">
        <w:rPr>
          <w:rFonts w:ascii="Times New Roman" w:hAnsi="Times New Roman" w:cs="Times New Roman"/>
          <w:sz w:val="24"/>
          <w:szCs w:val="24"/>
          <w:lang w:val="en-US"/>
        </w:rPr>
        <w:t>rd deviation. On the other hand,</w:t>
      </w:r>
      <w:r>
        <w:rPr>
          <w:rFonts w:ascii="Times New Roman" w:hAnsi="Times New Roman" w:cs="Times New Roman"/>
          <w:sz w:val="24"/>
          <w:szCs w:val="24"/>
          <w:lang w:val="en-US"/>
        </w:rPr>
        <w:t xml:space="preserve"> </w:t>
      </w:r>
      <w:r w:rsidR="007A4CF6">
        <w:rPr>
          <w:rFonts w:ascii="Times New Roman" w:hAnsi="Times New Roman" w:cs="Times New Roman"/>
          <w:sz w:val="24"/>
          <w:szCs w:val="24"/>
          <w:lang w:val="en-US"/>
        </w:rPr>
        <w:t>unscheduled information announcements cause an increase in the implied standa</w:t>
      </w:r>
      <w:r w:rsidR="00F415C5">
        <w:rPr>
          <w:rFonts w:ascii="Times New Roman" w:hAnsi="Times New Roman" w:cs="Times New Roman"/>
          <w:sz w:val="24"/>
          <w:szCs w:val="24"/>
          <w:lang w:val="en-US"/>
        </w:rPr>
        <w:t xml:space="preserve">rd deviation. </w:t>
      </w:r>
      <w:r w:rsidR="00710A32">
        <w:rPr>
          <w:rFonts w:ascii="Times New Roman" w:hAnsi="Times New Roman" w:cs="Times New Roman"/>
          <w:sz w:val="24"/>
          <w:szCs w:val="24"/>
          <w:lang w:val="en-US"/>
        </w:rPr>
        <w:t xml:space="preserve">Additionally </w:t>
      </w:r>
      <w:r w:rsidR="00710A32" w:rsidRPr="00150921">
        <w:rPr>
          <w:rFonts w:ascii="Times New Roman" w:hAnsi="Times New Roman" w:cs="Times New Roman"/>
          <w:sz w:val="24"/>
          <w:szCs w:val="24"/>
          <w:lang w:val="en-US"/>
        </w:rPr>
        <w:t>Rogers, Skin</w:t>
      </w:r>
      <w:r w:rsidR="00710A32">
        <w:rPr>
          <w:rFonts w:ascii="Times New Roman" w:hAnsi="Times New Roman" w:cs="Times New Roman"/>
          <w:sz w:val="24"/>
          <w:szCs w:val="24"/>
          <w:lang w:val="en-US"/>
        </w:rPr>
        <w:t xml:space="preserve">ner, and Van Buskirk (2009) examined how disclosure of management earnings forecasts </w:t>
      </w:r>
      <w:r w:rsidR="00B850D6">
        <w:rPr>
          <w:rFonts w:ascii="Times New Roman" w:hAnsi="Times New Roman" w:cs="Times New Roman"/>
          <w:sz w:val="24"/>
          <w:szCs w:val="24"/>
          <w:lang w:val="en-US"/>
        </w:rPr>
        <w:t xml:space="preserve">influences uncertainty. Similar to </w:t>
      </w:r>
      <w:r w:rsidR="00B850D6" w:rsidRPr="00150921">
        <w:rPr>
          <w:rFonts w:ascii="Times New Roman" w:hAnsi="Times New Roman" w:cs="Times New Roman"/>
          <w:sz w:val="24"/>
          <w:szCs w:val="24"/>
          <w:lang w:val="en-US"/>
        </w:rPr>
        <w:t>Ederington and Lee</w:t>
      </w:r>
      <w:r w:rsidR="00B850D6">
        <w:rPr>
          <w:rFonts w:ascii="Times New Roman" w:hAnsi="Times New Roman" w:cs="Times New Roman"/>
          <w:sz w:val="24"/>
          <w:szCs w:val="24"/>
          <w:lang w:val="en-US"/>
        </w:rPr>
        <w:t xml:space="preserve"> they measured downside risk by using implied standard deviation derived from equity option prices. Authors revealed that disclosure of management earnings forecasts increases the short-run volatility and at the same time decreases long-run volatility. </w:t>
      </w:r>
    </w:p>
    <w:p w:rsidR="005506B6" w:rsidRPr="00AE4F91" w:rsidRDefault="005506B6" w:rsidP="005506B6">
      <w:pPr>
        <w:tabs>
          <w:tab w:val="left" w:pos="1710"/>
        </w:tabs>
        <w:rPr>
          <w:rFonts w:ascii="Times New Roman" w:eastAsiaTheme="majorEastAsia" w:hAnsi="Times New Roman" w:cstheme="majorBidi"/>
          <w:sz w:val="28"/>
          <w:szCs w:val="32"/>
          <w:lang w:val="en-US"/>
        </w:rPr>
      </w:pPr>
    </w:p>
    <w:p w:rsidR="005506B6" w:rsidRPr="00AE4F91" w:rsidRDefault="005506B6" w:rsidP="005506B6">
      <w:pPr>
        <w:tabs>
          <w:tab w:val="left" w:pos="1710"/>
        </w:tabs>
        <w:rPr>
          <w:rFonts w:ascii="Times New Roman" w:eastAsiaTheme="majorEastAsia" w:hAnsi="Times New Roman" w:cstheme="majorBidi"/>
          <w:sz w:val="28"/>
          <w:szCs w:val="32"/>
          <w:lang w:val="en-US"/>
        </w:rPr>
        <w:sectPr w:rsidR="005506B6" w:rsidRPr="00AE4F91" w:rsidSect="00121068">
          <w:pgSz w:w="11906" w:h="16838" w:code="9"/>
          <w:pgMar w:top="1134" w:right="850" w:bottom="1134" w:left="1701" w:header="708" w:footer="708" w:gutter="0"/>
          <w:cols w:space="708"/>
          <w:titlePg/>
          <w:docGrid w:linePitch="360"/>
        </w:sectPr>
      </w:pPr>
      <w:r w:rsidRPr="00AE4F91">
        <w:rPr>
          <w:rFonts w:ascii="Times New Roman" w:eastAsiaTheme="majorEastAsia" w:hAnsi="Times New Roman" w:cstheme="majorBidi"/>
          <w:sz w:val="28"/>
          <w:szCs w:val="32"/>
          <w:lang w:val="en-US"/>
        </w:rPr>
        <w:tab/>
      </w:r>
    </w:p>
    <w:p w:rsidR="008E5586" w:rsidRPr="007368CC" w:rsidRDefault="0044492F" w:rsidP="005506B6">
      <w:pPr>
        <w:spacing w:line="360" w:lineRule="auto"/>
        <w:jc w:val="both"/>
        <w:rPr>
          <w:lang w:val="en-US"/>
        </w:rPr>
      </w:pPr>
      <w:bookmarkStart w:id="12" w:name="_Toc451925550"/>
      <w:r w:rsidRPr="002D2173">
        <w:rPr>
          <w:rStyle w:val="10"/>
          <w:lang w:val="en-US"/>
        </w:rPr>
        <w:lastRenderedPageBreak/>
        <w:t xml:space="preserve">Chapter 3. Empirical </w:t>
      </w:r>
      <w:r w:rsidR="00633009">
        <w:rPr>
          <w:rStyle w:val="10"/>
          <w:lang w:val="en-US"/>
        </w:rPr>
        <w:t>study on relationship between disclosure and risk</w:t>
      </w:r>
      <w:bookmarkEnd w:id="12"/>
      <w:r>
        <w:rPr>
          <w:lang w:val="en-US"/>
        </w:rPr>
        <w:t xml:space="preserve"> </w:t>
      </w:r>
    </w:p>
    <w:p w:rsidR="0044492F" w:rsidRPr="006C1D46" w:rsidRDefault="0044492F" w:rsidP="0044492F">
      <w:pPr>
        <w:pStyle w:val="2"/>
        <w:rPr>
          <w:lang w:val="en-US"/>
        </w:rPr>
      </w:pPr>
      <w:bookmarkStart w:id="13" w:name="_Toc451925551"/>
      <w:r>
        <w:rPr>
          <w:lang w:val="en-US"/>
        </w:rPr>
        <w:t xml:space="preserve">3.1. </w:t>
      </w:r>
      <w:r w:rsidRPr="006C1D46">
        <w:rPr>
          <w:lang w:val="en-US"/>
        </w:rPr>
        <w:t>Hypotheses development</w:t>
      </w:r>
      <w:bookmarkEnd w:id="13"/>
    </w:p>
    <w:p w:rsidR="0054191B" w:rsidRDefault="0054191B" w:rsidP="0044492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B92360">
        <w:rPr>
          <w:rFonts w:ascii="Times New Roman" w:hAnsi="Times New Roman" w:cs="Times New Roman"/>
          <w:sz w:val="24"/>
          <w:szCs w:val="24"/>
          <w:lang w:val="en-US"/>
        </w:rPr>
        <w:t xml:space="preserve"> the first</w:t>
      </w:r>
      <w:r>
        <w:rPr>
          <w:rFonts w:ascii="Times New Roman" w:hAnsi="Times New Roman" w:cs="Times New Roman"/>
          <w:sz w:val="24"/>
          <w:szCs w:val="24"/>
          <w:lang w:val="en-US"/>
        </w:rPr>
        <w:t xml:space="preserve"> chapter we discussed different types of risk that investors typically face </w:t>
      </w:r>
      <w:r>
        <w:rPr>
          <w:rFonts w:ascii="Times New Roman" w:hAnsi="Times New Roman" w:cs="Times New Roman"/>
          <w:sz w:val="24"/>
          <w:lang w:val="en-US"/>
        </w:rPr>
        <w:t>while making</w:t>
      </w:r>
      <w:r w:rsidR="00246F6D">
        <w:rPr>
          <w:rFonts w:ascii="Times New Roman" w:hAnsi="Times New Roman" w:cs="Times New Roman"/>
          <w:sz w:val="24"/>
          <w:lang w:val="en-US"/>
        </w:rPr>
        <w:t xml:space="preserve"> investments in capital markets</w:t>
      </w:r>
      <w:r w:rsidRPr="0044492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In chapter 2 the role of disclosure</w:t>
      </w:r>
      <w:r w:rsidR="0054191B">
        <w:rPr>
          <w:rFonts w:ascii="Times New Roman" w:hAnsi="Times New Roman" w:cs="Times New Roman"/>
          <w:sz w:val="24"/>
          <w:szCs w:val="24"/>
          <w:lang w:val="en-US"/>
        </w:rPr>
        <w:t xml:space="preserve"> in capital markets</w:t>
      </w:r>
      <w:r w:rsidRPr="0044492F">
        <w:rPr>
          <w:rFonts w:ascii="Times New Roman" w:hAnsi="Times New Roman" w:cs="Times New Roman"/>
          <w:sz w:val="24"/>
          <w:szCs w:val="24"/>
          <w:lang w:val="en-US"/>
        </w:rPr>
        <w:t xml:space="preserve"> and the relationship between disclosure and different types of enterprise risks were discussed. As it was stated previously the main role of disclosure is to reduce information asymmetry between managers, analysts and investors as well as well as to resolve the agency problem. As argued above, lowering information asymmetry is viewed as desirable because it affects investors' assessment of the riskiness of the firm. However, </w:t>
      </w:r>
      <w:r w:rsidR="00FB047A">
        <w:rPr>
          <w:rFonts w:ascii="Times New Roman" w:hAnsi="Times New Roman" w:cs="Times New Roman"/>
          <w:sz w:val="24"/>
          <w:szCs w:val="24"/>
          <w:lang w:val="en-US"/>
        </w:rPr>
        <w:t xml:space="preserve">as we can see from the literature review </w:t>
      </w:r>
      <w:r w:rsidRPr="0044492F">
        <w:rPr>
          <w:rFonts w:ascii="Times New Roman" w:hAnsi="Times New Roman" w:cs="Times New Roman"/>
          <w:sz w:val="24"/>
          <w:szCs w:val="24"/>
          <w:lang w:val="en-US"/>
        </w:rPr>
        <w:t xml:space="preserve">the </w:t>
      </w:r>
      <w:r w:rsidR="004E6B51">
        <w:rPr>
          <w:rFonts w:ascii="Times New Roman" w:hAnsi="Times New Roman" w:cs="Times New Roman"/>
          <w:sz w:val="24"/>
          <w:szCs w:val="24"/>
          <w:lang w:val="en-US"/>
        </w:rPr>
        <w:t>relationship between</w:t>
      </w:r>
      <w:r w:rsidRPr="0044492F">
        <w:rPr>
          <w:rFonts w:ascii="Times New Roman" w:hAnsi="Times New Roman" w:cs="Times New Roman"/>
          <w:sz w:val="24"/>
          <w:szCs w:val="24"/>
          <w:lang w:val="en-US"/>
        </w:rPr>
        <w:t xml:space="preserve"> disclosure </w:t>
      </w:r>
      <w:r w:rsidR="004E6B51">
        <w:rPr>
          <w:rFonts w:ascii="Times New Roman" w:hAnsi="Times New Roman" w:cs="Times New Roman"/>
          <w:sz w:val="24"/>
          <w:szCs w:val="24"/>
          <w:lang w:val="en-US"/>
        </w:rPr>
        <w:t>and</w:t>
      </w:r>
      <w:r w:rsidRPr="0044492F">
        <w:rPr>
          <w:rFonts w:ascii="Times New Roman" w:hAnsi="Times New Roman" w:cs="Times New Roman"/>
          <w:sz w:val="24"/>
          <w:szCs w:val="24"/>
          <w:lang w:val="en-US"/>
        </w:rPr>
        <w:t xml:space="preserve"> enterprise risks is ambiguous. </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 xml:space="preserve">The purpose of this empirical study is to identify the presence and the nature of the relationship between disclosure and different </w:t>
      </w:r>
      <w:r w:rsidR="00B01645">
        <w:rPr>
          <w:rFonts w:ascii="Times New Roman" w:hAnsi="Times New Roman" w:cs="Times New Roman"/>
          <w:sz w:val="24"/>
          <w:szCs w:val="24"/>
          <w:lang w:val="en-US"/>
        </w:rPr>
        <w:t>types of risk</w:t>
      </w:r>
      <w:r w:rsidRPr="0044492F">
        <w:rPr>
          <w:rFonts w:ascii="Times New Roman" w:hAnsi="Times New Roman" w:cs="Times New Roman"/>
          <w:sz w:val="24"/>
          <w:szCs w:val="24"/>
          <w:lang w:val="en-US"/>
        </w:rPr>
        <w:t>.</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 xml:space="preserve">To investigate the influence of disclosure on different </w:t>
      </w:r>
      <w:r w:rsidR="00B01645">
        <w:rPr>
          <w:rFonts w:ascii="Times New Roman" w:hAnsi="Times New Roman" w:cs="Times New Roman"/>
          <w:sz w:val="24"/>
          <w:szCs w:val="24"/>
          <w:lang w:val="en-US"/>
        </w:rPr>
        <w:t>enterprise risks</w:t>
      </w:r>
      <w:r w:rsidRPr="0044492F">
        <w:rPr>
          <w:rFonts w:ascii="Times New Roman" w:hAnsi="Times New Roman" w:cs="Times New Roman"/>
          <w:sz w:val="24"/>
          <w:szCs w:val="24"/>
          <w:lang w:val="en-US"/>
        </w:rPr>
        <w:t xml:space="preserve"> econometric analysis has been selected.</w:t>
      </w:r>
    </w:p>
    <w:p w:rsidR="0044492F" w:rsidRPr="0044492F" w:rsidRDefault="004320BC"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Based on</w:t>
      </w:r>
      <w:r>
        <w:rPr>
          <w:rFonts w:ascii="Times New Roman" w:hAnsi="Times New Roman" w:cs="Times New Roman"/>
          <w:sz w:val="24"/>
          <w:szCs w:val="24"/>
          <w:lang w:val="en-US"/>
        </w:rPr>
        <w:t xml:space="preserve"> the</w:t>
      </w:r>
      <w:r w:rsidR="0044492F" w:rsidRPr="0044492F">
        <w:rPr>
          <w:rFonts w:ascii="Times New Roman" w:hAnsi="Times New Roman" w:cs="Times New Roman"/>
          <w:sz w:val="24"/>
          <w:szCs w:val="24"/>
          <w:lang w:val="en-US"/>
        </w:rPr>
        <w:t xml:space="preserve"> examination of different studies devoted to the chosen topic ​​the following research hypotheses have been formulated.</w:t>
      </w:r>
    </w:p>
    <w:p w:rsidR="00151A67" w:rsidRPr="00151A67" w:rsidRDefault="00151A67" w:rsidP="00151A67">
      <w:pPr>
        <w:spacing w:line="360" w:lineRule="auto"/>
        <w:ind w:firstLine="709"/>
        <w:jc w:val="both"/>
        <w:rPr>
          <w:rFonts w:ascii="Times New Roman" w:hAnsi="Times New Roman" w:cs="Times New Roman"/>
          <w:sz w:val="24"/>
          <w:szCs w:val="24"/>
          <w:lang w:val="en-US"/>
        </w:rPr>
      </w:pPr>
      <w:r w:rsidRPr="00151A67">
        <w:rPr>
          <w:rFonts w:ascii="Times New Roman" w:hAnsi="Times New Roman" w:cs="Times New Roman"/>
          <w:b/>
          <w:sz w:val="24"/>
          <w:szCs w:val="24"/>
          <w:lang w:val="en-US"/>
        </w:rPr>
        <w:t>Hypothesis H1</w:t>
      </w:r>
      <w:r w:rsidRPr="00151A67">
        <w:rPr>
          <w:rFonts w:ascii="Times New Roman" w:hAnsi="Times New Roman" w:cs="Times New Roman"/>
          <w:sz w:val="24"/>
          <w:szCs w:val="24"/>
          <w:lang w:val="en-US"/>
        </w:rPr>
        <w:t xml:space="preserve">: The higher the level of bank’s disclosure in the current year the lower the aggregated risk in the following year. </w:t>
      </w:r>
    </w:p>
    <w:p w:rsidR="00151A67" w:rsidRPr="00151A67" w:rsidRDefault="00151A67" w:rsidP="00151A67">
      <w:pPr>
        <w:spacing w:line="360" w:lineRule="auto"/>
        <w:ind w:firstLine="709"/>
        <w:jc w:val="both"/>
        <w:rPr>
          <w:rFonts w:ascii="Times New Roman" w:hAnsi="Times New Roman" w:cs="Times New Roman"/>
          <w:sz w:val="24"/>
          <w:szCs w:val="24"/>
          <w:lang w:val="en-US"/>
        </w:rPr>
      </w:pPr>
      <w:r w:rsidRPr="00151A67">
        <w:rPr>
          <w:rFonts w:ascii="Times New Roman" w:hAnsi="Times New Roman" w:cs="Times New Roman"/>
          <w:b/>
          <w:sz w:val="24"/>
          <w:szCs w:val="24"/>
          <w:lang w:val="en-US"/>
        </w:rPr>
        <w:t>Hypothesis</w:t>
      </w:r>
      <w:r w:rsidRPr="00151A67">
        <w:rPr>
          <w:rFonts w:ascii="Times New Roman" w:hAnsi="Times New Roman" w:cs="Times New Roman"/>
          <w:sz w:val="24"/>
          <w:szCs w:val="24"/>
          <w:lang w:val="en-US"/>
        </w:rPr>
        <w:t xml:space="preserve"> </w:t>
      </w:r>
      <w:r w:rsidRPr="00151A67">
        <w:rPr>
          <w:rFonts w:ascii="Times New Roman" w:hAnsi="Times New Roman" w:cs="Times New Roman"/>
          <w:b/>
          <w:sz w:val="24"/>
          <w:szCs w:val="24"/>
          <w:lang w:val="en-US"/>
        </w:rPr>
        <w:t>H2</w:t>
      </w:r>
      <w:r w:rsidRPr="00151A67">
        <w:rPr>
          <w:rFonts w:ascii="Times New Roman" w:hAnsi="Times New Roman" w:cs="Times New Roman"/>
          <w:sz w:val="24"/>
          <w:szCs w:val="24"/>
          <w:lang w:val="en-US"/>
        </w:rPr>
        <w:t xml:space="preserve">: The higher the level of bank’s disclosure in the current year the lower the </w:t>
      </w:r>
      <w:r w:rsidR="00DE47A1">
        <w:rPr>
          <w:rFonts w:ascii="Times New Roman" w:hAnsi="Times New Roman" w:cs="Times New Roman"/>
          <w:sz w:val="24"/>
          <w:szCs w:val="24"/>
          <w:lang w:val="en-US"/>
        </w:rPr>
        <w:t>systemic</w:t>
      </w:r>
      <w:r w:rsidRPr="00151A67">
        <w:rPr>
          <w:rFonts w:ascii="Times New Roman" w:hAnsi="Times New Roman" w:cs="Times New Roman"/>
          <w:sz w:val="24"/>
          <w:szCs w:val="24"/>
          <w:lang w:val="en-US"/>
        </w:rPr>
        <w:t xml:space="preserve"> risk in the following year. </w:t>
      </w:r>
    </w:p>
    <w:p w:rsidR="00151A67" w:rsidRPr="00151A67" w:rsidRDefault="00151A67" w:rsidP="00151A67">
      <w:pPr>
        <w:spacing w:line="360" w:lineRule="auto"/>
        <w:ind w:firstLine="709"/>
        <w:jc w:val="both"/>
        <w:rPr>
          <w:rFonts w:ascii="Times New Roman" w:hAnsi="Times New Roman" w:cs="Times New Roman"/>
          <w:sz w:val="24"/>
          <w:szCs w:val="24"/>
          <w:lang w:val="en-US"/>
        </w:rPr>
      </w:pPr>
      <w:r w:rsidRPr="00151A67">
        <w:rPr>
          <w:rFonts w:ascii="Times New Roman" w:hAnsi="Times New Roman" w:cs="Times New Roman"/>
          <w:b/>
          <w:sz w:val="24"/>
          <w:szCs w:val="24"/>
          <w:lang w:val="en-US"/>
        </w:rPr>
        <w:t>Hypothesis</w:t>
      </w:r>
      <w:r w:rsidRPr="00151A67">
        <w:rPr>
          <w:rFonts w:ascii="Times New Roman" w:hAnsi="Times New Roman" w:cs="Times New Roman"/>
          <w:sz w:val="24"/>
          <w:szCs w:val="24"/>
          <w:lang w:val="en-US"/>
        </w:rPr>
        <w:t xml:space="preserve"> </w:t>
      </w:r>
      <w:r w:rsidRPr="00151A67">
        <w:rPr>
          <w:rFonts w:ascii="Times New Roman" w:hAnsi="Times New Roman" w:cs="Times New Roman"/>
          <w:b/>
          <w:sz w:val="24"/>
          <w:szCs w:val="24"/>
          <w:lang w:val="en-US"/>
        </w:rPr>
        <w:t>H3</w:t>
      </w:r>
      <w:r w:rsidRPr="00151A6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51A67">
        <w:rPr>
          <w:rFonts w:ascii="Times New Roman" w:hAnsi="Times New Roman" w:cs="Times New Roman"/>
          <w:sz w:val="24"/>
          <w:szCs w:val="24"/>
          <w:lang w:val="en-US"/>
        </w:rPr>
        <w:t xml:space="preserve">The higher the level of bank’s disclosure in the current year the lower the idiosyncratic risk in the following year. </w:t>
      </w:r>
    </w:p>
    <w:p w:rsidR="00151A67" w:rsidRPr="00151A67" w:rsidRDefault="00151A67" w:rsidP="00151A67">
      <w:pPr>
        <w:spacing w:line="360" w:lineRule="auto"/>
        <w:ind w:firstLine="709"/>
        <w:jc w:val="both"/>
        <w:rPr>
          <w:rFonts w:ascii="Times New Roman" w:hAnsi="Times New Roman" w:cs="Times New Roman"/>
          <w:sz w:val="24"/>
          <w:szCs w:val="24"/>
          <w:lang w:val="en-US"/>
        </w:rPr>
      </w:pPr>
      <w:r w:rsidRPr="00151A67">
        <w:rPr>
          <w:rFonts w:ascii="Times New Roman" w:hAnsi="Times New Roman" w:cs="Times New Roman"/>
          <w:b/>
          <w:sz w:val="24"/>
          <w:szCs w:val="24"/>
          <w:lang w:val="en-US"/>
        </w:rPr>
        <w:t>Hypothesis</w:t>
      </w:r>
      <w:r w:rsidRPr="00151A67">
        <w:rPr>
          <w:rFonts w:ascii="Times New Roman" w:hAnsi="Times New Roman" w:cs="Times New Roman"/>
          <w:sz w:val="24"/>
          <w:szCs w:val="24"/>
          <w:lang w:val="en-US"/>
        </w:rPr>
        <w:t xml:space="preserve"> </w:t>
      </w:r>
      <w:r w:rsidRPr="00151A67">
        <w:rPr>
          <w:rFonts w:ascii="Times New Roman" w:hAnsi="Times New Roman" w:cs="Times New Roman"/>
          <w:b/>
          <w:sz w:val="24"/>
          <w:szCs w:val="24"/>
          <w:lang w:val="en-US"/>
        </w:rPr>
        <w:t>H4</w:t>
      </w:r>
      <w:r w:rsidRPr="00151A67">
        <w:rPr>
          <w:rFonts w:ascii="Times New Roman" w:hAnsi="Times New Roman" w:cs="Times New Roman"/>
          <w:sz w:val="24"/>
          <w:szCs w:val="24"/>
          <w:lang w:val="en-US"/>
        </w:rPr>
        <w:t xml:space="preserve">: The higher the level of bank’s disclosure in the current year the lower the downside risk in the following year.  </w:t>
      </w:r>
    </w:p>
    <w:p w:rsidR="0044492F" w:rsidRDefault="0044492F" w:rsidP="00151A67">
      <w:pPr>
        <w:pStyle w:val="2"/>
        <w:rPr>
          <w:lang w:val="en-US"/>
        </w:rPr>
      </w:pPr>
      <w:bookmarkStart w:id="14" w:name="_Toc451925552"/>
      <w:r>
        <w:rPr>
          <w:lang w:val="en-US"/>
        </w:rPr>
        <w:t>3.2. M</w:t>
      </w:r>
      <w:r w:rsidRPr="00CF0DA5">
        <w:rPr>
          <w:lang w:val="en-US"/>
        </w:rPr>
        <w:t>ethodology</w:t>
      </w:r>
      <w:bookmarkEnd w:id="14"/>
    </w:p>
    <w:p w:rsidR="0044492F" w:rsidRPr="0044492F" w:rsidRDefault="0044492F" w:rsidP="0044492F">
      <w:pPr>
        <w:spacing w:line="360" w:lineRule="auto"/>
        <w:ind w:firstLine="708"/>
        <w:rPr>
          <w:rFonts w:ascii="Times New Roman" w:hAnsi="Times New Roman" w:cs="Times New Roman"/>
          <w:b/>
          <w:sz w:val="24"/>
          <w:szCs w:val="24"/>
          <w:lang w:val="en-US"/>
        </w:rPr>
      </w:pPr>
      <w:r w:rsidRPr="0044492F">
        <w:rPr>
          <w:rFonts w:ascii="Times New Roman" w:hAnsi="Times New Roman" w:cs="Times New Roman"/>
          <w:sz w:val="24"/>
          <w:szCs w:val="24"/>
          <w:lang w:val="en-US"/>
        </w:rPr>
        <w:t>In order to test the main hypothesis I employ the panel regression models:</w:t>
      </w:r>
    </w:p>
    <w:p w:rsidR="0044492F" w:rsidRPr="0044492F" w:rsidRDefault="00AE0B9C" w:rsidP="0044492F">
      <w:pPr>
        <w:spacing w:line="360" w:lineRule="auto"/>
        <w:ind w:firstLine="708"/>
        <w:rPr>
          <w:rFonts w:ascii="Times New Roman" w:eastAsiaTheme="minorEastAsia" w:hAnsi="Times New Roman" w:cs="Times New Roman"/>
          <w:i/>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yaggrisk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+k*</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i/>
          <w:sz w:val="24"/>
          <w:szCs w:val="24"/>
          <w:lang w:val="en-US"/>
        </w:rPr>
        <w:t xml:space="preserve">                                                       </w:t>
      </w:r>
      <w:r w:rsidR="0044492F" w:rsidRPr="0044492F">
        <w:rPr>
          <w:rFonts w:ascii="Times New Roman" w:eastAsiaTheme="minorEastAsia" w:hAnsi="Times New Roman" w:cs="Times New Roman"/>
          <w:sz w:val="24"/>
          <w:szCs w:val="24"/>
          <w:lang w:val="en-US"/>
        </w:rPr>
        <w:t>(3.1)</w:t>
      </w:r>
    </w:p>
    <w:p w:rsidR="0044492F" w:rsidRPr="0044492F" w:rsidRDefault="00AE0B9C" w:rsidP="0044492F">
      <w:pPr>
        <w:spacing w:line="360" w:lineRule="auto"/>
        <w:ind w:firstLine="708"/>
        <w:rPr>
          <w:rFonts w:ascii="Times New Roman" w:hAnsi="Times New Roman" w:cs="Times New Roman"/>
          <w:b/>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sysrisk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+k*</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(3.2)</w:t>
      </w:r>
    </w:p>
    <w:p w:rsidR="0044492F" w:rsidRPr="0044492F" w:rsidRDefault="00AE0B9C" w:rsidP="0044492F">
      <w:pPr>
        <w:spacing w:line="360" w:lineRule="auto"/>
        <w:ind w:firstLine="708"/>
        <w:rPr>
          <w:rFonts w:ascii="Times New Roman" w:eastAsiaTheme="minorEastAsia" w:hAnsi="Times New Roman" w:cs="Times New Roman"/>
          <w:i/>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yidiorisk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+k*</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i/>
          <w:sz w:val="24"/>
          <w:szCs w:val="24"/>
          <w:lang w:val="en-US"/>
        </w:rPr>
        <w:t xml:space="preserve">                                                       </w:t>
      </w:r>
      <w:r w:rsidR="0044492F" w:rsidRPr="0044492F">
        <w:rPr>
          <w:rFonts w:ascii="Times New Roman" w:eastAsiaTheme="minorEastAsia" w:hAnsi="Times New Roman" w:cs="Times New Roman"/>
          <w:sz w:val="24"/>
          <w:szCs w:val="24"/>
          <w:lang w:val="en-US"/>
        </w:rPr>
        <w:t>(3.3)</w:t>
      </w:r>
    </w:p>
    <w:p w:rsidR="0044492F" w:rsidRPr="0044492F" w:rsidRDefault="00AE0B9C" w:rsidP="0044492F">
      <w:pPr>
        <w:spacing w:line="360" w:lineRule="auto"/>
        <w:ind w:firstLine="708"/>
        <w:rPr>
          <w:rFonts w:ascii="Times New Roman" w:eastAsiaTheme="minorEastAsia" w:hAnsi="Times New Roman" w:cs="Times New Roman"/>
          <w:i/>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ydownrisk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+k*</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i/>
          <w:sz w:val="24"/>
          <w:szCs w:val="24"/>
          <w:lang w:val="en-US"/>
        </w:rPr>
        <w:t xml:space="preserve">                                                    </w:t>
      </w:r>
      <w:r w:rsidR="0044492F" w:rsidRPr="0044492F">
        <w:rPr>
          <w:rFonts w:ascii="Times New Roman" w:eastAsiaTheme="minorEastAsia" w:hAnsi="Times New Roman" w:cs="Times New Roman"/>
          <w:sz w:val="24"/>
          <w:szCs w:val="24"/>
          <w:lang w:val="en-US"/>
        </w:rPr>
        <w:t>(3.4)</w:t>
      </w:r>
    </w:p>
    <w:p w:rsidR="0044492F" w:rsidRPr="0044492F" w:rsidRDefault="0044492F" w:rsidP="0044492F">
      <w:pPr>
        <w:spacing w:line="360" w:lineRule="auto"/>
        <w:ind w:firstLine="708"/>
        <w:rPr>
          <w:rFonts w:ascii="Times New Roman" w:eastAsiaTheme="minorEastAsia" w:hAnsi="Times New Roman" w:cs="Times New Roman"/>
          <w:sz w:val="24"/>
          <w:szCs w:val="24"/>
          <w:lang w:val="en-US"/>
        </w:rPr>
      </w:pPr>
      <w:r w:rsidRPr="0044492F">
        <w:rPr>
          <w:rFonts w:ascii="Times New Roman" w:eastAsiaTheme="minorEastAsia" w:hAnsi="Times New Roman" w:cs="Times New Roman"/>
          <w:sz w:val="24"/>
          <w:szCs w:val="24"/>
          <w:lang w:val="en-US"/>
        </w:rPr>
        <w:t>where:</w:t>
      </w:r>
    </w:p>
    <w:p w:rsidR="0044492F" w:rsidRPr="0044492F" w:rsidRDefault="00AE0B9C" w:rsidP="0044492F">
      <w:pPr>
        <w:spacing w:line="360" w:lineRule="auto"/>
        <w:ind w:firstLine="708"/>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yaggrisk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0044492F" w:rsidRPr="0044492F">
        <w:rPr>
          <w:rFonts w:ascii="Times New Roman" w:eastAsiaTheme="minorEastAsia" w:hAnsi="Times New Roman" w:cs="Times New Roman"/>
          <w:sz w:val="24"/>
          <w:szCs w:val="24"/>
          <w:lang w:val="en-US"/>
        </w:rPr>
        <w:t xml:space="preserve"> – the aggregated risk</w:t>
      </w:r>
    </w:p>
    <w:p w:rsidR="0044492F" w:rsidRPr="0044492F" w:rsidRDefault="00AE0B9C" w:rsidP="0044492F">
      <w:pPr>
        <w:spacing w:line="360" w:lineRule="auto"/>
        <w:ind w:firstLine="708"/>
        <w:rPr>
          <w:rFonts w:ascii="Times New Roman" w:eastAsiaTheme="minorEastAsia" w:hAnsi="Times New Roman" w:cs="Times New Roman"/>
          <w:b/>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sysrisk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0044492F" w:rsidRPr="0044492F">
        <w:rPr>
          <w:rFonts w:ascii="Times New Roman" w:eastAsiaTheme="minorEastAsia" w:hAnsi="Times New Roman" w:cs="Times New Roman"/>
          <w:sz w:val="24"/>
          <w:szCs w:val="24"/>
          <w:lang w:val="en-US"/>
        </w:rPr>
        <w:t xml:space="preserve"> – the systemic risk</w:t>
      </w:r>
    </w:p>
    <w:p w:rsidR="0044492F" w:rsidRPr="0044492F" w:rsidRDefault="00AE0B9C" w:rsidP="0044492F">
      <w:pPr>
        <w:spacing w:line="360" w:lineRule="auto"/>
        <w:ind w:firstLine="708"/>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yidiorisk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0044492F" w:rsidRPr="0044492F">
        <w:rPr>
          <w:rFonts w:ascii="Times New Roman" w:eastAsiaTheme="minorEastAsia" w:hAnsi="Times New Roman" w:cs="Times New Roman"/>
          <w:sz w:val="24"/>
          <w:szCs w:val="24"/>
          <w:lang w:val="en-US"/>
        </w:rPr>
        <w:t xml:space="preserve"> – the idiosyncratic risk</w:t>
      </w:r>
    </w:p>
    <w:p w:rsidR="0044492F" w:rsidRPr="0044492F" w:rsidRDefault="00AE0B9C" w:rsidP="0044492F">
      <w:pPr>
        <w:spacing w:line="360" w:lineRule="auto"/>
        <w:ind w:firstLine="708"/>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ydownrisk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0044492F" w:rsidRPr="0044492F">
        <w:rPr>
          <w:rFonts w:ascii="Times New Roman" w:eastAsiaTheme="minorEastAsia" w:hAnsi="Times New Roman" w:cs="Times New Roman"/>
          <w:sz w:val="24"/>
          <w:szCs w:val="24"/>
          <w:lang w:val="en-US"/>
        </w:rPr>
        <w:t xml:space="preserve"> – the downside risk</w:t>
      </w:r>
    </w:p>
    <w:p w:rsidR="0044492F" w:rsidRPr="0044492F" w:rsidRDefault="00AE0B9C" w:rsidP="0044492F">
      <w:pPr>
        <w:spacing w:line="360" w:lineRule="auto"/>
        <w:ind w:firstLine="708"/>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lang w:val="en-US"/>
              </w:rPr>
              <m:t>β</m:t>
            </m:r>
          </m:e>
          <m:sub>
            <m:r>
              <m:rPr>
                <m:sty m:val="p"/>
              </m:rPr>
              <w:rPr>
                <w:rFonts w:ascii="Cambria Math" w:eastAsiaTheme="minorEastAsia" w:hAnsi="Cambria Math" w:cs="Times New Roman"/>
                <w:sz w:val="24"/>
                <w:szCs w:val="24"/>
                <w:lang w:val="en-US"/>
              </w:rPr>
              <m:t>1</m:t>
            </m:r>
          </m:sub>
        </m:sSub>
      </m:oMath>
      <w:r w:rsidR="0044492F" w:rsidRPr="0044492F">
        <w:rPr>
          <w:rFonts w:ascii="Times New Roman" w:eastAsiaTheme="minorEastAsia" w:hAnsi="Times New Roman" w:cs="Times New Roman"/>
          <w:sz w:val="24"/>
          <w:szCs w:val="24"/>
          <w:lang w:val="en-US"/>
        </w:rPr>
        <w:t xml:space="preserve"> - the coefficient on disclosure</w:t>
      </w:r>
    </w:p>
    <w:p w:rsidR="0044492F" w:rsidRPr="0044492F" w:rsidRDefault="00AE0B9C" w:rsidP="0044492F">
      <w:pPr>
        <w:spacing w:line="360" w:lineRule="auto"/>
        <w:ind w:firstLine="708"/>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oMath>
      <w:r w:rsidR="0044492F" w:rsidRPr="0044492F">
        <w:rPr>
          <w:rFonts w:ascii="Times New Roman" w:eastAsiaTheme="minorEastAsia" w:hAnsi="Times New Roman" w:cs="Times New Roman"/>
          <w:sz w:val="24"/>
          <w:szCs w:val="24"/>
          <w:lang w:val="en-US"/>
        </w:rPr>
        <w:t xml:space="preserve"> - the aggregated disclosure index</w:t>
      </w:r>
    </w:p>
    <w:p w:rsidR="0044492F" w:rsidRPr="0044492F" w:rsidRDefault="0044492F" w:rsidP="0044492F">
      <w:pPr>
        <w:spacing w:line="360" w:lineRule="auto"/>
        <w:ind w:firstLine="708"/>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k</m:t>
        </m:r>
      </m:oMath>
      <w:r w:rsidRPr="0044492F">
        <w:rPr>
          <w:rFonts w:ascii="Times New Roman" w:eastAsiaTheme="minorEastAsia" w:hAnsi="Times New Roman" w:cs="Times New Roman"/>
          <w:sz w:val="24"/>
          <w:szCs w:val="24"/>
          <w:lang w:val="en-US"/>
        </w:rPr>
        <w:t xml:space="preserve"> – the vector of coefficients</w:t>
      </w:r>
    </w:p>
    <w:p w:rsidR="0044492F" w:rsidRPr="0044492F" w:rsidRDefault="00AE0B9C" w:rsidP="0044492F">
      <w:pPr>
        <w:spacing w:line="360" w:lineRule="auto"/>
        <w:ind w:firstLine="708"/>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 the vector of control variables</w:t>
      </w:r>
    </w:p>
    <w:p w:rsidR="0044492F" w:rsidRPr="0044492F" w:rsidRDefault="00AE0B9C" w:rsidP="0044492F">
      <w:pPr>
        <w:spacing w:line="360" w:lineRule="auto"/>
        <w:ind w:firstLine="708"/>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 random error term</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 xml:space="preserve">The dependent variables comprise four </w:t>
      </w:r>
      <w:r w:rsidR="00D8373D">
        <w:rPr>
          <w:rFonts w:ascii="Times New Roman" w:hAnsi="Times New Roman" w:cs="Times New Roman"/>
          <w:sz w:val="24"/>
          <w:szCs w:val="24"/>
          <w:lang w:val="en-US"/>
        </w:rPr>
        <w:t>types of risk</w:t>
      </w:r>
      <w:r w:rsidRPr="0044492F">
        <w:rPr>
          <w:rFonts w:ascii="Times New Roman" w:hAnsi="Times New Roman" w:cs="Times New Roman"/>
          <w:sz w:val="24"/>
          <w:szCs w:val="24"/>
          <w:lang w:val="en-US"/>
        </w:rPr>
        <w:t xml:space="preserve"> that were discussed in the first chapter: the aggregated risk, the systemic risk, the idiosyncratic risk and the downside risk. The calculation and motivation for these risk</w:t>
      </w:r>
      <w:r w:rsidR="00D8373D">
        <w:rPr>
          <w:rFonts w:ascii="Times New Roman" w:hAnsi="Times New Roman" w:cs="Times New Roman"/>
          <w:sz w:val="24"/>
          <w:szCs w:val="24"/>
          <w:lang w:val="en-US"/>
        </w:rPr>
        <w:t>s</w:t>
      </w:r>
      <w:r w:rsidRPr="0044492F">
        <w:rPr>
          <w:rFonts w:ascii="Times New Roman" w:hAnsi="Times New Roman" w:cs="Times New Roman"/>
          <w:sz w:val="24"/>
          <w:szCs w:val="24"/>
          <w:lang w:val="en-US"/>
        </w:rPr>
        <w:t xml:space="preserve"> are described below in more detail. </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The first</w:t>
      </w:r>
      <w:r w:rsidR="00D8373D">
        <w:rPr>
          <w:rFonts w:ascii="Times New Roman" w:hAnsi="Times New Roman" w:cs="Times New Roman"/>
          <w:sz w:val="24"/>
          <w:szCs w:val="24"/>
          <w:lang w:val="en-US"/>
        </w:rPr>
        <w:t xml:space="preserve"> type of</w:t>
      </w:r>
      <w:r w:rsidRPr="0044492F">
        <w:rPr>
          <w:rFonts w:ascii="Times New Roman" w:hAnsi="Times New Roman" w:cs="Times New Roman"/>
          <w:sz w:val="24"/>
          <w:szCs w:val="24"/>
          <w:lang w:val="en-US"/>
        </w:rPr>
        <w:t xml:space="preserve"> risk is the aggregated risk (</w:t>
      </w:r>
      <m:oMath>
        <m:sSub>
          <m:sSubPr>
            <m:ctrlPr>
              <w:rPr>
                <w:rFonts w:ascii="Cambria Math" w:hAnsi="Cambria Math" w:cs="Times New Roman"/>
                <w:i/>
                <w:sz w:val="24"/>
                <w:szCs w:val="24"/>
              </w:rPr>
            </m:ctrlPr>
          </m:sSubPr>
          <m:e>
            <m:r>
              <w:rPr>
                <w:rFonts w:ascii="Cambria Math" w:hAnsi="Cambria Math" w:cs="Times New Roman"/>
                <w:sz w:val="24"/>
                <w:szCs w:val="24"/>
                <w:lang w:val="en-US"/>
              </w:rPr>
              <m:t>yaggrisk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lang w:val="en-US"/>
          </w:rPr>
          <m:t>)</m:t>
        </m:r>
      </m:oMath>
      <w:r w:rsidRPr="0044492F">
        <w:rPr>
          <w:rFonts w:ascii="Times New Roman" w:hAnsi="Times New Roman" w:cs="Times New Roman"/>
          <w:sz w:val="24"/>
          <w:szCs w:val="24"/>
          <w:lang w:val="en-US"/>
        </w:rPr>
        <w:t>. I estimate the aggregated risk as the standard deviation of a stock market asset’s weekly returns. The standard deviation was calculated using the equation 3.5:</w:t>
      </w:r>
    </w:p>
    <w:p w:rsidR="0044492F" w:rsidRPr="0044492F" w:rsidRDefault="00AE0B9C" w:rsidP="0044492F">
      <w:pPr>
        <w:spacing w:line="360" w:lineRule="auto"/>
        <w:ind w:firstLine="708"/>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i,t</m:t>
            </m:r>
          </m:sub>
        </m:sSub>
        <m:r>
          <w:rPr>
            <w:rFonts w:ascii="Cambria Math" w:hAnsi="Cambria Math" w:cs="Times New Roman"/>
            <w:sz w:val="24"/>
            <w:szCs w:val="24"/>
            <w:lang w:val="en-US"/>
          </w:rPr>
          <m:t>=</m:t>
        </m:r>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r>
                  <w:rPr>
                    <w:rFonts w:ascii="Cambria Math" w:hAnsi="Cambria Math" w:cs="Times New Roman"/>
                    <w:sz w:val="24"/>
                    <w:szCs w:val="24"/>
                    <w:lang w:val="en-US"/>
                  </w:rPr>
                  <m:t>-1</m:t>
                </m:r>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w=1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sup>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i,w</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b>
                            <m:r>
                              <w:rPr>
                                <w:rFonts w:ascii="Cambria Math" w:hAnsi="Cambria Math" w:cs="Times New Roman"/>
                                <w:sz w:val="24"/>
                                <w:szCs w:val="24"/>
                                <w:lang w:val="en-US"/>
                              </w:rPr>
                              <m:t>i</m:t>
                            </m:r>
                          </m:sub>
                        </m:sSub>
                      </m:e>
                    </m:d>
                  </m:e>
                  <m:sup>
                    <m:r>
                      <w:rPr>
                        <w:rFonts w:ascii="Cambria Math" w:hAnsi="Cambria Math" w:cs="Times New Roman"/>
                        <w:sz w:val="24"/>
                        <w:szCs w:val="24"/>
                        <w:lang w:val="en-US"/>
                      </w:rPr>
                      <m:t>2</m:t>
                    </m:r>
                  </m:sup>
                </m:sSup>
              </m:e>
            </m:nary>
          </m:e>
        </m:rad>
      </m:oMath>
      <w:r w:rsidR="0044492F" w:rsidRPr="0044492F">
        <w:rPr>
          <w:rFonts w:ascii="Times New Roman" w:eastAsiaTheme="minorEastAsia" w:hAnsi="Times New Roman" w:cs="Times New Roman"/>
          <w:sz w:val="24"/>
          <w:szCs w:val="24"/>
          <w:lang w:val="en-US"/>
        </w:rPr>
        <w:t xml:space="preserve">                                                                                     (3.5)</w:t>
      </w:r>
    </w:p>
    <w:p w:rsidR="0044492F" w:rsidRPr="0044492F" w:rsidRDefault="0044492F" w:rsidP="0044492F">
      <w:pPr>
        <w:spacing w:line="360" w:lineRule="auto"/>
        <w:rPr>
          <w:rFonts w:ascii="Times New Roman" w:hAnsi="Times New Roman" w:cs="Times New Roman"/>
          <w:sz w:val="24"/>
          <w:szCs w:val="24"/>
          <w:lang w:val="en-US"/>
        </w:rPr>
      </w:pPr>
      <w:r w:rsidRPr="0044492F">
        <w:rPr>
          <w:rFonts w:ascii="Times New Roman" w:eastAsiaTheme="minorEastAsia"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oMath>
      <w:r w:rsidRPr="0044492F">
        <w:rPr>
          <w:rFonts w:ascii="Times New Roman" w:hAnsi="Times New Roman" w:cs="Times New Roman"/>
          <w:sz w:val="24"/>
          <w:szCs w:val="24"/>
          <w:lang w:val="en-US"/>
        </w:rPr>
        <w:t xml:space="preserve"> is the number of weeks available in year </w:t>
      </w:r>
      <w:r w:rsidRPr="0044492F">
        <w:rPr>
          <w:rFonts w:ascii="Times New Roman" w:hAnsi="Times New Roman" w:cs="Times New Roman"/>
          <w:i/>
          <w:sz w:val="24"/>
          <w:szCs w:val="24"/>
          <w:lang w:val="en-US"/>
        </w:rPr>
        <w:t>t</w:t>
      </w:r>
      <w:r w:rsidRPr="0044492F">
        <w:rPr>
          <w:rFonts w:ascii="Times New Roman" w:hAnsi="Times New Roman" w:cs="Times New Roman"/>
          <w:sz w:val="24"/>
          <w:szCs w:val="24"/>
          <w:lang w:val="en-US"/>
        </w:rPr>
        <w:t xml:space="preserve"> for </w:t>
      </w:r>
      <w:r w:rsidR="00D8373D">
        <w:rPr>
          <w:rFonts w:ascii="Times New Roman" w:hAnsi="Times New Roman" w:cs="Times New Roman"/>
          <w:sz w:val="24"/>
          <w:szCs w:val="24"/>
          <w:lang w:val="en-US"/>
        </w:rPr>
        <w:t>bank</w:t>
      </w:r>
      <w:r w:rsidRPr="0044492F">
        <w:rPr>
          <w:rFonts w:ascii="Times New Roman" w:hAnsi="Times New Roman" w:cs="Times New Roman"/>
          <w:sz w:val="24"/>
          <w:szCs w:val="24"/>
          <w:lang w:val="en-US"/>
        </w:rPr>
        <w:t xml:space="preserve"> </w:t>
      </w:r>
      <w:r w:rsidRPr="0044492F">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i,w</m:t>
            </m:r>
          </m:sub>
        </m:sSub>
      </m:oMath>
      <w:r w:rsidRPr="0044492F">
        <w:rPr>
          <w:rFonts w:ascii="Times New Roman" w:hAnsi="Times New Roman" w:cs="Times New Roman"/>
          <w:sz w:val="24"/>
          <w:szCs w:val="24"/>
          <w:lang w:val="en-US"/>
        </w:rPr>
        <w:t xml:space="preserve"> is the equity return of bank </w:t>
      </w:r>
      <w:r w:rsidRPr="0044492F">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in week </w:t>
      </w:r>
      <w:r w:rsidRPr="0044492F">
        <w:rPr>
          <w:rFonts w:ascii="Times New Roman" w:hAnsi="Times New Roman" w:cs="Times New Roman"/>
          <w:i/>
          <w:sz w:val="24"/>
          <w:szCs w:val="24"/>
          <w:lang w:val="en-US"/>
        </w:rPr>
        <w:t>w</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b>
            <m:r>
              <w:rPr>
                <w:rFonts w:ascii="Cambria Math" w:hAnsi="Cambria Math" w:cs="Times New Roman"/>
                <w:sz w:val="24"/>
                <w:szCs w:val="24"/>
                <w:lang w:val="en-US"/>
              </w:rPr>
              <m:t>i</m:t>
            </m:r>
          </m:sub>
        </m:sSub>
      </m:oMath>
      <w:r w:rsidRPr="0044492F">
        <w:rPr>
          <w:rFonts w:ascii="Times New Roman" w:eastAsiaTheme="minorEastAsia" w:hAnsi="Times New Roman" w:cs="Times New Roman"/>
          <w:sz w:val="24"/>
          <w:szCs w:val="24"/>
          <w:lang w:val="en-US"/>
        </w:rPr>
        <w:t xml:space="preserve"> is the expected </w:t>
      </w:r>
      <w:r w:rsidR="00D8373D">
        <w:rPr>
          <w:rFonts w:ascii="Times New Roman" w:eastAsiaTheme="minorEastAsia" w:hAnsi="Times New Roman" w:cs="Times New Roman"/>
          <w:sz w:val="24"/>
          <w:szCs w:val="24"/>
          <w:lang w:val="en-US"/>
        </w:rPr>
        <w:t xml:space="preserve">equity </w:t>
      </w:r>
      <w:r w:rsidRPr="0044492F">
        <w:rPr>
          <w:rFonts w:ascii="Times New Roman" w:eastAsiaTheme="minorEastAsia" w:hAnsi="Times New Roman" w:cs="Times New Roman"/>
          <w:sz w:val="24"/>
          <w:szCs w:val="24"/>
          <w:lang w:val="en-US"/>
        </w:rPr>
        <w:t>return</w:t>
      </w:r>
      <w:r w:rsidRPr="0044492F">
        <w:rPr>
          <w:rFonts w:ascii="Times New Roman" w:hAnsi="Times New Roman" w:cs="Times New Roman"/>
          <w:sz w:val="24"/>
          <w:szCs w:val="24"/>
          <w:lang w:val="en-US"/>
        </w:rPr>
        <w:t xml:space="preserve"> of bank</w:t>
      </w:r>
      <w:r w:rsidRPr="0044492F">
        <w:rPr>
          <w:rFonts w:ascii="Times New Roman" w:hAnsi="Times New Roman" w:cs="Times New Roman"/>
          <w:i/>
          <w:sz w:val="24"/>
          <w:szCs w:val="24"/>
          <w:lang w:val="en-US"/>
        </w:rPr>
        <w:t xml:space="preserve"> i</w:t>
      </w:r>
      <w:r w:rsidRPr="0044492F">
        <w:rPr>
          <w:rFonts w:ascii="Times New Roman" w:hAnsi="Times New Roman" w:cs="Times New Roman"/>
          <w:sz w:val="24"/>
          <w:szCs w:val="24"/>
          <w:lang w:val="en-US"/>
        </w:rPr>
        <w:t>.</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I estimate the idiosyncratic risk (</w:t>
      </w:r>
      <m:oMath>
        <m:sSub>
          <m:sSubPr>
            <m:ctrlPr>
              <w:rPr>
                <w:rFonts w:ascii="Cambria Math" w:hAnsi="Cambria Math" w:cs="Times New Roman"/>
                <w:i/>
                <w:sz w:val="24"/>
                <w:szCs w:val="24"/>
              </w:rPr>
            </m:ctrlPr>
          </m:sSubPr>
          <m:e>
            <m:r>
              <w:rPr>
                <w:rFonts w:ascii="Cambria Math" w:hAnsi="Cambria Math" w:cs="Times New Roman"/>
                <w:sz w:val="24"/>
                <w:szCs w:val="24"/>
                <w:lang w:val="en-US"/>
              </w:rPr>
              <m:t>yidiorisk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Pr="0044492F">
        <w:rPr>
          <w:rFonts w:ascii="Times New Roman" w:hAnsi="Times New Roman" w:cs="Times New Roman"/>
          <w:sz w:val="24"/>
          <w:szCs w:val="24"/>
          <w:lang w:val="en-US"/>
        </w:rPr>
        <w:t xml:space="preserve">) as well as the </w:t>
      </w:r>
      <w:r w:rsidR="00DE47A1">
        <w:rPr>
          <w:rFonts w:ascii="Times New Roman" w:hAnsi="Times New Roman" w:cs="Times New Roman"/>
          <w:sz w:val="24"/>
          <w:szCs w:val="24"/>
          <w:lang w:val="en-US"/>
        </w:rPr>
        <w:t>systemic</w:t>
      </w:r>
      <w:r w:rsidRPr="0044492F">
        <w:rPr>
          <w:rFonts w:ascii="Times New Roman" w:hAnsi="Times New Roman" w:cs="Times New Roman"/>
          <w:sz w:val="24"/>
          <w:szCs w:val="24"/>
          <w:lang w:val="en-US"/>
        </w:rPr>
        <w:t xml:space="preserve"> risk (</w:t>
      </w:r>
      <m:oMath>
        <m:sSub>
          <m:sSubPr>
            <m:ctrlPr>
              <w:rPr>
                <w:rFonts w:ascii="Cambria Math" w:hAnsi="Cambria Math" w:cs="Times New Roman"/>
                <w:i/>
                <w:sz w:val="24"/>
                <w:szCs w:val="24"/>
              </w:rPr>
            </m:ctrlPr>
          </m:sSubPr>
          <m:e>
            <m:r>
              <w:rPr>
                <w:rFonts w:ascii="Cambria Math" w:hAnsi="Cambria Math" w:cs="Times New Roman"/>
                <w:sz w:val="24"/>
                <w:szCs w:val="24"/>
                <w:lang w:val="en-US"/>
              </w:rPr>
              <m:t>sysrisk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Pr="0044492F">
        <w:rPr>
          <w:rFonts w:ascii="Times New Roman" w:eastAsiaTheme="minorEastAsia" w:hAnsi="Times New Roman" w:cs="Times New Roman"/>
          <w:sz w:val="24"/>
          <w:szCs w:val="24"/>
          <w:lang w:val="en-US"/>
        </w:rPr>
        <w:t>)</w:t>
      </w:r>
      <w:r w:rsidRPr="0044492F">
        <w:rPr>
          <w:rFonts w:ascii="Times New Roman" w:hAnsi="Times New Roman" w:cs="Times New Roman"/>
          <w:sz w:val="24"/>
          <w:szCs w:val="24"/>
          <w:lang w:val="en-US"/>
        </w:rPr>
        <w:t xml:space="preserve"> from the following market model (equation 3.6):</w:t>
      </w:r>
    </w:p>
    <w:p w:rsidR="0044492F" w:rsidRPr="0044492F" w:rsidRDefault="00AE0B9C" w:rsidP="0044492F">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r>
          <w:rPr>
            <w:rFonts w:ascii="Cambria Math"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w:t>
      </w:r>
      <w:r w:rsidR="0044492F">
        <w:rPr>
          <w:rFonts w:ascii="Times New Roman" w:eastAsiaTheme="minorEastAsia" w:hAnsi="Times New Roman" w:cs="Times New Roman"/>
          <w:sz w:val="24"/>
          <w:szCs w:val="24"/>
          <w:lang w:val="en-US"/>
        </w:rPr>
        <w:t xml:space="preserve">                </w:t>
      </w:r>
      <w:r w:rsidR="0044492F" w:rsidRPr="0044492F">
        <w:rPr>
          <w:rFonts w:ascii="Times New Roman" w:eastAsiaTheme="minorEastAsia" w:hAnsi="Times New Roman" w:cs="Times New Roman"/>
          <w:sz w:val="24"/>
          <w:szCs w:val="24"/>
          <w:lang w:val="en-US"/>
        </w:rPr>
        <w:t xml:space="preserve">                          (3.6)</w:t>
      </w:r>
    </w:p>
    <w:p w:rsidR="0044492F" w:rsidRPr="0044492F" w:rsidRDefault="0044492F" w:rsidP="0044492F">
      <w:pPr>
        <w:spacing w:line="360" w:lineRule="auto"/>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oMath>
      <w:r w:rsidRPr="0044492F">
        <w:rPr>
          <w:rFonts w:ascii="Times New Roman" w:hAnsi="Times New Roman" w:cs="Times New Roman"/>
          <w:sz w:val="24"/>
          <w:szCs w:val="24"/>
          <w:lang w:val="en-US"/>
        </w:rPr>
        <w:t xml:space="preserve"> is the weekly stock return for bank holding company </w:t>
      </w:r>
      <w:r w:rsidRPr="0044492F">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in week </w:t>
      </w:r>
      <w:r w:rsidRPr="0044492F">
        <w:rPr>
          <w:rFonts w:ascii="Times New Roman" w:hAnsi="Times New Roman" w:cs="Times New Roman"/>
          <w:i/>
          <w:sz w:val="24"/>
          <w:szCs w:val="24"/>
          <w:lang w:val="en-US"/>
        </w:rPr>
        <w:t>t</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oMath>
      <w:r w:rsidRPr="0044492F">
        <w:rPr>
          <w:rFonts w:ascii="Times New Roman" w:hAnsi="Times New Roman" w:cs="Times New Roman"/>
          <w:sz w:val="24"/>
          <w:szCs w:val="24"/>
          <w:lang w:val="en-US"/>
        </w:rPr>
        <w:t xml:space="preserve"> is the weekly return fr</w:t>
      </w:r>
      <w:r w:rsidR="004B6F01">
        <w:rPr>
          <w:rFonts w:ascii="Times New Roman" w:hAnsi="Times New Roman" w:cs="Times New Roman"/>
          <w:sz w:val="24"/>
          <w:szCs w:val="24"/>
          <w:lang w:val="en-US"/>
        </w:rPr>
        <w:t>om holding a 3-month risk-free T</w:t>
      </w:r>
      <w:r w:rsidRPr="0044492F">
        <w:rPr>
          <w:rFonts w:ascii="Times New Roman" w:hAnsi="Times New Roman" w:cs="Times New Roman"/>
          <w:sz w:val="24"/>
          <w:szCs w:val="24"/>
          <w:lang w:val="en-US"/>
        </w:rPr>
        <w:t xml:space="preserve">reasury-bill,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oMath>
      <w:r w:rsidRPr="0044492F">
        <w:rPr>
          <w:rFonts w:ascii="Times New Roman" w:eastAsiaTheme="minorEastAsia" w:hAnsi="Times New Roman" w:cs="Times New Roman"/>
          <w:sz w:val="24"/>
          <w:szCs w:val="24"/>
          <w:lang w:val="en-US"/>
        </w:rPr>
        <w:t xml:space="preserve"> </w:t>
      </w:r>
      <w:r w:rsidRPr="0044492F">
        <w:rPr>
          <w:rFonts w:ascii="Times New Roman" w:hAnsi="Times New Roman" w:cs="Times New Roman"/>
          <w:sz w:val="24"/>
          <w:szCs w:val="24"/>
          <w:lang w:val="en-US"/>
        </w:rPr>
        <w:t xml:space="preserve">is the weekly return for NYSE or NASDAQ </w:t>
      </w:r>
      <w:r w:rsidRPr="0044492F">
        <w:rPr>
          <w:rFonts w:ascii="Times New Roman" w:hAnsi="Times New Roman" w:cs="Times New Roman"/>
          <w:sz w:val="24"/>
          <w:szCs w:val="24"/>
          <w:lang w:val="en-US"/>
        </w:rPr>
        <w:lastRenderedPageBreak/>
        <w:t xml:space="preserve">market index in week </w:t>
      </w:r>
      <w:r w:rsidRPr="0044492F">
        <w:rPr>
          <w:rFonts w:ascii="Times New Roman" w:hAnsi="Times New Roman" w:cs="Times New Roman"/>
          <w:i/>
          <w:sz w:val="24"/>
          <w:szCs w:val="24"/>
          <w:lang w:val="en-US"/>
        </w:rPr>
        <w:t>t</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oMath>
      <w:r w:rsidRPr="0044492F">
        <w:rPr>
          <w:rFonts w:ascii="Times New Roman" w:hAnsi="Times New Roman" w:cs="Times New Roman"/>
          <w:sz w:val="24"/>
          <w:szCs w:val="24"/>
          <w:lang w:val="en-US"/>
        </w:rPr>
        <w:t xml:space="preserve"> is the intercept term,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oMath>
      <w:r w:rsidRPr="0044492F">
        <w:rPr>
          <w:rFonts w:ascii="Times New Roman" w:hAnsi="Times New Roman" w:cs="Times New Roman"/>
          <w:sz w:val="24"/>
          <w:szCs w:val="24"/>
          <w:lang w:val="en-US"/>
        </w:rPr>
        <w:t xml:space="preserve"> (or beta) is the slope term,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Pr="0044492F">
        <w:rPr>
          <w:rFonts w:ascii="Times New Roman" w:hAnsi="Times New Roman" w:cs="Times New Roman"/>
          <w:sz w:val="24"/>
          <w:szCs w:val="24"/>
          <w:lang w:val="en-US"/>
        </w:rPr>
        <w:t xml:space="preserve"> is an random error term. According to the market model, the total risk of any security consists of two parts: </w:t>
      </w:r>
      <w:r w:rsidR="00DE47A1">
        <w:rPr>
          <w:rFonts w:ascii="Times New Roman" w:hAnsi="Times New Roman" w:cs="Times New Roman"/>
          <w:sz w:val="24"/>
          <w:szCs w:val="24"/>
          <w:lang w:val="en-US"/>
        </w:rPr>
        <w:t>systemic</w:t>
      </w:r>
      <w:r w:rsidR="0088300B">
        <w:rPr>
          <w:rFonts w:ascii="Times New Roman" w:hAnsi="Times New Roman" w:cs="Times New Roman"/>
          <w:sz w:val="24"/>
          <w:szCs w:val="24"/>
          <w:lang w:val="en-US"/>
        </w:rPr>
        <w:t xml:space="preserve"> risk</w:t>
      </w:r>
      <w:r w:rsidRPr="0044492F">
        <w:rPr>
          <w:rFonts w:ascii="Times New Roman" w:hAnsi="Times New Roman" w:cs="Times New Roman"/>
          <w:sz w:val="24"/>
          <w:szCs w:val="24"/>
          <w:lang w:val="en-US"/>
        </w:rPr>
        <w:t xml:space="preserve"> and idiosyncratic</w:t>
      </w:r>
      <w:r w:rsidR="0088300B">
        <w:rPr>
          <w:rFonts w:ascii="Times New Roman" w:hAnsi="Times New Roman" w:cs="Times New Roman"/>
          <w:sz w:val="24"/>
          <w:szCs w:val="24"/>
          <w:lang w:val="en-US"/>
        </w:rPr>
        <w:t xml:space="preserve"> risk</w:t>
      </w:r>
      <w:r w:rsidRPr="0044492F">
        <w:rPr>
          <w:rFonts w:ascii="Times New Roman" w:hAnsi="Times New Roman" w:cs="Times New Roman"/>
          <w:sz w:val="24"/>
          <w:szCs w:val="24"/>
          <w:lang w:val="en-US"/>
        </w:rPr>
        <w:t xml:space="preserve">.  The slope term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oMath>
      <w:r w:rsidRPr="0044492F">
        <w:rPr>
          <w:rFonts w:ascii="Times New Roman" w:hAnsi="Times New Roman" w:cs="Times New Roman"/>
          <w:sz w:val="24"/>
          <w:szCs w:val="24"/>
          <w:lang w:val="en-US"/>
        </w:rPr>
        <w:t xml:space="preserve"> in a security’s market model measures the sensitivity of the security’s returns to the market index returns and can be viewed as an estimate of </w:t>
      </w:r>
      <w:r w:rsidR="00DE47A1">
        <w:rPr>
          <w:rFonts w:ascii="Times New Roman" w:hAnsi="Times New Roman" w:cs="Times New Roman"/>
          <w:sz w:val="24"/>
          <w:szCs w:val="24"/>
          <w:lang w:val="en-US"/>
        </w:rPr>
        <w:t>systemic</w:t>
      </w:r>
      <w:r w:rsidRPr="0044492F">
        <w:rPr>
          <w:rFonts w:ascii="Times New Roman" w:hAnsi="Times New Roman" w:cs="Times New Roman"/>
          <w:sz w:val="24"/>
          <w:szCs w:val="24"/>
          <w:lang w:val="en-US"/>
        </w:rPr>
        <w:t xml:space="preserve"> risk. Since I assume that security market line was constant over time, meaning that it was not changing during the year, then I can estimate the historical beta for a security simply by examining the historical relationship between the returns on the security and on market index. The random error term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Pr="0044492F">
        <w:rPr>
          <w:rFonts w:ascii="Times New Roman" w:eastAsiaTheme="minorEastAsia" w:hAnsi="Times New Roman" w:cs="Times New Roman"/>
          <w:sz w:val="24"/>
          <w:szCs w:val="24"/>
          <w:lang w:val="en-US"/>
        </w:rPr>
        <w:t xml:space="preserve"> shows that the market model does not explain security returns perfectly. The standard deviation of the random error term can be viewed as an estimate of the historical idiosyncratic risk of security.</w:t>
      </w:r>
      <w:r w:rsidRPr="0044492F">
        <w:rPr>
          <w:rFonts w:ascii="Times New Roman" w:hAnsi="Times New Roman" w:cs="Times New Roman"/>
          <w:sz w:val="24"/>
          <w:szCs w:val="24"/>
          <w:lang w:val="en-US"/>
        </w:rPr>
        <w:t xml:space="preserve"> I run the market model for each bank holding company in my sample.  </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The downside risk</w:t>
      </w:r>
      <w:r w:rsidR="00B92360">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ydownrisk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00B92360">
        <w:rPr>
          <w:rFonts w:ascii="Times New Roman" w:hAnsi="Times New Roman" w:cs="Times New Roman"/>
          <w:sz w:val="24"/>
          <w:szCs w:val="24"/>
          <w:lang w:val="en-US"/>
        </w:rPr>
        <w:t>)</w:t>
      </w:r>
      <w:r w:rsidRPr="0044492F">
        <w:rPr>
          <w:rFonts w:ascii="Times New Roman" w:hAnsi="Times New Roman" w:cs="Times New Roman"/>
          <w:sz w:val="24"/>
          <w:szCs w:val="24"/>
          <w:lang w:val="en-US"/>
        </w:rPr>
        <w:t xml:space="preserve"> for a BHC calculated</w:t>
      </w:r>
      <w:r w:rsidR="004F47D5">
        <w:rPr>
          <w:rFonts w:ascii="Times New Roman" w:hAnsi="Times New Roman" w:cs="Times New Roman"/>
          <w:sz w:val="24"/>
          <w:szCs w:val="24"/>
          <w:lang w:val="en-US"/>
        </w:rPr>
        <w:t xml:space="preserve"> as downside deviation </w:t>
      </w:r>
      <w:r w:rsidR="004F47D5" w:rsidRPr="0044492F">
        <w:rPr>
          <w:rFonts w:ascii="Times New Roman" w:hAnsi="Times New Roman" w:cs="Times New Roman"/>
          <w:sz w:val="24"/>
          <w:szCs w:val="24"/>
          <w:lang w:val="en-US"/>
        </w:rPr>
        <w:t>of a stock market asset’s weekly returns</w:t>
      </w:r>
      <w:r w:rsidR="004F47D5">
        <w:rPr>
          <w:rFonts w:ascii="Times New Roman" w:hAnsi="Times New Roman" w:cs="Times New Roman"/>
          <w:sz w:val="24"/>
          <w:szCs w:val="24"/>
          <w:lang w:val="en-US"/>
        </w:rPr>
        <w:t xml:space="preserve"> below minimum accepted returns (equation 3.7)</w:t>
      </w:r>
      <w:r w:rsidRPr="0044492F">
        <w:rPr>
          <w:rFonts w:ascii="Times New Roman" w:hAnsi="Times New Roman" w:cs="Times New Roman"/>
          <w:sz w:val="24"/>
          <w:szCs w:val="24"/>
          <w:lang w:val="en-US"/>
        </w:rPr>
        <w:t>.</w:t>
      </w:r>
      <w:r w:rsidRPr="0044492F">
        <w:rPr>
          <w:rFonts w:ascii="Times New Roman" w:hAnsi="Times New Roman" w:cs="Times New Roman"/>
          <w:sz w:val="24"/>
          <w:szCs w:val="24"/>
          <w:lang w:val="en-US"/>
        </w:rPr>
        <w:tab/>
      </w:r>
      <w:r w:rsidR="00B92360">
        <w:rPr>
          <w:rFonts w:ascii="Times New Roman" w:hAnsi="Times New Roman" w:cs="Times New Roman"/>
          <w:sz w:val="24"/>
          <w:szCs w:val="24"/>
          <w:lang w:val="en-US"/>
        </w:rPr>
        <w:tab/>
      </w:r>
      <w:r w:rsidR="00B92360">
        <w:rPr>
          <w:rFonts w:ascii="Times New Roman" w:hAnsi="Times New Roman" w:cs="Times New Roman"/>
          <w:sz w:val="24"/>
          <w:szCs w:val="24"/>
          <w:lang w:val="en-US"/>
        </w:rPr>
        <w:tab/>
      </w:r>
      <w:r w:rsidR="00B92360">
        <w:rPr>
          <w:rFonts w:ascii="Times New Roman"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i,t</m:t>
            </m:r>
          </m:sub>
        </m:sSub>
        <m:r>
          <w:rPr>
            <w:rFonts w:ascii="Cambria Math" w:hAnsi="Cambria Math" w:cs="Times New Roman"/>
            <w:sz w:val="24"/>
            <w:szCs w:val="24"/>
            <w:lang w:val="en-US"/>
          </w:rPr>
          <m:t>=</m:t>
        </m:r>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r>
                  <w:rPr>
                    <w:rFonts w:ascii="Cambria Math" w:hAnsi="Cambria Math" w:cs="Times New Roman"/>
                    <w:sz w:val="24"/>
                    <w:szCs w:val="24"/>
                    <w:lang w:val="en-US"/>
                  </w:rPr>
                  <m:t>-1</m:t>
                </m:r>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w=1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sup>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min⁡</m:t>
                            </m:r>
                            <m:r>
                              <w:rPr>
                                <w:rFonts w:ascii="Cambria Math" w:hAnsi="Cambria Math" w:cs="Times New Roman"/>
                                <w:sz w:val="24"/>
                                <w:szCs w:val="24"/>
                                <w:lang w:val="en-US"/>
                              </w:rPr>
                              <m:t>(r</m:t>
                            </m:r>
                          </m:e>
                          <m:sub>
                            <m:r>
                              <w:rPr>
                                <w:rFonts w:ascii="Cambria Math" w:hAnsi="Cambria Math" w:cs="Times New Roman"/>
                                <w:sz w:val="24"/>
                                <w:szCs w:val="24"/>
                                <w:lang w:val="en-US"/>
                              </w:rPr>
                              <m:t>i,w</m:t>
                            </m:r>
                          </m:sub>
                        </m:sSub>
                        <m:r>
                          <w:rPr>
                            <w:rFonts w:ascii="Cambria Math" w:hAnsi="Cambria Math" w:cs="Times New Roman"/>
                            <w:sz w:val="24"/>
                            <w:szCs w:val="24"/>
                            <w:lang w:val="en-US"/>
                          </w:rPr>
                          <m:t>-c,0)</m:t>
                        </m:r>
                      </m:e>
                    </m:d>
                  </m:e>
                  <m:sup>
                    <m:r>
                      <w:rPr>
                        <w:rFonts w:ascii="Cambria Math" w:hAnsi="Cambria Math" w:cs="Times New Roman"/>
                        <w:sz w:val="24"/>
                        <w:szCs w:val="24"/>
                        <w:lang w:val="en-US"/>
                      </w:rPr>
                      <m:t>2</m:t>
                    </m:r>
                  </m:sup>
                </m:sSup>
              </m:e>
            </m:nary>
          </m:e>
        </m:rad>
      </m:oMath>
      <w:r w:rsidRPr="0044492F">
        <w:rPr>
          <w:rFonts w:ascii="Times New Roman" w:eastAsiaTheme="minorEastAsia" w:hAnsi="Times New Roman" w:cs="Times New Roman"/>
          <w:sz w:val="24"/>
          <w:szCs w:val="24"/>
          <w:lang w:val="en-US"/>
        </w:rPr>
        <w:t xml:space="preserve">      </w:t>
      </w:r>
      <w:r w:rsidR="00B92360">
        <w:rPr>
          <w:rFonts w:ascii="Times New Roman" w:eastAsiaTheme="minorEastAsia" w:hAnsi="Times New Roman" w:cs="Times New Roman"/>
          <w:sz w:val="24"/>
          <w:szCs w:val="24"/>
          <w:lang w:val="en-US"/>
        </w:rPr>
        <w:t xml:space="preserve">                                   </w:t>
      </w:r>
      <w:r w:rsidRPr="0044492F">
        <w:rPr>
          <w:rFonts w:ascii="Times New Roman" w:eastAsiaTheme="minorEastAsia" w:hAnsi="Times New Roman" w:cs="Times New Roman"/>
          <w:sz w:val="24"/>
          <w:szCs w:val="24"/>
          <w:lang w:val="en-US"/>
        </w:rPr>
        <w:t xml:space="preserve">                               (3.7)</w:t>
      </w:r>
    </w:p>
    <w:p w:rsidR="0044492F" w:rsidRDefault="0044492F" w:rsidP="0044492F">
      <w:pPr>
        <w:spacing w:line="360" w:lineRule="auto"/>
        <w:jc w:val="both"/>
        <w:rPr>
          <w:rFonts w:ascii="Times New Roman" w:eastAsiaTheme="minorEastAsia" w:hAnsi="Times New Roman" w:cs="Times New Roman"/>
          <w:sz w:val="24"/>
          <w:szCs w:val="24"/>
          <w:lang w:val="en-US"/>
        </w:rPr>
      </w:pPr>
      <w:r w:rsidRPr="0044492F">
        <w:rPr>
          <w:rFonts w:ascii="Times New Roman" w:eastAsiaTheme="minorEastAsia"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oMath>
      <w:r w:rsidRPr="0044492F">
        <w:rPr>
          <w:rFonts w:ascii="Times New Roman" w:hAnsi="Times New Roman" w:cs="Times New Roman"/>
          <w:sz w:val="24"/>
          <w:szCs w:val="24"/>
          <w:lang w:val="en-US"/>
        </w:rPr>
        <w:t xml:space="preserve"> is the number of weeks available in year </w:t>
      </w:r>
      <w:r w:rsidRPr="0044492F">
        <w:rPr>
          <w:rFonts w:ascii="Times New Roman" w:hAnsi="Times New Roman" w:cs="Times New Roman"/>
          <w:i/>
          <w:sz w:val="24"/>
          <w:szCs w:val="24"/>
          <w:lang w:val="en-US"/>
        </w:rPr>
        <w:t>t</w:t>
      </w:r>
      <w:r w:rsidR="002843E5">
        <w:rPr>
          <w:rFonts w:ascii="Times New Roman" w:hAnsi="Times New Roman" w:cs="Times New Roman"/>
          <w:sz w:val="24"/>
          <w:szCs w:val="24"/>
          <w:lang w:val="en-US"/>
        </w:rPr>
        <w:t xml:space="preserve"> for bank</w:t>
      </w:r>
      <w:r w:rsidRPr="0044492F">
        <w:rPr>
          <w:rFonts w:ascii="Times New Roman" w:hAnsi="Times New Roman" w:cs="Times New Roman"/>
          <w:sz w:val="24"/>
          <w:szCs w:val="24"/>
          <w:lang w:val="en-US"/>
        </w:rPr>
        <w:t xml:space="preserve"> </w:t>
      </w:r>
      <w:r w:rsidRPr="0044492F">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i,w</m:t>
            </m:r>
          </m:sub>
        </m:sSub>
      </m:oMath>
      <w:r w:rsidRPr="0044492F">
        <w:rPr>
          <w:rFonts w:ascii="Times New Roman" w:hAnsi="Times New Roman" w:cs="Times New Roman"/>
          <w:sz w:val="24"/>
          <w:szCs w:val="24"/>
          <w:lang w:val="en-US"/>
        </w:rPr>
        <w:t xml:space="preserve"> is the equity return of bank </w:t>
      </w:r>
      <w:r w:rsidRPr="00CC6AAD">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in week </w:t>
      </w:r>
      <w:r w:rsidRPr="002843E5">
        <w:rPr>
          <w:rFonts w:ascii="Times New Roman" w:hAnsi="Times New Roman" w:cs="Times New Roman"/>
          <w:i/>
          <w:sz w:val="24"/>
          <w:szCs w:val="24"/>
          <w:lang w:val="en-US"/>
        </w:rPr>
        <w:t>w</w:t>
      </w:r>
      <w:r w:rsidRPr="0044492F">
        <w:rPr>
          <w:rFonts w:ascii="Times New Roman" w:hAnsi="Times New Roman" w:cs="Times New Roman"/>
          <w:sz w:val="24"/>
          <w:szCs w:val="24"/>
          <w:lang w:val="en-US"/>
        </w:rPr>
        <w:t xml:space="preserve">, </w:t>
      </w:r>
      <m:oMath>
        <m:r>
          <w:rPr>
            <w:rFonts w:ascii="Cambria Math" w:hAnsi="Cambria Math" w:cs="Times New Roman"/>
            <w:sz w:val="24"/>
            <w:szCs w:val="24"/>
            <w:lang w:val="en-US"/>
          </w:rPr>
          <m:t>c</m:t>
        </m:r>
      </m:oMath>
      <w:r w:rsidRPr="0044492F">
        <w:rPr>
          <w:rFonts w:ascii="Times New Roman" w:eastAsiaTheme="minorEastAsia" w:hAnsi="Times New Roman" w:cs="Times New Roman"/>
          <w:sz w:val="24"/>
          <w:szCs w:val="24"/>
          <w:lang w:val="en-US"/>
        </w:rPr>
        <w:t xml:space="preserve"> is minimum accepted return which is equal 0.0% for the purpose of this research.</w:t>
      </w:r>
    </w:p>
    <w:p w:rsidR="004F47D5" w:rsidRPr="0044492F" w:rsidRDefault="002843E5" w:rsidP="004F47D5">
      <w:pPr>
        <w:spacing w:line="360" w:lineRule="auto"/>
        <w:ind w:firstLine="708"/>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Then t</w:t>
      </w:r>
      <w:r w:rsidR="004F47D5" w:rsidRPr="0044492F">
        <w:rPr>
          <w:rFonts w:ascii="Times New Roman" w:hAnsi="Times New Roman" w:cs="Times New Roman"/>
          <w:sz w:val="24"/>
          <w:szCs w:val="24"/>
          <w:lang w:val="en-US"/>
        </w:rPr>
        <w:t>he aggregated risk, the idiosyncratic risk and the downside risk are annualized for each bank holding company.</w:t>
      </w:r>
    </w:p>
    <w:p w:rsidR="0044492F" w:rsidRPr="0044492F" w:rsidRDefault="0044492F" w:rsidP="0044492F">
      <w:pPr>
        <w:spacing w:line="360" w:lineRule="auto"/>
        <w:ind w:firstLine="708"/>
        <w:jc w:val="both"/>
        <w:rPr>
          <w:rFonts w:ascii="Times New Roman" w:eastAsiaTheme="minorEastAsia" w:hAnsi="Times New Roman" w:cs="Times New Roman"/>
          <w:sz w:val="24"/>
          <w:szCs w:val="24"/>
          <w:lang w:val="en-US"/>
        </w:rPr>
      </w:pPr>
      <w:r w:rsidRPr="0044492F">
        <w:rPr>
          <w:rFonts w:ascii="Times New Roman" w:hAnsi="Times New Roman" w:cs="Times New Roman"/>
          <w:sz w:val="24"/>
          <w:szCs w:val="24"/>
          <w:lang w:val="en-US"/>
        </w:rPr>
        <w:t xml:space="preserve">For calculating the aggregated disclosure </w:t>
      </w:r>
      <w:r w:rsidR="004F47D5">
        <w:rPr>
          <w:rFonts w:ascii="Times New Roman" w:hAnsi="Times New Roman" w:cs="Times New Roman"/>
          <w:sz w:val="24"/>
          <w:szCs w:val="24"/>
          <w:lang w:val="en-US"/>
        </w:rPr>
        <w:t>index</w:t>
      </w:r>
      <w:r w:rsidRPr="0044492F">
        <w:rPr>
          <w:rFonts w:ascii="Times New Roman" w:hAnsi="Times New Roman" w:cs="Times New Roman"/>
          <w:sz w:val="24"/>
          <w:szCs w:val="24"/>
          <w:lang w:val="en-US"/>
        </w:rPr>
        <w:t xml:space="preserve"> </w:t>
      </w:r>
      <w:r w:rsidR="00B92360">
        <w:rPr>
          <w:rFonts w:ascii="Times New Roman" w:hAnsi="Times New Roman" w:cs="Times New Roman"/>
          <w:sz w:val="24"/>
          <w:szCs w:val="24"/>
          <w:lang w:val="en-US"/>
        </w:rPr>
        <w:t>(</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oMath>
      <w:r w:rsidR="00B92360">
        <w:rPr>
          <w:rFonts w:ascii="Times New Roman" w:eastAsiaTheme="minorEastAsia" w:hAnsi="Times New Roman" w:cs="Times New Roman"/>
          <w:iCs/>
          <w:sz w:val="24"/>
          <w:szCs w:val="24"/>
          <w:lang w:val="en-US"/>
        </w:rPr>
        <w:t>)</w:t>
      </w:r>
      <w:r w:rsidRPr="0044492F">
        <w:rPr>
          <w:rFonts w:ascii="Times New Roman" w:eastAsiaTheme="minorEastAsia" w:hAnsi="Times New Roman" w:cs="Times New Roman"/>
          <w:iCs/>
          <w:sz w:val="24"/>
          <w:szCs w:val="24"/>
          <w:lang w:val="en-US"/>
        </w:rPr>
        <w:t xml:space="preserve">, </w:t>
      </w:r>
      <w:r w:rsidRPr="0044492F">
        <w:rPr>
          <w:rFonts w:ascii="Times New Roman" w:hAnsi="Times New Roman" w:cs="Times New Roman"/>
          <w:sz w:val="24"/>
          <w:szCs w:val="24"/>
          <w:lang w:val="en-US"/>
        </w:rPr>
        <w:t xml:space="preserve"> I employed method proposed by prior research. </w:t>
      </w:r>
      <w:r w:rsidR="00CC6AAD">
        <w:rPr>
          <w:rFonts w:ascii="Times New Roman" w:hAnsi="Times New Roman" w:cs="Times New Roman"/>
          <w:sz w:val="24"/>
          <w:szCs w:val="24"/>
          <w:lang w:val="en-US"/>
        </w:rPr>
        <w:t>In</w:t>
      </w:r>
      <w:r w:rsidRPr="0044492F">
        <w:rPr>
          <w:rFonts w:ascii="Times New Roman" w:hAnsi="Times New Roman" w:cs="Times New Roman"/>
          <w:sz w:val="24"/>
          <w:szCs w:val="24"/>
          <w:lang w:val="en-US"/>
        </w:rPr>
        <w:t xml:space="preserve"> the Banks’ disclosure and financial stability report by Rhiannon Sowerbutts, Peter Zimmerman and Ilknur Zer</w:t>
      </w:r>
      <w:r w:rsidR="004E6B51">
        <w:rPr>
          <w:rFonts w:ascii="Times New Roman" w:hAnsi="Times New Roman" w:cs="Times New Roman"/>
          <w:sz w:val="24"/>
          <w:szCs w:val="24"/>
          <w:lang w:val="en-US"/>
        </w:rPr>
        <w:t xml:space="preserve"> (2013)</w:t>
      </w:r>
      <w:r w:rsidRPr="0044492F">
        <w:rPr>
          <w:rFonts w:ascii="Times New Roman" w:hAnsi="Times New Roman" w:cs="Times New Roman"/>
          <w:sz w:val="24"/>
          <w:szCs w:val="24"/>
          <w:lang w:val="en-US"/>
        </w:rPr>
        <w:t xml:space="preserve"> </w:t>
      </w:r>
      <w:r w:rsidR="00CC6AAD">
        <w:rPr>
          <w:rFonts w:ascii="Times New Roman" w:hAnsi="Times New Roman" w:cs="Times New Roman"/>
          <w:sz w:val="24"/>
          <w:szCs w:val="24"/>
          <w:lang w:val="en-US"/>
        </w:rPr>
        <w:t>authors identified</w:t>
      </w:r>
      <w:r w:rsidRPr="0044492F">
        <w:rPr>
          <w:rFonts w:ascii="Times New Roman" w:hAnsi="Times New Roman" w:cs="Times New Roman"/>
          <w:sz w:val="24"/>
          <w:szCs w:val="24"/>
          <w:lang w:val="en-US"/>
        </w:rPr>
        <w:t xml:space="preserve"> four main </w:t>
      </w:r>
      <w:r w:rsidR="004B6F01">
        <w:rPr>
          <w:rFonts w:ascii="Times New Roman" w:hAnsi="Times New Roman" w:cs="Times New Roman"/>
          <w:sz w:val="24"/>
          <w:szCs w:val="24"/>
          <w:lang w:val="en-US"/>
        </w:rPr>
        <w:t>groups</w:t>
      </w:r>
      <w:r w:rsidRPr="0044492F">
        <w:rPr>
          <w:rFonts w:ascii="Times New Roman" w:hAnsi="Times New Roman" w:cs="Times New Roman"/>
          <w:sz w:val="24"/>
          <w:szCs w:val="24"/>
          <w:lang w:val="en-US"/>
        </w:rPr>
        <w:t xml:space="preserve"> to </w:t>
      </w:r>
      <w:r w:rsidRPr="0044492F">
        <w:rPr>
          <w:rFonts w:ascii="Times New Roman" w:eastAsiaTheme="minorEastAsia" w:hAnsi="Times New Roman" w:cs="Times New Roman"/>
          <w:sz w:val="24"/>
          <w:szCs w:val="24"/>
          <w:lang w:val="en-US"/>
        </w:rPr>
        <w:t>assess the quantitative</w:t>
      </w:r>
      <w:r w:rsidRPr="0044492F">
        <w:rPr>
          <w:rFonts w:ascii="Times New Roman" w:hAnsi="Times New Roman" w:cs="Times New Roman"/>
          <w:sz w:val="24"/>
          <w:szCs w:val="24"/>
          <w:lang w:val="en-US"/>
        </w:rPr>
        <w:t xml:space="preserve"> </w:t>
      </w:r>
      <w:r w:rsidRPr="0044492F">
        <w:rPr>
          <w:rFonts w:ascii="Times New Roman" w:eastAsiaTheme="minorEastAsia" w:hAnsi="Times New Roman" w:cs="Times New Roman"/>
          <w:sz w:val="24"/>
          <w:szCs w:val="24"/>
          <w:lang w:val="en-US"/>
        </w:rPr>
        <w:t xml:space="preserve">information </w:t>
      </w:r>
      <w:r w:rsidR="004B6F01">
        <w:rPr>
          <w:rFonts w:ascii="Times New Roman" w:eastAsiaTheme="minorEastAsia" w:hAnsi="Times New Roman" w:cs="Times New Roman"/>
          <w:sz w:val="24"/>
          <w:szCs w:val="24"/>
          <w:lang w:val="en-US"/>
        </w:rPr>
        <w:t>that</w:t>
      </w:r>
      <w:r w:rsidRPr="0044492F">
        <w:rPr>
          <w:rFonts w:ascii="Times New Roman" w:eastAsiaTheme="minorEastAsia" w:hAnsi="Times New Roman" w:cs="Times New Roman"/>
          <w:sz w:val="24"/>
          <w:szCs w:val="24"/>
          <w:lang w:val="en-US"/>
        </w:rPr>
        <w:t xml:space="preserve"> financial institution</w:t>
      </w:r>
      <w:r w:rsidR="004B6F01">
        <w:rPr>
          <w:rFonts w:ascii="Times New Roman" w:eastAsiaTheme="minorEastAsia" w:hAnsi="Times New Roman" w:cs="Times New Roman"/>
          <w:sz w:val="24"/>
          <w:szCs w:val="24"/>
          <w:lang w:val="en-US"/>
        </w:rPr>
        <w:t xml:space="preserve"> provides in its disclosure</w:t>
      </w:r>
      <w:r w:rsidRPr="0044492F">
        <w:rPr>
          <w:rFonts w:ascii="Times New Roman" w:eastAsiaTheme="minorEastAsia" w:hAnsi="Times New Roman" w:cs="Times New Roman"/>
          <w:sz w:val="24"/>
          <w:szCs w:val="24"/>
          <w:lang w:val="en-US"/>
        </w:rPr>
        <w:t>: liquidity risk, group structure, intra-annual information and spillover risk. All categories comprise 14 sub-indices. For each sub-ind</w:t>
      </w:r>
      <w:r w:rsidR="005A4E43">
        <w:rPr>
          <w:rFonts w:ascii="Times New Roman" w:eastAsiaTheme="minorEastAsia" w:hAnsi="Times New Roman" w:cs="Times New Roman"/>
          <w:sz w:val="24"/>
          <w:szCs w:val="24"/>
          <w:lang w:val="en-US"/>
        </w:rPr>
        <w:t>ex</w:t>
      </w:r>
      <w:r w:rsidRPr="0044492F">
        <w:rPr>
          <w:rFonts w:ascii="Times New Roman" w:eastAsiaTheme="minorEastAsia" w:hAnsi="Times New Roman" w:cs="Times New Roman"/>
          <w:sz w:val="24"/>
          <w:szCs w:val="24"/>
          <w:lang w:val="en-US"/>
        </w:rPr>
        <w:t xml:space="preserve"> the score 1 is </w:t>
      </w:r>
      <w:r w:rsidR="004B6F01">
        <w:rPr>
          <w:rFonts w:ascii="Times New Roman" w:eastAsiaTheme="minorEastAsia" w:hAnsi="Times New Roman" w:cs="Times New Roman"/>
          <w:sz w:val="24"/>
          <w:szCs w:val="24"/>
          <w:lang w:val="en-US"/>
        </w:rPr>
        <w:t>given</w:t>
      </w:r>
      <w:r w:rsidRPr="0044492F">
        <w:rPr>
          <w:rFonts w:ascii="Times New Roman" w:eastAsiaTheme="minorEastAsia" w:hAnsi="Times New Roman" w:cs="Times New Roman"/>
          <w:sz w:val="24"/>
          <w:szCs w:val="24"/>
          <w:lang w:val="en-US"/>
        </w:rPr>
        <w:t xml:space="preserve"> when BCH provides </w:t>
      </w:r>
      <w:r w:rsidR="005A4D7C">
        <w:rPr>
          <w:rFonts w:ascii="Times New Roman" w:eastAsiaTheme="minorEastAsia" w:hAnsi="Times New Roman" w:cs="Times New Roman"/>
          <w:sz w:val="24"/>
          <w:szCs w:val="24"/>
          <w:lang w:val="en-US"/>
        </w:rPr>
        <w:t>the relevant</w:t>
      </w:r>
      <w:r w:rsidRPr="0044492F">
        <w:rPr>
          <w:rFonts w:ascii="Times New Roman" w:eastAsiaTheme="minorEastAsia" w:hAnsi="Times New Roman" w:cs="Times New Roman"/>
          <w:sz w:val="24"/>
          <w:szCs w:val="24"/>
          <w:lang w:val="en-US"/>
        </w:rPr>
        <w:t xml:space="preserve"> information </w:t>
      </w:r>
      <w:r w:rsidRPr="0044492F">
        <w:rPr>
          <w:rFonts w:ascii="Times New Roman" w:hAnsi="Times New Roman" w:cs="Times New Roman"/>
          <w:sz w:val="24"/>
          <w:szCs w:val="24"/>
          <w:lang w:val="en-US"/>
        </w:rPr>
        <w:t>in its 10-K</w:t>
      </w:r>
      <w:r w:rsidR="005A4D7C">
        <w:rPr>
          <w:rFonts w:ascii="Times New Roman" w:hAnsi="Times New Roman" w:cs="Times New Roman"/>
          <w:sz w:val="24"/>
          <w:szCs w:val="24"/>
          <w:lang w:val="en-US"/>
        </w:rPr>
        <w:t xml:space="preserve"> statements,</w:t>
      </w:r>
      <w:r w:rsidRPr="0044492F">
        <w:rPr>
          <w:rFonts w:ascii="Times New Roman" w:hAnsi="Times New Roman" w:cs="Times New Roman"/>
          <w:sz w:val="24"/>
          <w:szCs w:val="24"/>
          <w:lang w:val="en-US"/>
        </w:rPr>
        <w:t xml:space="preserve"> annual, or proxy reports </w:t>
      </w:r>
      <w:r w:rsidR="005A4D7C">
        <w:rPr>
          <w:rFonts w:ascii="Times New Roman" w:hAnsi="Times New Roman" w:cs="Times New Roman"/>
          <w:sz w:val="24"/>
          <w:szCs w:val="24"/>
          <w:lang w:val="en-US"/>
        </w:rPr>
        <w:t>for a particular year</w:t>
      </w:r>
      <w:r w:rsidRPr="0044492F">
        <w:rPr>
          <w:rFonts w:ascii="Times New Roman" w:eastAsiaTheme="minorEastAsia" w:hAnsi="Times New Roman" w:cs="Times New Roman"/>
          <w:sz w:val="24"/>
          <w:szCs w:val="24"/>
          <w:lang w:val="en-US"/>
        </w:rPr>
        <w:t xml:space="preserve">. However, </w:t>
      </w:r>
      <w:r w:rsidR="005A4E43">
        <w:rPr>
          <w:rFonts w:ascii="Times New Roman" w:eastAsiaTheme="minorEastAsia" w:hAnsi="Times New Roman" w:cs="Times New Roman"/>
          <w:sz w:val="24"/>
          <w:szCs w:val="24"/>
          <w:lang w:val="en-US"/>
        </w:rPr>
        <w:t>we need to mention that the scores assigned to sub-indices do not represent</w:t>
      </w:r>
      <w:r w:rsidRPr="0044492F">
        <w:rPr>
          <w:rFonts w:ascii="Times New Roman" w:eastAsiaTheme="minorEastAsia" w:hAnsi="Times New Roman" w:cs="Times New Roman"/>
          <w:sz w:val="24"/>
          <w:szCs w:val="24"/>
          <w:lang w:val="en-US"/>
        </w:rPr>
        <w:t xml:space="preserve"> the quality </w:t>
      </w:r>
      <w:r w:rsidR="005A4E43">
        <w:rPr>
          <w:rFonts w:ascii="Times New Roman" w:eastAsiaTheme="minorEastAsia" w:hAnsi="Times New Roman" w:cs="Times New Roman"/>
          <w:sz w:val="24"/>
          <w:szCs w:val="24"/>
          <w:lang w:val="en-US"/>
        </w:rPr>
        <w:t xml:space="preserve">judgment </w:t>
      </w:r>
      <w:r w:rsidRPr="0044492F">
        <w:rPr>
          <w:rFonts w:ascii="Times New Roman" w:eastAsiaTheme="minorEastAsia" w:hAnsi="Times New Roman" w:cs="Times New Roman"/>
          <w:sz w:val="24"/>
          <w:szCs w:val="24"/>
          <w:lang w:val="en-US"/>
        </w:rPr>
        <w:t>of that disclosure.</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I calculate the aggregated disclosure score by using the equation 3.8.</w:t>
      </w:r>
    </w:p>
    <w:p w:rsidR="0044492F" w:rsidRPr="0044492F" w:rsidRDefault="00AE0B9C" w:rsidP="0044492F">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1</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LIQ</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GRP_STR</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3</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INTRA</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4</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SPIL</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(3.8)</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eastAsiaTheme="minorEastAsia" w:hAnsi="Times New Roman" w:cs="Times New Roman"/>
          <w:sz w:val="24"/>
          <w:szCs w:val="24"/>
          <w:lang w:val="en-US"/>
        </w:rPr>
        <w:t xml:space="preserve">where: </w:t>
      </w:r>
    </w:p>
    <w:p w:rsidR="0044492F" w:rsidRPr="0044492F" w:rsidRDefault="00AE0B9C" w:rsidP="0044492F">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LIQ</m:t>
            </m:r>
          </m:e>
          <m:sub>
            <m:r>
              <w:rPr>
                <w:rFonts w:ascii="Cambria Math" w:eastAsiaTheme="minorEastAsia" w:hAnsi="Cambria Math" w:cs="Times New Roman"/>
                <w:sz w:val="24"/>
                <w:szCs w:val="24"/>
                <w:lang w:val="en-US"/>
              </w:rPr>
              <m:t>i, t</m:t>
            </m:r>
          </m:sub>
        </m:sSub>
      </m:oMath>
      <w:r w:rsidR="0044492F" w:rsidRPr="0044492F">
        <w:rPr>
          <w:rFonts w:ascii="Times New Roman" w:eastAsiaTheme="minorEastAsia" w:hAnsi="Times New Roman" w:cs="Times New Roman"/>
          <w:sz w:val="24"/>
          <w:szCs w:val="24"/>
          <w:lang w:val="en-US"/>
        </w:rPr>
        <w:t xml:space="preserve"> – the disclosure score on liquidity risk</w:t>
      </w:r>
    </w:p>
    <w:p w:rsidR="0044492F" w:rsidRPr="0044492F" w:rsidRDefault="00AE0B9C" w:rsidP="0044492F">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GRP_STR</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 the disclosure score on group structure</w:t>
      </w:r>
    </w:p>
    <w:p w:rsidR="0044492F" w:rsidRPr="0044492F" w:rsidRDefault="00AE0B9C" w:rsidP="0044492F">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INTRA</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 the disclosure score on intra-annual information</w:t>
      </w:r>
    </w:p>
    <w:p w:rsidR="0044492F" w:rsidRPr="0044492F" w:rsidRDefault="00AE0B9C" w:rsidP="0044492F">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SPIL</m:t>
            </m:r>
          </m:e>
          <m:sub>
            <m:r>
              <w:rPr>
                <w:rFonts w:ascii="Cambria Math" w:eastAsiaTheme="minorEastAsia" w:hAnsi="Cambria Math" w:cs="Times New Roman"/>
                <w:sz w:val="24"/>
                <w:szCs w:val="24"/>
                <w:lang w:val="en-US"/>
              </w:rPr>
              <m:t>i,t</m:t>
            </m:r>
          </m:sub>
        </m:sSub>
      </m:oMath>
      <w:r w:rsidR="0044492F" w:rsidRPr="0044492F">
        <w:rPr>
          <w:rFonts w:ascii="Times New Roman" w:eastAsiaTheme="minorEastAsia" w:hAnsi="Times New Roman" w:cs="Times New Roman"/>
          <w:sz w:val="24"/>
          <w:szCs w:val="24"/>
          <w:lang w:val="en-US"/>
        </w:rPr>
        <w:t xml:space="preserve"> – the disclosure score on spillover risk</w:t>
      </w:r>
    </w:p>
    <w:p w:rsidR="0044492F" w:rsidRPr="0044492F" w:rsidRDefault="00AE0B9C" w:rsidP="0044492F">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1</m:t>
            </m:r>
          </m:sub>
        </m:sSub>
      </m:oMath>
      <w:r w:rsidR="0044492F" w:rsidRPr="0044492F">
        <w:rPr>
          <w:rFonts w:ascii="Times New Roman" w:eastAsiaTheme="minorEastAsia" w:hAnsi="Times New Roman" w:cs="Times New Roman"/>
          <w:iCs/>
          <w:sz w:val="24"/>
          <w:szCs w:val="24"/>
          <w:lang w:val="en-US"/>
        </w:rPr>
        <w:t>,</w:t>
      </w:r>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2</m:t>
            </m:r>
          </m:sub>
        </m:sSub>
      </m:oMath>
      <w:r w:rsidR="0044492F" w:rsidRPr="0044492F">
        <w:rPr>
          <w:rFonts w:ascii="Times New Roman" w:eastAsiaTheme="minorEastAsia" w:hAnsi="Times New Roman" w:cs="Times New Roman"/>
          <w:iCs/>
          <w:sz w:val="24"/>
          <w:szCs w:val="24"/>
          <w:lang w:val="en-US"/>
        </w:rPr>
        <w:t xml:space="preserve">, </w:t>
      </w:r>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3</m:t>
            </m:r>
          </m:sub>
        </m:sSub>
      </m:oMath>
      <w:r w:rsidR="0044492F" w:rsidRPr="0044492F">
        <w:rPr>
          <w:rFonts w:ascii="Times New Roman" w:eastAsiaTheme="minorEastAsia" w:hAnsi="Times New Roman" w:cs="Times New Roman"/>
          <w:iCs/>
          <w:sz w:val="24"/>
          <w:szCs w:val="24"/>
          <w:lang w:val="en-US"/>
        </w:rPr>
        <w:t>,</w:t>
      </w:r>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4</m:t>
            </m:r>
          </m:sub>
        </m:sSub>
      </m:oMath>
      <w:r w:rsidR="0044492F" w:rsidRPr="0044492F">
        <w:rPr>
          <w:rFonts w:ascii="Times New Roman" w:eastAsiaTheme="minorEastAsia" w:hAnsi="Times New Roman" w:cs="Times New Roman"/>
          <w:iCs/>
          <w:sz w:val="24"/>
          <w:szCs w:val="24"/>
          <w:lang w:val="en-US"/>
        </w:rPr>
        <w:t xml:space="preserve"> – the weights of disclosure categories </w:t>
      </w:r>
    </w:p>
    <w:p w:rsidR="0044492F" w:rsidRPr="0044492F" w:rsidRDefault="0044492F" w:rsidP="0044492F">
      <w:pPr>
        <w:spacing w:line="360" w:lineRule="auto"/>
        <w:ind w:firstLine="708"/>
        <w:jc w:val="both"/>
        <w:rPr>
          <w:rFonts w:ascii="Times New Roman" w:eastAsiaTheme="minorEastAsia" w:hAnsi="Times New Roman" w:cs="Times New Roman"/>
          <w:sz w:val="24"/>
          <w:szCs w:val="24"/>
          <w:lang w:val="en-US"/>
        </w:rPr>
      </w:pPr>
      <w:r w:rsidRPr="0044492F">
        <w:rPr>
          <w:rFonts w:ascii="Times New Roman" w:eastAsiaTheme="minorEastAsia" w:hAnsi="Times New Roman" w:cs="Times New Roman"/>
          <w:sz w:val="24"/>
          <w:szCs w:val="24"/>
          <w:lang w:val="en-US"/>
        </w:rPr>
        <w:t xml:space="preserve">The first set of sub-indices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LIQ</m:t>
            </m:r>
          </m:e>
          <m:sub>
            <m:r>
              <w:rPr>
                <w:rFonts w:ascii="Cambria Math" w:eastAsiaTheme="minorEastAsia" w:hAnsi="Cambria Math" w:cs="Times New Roman"/>
                <w:sz w:val="24"/>
                <w:szCs w:val="24"/>
                <w:lang w:val="en-US"/>
              </w:rPr>
              <m:t>i, t</m:t>
            </m:r>
          </m:sub>
        </m:sSub>
      </m:oMath>
      <w:r w:rsidRPr="0044492F">
        <w:rPr>
          <w:rFonts w:ascii="Times New Roman" w:eastAsiaTheme="minorEastAsia" w:hAnsi="Times New Roman" w:cs="Times New Roman"/>
          <w:sz w:val="24"/>
          <w:szCs w:val="24"/>
          <w:lang w:val="en-US"/>
        </w:rPr>
        <w:t xml:space="preserve"> captures the information on BCH liquidity risk. Basically the liquidity risk relates to the possibility that financial institution may not be able to raise new funds and repay its current creditors. It is </w:t>
      </w:r>
      <w:r w:rsidR="004F47D5" w:rsidRPr="0044492F">
        <w:rPr>
          <w:rFonts w:ascii="Times New Roman" w:eastAsiaTheme="minorEastAsia" w:hAnsi="Times New Roman" w:cs="Times New Roman"/>
          <w:sz w:val="24"/>
          <w:szCs w:val="24"/>
          <w:lang w:val="en-US"/>
        </w:rPr>
        <w:t>argued that</w:t>
      </w:r>
      <w:r w:rsidRPr="0044492F">
        <w:rPr>
          <w:rFonts w:ascii="Times New Roman" w:eastAsiaTheme="minorEastAsia" w:hAnsi="Times New Roman" w:cs="Times New Roman"/>
          <w:sz w:val="24"/>
          <w:szCs w:val="24"/>
          <w:lang w:val="en-US"/>
        </w:rPr>
        <w:t xml:space="preserve"> banks that rely more on short-term and non-local currency funding are more inclined to suffer in period of stress in financial markets. </w:t>
      </w:r>
      <w:r w:rsidR="004F47D5" w:rsidRPr="0044492F">
        <w:rPr>
          <w:rFonts w:ascii="Times New Roman" w:eastAsiaTheme="minorEastAsia" w:hAnsi="Times New Roman" w:cs="Times New Roman"/>
          <w:sz w:val="24"/>
          <w:szCs w:val="24"/>
          <w:lang w:val="en-US"/>
        </w:rPr>
        <w:t>Therefore,</w:t>
      </w:r>
      <w:r w:rsidRPr="0044492F">
        <w:rPr>
          <w:rFonts w:ascii="Times New Roman" w:eastAsiaTheme="minorEastAsia" w:hAnsi="Times New Roman" w:cs="Times New Roman"/>
          <w:sz w:val="24"/>
          <w:szCs w:val="24"/>
          <w:lang w:val="en-US"/>
        </w:rPr>
        <w:t xml:space="preserve"> in this category I assess whether particular BCH disclose information on the breakdown of liabilities by term and different currencies. After </w:t>
      </w:r>
      <w:r w:rsidR="004F47D5" w:rsidRPr="0044492F">
        <w:rPr>
          <w:rFonts w:ascii="Times New Roman" w:eastAsiaTheme="minorEastAsia" w:hAnsi="Times New Roman" w:cs="Times New Roman"/>
          <w:sz w:val="24"/>
          <w:szCs w:val="24"/>
          <w:lang w:val="en-US"/>
        </w:rPr>
        <w:t>that,</w:t>
      </w:r>
      <w:r w:rsidRPr="0044492F">
        <w:rPr>
          <w:rFonts w:ascii="Times New Roman" w:eastAsiaTheme="minorEastAsia" w:hAnsi="Times New Roman" w:cs="Times New Roman"/>
          <w:sz w:val="24"/>
          <w:szCs w:val="24"/>
          <w:lang w:val="en-US"/>
        </w:rPr>
        <w:t xml:space="preserve"> I </w:t>
      </w:r>
      <w:r w:rsidR="005A4D7C">
        <w:rPr>
          <w:rFonts w:ascii="Times New Roman" w:eastAsiaTheme="minorEastAsia" w:hAnsi="Times New Roman" w:cs="Times New Roman"/>
          <w:sz w:val="24"/>
          <w:szCs w:val="24"/>
          <w:lang w:val="en-US"/>
        </w:rPr>
        <w:t>looked</w:t>
      </w:r>
      <w:r w:rsidRPr="0044492F">
        <w:rPr>
          <w:rFonts w:ascii="Times New Roman" w:eastAsiaTheme="minorEastAsia" w:hAnsi="Times New Roman" w:cs="Times New Roman"/>
          <w:sz w:val="24"/>
          <w:szCs w:val="24"/>
          <w:lang w:val="en-US"/>
        </w:rPr>
        <w:t xml:space="preserve"> for the liquidity ratios and level or ratio of high-quality unencumbered assets. </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eastAsiaTheme="minorEastAsia" w:hAnsi="Times New Roman" w:cs="Times New Roman"/>
          <w:sz w:val="24"/>
          <w:szCs w:val="24"/>
          <w:lang w:val="en-US"/>
        </w:rPr>
        <w:t>The second main category is group structure information</w:t>
      </w:r>
      <w:r w:rsidR="004F47D5">
        <w:rPr>
          <w:rFonts w:ascii="Times New Roman" w:eastAsiaTheme="minorEastAsia" w:hAnsi="Times New Roman" w:cs="Times New Roman"/>
          <w:sz w:val="24"/>
          <w:szCs w:val="24"/>
          <w:lang w:val="en-US"/>
        </w:rPr>
        <w:t xml:space="preserve"> </w:t>
      </w:r>
      <w:r w:rsidR="004B6F01">
        <w:rPr>
          <w:rFonts w:ascii="Times New Roman" w:eastAsiaTheme="minorEastAsia" w:hAnsi="Times New Roman" w:cs="Times New Roman"/>
          <w:sz w:val="24"/>
          <w:szCs w:val="24"/>
          <w:lang w:val="en-US"/>
        </w:rPr>
        <w:t>(</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GRP_STR</m:t>
            </m:r>
          </m:e>
          <m:sub>
            <m:r>
              <w:rPr>
                <w:rFonts w:ascii="Cambria Math" w:eastAsiaTheme="minorEastAsia" w:hAnsi="Cambria Math" w:cs="Times New Roman"/>
                <w:sz w:val="24"/>
                <w:szCs w:val="24"/>
                <w:lang w:val="en-US"/>
              </w:rPr>
              <m:t>i,t</m:t>
            </m:r>
          </m:sub>
        </m:sSub>
      </m:oMath>
      <w:r w:rsidR="004B6F01">
        <w:rPr>
          <w:rFonts w:ascii="Times New Roman" w:eastAsiaTheme="minorEastAsia" w:hAnsi="Times New Roman" w:cs="Times New Roman"/>
          <w:sz w:val="24"/>
          <w:szCs w:val="24"/>
          <w:lang w:val="en-US"/>
        </w:rPr>
        <w:t>)</w:t>
      </w:r>
      <w:r w:rsidRPr="0044492F">
        <w:rPr>
          <w:rFonts w:ascii="Times New Roman" w:eastAsiaTheme="minorEastAsia" w:hAnsi="Times New Roman" w:cs="Times New Roman"/>
          <w:sz w:val="24"/>
          <w:szCs w:val="24"/>
          <w:lang w:val="en-US"/>
        </w:rPr>
        <w:t xml:space="preserve">. This type </w:t>
      </w:r>
      <w:r w:rsidR="004F47D5">
        <w:rPr>
          <w:rFonts w:ascii="Times New Roman" w:eastAsiaTheme="minorEastAsia" w:hAnsi="Times New Roman" w:cs="Times New Roman"/>
          <w:sz w:val="24"/>
          <w:szCs w:val="24"/>
          <w:lang w:val="en-US"/>
        </w:rPr>
        <w:t xml:space="preserve">of </w:t>
      </w:r>
      <w:r w:rsidRPr="0044492F">
        <w:rPr>
          <w:rFonts w:ascii="Times New Roman" w:eastAsiaTheme="minorEastAsia" w:hAnsi="Times New Roman" w:cs="Times New Roman"/>
          <w:sz w:val="24"/>
          <w:szCs w:val="24"/>
          <w:lang w:val="en-US"/>
        </w:rPr>
        <w:t xml:space="preserve">information helps investors to </w:t>
      </w:r>
      <w:r w:rsidR="004B6F01" w:rsidRPr="0044492F">
        <w:rPr>
          <w:rFonts w:ascii="Times New Roman" w:eastAsiaTheme="minorEastAsia" w:hAnsi="Times New Roman" w:cs="Times New Roman"/>
          <w:sz w:val="24"/>
          <w:szCs w:val="24"/>
          <w:lang w:val="en-US"/>
        </w:rPr>
        <w:t>assess</w:t>
      </w:r>
      <w:r w:rsidRPr="0044492F">
        <w:rPr>
          <w:rFonts w:ascii="Times New Roman" w:eastAsiaTheme="minorEastAsia" w:hAnsi="Times New Roman" w:cs="Times New Roman"/>
          <w:sz w:val="24"/>
          <w:szCs w:val="24"/>
          <w:lang w:val="en-US"/>
        </w:rPr>
        <w:t xml:space="preserve"> the riskiness of particular BHC segment due to the fact the failure of one segment may cause the systemic failure of bank holding company as a whole. In case of complex large financial groups the disclosure of information related to subsidiaries is not mandatory. Therefore, here I search for balance sheets and risk ratios of BHC’s subsidiaries. </w:t>
      </w:r>
      <w:r w:rsidR="004F47D5" w:rsidRPr="0044492F">
        <w:rPr>
          <w:rFonts w:ascii="Times New Roman" w:eastAsiaTheme="minorEastAsia" w:hAnsi="Times New Roman" w:cs="Times New Roman"/>
          <w:sz w:val="24"/>
          <w:szCs w:val="24"/>
          <w:lang w:val="en-US"/>
        </w:rPr>
        <w:t>Moreover,</w:t>
      </w:r>
      <w:r w:rsidRPr="0044492F">
        <w:rPr>
          <w:rFonts w:ascii="Times New Roman" w:eastAsiaTheme="minorEastAsia" w:hAnsi="Times New Roman" w:cs="Times New Roman"/>
          <w:sz w:val="24"/>
          <w:szCs w:val="24"/>
          <w:lang w:val="en-US"/>
        </w:rPr>
        <w:t xml:space="preserve"> I focus on the same information related to BHC main segments such as </w:t>
      </w:r>
      <w:r w:rsidRPr="0044492F">
        <w:rPr>
          <w:rFonts w:ascii="Times New Roman" w:hAnsi="Times New Roman" w:cs="Times New Roman"/>
          <w:sz w:val="24"/>
          <w:szCs w:val="24"/>
          <w:lang w:val="en-US"/>
        </w:rPr>
        <w:t>the</w:t>
      </w:r>
      <w:r w:rsidR="005A4D7C">
        <w:rPr>
          <w:rFonts w:ascii="Times New Roman" w:hAnsi="Times New Roman" w:cs="Times New Roman"/>
          <w:sz w:val="24"/>
          <w:szCs w:val="24"/>
          <w:lang w:val="en-US"/>
        </w:rPr>
        <w:t xml:space="preserve"> </w:t>
      </w:r>
      <w:r w:rsidR="005A4D7C" w:rsidRPr="0044492F">
        <w:rPr>
          <w:rFonts w:ascii="Times New Roman" w:hAnsi="Times New Roman" w:cs="Times New Roman"/>
          <w:sz w:val="24"/>
          <w:szCs w:val="24"/>
          <w:lang w:val="en-US"/>
        </w:rPr>
        <w:t>card services</w:t>
      </w:r>
      <w:r w:rsidR="005A4D7C">
        <w:rPr>
          <w:rFonts w:ascii="Times New Roman" w:hAnsi="Times New Roman" w:cs="Times New Roman"/>
          <w:sz w:val="24"/>
          <w:szCs w:val="24"/>
          <w:lang w:val="en-US"/>
        </w:rPr>
        <w:t>, derivatives desk</w:t>
      </w:r>
      <w:r w:rsidRPr="0044492F">
        <w:rPr>
          <w:rFonts w:ascii="Times New Roman" w:hAnsi="Times New Roman" w:cs="Times New Roman"/>
          <w:sz w:val="24"/>
          <w:szCs w:val="24"/>
          <w:lang w:val="en-US"/>
        </w:rPr>
        <w:t xml:space="preserve">, and insurance services. </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 xml:space="preserve">Intra-annual information </w:t>
      </w:r>
      <w:r w:rsidR="004B6F01">
        <w:rPr>
          <w:rFonts w:ascii="Times New Roman" w:hAnsi="Times New Roman" w:cs="Times New Roman"/>
          <w:sz w:val="24"/>
          <w:szCs w:val="24"/>
          <w:lang w:val="en-US"/>
        </w:rPr>
        <w:t>(</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INTRA</m:t>
            </m:r>
          </m:e>
          <m:sub>
            <m:r>
              <w:rPr>
                <w:rFonts w:ascii="Cambria Math" w:eastAsiaTheme="minorEastAsia" w:hAnsi="Cambria Math" w:cs="Times New Roman"/>
                <w:sz w:val="24"/>
                <w:szCs w:val="24"/>
                <w:lang w:val="en-US"/>
              </w:rPr>
              <m:t>i,t</m:t>
            </m:r>
          </m:sub>
        </m:sSub>
      </m:oMath>
      <w:r w:rsidR="004B6F01">
        <w:rPr>
          <w:rFonts w:ascii="Times New Roman" w:eastAsiaTheme="minorEastAsia" w:hAnsi="Times New Roman" w:cs="Times New Roman"/>
          <w:sz w:val="24"/>
          <w:szCs w:val="24"/>
          <w:lang w:val="en-US"/>
        </w:rPr>
        <w:t>)</w:t>
      </w:r>
      <w:r w:rsidRPr="0044492F">
        <w:rPr>
          <w:rFonts w:ascii="Times New Roman" w:hAnsi="Times New Roman" w:cs="Times New Roman"/>
          <w:sz w:val="24"/>
          <w:szCs w:val="24"/>
          <w:lang w:val="en-US"/>
        </w:rPr>
        <w:t xml:space="preserve"> is the next crucial area since it provides the broader view of risks. End-of-year snapshot of balance sheet is not enough in assessing the risk due to possible volatility of BHC’s activity during the reporting period. </w:t>
      </w:r>
      <w:r w:rsidR="004F47D5" w:rsidRPr="0044492F">
        <w:rPr>
          <w:rFonts w:ascii="Times New Roman" w:hAnsi="Times New Roman" w:cs="Times New Roman"/>
          <w:sz w:val="24"/>
          <w:szCs w:val="24"/>
          <w:lang w:val="en-US"/>
        </w:rPr>
        <w:t>Hence,</w:t>
      </w:r>
      <w:r w:rsidRPr="0044492F">
        <w:rPr>
          <w:rFonts w:ascii="Times New Roman" w:hAnsi="Times New Roman" w:cs="Times New Roman"/>
          <w:sz w:val="24"/>
          <w:szCs w:val="24"/>
          <w:lang w:val="en-US"/>
        </w:rPr>
        <w:t xml:space="preserve"> I search for the detailed annual average figures of balance sheet items, balance sheet items</w:t>
      </w:r>
      <w:r w:rsidR="00892DFA">
        <w:rPr>
          <w:rFonts w:ascii="Times New Roman" w:hAnsi="Times New Roman" w:cs="Times New Roman"/>
          <w:sz w:val="24"/>
          <w:szCs w:val="24"/>
          <w:lang w:val="en-US"/>
        </w:rPr>
        <w:t xml:space="preserve"> provided on quarterly basis</w:t>
      </w:r>
      <w:r w:rsidRPr="0044492F">
        <w:rPr>
          <w:rFonts w:ascii="Times New Roman" w:hAnsi="Times New Roman" w:cs="Times New Roman"/>
          <w:sz w:val="24"/>
          <w:szCs w:val="24"/>
          <w:lang w:val="en-US"/>
        </w:rPr>
        <w:t>, and</w:t>
      </w:r>
      <w:r w:rsidR="00892DFA">
        <w:rPr>
          <w:rFonts w:ascii="Times New Roman" w:hAnsi="Times New Roman" w:cs="Times New Roman"/>
          <w:sz w:val="24"/>
          <w:szCs w:val="24"/>
          <w:lang w:val="en-US"/>
        </w:rPr>
        <w:t xml:space="preserve"> different</w:t>
      </w:r>
      <w:r w:rsidRPr="0044492F">
        <w:rPr>
          <w:rFonts w:ascii="Times New Roman" w:hAnsi="Times New Roman" w:cs="Times New Roman"/>
          <w:sz w:val="24"/>
          <w:szCs w:val="24"/>
          <w:lang w:val="en-US"/>
        </w:rPr>
        <w:t xml:space="preserve"> risk ratios. </w:t>
      </w:r>
    </w:p>
    <w:p w:rsidR="00084386"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hAnsi="Times New Roman" w:cs="Times New Roman"/>
          <w:sz w:val="24"/>
          <w:szCs w:val="24"/>
          <w:lang w:val="en-US"/>
        </w:rPr>
        <w:t xml:space="preserve">Fourth category is information on spillover risk </w:t>
      </w:r>
      <w:r w:rsidR="004B6F01">
        <w:rPr>
          <w:rFonts w:ascii="Times New Roman" w:hAnsi="Times New Roman" w:cs="Times New Roman"/>
          <w:sz w:val="24"/>
          <w:szCs w:val="24"/>
          <w:lang w:val="en-US"/>
        </w:rPr>
        <w:t>(</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SPIL</m:t>
            </m:r>
          </m:e>
          <m:sub>
            <m:r>
              <w:rPr>
                <w:rFonts w:ascii="Cambria Math" w:eastAsiaTheme="minorEastAsia" w:hAnsi="Cambria Math" w:cs="Times New Roman"/>
                <w:sz w:val="24"/>
                <w:szCs w:val="24"/>
                <w:lang w:val="en-US"/>
              </w:rPr>
              <m:t>i,t</m:t>
            </m:r>
          </m:sub>
        </m:sSub>
      </m:oMath>
      <w:r w:rsidR="004B6F01">
        <w:rPr>
          <w:rFonts w:ascii="Times New Roman" w:eastAsiaTheme="minorEastAsia" w:hAnsi="Times New Roman" w:cs="Times New Roman"/>
          <w:sz w:val="24"/>
          <w:szCs w:val="24"/>
          <w:lang w:val="en-US"/>
        </w:rPr>
        <w:t>)</w:t>
      </w:r>
      <w:r w:rsidRPr="0044492F">
        <w:rPr>
          <w:rFonts w:ascii="Times New Roman" w:hAnsi="Times New Roman" w:cs="Times New Roman"/>
          <w:sz w:val="24"/>
          <w:szCs w:val="24"/>
          <w:lang w:val="en-US"/>
        </w:rPr>
        <w:t xml:space="preserve"> that can help investors to assess the network risk of risk spillover within the financial system, and the risk of explic</w:t>
      </w:r>
      <w:r w:rsidR="00084386">
        <w:rPr>
          <w:rFonts w:ascii="Times New Roman" w:hAnsi="Times New Roman" w:cs="Times New Roman"/>
          <w:sz w:val="24"/>
          <w:szCs w:val="24"/>
          <w:lang w:val="en-US"/>
        </w:rPr>
        <w:t>it or implicit exposures to off-</w:t>
      </w:r>
      <w:r w:rsidRPr="0044492F">
        <w:rPr>
          <w:rFonts w:ascii="Times New Roman" w:hAnsi="Times New Roman" w:cs="Times New Roman"/>
          <w:sz w:val="24"/>
          <w:szCs w:val="24"/>
          <w:lang w:val="en-US"/>
        </w:rPr>
        <w:t xml:space="preserve">balance sheet entities. </w:t>
      </w:r>
      <w:r w:rsidR="00084386">
        <w:rPr>
          <w:rFonts w:ascii="Times New Roman" w:hAnsi="Times New Roman" w:cs="Times New Roman"/>
          <w:sz w:val="24"/>
          <w:szCs w:val="24"/>
          <w:lang w:val="en-US"/>
        </w:rPr>
        <w:t xml:space="preserve">Therefore, I looked </w:t>
      </w:r>
      <w:r w:rsidR="00084386" w:rsidRPr="0044492F">
        <w:rPr>
          <w:rFonts w:ascii="Times New Roman" w:hAnsi="Times New Roman" w:cs="Times New Roman"/>
          <w:sz w:val="24"/>
          <w:szCs w:val="24"/>
          <w:lang w:val="en-US"/>
        </w:rPr>
        <w:t>whether</w:t>
      </w:r>
      <w:r w:rsidR="00084386">
        <w:rPr>
          <w:rFonts w:ascii="Times New Roman" w:hAnsi="Times New Roman" w:cs="Times New Roman"/>
          <w:sz w:val="24"/>
          <w:szCs w:val="24"/>
          <w:lang w:val="en-US"/>
        </w:rPr>
        <w:t xml:space="preserve"> a bank holding company in its report provides </w:t>
      </w:r>
      <w:r w:rsidR="00084386" w:rsidRPr="0044492F">
        <w:rPr>
          <w:rFonts w:ascii="Times New Roman" w:hAnsi="Times New Roman" w:cs="Times New Roman"/>
          <w:sz w:val="24"/>
          <w:szCs w:val="24"/>
          <w:lang w:val="en-US"/>
        </w:rPr>
        <w:t>the detailed breakdown of the off-balance sheet items</w:t>
      </w:r>
      <w:r w:rsidR="00084386" w:rsidRPr="00084386">
        <w:rPr>
          <w:rFonts w:ascii="Times New Roman" w:hAnsi="Times New Roman" w:cs="Times New Roman"/>
          <w:sz w:val="24"/>
          <w:szCs w:val="24"/>
          <w:lang w:val="en-US"/>
        </w:rPr>
        <w:t xml:space="preserve"> </w:t>
      </w:r>
      <w:r w:rsidR="00084386" w:rsidRPr="0044492F">
        <w:rPr>
          <w:rFonts w:ascii="Times New Roman" w:hAnsi="Times New Roman" w:cs="Times New Roman"/>
          <w:sz w:val="24"/>
          <w:szCs w:val="24"/>
          <w:lang w:val="en-US"/>
        </w:rPr>
        <w:t>and maximum loss exposure to special purpose vehicles (or variable interest entities)</w:t>
      </w:r>
      <w:r w:rsidR="00084386">
        <w:rPr>
          <w:rFonts w:ascii="Times New Roman" w:hAnsi="Times New Roman" w:cs="Times New Roman"/>
          <w:sz w:val="24"/>
          <w:szCs w:val="24"/>
          <w:lang w:val="en-US"/>
        </w:rPr>
        <w:t>.</w:t>
      </w:r>
    </w:p>
    <w:p w:rsidR="0044492F" w:rsidRPr="0044492F" w:rsidRDefault="0044492F" w:rsidP="0044492F">
      <w:pPr>
        <w:spacing w:line="360" w:lineRule="auto"/>
        <w:ind w:firstLine="708"/>
        <w:jc w:val="both"/>
        <w:rPr>
          <w:rFonts w:ascii="Times New Roman" w:hAnsi="Times New Roman" w:cs="Times New Roman"/>
          <w:sz w:val="24"/>
          <w:szCs w:val="24"/>
          <w:lang w:val="en-US"/>
        </w:rPr>
      </w:pPr>
      <w:r w:rsidRPr="0044492F">
        <w:rPr>
          <w:rFonts w:ascii="Times New Roman" w:eastAsiaTheme="minorEastAsia" w:hAnsi="Times New Roman" w:cs="Times New Roman"/>
          <w:sz w:val="24"/>
          <w:szCs w:val="24"/>
          <w:lang w:val="en-US"/>
        </w:rPr>
        <w:t xml:space="preserve">In order to obtain the weights of described disclosure categories I </w:t>
      </w:r>
      <w:r w:rsidR="00084386">
        <w:rPr>
          <w:rFonts w:ascii="Times New Roman" w:eastAsiaTheme="minorEastAsia" w:hAnsi="Times New Roman" w:cs="Times New Roman"/>
          <w:sz w:val="24"/>
          <w:szCs w:val="24"/>
          <w:lang w:val="en-US"/>
        </w:rPr>
        <w:t>use</w:t>
      </w:r>
      <w:r w:rsidRPr="0044492F">
        <w:rPr>
          <w:rFonts w:ascii="Times New Roman" w:eastAsiaTheme="minorEastAsia" w:hAnsi="Times New Roman" w:cs="Times New Roman"/>
          <w:sz w:val="24"/>
          <w:szCs w:val="24"/>
          <w:lang w:val="en-US"/>
        </w:rPr>
        <w:t xml:space="preserve"> </w:t>
      </w:r>
      <w:r w:rsidRPr="0044492F">
        <w:rPr>
          <w:rFonts w:ascii="Times New Roman" w:hAnsi="Times New Roman" w:cs="Times New Roman"/>
          <w:sz w:val="24"/>
          <w:szCs w:val="24"/>
          <w:lang w:val="en-US"/>
        </w:rPr>
        <w:t>principal component analysis (PCA).</w:t>
      </w:r>
      <w:r w:rsidRPr="0044492F">
        <w:rPr>
          <w:rFonts w:ascii="Times New Roman" w:eastAsiaTheme="minorEastAsia" w:hAnsi="Times New Roman" w:cs="Times New Roman"/>
          <w:sz w:val="24"/>
          <w:szCs w:val="24"/>
          <w:lang w:val="en-US"/>
        </w:rPr>
        <w:t xml:space="preserve"> </w:t>
      </w:r>
      <w:r w:rsidRPr="0044492F">
        <w:rPr>
          <w:rFonts w:ascii="Times New Roman" w:hAnsi="Times New Roman" w:cs="Times New Roman"/>
          <w:sz w:val="24"/>
          <w:szCs w:val="24"/>
          <w:lang w:val="en-US"/>
        </w:rPr>
        <w:t>The weights</w:t>
      </w:r>
      <w:r w:rsidR="00BD72B3">
        <w:rPr>
          <w:rFonts w:ascii="Times New Roman" w:hAnsi="Times New Roman" w:cs="Times New Roman"/>
          <w:sz w:val="24"/>
          <w:szCs w:val="24"/>
          <w:lang w:val="en-US"/>
        </w:rPr>
        <w:t xml:space="preserve"> </w:t>
      </w:r>
      <w:r w:rsidR="00BD72B3" w:rsidRPr="0044492F">
        <w:rPr>
          <w:rFonts w:ascii="Times New Roman" w:hAnsi="Times New Roman" w:cs="Times New Roman"/>
          <w:sz w:val="24"/>
          <w:szCs w:val="24"/>
          <w:lang w:val="en-US"/>
        </w:rPr>
        <w:t>for each bank</w:t>
      </w:r>
      <w:r w:rsidR="00BD72B3">
        <w:rPr>
          <w:rFonts w:ascii="Times New Roman" w:hAnsi="Times New Roman" w:cs="Times New Roman"/>
          <w:sz w:val="24"/>
          <w:szCs w:val="24"/>
          <w:lang w:val="en-US"/>
        </w:rPr>
        <w:t xml:space="preserve"> holding company</w:t>
      </w:r>
      <w:r w:rsidR="00BD72B3" w:rsidRPr="0044492F">
        <w:rPr>
          <w:rFonts w:ascii="Times New Roman" w:hAnsi="Times New Roman" w:cs="Times New Roman"/>
          <w:sz w:val="24"/>
          <w:szCs w:val="24"/>
          <w:lang w:val="en-US"/>
        </w:rPr>
        <w:t xml:space="preserve"> </w:t>
      </w:r>
      <w:r w:rsidR="00BD72B3" w:rsidRPr="004F47D5">
        <w:rPr>
          <w:rFonts w:ascii="Times New Roman" w:hAnsi="Times New Roman" w:cs="Times New Roman"/>
          <w:i/>
          <w:sz w:val="24"/>
          <w:szCs w:val="24"/>
          <w:lang w:val="en-US"/>
        </w:rPr>
        <w:t>i</w:t>
      </w:r>
      <w:r w:rsidR="00BD72B3" w:rsidRPr="0044492F">
        <w:rPr>
          <w:rFonts w:ascii="Times New Roman" w:hAnsi="Times New Roman" w:cs="Times New Roman"/>
          <w:sz w:val="24"/>
          <w:szCs w:val="24"/>
          <w:lang w:val="en-US"/>
        </w:rPr>
        <w:t xml:space="preserve"> </w:t>
      </w:r>
      <w:r w:rsidR="00BD72B3">
        <w:rPr>
          <w:rFonts w:ascii="Times New Roman" w:hAnsi="Times New Roman" w:cs="Times New Roman"/>
          <w:sz w:val="24"/>
          <w:szCs w:val="24"/>
          <w:lang w:val="en-US"/>
        </w:rPr>
        <w:t>at</w:t>
      </w:r>
      <w:r w:rsidR="00BD72B3" w:rsidRPr="0044492F">
        <w:rPr>
          <w:rFonts w:ascii="Times New Roman" w:hAnsi="Times New Roman" w:cs="Times New Roman"/>
          <w:sz w:val="24"/>
          <w:szCs w:val="24"/>
          <w:lang w:val="en-US"/>
        </w:rPr>
        <w:t xml:space="preserve"> year</w:t>
      </w:r>
      <w:r w:rsidR="00BD72B3">
        <w:rPr>
          <w:rFonts w:ascii="Times New Roman" w:hAnsi="Times New Roman" w:cs="Times New Roman"/>
          <w:sz w:val="24"/>
          <w:szCs w:val="24"/>
          <w:lang w:val="en-US"/>
        </w:rPr>
        <w:t xml:space="preserve"> </w:t>
      </w:r>
      <w:r w:rsidR="00BD72B3" w:rsidRPr="00BD72B3">
        <w:rPr>
          <w:rFonts w:ascii="Times New Roman" w:hAnsi="Times New Roman" w:cs="Times New Roman"/>
          <w:i/>
          <w:sz w:val="24"/>
          <w:szCs w:val="24"/>
          <w:lang w:val="en-US"/>
        </w:rPr>
        <w:t>t</w:t>
      </w:r>
      <w:r w:rsidRPr="0044492F">
        <w:rPr>
          <w:rFonts w:ascii="Times New Roman" w:hAnsi="Times New Roman" w:cs="Times New Roman"/>
          <w:sz w:val="24"/>
          <w:szCs w:val="24"/>
          <w:lang w:val="en-US"/>
        </w:rPr>
        <w:t xml:space="preserve"> are </w:t>
      </w:r>
      <w:r w:rsidR="00BD72B3" w:rsidRPr="0044492F">
        <w:rPr>
          <w:rFonts w:ascii="Times New Roman" w:hAnsi="Times New Roman" w:cs="Times New Roman"/>
          <w:sz w:val="24"/>
          <w:szCs w:val="24"/>
          <w:lang w:val="en-US"/>
        </w:rPr>
        <w:t xml:space="preserve">obtained </w:t>
      </w:r>
      <w:r w:rsidR="00BD72B3">
        <w:rPr>
          <w:rFonts w:ascii="Times New Roman" w:hAnsi="Times New Roman" w:cs="Times New Roman"/>
          <w:sz w:val="24"/>
          <w:szCs w:val="24"/>
          <w:lang w:val="en-US"/>
        </w:rPr>
        <w:t>from the equation 3.9</w:t>
      </w:r>
      <w:r w:rsidRPr="0044492F">
        <w:rPr>
          <w:rFonts w:ascii="Times New Roman" w:hAnsi="Times New Roman" w:cs="Times New Roman"/>
          <w:sz w:val="24"/>
          <w:szCs w:val="24"/>
          <w:lang w:val="en-US"/>
        </w:rPr>
        <w:t>:</w:t>
      </w:r>
    </w:p>
    <w:p w:rsidR="0044492F" w:rsidRPr="004F47D5" w:rsidRDefault="00AE0B9C" w:rsidP="004F47D5">
      <w:pPr>
        <w:spacing w:line="360" w:lineRule="auto"/>
        <w:ind w:firstLine="70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1,2,3,4</m:t>
            </m:r>
          </m:sub>
        </m:sSub>
        <m:r>
          <w:rPr>
            <w:rFonts w:ascii="Cambria Math" w:eastAsiaTheme="minorEastAsia" w:hAnsi="Cambria Math" w:cs="Times New Roman"/>
            <w:sz w:val="24"/>
            <w:szCs w:val="24"/>
            <w:lang w:val="en-US"/>
          </w:rPr>
          <m:t>=PCA(</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LIQ</m:t>
            </m:r>
          </m:e>
          <m:sub>
            <m:r>
              <w:rPr>
                <w:rFonts w:ascii="Cambria Math" w:eastAsiaTheme="minorEastAsia" w:hAnsi="Cambria Math" w:cs="Times New Roman"/>
                <w:sz w:val="24"/>
                <w:szCs w:val="24"/>
                <w:lang w:val="en-US"/>
              </w:rPr>
              <m:t>b, t</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GRP_STR</m:t>
            </m:r>
          </m:e>
          <m:sub>
            <m:r>
              <w:rPr>
                <w:rFonts w:ascii="Cambria Math" w:eastAsiaTheme="minorEastAsia" w:hAnsi="Cambria Math" w:cs="Times New Roman"/>
                <w:sz w:val="24"/>
                <w:szCs w:val="24"/>
                <w:lang w:val="en-US"/>
              </w:rPr>
              <m:t>b,t</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INTRA</m:t>
            </m:r>
          </m:e>
          <m:sub>
            <m:r>
              <w:rPr>
                <w:rFonts w:ascii="Cambria Math" w:eastAsiaTheme="minorEastAsia" w:hAnsi="Cambria Math" w:cs="Times New Roman"/>
                <w:sz w:val="24"/>
                <w:szCs w:val="24"/>
                <w:lang w:val="en-US"/>
              </w:rPr>
              <m:t>b,t</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SPIL</m:t>
            </m:r>
          </m:e>
          <m:sub>
            <m:r>
              <w:rPr>
                <w:rFonts w:ascii="Cambria Math" w:eastAsiaTheme="minorEastAsia" w:hAnsi="Cambria Math" w:cs="Times New Roman"/>
                <w:sz w:val="24"/>
                <w:szCs w:val="24"/>
                <w:lang w:val="en-US"/>
              </w:rPr>
              <m:t>b,t</m:t>
            </m:r>
          </m:sub>
        </m:sSub>
        <m:r>
          <w:rPr>
            <w:rFonts w:ascii="Cambria Math" w:eastAsiaTheme="minorEastAsia" w:hAnsi="Cambria Math" w:cs="Times New Roman"/>
            <w:sz w:val="24"/>
            <w:szCs w:val="24"/>
            <w:lang w:val="en-US"/>
          </w:rPr>
          <m:t>)</m:t>
        </m:r>
      </m:oMath>
      <w:r w:rsidR="004F47D5" w:rsidRPr="004F47D5">
        <w:rPr>
          <w:rFonts w:ascii="Times New Roman" w:eastAsiaTheme="minorEastAsia" w:hAnsi="Times New Roman" w:cs="Times New Roman"/>
          <w:sz w:val="24"/>
          <w:szCs w:val="24"/>
          <w:lang w:val="en-US"/>
        </w:rPr>
        <w:t xml:space="preserve">                                                       (3.9)         </w:t>
      </w:r>
    </w:p>
    <w:p w:rsidR="0044492F" w:rsidRPr="004F47D5" w:rsidRDefault="0044492F" w:rsidP="0044492F">
      <w:pPr>
        <w:spacing w:line="360" w:lineRule="auto"/>
        <w:ind w:firstLine="708"/>
        <w:jc w:val="both"/>
        <w:rPr>
          <w:rFonts w:ascii="Times New Roman" w:hAnsi="Times New Roman" w:cs="Times New Roman"/>
          <w:sz w:val="24"/>
          <w:szCs w:val="24"/>
          <w:lang w:val="en-US"/>
        </w:rPr>
      </w:pPr>
      <w:r w:rsidRPr="004F47D5">
        <w:rPr>
          <w:rFonts w:ascii="Times New Roman" w:hAnsi="Times New Roman" w:cs="Times New Roman"/>
          <w:sz w:val="24"/>
          <w:szCs w:val="24"/>
          <w:lang w:val="en-US"/>
        </w:rPr>
        <w:lastRenderedPageBreak/>
        <w:t xml:space="preserve">Control variables,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i,t</m:t>
            </m:r>
          </m:sub>
        </m:sSub>
      </m:oMath>
      <w:r w:rsidRPr="004F47D5">
        <w:rPr>
          <w:rFonts w:ascii="Times New Roman" w:hAnsi="Times New Roman" w:cs="Times New Roman"/>
          <w:sz w:val="24"/>
          <w:szCs w:val="24"/>
          <w:lang w:val="en-US"/>
        </w:rPr>
        <w:t xml:space="preserve">, are motivated from the existing literature and are described as follows. The size of the bank holding company </w:t>
      </w:r>
      <w:r w:rsidR="00BD72B3">
        <w:rPr>
          <w:rFonts w:ascii="Times New Roman" w:hAnsi="Times New Roman" w:cs="Times New Roman"/>
          <w:sz w:val="24"/>
          <w:szCs w:val="24"/>
          <w:lang w:val="en-US"/>
        </w:rPr>
        <w:t>(</w:t>
      </w:r>
      <w:r w:rsidR="00E4615E" w:rsidRPr="00E4615E">
        <w:rPr>
          <w:rFonts w:ascii="Cambria Math" w:hAnsi="Cambria Math" w:cs="Times New Roman"/>
          <w:i/>
          <w:sz w:val="24"/>
          <w:szCs w:val="24"/>
          <w:lang w:val="en-US"/>
        </w:rPr>
        <w:t>size</w:t>
      </w:r>
      <w:r w:rsidR="00E4615E" w:rsidRPr="00E4615E">
        <w:rPr>
          <w:rFonts w:ascii="Cambria Math" w:hAnsi="Cambria Math" w:cs="Times New Roman"/>
          <w:i/>
          <w:sz w:val="24"/>
          <w:szCs w:val="24"/>
          <w:vertAlign w:val="subscript"/>
          <w:lang w:val="en-US"/>
        </w:rPr>
        <w:t>it</w:t>
      </w:r>
      <w:r w:rsidR="00BD72B3">
        <w:rPr>
          <w:rFonts w:ascii="Cambria Math" w:hAnsi="Cambria Math" w:cs="Times New Roman"/>
          <w:i/>
          <w:sz w:val="24"/>
          <w:szCs w:val="24"/>
          <w:lang w:val="en-US"/>
        </w:rPr>
        <w:t>)</w:t>
      </w:r>
      <w:r w:rsidR="00064C53">
        <w:rPr>
          <w:rFonts w:ascii="Times New Roman" w:hAnsi="Times New Roman" w:cs="Times New Roman"/>
          <w:sz w:val="24"/>
          <w:szCs w:val="24"/>
          <w:lang w:val="en-US"/>
        </w:rPr>
        <w:t xml:space="preserve"> </w:t>
      </w:r>
      <w:r w:rsidRPr="004F47D5">
        <w:rPr>
          <w:rFonts w:ascii="Times New Roman" w:hAnsi="Times New Roman" w:cs="Times New Roman"/>
          <w:sz w:val="24"/>
          <w:szCs w:val="24"/>
          <w:lang w:val="en-US"/>
        </w:rPr>
        <w:t xml:space="preserve">is included as a control variable because </w:t>
      </w:r>
      <w:r w:rsidR="00084386">
        <w:rPr>
          <w:rFonts w:ascii="Times New Roman" w:hAnsi="Times New Roman" w:cs="Times New Roman"/>
          <w:sz w:val="24"/>
          <w:szCs w:val="24"/>
          <w:lang w:val="en-US"/>
        </w:rPr>
        <w:t>prior</w:t>
      </w:r>
      <w:r w:rsidRPr="004F47D5">
        <w:rPr>
          <w:rFonts w:ascii="Times New Roman" w:hAnsi="Times New Roman" w:cs="Times New Roman"/>
          <w:sz w:val="24"/>
          <w:szCs w:val="24"/>
          <w:lang w:val="en-US"/>
        </w:rPr>
        <w:t xml:space="preserve"> research suggest that larger institutions tend to be less risky (Barrell, Davis, Fic, and Karim; 2010, Hermalin and Weisbach; 2012). Therefore, we expect the coefficient to be negative. The size of BHC represents the natural logarithm of the year-ended total market capitalization. The capital buffer of a BHC </w:t>
      </w:r>
      <w:r w:rsidR="00BD72B3">
        <w:rPr>
          <w:rFonts w:ascii="Times New Roman" w:hAnsi="Times New Roman" w:cs="Times New Roman"/>
          <w:sz w:val="24"/>
          <w:szCs w:val="24"/>
          <w:lang w:val="en-US"/>
        </w:rPr>
        <w:t>(</w:t>
      </w:r>
      <w:r w:rsidR="00E4615E" w:rsidRPr="00E4615E">
        <w:rPr>
          <w:rFonts w:ascii="Cambria Math" w:hAnsi="Cambria Math" w:cs="Times New Roman"/>
          <w:i/>
          <w:sz w:val="24"/>
          <w:szCs w:val="24"/>
          <w:lang w:val="en-US"/>
        </w:rPr>
        <w:t>capbuf</w:t>
      </w:r>
      <w:r w:rsidR="00E4615E" w:rsidRPr="00E4615E">
        <w:rPr>
          <w:rFonts w:ascii="Cambria Math" w:hAnsi="Cambria Math" w:cs="Times New Roman"/>
          <w:i/>
          <w:sz w:val="24"/>
          <w:szCs w:val="24"/>
          <w:vertAlign w:val="subscript"/>
          <w:lang w:val="en-US"/>
        </w:rPr>
        <w:t>it</w:t>
      </w:r>
      <w:r w:rsidR="00BD72B3">
        <w:rPr>
          <w:rFonts w:ascii="Cambria Math" w:hAnsi="Cambria Math" w:cs="Times New Roman"/>
          <w:i/>
          <w:sz w:val="24"/>
          <w:szCs w:val="24"/>
          <w:lang w:val="en-US"/>
        </w:rPr>
        <w:t>)</w:t>
      </w:r>
      <w:r w:rsidR="00064C53">
        <w:rPr>
          <w:rFonts w:ascii="Times New Roman" w:hAnsi="Times New Roman" w:cs="Times New Roman"/>
          <w:sz w:val="24"/>
          <w:szCs w:val="24"/>
          <w:lang w:val="en-US"/>
        </w:rPr>
        <w:t xml:space="preserve"> </w:t>
      </w:r>
      <w:r w:rsidRPr="004F47D5">
        <w:rPr>
          <w:rFonts w:ascii="Times New Roman" w:hAnsi="Times New Roman" w:cs="Times New Roman"/>
          <w:sz w:val="24"/>
          <w:szCs w:val="24"/>
          <w:lang w:val="en-US"/>
        </w:rPr>
        <w:t>calculated as the</w:t>
      </w:r>
      <w:r w:rsidR="00084386">
        <w:rPr>
          <w:rFonts w:ascii="Times New Roman" w:hAnsi="Times New Roman" w:cs="Times New Roman"/>
          <w:sz w:val="24"/>
          <w:szCs w:val="24"/>
          <w:lang w:val="en-US"/>
        </w:rPr>
        <w:t xml:space="preserve"> ratio of</w:t>
      </w:r>
      <w:r w:rsidRPr="004F47D5">
        <w:rPr>
          <w:rFonts w:ascii="Times New Roman" w:hAnsi="Times New Roman" w:cs="Times New Roman"/>
          <w:sz w:val="24"/>
          <w:szCs w:val="24"/>
          <w:lang w:val="en-US"/>
        </w:rPr>
        <w:t xml:space="preserve"> bank’s equity capital </w:t>
      </w:r>
      <w:r w:rsidR="00084386">
        <w:rPr>
          <w:rFonts w:ascii="Times New Roman" w:hAnsi="Times New Roman" w:cs="Times New Roman"/>
          <w:sz w:val="24"/>
          <w:szCs w:val="24"/>
          <w:lang w:val="en-US"/>
        </w:rPr>
        <w:t>to</w:t>
      </w:r>
      <w:r w:rsidRPr="004F47D5">
        <w:rPr>
          <w:rFonts w:ascii="Times New Roman" w:hAnsi="Times New Roman" w:cs="Times New Roman"/>
          <w:sz w:val="24"/>
          <w:szCs w:val="24"/>
          <w:lang w:val="en-US"/>
        </w:rPr>
        <w:t xml:space="preserve"> total liabilities at the fiscal year-end. Since institutions with higher capital buffer tend to be less risky I expect the coefficient to be negative (Baumann and Nier; 2003). The non-performing loans ratio </w:t>
      </w:r>
      <w:r w:rsidR="00BD72B3">
        <w:rPr>
          <w:rFonts w:ascii="Times New Roman" w:hAnsi="Times New Roman" w:cs="Times New Roman"/>
          <w:sz w:val="24"/>
          <w:szCs w:val="24"/>
          <w:lang w:val="en-US"/>
        </w:rPr>
        <w:t>(</w:t>
      </w:r>
      <w:r w:rsidR="00E4615E" w:rsidRPr="00E4615E">
        <w:rPr>
          <w:rFonts w:ascii="Cambria Math" w:hAnsi="Cambria Math" w:cs="Times New Roman"/>
          <w:i/>
          <w:sz w:val="24"/>
          <w:szCs w:val="24"/>
          <w:lang w:val="en-US"/>
        </w:rPr>
        <w:t>npl</w:t>
      </w:r>
      <w:r w:rsidR="00E4615E" w:rsidRPr="00E4615E">
        <w:rPr>
          <w:rFonts w:ascii="Cambria Math" w:hAnsi="Cambria Math" w:cs="Times New Roman"/>
          <w:i/>
          <w:sz w:val="24"/>
          <w:szCs w:val="24"/>
          <w:vertAlign w:val="subscript"/>
          <w:lang w:val="en-US"/>
        </w:rPr>
        <w:t>it</w:t>
      </w:r>
      <w:r w:rsidR="00BD72B3">
        <w:rPr>
          <w:rFonts w:ascii="Cambria Math" w:hAnsi="Cambria Math" w:cs="Times New Roman"/>
          <w:i/>
          <w:sz w:val="24"/>
          <w:szCs w:val="24"/>
          <w:lang w:val="en-US"/>
        </w:rPr>
        <w:t>)</w:t>
      </w:r>
      <w:r w:rsidRPr="004F47D5">
        <w:rPr>
          <w:rFonts w:ascii="Times New Roman" w:hAnsi="Times New Roman" w:cs="Times New Roman"/>
          <w:sz w:val="24"/>
          <w:szCs w:val="24"/>
          <w:lang w:val="en-US"/>
        </w:rPr>
        <w:t xml:space="preserve"> </w:t>
      </w:r>
      <w:r w:rsidR="00084386">
        <w:rPr>
          <w:rFonts w:ascii="Times New Roman" w:hAnsi="Times New Roman" w:cs="Times New Roman"/>
          <w:sz w:val="24"/>
          <w:szCs w:val="24"/>
          <w:lang w:val="en-US"/>
        </w:rPr>
        <w:t xml:space="preserve"> </w:t>
      </w:r>
      <w:r w:rsidRPr="004F47D5">
        <w:rPr>
          <w:rFonts w:ascii="Times New Roman" w:hAnsi="Times New Roman" w:cs="Times New Roman"/>
          <w:sz w:val="24"/>
          <w:szCs w:val="24"/>
          <w:lang w:val="en-US"/>
        </w:rPr>
        <w:t>is calculated as the sum of loans past due 90 days</w:t>
      </w:r>
      <w:r w:rsidR="00084386">
        <w:rPr>
          <w:rFonts w:ascii="Times New Roman" w:hAnsi="Times New Roman" w:cs="Times New Roman"/>
          <w:sz w:val="24"/>
          <w:szCs w:val="24"/>
          <w:lang w:val="en-US"/>
        </w:rPr>
        <w:t xml:space="preserve"> or more and non-accrual loans as a proportion of bank’s</w:t>
      </w:r>
      <w:r w:rsidRPr="004F47D5">
        <w:rPr>
          <w:rFonts w:ascii="Times New Roman" w:hAnsi="Times New Roman" w:cs="Times New Roman"/>
          <w:sz w:val="24"/>
          <w:szCs w:val="24"/>
          <w:lang w:val="en-US"/>
        </w:rPr>
        <w:t xml:space="preserve"> total assets. Institutions with higher level of non-performing loans result in higher uncertainty therefore I expect the coefficient to be positive. Return on equity </w:t>
      </w:r>
      <w:r w:rsidR="00BD72B3">
        <w:rPr>
          <w:rFonts w:ascii="Times New Roman" w:hAnsi="Times New Roman" w:cs="Times New Roman"/>
          <w:sz w:val="24"/>
          <w:szCs w:val="24"/>
          <w:lang w:val="en-US"/>
        </w:rPr>
        <w:t>(</w:t>
      </w:r>
      <w:r w:rsidR="00E4615E" w:rsidRPr="00E4615E">
        <w:rPr>
          <w:rFonts w:ascii="Cambria Math" w:hAnsi="Cambria Math" w:cs="Times New Roman"/>
          <w:i/>
          <w:sz w:val="24"/>
          <w:szCs w:val="24"/>
          <w:lang w:val="en-US"/>
        </w:rPr>
        <w:t>roe</w:t>
      </w:r>
      <w:r w:rsidR="00E4615E" w:rsidRPr="00E4615E">
        <w:rPr>
          <w:rFonts w:ascii="Cambria Math" w:hAnsi="Cambria Math" w:cs="Times New Roman"/>
          <w:i/>
          <w:sz w:val="24"/>
          <w:szCs w:val="24"/>
          <w:vertAlign w:val="subscript"/>
          <w:lang w:val="en-US"/>
        </w:rPr>
        <w:t>it</w:t>
      </w:r>
      <w:r w:rsidR="00BD72B3">
        <w:rPr>
          <w:rFonts w:ascii="Cambria Math" w:hAnsi="Cambria Math" w:cs="Times New Roman"/>
          <w:i/>
          <w:sz w:val="24"/>
          <w:szCs w:val="24"/>
          <w:lang w:val="en-US"/>
        </w:rPr>
        <w:t>)</w:t>
      </w:r>
      <w:r w:rsidRPr="004F47D5">
        <w:rPr>
          <w:rFonts w:ascii="Times New Roman" w:hAnsi="Times New Roman" w:cs="Times New Roman"/>
          <w:sz w:val="24"/>
          <w:szCs w:val="24"/>
          <w:lang w:val="en-US"/>
        </w:rPr>
        <w:t xml:space="preserve"> calculated as the ratio of the</w:t>
      </w:r>
      <w:r w:rsidR="00064C53">
        <w:rPr>
          <w:rFonts w:ascii="Times New Roman" w:hAnsi="Times New Roman" w:cs="Times New Roman"/>
          <w:sz w:val="24"/>
          <w:szCs w:val="24"/>
          <w:lang w:val="en-US"/>
        </w:rPr>
        <w:t xml:space="preserve"> net</w:t>
      </w:r>
      <w:r w:rsidRPr="004F47D5">
        <w:rPr>
          <w:rFonts w:ascii="Times New Roman" w:hAnsi="Times New Roman" w:cs="Times New Roman"/>
          <w:sz w:val="24"/>
          <w:szCs w:val="24"/>
          <w:lang w:val="en-US"/>
        </w:rPr>
        <w:t xml:space="preserve"> income to total book equity. </w:t>
      </w:r>
      <w:r w:rsidR="00064C53">
        <w:rPr>
          <w:rFonts w:ascii="Times New Roman" w:hAnsi="Times New Roman" w:cs="Times New Roman"/>
          <w:sz w:val="24"/>
          <w:szCs w:val="24"/>
          <w:lang w:val="en-US"/>
        </w:rPr>
        <w:t>We</w:t>
      </w:r>
      <w:r w:rsidRPr="004F47D5">
        <w:rPr>
          <w:rFonts w:ascii="Times New Roman" w:hAnsi="Times New Roman" w:cs="Times New Roman"/>
          <w:sz w:val="24"/>
          <w:szCs w:val="24"/>
          <w:lang w:val="en-US"/>
        </w:rPr>
        <w:t xml:space="preserve"> expect the positive relationship between return on equity and the riskiness of financial institution. Finally, I include the level of deposits </w:t>
      </w:r>
      <w:r w:rsidR="00BD72B3">
        <w:rPr>
          <w:rFonts w:ascii="Times New Roman" w:hAnsi="Times New Roman" w:cs="Times New Roman"/>
          <w:sz w:val="24"/>
          <w:szCs w:val="24"/>
          <w:lang w:val="en-US"/>
        </w:rPr>
        <w:t>(</w:t>
      </w:r>
      <w:r w:rsidR="00E4615E" w:rsidRPr="00E4615E">
        <w:rPr>
          <w:rFonts w:ascii="Cambria Math" w:hAnsi="Cambria Math" w:cs="Times New Roman"/>
          <w:i/>
          <w:sz w:val="24"/>
          <w:szCs w:val="24"/>
          <w:lang w:val="en-US"/>
        </w:rPr>
        <w:t>depo</w:t>
      </w:r>
      <w:r w:rsidR="00E4615E" w:rsidRPr="00E4615E">
        <w:rPr>
          <w:rFonts w:ascii="Cambria Math" w:hAnsi="Cambria Math" w:cs="Times New Roman"/>
          <w:i/>
          <w:sz w:val="24"/>
          <w:szCs w:val="24"/>
          <w:vertAlign w:val="subscript"/>
          <w:lang w:val="en-US"/>
        </w:rPr>
        <w:t>it</w:t>
      </w:r>
      <w:r w:rsidR="00BD72B3">
        <w:rPr>
          <w:rFonts w:ascii="Cambria Math" w:hAnsi="Cambria Math" w:cs="Times New Roman"/>
          <w:i/>
          <w:sz w:val="24"/>
          <w:szCs w:val="24"/>
          <w:lang w:val="en-US"/>
        </w:rPr>
        <w:t>)</w:t>
      </w:r>
      <w:r w:rsidRPr="004F47D5">
        <w:rPr>
          <w:rFonts w:ascii="Times New Roman" w:hAnsi="Times New Roman" w:cs="Times New Roman"/>
          <w:sz w:val="24"/>
          <w:szCs w:val="24"/>
          <w:lang w:val="en-US"/>
        </w:rPr>
        <w:t xml:space="preserve"> </w:t>
      </w:r>
      <w:r w:rsidR="00E4615E">
        <w:rPr>
          <w:rFonts w:ascii="Times New Roman" w:hAnsi="Times New Roman" w:cs="Times New Roman"/>
          <w:sz w:val="24"/>
          <w:szCs w:val="24"/>
          <w:lang w:val="en-US"/>
        </w:rPr>
        <w:t xml:space="preserve"> </w:t>
      </w:r>
      <w:r w:rsidRPr="004F47D5">
        <w:rPr>
          <w:rFonts w:ascii="Times New Roman" w:hAnsi="Times New Roman" w:cs="Times New Roman"/>
          <w:sz w:val="24"/>
          <w:szCs w:val="24"/>
          <w:lang w:val="en-US"/>
        </w:rPr>
        <w:t xml:space="preserve">which is calculated as the natural logarithm of total deposits. </w:t>
      </w:r>
      <w:r w:rsidR="00064C53">
        <w:rPr>
          <w:rFonts w:ascii="Times New Roman" w:hAnsi="Times New Roman" w:cs="Times New Roman"/>
          <w:sz w:val="24"/>
          <w:szCs w:val="24"/>
          <w:lang w:val="en-US"/>
        </w:rPr>
        <w:t xml:space="preserve">Since higher level of deposits is associated with banks performing riskier activities, we expect the sign to be positive. </w:t>
      </w:r>
      <w:r w:rsidR="00E4615E">
        <w:rPr>
          <w:rFonts w:ascii="Times New Roman" w:hAnsi="Times New Roman" w:cs="Times New Roman"/>
          <w:sz w:val="24"/>
          <w:szCs w:val="24"/>
          <w:lang w:val="en-US"/>
        </w:rPr>
        <w:t xml:space="preserve">The </w:t>
      </w:r>
      <w:r w:rsidR="00595F54" w:rsidRPr="00595F54">
        <w:rPr>
          <w:rFonts w:ascii="Times New Roman" w:hAnsi="Times New Roman" w:cs="Times New Roman"/>
          <w:sz w:val="24"/>
          <w:szCs w:val="24"/>
          <w:lang w:val="en-US"/>
        </w:rPr>
        <w:t>description of variables used in the analysis</w:t>
      </w:r>
      <w:r w:rsidR="00595F54">
        <w:rPr>
          <w:rFonts w:ascii="Times New Roman" w:hAnsi="Times New Roman" w:cs="Times New Roman"/>
          <w:sz w:val="24"/>
          <w:szCs w:val="24"/>
          <w:lang w:val="en-US"/>
        </w:rPr>
        <w:t xml:space="preserve"> presented in the Appendix 2.</w:t>
      </w:r>
    </w:p>
    <w:p w:rsidR="004F47D5" w:rsidRDefault="004F47D5" w:rsidP="00DF26A7">
      <w:pPr>
        <w:pStyle w:val="2"/>
        <w:rPr>
          <w:lang w:val="en-US"/>
        </w:rPr>
      </w:pPr>
      <w:bookmarkStart w:id="15" w:name="_Toc451925553"/>
      <w:r>
        <w:rPr>
          <w:lang w:val="en-US"/>
        </w:rPr>
        <w:t xml:space="preserve">3.3. </w:t>
      </w:r>
      <w:r w:rsidRPr="000C6687">
        <w:rPr>
          <w:lang w:val="en-US"/>
        </w:rPr>
        <w:t>Sample selection and descriptive statistics</w:t>
      </w:r>
      <w:bookmarkEnd w:id="15"/>
    </w:p>
    <w:p w:rsidR="00397A84" w:rsidRPr="00397A84" w:rsidRDefault="00396053" w:rsidP="00396053">
      <w:pPr>
        <w:pStyle w:val="3"/>
        <w:rPr>
          <w:lang w:val="en-US"/>
        </w:rPr>
      </w:pPr>
      <w:bookmarkStart w:id="16" w:name="_Toc451925554"/>
      <w:r>
        <w:rPr>
          <w:lang w:val="en-US"/>
        </w:rPr>
        <w:t xml:space="preserve">3.3.1. </w:t>
      </w:r>
      <w:r w:rsidR="00397A84" w:rsidRPr="00397A84">
        <w:rPr>
          <w:lang w:val="en-US"/>
        </w:rPr>
        <w:t>Sample selection</w:t>
      </w:r>
      <w:bookmarkEnd w:id="16"/>
    </w:p>
    <w:p w:rsidR="00397A84" w:rsidRPr="006A2EDF" w:rsidRDefault="004F47D5" w:rsidP="00397A84">
      <w:pPr>
        <w:spacing w:line="360" w:lineRule="auto"/>
        <w:ind w:firstLine="708"/>
        <w:jc w:val="both"/>
        <w:rPr>
          <w:lang w:val="en-US"/>
        </w:rPr>
      </w:pPr>
      <w:r w:rsidRPr="00DF26A7">
        <w:rPr>
          <w:rFonts w:ascii="Times New Roman" w:hAnsi="Times New Roman" w:cs="Times New Roman"/>
          <w:sz w:val="24"/>
          <w:szCs w:val="24"/>
          <w:lang w:val="en-US"/>
        </w:rPr>
        <w:t>The sample comprises t</w:t>
      </w:r>
      <w:r w:rsidR="000F4EA6">
        <w:rPr>
          <w:rFonts w:ascii="Times New Roman" w:hAnsi="Times New Roman" w:cs="Times New Roman"/>
          <w:sz w:val="24"/>
          <w:szCs w:val="24"/>
          <w:lang w:val="en-US"/>
        </w:rPr>
        <w:t xml:space="preserve">he 66 largest publicly traded United </w:t>
      </w:r>
      <w:r w:rsidRPr="00DF26A7">
        <w:rPr>
          <w:rFonts w:ascii="Times New Roman" w:hAnsi="Times New Roman" w:cs="Times New Roman"/>
          <w:sz w:val="24"/>
          <w:szCs w:val="24"/>
          <w:lang w:val="en-US"/>
        </w:rPr>
        <w:t>S</w:t>
      </w:r>
      <w:r w:rsidR="000F4EA6">
        <w:rPr>
          <w:rFonts w:ascii="Times New Roman" w:hAnsi="Times New Roman" w:cs="Times New Roman"/>
          <w:sz w:val="24"/>
          <w:szCs w:val="24"/>
          <w:lang w:val="en-US"/>
        </w:rPr>
        <w:t>tates</w:t>
      </w:r>
      <w:r w:rsidRPr="00DF26A7">
        <w:rPr>
          <w:rFonts w:ascii="Times New Roman" w:hAnsi="Times New Roman" w:cs="Times New Roman"/>
          <w:sz w:val="24"/>
          <w:szCs w:val="24"/>
          <w:lang w:val="en-US"/>
        </w:rPr>
        <w:t xml:space="preserve"> bank holding companies ranked by asset value at the end </w:t>
      </w:r>
      <w:r w:rsidR="00396053">
        <w:rPr>
          <w:rFonts w:ascii="Times New Roman" w:hAnsi="Times New Roman" w:cs="Times New Roman"/>
          <w:sz w:val="24"/>
          <w:szCs w:val="24"/>
          <w:lang w:val="en-US"/>
        </w:rPr>
        <w:t>of 2010 for the period 2010-2013</w:t>
      </w:r>
      <w:r w:rsidRPr="00DF26A7">
        <w:rPr>
          <w:rFonts w:ascii="Times New Roman" w:hAnsi="Times New Roman" w:cs="Times New Roman"/>
          <w:sz w:val="24"/>
          <w:szCs w:val="24"/>
          <w:lang w:val="en-US"/>
        </w:rPr>
        <w:t>.</w:t>
      </w:r>
      <w:r w:rsidR="00E21003">
        <w:rPr>
          <w:rFonts w:ascii="Times New Roman" w:hAnsi="Times New Roman" w:cs="Times New Roman"/>
          <w:sz w:val="24"/>
          <w:szCs w:val="24"/>
          <w:lang w:val="en-US"/>
        </w:rPr>
        <w:t xml:space="preserve"> </w:t>
      </w:r>
      <w:r w:rsidR="00E21003" w:rsidRPr="00DF26A7">
        <w:rPr>
          <w:rFonts w:ascii="Times New Roman" w:hAnsi="Times New Roman" w:cs="Times New Roman"/>
          <w:sz w:val="24"/>
          <w:szCs w:val="24"/>
          <w:lang w:val="en-US"/>
        </w:rPr>
        <w:t xml:space="preserve">The list of BHCs are </w:t>
      </w:r>
      <w:r w:rsidR="00E21003">
        <w:rPr>
          <w:rFonts w:ascii="Times New Roman" w:hAnsi="Times New Roman" w:cs="Times New Roman"/>
          <w:sz w:val="24"/>
          <w:szCs w:val="24"/>
          <w:lang w:val="en-US"/>
        </w:rPr>
        <w:t>provided in the Appendix 1.</w:t>
      </w:r>
      <w:r w:rsidRPr="00DF26A7">
        <w:rPr>
          <w:rFonts w:ascii="Times New Roman" w:hAnsi="Times New Roman" w:cs="Times New Roman"/>
          <w:sz w:val="24"/>
          <w:szCs w:val="24"/>
          <w:lang w:val="en-US"/>
        </w:rPr>
        <w:t xml:space="preserve"> The focus of this study on bank holding companies is due to several reasons. </w:t>
      </w:r>
      <w:r w:rsidR="00397A84">
        <w:rPr>
          <w:rFonts w:ascii="Times New Roman" w:hAnsi="Times New Roman" w:cs="Times New Roman"/>
          <w:sz w:val="24"/>
          <w:szCs w:val="24"/>
          <w:lang w:val="en-US"/>
        </w:rPr>
        <w:t xml:space="preserve">First, </w:t>
      </w:r>
      <w:r w:rsidR="00397A84" w:rsidRPr="00DF26A7">
        <w:rPr>
          <w:rFonts w:ascii="Times New Roman" w:hAnsi="Times New Roman" w:cs="Times New Roman"/>
          <w:sz w:val="24"/>
          <w:szCs w:val="24"/>
          <w:lang w:val="en-US"/>
        </w:rPr>
        <w:t>they provide</w:t>
      </w:r>
      <w:r w:rsidR="00397A84">
        <w:rPr>
          <w:rFonts w:ascii="Times New Roman" w:hAnsi="Times New Roman" w:cs="Times New Roman"/>
          <w:sz w:val="24"/>
          <w:szCs w:val="24"/>
          <w:lang w:val="en-US"/>
        </w:rPr>
        <w:t xml:space="preserve"> 10-K statements, annual reports to</w:t>
      </w:r>
      <w:r w:rsidR="00397A84" w:rsidRPr="00DF26A7">
        <w:rPr>
          <w:rFonts w:ascii="Times New Roman" w:hAnsi="Times New Roman" w:cs="Times New Roman"/>
          <w:sz w:val="24"/>
          <w:szCs w:val="24"/>
          <w:lang w:val="en-US"/>
        </w:rPr>
        <w:t xml:space="preserve"> the Secu</w:t>
      </w:r>
      <w:r w:rsidR="007F07D5">
        <w:rPr>
          <w:rFonts w:ascii="Times New Roman" w:hAnsi="Times New Roman" w:cs="Times New Roman"/>
          <w:sz w:val="24"/>
          <w:szCs w:val="24"/>
          <w:lang w:val="en-US"/>
        </w:rPr>
        <w:t>rities and Exchange Commission</w:t>
      </w:r>
      <w:r w:rsidR="00397A84">
        <w:rPr>
          <w:rFonts w:ascii="Times New Roman" w:hAnsi="Times New Roman" w:cs="Times New Roman"/>
          <w:sz w:val="24"/>
          <w:szCs w:val="24"/>
          <w:lang w:val="en-US"/>
        </w:rPr>
        <w:t>. All these</w:t>
      </w:r>
      <w:r w:rsidR="00397A84" w:rsidRPr="006A2EDF">
        <w:rPr>
          <w:rFonts w:ascii="Times New Roman" w:hAnsi="Times New Roman" w:cs="Times New Roman"/>
          <w:sz w:val="24"/>
          <w:szCs w:val="24"/>
          <w:lang w:val="en-US"/>
        </w:rPr>
        <w:t xml:space="preserve"> </w:t>
      </w:r>
      <w:r w:rsidR="00397A84" w:rsidRPr="00DF26A7">
        <w:rPr>
          <w:rFonts w:ascii="Times New Roman" w:hAnsi="Times New Roman" w:cs="Times New Roman"/>
          <w:sz w:val="24"/>
          <w:szCs w:val="24"/>
          <w:lang w:val="en-US"/>
        </w:rPr>
        <w:t>periodic reports</w:t>
      </w:r>
      <w:r w:rsidR="00397A84">
        <w:rPr>
          <w:rFonts w:ascii="Times New Roman" w:hAnsi="Times New Roman" w:cs="Times New Roman"/>
          <w:sz w:val="24"/>
          <w:szCs w:val="24"/>
          <w:lang w:val="en-US"/>
        </w:rPr>
        <w:t xml:space="preserve"> are freely available through SEC-Edgar system. After that, </w:t>
      </w:r>
      <w:r w:rsidR="00397A84" w:rsidRPr="00DF26A7">
        <w:rPr>
          <w:rFonts w:ascii="Times New Roman" w:hAnsi="Times New Roman" w:cs="Times New Roman"/>
          <w:sz w:val="24"/>
          <w:szCs w:val="24"/>
          <w:lang w:val="en-US"/>
        </w:rPr>
        <w:t>U</w:t>
      </w:r>
      <w:r w:rsidR="00397A84">
        <w:rPr>
          <w:rFonts w:ascii="Times New Roman" w:hAnsi="Times New Roman" w:cs="Times New Roman"/>
          <w:sz w:val="24"/>
          <w:szCs w:val="24"/>
          <w:lang w:val="en-US"/>
        </w:rPr>
        <w:t>.S. bank holding companies are supervised</w:t>
      </w:r>
      <w:r w:rsidR="00397A84" w:rsidRPr="00DF26A7">
        <w:rPr>
          <w:rFonts w:ascii="Times New Roman" w:hAnsi="Times New Roman" w:cs="Times New Roman"/>
          <w:sz w:val="24"/>
          <w:szCs w:val="24"/>
          <w:lang w:val="en-US"/>
        </w:rPr>
        <w:t xml:space="preserve"> by the Federal Reserve and the FDIC</w:t>
      </w:r>
      <w:r w:rsidR="00397A84">
        <w:rPr>
          <w:rFonts w:ascii="Times New Roman" w:hAnsi="Times New Roman" w:cs="Times New Roman"/>
          <w:sz w:val="24"/>
          <w:szCs w:val="24"/>
          <w:lang w:val="en-US"/>
        </w:rPr>
        <w:t xml:space="preserve">. As a result, all BHCs have the same requirements for </w:t>
      </w:r>
      <w:r w:rsidR="00397A84" w:rsidRPr="00DF26A7">
        <w:rPr>
          <w:rFonts w:ascii="Times New Roman" w:hAnsi="Times New Roman" w:cs="Times New Roman"/>
          <w:sz w:val="24"/>
          <w:szCs w:val="24"/>
          <w:lang w:val="en-US"/>
        </w:rPr>
        <w:t>compulsory disclosures, which is important to identify voluntary disclosures.</w:t>
      </w:r>
      <w:r w:rsidR="00397A84">
        <w:rPr>
          <w:rFonts w:ascii="Times New Roman" w:hAnsi="Times New Roman" w:cs="Times New Roman"/>
          <w:sz w:val="24"/>
          <w:szCs w:val="24"/>
          <w:lang w:val="en-US"/>
        </w:rPr>
        <w:t xml:space="preserve"> Finally, a typical bank holding company has a complex structure. Usually a</w:t>
      </w:r>
      <w:r w:rsidR="00397A84" w:rsidRPr="00DF26A7">
        <w:rPr>
          <w:rFonts w:ascii="Times New Roman" w:hAnsi="Times New Roman" w:cs="Times New Roman"/>
          <w:sz w:val="24"/>
          <w:szCs w:val="24"/>
          <w:lang w:val="en-US"/>
        </w:rPr>
        <w:t xml:space="preserve"> BHC</w:t>
      </w:r>
      <w:r w:rsidR="00397A84">
        <w:rPr>
          <w:rFonts w:ascii="Times New Roman" w:hAnsi="Times New Roman" w:cs="Times New Roman"/>
          <w:sz w:val="24"/>
          <w:szCs w:val="24"/>
          <w:lang w:val="en-US"/>
        </w:rPr>
        <w:t xml:space="preserve"> performs a wide range of financial activities and consist of several </w:t>
      </w:r>
      <w:r w:rsidR="00397A84" w:rsidRPr="00DF26A7">
        <w:rPr>
          <w:rFonts w:ascii="Times New Roman" w:hAnsi="Times New Roman" w:cs="Times New Roman"/>
          <w:sz w:val="24"/>
          <w:szCs w:val="24"/>
          <w:lang w:val="en-US"/>
        </w:rPr>
        <w:t>independent subsidiaries</w:t>
      </w:r>
      <w:r w:rsidR="00397A84">
        <w:rPr>
          <w:rFonts w:ascii="Times New Roman" w:hAnsi="Times New Roman" w:cs="Times New Roman"/>
          <w:sz w:val="24"/>
          <w:szCs w:val="24"/>
          <w:lang w:val="en-US"/>
        </w:rPr>
        <w:t>. This in turn increase the usefulness of BHCs’ periodic reports for investors because disclosure enables correctly identify and assess risks.</w:t>
      </w:r>
    </w:p>
    <w:p w:rsidR="004F47D5" w:rsidRPr="00DF26A7" w:rsidRDefault="004F47D5" w:rsidP="00B92360">
      <w:pPr>
        <w:spacing w:line="360" w:lineRule="auto"/>
        <w:ind w:firstLine="708"/>
        <w:jc w:val="both"/>
        <w:rPr>
          <w:rFonts w:ascii="Times New Roman" w:hAnsi="Times New Roman" w:cs="Times New Roman"/>
          <w:sz w:val="24"/>
          <w:szCs w:val="24"/>
          <w:lang w:val="en-US"/>
        </w:rPr>
      </w:pPr>
      <w:r w:rsidRPr="00DF26A7">
        <w:rPr>
          <w:rFonts w:ascii="Times New Roman" w:hAnsi="Times New Roman" w:cs="Times New Roman"/>
          <w:sz w:val="24"/>
          <w:szCs w:val="24"/>
          <w:lang w:val="en-US"/>
        </w:rPr>
        <w:t xml:space="preserve">Multiple sources </w:t>
      </w:r>
      <w:r w:rsidR="00397A84">
        <w:rPr>
          <w:rFonts w:ascii="Times New Roman" w:hAnsi="Times New Roman" w:cs="Times New Roman"/>
          <w:sz w:val="24"/>
          <w:szCs w:val="24"/>
          <w:lang w:val="en-US"/>
        </w:rPr>
        <w:t xml:space="preserve">of information </w:t>
      </w:r>
      <w:r w:rsidRPr="00DF26A7">
        <w:rPr>
          <w:rFonts w:ascii="Times New Roman" w:hAnsi="Times New Roman" w:cs="Times New Roman"/>
          <w:sz w:val="24"/>
          <w:szCs w:val="24"/>
          <w:lang w:val="en-US"/>
        </w:rPr>
        <w:t xml:space="preserve">were </w:t>
      </w:r>
      <w:r w:rsidR="00397A84">
        <w:rPr>
          <w:rFonts w:ascii="Times New Roman" w:hAnsi="Times New Roman" w:cs="Times New Roman"/>
          <w:sz w:val="24"/>
          <w:szCs w:val="24"/>
          <w:lang w:val="en-US"/>
        </w:rPr>
        <w:t>employed</w:t>
      </w:r>
      <w:r w:rsidRPr="00DF26A7">
        <w:rPr>
          <w:rFonts w:ascii="Times New Roman" w:hAnsi="Times New Roman" w:cs="Times New Roman"/>
          <w:sz w:val="24"/>
          <w:szCs w:val="24"/>
          <w:lang w:val="en-US"/>
        </w:rPr>
        <w:t xml:space="preserve"> to </w:t>
      </w:r>
      <w:r w:rsidR="00397A84">
        <w:rPr>
          <w:rFonts w:ascii="Times New Roman" w:hAnsi="Times New Roman" w:cs="Times New Roman"/>
          <w:sz w:val="24"/>
          <w:szCs w:val="24"/>
          <w:lang w:val="en-US"/>
        </w:rPr>
        <w:t>form the data set</w:t>
      </w:r>
      <w:r w:rsidRPr="00DF26A7">
        <w:rPr>
          <w:rFonts w:ascii="Times New Roman" w:hAnsi="Times New Roman" w:cs="Times New Roman"/>
          <w:sz w:val="24"/>
          <w:szCs w:val="24"/>
          <w:lang w:val="en-US"/>
        </w:rPr>
        <w:t>. The information related to the disclosure index was collected from the annual reports and 10-K statements of bank holding compani</w:t>
      </w:r>
      <w:r w:rsidR="00CD03B7">
        <w:rPr>
          <w:rFonts w:ascii="Times New Roman" w:hAnsi="Times New Roman" w:cs="Times New Roman"/>
          <w:sz w:val="24"/>
          <w:szCs w:val="24"/>
          <w:lang w:val="en-US"/>
        </w:rPr>
        <w:t>es. All reports were obtained from</w:t>
      </w:r>
      <w:r w:rsidRPr="00DF26A7">
        <w:rPr>
          <w:rFonts w:ascii="Times New Roman" w:hAnsi="Times New Roman" w:cs="Times New Roman"/>
          <w:sz w:val="24"/>
          <w:szCs w:val="24"/>
          <w:lang w:val="en-US"/>
        </w:rPr>
        <w:t xml:space="preserve"> SEC-Edgar system. </w:t>
      </w:r>
    </w:p>
    <w:p w:rsidR="004F47D5" w:rsidRPr="00DF26A7" w:rsidRDefault="004F47D5" w:rsidP="00E21003">
      <w:pPr>
        <w:spacing w:line="360" w:lineRule="auto"/>
        <w:ind w:firstLine="708"/>
        <w:jc w:val="both"/>
        <w:rPr>
          <w:rFonts w:ascii="Times New Roman" w:hAnsi="Times New Roman" w:cs="Times New Roman"/>
          <w:sz w:val="24"/>
          <w:szCs w:val="24"/>
          <w:lang w:val="en-US"/>
        </w:rPr>
      </w:pPr>
      <w:r w:rsidRPr="00DF26A7">
        <w:rPr>
          <w:rFonts w:ascii="Times New Roman" w:hAnsi="Times New Roman" w:cs="Times New Roman"/>
          <w:sz w:val="24"/>
          <w:szCs w:val="24"/>
          <w:lang w:val="en-US"/>
        </w:rPr>
        <w:lastRenderedPageBreak/>
        <w:t xml:space="preserve">In order to estimate the four risk measures such as </w:t>
      </w:r>
      <w:r w:rsidR="00E21003">
        <w:rPr>
          <w:rFonts w:ascii="Times New Roman" w:hAnsi="Times New Roman" w:cs="Times New Roman"/>
          <w:sz w:val="24"/>
          <w:szCs w:val="24"/>
          <w:lang w:val="en-US"/>
        </w:rPr>
        <w:t xml:space="preserve">the </w:t>
      </w:r>
      <w:r w:rsidRPr="00DF26A7">
        <w:rPr>
          <w:rFonts w:ascii="Times New Roman" w:hAnsi="Times New Roman" w:cs="Times New Roman"/>
          <w:sz w:val="24"/>
          <w:szCs w:val="24"/>
          <w:lang w:val="en-US"/>
        </w:rPr>
        <w:t>aggregated risk,</w:t>
      </w:r>
      <w:r w:rsidR="00E21003">
        <w:rPr>
          <w:rFonts w:ascii="Times New Roman" w:hAnsi="Times New Roman" w:cs="Times New Roman"/>
          <w:sz w:val="24"/>
          <w:szCs w:val="24"/>
          <w:lang w:val="en-US"/>
        </w:rPr>
        <w:t xml:space="preserve"> the</w:t>
      </w:r>
      <w:r w:rsidRPr="00DF26A7">
        <w:rPr>
          <w:rFonts w:ascii="Times New Roman" w:hAnsi="Times New Roman" w:cs="Times New Roman"/>
          <w:sz w:val="24"/>
          <w:szCs w:val="24"/>
          <w:lang w:val="en-US"/>
        </w:rPr>
        <w:t xml:space="preserve"> systemic risk, </w:t>
      </w:r>
      <w:r w:rsidR="00E21003">
        <w:rPr>
          <w:rFonts w:ascii="Times New Roman" w:hAnsi="Times New Roman" w:cs="Times New Roman"/>
          <w:sz w:val="24"/>
          <w:szCs w:val="24"/>
          <w:lang w:val="en-US"/>
        </w:rPr>
        <w:t xml:space="preserve">the </w:t>
      </w:r>
      <w:r w:rsidRPr="00DF26A7">
        <w:rPr>
          <w:rFonts w:ascii="Times New Roman" w:hAnsi="Times New Roman" w:cs="Times New Roman"/>
          <w:sz w:val="24"/>
          <w:szCs w:val="24"/>
          <w:lang w:val="en-US"/>
        </w:rPr>
        <w:t>idiosyncratic risk and</w:t>
      </w:r>
      <w:r w:rsidR="00E21003">
        <w:rPr>
          <w:rFonts w:ascii="Times New Roman" w:hAnsi="Times New Roman" w:cs="Times New Roman"/>
          <w:sz w:val="24"/>
          <w:szCs w:val="24"/>
          <w:lang w:val="en-US"/>
        </w:rPr>
        <w:t xml:space="preserve"> the</w:t>
      </w:r>
      <w:r w:rsidRPr="00DF26A7">
        <w:rPr>
          <w:rFonts w:ascii="Times New Roman" w:hAnsi="Times New Roman" w:cs="Times New Roman"/>
          <w:sz w:val="24"/>
          <w:szCs w:val="24"/>
          <w:lang w:val="en-US"/>
        </w:rPr>
        <w:t xml:space="preserve"> downside risk for a BHC for a given date, I used the stock prices from NASDAQ and NYSE stock markets official web sites. </w:t>
      </w:r>
    </w:p>
    <w:p w:rsidR="004F47D5" w:rsidRDefault="004F47D5" w:rsidP="00E21003">
      <w:pPr>
        <w:spacing w:line="360" w:lineRule="auto"/>
        <w:ind w:firstLine="708"/>
        <w:jc w:val="both"/>
        <w:rPr>
          <w:rFonts w:ascii="Times New Roman" w:hAnsi="Times New Roman" w:cs="Times New Roman"/>
          <w:sz w:val="24"/>
          <w:szCs w:val="24"/>
          <w:lang w:val="en-US"/>
        </w:rPr>
      </w:pPr>
      <w:r w:rsidRPr="00DF26A7">
        <w:rPr>
          <w:rFonts w:ascii="Times New Roman" w:hAnsi="Times New Roman" w:cs="Times New Roman"/>
          <w:sz w:val="24"/>
          <w:szCs w:val="24"/>
          <w:lang w:val="en-US"/>
        </w:rPr>
        <w:t>I obtain</w:t>
      </w:r>
      <w:r w:rsidR="00CD03B7">
        <w:rPr>
          <w:rFonts w:ascii="Times New Roman" w:hAnsi="Times New Roman" w:cs="Times New Roman"/>
          <w:sz w:val="24"/>
          <w:szCs w:val="24"/>
          <w:lang w:val="en-US"/>
        </w:rPr>
        <w:t>ed</w:t>
      </w:r>
      <w:r w:rsidRPr="00DF26A7">
        <w:rPr>
          <w:rFonts w:ascii="Times New Roman" w:hAnsi="Times New Roman" w:cs="Times New Roman"/>
          <w:sz w:val="24"/>
          <w:szCs w:val="24"/>
          <w:lang w:val="en-US"/>
        </w:rPr>
        <w:t xml:space="preserve"> data on market capitalization, bid and ask prices of the equity, equity capital, total liabilities, total assets, total deposits, non-performing loans and return on equity for each BHC from Thomson Reuters Datastream. The risk free rates were obtained from U.S. Department of the treasury official web site.</w:t>
      </w:r>
    </w:p>
    <w:p w:rsidR="00397A84" w:rsidRPr="00397A84" w:rsidRDefault="00396053" w:rsidP="00396053">
      <w:pPr>
        <w:pStyle w:val="3"/>
        <w:rPr>
          <w:lang w:val="en-US"/>
        </w:rPr>
      </w:pPr>
      <w:bookmarkStart w:id="17" w:name="_Toc451925555"/>
      <w:r>
        <w:rPr>
          <w:lang w:val="en-US"/>
        </w:rPr>
        <w:t xml:space="preserve">3.3.2. </w:t>
      </w:r>
      <w:r w:rsidR="00397A84" w:rsidRPr="00397A84">
        <w:rPr>
          <w:lang w:val="en-US"/>
        </w:rPr>
        <w:t>Descriptive statistics</w:t>
      </w:r>
      <w:bookmarkEnd w:id="17"/>
    </w:p>
    <w:p w:rsidR="004F47D5" w:rsidRPr="00DF26A7" w:rsidRDefault="004F47D5" w:rsidP="00E21003">
      <w:pPr>
        <w:spacing w:line="360" w:lineRule="auto"/>
        <w:ind w:firstLine="708"/>
        <w:jc w:val="both"/>
        <w:rPr>
          <w:rFonts w:ascii="Times New Roman" w:hAnsi="Times New Roman" w:cs="Times New Roman"/>
          <w:sz w:val="24"/>
          <w:szCs w:val="24"/>
          <w:lang w:val="en-US"/>
        </w:rPr>
      </w:pPr>
      <w:r w:rsidRPr="00DF26A7">
        <w:rPr>
          <w:rFonts w:ascii="Times New Roman" w:hAnsi="Times New Roman" w:cs="Times New Roman"/>
          <w:sz w:val="24"/>
          <w:szCs w:val="24"/>
          <w:lang w:val="en-US"/>
        </w:rPr>
        <w:t>Let us start with the analysis of results of the descriptive statistics for dependent variables presented in the table 3.1.</w:t>
      </w:r>
    </w:p>
    <w:tbl>
      <w:tblPr>
        <w:tblStyle w:val="ab"/>
        <w:tblpPr w:leftFromText="180" w:rightFromText="180" w:vertAnchor="text" w:horzAnchor="margin" w:tblpY="37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728"/>
        <w:gridCol w:w="1729"/>
        <w:gridCol w:w="1728"/>
        <w:gridCol w:w="1729"/>
      </w:tblGrid>
      <w:tr w:rsidR="004F47D5" w:rsidRPr="00DF26A7" w:rsidTr="00CD03B7">
        <w:trPr>
          <w:cantSplit/>
          <w:trHeight w:val="581"/>
        </w:trPr>
        <w:tc>
          <w:tcPr>
            <w:tcW w:w="1728" w:type="dxa"/>
            <w:tcBorders>
              <w:bottom w:val="single" w:sz="4" w:space="0" w:color="auto"/>
            </w:tcBorders>
            <w:shd w:val="clear" w:color="auto" w:fill="auto"/>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Variable</w:t>
            </w:r>
          </w:p>
        </w:tc>
        <w:tc>
          <w:tcPr>
            <w:tcW w:w="1728" w:type="dxa"/>
            <w:tcBorders>
              <w:bottom w:val="single" w:sz="4" w:space="0" w:color="auto"/>
            </w:tcBorders>
            <w:shd w:val="clear" w:color="auto" w:fill="auto"/>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Mean</w:t>
            </w:r>
          </w:p>
        </w:tc>
        <w:tc>
          <w:tcPr>
            <w:tcW w:w="1729" w:type="dxa"/>
            <w:tcBorders>
              <w:bottom w:val="single" w:sz="4" w:space="0" w:color="auto"/>
            </w:tcBorders>
            <w:shd w:val="clear" w:color="auto" w:fill="auto"/>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Std. Dev.</w:t>
            </w:r>
          </w:p>
        </w:tc>
        <w:tc>
          <w:tcPr>
            <w:tcW w:w="1728" w:type="dxa"/>
            <w:tcBorders>
              <w:bottom w:val="single" w:sz="4" w:space="0" w:color="auto"/>
            </w:tcBorders>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Min</w:t>
            </w:r>
          </w:p>
        </w:tc>
        <w:tc>
          <w:tcPr>
            <w:tcW w:w="1729" w:type="dxa"/>
            <w:tcBorders>
              <w:bottom w:val="single" w:sz="4" w:space="0" w:color="auto"/>
            </w:tcBorders>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Max</w:t>
            </w:r>
          </w:p>
        </w:tc>
      </w:tr>
      <w:tr w:rsidR="004F47D5" w:rsidRPr="00DF26A7" w:rsidTr="00CD03B7">
        <w:trPr>
          <w:cantSplit/>
          <w:trHeight w:val="394"/>
        </w:trPr>
        <w:tc>
          <w:tcPr>
            <w:tcW w:w="8642" w:type="dxa"/>
            <w:gridSpan w:val="5"/>
            <w:tcBorders>
              <w:top w:val="single" w:sz="4" w:space="0" w:color="auto"/>
              <w:bottom w:val="single" w:sz="4" w:space="0" w:color="auto"/>
            </w:tcBorders>
            <w:vAlign w:val="center"/>
          </w:tcPr>
          <w:p w:rsidR="004F47D5" w:rsidRPr="00E21003" w:rsidRDefault="004F47D5" w:rsidP="00DF26A7">
            <w:pPr>
              <w:spacing w:line="360" w:lineRule="auto"/>
              <w:rPr>
                <w:rFonts w:ascii="Times New Roman" w:hAnsi="Times New Roman" w:cs="Times New Roman"/>
                <w:b/>
                <w:sz w:val="24"/>
                <w:szCs w:val="24"/>
                <w:lang w:val="en-US"/>
              </w:rPr>
            </w:pPr>
            <w:r w:rsidRPr="00E21003">
              <w:rPr>
                <w:rFonts w:ascii="Times New Roman" w:hAnsi="Times New Roman" w:cs="Times New Roman"/>
                <w:b/>
                <w:sz w:val="24"/>
                <w:szCs w:val="24"/>
                <w:lang w:val="en-US"/>
              </w:rPr>
              <w:t>Dependent variables</w:t>
            </w:r>
          </w:p>
        </w:tc>
      </w:tr>
      <w:tr w:rsidR="004F47D5" w:rsidRPr="00DF26A7" w:rsidTr="00CD03B7">
        <w:trPr>
          <w:cantSplit/>
          <w:trHeight w:val="360"/>
        </w:trPr>
        <w:tc>
          <w:tcPr>
            <w:tcW w:w="1728" w:type="dxa"/>
            <w:tcBorders>
              <w:top w:val="single" w:sz="4" w:space="0" w:color="auto"/>
            </w:tcBorders>
          </w:tcPr>
          <w:p w:rsidR="004F47D5" w:rsidRPr="0078601F" w:rsidRDefault="00AE0B9C" w:rsidP="00DF26A7">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yaggrisk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728"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0,28</w:t>
            </w:r>
          </w:p>
        </w:tc>
        <w:tc>
          <w:tcPr>
            <w:tcW w:w="1729"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0,12</w:t>
            </w:r>
          </w:p>
        </w:tc>
        <w:tc>
          <w:tcPr>
            <w:tcW w:w="1728"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0,11</w:t>
            </w:r>
          </w:p>
        </w:tc>
        <w:tc>
          <w:tcPr>
            <w:tcW w:w="1729"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0,73</w:t>
            </w:r>
          </w:p>
        </w:tc>
      </w:tr>
      <w:tr w:rsidR="004F47D5" w:rsidRPr="00DF26A7" w:rsidTr="00CD03B7">
        <w:trPr>
          <w:cantSplit/>
          <w:trHeight w:val="424"/>
        </w:trPr>
        <w:tc>
          <w:tcPr>
            <w:tcW w:w="1728" w:type="dxa"/>
          </w:tcPr>
          <w:p w:rsidR="004F47D5" w:rsidRPr="0078601F" w:rsidRDefault="00AE0B9C" w:rsidP="00DF26A7">
            <w:pPr>
              <w:spacing w:line="360" w:lineRule="auto"/>
              <w:rPr>
                <w:rFonts w:ascii="Times New Roman" w:hAnsi="Times New Roman" w:cs="Times New Roman"/>
                <w:i/>
                <w:sz w:val="24"/>
                <w:szCs w:val="24"/>
                <w:vertAlign w:val="subscript"/>
                <w:lang w:val="en-US"/>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sysrisk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728"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1,10</w:t>
            </w:r>
          </w:p>
        </w:tc>
        <w:tc>
          <w:tcPr>
            <w:tcW w:w="172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0,33</w:t>
            </w:r>
          </w:p>
        </w:tc>
        <w:tc>
          <w:tcPr>
            <w:tcW w:w="1728"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0,04</w:t>
            </w:r>
          </w:p>
        </w:tc>
        <w:tc>
          <w:tcPr>
            <w:tcW w:w="172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2,23</w:t>
            </w:r>
          </w:p>
        </w:tc>
      </w:tr>
      <w:tr w:rsidR="004F47D5" w:rsidRPr="00DF26A7" w:rsidTr="00CD03B7">
        <w:trPr>
          <w:cantSplit/>
          <w:trHeight w:val="416"/>
        </w:trPr>
        <w:tc>
          <w:tcPr>
            <w:tcW w:w="1728" w:type="dxa"/>
          </w:tcPr>
          <w:p w:rsidR="004F47D5" w:rsidRPr="0078601F" w:rsidRDefault="00AE0B9C" w:rsidP="00DF26A7">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yidiorisk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728"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0,21</w:t>
            </w:r>
          </w:p>
        </w:tc>
        <w:tc>
          <w:tcPr>
            <w:tcW w:w="172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0,09</w:t>
            </w:r>
          </w:p>
        </w:tc>
        <w:tc>
          <w:tcPr>
            <w:tcW w:w="1728"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0,10</w:t>
            </w:r>
          </w:p>
        </w:tc>
        <w:tc>
          <w:tcPr>
            <w:tcW w:w="172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0,72</w:t>
            </w:r>
          </w:p>
        </w:tc>
      </w:tr>
      <w:tr w:rsidR="004F47D5" w:rsidRPr="00DF26A7" w:rsidTr="00CD03B7">
        <w:trPr>
          <w:cantSplit/>
          <w:trHeight w:val="421"/>
        </w:trPr>
        <w:tc>
          <w:tcPr>
            <w:tcW w:w="1728" w:type="dxa"/>
          </w:tcPr>
          <w:p w:rsidR="004F47D5" w:rsidRPr="0078601F" w:rsidRDefault="00AE0B9C" w:rsidP="00DF26A7">
            <w:pPr>
              <w:spacing w:line="360" w:lineRule="auto"/>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ydownrisk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728"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0,15</w:t>
            </w:r>
          </w:p>
        </w:tc>
        <w:tc>
          <w:tcPr>
            <w:tcW w:w="172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0,07</w:t>
            </w:r>
          </w:p>
        </w:tc>
        <w:tc>
          <w:tcPr>
            <w:tcW w:w="1728"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0,03</w:t>
            </w:r>
          </w:p>
        </w:tc>
        <w:tc>
          <w:tcPr>
            <w:tcW w:w="172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0,56</w:t>
            </w:r>
          </w:p>
        </w:tc>
      </w:tr>
    </w:tbl>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b/>
          <w:sz w:val="24"/>
          <w:szCs w:val="24"/>
          <w:lang w:val="en-US"/>
        </w:rPr>
        <w:t>Table 3.1</w:t>
      </w:r>
      <w:r w:rsidRPr="00DF26A7">
        <w:rPr>
          <w:rFonts w:ascii="Times New Roman" w:hAnsi="Times New Roman" w:cs="Times New Roman"/>
          <w:sz w:val="24"/>
          <w:szCs w:val="24"/>
          <w:lang w:val="en-US"/>
        </w:rPr>
        <w:t xml:space="preserve"> Descriptive statistics of dependent variables</w:t>
      </w:r>
    </w:p>
    <w:p w:rsidR="004F47D5" w:rsidRPr="00DF26A7" w:rsidRDefault="004F47D5" w:rsidP="00DF26A7">
      <w:pPr>
        <w:spacing w:line="360" w:lineRule="auto"/>
        <w:ind w:firstLine="708"/>
        <w:rPr>
          <w:rFonts w:ascii="Times New Roman" w:hAnsi="Times New Roman" w:cs="Times New Roman"/>
          <w:color w:val="000000"/>
          <w:sz w:val="24"/>
          <w:szCs w:val="24"/>
          <w:lang w:val="en-US"/>
        </w:rPr>
      </w:pPr>
    </w:p>
    <w:p w:rsidR="004F47D5" w:rsidRPr="00DF26A7" w:rsidRDefault="0078601F" w:rsidP="00E21003">
      <w:pPr>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annualized aggregated risk</w:t>
      </w:r>
      <w:r w:rsidR="004F47D5" w:rsidRPr="00DF26A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m:oMath>
        <m:sSub>
          <m:sSubPr>
            <m:ctrlPr>
              <w:rPr>
                <w:rFonts w:ascii="Cambria Math" w:hAnsi="Cambria Math" w:cs="Times New Roman"/>
                <w:i/>
                <w:sz w:val="24"/>
                <w:szCs w:val="24"/>
              </w:rPr>
            </m:ctrlPr>
          </m:sSubPr>
          <m:e>
            <m:r>
              <w:rPr>
                <w:rFonts w:ascii="Cambria Math" w:hAnsi="Cambria Math" w:cs="Times New Roman"/>
                <w:sz w:val="24"/>
                <w:szCs w:val="24"/>
                <w:lang w:val="en-US"/>
              </w:rPr>
              <m:t>yaggrisk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Pr>
          <w:rFonts w:ascii="Times New Roman" w:eastAsiaTheme="minorEastAsia" w:hAnsi="Times New Roman" w:cs="Times New Roman"/>
          <w:sz w:val="24"/>
          <w:szCs w:val="24"/>
          <w:lang w:val="en-US"/>
        </w:rPr>
        <w:t>)</w:t>
      </w:r>
      <w:r w:rsidR="004F47D5" w:rsidRPr="00DF26A7">
        <w:rPr>
          <w:rFonts w:ascii="Times New Roman" w:hAnsi="Times New Roman" w:cs="Times New Roman"/>
          <w:i/>
          <w:sz w:val="24"/>
          <w:szCs w:val="24"/>
          <w:vertAlign w:val="subscript"/>
          <w:lang w:val="en-US"/>
        </w:rPr>
        <w:t xml:space="preserve">, </w:t>
      </w:r>
      <w:r w:rsidR="004F47D5" w:rsidRPr="00DF26A7">
        <w:rPr>
          <w:rFonts w:ascii="Times New Roman" w:hAnsi="Times New Roman" w:cs="Times New Roman"/>
          <w:sz w:val="24"/>
          <w:szCs w:val="24"/>
          <w:lang w:val="en-US"/>
        </w:rPr>
        <w:t xml:space="preserve">is equal 28% on average which is </w:t>
      </w:r>
      <w:r w:rsidR="004F47D5" w:rsidRPr="00DF26A7">
        <w:rPr>
          <w:rFonts w:ascii="Times New Roman" w:hAnsi="Times New Roman" w:cs="Times New Roman"/>
          <w:color w:val="000000"/>
          <w:sz w:val="24"/>
          <w:szCs w:val="24"/>
          <w:lang w:val="en-US"/>
        </w:rPr>
        <w:t xml:space="preserve">slightly lower than that of the prior evidence – 30% and 36% for U.S. bank holding companies </w:t>
      </w:r>
      <w:r w:rsidR="004F47D5" w:rsidRPr="00DF26A7">
        <w:rPr>
          <w:rFonts w:ascii="Times New Roman" w:hAnsi="Times New Roman" w:cs="Times New Roman"/>
          <w:sz w:val="24"/>
          <w:szCs w:val="24"/>
          <w:lang w:val="en-US"/>
        </w:rPr>
        <w:t xml:space="preserve">(Demsetz, Saidenberg, and Strahan; 1997 and Nier and Baumann; 2006 respectively). The minimum </w:t>
      </w:r>
      <w:r w:rsidR="004F47D5" w:rsidRPr="00DF26A7">
        <w:rPr>
          <w:rFonts w:ascii="Times New Roman" w:hAnsi="Times New Roman" w:cs="Times New Roman"/>
          <w:color w:val="000000"/>
          <w:sz w:val="24"/>
          <w:szCs w:val="24"/>
          <w:lang w:val="en-US"/>
        </w:rPr>
        <w:t xml:space="preserve">aggregated risk value is 11% and increases up to 73%. The </w:t>
      </w:r>
      <w:r w:rsidR="00DE47A1">
        <w:rPr>
          <w:rFonts w:ascii="Times New Roman" w:hAnsi="Times New Roman" w:cs="Times New Roman"/>
          <w:color w:val="000000"/>
          <w:sz w:val="24"/>
          <w:szCs w:val="24"/>
          <w:lang w:val="en-US"/>
        </w:rPr>
        <w:t>systemic</w:t>
      </w:r>
      <w:r w:rsidR="004F47D5" w:rsidRPr="00DF26A7">
        <w:rPr>
          <w:rFonts w:ascii="Times New Roman" w:hAnsi="Times New Roman" w:cs="Times New Roman"/>
          <w:color w:val="000000"/>
          <w:sz w:val="24"/>
          <w:szCs w:val="24"/>
          <w:lang w:val="en-US"/>
        </w:rPr>
        <w:t xml:space="preserve"> risk</w:t>
      </w:r>
      <w:r>
        <w:rPr>
          <w:rFonts w:ascii="Times New Roman" w:hAnsi="Times New Roman" w:cs="Times New Roman"/>
          <w:color w:val="000000"/>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sysrisk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Pr>
          <w:rFonts w:ascii="Times New Roman" w:hAnsi="Times New Roman" w:cs="Times New Roman"/>
          <w:color w:val="000000"/>
          <w:sz w:val="24"/>
          <w:szCs w:val="24"/>
          <w:lang w:val="en-US"/>
        </w:rPr>
        <w:t>)</w:t>
      </w:r>
      <w:r w:rsidR="004F47D5" w:rsidRPr="00DF26A7">
        <w:rPr>
          <w:rFonts w:ascii="Times New Roman" w:hAnsi="Times New Roman" w:cs="Times New Roman"/>
          <w:color w:val="000000"/>
          <w:sz w:val="24"/>
          <w:szCs w:val="24"/>
          <w:lang w:val="en-US"/>
        </w:rPr>
        <w:t xml:space="preserve"> measured as a bank’s beta has an annual mean of 1.10. Its value ranges from 0.04 to 2.23 with standard deviation of 0.33. Results indicate that the average annualized idiosyncratic volatility</w:t>
      </w:r>
      <w:r>
        <w:rPr>
          <w:rFonts w:ascii="Times New Roman" w:hAnsi="Times New Roman" w:cs="Times New Roman"/>
          <w:color w:val="000000"/>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yidiorisk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Pr>
          <w:rFonts w:ascii="Times New Roman" w:hAnsi="Times New Roman" w:cs="Times New Roman"/>
          <w:color w:val="000000"/>
          <w:sz w:val="24"/>
          <w:szCs w:val="24"/>
          <w:lang w:val="en-US"/>
        </w:rPr>
        <w:t>)</w:t>
      </w:r>
      <w:r w:rsidR="004F47D5" w:rsidRPr="00DF26A7">
        <w:rPr>
          <w:rFonts w:ascii="Times New Roman" w:hAnsi="Times New Roman" w:cs="Times New Roman"/>
          <w:color w:val="000000"/>
          <w:sz w:val="24"/>
          <w:szCs w:val="24"/>
          <w:lang w:val="en-US"/>
        </w:rPr>
        <w:t xml:space="preserve"> is about 21% and ranges from 10% to 72%. Finally, the annualized downside risk</w:t>
      </w:r>
      <w:r>
        <w:rPr>
          <w:rFonts w:ascii="Times New Roman" w:hAnsi="Times New Roman" w:cs="Times New Roman"/>
          <w:color w:val="000000"/>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ydownrisk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Pr>
          <w:rFonts w:ascii="Times New Roman" w:hAnsi="Times New Roman" w:cs="Times New Roman"/>
          <w:color w:val="000000"/>
          <w:sz w:val="24"/>
          <w:szCs w:val="24"/>
          <w:lang w:val="en-US"/>
        </w:rPr>
        <w:t>)</w:t>
      </w:r>
      <w:r w:rsidR="004F47D5" w:rsidRPr="00DF26A7">
        <w:rPr>
          <w:rFonts w:ascii="Times New Roman" w:hAnsi="Times New Roman" w:cs="Times New Roman"/>
          <w:color w:val="000000"/>
          <w:sz w:val="24"/>
          <w:szCs w:val="24"/>
          <w:lang w:val="en-US"/>
        </w:rPr>
        <w:t xml:space="preserve"> has a mean of 15%. </w:t>
      </w:r>
      <w:r w:rsidR="004F47D5" w:rsidRPr="00DF26A7">
        <w:rPr>
          <w:rFonts w:ascii="Times New Roman" w:hAnsi="Times New Roman" w:cs="Times New Roman"/>
          <w:sz w:val="24"/>
          <w:szCs w:val="24"/>
          <w:lang w:val="en-US"/>
        </w:rPr>
        <w:t xml:space="preserve">The minimum </w:t>
      </w:r>
      <w:r w:rsidR="004F47D5" w:rsidRPr="00DF26A7">
        <w:rPr>
          <w:rFonts w:ascii="Times New Roman" w:hAnsi="Times New Roman" w:cs="Times New Roman"/>
          <w:color w:val="000000"/>
          <w:sz w:val="24"/>
          <w:szCs w:val="24"/>
          <w:lang w:val="en-US"/>
        </w:rPr>
        <w:t xml:space="preserve">downside risk value is 3% and increases up to 56%. For some cases, we can observe quite low level of the </w:t>
      </w:r>
      <w:r w:rsidR="00DE47A1">
        <w:rPr>
          <w:rFonts w:ascii="Times New Roman" w:hAnsi="Times New Roman" w:cs="Times New Roman"/>
          <w:color w:val="000000"/>
          <w:sz w:val="24"/>
          <w:szCs w:val="24"/>
          <w:lang w:val="en-US"/>
        </w:rPr>
        <w:t>systemic</w:t>
      </w:r>
      <w:r w:rsidR="004F47D5" w:rsidRPr="00DF26A7">
        <w:rPr>
          <w:rFonts w:ascii="Times New Roman" w:hAnsi="Times New Roman" w:cs="Times New Roman"/>
          <w:color w:val="000000"/>
          <w:sz w:val="24"/>
          <w:szCs w:val="24"/>
          <w:lang w:val="en-US"/>
        </w:rPr>
        <w:t xml:space="preserve"> risk </w:t>
      </w:r>
      <w:r w:rsidR="00E21003">
        <w:rPr>
          <w:rFonts w:ascii="Times New Roman" w:hAnsi="Times New Roman" w:cs="Times New Roman"/>
          <w:color w:val="000000"/>
          <w:sz w:val="24"/>
          <w:szCs w:val="24"/>
          <w:lang w:val="en-US"/>
        </w:rPr>
        <w:t xml:space="preserve">0.04 </w:t>
      </w:r>
      <w:r w:rsidR="004F47D5" w:rsidRPr="00DF26A7">
        <w:rPr>
          <w:rFonts w:ascii="Times New Roman" w:hAnsi="Times New Roman" w:cs="Times New Roman"/>
          <w:color w:val="000000"/>
          <w:sz w:val="24"/>
          <w:szCs w:val="24"/>
          <w:lang w:val="en-US"/>
        </w:rPr>
        <w:t>and the downside risk</w:t>
      </w:r>
      <w:r w:rsidR="00E21003">
        <w:rPr>
          <w:rFonts w:ascii="Times New Roman" w:hAnsi="Times New Roman" w:cs="Times New Roman"/>
          <w:color w:val="000000"/>
          <w:sz w:val="24"/>
          <w:szCs w:val="24"/>
          <w:lang w:val="en-US"/>
        </w:rPr>
        <w:t xml:space="preserve"> 3%,</w:t>
      </w:r>
      <w:r w:rsidR="004F47D5" w:rsidRPr="00DF26A7">
        <w:rPr>
          <w:rFonts w:ascii="Times New Roman" w:hAnsi="Times New Roman" w:cs="Times New Roman"/>
          <w:color w:val="000000"/>
          <w:sz w:val="24"/>
          <w:szCs w:val="24"/>
          <w:lang w:val="en-US"/>
        </w:rPr>
        <w:t xml:space="preserve"> this can be explained by the fact that some bank holding companies were delisted at some point of the year and their stocks were not traded at the capital markets. </w:t>
      </w:r>
    </w:p>
    <w:p w:rsidR="004F47D5" w:rsidRPr="00DF26A7" w:rsidRDefault="004F47D5" w:rsidP="00E21003">
      <w:pPr>
        <w:spacing w:line="360" w:lineRule="auto"/>
        <w:ind w:firstLine="708"/>
        <w:jc w:val="both"/>
        <w:rPr>
          <w:rFonts w:ascii="Times New Roman" w:hAnsi="Times New Roman" w:cs="Times New Roman"/>
          <w:sz w:val="24"/>
          <w:szCs w:val="24"/>
          <w:lang w:val="en-US"/>
        </w:rPr>
      </w:pPr>
      <w:r w:rsidRPr="00DF26A7">
        <w:rPr>
          <w:rFonts w:ascii="Times New Roman" w:hAnsi="Times New Roman" w:cs="Times New Roman"/>
          <w:sz w:val="24"/>
          <w:szCs w:val="24"/>
          <w:lang w:val="en-US"/>
        </w:rPr>
        <w:t xml:space="preserve">Comparative descriptive statistics for dependent variables are presented in Table 3.2. The test for equality of means suggests that for all dependent variables means are statistically different from each other. In overall, we can see clear downside trend and this trend is in line with U.S. </w:t>
      </w:r>
      <w:r w:rsidRPr="00DF26A7">
        <w:rPr>
          <w:rFonts w:ascii="Times New Roman" w:hAnsi="Times New Roman" w:cs="Times New Roman"/>
          <w:sz w:val="24"/>
          <w:szCs w:val="24"/>
          <w:lang w:val="en-US"/>
        </w:rPr>
        <w:lastRenderedPageBreak/>
        <w:t xml:space="preserve">economic environment of 2011-2013. The period 2011-2013 can be characterized as the beginning of U.S economy recovery after the recession of 2007 to 2009. </w:t>
      </w:r>
    </w:p>
    <w:tbl>
      <w:tblPr>
        <w:tblStyle w:val="ab"/>
        <w:tblpPr w:leftFromText="180" w:rightFromText="180" w:vertAnchor="text" w:horzAnchor="margin" w:tblpY="34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870"/>
        <w:gridCol w:w="1870"/>
        <w:gridCol w:w="1870"/>
        <w:gridCol w:w="1871"/>
      </w:tblGrid>
      <w:tr w:rsidR="00E21003" w:rsidRPr="00DF26A7" w:rsidTr="00CD03B7">
        <w:trPr>
          <w:cantSplit/>
          <w:trHeight w:val="699"/>
        </w:trPr>
        <w:tc>
          <w:tcPr>
            <w:tcW w:w="1870" w:type="dxa"/>
            <w:tcBorders>
              <w:bottom w:val="single" w:sz="4" w:space="0" w:color="auto"/>
            </w:tcBorders>
            <w:shd w:val="clear" w:color="auto" w:fill="auto"/>
            <w:vAlign w:val="center"/>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Variable</w:t>
            </w:r>
          </w:p>
        </w:tc>
        <w:tc>
          <w:tcPr>
            <w:tcW w:w="1870" w:type="dxa"/>
            <w:tcBorders>
              <w:bottom w:val="single" w:sz="4" w:space="0" w:color="auto"/>
            </w:tcBorders>
            <w:shd w:val="clear" w:color="auto" w:fill="auto"/>
            <w:vAlign w:val="center"/>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2011</w:t>
            </w:r>
          </w:p>
        </w:tc>
        <w:tc>
          <w:tcPr>
            <w:tcW w:w="1870" w:type="dxa"/>
            <w:tcBorders>
              <w:bottom w:val="single" w:sz="4" w:space="0" w:color="auto"/>
            </w:tcBorders>
            <w:shd w:val="clear" w:color="auto" w:fill="auto"/>
            <w:vAlign w:val="center"/>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2012</w:t>
            </w:r>
          </w:p>
        </w:tc>
        <w:tc>
          <w:tcPr>
            <w:tcW w:w="1870" w:type="dxa"/>
            <w:tcBorders>
              <w:bottom w:val="single" w:sz="4" w:space="0" w:color="auto"/>
            </w:tcBorders>
            <w:vAlign w:val="center"/>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2013</w:t>
            </w:r>
          </w:p>
        </w:tc>
        <w:tc>
          <w:tcPr>
            <w:tcW w:w="1871" w:type="dxa"/>
            <w:tcBorders>
              <w:bottom w:val="single" w:sz="4" w:space="0" w:color="auto"/>
            </w:tcBorders>
            <w:vAlign w:val="center"/>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Avg.</w:t>
            </w:r>
          </w:p>
        </w:tc>
      </w:tr>
      <w:tr w:rsidR="00E21003" w:rsidRPr="00DF26A7" w:rsidTr="00CD03B7">
        <w:trPr>
          <w:cantSplit/>
          <w:trHeight w:val="483"/>
        </w:trPr>
        <w:tc>
          <w:tcPr>
            <w:tcW w:w="1870" w:type="dxa"/>
            <w:tcBorders>
              <w:top w:val="single" w:sz="4" w:space="0" w:color="auto"/>
            </w:tcBorders>
          </w:tcPr>
          <w:p w:rsidR="00E21003" w:rsidRPr="00DF26A7" w:rsidRDefault="00AE0B9C" w:rsidP="00E21003">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yaggrisk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870" w:type="dxa"/>
            <w:tcBorders>
              <w:top w:val="single" w:sz="4" w:space="0" w:color="auto"/>
            </w:tcBorders>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0.379</w:t>
            </w:r>
          </w:p>
        </w:tc>
        <w:tc>
          <w:tcPr>
            <w:tcW w:w="1870" w:type="dxa"/>
            <w:tcBorders>
              <w:top w:val="single" w:sz="4" w:space="0" w:color="auto"/>
            </w:tcBorders>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0.264</w:t>
            </w:r>
          </w:p>
        </w:tc>
        <w:tc>
          <w:tcPr>
            <w:tcW w:w="1870" w:type="dxa"/>
            <w:tcBorders>
              <w:top w:val="single" w:sz="4" w:space="0" w:color="auto"/>
            </w:tcBorders>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0.197</w:t>
            </w:r>
          </w:p>
        </w:tc>
        <w:tc>
          <w:tcPr>
            <w:tcW w:w="1871" w:type="dxa"/>
            <w:tcBorders>
              <w:top w:val="single" w:sz="4" w:space="0" w:color="auto"/>
            </w:tcBorders>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0.281</w:t>
            </w:r>
          </w:p>
        </w:tc>
      </w:tr>
      <w:tr w:rsidR="00E21003" w:rsidRPr="00DF26A7" w:rsidTr="00CD03B7">
        <w:trPr>
          <w:cantSplit/>
          <w:trHeight w:val="420"/>
        </w:trPr>
        <w:tc>
          <w:tcPr>
            <w:tcW w:w="1870" w:type="dxa"/>
          </w:tcPr>
          <w:p w:rsidR="00E21003" w:rsidRPr="00DF26A7" w:rsidRDefault="00AE0B9C" w:rsidP="00E21003">
            <w:pPr>
              <w:spacing w:line="360" w:lineRule="auto"/>
              <w:rPr>
                <w:rFonts w:ascii="Times New Roman" w:hAnsi="Times New Roman" w:cs="Times New Roman"/>
                <w:i/>
                <w:sz w:val="24"/>
                <w:szCs w:val="24"/>
                <w:vertAlign w:val="subscript"/>
                <w:lang w:val="en-US"/>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sysrisk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1.112</w:t>
            </w:r>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1.274</w:t>
            </w:r>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0.914</w:t>
            </w:r>
          </w:p>
        </w:tc>
        <w:tc>
          <w:tcPr>
            <w:tcW w:w="1871"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1.101</w:t>
            </w:r>
          </w:p>
        </w:tc>
      </w:tr>
      <w:tr w:rsidR="00E21003" w:rsidRPr="00DF26A7" w:rsidTr="00CD03B7">
        <w:trPr>
          <w:cantSplit/>
          <w:trHeight w:val="280"/>
        </w:trPr>
        <w:tc>
          <w:tcPr>
            <w:tcW w:w="1870" w:type="dxa"/>
          </w:tcPr>
          <w:p w:rsidR="00E21003" w:rsidRPr="00DF26A7" w:rsidRDefault="00AE0B9C" w:rsidP="00E21003">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yidiorisk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0.263</w:t>
            </w:r>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0.201</w:t>
            </w:r>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0.170</w:t>
            </w:r>
          </w:p>
        </w:tc>
        <w:tc>
          <w:tcPr>
            <w:tcW w:w="1871"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0.212</w:t>
            </w:r>
          </w:p>
        </w:tc>
      </w:tr>
      <w:tr w:rsidR="00E21003" w:rsidRPr="00DF26A7" w:rsidTr="00CD03B7">
        <w:trPr>
          <w:cantSplit/>
          <w:trHeight w:val="422"/>
        </w:trPr>
        <w:tc>
          <w:tcPr>
            <w:tcW w:w="1870" w:type="dxa"/>
          </w:tcPr>
          <w:p w:rsidR="00E21003" w:rsidRPr="00DF26A7" w:rsidRDefault="00AE0B9C" w:rsidP="00E21003">
            <w:pPr>
              <w:spacing w:line="360" w:lineRule="auto"/>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ydownrisk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m:oMathPara>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0.220</w:t>
            </w:r>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0.138</w:t>
            </w:r>
          </w:p>
        </w:tc>
        <w:tc>
          <w:tcPr>
            <w:tcW w:w="1870"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0.095</w:t>
            </w:r>
          </w:p>
        </w:tc>
        <w:tc>
          <w:tcPr>
            <w:tcW w:w="1871" w:type="dxa"/>
          </w:tcPr>
          <w:p w:rsidR="00E21003" w:rsidRPr="00DF26A7" w:rsidRDefault="00E21003" w:rsidP="00E21003">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0.152</w:t>
            </w:r>
          </w:p>
        </w:tc>
      </w:tr>
    </w:tbl>
    <w:p w:rsidR="004F47D5" w:rsidRPr="00DF26A7" w:rsidRDefault="004F47D5" w:rsidP="00E21003">
      <w:pPr>
        <w:spacing w:line="360" w:lineRule="auto"/>
        <w:rPr>
          <w:rFonts w:ascii="Times New Roman" w:hAnsi="Times New Roman" w:cs="Times New Roman"/>
          <w:sz w:val="24"/>
          <w:szCs w:val="24"/>
          <w:lang w:val="en-US"/>
        </w:rPr>
      </w:pPr>
      <w:r w:rsidRPr="00E21003">
        <w:rPr>
          <w:rFonts w:ascii="Times New Roman" w:hAnsi="Times New Roman" w:cs="Times New Roman"/>
          <w:b/>
          <w:sz w:val="24"/>
          <w:szCs w:val="24"/>
          <w:lang w:val="en-US"/>
        </w:rPr>
        <w:t>Table 3.2</w:t>
      </w:r>
      <w:r w:rsidR="00E21003">
        <w:rPr>
          <w:rFonts w:ascii="Times New Roman" w:hAnsi="Times New Roman" w:cs="Times New Roman"/>
          <w:sz w:val="24"/>
          <w:szCs w:val="24"/>
          <w:lang w:val="en-US"/>
        </w:rPr>
        <w:t xml:space="preserve"> Comparison of means of dependent variables in 2011-2013</w:t>
      </w:r>
    </w:p>
    <w:p w:rsidR="004F47D5" w:rsidRPr="00DF26A7" w:rsidRDefault="004F47D5" w:rsidP="00DF26A7">
      <w:pPr>
        <w:spacing w:line="360" w:lineRule="auto"/>
        <w:rPr>
          <w:rFonts w:ascii="Times New Roman" w:hAnsi="Times New Roman" w:cs="Times New Roman"/>
          <w:sz w:val="24"/>
          <w:szCs w:val="24"/>
          <w:lang w:val="en-US"/>
        </w:rPr>
      </w:pPr>
    </w:p>
    <w:p w:rsidR="004F47D5" w:rsidRPr="00DF26A7" w:rsidRDefault="004F47D5" w:rsidP="00B92360">
      <w:pPr>
        <w:spacing w:line="360" w:lineRule="auto"/>
        <w:ind w:firstLine="708"/>
        <w:jc w:val="both"/>
        <w:rPr>
          <w:rFonts w:ascii="Times New Roman" w:hAnsi="Times New Roman" w:cs="Times New Roman"/>
          <w:color w:val="000000"/>
          <w:sz w:val="24"/>
          <w:szCs w:val="24"/>
          <w:lang w:val="en-US"/>
        </w:rPr>
      </w:pPr>
      <w:r w:rsidRPr="00DF26A7">
        <w:rPr>
          <w:rFonts w:ascii="Times New Roman" w:hAnsi="Times New Roman" w:cs="Times New Roman"/>
          <w:sz w:val="24"/>
          <w:szCs w:val="24"/>
          <w:lang w:val="en-US"/>
        </w:rPr>
        <w:t>Let us move to the analysis of the descriptive statistics of the independent variable reflecting</w:t>
      </w:r>
      <w:r w:rsidR="00CD03B7">
        <w:rPr>
          <w:rFonts w:ascii="Times New Roman" w:hAnsi="Times New Roman" w:cs="Times New Roman"/>
          <w:sz w:val="24"/>
          <w:szCs w:val="24"/>
          <w:lang w:val="en-US"/>
        </w:rPr>
        <w:t xml:space="preserve"> the level of</w:t>
      </w:r>
      <w:r w:rsidRPr="00DF26A7">
        <w:rPr>
          <w:rFonts w:ascii="Times New Roman" w:hAnsi="Times New Roman" w:cs="Times New Roman"/>
          <w:sz w:val="24"/>
          <w:szCs w:val="24"/>
          <w:lang w:val="en-US"/>
        </w:rPr>
        <w:t xml:space="preserve"> disclosure presented in the table 3.3. </w:t>
      </w:r>
      <w:r w:rsidRPr="00DF26A7">
        <w:rPr>
          <w:rFonts w:ascii="Times New Roman" w:hAnsi="Times New Roman" w:cs="Times New Roman"/>
          <w:color w:val="000000"/>
          <w:sz w:val="24"/>
          <w:szCs w:val="24"/>
          <w:lang w:val="en-US"/>
        </w:rPr>
        <w:t>Results indicate that the aggregated disclosure index is about 1.04 and ranges from 0.10 to 3.34.</w:t>
      </w:r>
    </w:p>
    <w:tbl>
      <w:tblPr>
        <w:tblStyle w:val="ab"/>
        <w:tblpPr w:leftFromText="180" w:rightFromText="180" w:vertAnchor="text" w:tblpY="36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843"/>
        <w:gridCol w:w="1984"/>
        <w:gridCol w:w="1701"/>
        <w:gridCol w:w="1985"/>
      </w:tblGrid>
      <w:tr w:rsidR="00DF4939" w:rsidRPr="00DF26A7" w:rsidTr="00CD03B7">
        <w:trPr>
          <w:cantSplit/>
          <w:trHeight w:val="557"/>
        </w:trPr>
        <w:tc>
          <w:tcPr>
            <w:tcW w:w="1838" w:type="dxa"/>
            <w:tcBorders>
              <w:bottom w:val="single" w:sz="4" w:space="0" w:color="auto"/>
            </w:tcBorders>
            <w:shd w:val="clear" w:color="auto" w:fill="auto"/>
            <w:vAlign w:val="center"/>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Variable</w:t>
            </w:r>
          </w:p>
        </w:tc>
        <w:tc>
          <w:tcPr>
            <w:tcW w:w="1843" w:type="dxa"/>
            <w:tcBorders>
              <w:bottom w:val="single" w:sz="4" w:space="0" w:color="auto"/>
            </w:tcBorders>
            <w:shd w:val="clear" w:color="auto" w:fill="auto"/>
            <w:vAlign w:val="center"/>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Mean</w:t>
            </w:r>
          </w:p>
        </w:tc>
        <w:tc>
          <w:tcPr>
            <w:tcW w:w="1984" w:type="dxa"/>
            <w:tcBorders>
              <w:bottom w:val="single" w:sz="4" w:space="0" w:color="auto"/>
            </w:tcBorders>
            <w:shd w:val="clear" w:color="auto" w:fill="auto"/>
            <w:vAlign w:val="center"/>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Std. Dev.</w:t>
            </w:r>
          </w:p>
        </w:tc>
        <w:tc>
          <w:tcPr>
            <w:tcW w:w="1701" w:type="dxa"/>
            <w:tcBorders>
              <w:bottom w:val="single" w:sz="4" w:space="0" w:color="auto"/>
            </w:tcBorders>
            <w:vAlign w:val="center"/>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Min</w:t>
            </w:r>
          </w:p>
        </w:tc>
        <w:tc>
          <w:tcPr>
            <w:tcW w:w="1985" w:type="dxa"/>
            <w:tcBorders>
              <w:bottom w:val="single" w:sz="4" w:space="0" w:color="auto"/>
            </w:tcBorders>
            <w:vAlign w:val="center"/>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Max</w:t>
            </w:r>
          </w:p>
        </w:tc>
      </w:tr>
      <w:tr w:rsidR="00DF4939" w:rsidRPr="00DF26A7" w:rsidTr="00CD03B7">
        <w:trPr>
          <w:cantSplit/>
          <w:trHeight w:val="413"/>
        </w:trPr>
        <w:tc>
          <w:tcPr>
            <w:tcW w:w="9351" w:type="dxa"/>
            <w:gridSpan w:val="5"/>
            <w:tcBorders>
              <w:top w:val="single" w:sz="4" w:space="0" w:color="auto"/>
              <w:bottom w:val="single" w:sz="4" w:space="0" w:color="auto"/>
            </w:tcBorders>
            <w:vAlign w:val="center"/>
          </w:tcPr>
          <w:p w:rsidR="00DF4939" w:rsidRPr="00DF26A7" w:rsidRDefault="00DF4939" w:rsidP="00DF4939">
            <w:pPr>
              <w:spacing w:line="360" w:lineRule="auto"/>
              <w:rPr>
                <w:rFonts w:ascii="Times New Roman" w:hAnsi="Times New Roman" w:cs="Times New Roman"/>
                <w:b/>
                <w:sz w:val="24"/>
                <w:szCs w:val="24"/>
                <w:lang w:val="en-US"/>
              </w:rPr>
            </w:pPr>
            <w:r w:rsidRPr="00DF26A7">
              <w:rPr>
                <w:rFonts w:ascii="Times New Roman" w:hAnsi="Times New Roman" w:cs="Times New Roman"/>
                <w:b/>
                <w:sz w:val="24"/>
                <w:szCs w:val="24"/>
                <w:lang w:val="en-US"/>
              </w:rPr>
              <w:t>Independent variable</w:t>
            </w:r>
          </w:p>
        </w:tc>
      </w:tr>
      <w:tr w:rsidR="00DF4939" w:rsidRPr="00DF26A7" w:rsidTr="00CD03B7">
        <w:trPr>
          <w:cantSplit/>
          <w:trHeight w:val="431"/>
        </w:trPr>
        <w:tc>
          <w:tcPr>
            <w:tcW w:w="1838" w:type="dxa"/>
            <w:tcBorders>
              <w:top w:val="single" w:sz="4" w:space="0" w:color="auto"/>
            </w:tcBorders>
          </w:tcPr>
          <w:p w:rsidR="00DF4939" w:rsidRPr="00E4615E" w:rsidRDefault="00DF4939" w:rsidP="00DF4939">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disc</w:t>
            </w:r>
            <w:r w:rsidRPr="00E4615E">
              <w:rPr>
                <w:rFonts w:ascii="Cambria Math" w:hAnsi="Cambria Math" w:cs="Times New Roman"/>
                <w:i/>
                <w:sz w:val="24"/>
                <w:szCs w:val="24"/>
                <w:vertAlign w:val="subscript"/>
                <w:lang w:val="en-US"/>
              </w:rPr>
              <w:t>it</w:t>
            </w:r>
          </w:p>
        </w:tc>
        <w:tc>
          <w:tcPr>
            <w:tcW w:w="1843" w:type="dxa"/>
            <w:tcBorders>
              <w:top w:val="single" w:sz="4" w:space="0" w:color="auto"/>
            </w:tcBorders>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1.04</w:t>
            </w:r>
          </w:p>
        </w:tc>
        <w:tc>
          <w:tcPr>
            <w:tcW w:w="1984" w:type="dxa"/>
            <w:tcBorders>
              <w:top w:val="single" w:sz="4" w:space="0" w:color="auto"/>
            </w:tcBorders>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0.68</w:t>
            </w:r>
          </w:p>
        </w:tc>
        <w:tc>
          <w:tcPr>
            <w:tcW w:w="1701" w:type="dxa"/>
            <w:tcBorders>
              <w:top w:val="single" w:sz="4" w:space="0" w:color="auto"/>
            </w:tcBorders>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0.10</w:t>
            </w:r>
          </w:p>
        </w:tc>
        <w:tc>
          <w:tcPr>
            <w:tcW w:w="1985" w:type="dxa"/>
            <w:tcBorders>
              <w:top w:val="single" w:sz="4" w:space="0" w:color="auto"/>
            </w:tcBorders>
          </w:tcPr>
          <w:p w:rsidR="00DF4939" w:rsidRPr="00DF26A7" w:rsidRDefault="00DF4939"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3.34</w:t>
            </w:r>
          </w:p>
        </w:tc>
      </w:tr>
    </w:tbl>
    <w:p w:rsidR="004F47D5" w:rsidRPr="00DF26A7" w:rsidRDefault="004F47D5" w:rsidP="00DF4939">
      <w:pPr>
        <w:spacing w:line="360" w:lineRule="auto"/>
        <w:rPr>
          <w:rFonts w:ascii="Times New Roman" w:hAnsi="Times New Roman" w:cs="Times New Roman"/>
          <w:sz w:val="24"/>
          <w:szCs w:val="24"/>
          <w:lang w:val="en-US"/>
        </w:rPr>
      </w:pPr>
      <w:r w:rsidRPr="00DF4939">
        <w:rPr>
          <w:rFonts w:ascii="Times New Roman" w:hAnsi="Times New Roman" w:cs="Times New Roman"/>
          <w:b/>
          <w:sz w:val="24"/>
          <w:szCs w:val="24"/>
          <w:lang w:val="en-US"/>
        </w:rPr>
        <w:t>Table 3.3</w:t>
      </w:r>
      <w:r w:rsidR="00DF4939">
        <w:rPr>
          <w:rFonts w:ascii="Times New Roman" w:hAnsi="Times New Roman" w:cs="Times New Roman"/>
          <w:sz w:val="24"/>
          <w:szCs w:val="24"/>
          <w:lang w:val="en-US"/>
        </w:rPr>
        <w:t xml:space="preserve"> </w:t>
      </w:r>
      <w:r w:rsidR="00DF4939" w:rsidRPr="00DF26A7">
        <w:rPr>
          <w:rFonts w:ascii="Times New Roman" w:hAnsi="Times New Roman" w:cs="Times New Roman"/>
          <w:sz w:val="24"/>
          <w:szCs w:val="24"/>
          <w:lang w:val="en-US"/>
        </w:rPr>
        <w:t xml:space="preserve">Descriptive statistics of </w:t>
      </w:r>
      <w:r w:rsidR="00DF4939">
        <w:rPr>
          <w:rFonts w:ascii="Times New Roman" w:hAnsi="Times New Roman" w:cs="Times New Roman"/>
          <w:sz w:val="24"/>
          <w:szCs w:val="24"/>
          <w:lang w:val="en-US"/>
        </w:rPr>
        <w:t>independent variable</w:t>
      </w:r>
    </w:p>
    <w:p w:rsidR="00DF4939" w:rsidRDefault="00DF4939" w:rsidP="00DF26A7">
      <w:pPr>
        <w:spacing w:line="360" w:lineRule="auto"/>
        <w:ind w:firstLine="708"/>
        <w:rPr>
          <w:rFonts w:ascii="Times New Roman" w:hAnsi="Times New Roman" w:cs="Times New Roman"/>
          <w:sz w:val="24"/>
          <w:szCs w:val="24"/>
          <w:lang w:val="en-US"/>
        </w:rPr>
      </w:pPr>
    </w:p>
    <w:p w:rsidR="004F47D5" w:rsidRDefault="004F47D5" w:rsidP="00DF4939">
      <w:pPr>
        <w:spacing w:line="360" w:lineRule="auto"/>
        <w:ind w:firstLine="708"/>
        <w:jc w:val="both"/>
        <w:rPr>
          <w:rFonts w:ascii="Times New Roman" w:hAnsi="Times New Roman" w:cs="Times New Roman"/>
          <w:sz w:val="24"/>
          <w:szCs w:val="24"/>
          <w:lang w:val="en-US"/>
        </w:rPr>
      </w:pPr>
      <w:r w:rsidRPr="00DF26A7">
        <w:rPr>
          <w:rFonts w:ascii="Times New Roman" w:hAnsi="Times New Roman" w:cs="Times New Roman"/>
          <w:sz w:val="24"/>
          <w:szCs w:val="24"/>
          <w:lang w:val="en-US"/>
        </w:rPr>
        <w:t>Table 3.4 represents the descriptive statistics for all sub-indices of the disclosure index. The number of banks that disclosure a particular information throughout the sample period, the number of banks that never disclosure a particular information throughout the whole period, average score as well as standard deviation are presented in the table.  The majority of U</w:t>
      </w:r>
      <w:r w:rsidR="009D5F40">
        <w:rPr>
          <w:rFonts w:ascii="Times New Roman" w:hAnsi="Times New Roman" w:cs="Times New Roman"/>
          <w:sz w:val="24"/>
          <w:szCs w:val="24"/>
          <w:lang w:val="en-US"/>
        </w:rPr>
        <w:t>.</w:t>
      </w:r>
      <w:r w:rsidRPr="00DF26A7">
        <w:rPr>
          <w:rFonts w:ascii="Times New Roman" w:hAnsi="Times New Roman" w:cs="Times New Roman"/>
          <w:sz w:val="24"/>
          <w:szCs w:val="24"/>
          <w:lang w:val="en-US"/>
        </w:rPr>
        <w:t>S</w:t>
      </w:r>
      <w:r w:rsidR="009D5F40">
        <w:rPr>
          <w:rFonts w:ascii="Times New Roman" w:hAnsi="Times New Roman" w:cs="Times New Roman"/>
          <w:sz w:val="24"/>
          <w:szCs w:val="24"/>
          <w:lang w:val="en-US"/>
        </w:rPr>
        <w:t>.</w:t>
      </w:r>
      <w:r w:rsidRPr="00DF26A7">
        <w:rPr>
          <w:rFonts w:ascii="Times New Roman" w:hAnsi="Times New Roman" w:cs="Times New Roman"/>
          <w:sz w:val="24"/>
          <w:szCs w:val="24"/>
          <w:lang w:val="en-US"/>
        </w:rPr>
        <w:t xml:space="preserve"> bank holding companies disclose funding breakdown by term, risk ratios of subsidiaries and average balance sheet figure with an average score close to 1.  However currency breakdown of funding sources, balance sheets of subsidiaries as well as risk ratios on quarterly basis have relatively lower scores.  </w:t>
      </w:r>
    </w:p>
    <w:p w:rsidR="00DF4939" w:rsidRPr="00BD7CE6" w:rsidRDefault="004F47D5" w:rsidP="00DF4939">
      <w:pPr>
        <w:spacing w:line="360" w:lineRule="auto"/>
        <w:rPr>
          <w:rFonts w:ascii="Times New Roman" w:hAnsi="Times New Roman" w:cs="Times New Roman"/>
          <w:sz w:val="24"/>
          <w:szCs w:val="24"/>
          <w:lang w:val="en-US"/>
        </w:rPr>
      </w:pPr>
      <w:r w:rsidRPr="00DF4939">
        <w:rPr>
          <w:rFonts w:ascii="Times New Roman" w:hAnsi="Times New Roman" w:cs="Times New Roman"/>
          <w:b/>
          <w:sz w:val="24"/>
          <w:szCs w:val="24"/>
          <w:lang w:val="en-US"/>
        </w:rPr>
        <w:t>Table 3.4</w:t>
      </w:r>
      <w:r w:rsidR="00BD7CE6">
        <w:rPr>
          <w:rFonts w:ascii="Times New Roman" w:hAnsi="Times New Roman" w:cs="Times New Roman"/>
          <w:b/>
          <w:sz w:val="24"/>
          <w:szCs w:val="24"/>
          <w:lang w:val="en-US"/>
        </w:rPr>
        <w:t xml:space="preserve"> </w:t>
      </w:r>
      <w:r w:rsidR="00BD7CE6">
        <w:rPr>
          <w:rFonts w:ascii="Times New Roman" w:hAnsi="Times New Roman" w:cs="Times New Roman"/>
          <w:sz w:val="24"/>
          <w:szCs w:val="24"/>
          <w:lang w:val="en-US"/>
        </w:rPr>
        <w:t xml:space="preserve">Descriptive statistics of Disclosure sub-indices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1590"/>
        <w:gridCol w:w="1559"/>
        <w:gridCol w:w="1276"/>
        <w:gridCol w:w="1270"/>
      </w:tblGrid>
      <w:tr w:rsidR="004F47D5" w:rsidRPr="00DF4939" w:rsidTr="00CD03B7">
        <w:tc>
          <w:tcPr>
            <w:tcW w:w="3650" w:type="dxa"/>
            <w:tcBorders>
              <w:bottom w:val="single" w:sz="4" w:space="0" w:color="auto"/>
            </w:tcBorders>
          </w:tcPr>
          <w:p w:rsidR="004F47D5" w:rsidRPr="00CD03B7" w:rsidRDefault="00CD03B7" w:rsidP="00DF26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Sub-index</w:t>
            </w:r>
          </w:p>
        </w:tc>
        <w:tc>
          <w:tcPr>
            <w:tcW w:w="1590" w:type="dxa"/>
            <w:tcBorders>
              <w:bottom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Disclosing in all periods</w:t>
            </w:r>
          </w:p>
        </w:tc>
        <w:tc>
          <w:tcPr>
            <w:tcW w:w="1559" w:type="dxa"/>
            <w:tcBorders>
              <w:bottom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Disclosing in no periods</w:t>
            </w:r>
          </w:p>
        </w:tc>
        <w:tc>
          <w:tcPr>
            <w:tcW w:w="1276" w:type="dxa"/>
            <w:tcBorders>
              <w:bottom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Average</w:t>
            </w:r>
          </w:p>
        </w:tc>
        <w:tc>
          <w:tcPr>
            <w:tcW w:w="1270" w:type="dxa"/>
            <w:tcBorders>
              <w:bottom w:val="single" w:sz="4" w:space="0" w:color="auto"/>
            </w:tcBorders>
          </w:tcPr>
          <w:p w:rsidR="004F47D5" w:rsidRPr="00DF26A7" w:rsidRDefault="004F47D5" w:rsidP="00DF4939">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St</w:t>
            </w:r>
            <w:r w:rsidR="00DF4939">
              <w:rPr>
                <w:rFonts w:ascii="Times New Roman" w:hAnsi="Times New Roman" w:cs="Times New Roman"/>
                <w:sz w:val="24"/>
                <w:szCs w:val="24"/>
                <w:lang w:val="en-US"/>
              </w:rPr>
              <w:t>. D</w:t>
            </w:r>
            <w:r w:rsidRPr="00DF26A7">
              <w:rPr>
                <w:rFonts w:ascii="Times New Roman" w:hAnsi="Times New Roman" w:cs="Times New Roman"/>
                <w:sz w:val="24"/>
                <w:szCs w:val="24"/>
                <w:lang w:val="en-US"/>
              </w:rPr>
              <w:t>ev</w:t>
            </w:r>
          </w:p>
        </w:tc>
      </w:tr>
      <w:tr w:rsidR="004F47D5" w:rsidRPr="00DF4939" w:rsidTr="00CD03B7">
        <w:tc>
          <w:tcPr>
            <w:tcW w:w="3650"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L1: term breakdown</w:t>
            </w:r>
          </w:p>
        </w:tc>
        <w:tc>
          <w:tcPr>
            <w:tcW w:w="1590"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4939">
              <w:rPr>
                <w:rFonts w:ascii="Times New Roman" w:hAnsi="Times New Roman" w:cs="Times New Roman"/>
                <w:sz w:val="24"/>
                <w:szCs w:val="24"/>
                <w:lang w:val="en-US"/>
              </w:rPr>
              <w:t>83%</w:t>
            </w:r>
          </w:p>
        </w:tc>
        <w:tc>
          <w:tcPr>
            <w:tcW w:w="1559"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9%</w:t>
            </w:r>
          </w:p>
        </w:tc>
        <w:tc>
          <w:tcPr>
            <w:tcW w:w="1276"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0,87</w:t>
            </w:r>
          </w:p>
        </w:tc>
        <w:tc>
          <w:tcPr>
            <w:tcW w:w="1270"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0,33</w:t>
            </w:r>
          </w:p>
        </w:tc>
      </w:tr>
      <w:tr w:rsidR="004F47D5" w:rsidRPr="00DF4939"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L2: currency breakdown</w:t>
            </w:r>
          </w:p>
        </w:tc>
        <w:tc>
          <w:tcPr>
            <w:tcW w:w="159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9%</w:t>
            </w:r>
          </w:p>
        </w:tc>
        <w:tc>
          <w:tcPr>
            <w:tcW w:w="155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88%</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0,11</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0,31</w:t>
            </w:r>
          </w:p>
        </w:tc>
      </w:tr>
      <w:tr w:rsidR="004F47D5" w:rsidRPr="00DF4939"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L3: liquidity ratio</w:t>
            </w:r>
          </w:p>
        </w:tc>
        <w:tc>
          <w:tcPr>
            <w:tcW w:w="159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36%</w:t>
            </w:r>
          </w:p>
        </w:tc>
        <w:tc>
          <w:tcPr>
            <w:tcW w:w="155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55%</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0,41</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0,49</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lastRenderedPageBreak/>
              <w:t>L4: unencumbered assets</w:t>
            </w:r>
          </w:p>
        </w:tc>
        <w:tc>
          <w:tcPr>
            <w:tcW w:w="1590"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21%</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67%</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0,28</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0,45</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G1: B/S info of subsidiaries</w:t>
            </w:r>
          </w:p>
        </w:tc>
        <w:tc>
          <w:tcPr>
            <w:tcW w:w="159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12%</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85%</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0,14</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0,34</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G2: B/S info of sectors/sub-units</w:t>
            </w:r>
          </w:p>
        </w:tc>
        <w:tc>
          <w:tcPr>
            <w:tcW w:w="159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29%</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65%</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0,32</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0,47</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G3: risk ratios of subsidiaries</w:t>
            </w:r>
          </w:p>
        </w:tc>
        <w:tc>
          <w:tcPr>
            <w:tcW w:w="159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92%</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3%</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0,95</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0,22</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G4: risk ratios of sectors/sub-units</w:t>
            </w:r>
          </w:p>
        </w:tc>
        <w:tc>
          <w:tcPr>
            <w:tcW w:w="1590"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8%</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92%</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0,08</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0,27</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I1: average B/S figures</w:t>
            </w:r>
          </w:p>
        </w:tc>
        <w:tc>
          <w:tcPr>
            <w:tcW w:w="1590"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95%</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2%</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0,97</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0,17</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I2: quarterly B/S figures</w:t>
            </w:r>
          </w:p>
        </w:tc>
        <w:tc>
          <w:tcPr>
            <w:tcW w:w="1590"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24%</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74%</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0,25</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0,43</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I3: risk ratios on quarterly basis</w:t>
            </w:r>
          </w:p>
        </w:tc>
        <w:tc>
          <w:tcPr>
            <w:tcW w:w="1590"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11%</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89%</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0,11</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0,31</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S1: credit exposure to financial inst.</w:t>
            </w:r>
          </w:p>
        </w:tc>
        <w:tc>
          <w:tcPr>
            <w:tcW w:w="159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21%</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76%</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0,23</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0,42</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S2: off-balance sheet items</w:t>
            </w:r>
          </w:p>
        </w:tc>
        <w:tc>
          <w:tcPr>
            <w:tcW w:w="1590"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42%</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52%</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0,44</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0,50</w:t>
            </w:r>
          </w:p>
        </w:tc>
      </w:tr>
      <w:tr w:rsidR="004F47D5" w:rsidRPr="00DF26A7" w:rsidTr="00CD03B7">
        <w:tc>
          <w:tcPr>
            <w:tcW w:w="365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S3: exposure to SPEs</w:t>
            </w:r>
          </w:p>
        </w:tc>
        <w:tc>
          <w:tcPr>
            <w:tcW w:w="1590"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36%</w:t>
            </w:r>
          </w:p>
        </w:tc>
        <w:tc>
          <w:tcPr>
            <w:tcW w:w="1559" w:type="dxa"/>
          </w:tcPr>
          <w:p w:rsidR="004F47D5" w:rsidRPr="00DF26A7" w:rsidRDefault="004F47D5" w:rsidP="00DF26A7">
            <w:pPr>
              <w:spacing w:line="360" w:lineRule="auto"/>
              <w:rPr>
                <w:rFonts w:ascii="Times New Roman" w:hAnsi="Times New Roman" w:cs="Times New Roman"/>
                <w:sz w:val="24"/>
                <w:szCs w:val="24"/>
              </w:rPr>
            </w:pPr>
            <w:r w:rsidRPr="00DF26A7">
              <w:rPr>
                <w:rFonts w:ascii="Times New Roman" w:hAnsi="Times New Roman" w:cs="Times New Roman"/>
                <w:sz w:val="24"/>
                <w:szCs w:val="24"/>
              </w:rPr>
              <w:t>61%</w:t>
            </w:r>
          </w:p>
        </w:tc>
        <w:tc>
          <w:tcPr>
            <w:tcW w:w="1276"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0,38</w:t>
            </w:r>
          </w:p>
        </w:tc>
        <w:tc>
          <w:tcPr>
            <w:tcW w:w="1270"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0,49</w:t>
            </w:r>
          </w:p>
        </w:tc>
      </w:tr>
    </w:tbl>
    <w:p w:rsidR="004F47D5" w:rsidRPr="00DF26A7" w:rsidRDefault="004F47D5" w:rsidP="00DF26A7">
      <w:pPr>
        <w:spacing w:line="360" w:lineRule="auto"/>
        <w:ind w:firstLine="708"/>
        <w:rPr>
          <w:rFonts w:ascii="Times New Roman" w:hAnsi="Times New Roman" w:cs="Times New Roman"/>
          <w:sz w:val="24"/>
          <w:szCs w:val="24"/>
          <w:lang w:val="en-US"/>
        </w:rPr>
      </w:pPr>
    </w:p>
    <w:p w:rsidR="004F47D5" w:rsidRPr="00DF26A7" w:rsidRDefault="004F47D5" w:rsidP="00BD7CE6">
      <w:pPr>
        <w:spacing w:line="360" w:lineRule="auto"/>
        <w:ind w:firstLine="708"/>
        <w:jc w:val="both"/>
        <w:rPr>
          <w:rFonts w:ascii="Times New Roman" w:hAnsi="Times New Roman" w:cs="Times New Roman"/>
          <w:sz w:val="24"/>
          <w:szCs w:val="24"/>
          <w:lang w:val="en-US"/>
        </w:rPr>
      </w:pPr>
      <w:r w:rsidRPr="00DF26A7">
        <w:rPr>
          <w:rFonts w:ascii="Times New Roman" w:hAnsi="Times New Roman" w:cs="Times New Roman"/>
          <w:sz w:val="24"/>
          <w:szCs w:val="24"/>
          <w:lang w:val="en-US"/>
        </w:rPr>
        <w:t xml:space="preserve">Figure </w:t>
      </w:r>
      <w:r w:rsidR="00BD7CE6">
        <w:rPr>
          <w:rFonts w:ascii="Times New Roman" w:hAnsi="Times New Roman" w:cs="Times New Roman"/>
          <w:sz w:val="24"/>
          <w:szCs w:val="24"/>
          <w:lang w:val="en-US"/>
        </w:rPr>
        <w:t>3.1</w:t>
      </w:r>
      <w:r w:rsidRPr="00DF26A7">
        <w:rPr>
          <w:rFonts w:ascii="Times New Roman" w:hAnsi="Times New Roman" w:cs="Times New Roman"/>
          <w:sz w:val="24"/>
          <w:szCs w:val="24"/>
          <w:lang w:val="en-US"/>
        </w:rPr>
        <w:t xml:space="preserve"> presents scores for the main categories and aggregated disclosure index averaged through all bank holding companies. As we can see there is an improvement in aggregated disclosure index throughout the sample period that is mainly due to increased score in liquidity disclosure as well as group structure information. On the other hand spillover risk and intra-annual information are stable throughout 3 years period. Liquidity disclosure has the highest average score while intra-annual information disclosure has the lowest score among four main categories. </w:t>
      </w:r>
    </w:p>
    <w:p w:rsidR="004F47D5" w:rsidRDefault="004F47D5" w:rsidP="00BD7CE6">
      <w:pPr>
        <w:spacing w:line="360" w:lineRule="auto"/>
        <w:ind w:firstLine="708"/>
        <w:jc w:val="center"/>
        <w:rPr>
          <w:rFonts w:ascii="Times New Roman" w:hAnsi="Times New Roman" w:cs="Times New Roman"/>
          <w:sz w:val="24"/>
          <w:szCs w:val="24"/>
          <w:lang w:val="en-US"/>
        </w:rPr>
      </w:pPr>
      <w:r w:rsidRPr="00DF26A7">
        <w:rPr>
          <w:rFonts w:ascii="Times New Roman" w:hAnsi="Times New Roman" w:cs="Times New Roman"/>
          <w:noProof/>
          <w:sz w:val="24"/>
          <w:szCs w:val="24"/>
          <w:lang w:eastAsia="ru-RU"/>
        </w:rPr>
        <w:drawing>
          <wp:inline distT="0" distB="0" distL="0" distR="0" wp14:anchorId="720370B6" wp14:editId="0907ED8E">
            <wp:extent cx="4667885" cy="2590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7CE6" w:rsidRPr="00DF26A7" w:rsidRDefault="00BD7CE6" w:rsidP="00BD7CE6">
      <w:pPr>
        <w:spacing w:line="360" w:lineRule="auto"/>
        <w:ind w:firstLine="708"/>
        <w:jc w:val="center"/>
        <w:rPr>
          <w:rFonts w:ascii="Times New Roman" w:hAnsi="Times New Roman" w:cs="Times New Roman"/>
          <w:sz w:val="24"/>
          <w:szCs w:val="24"/>
          <w:lang w:val="en-US"/>
        </w:rPr>
      </w:pPr>
      <w:r w:rsidRPr="00BD7CE6">
        <w:rPr>
          <w:rFonts w:ascii="Times New Roman" w:hAnsi="Times New Roman" w:cs="Times New Roman"/>
          <w:b/>
          <w:sz w:val="24"/>
          <w:szCs w:val="24"/>
          <w:lang w:val="en-US"/>
        </w:rPr>
        <w:t>Fig</w:t>
      </w:r>
      <w:r w:rsidR="00CD03B7">
        <w:rPr>
          <w:rFonts w:ascii="Times New Roman" w:hAnsi="Times New Roman" w:cs="Times New Roman"/>
          <w:b/>
          <w:sz w:val="24"/>
          <w:szCs w:val="24"/>
          <w:lang w:val="en-US"/>
        </w:rPr>
        <w:t>ure</w:t>
      </w:r>
      <w:r w:rsidRPr="00BD7CE6">
        <w:rPr>
          <w:rFonts w:ascii="Times New Roman" w:hAnsi="Times New Roman" w:cs="Times New Roman"/>
          <w:b/>
          <w:sz w:val="24"/>
          <w:szCs w:val="24"/>
          <w:lang w:val="en-US"/>
        </w:rPr>
        <w:t xml:space="preserve"> 3.1</w:t>
      </w:r>
      <w:r>
        <w:rPr>
          <w:rFonts w:ascii="Times New Roman" w:hAnsi="Times New Roman" w:cs="Times New Roman"/>
          <w:sz w:val="24"/>
          <w:szCs w:val="24"/>
          <w:lang w:val="en-US"/>
        </w:rPr>
        <w:t xml:space="preserve"> Aggregated disclosure score and sub-indices</w:t>
      </w:r>
    </w:p>
    <w:p w:rsidR="004F47D5" w:rsidRPr="00DF26A7" w:rsidRDefault="004F47D5" w:rsidP="00BD7CE6">
      <w:pPr>
        <w:spacing w:line="360" w:lineRule="auto"/>
        <w:ind w:firstLine="708"/>
        <w:jc w:val="both"/>
        <w:rPr>
          <w:rFonts w:ascii="Times New Roman" w:hAnsi="Times New Roman" w:cs="Times New Roman"/>
          <w:color w:val="000000"/>
          <w:sz w:val="24"/>
          <w:szCs w:val="24"/>
          <w:lang w:val="en-US"/>
        </w:rPr>
      </w:pPr>
      <w:r w:rsidRPr="00DF26A7">
        <w:rPr>
          <w:rFonts w:ascii="Times New Roman" w:hAnsi="Times New Roman" w:cs="Times New Roman"/>
          <w:color w:val="000000"/>
          <w:sz w:val="24"/>
          <w:szCs w:val="24"/>
          <w:lang w:val="en-US"/>
        </w:rPr>
        <w:t xml:space="preserve">Let us move to the descriptive statistics of control variables that reflect general characteristics of the company.  </w:t>
      </w:r>
      <w:r w:rsidR="00BD7CE6">
        <w:rPr>
          <w:rFonts w:ascii="Times New Roman" w:hAnsi="Times New Roman" w:cs="Times New Roman"/>
          <w:color w:val="000000"/>
          <w:sz w:val="24"/>
          <w:szCs w:val="24"/>
          <w:lang w:val="en-US"/>
        </w:rPr>
        <w:t>The results are</w:t>
      </w:r>
      <w:r w:rsidRPr="00DF26A7">
        <w:rPr>
          <w:rFonts w:ascii="Times New Roman" w:hAnsi="Times New Roman" w:cs="Times New Roman"/>
          <w:color w:val="000000"/>
          <w:sz w:val="24"/>
          <w:szCs w:val="24"/>
          <w:lang w:val="en-US"/>
        </w:rPr>
        <w:t xml:space="preserve"> presented in the table 3.</w:t>
      </w:r>
      <w:r w:rsidR="00396053">
        <w:rPr>
          <w:rFonts w:ascii="Times New Roman" w:hAnsi="Times New Roman" w:cs="Times New Roman"/>
          <w:color w:val="000000"/>
          <w:sz w:val="24"/>
          <w:szCs w:val="24"/>
          <w:lang w:val="en-US"/>
        </w:rPr>
        <w:t>5</w:t>
      </w:r>
      <w:r w:rsidRPr="00DF26A7">
        <w:rPr>
          <w:rFonts w:ascii="Times New Roman" w:hAnsi="Times New Roman" w:cs="Times New Roman"/>
          <w:color w:val="000000"/>
          <w:sz w:val="24"/>
          <w:szCs w:val="24"/>
          <w:lang w:val="en-US"/>
        </w:rPr>
        <w:t>.</w:t>
      </w:r>
    </w:p>
    <w:p w:rsidR="004F47D5" w:rsidRPr="00DF26A7" w:rsidRDefault="004F47D5" w:rsidP="00BD7CE6">
      <w:pPr>
        <w:spacing w:line="360" w:lineRule="auto"/>
        <w:rPr>
          <w:rFonts w:ascii="Times New Roman" w:hAnsi="Times New Roman" w:cs="Times New Roman"/>
          <w:sz w:val="24"/>
          <w:szCs w:val="24"/>
          <w:lang w:val="en-US"/>
        </w:rPr>
      </w:pPr>
      <w:r w:rsidRPr="00BD7CE6">
        <w:rPr>
          <w:rFonts w:ascii="Times New Roman" w:hAnsi="Times New Roman" w:cs="Times New Roman"/>
          <w:b/>
          <w:sz w:val="24"/>
          <w:szCs w:val="24"/>
          <w:lang w:val="en-US"/>
        </w:rPr>
        <w:lastRenderedPageBreak/>
        <w:t>Table 3.</w:t>
      </w:r>
      <w:r w:rsidR="00396053">
        <w:rPr>
          <w:rFonts w:ascii="Times New Roman" w:hAnsi="Times New Roman" w:cs="Times New Roman"/>
          <w:b/>
          <w:sz w:val="24"/>
          <w:szCs w:val="24"/>
          <w:lang w:val="en-US"/>
        </w:rPr>
        <w:t>5</w:t>
      </w:r>
      <w:r w:rsidR="00BD7CE6" w:rsidRPr="00BD7CE6">
        <w:rPr>
          <w:rFonts w:ascii="Times New Roman" w:hAnsi="Times New Roman" w:cs="Times New Roman"/>
          <w:sz w:val="24"/>
          <w:szCs w:val="24"/>
          <w:lang w:val="en-US"/>
        </w:rPr>
        <w:t xml:space="preserve"> </w:t>
      </w:r>
      <w:r w:rsidR="00BD7CE6" w:rsidRPr="00DF26A7">
        <w:rPr>
          <w:rFonts w:ascii="Times New Roman" w:hAnsi="Times New Roman" w:cs="Times New Roman"/>
          <w:sz w:val="24"/>
          <w:szCs w:val="24"/>
          <w:lang w:val="en-US"/>
        </w:rPr>
        <w:t xml:space="preserve">Descriptive statistics of </w:t>
      </w:r>
      <w:r w:rsidR="00BD7CE6">
        <w:rPr>
          <w:rFonts w:ascii="Times New Roman" w:hAnsi="Times New Roman" w:cs="Times New Roman"/>
          <w:sz w:val="24"/>
          <w:szCs w:val="24"/>
          <w:lang w:val="en-US"/>
        </w:rPr>
        <w:t>independent variable</w:t>
      </w:r>
    </w:p>
    <w:tbl>
      <w:tblPr>
        <w:tblStyle w:val="ab"/>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701"/>
        <w:gridCol w:w="1701"/>
        <w:gridCol w:w="1559"/>
        <w:gridCol w:w="1701"/>
      </w:tblGrid>
      <w:tr w:rsidR="004F47D5" w:rsidRPr="00DF26A7" w:rsidTr="00CD03B7">
        <w:trPr>
          <w:cantSplit/>
          <w:trHeight w:val="633"/>
        </w:trPr>
        <w:tc>
          <w:tcPr>
            <w:tcW w:w="2689" w:type="dxa"/>
            <w:tcBorders>
              <w:bottom w:val="single" w:sz="4" w:space="0" w:color="auto"/>
            </w:tcBorders>
            <w:shd w:val="clear" w:color="auto" w:fill="auto"/>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Variable</w:t>
            </w:r>
          </w:p>
        </w:tc>
        <w:tc>
          <w:tcPr>
            <w:tcW w:w="1701" w:type="dxa"/>
            <w:tcBorders>
              <w:bottom w:val="single" w:sz="4" w:space="0" w:color="auto"/>
            </w:tcBorders>
            <w:shd w:val="clear" w:color="auto" w:fill="auto"/>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Mean</w:t>
            </w:r>
          </w:p>
        </w:tc>
        <w:tc>
          <w:tcPr>
            <w:tcW w:w="1701" w:type="dxa"/>
            <w:tcBorders>
              <w:bottom w:val="single" w:sz="4" w:space="0" w:color="auto"/>
            </w:tcBorders>
            <w:shd w:val="clear" w:color="auto" w:fill="auto"/>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Std. Dev.</w:t>
            </w:r>
          </w:p>
        </w:tc>
        <w:tc>
          <w:tcPr>
            <w:tcW w:w="1559" w:type="dxa"/>
            <w:tcBorders>
              <w:bottom w:val="single" w:sz="4" w:space="0" w:color="auto"/>
            </w:tcBorders>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Min</w:t>
            </w:r>
          </w:p>
        </w:tc>
        <w:tc>
          <w:tcPr>
            <w:tcW w:w="1701" w:type="dxa"/>
            <w:tcBorders>
              <w:bottom w:val="single" w:sz="4" w:space="0" w:color="auto"/>
            </w:tcBorders>
            <w:vAlign w:val="center"/>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Max</w:t>
            </w:r>
          </w:p>
        </w:tc>
      </w:tr>
      <w:tr w:rsidR="004F47D5" w:rsidRPr="00DF26A7" w:rsidTr="00CD03B7">
        <w:trPr>
          <w:cantSplit/>
          <w:trHeight w:val="433"/>
        </w:trPr>
        <w:tc>
          <w:tcPr>
            <w:tcW w:w="9351" w:type="dxa"/>
            <w:gridSpan w:val="5"/>
            <w:tcBorders>
              <w:top w:val="single" w:sz="4" w:space="0" w:color="auto"/>
              <w:bottom w:val="single" w:sz="4" w:space="0" w:color="auto"/>
            </w:tcBorders>
          </w:tcPr>
          <w:p w:rsidR="004F47D5" w:rsidRPr="00BD7CE6" w:rsidRDefault="004F47D5" w:rsidP="00DF26A7">
            <w:pPr>
              <w:spacing w:line="360" w:lineRule="auto"/>
              <w:rPr>
                <w:rFonts w:ascii="Times New Roman" w:hAnsi="Times New Roman" w:cs="Times New Roman"/>
                <w:b/>
                <w:sz w:val="24"/>
                <w:szCs w:val="24"/>
                <w:lang w:val="en-US"/>
              </w:rPr>
            </w:pPr>
            <w:r w:rsidRPr="00BD7CE6">
              <w:rPr>
                <w:rFonts w:ascii="Times New Roman" w:hAnsi="Times New Roman" w:cs="Times New Roman"/>
                <w:b/>
                <w:sz w:val="24"/>
                <w:szCs w:val="24"/>
                <w:lang w:val="en-US"/>
              </w:rPr>
              <w:t>Control variables</w:t>
            </w:r>
          </w:p>
        </w:tc>
      </w:tr>
      <w:tr w:rsidR="004F47D5" w:rsidRPr="00DF26A7" w:rsidTr="00CD03B7">
        <w:trPr>
          <w:cantSplit/>
          <w:trHeight w:val="323"/>
        </w:trPr>
        <w:tc>
          <w:tcPr>
            <w:tcW w:w="2689" w:type="dxa"/>
            <w:tcBorders>
              <w:top w:val="single" w:sz="4" w:space="0" w:color="auto"/>
            </w:tcBorders>
          </w:tcPr>
          <w:p w:rsidR="004F47D5" w:rsidRPr="00F4193C" w:rsidRDefault="004F47D5" w:rsidP="00DF26A7">
            <w:pPr>
              <w:spacing w:line="360" w:lineRule="auto"/>
              <w:rPr>
                <w:rFonts w:ascii="Cambria Math" w:hAnsi="Cambria Math" w:cs="Times New Roman"/>
                <w:i/>
                <w:sz w:val="24"/>
                <w:szCs w:val="24"/>
                <w:vertAlign w:val="subscript"/>
                <w:lang w:val="en-US"/>
              </w:rPr>
            </w:pPr>
            <w:r w:rsidRPr="00F4193C">
              <w:rPr>
                <w:rFonts w:ascii="Cambria Math" w:hAnsi="Cambria Math" w:cs="Times New Roman"/>
                <w:i/>
                <w:sz w:val="24"/>
                <w:szCs w:val="24"/>
                <w:lang w:val="en-US"/>
              </w:rPr>
              <w:t>size</w:t>
            </w:r>
            <w:r w:rsidRPr="00F4193C">
              <w:rPr>
                <w:rFonts w:ascii="Cambria Math" w:hAnsi="Cambria Math" w:cs="Times New Roman"/>
                <w:i/>
                <w:sz w:val="24"/>
                <w:szCs w:val="24"/>
                <w:vertAlign w:val="subscript"/>
                <w:lang w:val="en-US"/>
              </w:rPr>
              <w:t>it</w:t>
            </w:r>
          </w:p>
        </w:tc>
        <w:tc>
          <w:tcPr>
            <w:tcW w:w="1701"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14.923</w:t>
            </w:r>
          </w:p>
        </w:tc>
        <w:tc>
          <w:tcPr>
            <w:tcW w:w="1701"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1.853</w:t>
            </w:r>
          </w:p>
        </w:tc>
        <w:tc>
          <w:tcPr>
            <w:tcW w:w="1559"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0.026</w:t>
            </w:r>
          </w:p>
        </w:tc>
        <w:tc>
          <w:tcPr>
            <w:tcW w:w="1701" w:type="dxa"/>
            <w:tcBorders>
              <w:top w:val="single" w:sz="4" w:space="0" w:color="auto"/>
            </w:tcBorders>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19.008</w:t>
            </w:r>
          </w:p>
        </w:tc>
      </w:tr>
      <w:tr w:rsidR="004F47D5" w:rsidRPr="00DF26A7" w:rsidTr="00CD03B7">
        <w:trPr>
          <w:cantSplit/>
          <w:trHeight w:val="394"/>
        </w:trPr>
        <w:tc>
          <w:tcPr>
            <w:tcW w:w="2689" w:type="dxa"/>
          </w:tcPr>
          <w:p w:rsidR="004F47D5" w:rsidRPr="00F4193C" w:rsidRDefault="004F47D5" w:rsidP="00DF26A7">
            <w:pPr>
              <w:spacing w:line="360" w:lineRule="auto"/>
              <w:rPr>
                <w:rFonts w:ascii="Cambria Math" w:hAnsi="Cambria Math" w:cs="Times New Roman"/>
                <w:i/>
                <w:sz w:val="24"/>
                <w:szCs w:val="24"/>
                <w:lang w:val="en-US"/>
              </w:rPr>
            </w:pPr>
            <w:r w:rsidRPr="00F4193C">
              <w:rPr>
                <w:rFonts w:ascii="Cambria Math" w:hAnsi="Cambria Math" w:cs="Times New Roman"/>
                <w:i/>
                <w:sz w:val="24"/>
                <w:szCs w:val="24"/>
                <w:lang w:val="en-US"/>
              </w:rPr>
              <w:t>vola</w:t>
            </w:r>
            <w:r w:rsidRPr="00F4193C">
              <w:rPr>
                <w:rFonts w:ascii="Cambria Math" w:hAnsi="Cambria Math" w:cs="Times New Roman"/>
                <w:i/>
                <w:sz w:val="24"/>
                <w:szCs w:val="24"/>
                <w:vertAlign w:val="subscript"/>
                <w:lang w:val="en-US"/>
              </w:rPr>
              <w:t>it</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0.035</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0.018</w:t>
            </w:r>
          </w:p>
        </w:tc>
        <w:tc>
          <w:tcPr>
            <w:tcW w:w="155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0.016</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0.150</w:t>
            </w:r>
          </w:p>
        </w:tc>
      </w:tr>
      <w:tr w:rsidR="004F47D5" w:rsidRPr="00DF26A7" w:rsidTr="00CD03B7">
        <w:trPr>
          <w:cantSplit/>
          <w:trHeight w:val="353"/>
        </w:trPr>
        <w:tc>
          <w:tcPr>
            <w:tcW w:w="2689" w:type="dxa"/>
          </w:tcPr>
          <w:p w:rsidR="004F47D5" w:rsidRPr="00F4193C" w:rsidRDefault="004F47D5" w:rsidP="00DF26A7">
            <w:pPr>
              <w:spacing w:line="360" w:lineRule="auto"/>
              <w:rPr>
                <w:rFonts w:ascii="Cambria Math" w:hAnsi="Cambria Math" w:cs="Times New Roman"/>
                <w:i/>
                <w:sz w:val="24"/>
                <w:szCs w:val="24"/>
                <w:vertAlign w:val="subscript"/>
                <w:lang w:val="en-US"/>
              </w:rPr>
            </w:pPr>
            <w:r w:rsidRPr="00F4193C">
              <w:rPr>
                <w:rFonts w:ascii="Cambria Math" w:hAnsi="Cambria Math" w:cs="Times New Roman"/>
                <w:i/>
                <w:sz w:val="24"/>
                <w:szCs w:val="24"/>
                <w:lang w:val="en-US"/>
              </w:rPr>
              <w:t>capbuf</w:t>
            </w:r>
            <w:r w:rsidRPr="00F4193C">
              <w:rPr>
                <w:rFonts w:ascii="Cambria Math" w:hAnsi="Cambria Math" w:cs="Times New Roman"/>
                <w:i/>
                <w:sz w:val="24"/>
                <w:szCs w:val="24"/>
                <w:vertAlign w:val="subscript"/>
                <w:lang w:val="en-US"/>
              </w:rPr>
              <w:t>it</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0.149</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0.250</w:t>
            </w:r>
          </w:p>
        </w:tc>
        <w:tc>
          <w:tcPr>
            <w:tcW w:w="155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0.012</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2.612</w:t>
            </w:r>
          </w:p>
        </w:tc>
      </w:tr>
      <w:tr w:rsidR="004F47D5" w:rsidRPr="00DF26A7" w:rsidTr="00CD03B7">
        <w:trPr>
          <w:cantSplit/>
          <w:trHeight w:val="429"/>
        </w:trPr>
        <w:tc>
          <w:tcPr>
            <w:tcW w:w="2689" w:type="dxa"/>
          </w:tcPr>
          <w:p w:rsidR="004F47D5" w:rsidRPr="00F4193C" w:rsidRDefault="004F47D5" w:rsidP="00DF26A7">
            <w:pPr>
              <w:spacing w:line="360" w:lineRule="auto"/>
              <w:rPr>
                <w:rFonts w:ascii="Cambria Math" w:hAnsi="Cambria Math" w:cs="Times New Roman"/>
                <w:i/>
                <w:sz w:val="24"/>
                <w:szCs w:val="24"/>
                <w:vertAlign w:val="subscript"/>
                <w:lang w:val="en-US"/>
              </w:rPr>
            </w:pPr>
            <w:r w:rsidRPr="00F4193C">
              <w:rPr>
                <w:rFonts w:ascii="Cambria Math" w:hAnsi="Cambria Math" w:cs="Times New Roman"/>
                <w:i/>
                <w:sz w:val="24"/>
                <w:szCs w:val="24"/>
                <w:lang w:val="en-US"/>
              </w:rPr>
              <w:t>npl</w:t>
            </w:r>
            <w:r w:rsidRPr="00F4193C">
              <w:rPr>
                <w:rFonts w:ascii="Cambria Math" w:hAnsi="Cambria Math" w:cs="Times New Roman"/>
                <w:i/>
                <w:sz w:val="24"/>
                <w:szCs w:val="24"/>
                <w:vertAlign w:val="subscript"/>
                <w:lang w:val="en-US"/>
              </w:rPr>
              <w:t>it</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0.016</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0.014</w:t>
            </w:r>
          </w:p>
        </w:tc>
        <w:tc>
          <w:tcPr>
            <w:tcW w:w="155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0.000</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0.087</w:t>
            </w:r>
          </w:p>
        </w:tc>
      </w:tr>
      <w:tr w:rsidR="004F47D5" w:rsidRPr="00DF26A7" w:rsidTr="00CD03B7">
        <w:trPr>
          <w:cantSplit/>
          <w:trHeight w:val="273"/>
        </w:trPr>
        <w:tc>
          <w:tcPr>
            <w:tcW w:w="2689" w:type="dxa"/>
          </w:tcPr>
          <w:p w:rsidR="004F47D5" w:rsidRPr="00F4193C" w:rsidRDefault="004F47D5" w:rsidP="00DF26A7">
            <w:pPr>
              <w:spacing w:line="360" w:lineRule="auto"/>
              <w:rPr>
                <w:rFonts w:ascii="Cambria Math" w:hAnsi="Cambria Math" w:cs="Times New Roman"/>
                <w:i/>
                <w:sz w:val="24"/>
                <w:szCs w:val="24"/>
                <w:vertAlign w:val="subscript"/>
                <w:lang w:val="en-US"/>
              </w:rPr>
            </w:pPr>
            <w:r w:rsidRPr="00F4193C">
              <w:rPr>
                <w:rFonts w:ascii="Cambria Math" w:hAnsi="Cambria Math" w:cs="Times New Roman"/>
                <w:i/>
                <w:sz w:val="24"/>
                <w:szCs w:val="24"/>
                <w:lang w:val="en-US"/>
              </w:rPr>
              <w:t>roe</w:t>
            </w:r>
            <w:r w:rsidRPr="00F4193C">
              <w:rPr>
                <w:rFonts w:ascii="Cambria Math" w:hAnsi="Cambria Math" w:cs="Times New Roman"/>
                <w:i/>
                <w:sz w:val="24"/>
                <w:szCs w:val="24"/>
                <w:vertAlign w:val="subscript"/>
                <w:lang w:val="en-US"/>
              </w:rPr>
              <w:t>it</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0.035</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0.330</w:t>
            </w:r>
          </w:p>
        </w:tc>
        <w:tc>
          <w:tcPr>
            <w:tcW w:w="155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-3.758</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0.622</w:t>
            </w:r>
          </w:p>
        </w:tc>
      </w:tr>
      <w:tr w:rsidR="004F47D5" w:rsidRPr="00DF26A7" w:rsidTr="00CD03B7">
        <w:trPr>
          <w:cantSplit/>
          <w:trHeight w:val="278"/>
        </w:trPr>
        <w:tc>
          <w:tcPr>
            <w:tcW w:w="2689" w:type="dxa"/>
          </w:tcPr>
          <w:p w:rsidR="004F47D5" w:rsidRPr="00F4193C" w:rsidRDefault="004F47D5" w:rsidP="00DF26A7">
            <w:pPr>
              <w:spacing w:line="360" w:lineRule="auto"/>
              <w:rPr>
                <w:rFonts w:ascii="Cambria Math" w:hAnsi="Cambria Math" w:cs="Times New Roman"/>
                <w:i/>
                <w:sz w:val="24"/>
                <w:szCs w:val="24"/>
                <w:lang w:val="en-US"/>
              </w:rPr>
            </w:pPr>
            <w:r w:rsidRPr="00F4193C">
              <w:rPr>
                <w:rFonts w:ascii="Cambria Math" w:hAnsi="Cambria Math" w:cs="Times New Roman"/>
                <w:i/>
                <w:sz w:val="24"/>
                <w:szCs w:val="24"/>
                <w:lang w:val="en-US"/>
              </w:rPr>
              <w:t>depo</w:t>
            </w:r>
            <w:r w:rsidRPr="00F4193C">
              <w:rPr>
                <w:rFonts w:ascii="Cambria Math" w:hAnsi="Cambria Math" w:cs="Times New Roman"/>
                <w:i/>
                <w:sz w:val="24"/>
                <w:szCs w:val="24"/>
                <w:vertAlign w:val="subscript"/>
                <w:lang w:val="en-US"/>
              </w:rPr>
              <w:t>it</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16.781</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1.933</w:t>
            </w:r>
          </w:p>
        </w:tc>
        <w:tc>
          <w:tcPr>
            <w:tcW w:w="1559"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0.0005</w:t>
            </w:r>
          </w:p>
        </w:tc>
        <w:tc>
          <w:tcPr>
            <w:tcW w:w="1701" w:type="dxa"/>
          </w:tcPr>
          <w:p w:rsidR="004F47D5" w:rsidRPr="00DF26A7" w:rsidRDefault="004F47D5" w:rsidP="00DF26A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20.900</w:t>
            </w:r>
          </w:p>
        </w:tc>
      </w:tr>
    </w:tbl>
    <w:p w:rsidR="004F47D5" w:rsidRPr="00DF26A7" w:rsidRDefault="004F47D5" w:rsidP="00DF26A7">
      <w:pPr>
        <w:spacing w:after="120" w:line="360" w:lineRule="auto"/>
        <w:contextualSpacing/>
        <w:rPr>
          <w:rFonts w:ascii="Times New Roman" w:hAnsi="Times New Roman" w:cs="Times New Roman"/>
          <w:sz w:val="24"/>
          <w:szCs w:val="24"/>
        </w:rPr>
      </w:pPr>
    </w:p>
    <w:p w:rsidR="004F47D5" w:rsidRPr="00DF26A7" w:rsidRDefault="004F47D5" w:rsidP="00BD7CE6">
      <w:pPr>
        <w:spacing w:line="360" w:lineRule="auto"/>
        <w:ind w:firstLine="708"/>
        <w:jc w:val="both"/>
        <w:rPr>
          <w:rFonts w:ascii="Times New Roman" w:hAnsi="Times New Roman" w:cs="Times New Roman"/>
          <w:color w:val="000000"/>
          <w:sz w:val="24"/>
          <w:szCs w:val="24"/>
          <w:lang w:val="en-US"/>
        </w:rPr>
      </w:pPr>
      <w:r w:rsidRPr="00DF26A7">
        <w:rPr>
          <w:rFonts w:ascii="Times New Roman" w:hAnsi="Times New Roman" w:cs="Times New Roman"/>
          <w:color w:val="000000"/>
          <w:sz w:val="24"/>
          <w:szCs w:val="24"/>
          <w:lang w:val="en-US"/>
        </w:rPr>
        <w:t>As we can infer from the table the average size of the</w:t>
      </w:r>
      <w:r w:rsidR="0028043C">
        <w:rPr>
          <w:rFonts w:ascii="Times New Roman" w:hAnsi="Times New Roman" w:cs="Times New Roman"/>
          <w:color w:val="000000"/>
          <w:sz w:val="24"/>
          <w:szCs w:val="24"/>
          <w:lang w:val="en-US"/>
        </w:rPr>
        <w:t xml:space="preserve"> bank holding</w:t>
      </w:r>
      <w:r w:rsidRPr="00DF26A7">
        <w:rPr>
          <w:rFonts w:ascii="Times New Roman" w:hAnsi="Times New Roman" w:cs="Times New Roman"/>
          <w:color w:val="000000"/>
          <w:sz w:val="24"/>
          <w:szCs w:val="24"/>
          <w:lang w:val="en-US"/>
        </w:rPr>
        <w:t xml:space="preserve"> companies</w:t>
      </w:r>
      <w:r w:rsidR="00F4193C">
        <w:rPr>
          <w:rFonts w:ascii="Times New Roman" w:hAnsi="Times New Roman" w:cs="Times New Roman"/>
          <w:color w:val="000000"/>
          <w:sz w:val="24"/>
          <w:szCs w:val="24"/>
          <w:lang w:val="en-US"/>
        </w:rPr>
        <w:t xml:space="preserve"> (</w:t>
      </w:r>
      <w:r w:rsidR="00F4193C" w:rsidRPr="00F4193C">
        <w:rPr>
          <w:rFonts w:ascii="Cambria Math" w:hAnsi="Cambria Math" w:cs="Times New Roman"/>
          <w:i/>
          <w:sz w:val="24"/>
          <w:szCs w:val="24"/>
          <w:lang w:val="en-US"/>
        </w:rPr>
        <w:t>size</w:t>
      </w:r>
      <w:r w:rsidR="00F4193C" w:rsidRPr="00F4193C">
        <w:rPr>
          <w:rFonts w:ascii="Cambria Math" w:hAnsi="Cambria Math" w:cs="Times New Roman"/>
          <w:i/>
          <w:sz w:val="24"/>
          <w:szCs w:val="24"/>
          <w:vertAlign w:val="subscript"/>
          <w:lang w:val="en-US"/>
        </w:rPr>
        <w:t>it</w:t>
      </w:r>
      <w:r w:rsidR="00F4193C">
        <w:rPr>
          <w:rFonts w:ascii="Times New Roman" w:hAnsi="Times New Roman" w:cs="Times New Roman"/>
          <w:color w:val="000000"/>
          <w:sz w:val="24"/>
          <w:szCs w:val="24"/>
          <w:lang w:val="en-US"/>
        </w:rPr>
        <w:t>)</w:t>
      </w:r>
      <w:r w:rsidRPr="00DF26A7">
        <w:rPr>
          <w:rFonts w:ascii="Times New Roman" w:hAnsi="Times New Roman" w:cs="Times New Roman"/>
          <w:color w:val="000000"/>
          <w:sz w:val="24"/>
          <w:szCs w:val="24"/>
          <w:lang w:val="en-US"/>
        </w:rPr>
        <w:t xml:space="preserve"> measured as the natural logarithm of market capitalization is equal to 14.923. That is $ 2 987 million.</w:t>
      </w:r>
    </w:p>
    <w:p w:rsidR="004F47D5" w:rsidRPr="00DF26A7" w:rsidRDefault="004F47D5" w:rsidP="00BD7CE6">
      <w:pPr>
        <w:spacing w:line="360" w:lineRule="auto"/>
        <w:ind w:firstLine="708"/>
        <w:jc w:val="both"/>
        <w:rPr>
          <w:rFonts w:ascii="Times New Roman" w:hAnsi="Times New Roman" w:cs="Times New Roman"/>
          <w:color w:val="000000"/>
          <w:sz w:val="24"/>
          <w:szCs w:val="24"/>
          <w:lang w:val="en-US"/>
        </w:rPr>
      </w:pPr>
      <w:r w:rsidRPr="00DF26A7">
        <w:rPr>
          <w:rFonts w:ascii="Times New Roman" w:hAnsi="Times New Roman" w:cs="Times New Roman"/>
          <w:color w:val="000000"/>
          <w:sz w:val="24"/>
          <w:szCs w:val="24"/>
          <w:lang w:val="en-US"/>
        </w:rPr>
        <w:t>Capital buffer</w:t>
      </w:r>
      <w:r w:rsidR="00F4193C">
        <w:rPr>
          <w:rFonts w:ascii="Times New Roman" w:hAnsi="Times New Roman" w:cs="Times New Roman"/>
          <w:color w:val="000000"/>
          <w:sz w:val="24"/>
          <w:szCs w:val="24"/>
          <w:lang w:val="en-US"/>
        </w:rPr>
        <w:t xml:space="preserve"> (</w:t>
      </w:r>
      <w:r w:rsidR="00F4193C" w:rsidRPr="00F4193C">
        <w:rPr>
          <w:rFonts w:ascii="Cambria Math" w:hAnsi="Cambria Math" w:cs="Times New Roman"/>
          <w:i/>
          <w:sz w:val="24"/>
          <w:szCs w:val="24"/>
          <w:lang w:val="en-US"/>
        </w:rPr>
        <w:t>capbuf</w:t>
      </w:r>
      <w:r w:rsidR="00F4193C" w:rsidRPr="00F4193C">
        <w:rPr>
          <w:rFonts w:ascii="Cambria Math" w:hAnsi="Cambria Math" w:cs="Times New Roman"/>
          <w:i/>
          <w:sz w:val="24"/>
          <w:szCs w:val="24"/>
          <w:vertAlign w:val="subscript"/>
          <w:lang w:val="en-US"/>
        </w:rPr>
        <w:t>it</w:t>
      </w:r>
      <w:r w:rsidR="00F4193C">
        <w:rPr>
          <w:rFonts w:ascii="Times New Roman" w:hAnsi="Times New Roman" w:cs="Times New Roman"/>
          <w:color w:val="000000"/>
          <w:sz w:val="24"/>
          <w:szCs w:val="24"/>
          <w:lang w:val="en-US"/>
        </w:rPr>
        <w:t>)</w:t>
      </w:r>
      <w:r w:rsidRPr="00DF26A7">
        <w:rPr>
          <w:rFonts w:ascii="Times New Roman" w:hAnsi="Times New Roman" w:cs="Times New Roman"/>
          <w:color w:val="000000"/>
          <w:sz w:val="24"/>
          <w:szCs w:val="24"/>
          <w:lang w:val="en-US"/>
        </w:rPr>
        <w:t xml:space="preserve"> is mandatory capital that </w:t>
      </w:r>
      <w:hyperlink r:id="rId24" w:history="1">
        <w:r w:rsidRPr="00DF26A7">
          <w:rPr>
            <w:rFonts w:ascii="Times New Roman" w:hAnsi="Times New Roman" w:cs="Times New Roman"/>
            <w:color w:val="000000"/>
            <w:sz w:val="24"/>
            <w:szCs w:val="24"/>
            <w:lang w:val="en-US"/>
          </w:rPr>
          <w:t>financial institutions</w:t>
        </w:r>
      </w:hyperlink>
      <w:r w:rsidRPr="00DF26A7">
        <w:rPr>
          <w:rFonts w:ascii="Times New Roman" w:hAnsi="Times New Roman" w:cs="Times New Roman"/>
          <w:color w:val="000000"/>
          <w:sz w:val="24"/>
          <w:szCs w:val="24"/>
          <w:lang w:val="en-US"/>
        </w:rPr>
        <w:t> are required to hold in addition to other minimum </w:t>
      </w:r>
      <w:hyperlink r:id="rId25" w:history="1">
        <w:r w:rsidRPr="00DF26A7">
          <w:rPr>
            <w:rFonts w:ascii="Times New Roman" w:hAnsi="Times New Roman" w:cs="Times New Roman"/>
            <w:color w:val="000000"/>
            <w:sz w:val="24"/>
            <w:szCs w:val="24"/>
            <w:lang w:val="en-US"/>
          </w:rPr>
          <w:t>capital requirements</w:t>
        </w:r>
      </w:hyperlink>
      <w:r w:rsidRPr="00DF26A7">
        <w:rPr>
          <w:rFonts w:ascii="Times New Roman" w:hAnsi="Times New Roman" w:cs="Times New Roman"/>
          <w:color w:val="000000"/>
          <w:sz w:val="24"/>
          <w:szCs w:val="24"/>
          <w:lang w:val="en-US"/>
        </w:rPr>
        <w:t>. The average capital buffer ratio across the sample equals 14.9% and the value ranges from 1.2% to 261.2%. For some bank holding companies equity capital exceeds its total liabilities therefore capital buffer ratio exceeds 100%.</w:t>
      </w:r>
    </w:p>
    <w:p w:rsidR="004F47D5" w:rsidRPr="00DF26A7" w:rsidRDefault="004F47D5" w:rsidP="00BD7CE6">
      <w:pPr>
        <w:spacing w:line="360" w:lineRule="auto"/>
        <w:ind w:firstLine="708"/>
        <w:jc w:val="both"/>
        <w:rPr>
          <w:rFonts w:ascii="Times New Roman" w:hAnsi="Times New Roman" w:cs="Times New Roman"/>
          <w:color w:val="000000"/>
          <w:sz w:val="24"/>
          <w:szCs w:val="24"/>
          <w:lang w:val="en-US"/>
        </w:rPr>
      </w:pPr>
      <w:r w:rsidRPr="00DF26A7">
        <w:rPr>
          <w:rFonts w:ascii="Times New Roman" w:hAnsi="Times New Roman" w:cs="Times New Roman"/>
          <w:color w:val="000000"/>
          <w:sz w:val="24"/>
          <w:szCs w:val="24"/>
          <w:lang w:val="en-US"/>
        </w:rPr>
        <w:t>The average non-performing loans ratio</w:t>
      </w:r>
      <w:r w:rsidR="00F4193C">
        <w:rPr>
          <w:rFonts w:ascii="Times New Roman" w:hAnsi="Times New Roman" w:cs="Times New Roman"/>
          <w:color w:val="000000"/>
          <w:sz w:val="24"/>
          <w:szCs w:val="24"/>
          <w:lang w:val="en-US"/>
        </w:rPr>
        <w:t xml:space="preserve"> (</w:t>
      </w:r>
      <w:r w:rsidR="00F4193C" w:rsidRPr="00F4193C">
        <w:rPr>
          <w:rFonts w:ascii="Cambria Math" w:hAnsi="Cambria Math" w:cs="Times New Roman"/>
          <w:i/>
          <w:sz w:val="24"/>
          <w:szCs w:val="24"/>
          <w:lang w:val="en-US"/>
        </w:rPr>
        <w:t>npl</w:t>
      </w:r>
      <w:r w:rsidR="00F4193C" w:rsidRPr="00F4193C">
        <w:rPr>
          <w:rFonts w:ascii="Cambria Math" w:hAnsi="Cambria Math" w:cs="Times New Roman"/>
          <w:i/>
          <w:sz w:val="24"/>
          <w:szCs w:val="24"/>
          <w:vertAlign w:val="subscript"/>
          <w:lang w:val="en-US"/>
        </w:rPr>
        <w:t>it</w:t>
      </w:r>
      <w:r w:rsidR="00F4193C">
        <w:rPr>
          <w:rFonts w:ascii="Times New Roman" w:hAnsi="Times New Roman" w:cs="Times New Roman"/>
          <w:color w:val="000000"/>
          <w:sz w:val="24"/>
          <w:szCs w:val="24"/>
          <w:lang w:val="en-US"/>
        </w:rPr>
        <w:t>)</w:t>
      </w:r>
      <w:r w:rsidRPr="00DF26A7">
        <w:rPr>
          <w:rFonts w:ascii="Times New Roman" w:hAnsi="Times New Roman" w:cs="Times New Roman"/>
          <w:color w:val="000000"/>
          <w:sz w:val="24"/>
          <w:szCs w:val="24"/>
          <w:lang w:val="en-US"/>
        </w:rPr>
        <w:t xml:space="preserve"> measured as the bank’s non-performing loans as a proportion of its total assets is equal to 2%. The value ranges from 1% to 9%.</w:t>
      </w:r>
    </w:p>
    <w:p w:rsidR="004F47D5" w:rsidRPr="00DF26A7" w:rsidRDefault="004F47D5" w:rsidP="00BD7CE6">
      <w:pPr>
        <w:spacing w:line="360" w:lineRule="auto"/>
        <w:ind w:firstLine="708"/>
        <w:jc w:val="both"/>
        <w:rPr>
          <w:rFonts w:ascii="Times New Roman" w:hAnsi="Times New Roman" w:cs="Times New Roman"/>
          <w:color w:val="000000"/>
          <w:sz w:val="24"/>
          <w:szCs w:val="24"/>
          <w:lang w:val="en-US"/>
        </w:rPr>
      </w:pPr>
      <w:r w:rsidRPr="00DF26A7">
        <w:rPr>
          <w:rFonts w:ascii="Times New Roman" w:hAnsi="Times New Roman" w:cs="Times New Roman"/>
          <w:color w:val="000000"/>
          <w:sz w:val="24"/>
          <w:szCs w:val="24"/>
          <w:lang w:val="en-US"/>
        </w:rPr>
        <w:t>The return on equity</w:t>
      </w:r>
      <w:r w:rsidR="00F4193C">
        <w:rPr>
          <w:rFonts w:ascii="Times New Roman" w:hAnsi="Times New Roman" w:cs="Times New Roman"/>
          <w:color w:val="000000"/>
          <w:sz w:val="24"/>
          <w:szCs w:val="24"/>
          <w:lang w:val="en-US"/>
        </w:rPr>
        <w:t xml:space="preserve"> (</w:t>
      </w:r>
      <w:r w:rsidR="00910656" w:rsidRPr="00F4193C">
        <w:rPr>
          <w:rFonts w:ascii="Cambria Math" w:hAnsi="Cambria Math" w:cs="Times New Roman"/>
          <w:i/>
          <w:sz w:val="24"/>
          <w:szCs w:val="24"/>
          <w:lang w:val="en-US"/>
        </w:rPr>
        <w:t>roe</w:t>
      </w:r>
      <w:r w:rsidR="00910656" w:rsidRPr="00F4193C">
        <w:rPr>
          <w:rFonts w:ascii="Cambria Math" w:hAnsi="Cambria Math" w:cs="Times New Roman"/>
          <w:i/>
          <w:sz w:val="24"/>
          <w:szCs w:val="24"/>
          <w:vertAlign w:val="subscript"/>
          <w:lang w:val="en-US"/>
        </w:rPr>
        <w:t>it</w:t>
      </w:r>
      <w:r w:rsidR="00F4193C">
        <w:rPr>
          <w:rFonts w:ascii="Times New Roman" w:hAnsi="Times New Roman" w:cs="Times New Roman"/>
          <w:color w:val="000000"/>
          <w:sz w:val="24"/>
          <w:szCs w:val="24"/>
          <w:lang w:val="en-US"/>
        </w:rPr>
        <w:t>)</w:t>
      </w:r>
      <w:r w:rsidRPr="00DF26A7">
        <w:rPr>
          <w:rFonts w:ascii="Times New Roman" w:hAnsi="Times New Roman" w:cs="Times New Roman"/>
          <w:color w:val="000000"/>
          <w:sz w:val="24"/>
          <w:szCs w:val="24"/>
          <w:lang w:val="en-US"/>
        </w:rPr>
        <w:t xml:space="preserve"> that represents the amount of </w:t>
      </w:r>
      <w:hyperlink r:id="rId26" w:history="1">
        <w:r w:rsidRPr="00DF26A7">
          <w:rPr>
            <w:rFonts w:ascii="Times New Roman" w:hAnsi="Times New Roman" w:cs="Times New Roman"/>
            <w:color w:val="000000"/>
            <w:sz w:val="24"/>
            <w:szCs w:val="24"/>
            <w:lang w:val="en-US"/>
          </w:rPr>
          <w:t>net income</w:t>
        </w:r>
      </w:hyperlink>
      <w:r w:rsidRPr="00DF26A7">
        <w:rPr>
          <w:rFonts w:ascii="Times New Roman" w:hAnsi="Times New Roman" w:cs="Times New Roman"/>
          <w:color w:val="000000"/>
          <w:sz w:val="24"/>
          <w:szCs w:val="24"/>
          <w:lang w:val="en-US"/>
        </w:rPr>
        <w:t> returned as a percentage of </w:t>
      </w:r>
      <w:hyperlink r:id="rId27" w:history="1">
        <w:r w:rsidRPr="00DF26A7">
          <w:rPr>
            <w:rFonts w:ascii="Times New Roman" w:hAnsi="Times New Roman" w:cs="Times New Roman"/>
            <w:color w:val="000000"/>
            <w:sz w:val="24"/>
            <w:szCs w:val="24"/>
            <w:lang w:val="en-US"/>
          </w:rPr>
          <w:t>shareholders</w:t>
        </w:r>
      </w:hyperlink>
      <w:r w:rsidRPr="00DF26A7">
        <w:rPr>
          <w:rFonts w:ascii="Times New Roman" w:hAnsi="Times New Roman" w:cs="Times New Roman"/>
          <w:color w:val="000000"/>
          <w:sz w:val="24"/>
          <w:szCs w:val="24"/>
          <w:lang w:val="en-US"/>
        </w:rPr>
        <w:t xml:space="preserve"> equity equals on average 5.2%. The value ranges from -375.8% to 62.2%. </w:t>
      </w:r>
      <w:r w:rsidRPr="00DF26A7">
        <w:rPr>
          <w:rFonts w:ascii="Times New Roman" w:hAnsi="Times New Roman" w:cs="Times New Roman"/>
          <w:sz w:val="24"/>
          <w:szCs w:val="24"/>
          <w:lang w:val="en-US"/>
        </w:rPr>
        <w:t>We observe bank holding companies with huge negative return on equity, that is due to huge losses incurred by bank holding companies in some years.</w:t>
      </w:r>
    </w:p>
    <w:p w:rsidR="004F47D5" w:rsidRDefault="004F47D5" w:rsidP="00BD7CE6">
      <w:pPr>
        <w:spacing w:line="360" w:lineRule="auto"/>
        <w:ind w:firstLine="708"/>
        <w:jc w:val="both"/>
        <w:rPr>
          <w:rFonts w:cs="Times New Roman"/>
          <w:color w:val="000000"/>
          <w:szCs w:val="24"/>
          <w:lang w:val="en-US"/>
        </w:rPr>
      </w:pPr>
      <w:r w:rsidRPr="00DF26A7">
        <w:rPr>
          <w:rFonts w:ascii="Times New Roman" w:hAnsi="Times New Roman" w:cs="Times New Roman"/>
          <w:color w:val="000000"/>
          <w:sz w:val="24"/>
          <w:szCs w:val="24"/>
          <w:lang w:val="en-US"/>
        </w:rPr>
        <w:t>The average amount of the bank holding companies’ deposits</w:t>
      </w:r>
      <w:r w:rsidR="00F4193C">
        <w:rPr>
          <w:rFonts w:ascii="Times New Roman" w:hAnsi="Times New Roman" w:cs="Times New Roman"/>
          <w:color w:val="000000"/>
          <w:sz w:val="24"/>
          <w:szCs w:val="24"/>
          <w:lang w:val="en-US"/>
        </w:rPr>
        <w:t xml:space="preserve"> (</w:t>
      </w:r>
      <w:r w:rsidR="00F4193C" w:rsidRPr="00F4193C">
        <w:rPr>
          <w:rFonts w:ascii="Cambria Math" w:hAnsi="Cambria Math" w:cs="Times New Roman"/>
          <w:i/>
          <w:sz w:val="24"/>
          <w:szCs w:val="24"/>
          <w:lang w:val="en-US"/>
        </w:rPr>
        <w:t>depo</w:t>
      </w:r>
      <w:r w:rsidR="00F4193C" w:rsidRPr="00F4193C">
        <w:rPr>
          <w:rFonts w:ascii="Cambria Math" w:hAnsi="Cambria Math" w:cs="Times New Roman"/>
          <w:i/>
          <w:sz w:val="24"/>
          <w:szCs w:val="24"/>
          <w:vertAlign w:val="subscript"/>
          <w:lang w:val="en-US"/>
        </w:rPr>
        <w:t>it</w:t>
      </w:r>
      <w:r w:rsidR="00F4193C">
        <w:rPr>
          <w:rFonts w:ascii="Times New Roman" w:hAnsi="Times New Roman" w:cs="Times New Roman"/>
          <w:color w:val="000000"/>
          <w:sz w:val="24"/>
          <w:szCs w:val="24"/>
          <w:lang w:val="en-US"/>
        </w:rPr>
        <w:t>)</w:t>
      </w:r>
      <w:r w:rsidRPr="00DF26A7">
        <w:rPr>
          <w:rFonts w:ascii="Times New Roman" w:hAnsi="Times New Roman" w:cs="Times New Roman"/>
          <w:color w:val="000000"/>
          <w:sz w:val="24"/>
          <w:szCs w:val="24"/>
          <w:lang w:val="en-US"/>
        </w:rPr>
        <w:t xml:space="preserve"> measured as the natural logarithm of total deposits is equal to 16.84. That is $ 20 583 million.</w:t>
      </w:r>
      <w:r w:rsidRPr="005E2B1E">
        <w:rPr>
          <w:rFonts w:cs="Times New Roman"/>
          <w:color w:val="000000"/>
          <w:szCs w:val="24"/>
          <w:lang w:val="en-US"/>
        </w:rPr>
        <w:t xml:space="preserve"> </w:t>
      </w:r>
    </w:p>
    <w:p w:rsidR="000E7CB7" w:rsidRDefault="000E7CB7" w:rsidP="000E7CB7">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I divided all bank holding companies into two groups: </w:t>
      </w:r>
      <w:r w:rsidRPr="00DF26A7">
        <w:rPr>
          <w:rFonts w:ascii="Times New Roman" w:hAnsi="Times New Roman" w:cs="Times New Roman"/>
          <w:sz w:val="24"/>
          <w:szCs w:val="24"/>
          <w:lang w:val="en-US"/>
        </w:rPr>
        <w:t>high-disclosed</w:t>
      </w:r>
      <w:r>
        <w:rPr>
          <w:rFonts w:ascii="Times New Roman" w:hAnsi="Times New Roman" w:cs="Times New Roman"/>
          <w:sz w:val="24"/>
          <w:szCs w:val="24"/>
          <w:lang w:val="en-US"/>
        </w:rPr>
        <w:t xml:space="preserve"> and </w:t>
      </w:r>
      <w:r w:rsidRPr="00DF26A7">
        <w:rPr>
          <w:rFonts w:ascii="Times New Roman" w:hAnsi="Times New Roman" w:cs="Times New Roman"/>
          <w:sz w:val="24"/>
          <w:szCs w:val="24"/>
          <w:lang w:val="en-US"/>
        </w:rPr>
        <w:t>low-disclosed</w:t>
      </w:r>
      <w:r>
        <w:rPr>
          <w:rFonts w:ascii="Times New Roman" w:hAnsi="Times New Roman" w:cs="Times New Roman"/>
          <w:sz w:val="24"/>
          <w:szCs w:val="24"/>
          <w:lang w:val="en-US"/>
        </w:rPr>
        <w:t xml:space="preserve"> bank holding companies. Into </w:t>
      </w:r>
      <w:r w:rsidRPr="00DF26A7">
        <w:rPr>
          <w:rFonts w:ascii="Times New Roman" w:hAnsi="Times New Roman" w:cs="Times New Roman"/>
          <w:sz w:val="24"/>
          <w:szCs w:val="24"/>
          <w:lang w:val="en-US"/>
        </w:rPr>
        <w:t>high-disclosed</w:t>
      </w:r>
      <w:r>
        <w:rPr>
          <w:rFonts w:ascii="Times New Roman" w:hAnsi="Times New Roman" w:cs="Times New Roman"/>
          <w:sz w:val="24"/>
          <w:szCs w:val="24"/>
          <w:lang w:val="en-US"/>
        </w:rPr>
        <w:t xml:space="preserve"> group all BHC with aggregated disclosure index above median in a particular year are included and on the contrary into low</w:t>
      </w:r>
      <w:r w:rsidRPr="00DF26A7">
        <w:rPr>
          <w:rFonts w:ascii="Times New Roman" w:hAnsi="Times New Roman" w:cs="Times New Roman"/>
          <w:sz w:val="24"/>
          <w:szCs w:val="24"/>
          <w:lang w:val="en-US"/>
        </w:rPr>
        <w:t>-disclosed</w:t>
      </w:r>
      <w:r>
        <w:rPr>
          <w:rFonts w:ascii="Times New Roman" w:hAnsi="Times New Roman" w:cs="Times New Roman"/>
          <w:sz w:val="24"/>
          <w:szCs w:val="24"/>
          <w:lang w:val="en-US"/>
        </w:rPr>
        <w:t xml:space="preserve"> group all BHC with aggregated disclosure index below median. Then I employed t</w:t>
      </w:r>
      <w:r w:rsidRPr="00DF26A7">
        <w:rPr>
          <w:rFonts w:ascii="Times New Roman" w:hAnsi="Times New Roman" w:cs="Times New Roman"/>
          <w:sz w:val="24"/>
          <w:szCs w:val="24"/>
          <w:lang w:val="en-US"/>
        </w:rPr>
        <w:t xml:space="preserve">he test for </w:t>
      </w:r>
      <w:r>
        <w:rPr>
          <w:rFonts w:ascii="Times New Roman" w:hAnsi="Times New Roman" w:cs="Times New Roman"/>
          <w:sz w:val="24"/>
          <w:szCs w:val="24"/>
          <w:lang w:val="en-US"/>
        </w:rPr>
        <w:t>comparison of means between these two groups. The results are presented in the t</w:t>
      </w:r>
      <w:r w:rsidR="0028043C">
        <w:rPr>
          <w:rFonts w:ascii="Times New Roman" w:hAnsi="Times New Roman" w:cs="Times New Roman"/>
          <w:sz w:val="24"/>
          <w:szCs w:val="24"/>
          <w:lang w:val="en-US"/>
        </w:rPr>
        <w:t>able 3.</w:t>
      </w:r>
      <w:r w:rsidR="00396053">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DF26A7">
        <w:rPr>
          <w:rFonts w:ascii="Times New Roman" w:hAnsi="Times New Roman" w:cs="Times New Roman"/>
          <w:sz w:val="24"/>
          <w:szCs w:val="24"/>
          <w:lang w:val="en-US"/>
        </w:rPr>
        <w:t xml:space="preserve">The results show that BHCs disclosing more information related to their risk profiles have higher </w:t>
      </w:r>
      <w:r w:rsidR="00DE47A1">
        <w:rPr>
          <w:rFonts w:ascii="Times New Roman" w:hAnsi="Times New Roman" w:cs="Times New Roman"/>
          <w:sz w:val="24"/>
          <w:szCs w:val="24"/>
          <w:lang w:val="en-US"/>
        </w:rPr>
        <w:t>systemic</w:t>
      </w:r>
      <w:r w:rsidRPr="00DF26A7">
        <w:rPr>
          <w:rFonts w:ascii="Times New Roman" w:hAnsi="Times New Roman" w:cs="Times New Roman"/>
          <w:sz w:val="24"/>
          <w:szCs w:val="24"/>
          <w:lang w:val="en-US"/>
        </w:rPr>
        <w:t xml:space="preserve"> risk in the following year. </w:t>
      </w:r>
      <w:r>
        <w:rPr>
          <w:rFonts w:ascii="Times New Roman" w:hAnsi="Times New Roman" w:cs="Times New Roman"/>
          <w:sz w:val="24"/>
          <w:szCs w:val="24"/>
          <w:lang w:val="en-US"/>
        </w:rPr>
        <w:t xml:space="preserve">After that BHC in </w:t>
      </w:r>
      <w:r w:rsidRPr="00DF26A7">
        <w:rPr>
          <w:rFonts w:ascii="Times New Roman" w:hAnsi="Times New Roman" w:cs="Times New Roman"/>
          <w:sz w:val="24"/>
          <w:szCs w:val="24"/>
          <w:lang w:val="en-US"/>
        </w:rPr>
        <w:t>high-disclosed</w:t>
      </w:r>
      <w:r>
        <w:rPr>
          <w:rFonts w:ascii="Times New Roman" w:hAnsi="Times New Roman" w:cs="Times New Roman"/>
          <w:sz w:val="24"/>
          <w:szCs w:val="24"/>
          <w:lang w:val="en-US"/>
        </w:rPr>
        <w:t xml:space="preserve"> group are </w:t>
      </w:r>
      <w:r w:rsidRPr="00DF26A7">
        <w:rPr>
          <w:rFonts w:ascii="Times New Roman" w:hAnsi="Times New Roman" w:cs="Times New Roman"/>
          <w:sz w:val="24"/>
          <w:szCs w:val="24"/>
          <w:lang w:val="en-US"/>
        </w:rPr>
        <w:t>larger in size</w:t>
      </w:r>
      <w:r>
        <w:rPr>
          <w:rFonts w:ascii="Times New Roman" w:hAnsi="Times New Roman" w:cs="Times New Roman"/>
          <w:sz w:val="24"/>
          <w:szCs w:val="24"/>
          <w:lang w:val="en-US"/>
        </w:rPr>
        <w:t xml:space="preserve">. This may be </w:t>
      </w:r>
      <w:r>
        <w:rPr>
          <w:rFonts w:ascii="Times New Roman" w:hAnsi="Times New Roman" w:cs="Times New Roman"/>
          <w:sz w:val="24"/>
          <w:szCs w:val="24"/>
          <w:lang w:val="en-US"/>
        </w:rPr>
        <w:lastRenderedPageBreak/>
        <w:t xml:space="preserve">explained by the fact that larger bank holding companies are more complicated in structure and they are involved in wide range of </w:t>
      </w:r>
      <w:r w:rsidRPr="00DF26A7">
        <w:rPr>
          <w:rFonts w:ascii="Times New Roman" w:hAnsi="Times New Roman" w:cs="Times New Roman"/>
          <w:sz w:val="24"/>
          <w:szCs w:val="24"/>
          <w:lang w:val="en-US"/>
        </w:rPr>
        <w:t>riskier non-banking activities</w:t>
      </w:r>
      <w:r>
        <w:rPr>
          <w:rFonts w:ascii="Times New Roman" w:hAnsi="Times New Roman" w:cs="Times New Roman"/>
          <w:sz w:val="24"/>
          <w:szCs w:val="24"/>
          <w:lang w:val="en-US"/>
        </w:rPr>
        <w:t>. Thus, the</w:t>
      </w:r>
      <w:r w:rsidR="000450AF">
        <w:rPr>
          <w:rFonts w:ascii="Times New Roman" w:hAnsi="Times New Roman" w:cs="Times New Roman"/>
          <w:sz w:val="24"/>
          <w:szCs w:val="24"/>
          <w:lang w:val="en-US"/>
        </w:rPr>
        <w:t xml:space="preserve">y have higher </w:t>
      </w:r>
      <w:r>
        <w:rPr>
          <w:rFonts w:ascii="Times New Roman" w:hAnsi="Times New Roman" w:cs="Times New Roman"/>
          <w:sz w:val="24"/>
          <w:szCs w:val="24"/>
          <w:lang w:val="en-US"/>
        </w:rPr>
        <w:t>incentives to provide more information compared to the smaller bank holding companies. Additionally</w:t>
      </w:r>
      <w:r w:rsidR="000450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F26A7">
        <w:rPr>
          <w:rFonts w:ascii="Times New Roman" w:hAnsi="Times New Roman" w:cs="Times New Roman"/>
          <w:sz w:val="24"/>
          <w:szCs w:val="24"/>
          <w:lang w:val="en-US"/>
        </w:rPr>
        <w:t>high-disclosed</w:t>
      </w:r>
      <w:r>
        <w:rPr>
          <w:rFonts w:ascii="Times New Roman" w:hAnsi="Times New Roman" w:cs="Times New Roman"/>
          <w:sz w:val="24"/>
          <w:szCs w:val="24"/>
          <w:lang w:val="en-US"/>
        </w:rPr>
        <w:t xml:space="preserve"> bank holding companies have higher level of deposits.</w:t>
      </w:r>
    </w:p>
    <w:tbl>
      <w:tblPr>
        <w:tblStyle w:val="ab"/>
        <w:tblpPr w:leftFromText="180" w:rightFromText="180" w:vertAnchor="text" w:tblpY="36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220"/>
        <w:gridCol w:w="2221"/>
        <w:gridCol w:w="2221"/>
      </w:tblGrid>
      <w:tr w:rsidR="000E7CB7" w:rsidRPr="00DF26A7" w:rsidTr="0028043C">
        <w:trPr>
          <w:cantSplit/>
          <w:trHeight w:val="382"/>
        </w:trPr>
        <w:tc>
          <w:tcPr>
            <w:tcW w:w="2689" w:type="dxa"/>
            <w:tcBorders>
              <w:bottom w:val="single" w:sz="4" w:space="0" w:color="auto"/>
            </w:tcBorders>
          </w:tcPr>
          <w:p w:rsidR="000E7CB7" w:rsidRPr="00DF26A7" w:rsidRDefault="000E7CB7" w:rsidP="000E7CB7">
            <w:pPr>
              <w:spacing w:line="360" w:lineRule="auto"/>
              <w:rPr>
                <w:rFonts w:ascii="Times New Roman" w:hAnsi="Times New Roman" w:cs="Times New Roman"/>
                <w:i/>
                <w:sz w:val="24"/>
                <w:szCs w:val="24"/>
                <w:lang w:val="en-US"/>
              </w:rPr>
            </w:pPr>
          </w:p>
        </w:tc>
        <w:tc>
          <w:tcPr>
            <w:tcW w:w="2220" w:type="dxa"/>
            <w:tcBorders>
              <w:bottom w:val="single" w:sz="4" w:space="0" w:color="auto"/>
            </w:tcBorders>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High disclosed</w:t>
            </w:r>
          </w:p>
        </w:tc>
        <w:tc>
          <w:tcPr>
            <w:tcW w:w="2221" w:type="dxa"/>
            <w:tcBorders>
              <w:bottom w:val="single" w:sz="4" w:space="0" w:color="auto"/>
            </w:tcBorders>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Low disclosed</w:t>
            </w:r>
          </w:p>
        </w:tc>
        <w:tc>
          <w:tcPr>
            <w:tcW w:w="2221" w:type="dxa"/>
            <w:tcBorders>
              <w:bottom w:val="single" w:sz="4" w:space="0" w:color="auto"/>
            </w:tcBorders>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p-value</w:t>
            </w:r>
          </w:p>
        </w:tc>
      </w:tr>
      <w:tr w:rsidR="000E7CB7" w:rsidRPr="00DF26A7" w:rsidTr="0028043C">
        <w:trPr>
          <w:cantSplit/>
          <w:trHeight w:val="298"/>
        </w:trPr>
        <w:tc>
          <w:tcPr>
            <w:tcW w:w="2689" w:type="dxa"/>
            <w:tcBorders>
              <w:top w:val="single" w:sz="4" w:space="0" w:color="auto"/>
            </w:tcBorders>
          </w:tcPr>
          <w:p w:rsidR="000E7CB7" w:rsidRPr="00E4615E" w:rsidRDefault="000E7CB7" w:rsidP="000E7CB7">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yaggrisk</w:t>
            </w:r>
            <w:r w:rsidRPr="00E4615E">
              <w:rPr>
                <w:rFonts w:ascii="Cambria Math" w:hAnsi="Cambria Math" w:cs="Times New Roman"/>
                <w:i/>
                <w:sz w:val="24"/>
                <w:szCs w:val="24"/>
                <w:vertAlign w:val="subscript"/>
                <w:lang w:val="en-US"/>
              </w:rPr>
              <w:t>it+1</w:t>
            </w:r>
          </w:p>
        </w:tc>
        <w:tc>
          <w:tcPr>
            <w:tcW w:w="2220" w:type="dxa"/>
            <w:tcBorders>
              <w:top w:val="single" w:sz="4" w:space="0" w:color="auto"/>
            </w:tcBorders>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0.277</w:t>
            </w:r>
          </w:p>
        </w:tc>
        <w:tc>
          <w:tcPr>
            <w:tcW w:w="2221" w:type="dxa"/>
            <w:tcBorders>
              <w:top w:val="single" w:sz="4" w:space="0" w:color="auto"/>
            </w:tcBorders>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0.284</w:t>
            </w:r>
          </w:p>
        </w:tc>
        <w:tc>
          <w:tcPr>
            <w:tcW w:w="2221" w:type="dxa"/>
            <w:tcBorders>
              <w:top w:val="single" w:sz="4" w:space="0" w:color="auto"/>
            </w:tcBorders>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0.1673</w:t>
            </w:r>
          </w:p>
        </w:tc>
      </w:tr>
      <w:tr w:rsidR="000E7CB7" w:rsidRPr="00DF26A7" w:rsidTr="0028043C">
        <w:trPr>
          <w:cantSplit/>
          <w:trHeight w:val="273"/>
        </w:trPr>
        <w:tc>
          <w:tcPr>
            <w:tcW w:w="2689" w:type="dxa"/>
          </w:tcPr>
          <w:p w:rsidR="000E7CB7" w:rsidRPr="00E4615E" w:rsidRDefault="000E7CB7" w:rsidP="000E7CB7">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sysrisk</w:t>
            </w:r>
            <w:r w:rsidRPr="00E4615E">
              <w:rPr>
                <w:rFonts w:ascii="Cambria Math" w:hAnsi="Cambria Math" w:cs="Times New Roman"/>
                <w:i/>
                <w:sz w:val="24"/>
                <w:szCs w:val="24"/>
                <w:vertAlign w:val="subscript"/>
                <w:lang w:val="en-US"/>
              </w:rPr>
              <w:t>it+1</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1.15</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1.053</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0.0386</w:t>
            </w:r>
          </w:p>
        </w:tc>
      </w:tr>
      <w:tr w:rsidR="000E7CB7" w:rsidRPr="00DF26A7" w:rsidTr="0028043C">
        <w:trPr>
          <w:cantSplit/>
          <w:trHeight w:val="278"/>
        </w:trPr>
        <w:tc>
          <w:tcPr>
            <w:tcW w:w="2689" w:type="dxa"/>
          </w:tcPr>
          <w:p w:rsidR="000E7CB7" w:rsidRPr="00E4615E" w:rsidRDefault="000E7CB7" w:rsidP="000E7CB7">
            <w:pPr>
              <w:spacing w:line="360" w:lineRule="auto"/>
              <w:rPr>
                <w:rFonts w:ascii="Cambria Math" w:hAnsi="Cambria Math" w:cs="Times New Roman"/>
                <w:i/>
                <w:sz w:val="24"/>
                <w:szCs w:val="24"/>
                <w:lang w:val="en-US"/>
              </w:rPr>
            </w:pPr>
            <w:r w:rsidRPr="00E4615E">
              <w:rPr>
                <w:rFonts w:ascii="Cambria Math" w:hAnsi="Cambria Math" w:cs="Times New Roman"/>
                <w:i/>
                <w:sz w:val="24"/>
                <w:szCs w:val="24"/>
                <w:lang w:val="en-US"/>
              </w:rPr>
              <w:t>yidiorisk</w:t>
            </w:r>
            <w:r w:rsidRPr="00E4615E">
              <w:rPr>
                <w:rFonts w:ascii="Cambria Math" w:hAnsi="Cambria Math" w:cs="Times New Roman"/>
                <w:i/>
                <w:sz w:val="24"/>
                <w:szCs w:val="24"/>
                <w:vertAlign w:val="subscript"/>
                <w:lang w:val="en-US"/>
              </w:rPr>
              <w:t>it+1</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0.202</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0.222</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0.1624</w:t>
            </w:r>
          </w:p>
        </w:tc>
      </w:tr>
      <w:tr w:rsidR="000E7CB7" w:rsidRPr="00DF26A7" w:rsidTr="0028043C">
        <w:trPr>
          <w:cantSplit/>
          <w:trHeight w:val="267"/>
        </w:trPr>
        <w:tc>
          <w:tcPr>
            <w:tcW w:w="2689" w:type="dxa"/>
          </w:tcPr>
          <w:p w:rsidR="000E7CB7" w:rsidRPr="00E4615E" w:rsidRDefault="000E7CB7" w:rsidP="000E7CB7">
            <w:pPr>
              <w:spacing w:line="360" w:lineRule="auto"/>
              <w:rPr>
                <w:rFonts w:ascii="Cambria Math" w:hAnsi="Cambria Math" w:cs="Times New Roman"/>
                <w:i/>
                <w:sz w:val="24"/>
                <w:szCs w:val="24"/>
              </w:rPr>
            </w:pPr>
            <w:r w:rsidRPr="00E4615E">
              <w:rPr>
                <w:rFonts w:ascii="Cambria Math" w:hAnsi="Cambria Math" w:cs="Times New Roman"/>
                <w:i/>
                <w:sz w:val="24"/>
                <w:szCs w:val="24"/>
                <w:lang w:val="en-US"/>
              </w:rPr>
              <w:t>ydownrisk</w:t>
            </w:r>
            <w:r w:rsidRPr="00E4615E">
              <w:rPr>
                <w:rFonts w:ascii="Cambria Math" w:hAnsi="Cambria Math" w:cs="Times New Roman"/>
                <w:i/>
                <w:sz w:val="24"/>
                <w:szCs w:val="24"/>
                <w:vertAlign w:val="subscript"/>
                <w:lang w:val="en-US"/>
              </w:rPr>
              <w:t>it+1</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0.151</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0.152</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0.9161</w:t>
            </w:r>
          </w:p>
        </w:tc>
      </w:tr>
      <w:tr w:rsidR="000E7CB7" w:rsidRPr="00DF26A7" w:rsidTr="0028043C">
        <w:trPr>
          <w:trHeight w:val="272"/>
        </w:trPr>
        <w:tc>
          <w:tcPr>
            <w:tcW w:w="2689" w:type="dxa"/>
          </w:tcPr>
          <w:p w:rsidR="000E7CB7" w:rsidRPr="00E4615E" w:rsidRDefault="000E7CB7" w:rsidP="000E7CB7">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disc</w:t>
            </w:r>
            <w:r w:rsidRPr="00E4615E">
              <w:rPr>
                <w:rFonts w:ascii="Cambria Math" w:hAnsi="Cambria Math" w:cs="Times New Roman"/>
                <w:i/>
                <w:sz w:val="24"/>
                <w:szCs w:val="24"/>
                <w:vertAlign w:val="subscript"/>
                <w:lang w:val="en-US"/>
              </w:rPr>
              <w:t>it</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1.537</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0.551</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0.0000</w:t>
            </w:r>
          </w:p>
        </w:tc>
      </w:tr>
      <w:tr w:rsidR="000E7CB7" w:rsidRPr="00DF26A7" w:rsidTr="0028043C">
        <w:trPr>
          <w:trHeight w:val="261"/>
        </w:trPr>
        <w:tc>
          <w:tcPr>
            <w:tcW w:w="2689" w:type="dxa"/>
          </w:tcPr>
          <w:p w:rsidR="000E7CB7" w:rsidRPr="00E4615E" w:rsidRDefault="000E7CB7" w:rsidP="000E7CB7">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size</w:t>
            </w:r>
            <w:r w:rsidRPr="00E4615E">
              <w:rPr>
                <w:rFonts w:ascii="Cambria Math" w:hAnsi="Cambria Math" w:cs="Times New Roman"/>
                <w:i/>
                <w:sz w:val="24"/>
                <w:szCs w:val="24"/>
                <w:vertAlign w:val="subscript"/>
                <w:lang w:val="en-US"/>
              </w:rPr>
              <w:t>it</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15.77</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14.10</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0.0000</w:t>
            </w:r>
          </w:p>
        </w:tc>
      </w:tr>
      <w:tr w:rsidR="000E7CB7" w:rsidRPr="00DF26A7" w:rsidTr="0028043C">
        <w:trPr>
          <w:trHeight w:val="266"/>
        </w:trPr>
        <w:tc>
          <w:tcPr>
            <w:tcW w:w="2689" w:type="dxa"/>
          </w:tcPr>
          <w:p w:rsidR="000E7CB7" w:rsidRPr="00E4615E" w:rsidRDefault="000E7CB7" w:rsidP="000E7CB7">
            <w:pPr>
              <w:spacing w:line="360" w:lineRule="auto"/>
              <w:rPr>
                <w:rFonts w:ascii="Cambria Math" w:hAnsi="Cambria Math" w:cs="Times New Roman"/>
                <w:i/>
                <w:sz w:val="24"/>
                <w:szCs w:val="24"/>
                <w:lang w:val="en-US"/>
              </w:rPr>
            </w:pPr>
            <w:r w:rsidRPr="00E4615E">
              <w:rPr>
                <w:rFonts w:ascii="Cambria Math" w:hAnsi="Cambria Math" w:cs="Times New Roman"/>
                <w:i/>
                <w:sz w:val="24"/>
                <w:szCs w:val="24"/>
                <w:lang w:val="en-US"/>
              </w:rPr>
              <w:t>vola</w:t>
            </w:r>
            <w:r w:rsidRPr="00E4615E">
              <w:rPr>
                <w:rFonts w:ascii="Cambria Math" w:hAnsi="Cambria Math" w:cs="Times New Roman"/>
                <w:i/>
                <w:sz w:val="24"/>
                <w:szCs w:val="24"/>
                <w:vertAlign w:val="subscript"/>
                <w:lang w:val="en-US"/>
              </w:rPr>
              <w:t>it</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0.032</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0.038</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0.0079</w:t>
            </w:r>
          </w:p>
        </w:tc>
      </w:tr>
      <w:tr w:rsidR="000E7CB7" w:rsidRPr="00DF26A7" w:rsidTr="0028043C">
        <w:trPr>
          <w:trHeight w:val="269"/>
        </w:trPr>
        <w:tc>
          <w:tcPr>
            <w:tcW w:w="2689" w:type="dxa"/>
          </w:tcPr>
          <w:p w:rsidR="000E7CB7" w:rsidRPr="00E4615E" w:rsidRDefault="000E7CB7" w:rsidP="000E7CB7">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capbuf</w:t>
            </w:r>
            <w:r w:rsidRPr="00E4615E">
              <w:rPr>
                <w:rFonts w:ascii="Cambria Math" w:hAnsi="Cambria Math" w:cs="Times New Roman"/>
                <w:i/>
                <w:sz w:val="24"/>
                <w:szCs w:val="24"/>
                <w:vertAlign w:val="subscript"/>
                <w:lang w:val="en-US"/>
              </w:rPr>
              <w:t>it</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0.135</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0.162</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0.4480</w:t>
            </w:r>
          </w:p>
        </w:tc>
      </w:tr>
      <w:tr w:rsidR="000E7CB7" w:rsidRPr="00DF26A7" w:rsidTr="0028043C">
        <w:trPr>
          <w:trHeight w:val="260"/>
        </w:trPr>
        <w:tc>
          <w:tcPr>
            <w:tcW w:w="2689" w:type="dxa"/>
          </w:tcPr>
          <w:p w:rsidR="000E7CB7" w:rsidRPr="00E4615E" w:rsidRDefault="000E7CB7" w:rsidP="000E7CB7">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npl</w:t>
            </w:r>
            <w:r w:rsidRPr="00E4615E">
              <w:rPr>
                <w:rFonts w:ascii="Cambria Math" w:hAnsi="Cambria Math" w:cs="Times New Roman"/>
                <w:i/>
                <w:sz w:val="24"/>
                <w:szCs w:val="24"/>
                <w:vertAlign w:val="subscript"/>
                <w:lang w:val="en-US"/>
              </w:rPr>
              <w:t>it</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0.014</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0.017</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0.1806</w:t>
            </w:r>
          </w:p>
        </w:tc>
      </w:tr>
      <w:tr w:rsidR="000E7CB7" w:rsidRPr="00DF26A7" w:rsidTr="0028043C">
        <w:trPr>
          <w:trHeight w:val="263"/>
        </w:trPr>
        <w:tc>
          <w:tcPr>
            <w:tcW w:w="2689" w:type="dxa"/>
          </w:tcPr>
          <w:p w:rsidR="000E7CB7" w:rsidRPr="00E4615E" w:rsidRDefault="000E7CB7" w:rsidP="000E7CB7">
            <w:pPr>
              <w:spacing w:line="360" w:lineRule="auto"/>
              <w:rPr>
                <w:rFonts w:ascii="Cambria Math" w:hAnsi="Cambria Math" w:cs="Times New Roman"/>
                <w:i/>
                <w:sz w:val="24"/>
                <w:szCs w:val="24"/>
                <w:vertAlign w:val="subscript"/>
                <w:lang w:val="en-US"/>
              </w:rPr>
            </w:pPr>
            <w:r w:rsidRPr="00E4615E">
              <w:rPr>
                <w:rFonts w:ascii="Cambria Math" w:hAnsi="Cambria Math" w:cs="Times New Roman"/>
                <w:i/>
                <w:sz w:val="24"/>
                <w:szCs w:val="24"/>
                <w:lang w:val="en-US"/>
              </w:rPr>
              <w:t>roe</w:t>
            </w:r>
            <w:r w:rsidRPr="00E4615E">
              <w:rPr>
                <w:rFonts w:ascii="Cambria Math" w:hAnsi="Cambria Math" w:cs="Times New Roman"/>
                <w:i/>
                <w:sz w:val="24"/>
                <w:szCs w:val="24"/>
                <w:vertAlign w:val="subscript"/>
                <w:lang w:val="en-US"/>
              </w:rPr>
              <w:t>it</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0.058</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0.012</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0.3277</w:t>
            </w:r>
          </w:p>
        </w:tc>
      </w:tr>
      <w:tr w:rsidR="000E7CB7" w:rsidRPr="00DF26A7" w:rsidTr="0028043C">
        <w:trPr>
          <w:trHeight w:val="254"/>
        </w:trPr>
        <w:tc>
          <w:tcPr>
            <w:tcW w:w="2689" w:type="dxa"/>
          </w:tcPr>
          <w:p w:rsidR="000E7CB7" w:rsidRPr="00E4615E" w:rsidRDefault="000E7CB7" w:rsidP="000E7CB7">
            <w:pPr>
              <w:spacing w:line="360" w:lineRule="auto"/>
              <w:rPr>
                <w:rFonts w:ascii="Cambria Math" w:hAnsi="Cambria Math" w:cs="Times New Roman"/>
                <w:i/>
                <w:sz w:val="24"/>
                <w:szCs w:val="24"/>
                <w:lang w:val="en-US"/>
              </w:rPr>
            </w:pPr>
            <w:r w:rsidRPr="00E4615E">
              <w:rPr>
                <w:rFonts w:ascii="Cambria Math" w:hAnsi="Cambria Math" w:cs="Times New Roman"/>
                <w:i/>
                <w:sz w:val="24"/>
                <w:szCs w:val="24"/>
                <w:lang w:val="en-US"/>
              </w:rPr>
              <w:t>depo</w:t>
            </w:r>
            <w:r w:rsidRPr="00E4615E">
              <w:rPr>
                <w:rFonts w:ascii="Cambria Math" w:hAnsi="Cambria Math" w:cs="Times New Roman"/>
                <w:i/>
                <w:sz w:val="24"/>
                <w:szCs w:val="24"/>
                <w:vertAlign w:val="subscript"/>
                <w:lang w:val="en-US"/>
              </w:rPr>
              <w:t>it</w:t>
            </w:r>
          </w:p>
        </w:tc>
        <w:tc>
          <w:tcPr>
            <w:tcW w:w="2220"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17.650</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15.938</w:t>
            </w:r>
          </w:p>
        </w:tc>
        <w:tc>
          <w:tcPr>
            <w:tcW w:w="2221" w:type="dxa"/>
          </w:tcPr>
          <w:p w:rsidR="000E7CB7" w:rsidRPr="00DF26A7" w:rsidRDefault="000E7CB7" w:rsidP="000E7CB7">
            <w:pPr>
              <w:spacing w:line="360" w:lineRule="auto"/>
              <w:rPr>
                <w:rFonts w:ascii="Times New Roman" w:hAnsi="Times New Roman" w:cs="Times New Roman"/>
                <w:sz w:val="24"/>
                <w:szCs w:val="24"/>
                <w:lang w:val="en-US"/>
              </w:rPr>
            </w:pPr>
            <w:r w:rsidRPr="00DF26A7">
              <w:rPr>
                <w:rFonts w:ascii="Times New Roman" w:hAnsi="Times New Roman" w:cs="Times New Roman"/>
                <w:sz w:val="24"/>
                <w:szCs w:val="24"/>
                <w:lang w:val="en-US"/>
              </w:rPr>
              <w:t>0.0000</w:t>
            </w:r>
          </w:p>
        </w:tc>
      </w:tr>
    </w:tbl>
    <w:p w:rsidR="002C5022" w:rsidRPr="00BD7CE6" w:rsidRDefault="0028043C" w:rsidP="002C5022">
      <w:pPr>
        <w:tabs>
          <w:tab w:val="left" w:pos="1620"/>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Table 3.</w:t>
      </w:r>
      <w:r w:rsidR="00396053">
        <w:rPr>
          <w:rFonts w:ascii="Times New Roman" w:hAnsi="Times New Roman" w:cs="Times New Roman"/>
          <w:b/>
          <w:sz w:val="24"/>
          <w:szCs w:val="24"/>
          <w:lang w:val="en-US"/>
        </w:rPr>
        <w:t>6</w:t>
      </w:r>
      <w:r w:rsidR="00E57A09">
        <w:rPr>
          <w:rFonts w:ascii="Times New Roman" w:hAnsi="Times New Roman" w:cs="Times New Roman"/>
          <w:b/>
          <w:sz w:val="24"/>
          <w:szCs w:val="24"/>
          <w:lang w:val="en-US"/>
        </w:rPr>
        <w:t xml:space="preserve"> </w:t>
      </w:r>
      <w:r w:rsidR="00E57A09" w:rsidRPr="00E57A09">
        <w:rPr>
          <w:rFonts w:ascii="Times New Roman" w:hAnsi="Times New Roman" w:cs="Times New Roman"/>
          <w:sz w:val="24"/>
          <w:szCs w:val="24"/>
          <w:lang w:val="en-US"/>
        </w:rPr>
        <w:t>Comparison</w:t>
      </w:r>
      <w:r w:rsidR="00E57A09">
        <w:rPr>
          <w:rFonts w:ascii="Times New Roman" w:hAnsi="Times New Roman" w:cs="Times New Roman"/>
          <w:b/>
          <w:sz w:val="24"/>
          <w:szCs w:val="24"/>
          <w:lang w:val="en-US"/>
        </w:rPr>
        <w:t xml:space="preserve"> </w:t>
      </w:r>
      <w:r w:rsidR="00E57A09">
        <w:rPr>
          <w:rFonts w:ascii="Times New Roman" w:hAnsi="Times New Roman" w:cs="Times New Roman"/>
          <w:sz w:val="24"/>
          <w:szCs w:val="24"/>
          <w:lang w:val="en-US"/>
        </w:rPr>
        <w:t xml:space="preserve">of high and low disclosed </w:t>
      </w:r>
      <w:r w:rsidR="00832793">
        <w:rPr>
          <w:rFonts w:ascii="Times New Roman" w:hAnsi="Times New Roman" w:cs="Times New Roman"/>
          <w:sz w:val="24"/>
          <w:szCs w:val="24"/>
          <w:lang w:val="en-US"/>
        </w:rPr>
        <w:t>Bank holding companies</w:t>
      </w:r>
      <w:r w:rsidR="002C5022">
        <w:rPr>
          <w:rFonts w:ascii="Times New Roman" w:hAnsi="Times New Roman" w:cs="Times New Roman"/>
          <w:b/>
          <w:sz w:val="24"/>
          <w:szCs w:val="24"/>
          <w:lang w:val="en-US"/>
        </w:rPr>
        <w:tab/>
      </w:r>
    </w:p>
    <w:p w:rsidR="002C5022" w:rsidRDefault="002C5022" w:rsidP="00BD7CE6">
      <w:pPr>
        <w:spacing w:line="360" w:lineRule="auto"/>
        <w:ind w:firstLine="708"/>
        <w:jc w:val="both"/>
        <w:rPr>
          <w:rFonts w:cs="Times New Roman"/>
          <w:color w:val="000000"/>
          <w:szCs w:val="24"/>
          <w:lang w:val="en-US"/>
        </w:rPr>
      </w:pPr>
    </w:p>
    <w:p w:rsidR="001A65B3" w:rsidRDefault="00150921" w:rsidP="00150921">
      <w:pPr>
        <w:pStyle w:val="2"/>
        <w:rPr>
          <w:lang w:val="en-US"/>
        </w:rPr>
      </w:pPr>
      <w:bookmarkStart w:id="18" w:name="_Toc451925556"/>
      <w:r>
        <w:rPr>
          <w:lang w:val="en-US"/>
        </w:rPr>
        <w:t>3.4.</w:t>
      </w:r>
      <w:r w:rsidR="00CA33D8">
        <w:rPr>
          <w:lang w:val="en-US"/>
        </w:rPr>
        <w:t xml:space="preserve"> </w:t>
      </w:r>
      <w:r>
        <w:rPr>
          <w:lang w:val="en-US"/>
        </w:rPr>
        <w:t>Regression results and discussion</w:t>
      </w:r>
      <w:bookmarkEnd w:id="18"/>
    </w:p>
    <w:p w:rsidR="00926680" w:rsidRPr="00926680" w:rsidRDefault="00CA33D8" w:rsidP="002E448E">
      <w:pPr>
        <w:pStyle w:val="3"/>
        <w:rPr>
          <w:lang w:val="en-US"/>
        </w:rPr>
      </w:pPr>
      <w:bookmarkStart w:id="19" w:name="_Toc451925557"/>
      <w:r>
        <w:rPr>
          <w:lang w:val="en-US"/>
        </w:rPr>
        <w:t xml:space="preserve">3.4.1. </w:t>
      </w:r>
      <w:r w:rsidR="00926680" w:rsidRPr="00926680">
        <w:rPr>
          <w:lang w:val="en-US"/>
        </w:rPr>
        <w:t>Regression results</w:t>
      </w:r>
      <w:bookmarkEnd w:id="19"/>
    </w:p>
    <w:p w:rsidR="001A65B3" w:rsidRPr="00150921" w:rsidRDefault="001A65B3" w:rsidP="00150921">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This section examines whether disclosure has any impact on enterprise risks. The empirical analysis proceeds as follows.</w:t>
      </w:r>
      <w:r w:rsidRPr="00150921">
        <w:rPr>
          <w:rFonts w:ascii="Times New Roman" w:hAnsi="Times New Roman" w:cs="Times New Roman"/>
          <w:sz w:val="24"/>
          <w:lang w:val="en-US"/>
        </w:rPr>
        <w:t xml:space="preserve"> </w:t>
      </w:r>
      <w:r w:rsidRPr="00150921">
        <w:rPr>
          <w:rFonts w:ascii="Times New Roman" w:hAnsi="Times New Roman" w:cs="Times New Roman"/>
          <w:sz w:val="24"/>
          <w:szCs w:val="24"/>
          <w:lang w:val="en-US"/>
        </w:rPr>
        <w:t>For each dependent variable, I start with the baseline specification, which only contains key control variables characterizing the size of the financial institution, the volatility of the equity, bank’s capital buffer, non-performing loans, return on equity and the level of deposits. Then I introduce the aggregated disclosure index into the baseline specification.</w:t>
      </w:r>
      <w:r w:rsidRPr="00150921">
        <w:rPr>
          <w:rFonts w:ascii="Times New Roman" w:hAnsi="Times New Roman" w:cs="Times New Roman"/>
          <w:sz w:val="24"/>
          <w:lang w:val="en-US"/>
        </w:rPr>
        <w:t xml:space="preserve"> </w:t>
      </w:r>
      <w:r w:rsidRPr="00150921">
        <w:rPr>
          <w:rFonts w:ascii="Times New Roman" w:hAnsi="Times New Roman" w:cs="Times New Roman"/>
          <w:sz w:val="24"/>
          <w:szCs w:val="24"/>
          <w:lang w:val="en-US"/>
        </w:rPr>
        <w:t>The principal estimation method is the fixed-effects estimator.</w:t>
      </w:r>
    </w:p>
    <w:p w:rsidR="001A65B3" w:rsidRPr="00150921" w:rsidRDefault="001A65B3" w:rsidP="00150921">
      <w:pPr>
        <w:spacing w:line="360" w:lineRule="auto"/>
        <w:ind w:firstLine="708"/>
        <w:jc w:val="both"/>
        <w:rPr>
          <w:rFonts w:ascii="Times New Roman" w:hAnsi="Times New Roman" w:cs="Times New Roman"/>
          <w:sz w:val="24"/>
          <w:lang w:val="en-US"/>
        </w:rPr>
      </w:pPr>
      <w:r w:rsidRPr="00150921">
        <w:rPr>
          <w:rFonts w:ascii="Times New Roman" w:hAnsi="Times New Roman" w:cs="Times New Roman"/>
          <w:sz w:val="24"/>
          <w:lang w:val="en-US"/>
        </w:rPr>
        <w:t>Table 3.</w:t>
      </w:r>
      <w:r w:rsidR="00C83D2B">
        <w:rPr>
          <w:rFonts w:ascii="Times New Roman" w:hAnsi="Times New Roman" w:cs="Times New Roman"/>
          <w:sz w:val="24"/>
          <w:lang w:val="en-US"/>
        </w:rPr>
        <w:t>7</w:t>
      </w:r>
      <w:r w:rsidRPr="00150921">
        <w:rPr>
          <w:rFonts w:ascii="Times New Roman" w:hAnsi="Times New Roman" w:cs="Times New Roman"/>
          <w:sz w:val="24"/>
          <w:lang w:val="en-US"/>
        </w:rPr>
        <w:t xml:space="preserve"> </w:t>
      </w:r>
      <w:r w:rsidR="00150921" w:rsidRPr="00150921">
        <w:rPr>
          <w:rFonts w:ascii="Times New Roman" w:hAnsi="Times New Roman" w:cs="Times New Roman"/>
          <w:sz w:val="24"/>
          <w:lang w:val="en-US"/>
        </w:rPr>
        <w:t>contains</w:t>
      </w:r>
      <w:r w:rsidRPr="00150921">
        <w:rPr>
          <w:rFonts w:ascii="Times New Roman" w:hAnsi="Times New Roman" w:cs="Times New Roman"/>
          <w:sz w:val="24"/>
          <w:lang w:val="en-US"/>
        </w:rPr>
        <w:t xml:space="preserve"> the results of panel regression analysis, where the dependent variables are the average value of defined above four risk measures over a year following an announcement of an annual report. Table 3.</w:t>
      </w:r>
      <w:r w:rsidR="00C83D2B">
        <w:rPr>
          <w:rFonts w:ascii="Times New Roman" w:hAnsi="Times New Roman" w:cs="Times New Roman"/>
          <w:sz w:val="24"/>
          <w:lang w:val="en-US"/>
        </w:rPr>
        <w:t>7</w:t>
      </w:r>
      <w:r w:rsidRPr="00150921">
        <w:rPr>
          <w:rFonts w:ascii="Times New Roman" w:hAnsi="Times New Roman" w:cs="Times New Roman"/>
          <w:sz w:val="24"/>
          <w:lang w:val="en-US"/>
        </w:rPr>
        <w:t xml:space="preserve"> presents the results for baseline specification and for the models with included </w:t>
      </w:r>
      <w:r w:rsidRPr="00150921">
        <w:rPr>
          <w:rFonts w:ascii="Times New Roman" w:hAnsi="Times New Roman" w:cs="Times New Roman"/>
          <w:sz w:val="24"/>
          <w:szCs w:val="24"/>
          <w:lang w:val="en-US"/>
        </w:rPr>
        <w:t>aggregated disclosure index.</w:t>
      </w:r>
      <w:r w:rsidRPr="00150921">
        <w:rPr>
          <w:rFonts w:ascii="Times New Roman" w:hAnsi="Times New Roman" w:cs="Times New Roman"/>
          <w:sz w:val="24"/>
          <w:lang w:val="en-US"/>
        </w:rPr>
        <w:t xml:space="preserve"> </w:t>
      </w:r>
    </w:p>
    <w:p w:rsidR="001A65B3" w:rsidRDefault="001A65B3" w:rsidP="001A65B3">
      <w:pPr>
        <w:ind w:firstLine="708"/>
        <w:rPr>
          <w:rFonts w:ascii="CMR12" w:hAnsi="CMR12" w:cs="CMR12"/>
          <w:szCs w:val="24"/>
          <w:lang w:val="en-US"/>
        </w:rPr>
      </w:pPr>
    </w:p>
    <w:p w:rsidR="001A65B3" w:rsidRDefault="001A65B3" w:rsidP="002F4585">
      <w:pPr>
        <w:rPr>
          <w:rFonts w:ascii="CMR12" w:hAnsi="CMR12" w:cs="CMR12"/>
          <w:szCs w:val="24"/>
          <w:lang w:val="en-US"/>
        </w:rPr>
        <w:sectPr w:rsidR="001A65B3" w:rsidSect="00121068">
          <w:pgSz w:w="11906" w:h="16838" w:code="9"/>
          <w:pgMar w:top="1134" w:right="850" w:bottom="1134" w:left="1701" w:header="708" w:footer="708" w:gutter="0"/>
          <w:cols w:space="708"/>
          <w:titlePg/>
          <w:docGrid w:linePitch="360"/>
        </w:sectPr>
      </w:pPr>
    </w:p>
    <w:tbl>
      <w:tblPr>
        <w:tblStyle w:val="ab"/>
        <w:tblpPr w:leftFromText="180" w:rightFromText="180" w:vertAnchor="page" w:horzAnchor="margin" w:tblpY="2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488"/>
        <w:gridCol w:w="1488"/>
        <w:gridCol w:w="1489"/>
        <w:gridCol w:w="1488"/>
        <w:gridCol w:w="1488"/>
        <w:gridCol w:w="1489"/>
        <w:gridCol w:w="1560"/>
        <w:gridCol w:w="1559"/>
      </w:tblGrid>
      <w:tr w:rsidR="001A65B3" w:rsidTr="00DD5115">
        <w:trPr>
          <w:trHeight w:val="567"/>
        </w:trPr>
        <w:tc>
          <w:tcPr>
            <w:tcW w:w="1271" w:type="dxa"/>
            <w:tcBorders>
              <w:bottom w:val="single" w:sz="4" w:space="0" w:color="auto"/>
            </w:tcBorders>
          </w:tcPr>
          <w:p w:rsidR="001A65B3" w:rsidRPr="00FD7669" w:rsidRDefault="001A65B3" w:rsidP="009C0D2E">
            <w:pPr>
              <w:rPr>
                <w:lang w:val="en-US"/>
              </w:rPr>
            </w:pPr>
          </w:p>
        </w:tc>
        <w:tc>
          <w:tcPr>
            <w:tcW w:w="1488" w:type="dxa"/>
            <w:tcBorders>
              <w:bottom w:val="single" w:sz="4" w:space="0" w:color="auto"/>
            </w:tcBorders>
          </w:tcPr>
          <w:p w:rsidR="001A65B3" w:rsidRPr="00FD7669" w:rsidRDefault="00AE0B9C" w:rsidP="009C0D2E">
            <m:oMathPara>
              <m:oMath>
                <m:sSub>
                  <m:sSubPr>
                    <m:ctrlPr>
                      <w:rPr>
                        <w:rFonts w:ascii="Cambria Math" w:hAnsi="Cambria Math" w:cs="Times New Roman"/>
                        <w:i/>
                      </w:rPr>
                    </m:ctrlPr>
                  </m:sSubPr>
                  <m:e>
                    <m:r>
                      <w:rPr>
                        <w:rFonts w:ascii="Cambria Math" w:hAnsi="Cambria Math" w:cs="Times New Roman"/>
                        <w:lang w:val="en-US"/>
                      </w:rPr>
                      <m:t>yaggrisk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c>
          <w:tcPr>
            <w:tcW w:w="1488" w:type="dxa"/>
            <w:tcBorders>
              <w:bottom w:val="single" w:sz="4" w:space="0" w:color="auto"/>
            </w:tcBorders>
          </w:tcPr>
          <w:p w:rsidR="001A65B3" w:rsidRPr="00FD7669" w:rsidRDefault="00AE0B9C" w:rsidP="009C0D2E">
            <w:pPr>
              <w:rPr>
                <w:rFonts w:eastAsia="Calibri" w:cs="Times New Roman"/>
              </w:rPr>
            </w:pPr>
            <m:oMathPara>
              <m:oMath>
                <m:sSub>
                  <m:sSubPr>
                    <m:ctrlPr>
                      <w:rPr>
                        <w:rFonts w:ascii="Cambria Math" w:hAnsi="Cambria Math" w:cs="Times New Roman"/>
                        <w:i/>
                      </w:rPr>
                    </m:ctrlPr>
                  </m:sSubPr>
                  <m:e>
                    <m:r>
                      <w:rPr>
                        <w:rFonts w:ascii="Cambria Math" w:hAnsi="Cambria Math" w:cs="Times New Roman"/>
                        <w:lang w:val="en-US"/>
                      </w:rPr>
                      <m:t>yaggrisk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c>
          <w:tcPr>
            <w:tcW w:w="1489" w:type="dxa"/>
            <w:tcBorders>
              <w:bottom w:val="single" w:sz="4" w:space="0" w:color="auto"/>
            </w:tcBorders>
          </w:tcPr>
          <w:p w:rsidR="001A65B3" w:rsidRPr="00FD7669" w:rsidRDefault="00AE0B9C" w:rsidP="009C0D2E">
            <m:oMathPara>
              <m:oMath>
                <m:sSub>
                  <m:sSubPr>
                    <m:ctrlPr>
                      <w:rPr>
                        <w:rFonts w:ascii="Cambria Math" w:hAnsi="Cambria Math" w:cs="Times New Roman"/>
                        <w:i/>
                      </w:rPr>
                    </m:ctrlPr>
                  </m:sSubPr>
                  <m:e>
                    <m:r>
                      <w:rPr>
                        <w:rFonts w:ascii="Cambria Math" w:hAnsi="Cambria Math" w:cs="Times New Roman"/>
                        <w:lang w:val="en-US"/>
                      </w:rPr>
                      <m:t>sysrisk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c>
          <w:tcPr>
            <w:tcW w:w="1488" w:type="dxa"/>
            <w:tcBorders>
              <w:bottom w:val="single" w:sz="4" w:space="0" w:color="auto"/>
            </w:tcBorders>
          </w:tcPr>
          <w:p w:rsidR="001A65B3" w:rsidRPr="00FD7669" w:rsidRDefault="00AE0B9C" w:rsidP="009C0D2E">
            <w:pPr>
              <w:rPr>
                <w:rFonts w:eastAsia="Calibri" w:cs="Times New Roman"/>
              </w:rPr>
            </w:pPr>
            <m:oMathPara>
              <m:oMath>
                <m:sSub>
                  <m:sSubPr>
                    <m:ctrlPr>
                      <w:rPr>
                        <w:rFonts w:ascii="Cambria Math" w:hAnsi="Cambria Math" w:cs="Times New Roman"/>
                        <w:i/>
                      </w:rPr>
                    </m:ctrlPr>
                  </m:sSubPr>
                  <m:e>
                    <m:r>
                      <w:rPr>
                        <w:rFonts w:ascii="Cambria Math" w:hAnsi="Cambria Math" w:cs="Times New Roman"/>
                        <w:lang w:val="en-US"/>
                      </w:rPr>
                      <m:t>sysrisk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c>
          <w:tcPr>
            <w:tcW w:w="1488" w:type="dxa"/>
            <w:tcBorders>
              <w:bottom w:val="single" w:sz="4" w:space="0" w:color="auto"/>
            </w:tcBorders>
          </w:tcPr>
          <w:p w:rsidR="001A65B3" w:rsidRPr="00FD7669" w:rsidRDefault="00AE0B9C" w:rsidP="009C0D2E">
            <m:oMathPara>
              <m:oMath>
                <m:sSub>
                  <m:sSubPr>
                    <m:ctrlPr>
                      <w:rPr>
                        <w:rFonts w:ascii="Cambria Math" w:hAnsi="Cambria Math" w:cs="Times New Roman"/>
                        <w:i/>
                      </w:rPr>
                    </m:ctrlPr>
                  </m:sSubPr>
                  <m:e>
                    <m:r>
                      <w:rPr>
                        <w:rFonts w:ascii="Cambria Math" w:hAnsi="Cambria Math" w:cs="Times New Roman"/>
                        <w:lang w:val="en-US"/>
                      </w:rPr>
                      <m:t>yidiorisk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c>
          <w:tcPr>
            <w:tcW w:w="1489" w:type="dxa"/>
            <w:tcBorders>
              <w:bottom w:val="single" w:sz="4" w:space="0" w:color="auto"/>
            </w:tcBorders>
          </w:tcPr>
          <w:p w:rsidR="001A65B3" w:rsidRPr="00FD7669" w:rsidRDefault="00AE0B9C" w:rsidP="009C0D2E">
            <m:oMathPara>
              <m:oMath>
                <m:sSub>
                  <m:sSubPr>
                    <m:ctrlPr>
                      <w:rPr>
                        <w:rFonts w:ascii="Cambria Math" w:hAnsi="Cambria Math" w:cs="Times New Roman"/>
                        <w:i/>
                      </w:rPr>
                    </m:ctrlPr>
                  </m:sSubPr>
                  <m:e>
                    <m:r>
                      <w:rPr>
                        <w:rFonts w:ascii="Cambria Math" w:hAnsi="Cambria Math" w:cs="Times New Roman"/>
                        <w:lang w:val="en-US"/>
                      </w:rPr>
                      <m:t>yidiorisk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c>
          <w:tcPr>
            <w:tcW w:w="1560" w:type="dxa"/>
            <w:tcBorders>
              <w:bottom w:val="single" w:sz="4" w:space="0" w:color="auto"/>
            </w:tcBorders>
          </w:tcPr>
          <w:p w:rsidR="001A65B3" w:rsidRPr="00FD7669" w:rsidRDefault="00AE0B9C" w:rsidP="009C0D2E">
            <m:oMathPara>
              <m:oMath>
                <m:sSub>
                  <m:sSubPr>
                    <m:ctrlPr>
                      <w:rPr>
                        <w:rFonts w:ascii="Cambria Math" w:hAnsi="Cambria Math" w:cs="Times New Roman"/>
                        <w:i/>
                      </w:rPr>
                    </m:ctrlPr>
                  </m:sSubPr>
                  <m:e>
                    <m:r>
                      <w:rPr>
                        <w:rFonts w:ascii="Cambria Math" w:hAnsi="Cambria Math" w:cs="Times New Roman"/>
                        <w:lang w:val="en-US"/>
                      </w:rPr>
                      <m:t>ydownrisk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c>
          <w:tcPr>
            <w:tcW w:w="1559" w:type="dxa"/>
            <w:tcBorders>
              <w:bottom w:val="single" w:sz="4" w:space="0" w:color="auto"/>
            </w:tcBorders>
          </w:tcPr>
          <w:p w:rsidR="001A65B3" w:rsidRPr="00FD7669" w:rsidRDefault="00AE0B9C" w:rsidP="009C0D2E">
            <w:pPr>
              <w:rPr>
                <w:rFonts w:eastAsia="Calibri" w:cs="Times New Roman"/>
              </w:rPr>
            </w:pPr>
            <m:oMathPara>
              <m:oMath>
                <m:sSub>
                  <m:sSubPr>
                    <m:ctrlPr>
                      <w:rPr>
                        <w:rFonts w:ascii="Cambria Math" w:hAnsi="Cambria Math" w:cs="Times New Roman"/>
                        <w:i/>
                      </w:rPr>
                    </m:ctrlPr>
                  </m:sSubPr>
                  <m:e>
                    <m:r>
                      <w:rPr>
                        <w:rFonts w:ascii="Cambria Math" w:hAnsi="Cambria Math" w:cs="Times New Roman"/>
                        <w:lang w:val="en-US"/>
                      </w:rPr>
                      <m:t>ydownrisk</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r>
                      <w:rPr>
                        <w:rFonts w:ascii="Cambria Math" w:hAnsi="Cambria Math" w:cs="Times New Roman"/>
                        <w:lang w:val="en-US"/>
                      </w:rPr>
                      <m:t>+1</m:t>
                    </m:r>
                  </m:sub>
                </m:sSub>
              </m:oMath>
            </m:oMathPara>
          </w:p>
        </w:tc>
      </w:tr>
      <w:tr w:rsidR="001A65B3" w:rsidTr="00DD5115">
        <w:trPr>
          <w:trHeight w:val="567"/>
        </w:trPr>
        <w:tc>
          <w:tcPr>
            <w:tcW w:w="1271" w:type="dxa"/>
            <w:tcBorders>
              <w:top w:val="single" w:sz="4" w:space="0" w:color="auto"/>
            </w:tcBorders>
          </w:tcPr>
          <w:p w:rsidR="001A65B3" w:rsidRPr="00FD7669" w:rsidRDefault="001A65B3" w:rsidP="009C0D2E">
            <w:pPr>
              <w:jc w:val="center"/>
            </w:pPr>
          </w:p>
        </w:tc>
        <w:tc>
          <w:tcPr>
            <w:tcW w:w="1488" w:type="dxa"/>
            <w:tcBorders>
              <w:top w:val="single" w:sz="4" w:space="0" w:color="auto"/>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I</w:t>
            </w:r>
          </w:p>
        </w:tc>
        <w:tc>
          <w:tcPr>
            <w:tcW w:w="1488" w:type="dxa"/>
            <w:tcBorders>
              <w:top w:val="single" w:sz="4" w:space="0" w:color="auto"/>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II</w:t>
            </w:r>
          </w:p>
        </w:tc>
        <w:tc>
          <w:tcPr>
            <w:tcW w:w="1489" w:type="dxa"/>
            <w:tcBorders>
              <w:top w:val="single" w:sz="4" w:space="0" w:color="auto"/>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III</w:t>
            </w:r>
          </w:p>
        </w:tc>
        <w:tc>
          <w:tcPr>
            <w:tcW w:w="1488" w:type="dxa"/>
            <w:tcBorders>
              <w:top w:val="single" w:sz="4" w:space="0" w:color="auto"/>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IV</w:t>
            </w:r>
          </w:p>
        </w:tc>
        <w:tc>
          <w:tcPr>
            <w:tcW w:w="1488" w:type="dxa"/>
            <w:tcBorders>
              <w:top w:val="single" w:sz="4" w:space="0" w:color="auto"/>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V</w:t>
            </w:r>
          </w:p>
        </w:tc>
        <w:tc>
          <w:tcPr>
            <w:tcW w:w="1489" w:type="dxa"/>
            <w:tcBorders>
              <w:top w:val="single" w:sz="4" w:space="0" w:color="auto"/>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VI</w:t>
            </w:r>
          </w:p>
        </w:tc>
        <w:tc>
          <w:tcPr>
            <w:tcW w:w="1560" w:type="dxa"/>
            <w:tcBorders>
              <w:top w:val="single" w:sz="4" w:space="0" w:color="auto"/>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VII</w:t>
            </w:r>
          </w:p>
        </w:tc>
        <w:tc>
          <w:tcPr>
            <w:tcW w:w="1559" w:type="dxa"/>
            <w:tcBorders>
              <w:top w:val="single" w:sz="4" w:space="0" w:color="auto"/>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VIII</w:t>
            </w:r>
          </w:p>
        </w:tc>
      </w:tr>
      <w:tr w:rsidR="001A65B3" w:rsidTr="00DD5115">
        <w:trPr>
          <w:trHeight w:val="567"/>
        </w:trPr>
        <w:tc>
          <w:tcPr>
            <w:tcW w:w="1271" w:type="dxa"/>
          </w:tcPr>
          <w:p w:rsidR="001A65B3" w:rsidRPr="00FD7669" w:rsidRDefault="00AE0B9C" w:rsidP="009C0D2E">
            <w:pPr>
              <w:jc w:val="center"/>
              <w:rPr>
                <w:rFonts w:ascii="Cambria Math" w:hAnsi="Cambria Math"/>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disc</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sub>
                </m:sSub>
              </m:oMath>
            </m:oMathPara>
          </w:p>
        </w:tc>
        <w:tc>
          <w:tcPr>
            <w:tcW w:w="1488" w:type="dxa"/>
            <w:tcBorders>
              <w:left w:val="nil"/>
            </w:tcBorders>
          </w:tcPr>
          <w:p w:rsidR="001A65B3" w:rsidRPr="00150921" w:rsidRDefault="001A65B3" w:rsidP="009C0D2E">
            <w:pPr>
              <w:jc w:val="center"/>
              <w:rPr>
                <w:rFonts w:ascii="Times New Roman" w:hAnsi="Times New Roman" w:cs="Times New Roman"/>
                <w:sz w:val="24"/>
                <w:szCs w:val="24"/>
                <w:lang w:val="en-US"/>
              </w:rPr>
            </w:pP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-0.170  ***</w:t>
            </w:r>
          </w:p>
        </w:tc>
        <w:tc>
          <w:tcPr>
            <w:tcW w:w="1489" w:type="dxa"/>
          </w:tcPr>
          <w:p w:rsidR="001A65B3" w:rsidRPr="00150921" w:rsidRDefault="001A65B3" w:rsidP="009C0D2E">
            <w:pPr>
              <w:jc w:val="center"/>
              <w:rPr>
                <w:rFonts w:ascii="Times New Roman" w:hAnsi="Times New Roman" w:cs="Times New Roman"/>
                <w:sz w:val="24"/>
                <w:szCs w:val="24"/>
                <w:lang w:val="en-US"/>
              </w:rPr>
            </w:pP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-0.582 ***</w:t>
            </w:r>
          </w:p>
        </w:tc>
        <w:tc>
          <w:tcPr>
            <w:tcW w:w="1488" w:type="dxa"/>
          </w:tcPr>
          <w:p w:rsidR="001A65B3" w:rsidRPr="00150921" w:rsidRDefault="001A65B3" w:rsidP="009C0D2E">
            <w:pPr>
              <w:jc w:val="center"/>
              <w:rPr>
                <w:rFonts w:ascii="Times New Roman" w:hAnsi="Times New Roman" w:cs="Times New Roman"/>
                <w:sz w:val="24"/>
                <w:szCs w:val="24"/>
                <w:lang w:val="en-US"/>
              </w:rPr>
            </w:pP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-0.073   **</w:t>
            </w:r>
          </w:p>
        </w:tc>
        <w:tc>
          <w:tcPr>
            <w:tcW w:w="1560" w:type="dxa"/>
          </w:tcPr>
          <w:p w:rsidR="001A65B3" w:rsidRPr="00150921" w:rsidRDefault="001A65B3" w:rsidP="009C0D2E">
            <w:pPr>
              <w:jc w:val="center"/>
              <w:rPr>
                <w:rFonts w:ascii="Times New Roman" w:hAnsi="Times New Roman" w:cs="Times New Roman"/>
                <w:sz w:val="24"/>
                <w:szCs w:val="24"/>
                <w:lang w:val="en-US"/>
              </w:rPr>
            </w:pP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-0.089 ***</w:t>
            </w:r>
          </w:p>
        </w:tc>
      </w:tr>
      <w:tr w:rsidR="001A65B3" w:rsidTr="00DD5115">
        <w:trPr>
          <w:trHeight w:val="567"/>
        </w:trPr>
        <w:tc>
          <w:tcPr>
            <w:tcW w:w="1271" w:type="dxa"/>
          </w:tcPr>
          <w:p w:rsidR="001A65B3" w:rsidRPr="00FD7669" w:rsidRDefault="00AE0B9C" w:rsidP="009C0D2E">
            <w:pPr>
              <w:rPr>
                <w:rFonts w:ascii="Cambria Math" w:hAnsi="Cambria Math"/>
                <w:lang w:val="en-US"/>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size</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sub>
                </m:sSub>
              </m:oMath>
            </m:oMathPara>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-0.004</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0.005</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-0.281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-0.267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-0.080 ***</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-0.078 ***</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0.079  ***</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0.081  ***</w:t>
            </w:r>
          </w:p>
        </w:tc>
      </w:tr>
      <w:tr w:rsidR="001A65B3" w:rsidTr="00DD5115">
        <w:trPr>
          <w:trHeight w:val="567"/>
        </w:trPr>
        <w:tc>
          <w:tcPr>
            <w:tcW w:w="1271" w:type="dxa"/>
          </w:tcPr>
          <w:p w:rsidR="001A65B3" w:rsidRPr="00FD7669" w:rsidRDefault="00AE0B9C" w:rsidP="009C0D2E">
            <w:pPr>
              <w:rPr>
                <w:rFonts w:ascii="Cambria Math" w:hAnsi="Cambria Math"/>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vola</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sub>
                </m:sSub>
              </m:oMath>
            </m:oMathPara>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p>
        </w:tc>
        <w:tc>
          <w:tcPr>
            <w:tcW w:w="1488" w:type="dxa"/>
          </w:tcPr>
          <w:p w:rsidR="001A65B3" w:rsidRPr="00150921" w:rsidRDefault="001A65B3" w:rsidP="009C0D2E">
            <w:pPr>
              <w:rPr>
                <w:rFonts w:ascii="Times New Roman" w:hAnsi="Times New Roman" w:cs="Times New Roman"/>
                <w:sz w:val="24"/>
                <w:szCs w:val="24"/>
                <w:lang w:val="en-US"/>
              </w:rPr>
            </w:pP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5.186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2.193</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0.149</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 xml:space="preserve">-0.226 </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2.737  ***</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2.280  ***</w:t>
            </w:r>
          </w:p>
        </w:tc>
      </w:tr>
      <w:tr w:rsidR="001A65B3" w:rsidTr="00DD5115">
        <w:trPr>
          <w:trHeight w:val="567"/>
        </w:trPr>
        <w:tc>
          <w:tcPr>
            <w:tcW w:w="1271" w:type="dxa"/>
          </w:tcPr>
          <w:p w:rsidR="001A65B3" w:rsidRPr="00FD7669" w:rsidRDefault="00AE0B9C" w:rsidP="009C0D2E">
            <w:pPr>
              <w:rPr>
                <w:rFonts w:ascii="Cambria Math" w:hAnsi="Cambria Math"/>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capbuf</m:t>
                    </m:r>
                  </m:e>
                  <m:sub>
                    <m:r>
                      <w:rPr>
                        <w:rFonts w:ascii="Cambria Math" w:hAnsi="Cambria Math" w:cs="Times New Roman"/>
                      </w:rPr>
                      <m:t>i</m:t>
                    </m:r>
                    <m:r>
                      <w:rPr>
                        <w:rFonts w:ascii="Cambria Math" w:hAnsi="Cambria Math" w:cs="Times New Roman"/>
                        <w:lang w:val="en-US"/>
                      </w:rPr>
                      <m:t xml:space="preserve">, </m:t>
                    </m:r>
                    <m:r>
                      <w:rPr>
                        <w:rFonts w:ascii="Cambria Math" w:hAnsi="Cambria Math" w:cs="Times New Roman"/>
                      </w:rPr>
                      <m:t>t</m:t>
                    </m:r>
                  </m:sub>
                </m:sSub>
              </m:oMath>
            </m:oMathPara>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-1.738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-1.608  **</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2.234</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1.938</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-0.068</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 xml:space="preserve">-0.105 </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-1.330 ***</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-1.375 ***</w:t>
            </w:r>
          </w:p>
        </w:tc>
      </w:tr>
      <w:tr w:rsidR="001A65B3" w:rsidTr="00DD5115">
        <w:trPr>
          <w:trHeight w:val="567"/>
        </w:trPr>
        <w:tc>
          <w:tcPr>
            <w:tcW w:w="1271" w:type="dxa"/>
          </w:tcPr>
          <w:p w:rsidR="001A65B3" w:rsidRPr="00FD7669" w:rsidRDefault="00AE0B9C" w:rsidP="009C0D2E">
            <w:pPr>
              <w:rPr>
                <w:rFonts w:ascii="Cambria Math" w:hAnsi="Cambria Math"/>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npl</m:t>
                    </m:r>
                  </m:e>
                  <m:sub>
                    <m:r>
                      <w:rPr>
                        <w:rFonts w:ascii="Cambria Math" w:hAnsi="Cambria Math" w:cs="Times New Roman"/>
                      </w:rPr>
                      <m:t>i, t</m:t>
                    </m:r>
                  </m:sub>
                </m:sSub>
              </m:oMath>
            </m:oMathPara>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9.381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7.055   ***</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14.959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8.778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4.701 ***</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3.927  ***</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3.937  ***</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2.993  ***</w:t>
            </w:r>
          </w:p>
        </w:tc>
      </w:tr>
      <w:tr w:rsidR="001A65B3" w:rsidTr="00DD5115">
        <w:trPr>
          <w:trHeight w:val="567"/>
        </w:trPr>
        <w:tc>
          <w:tcPr>
            <w:tcW w:w="1271" w:type="dxa"/>
          </w:tcPr>
          <w:p w:rsidR="001A65B3" w:rsidRPr="00FD7669" w:rsidRDefault="00AE0B9C" w:rsidP="009C0D2E">
            <w:pPr>
              <w:rPr>
                <w:rFonts w:ascii="Cambria Math" w:hAnsi="Cambria Math"/>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roe</m:t>
                    </m:r>
                  </m:e>
                  <m:sub>
                    <m:r>
                      <w:rPr>
                        <w:rFonts w:ascii="Cambria Math" w:hAnsi="Cambria Math" w:cs="Times New Roman"/>
                      </w:rPr>
                      <m:t>i, t</m:t>
                    </m:r>
                  </m:sub>
                </m:sSub>
              </m:oMath>
            </m:oMathPara>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0.023</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-0.015</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0.282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0.046</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-0.024</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-0.054</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0.100  ***</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0.065  *</w:t>
            </w:r>
          </w:p>
        </w:tc>
      </w:tr>
      <w:tr w:rsidR="001A65B3" w:rsidRPr="005D52CB" w:rsidTr="00DD5115">
        <w:trPr>
          <w:trHeight w:val="567"/>
        </w:trPr>
        <w:tc>
          <w:tcPr>
            <w:tcW w:w="1271" w:type="dxa"/>
          </w:tcPr>
          <w:p w:rsidR="001A65B3" w:rsidRPr="00FD7669" w:rsidRDefault="00AE0B9C" w:rsidP="009C0D2E">
            <w:pPr>
              <w:rPr>
                <w:rFonts w:ascii="Cambria Math" w:hAnsi="Cambria Math"/>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depo</m:t>
                    </m:r>
                  </m:e>
                  <m:sub>
                    <m:r>
                      <w:rPr>
                        <w:rFonts w:ascii="Cambria Math" w:hAnsi="Cambria Math" w:cs="Times New Roman"/>
                      </w:rPr>
                      <m:t>i, t</m:t>
                    </m:r>
                  </m:sub>
                </m:sSub>
              </m:oMath>
            </m:oMathPara>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0.012</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0.003</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0.257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0.231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0.068 ***</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0.065  ***</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-0.049 ***</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-0.053 ***</w:t>
            </w:r>
          </w:p>
        </w:tc>
      </w:tr>
      <w:tr w:rsidR="001A65B3" w:rsidTr="00DD5115">
        <w:trPr>
          <w:trHeight w:val="567"/>
        </w:trPr>
        <w:tc>
          <w:tcPr>
            <w:tcW w:w="1271" w:type="dxa"/>
          </w:tcPr>
          <w:p w:rsidR="001A65B3" w:rsidRPr="00FD7669" w:rsidRDefault="001A65B3" w:rsidP="009C0D2E">
            <w:pPr>
              <w:rPr>
                <w:rFonts w:ascii="Cambria Math" w:hAnsi="Cambria Math"/>
              </w:rPr>
            </w:pPr>
            <m:oMathPara>
              <m:oMathParaPr>
                <m:jc m:val="left"/>
              </m:oMathParaPr>
              <m:oMath>
                <m:r>
                  <w:rPr>
                    <w:rFonts w:ascii="Cambria Math" w:hAnsi="Cambria Math" w:cs="Times New Roman"/>
                  </w:rPr>
                  <m:t>cons</m:t>
                </m:r>
              </m:oMath>
            </m:oMathPara>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0.192</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0.411  ***</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0.262</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1.347  ***</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0.178     *</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0.314  ***</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-0.215 ***</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-0.049</w:t>
            </w:r>
          </w:p>
        </w:tc>
      </w:tr>
      <w:tr w:rsidR="001A65B3" w:rsidTr="00DD5115">
        <w:trPr>
          <w:trHeight w:val="567"/>
        </w:trPr>
        <w:tc>
          <w:tcPr>
            <w:tcW w:w="1271" w:type="dxa"/>
          </w:tcPr>
          <w:p w:rsidR="001A65B3" w:rsidRPr="00FD7669" w:rsidRDefault="001A65B3" w:rsidP="009C0D2E">
            <w:pPr>
              <w:rPr>
                <w:rFonts w:ascii="Cambria Math" w:hAnsi="Cambria Math"/>
              </w:rPr>
            </w:pPr>
            <w:r w:rsidRPr="00FD7669">
              <w:rPr>
                <w:rFonts w:ascii="Cambria Math" w:hAnsi="Cambria Math" w:cs="Times New Roman"/>
                <w:i/>
                <w:lang w:val="en-US"/>
              </w:rPr>
              <w:t>Obs.</w:t>
            </w:r>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191</w:t>
            </w:r>
          </w:p>
        </w:tc>
      </w:tr>
      <w:tr w:rsidR="001A65B3" w:rsidTr="00DD5115">
        <w:trPr>
          <w:trHeight w:val="567"/>
        </w:trPr>
        <w:tc>
          <w:tcPr>
            <w:tcW w:w="1271" w:type="dxa"/>
          </w:tcPr>
          <w:p w:rsidR="001A65B3" w:rsidRPr="00FD7669" w:rsidRDefault="001A65B3" w:rsidP="009C0D2E">
            <w:pPr>
              <w:rPr>
                <w:rFonts w:ascii="Cambria Math" w:hAnsi="Cambria Math"/>
              </w:rPr>
            </w:pPr>
            <w:r w:rsidRPr="00FD7669">
              <w:rPr>
                <w:rFonts w:ascii="Cambria Math" w:hAnsi="Cambria Math" w:cs="Times New Roman"/>
                <w:i/>
                <w:lang w:val="en-US"/>
              </w:rPr>
              <w:t>Prob &gt; F</w:t>
            </w:r>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0.000</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0.000</w:t>
            </w:r>
          </w:p>
        </w:tc>
        <w:tc>
          <w:tcPr>
            <w:tcW w:w="1489" w:type="dxa"/>
          </w:tcPr>
          <w:p w:rsidR="001A65B3" w:rsidRPr="00150921" w:rsidRDefault="001A65B3" w:rsidP="009C0D2E">
            <w:pPr>
              <w:rPr>
                <w:rFonts w:ascii="Times New Roman" w:hAnsi="Times New Roman" w:cs="Times New Roman"/>
                <w:sz w:val="24"/>
                <w:szCs w:val="24"/>
              </w:rPr>
            </w:pPr>
            <w:r w:rsidRPr="00150921">
              <w:rPr>
                <w:rFonts w:ascii="Times New Roman" w:hAnsi="Times New Roman" w:cs="Times New Roman"/>
                <w:sz w:val="24"/>
                <w:szCs w:val="24"/>
                <w:lang w:val="en-US"/>
              </w:rPr>
              <w:t>0.000</w:t>
            </w:r>
          </w:p>
        </w:tc>
        <w:tc>
          <w:tcPr>
            <w:tcW w:w="1488" w:type="dxa"/>
          </w:tcPr>
          <w:p w:rsidR="001A65B3" w:rsidRPr="00150921" w:rsidRDefault="001A65B3" w:rsidP="009C0D2E">
            <w:pPr>
              <w:rPr>
                <w:rFonts w:ascii="Times New Roman" w:hAnsi="Times New Roman" w:cs="Times New Roman"/>
                <w:sz w:val="24"/>
                <w:szCs w:val="24"/>
              </w:rPr>
            </w:pPr>
            <w:r w:rsidRPr="00150921">
              <w:rPr>
                <w:rFonts w:ascii="Times New Roman" w:hAnsi="Times New Roman" w:cs="Times New Roman"/>
                <w:sz w:val="24"/>
                <w:szCs w:val="24"/>
                <w:lang w:val="en-US"/>
              </w:rPr>
              <w:t>0.000</w:t>
            </w:r>
          </w:p>
        </w:tc>
        <w:tc>
          <w:tcPr>
            <w:tcW w:w="1488" w:type="dxa"/>
          </w:tcPr>
          <w:p w:rsidR="001A65B3" w:rsidRPr="00150921" w:rsidRDefault="001A65B3" w:rsidP="009C0D2E">
            <w:pPr>
              <w:rPr>
                <w:rFonts w:ascii="Times New Roman" w:hAnsi="Times New Roman" w:cs="Times New Roman"/>
                <w:sz w:val="24"/>
                <w:szCs w:val="24"/>
              </w:rPr>
            </w:pPr>
            <w:r w:rsidRPr="00150921">
              <w:rPr>
                <w:rFonts w:ascii="Times New Roman" w:hAnsi="Times New Roman" w:cs="Times New Roman"/>
                <w:sz w:val="24"/>
                <w:szCs w:val="24"/>
                <w:lang w:val="en-US"/>
              </w:rPr>
              <w:t>0.000</w:t>
            </w:r>
          </w:p>
        </w:tc>
        <w:tc>
          <w:tcPr>
            <w:tcW w:w="1489" w:type="dxa"/>
          </w:tcPr>
          <w:p w:rsidR="001A65B3" w:rsidRPr="00150921" w:rsidRDefault="001A65B3" w:rsidP="009C0D2E">
            <w:pPr>
              <w:rPr>
                <w:rFonts w:ascii="Times New Roman" w:hAnsi="Times New Roman" w:cs="Times New Roman"/>
                <w:sz w:val="24"/>
                <w:szCs w:val="24"/>
              </w:rPr>
            </w:pPr>
            <w:r w:rsidRPr="00150921">
              <w:rPr>
                <w:rFonts w:ascii="Times New Roman" w:hAnsi="Times New Roman" w:cs="Times New Roman"/>
                <w:sz w:val="24"/>
                <w:szCs w:val="24"/>
                <w:lang w:val="en-US"/>
              </w:rPr>
              <w:t>0.000</w:t>
            </w:r>
          </w:p>
        </w:tc>
        <w:tc>
          <w:tcPr>
            <w:tcW w:w="1560" w:type="dxa"/>
          </w:tcPr>
          <w:p w:rsidR="001A65B3" w:rsidRPr="00150921" w:rsidRDefault="001A65B3" w:rsidP="009C0D2E">
            <w:pPr>
              <w:rPr>
                <w:rFonts w:ascii="Times New Roman" w:hAnsi="Times New Roman" w:cs="Times New Roman"/>
                <w:sz w:val="24"/>
                <w:szCs w:val="24"/>
              </w:rPr>
            </w:pPr>
            <w:r w:rsidRPr="00150921">
              <w:rPr>
                <w:rFonts w:ascii="Times New Roman" w:hAnsi="Times New Roman" w:cs="Times New Roman"/>
                <w:sz w:val="24"/>
                <w:szCs w:val="24"/>
                <w:lang w:val="en-US"/>
              </w:rPr>
              <w:t>0.000</w:t>
            </w:r>
          </w:p>
        </w:tc>
        <w:tc>
          <w:tcPr>
            <w:tcW w:w="1559" w:type="dxa"/>
          </w:tcPr>
          <w:p w:rsidR="001A65B3" w:rsidRPr="00150921" w:rsidRDefault="001A65B3" w:rsidP="009C0D2E">
            <w:pPr>
              <w:rPr>
                <w:rFonts w:ascii="Times New Roman" w:hAnsi="Times New Roman" w:cs="Times New Roman"/>
                <w:sz w:val="24"/>
                <w:szCs w:val="24"/>
              </w:rPr>
            </w:pPr>
            <w:r w:rsidRPr="00150921">
              <w:rPr>
                <w:rFonts w:ascii="Times New Roman" w:hAnsi="Times New Roman" w:cs="Times New Roman"/>
                <w:sz w:val="24"/>
                <w:szCs w:val="24"/>
                <w:lang w:val="en-US"/>
              </w:rPr>
              <w:t>0.000</w:t>
            </w:r>
          </w:p>
        </w:tc>
      </w:tr>
      <w:tr w:rsidR="001A65B3" w:rsidTr="00DD5115">
        <w:trPr>
          <w:trHeight w:val="567"/>
        </w:trPr>
        <w:tc>
          <w:tcPr>
            <w:tcW w:w="1271" w:type="dxa"/>
          </w:tcPr>
          <w:p w:rsidR="001A65B3" w:rsidRPr="00FD7669" w:rsidRDefault="001A65B3" w:rsidP="009C0D2E">
            <w:pPr>
              <w:rPr>
                <w:rFonts w:ascii="Cambria Math" w:hAnsi="Cambria Math"/>
                <w:i/>
                <w:vertAlign w:val="superscript"/>
                <w:lang w:val="en-US"/>
              </w:rPr>
            </w:pPr>
            <w:r w:rsidRPr="00FD7669">
              <w:rPr>
                <w:rFonts w:ascii="Cambria Math" w:hAnsi="Cambria Math"/>
                <w:i/>
                <w:lang w:val="en-US"/>
              </w:rPr>
              <w:t>adg R</w:t>
            </w:r>
            <w:r w:rsidRPr="00FD7669">
              <w:rPr>
                <w:rFonts w:ascii="Cambria Math" w:hAnsi="Cambria Math"/>
                <w:i/>
                <w:vertAlign w:val="superscript"/>
                <w:lang w:val="en-US"/>
              </w:rPr>
              <w:t>2</w:t>
            </w:r>
          </w:p>
        </w:tc>
        <w:tc>
          <w:tcPr>
            <w:tcW w:w="1488" w:type="dxa"/>
            <w:tcBorders>
              <w:left w:val="nil"/>
            </w:tcBorders>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0.406</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0.464</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0.519</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0.589</w:t>
            </w:r>
          </w:p>
        </w:tc>
        <w:tc>
          <w:tcPr>
            <w:tcW w:w="1488"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0.522</w:t>
            </w:r>
          </w:p>
        </w:tc>
        <w:tc>
          <w:tcPr>
            <w:tcW w:w="148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0.563</w:t>
            </w:r>
          </w:p>
        </w:tc>
        <w:tc>
          <w:tcPr>
            <w:tcW w:w="1560"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0.487</w:t>
            </w:r>
          </w:p>
        </w:tc>
        <w:tc>
          <w:tcPr>
            <w:tcW w:w="1559" w:type="dxa"/>
          </w:tcPr>
          <w:p w:rsidR="001A65B3" w:rsidRPr="00150921" w:rsidRDefault="001A65B3" w:rsidP="009C0D2E">
            <w:pPr>
              <w:rPr>
                <w:rFonts w:ascii="Times New Roman" w:hAnsi="Times New Roman" w:cs="Times New Roman"/>
                <w:sz w:val="24"/>
                <w:szCs w:val="24"/>
                <w:lang w:val="en-US"/>
              </w:rPr>
            </w:pPr>
            <w:r w:rsidRPr="00150921">
              <w:rPr>
                <w:rFonts w:ascii="Times New Roman" w:hAnsi="Times New Roman" w:cs="Times New Roman"/>
                <w:sz w:val="24"/>
                <w:szCs w:val="24"/>
                <w:lang w:val="en-US"/>
              </w:rPr>
              <w:t>0.526</w:t>
            </w:r>
          </w:p>
        </w:tc>
      </w:tr>
      <w:tr w:rsidR="001A65B3" w:rsidRPr="00AF0B79" w:rsidTr="00FE2F35">
        <w:trPr>
          <w:trHeight w:val="567"/>
        </w:trPr>
        <w:tc>
          <w:tcPr>
            <w:tcW w:w="13320" w:type="dxa"/>
            <w:gridSpan w:val="9"/>
          </w:tcPr>
          <w:p w:rsidR="001A65B3" w:rsidRPr="00150921" w:rsidRDefault="001A65B3" w:rsidP="00FE2F35">
            <w:pPr>
              <w:tabs>
                <w:tab w:val="left" w:pos="11964"/>
              </w:tabs>
              <w:rPr>
                <w:rFonts w:ascii="Times New Roman" w:hAnsi="Times New Roman" w:cs="Times New Roman"/>
                <w:lang w:val="en-US"/>
              </w:rPr>
            </w:pPr>
            <w:r w:rsidRPr="00150921">
              <w:rPr>
                <w:rFonts w:ascii="Times New Roman" w:hAnsi="Times New Roman" w:cs="Times New Roman"/>
                <w:szCs w:val="20"/>
                <w:lang w:val="en-US"/>
              </w:rPr>
              <w:t>Note:</w:t>
            </w:r>
            <w:r w:rsidRPr="00150921">
              <w:rPr>
                <w:rFonts w:ascii="Times New Roman" w:eastAsiaTheme="minorEastAsia" w:hAnsi="Times New Roman" w:cs="Times New Roman"/>
                <w:color w:val="000000" w:themeColor="text1"/>
                <w:kern w:val="24"/>
                <w:lang w:val="en-US"/>
              </w:rPr>
              <w:t xml:space="preserve"> </w:t>
            </w:r>
            <w:r w:rsidRPr="00150921">
              <w:rPr>
                <w:rFonts w:ascii="Times New Roman" w:hAnsi="Times New Roman" w:cs="Times New Roman"/>
                <w:szCs w:val="20"/>
                <w:lang w:val="en-US"/>
              </w:rPr>
              <w:t>(*), (**) and (***) significance at the 1%, 5% and 10% level, respectively.</w:t>
            </w:r>
            <w:r w:rsidR="00FE2F35">
              <w:rPr>
                <w:rFonts w:ascii="Times New Roman" w:hAnsi="Times New Roman" w:cs="Times New Roman"/>
                <w:szCs w:val="20"/>
                <w:lang w:val="en-US"/>
              </w:rPr>
              <w:tab/>
            </w:r>
          </w:p>
        </w:tc>
      </w:tr>
    </w:tbl>
    <w:p w:rsidR="001A65B3" w:rsidRPr="007910F8" w:rsidRDefault="004961FD" w:rsidP="007910F8">
      <w:pPr>
        <w:rPr>
          <w:rFonts w:ascii="Times New Roman" w:hAnsi="Times New Roman" w:cs="Times New Roman"/>
          <w:b/>
          <w:sz w:val="24"/>
          <w:szCs w:val="24"/>
          <w:lang w:val="en-US"/>
        </w:rPr>
      </w:pPr>
      <w:r>
        <w:rPr>
          <w:rFonts w:ascii="Times New Roman" w:hAnsi="Times New Roman" w:cs="Times New Roman"/>
          <w:b/>
          <w:sz w:val="24"/>
          <w:szCs w:val="24"/>
          <w:lang w:val="en-US"/>
        </w:rPr>
        <w:t>Table 3.</w:t>
      </w:r>
      <w:r w:rsidR="00C83D2B">
        <w:rPr>
          <w:rFonts w:ascii="Times New Roman" w:hAnsi="Times New Roman" w:cs="Times New Roman"/>
          <w:b/>
          <w:sz w:val="24"/>
          <w:szCs w:val="24"/>
          <w:lang w:val="en-US"/>
        </w:rPr>
        <w:t>7</w:t>
      </w:r>
      <w:r w:rsidR="007910F8" w:rsidRPr="007910F8">
        <w:rPr>
          <w:rFonts w:ascii="Times New Roman" w:hAnsi="Times New Roman" w:cs="Times New Roman"/>
          <w:b/>
          <w:sz w:val="24"/>
          <w:szCs w:val="24"/>
          <w:lang w:val="en-US"/>
        </w:rPr>
        <w:t xml:space="preserve"> </w:t>
      </w:r>
      <w:r w:rsidR="007910F8" w:rsidRPr="007910F8">
        <w:rPr>
          <w:rFonts w:ascii="Times New Roman" w:hAnsi="Times New Roman"/>
          <w:sz w:val="24"/>
          <w:szCs w:val="24"/>
          <w:lang w:val="en-US"/>
        </w:rPr>
        <w:t>Regression analysis results</w:t>
      </w:r>
    </w:p>
    <w:p w:rsidR="001A65B3" w:rsidRDefault="001A65B3" w:rsidP="001A65B3">
      <w:pPr>
        <w:rPr>
          <w:rFonts w:ascii="CMR12" w:hAnsi="CMR12" w:cs="CMR12"/>
          <w:szCs w:val="24"/>
          <w:lang w:val="en-US"/>
        </w:rPr>
        <w:sectPr w:rsidR="001A65B3" w:rsidSect="001246F5">
          <w:pgSz w:w="16838" w:h="11906" w:orient="landscape" w:code="9"/>
          <w:pgMar w:top="1701" w:right="1134" w:bottom="851" w:left="1134" w:header="709" w:footer="709" w:gutter="0"/>
          <w:cols w:space="708"/>
          <w:titlePg/>
          <w:docGrid w:linePitch="360"/>
        </w:sectPr>
      </w:pPr>
    </w:p>
    <w:p w:rsidR="001A65B3" w:rsidRPr="00150921" w:rsidRDefault="001A65B3"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lastRenderedPageBreak/>
        <w:t xml:space="preserve">All models are statistically significant. The significance of the following variables is observed: the independent variable </w:t>
      </w:r>
      <m:oMath>
        <m:sSub>
          <m:sSubPr>
            <m:ctrlPr>
              <w:rPr>
                <w:rFonts w:ascii="Cambria Math" w:hAnsi="Cambria Math" w:cs="Times New Roman"/>
                <w:i/>
                <w:sz w:val="24"/>
                <w:szCs w:val="24"/>
              </w:rPr>
            </m:ctrlPr>
          </m:sSubPr>
          <m:e>
            <m:r>
              <w:rPr>
                <w:rFonts w:ascii="Cambria Math" w:hAnsi="Cambria Math" w:cs="Times New Roman"/>
                <w:sz w:val="24"/>
                <w:szCs w:val="24"/>
                <w:lang w:val="en-US"/>
              </w:rPr>
              <m:t>disc</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as well as control variables </w:t>
      </w:r>
      <m:oMath>
        <m:sSub>
          <m:sSubPr>
            <m:ctrlPr>
              <w:rPr>
                <w:rFonts w:ascii="Cambria Math" w:hAnsi="Cambria Math" w:cs="Times New Roman"/>
                <w:i/>
                <w:sz w:val="24"/>
                <w:szCs w:val="24"/>
              </w:rPr>
            </m:ctrlPr>
          </m:sSubPr>
          <m:e>
            <m:r>
              <w:rPr>
                <w:rFonts w:ascii="Cambria Math" w:hAnsi="Cambria Math" w:cs="Times New Roman"/>
                <w:sz w:val="24"/>
                <w:szCs w:val="24"/>
                <w:lang w:val="en-US"/>
              </w:rPr>
              <m:t>size</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vola</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capbuf</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npl</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roe</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depo</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hAnsi="Times New Roman" w:cs="Times New Roman"/>
          <w:sz w:val="24"/>
          <w:szCs w:val="24"/>
          <w:lang w:val="en-US"/>
        </w:rPr>
        <w:t>.</w:t>
      </w:r>
    </w:p>
    <w:p w:rsidR="001A65B3" w:rsidRPr="00150921" w:rsidRDefault="001A65B3" w:rsidP="007910F8">
      <w:pPr>
        <w:spacing w:line="360" w:lineRule="auto"/>
        <w:ind w:firstLine="708"/>
        <w:jc w:val="both"/>
        <w:rPr>
          <w:rFonts w:ascii="Times New Roman" w:eastAsiaTheme="minorEastAsia" w:hAnsi="Times New Roman" w:cs="Times New Roman"/>
          <w:sz w:val="24"/>
          <w:szCs w:val="24"/>
          <w:lang w:val="en-US"/>
        </w:rPr>
      </w:pPr>
      <w:r w:rsidRPr="00150921">
        <w:rPr>
          <w:rFonts w:ascii="Times New Roman" w:hAnsi="Times New Roman" w:cs="Times New Roman"/>
          <w:sz w:val="24"/>
          <w:szCs w:val="24"/>
          <w:lang w:val="en-US"/>
        </w:rPr>
        <w:t>Column I shows the estimation results for the baseline specification, where the dependent variable is the aggregate</w:t>
      </w:r>
      <w:r w:rsidR="00B620B2">
        <w:rPr>
          <w:rFonts w:ascii="Times New Roman" w:hAnsi="Times New Roman" w:cs="Times New Roman"/>
          <w:sz w:val="24"/>
          <w:szCs w:val="24"/>
          <w:lang w:val="en-US"/>
        </w:rPr>
        <w:t>d</w:t>
      </w:r>
      <w:r w:rsidRPr="00150921">
        <w:rPr>
          <w:rFonts w:ascii="Times New Roman" w:hAnsi="Times New Roman" w:cs="Times New Roman"/>
          <w:sz w:val="24"/>
          <w:szCs w:val="24"/>
          <w:lang w:val="en-US"/>
        </w:rPr>
        <w:t xml:space="preserve"> risk (</w:t>
      </w:r>
      <m:oMath>
        <m:sSub>
          <m:sSubPr>
            <m:ctrlPr>
              <w:rPr>
                <w:rFonts w:ascii="Cambria Math" w:hAnsi="Cambria Math" w:cs="Times New Roman"/>
                <w:i/>
                <w:sz w:val="24"/>
                <w:szCs w:val="24"/>
              </w:rPr>
            </m:ctrlPr>
          </m:sSubPr>
          <m:e>
            <m:r>
              <w:rPr>
                <w:rFonts w:ascii="Cambria Math" w:hAnsi="Cambria Math" w:cs="Times New Roman"/>
                <w:sz w:val="24"/>
                <w:szCs w:val="24"/>
                <w:lang w:val="en-US"/>
              </w:rPr>
              <m:t>yaggrisk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Pr="00150921">
        <w:rPr>
          <w:rFonts w:ascii="Times New Roman" w:eastAsiaTheme="minorEastAsia" w:hAnsi="Times New Roman" w:cs="Times New Roman"/>
          <w:sz w:val="24"/>
          <w:szCs w:val="24"/>
          <w:lang w:val="en-US"/>
        </w:rPr>
        <w:t>)</w:t>
      </w:r>
      <w:r w:rsidRPr="00150921">
        <w:rPr>
          <w:rFonts w:ascii="Times New Roman" w:hAnsi="Times New Roman" w:cs="Times New Roman"/>
          <w:sz w:val="24"/>
          <w:szCs w:val="24"/>
          <w:lang w:val="en-US"/>
        </w:rPr>
        <w:t>. I observe statistically significant coefficients on bank’s capital buffer and non-performing loans (</w:t>
      </w:r>
      <m:oMath>
        <m:sSub>
          <m:sSubPr>
            <m:ctrlPr>
              <w:rPr>
                <w:rFonts w:ascii="Cambria Math" w:hAnsi="Cambria Math" w:cs="Times New Roman"/>
                <w:i/>
                <w:sz w:val="24"/>
                <w:szCs w:val="24"/>
              </w:rPr>
            </m:ctrlPr>
          </m:sSubPr>
          <m:e>
            <m:r>
              <w:rPr>
                <w:rFonts w:ascii="Cambria Math" w:hAnsi="Cambria Math" w:cs="Times New Roman"/>
                <w:sz w:val="24"/>
                <w:szCs w:val="24"/>
                <w:lang w:val="en-US"/>
              </w:rPr>
              <m:t>capbuf</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hAnsi="Times New Roman" w:cs="Times New Roman"/>
          <w:sz w:val="24"/>
          <w:szCs w:val="24"/>
          <w:lang w:val="en-US"/>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lang w:val="en-US"/>
              </w:rPr>
              <m:t>npl</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hAnsi="Times New Roman" w:cs="Times New Roman"/>
          <w:sz w:val="24"/>
          <w:szCs w:val="24"/>
          <w:lang w:val="en-US"/>
        </w:rPr>
        <w:t>) and insignificant coefficients on the firm size, return on equity and the level of deposits (</w:t>
      </w:r>
      <m:oMath>
        <m:sSub>
          <m:sSubPr>
            <m:ctrlPr>
              <w:rPr>
                <w:rFonts w:ascii="Cambria Math" w:hAnsi="Cambria Math" w:cs="Times New Roman"/>
                <w:i/>
                <w:sz w:val="24"/>
                <w:szCs w:val="24"/>
              </w:rPr>
            </m:ctrlPr>
          </m:sSubPr>
          <m:e>
            <m:r>
              <w:rPr>
                <w:rFonts w:ascii="Cambria Math" w:hAnsi="Cambria Math" w:cs="Times New Roman"/>
                <w:sz w:val="24"/>
                <w:szCs w:val="24"/>
                <w:lang w:val="en-US"/>
              </w:rPr>
              <m:t>size</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roe</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lang w:val="en-US"/>
              </w:rPr>
              <m:t>depo</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hAnsi="Times New Roman" w:cs="Times New Roman"/>
          <w:sz w:val="24"/>
          <w:szCs w:val="24"/>
          <w:lang w:val="en-US"/>
        </w:rPr>
        <w:t>). As expected, the BHC’s aggregated risk negatively related to</w:t>
      </w:r>
      <w:r w:rsidRPr="00150921">
        <w:rPr>
          <w:rFonts w:ascii="Times New Roman" w:eastAsiaTheme="minorEastAsia" w:hAnsi="Times New Roman" w:cs="Times New Roman"/>
          <w:sz w:val="24"/>
          <w:szCs w:val="24"/>
          <w:lang w:val="en-US"/>
        </w:rPr>
        <w:t xml:space="preserve"> the </w:t>
      </w:r>
      <w:r w:rsidRPr="00150921">
        <w:rPr>
          <w:rFonts w:ascii="Times New Roman" w:hAnsi="Times New Roman" w:cs="Times New Roman"/>
          <w:sz w:val="24"/>
          <w:szCs w:val="24"/>
          <w:lang w:val="en-US"/>
        </w:rPr>
        <w:t>bank’s capital buffer</w:t>
      </w:r>
      <w:r w:rsidRPr="00150921">
        <w:rPr>
          <w:rFonts w:ascii="Times New Roman" w:eastAsiaTheme="minorEastAsia" w:hAnsi="Times New Roman" w:cs="Times New Roman"/>
          <w:sz w:val="24"/>
          <w:szCs w:val="24"/>
          <w:lang w:val="en-US"/>
        </w:rPr>
        <w:t xml:space="preserve"> in other words </w:t>
      </w:r>
      <w:r w:rsidRPr="00150921">
        <w:rPr>
          <w:rFonts w:ascii="Times New Roman" w:hAnsi="Times New Roman" w:cs="Times New Roman"/>
          <w:sz w:val="24"/>
          <w:szCs w:val="24"/>
          <w:lang w:val="en-US"/>
        </w:rPr>
        <w:t>increased capital buffer in the previous year decreases the aggregated risk of bank holding company in the following year.</w:t>
      </w:r>
      <w:r w:rsidRPr="00150921">
        <w:rPr>
          <w:rFonts w:ascii="Times New Roman" w:eastAsiaTheme="minorEastAsia" w:hAnsi="Times New Roman" w:cs="Times New Roman"/>
          <w:sz w:val="24"/>
          <w:szCs w:val="24"/>
          <w:lang w:val="en-US"/>
        </w:rPr>
        <w:t xml:space="preserve"> Additionally increased level of the non-performing loans </w:t>
      </w:r>
      <w:r w:rsidRPr="00150921">
        <w:rPr>
          <w:rFonts w:ascii="Times New Roman" w:hAnsi="Times New Roman" w:cs="Times New Roman"/>
          <w:sz w:val="24"/>
          <w:szCs w:val="24"/>
          <w:lang w:val="en-US"/>
        </w:rPr>
        <w:t>in the previous year</w:t>
      </w:r>
      <w:r w:rsidRPr="00150921">
        <w:rPr>
          <w:rFonts w:ascii="Times New Roman" w:eastAsiaTheme="minorEastAsia" w:hAnsi="Times New Roman" w:cs="Times New Roman"/>
          <w:sz w:val="24"/>
          <w:szCs w:val="24"/>
          <w:lang w:val="en-US"/>
        </w:rPr>
        <w:t xml:space="preserve"> results in </w:t>
      </w:r>
      <w:r w:rsidRPr="00150921">
        <w:rPr>
          <w:rFonts w:ascii="Times New Roman" w:hAnsi="Times New Roman" w:cs="Times New Roman"/>
          <w:sz w:val="24"/>
          <w:szCs w:val="24"/>
          <w:lang w:val="en-US"/>
        </w:rPr>
        <w:t>increased aggregated risk of bank holding company</w:t>
      </w:r>
      <w:r w:rsidRPr="00150921">
        <w:rPr>
          <w:rFonts w:ascii="Times New Roman" w:eastAsiaTheme="minorEastAsia" w:hAnsi="Times New Roman" w:cs="Times New Roman"/>
          <w:sz w:val="24"/>
          <w:szCs w:val="24"/>
          <w:lang w:val="en-US"/>
        </w:rPr>
        <w:t>.</w:t>
      </w:r>
    </w:p>
    <w:p w:rsidR="001A65B3" w:rsidRPr="00150921" w:rsidRDefault="001A65B3"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Column III and V reveals a negative and significant relationship between the firm size (</w:t>
      </w:r>
      <m:oMath>
        <m:sSub>
          <m:sSubPr>
            <m:ctrlPr>
              <w:rPr>
                <w:rFonts w:ascii="Cambria Math" w:hAnsi="Cambria Math" w:cs="Times New Roman"/>
                <w:i/>
                <w:sz w:val="24"/>
                <w:szCs w:val="24"/>
              </w:rPr>
            </m:ctrlPr>
          </m:sSubPr>
          <m:e>
            <m:r>
              <w:rPr>
                <w:rFonts w:ascii="Cambria Math" w:hAnsi="Cambria Math" w:cs="Times New Roman"/>
                <w:sz w:val="24"/>
                <w:szCs w:val="24"/>
                <w:lang w:val="en-US"/>
              </w:rPr>
              <m:t>size</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Pr="00150921">
        <w:rPr>
          <w:rFonts w:ascii="Times New Roman" w:eastAsiaTheme="minorEastAsia" w:hAnsi="Times New Roman" w:cs="Times New Roman"/>
          <w:sz w:val="24"/>
          <w:szCs w:val="24"/>
          <w:lang w:val="en-US"/>
        </w:rPr>
        <w:t>)</w:t>
      </w:r>
      <w:r w:rsidRPr="00150921">
        <w:rPr>
          <w:rFonts w:ascii="Times New Roman" w:hAnsi="Times New Roman" w:cs="Times New Roman"/>
          <w:sz w:val="24"/>
          <w:szCs w:val="24"/>
          <w:lang w:val="en-US"/>
        </w:rPr>
        <w:t xml:space="preserve"> and </w:t>
      </w:r>
      <w:r w:rsidR="00DE47A1">
        <w:rPr>
          <w:rFonts w:ascii="Times New Roman" w:hAnsi="Times New Roman" w:cs="Times New Roman"/>
          <w:sz w:val="24"/>
          <w:szCs w:val="24"/>
          <w:lang w:val="en-US"/>
        </w:rPr>
        <w:t>systemic</w:t>
      </w:r>
      <w:r w:rsidRPr="00150921">
        <w:rPr>
          <w:rFonts w:ascii="Times New Roman" w:hAnsi="Times New Roman" w:cs="Times New Roman"/>
          <w:sz w:val="24"/>
          <w:szCs w:val="24"/>
          <w:lang w:val="en-US"/>
        </w:rPr>
        <w:t xml:space="preserve"> risk as well as idiosyncratic risk (</w:t>
      </w:r>
      <m:oMath>
        <m:sSub>
          <m:sSubPr>
            <m:ctrlPr>
              <w:rPr>
                <w:rFonts w:ascii="Cambria Math" w:hAnsi="Cambria Math" w:cs="Times New Roman"/>
                <w:i/>
                <w:sz w:val="24"/>
                <w:szCs w:val="24"/>
              </w:rPr>
            </m:ctrlPr>
          </m:sSubPr>
          <m:e>
            <m:r>
              <w:rPr>
                <w:rFonts w:ascii="Cambria Math" w:hAnsi="Cambria Math" w:cs="Times New Roman"/>
                <w:sz w:val="24"/>
                <w:szCs w:val="24"/>
                <w:lang w:val="en-US"/>
              </w:rPr>
              <m:t>sysrisk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Pr="00150921">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lang w:val="en-US"/>
              </w:rPr>
              <m:t>yidiorisk</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Pr="00150921">
        <w:rPr>
          <w:rFonts w:ascii="Times New Roman" w:hAnsi="Times New Roman" w:cs="Times New Roman"/>
          <w:sz w:val="24"/>
          <w:szCs w:val="24"/>
          <w:lang w:val="en-US"/>
        </w:rPr>
        <w:t xml:space="preserve">). Additionally we can see positive and significant relationship between the non-performing loans and the level of deposits. As expected, the bigger bank holding companies benefit from lower </w:t>
      </w:r>
      <w:r w:rsidR="00DE47A1">
        <w:rPr>
          <w:rFonts w:ascii="Times New Roman" w:hAnsi="Times New Roman" w:cs="Times New Roman"/>
          <w:sz w:val="24"/>
          <w:szCs w:val="24"/>
          <w:lang w:val="en-US"/>
        </w:rPr>
        <w:t>systemic</w:t>
      </w:r>
      <w:r w:rsidRPr="00150921">
        <w:rPr>
          <w:rFonts w:ascii="Times New Roman" w:hAnsi="Times New Roman" w:cs="Times New Roman"/>
          <w:sz w:val="24"/>
          <w:szCs w:val="24"/>
          <w:lang w:val="en-US"/>
        </w:rPr>
        <w:t xml:space="preserve"> risk and idiosyncratic risk, which could be a result of implicit too-big-to-fail guarantees. Moreover higher accounting risks expressed by the non-performing loans and the level of deposits lead to increased </w:t>
      </w:r>
      <w:r w:rsidR="00DE47A1">
        <w:rPr>
          <w:rFonts w:ascii="Times New Roman" w:hAnsi="Times New Roman" w:cs="Times New Roman"/>
          <w:sz w:val="24"/>
          <w:szCs w:val="24"/>
          <w:lang w:val="en-US"/>
        </w:rPr>
        <w:t>systemic</w:t>
      </w:r>
      <w:r w:rsidRPr="00150921">
        <w:rPr>
          <w:rFonts w:ascii="Times New Roman" w:hAnsi="Times New Roman" w:cs="Times New Roman"/>
          <w:sz w:val="24"/>
          <w:szCs w:val="24"/>
          <w:lang w:val="en-US"/>
        </w:rPr>
        <w:t xml:space="preserve"> and idiosyncratic risks of the bank holding company. </w:t>
      </w:r>
    </w:p>
    <w:p w:rsidR="001A65B3" w:rsidRPr="00150921" w:rsidRDefault="001A65B3"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Finally, Column VII shows the estimation results for the baseline specification, where the dependent variable is the downside risk (</w:t>
      </w:r>
      <m:oMath>
        <m:sSub>
          <m:sSubPr>
            <m:ctrlPr>
              <w:rPr>
                <w:rFonts w:ascii="Cambria Math" w:hAnsi="Cambria Math" w:cs="Times New Roman"/>
                <w:i/>
                <w:sz w:val="24"/>
                <w:szCs w:val="24"/>
              </w:rPr>
            </m:ctrlPr>
          </m:sSubPr>
          <m:e>
            <m:r>
              <w:rPr>
                <w:rFonts w:ascii="Cambria Math" w:hAnsi="Cambria Math" w:cs="Times New Roman"/>
                <w:sz w:val="24"/>
                <w:szCs w:val="24"/>
                <w:lang w:val="en-US"/>
              </w:rPr>
              <m:t>ydownrisk</m:t>
            </m:r>
          </m:e>
          <m:sub>
            <m:r>
              <w:rPr>
                <w:rFonts w:ascii="Cambria Math" w:hAnsi="Cambria Math" w:cs="Times New Roman"/>
                <w:sz w:val="24"/>
                <w:szCs w:val="24"/>
              </w:rPr>
              <m:t>b</m:t>
            </m:r>
            <m:r>
              <w:rPr>
                <w:rFonts w:ascii="Cambria Math" w:hAnsi="Cambria Math" w:cs="Times New Roman"/>
                <w:sz w:val="24"/>
                <w:szCs w:val="24"/>
                <w:lang w:val="en-US"/>
              </w:rPr>
              <m:t xml:space="preserve">, </m:t>
            </m:r>
            <m:r>
              <w:rPr>
                <w:rFonts w:ascii="Cambria Math" w:hAnsi="Cambria Math" w:cs="Times New Roman"/>
                <w:sz w:val="24"/>
                <w:szCs w:val="24"/>
              </w:rPr>
              <m:t>t</m:t>
            </m:r>
            <m:r>
              <w:rPr>
                <w:rFonts w:ascii="Cambria Math" w:hAnsi="Cambria Math" w:cs="Times New Roman"/>
                <w:sz w:val="24"/>
                <w:szCs w:val="24"/>
                <w:lang w:val="en-US"/>
              </w:rPr>
              <m:t>+1</m:t>
            </m:r>
          </m:sub>
        </m:sSub>
      </m:oMath>
      <w:r w:rsidRPr="00150921">
        <w:rPr>
          <w:rFonts w:ascii="Times New Roman" w:eastAsiaTheme="minorEastAsia" w:hAnsi="Times New Roman" w:cs="Times New Roman"/>
          <w:sz w:val="24"/>
          <w:szCs w:val="24"/>
          <w:lang w:val="en-US"/>
        </w:rPr>
        <w:t xml:space="preserve">). As we can see </w:t>
      </w:r>
      <w:r w:rsidRPr="00150921">
        <w:rPr>
          <w:rFonts w:ascii="Times New Roman" w:hAnsi="Times New Roman" w:cs="Times New Roman"/>
          <w:sz w:val="24"/>
          <w:szCs w:val="24"/>
          <w:lang w:val="en-US"/>
        </w:rPr>
        <w:t>all coefficients are statistically significant. However not all of the parameter estimates before variables have expected signs. The results state negative relationship between the level of deposits</w:t>
      </w:r>
      <w:r w:rsidR="00F6403E">
        <w:rPr>
          <w:rFonts w:ascii="Times New Roman" w:hAnsi="Times New Roman" w:cs="Times New Roman"/>
          <w:sz w:val="24"/>
          <w:szCs w:val="24"/>
          <w:lang w:val="en-US"/>
        </w:rPr>
        <w:t xml:space="preserve"> </w:t>
      </w:r>
      <w:r w:rsidR="00F6403E">
        <w:rPr>
          <w:rFonts w:ascii="Times New Roman" w:eastAsiaTheme="minorEastAsia" w:hAnsi="Times New Roman" w:cs="Times New Roman"/>
          <w:sz w:val="24"/>
          <w:szCs w:val="24"/>
          <w:lang w:val="en-US"/>
        </w:rPr>
        <w:t>(</w:t>
      </w:r>
      <m:oMath>
        <m:sSub>
          <m:sSubPr>
            <m:ctrlPr>
              <w:rPr>
                <w:rFonts w:ascii="Cambria Math" w:hAnsi="Cambria Math" w:cs="Times New Roman"/>
                <w:i/>
                <w:sz w:val="24"/>
                <w:szCs w:val="24"/>
              </w:rPr>
            </m:ctrlPr>
          </m:sSubPr>
          <m:e>
            <m:r>
              <w:rPr>
                <w:rFonts w:ascii="Cambria Math" w:hAnsi="Cambria Math" w:cs="Times New Roman"/>
                <w:sz w:val="24"/>
                <w:szCs w:val="24"/>
                <w:lang w:val="en-US"/>
              </w:rPr>
              <m:t>depo</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00F6403E">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and downside risk. This could be explained as follows: deposits are likely to have long-term maturity hence maturity gap between loans and deposits is not so big.</w:t>
      </w:r>
    </w:p>
    <w:p w:rsidR="001A65B3" w:rsidRPr="00150921" w:rsidRDefault="001A65B3"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After adding the aggregated disclosure index, we can see that in all specifications disclosure index</w:t>
      </w:r>
      <w:r w:rsidR="00F6403E">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disc</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w:r w:rsidR="00F6403E">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is significant and negatively associated with the enterprise risks such as the aggregated risk, the systemic risk, the idiosyncratic risk and the downside risk.</w:t>
      </w:r>
      <w:r w:rsidR="00A74B64">
        <w:rPr>
          <w:rFonts w:ascii="Times New Roman" w:hAnsi="Times New Roman" w:cs="Times New Roman"/>
          <w:sz w:val="24"/>
          <w:szCs w:val="24"/>
          <w:lang w:val="en-US"/>
        </w:rPr>
        <w:t xml:space="preserve"> Additionally the sign and significance of each cont</w:t>
      </w:r>
      <w:r w:rsidR="008E3BC2">
        <w:rPr>
          <w:rFonts w:ascii="Times New Roman" w:hAnsi="Times New Roman" w:cs="Times New Roman"/>
          <w:sz w:val="24"/>
          <w:szCs w:val="24"/>
          <w:lang w:val="en-US"/>
        </w:rPr>
        <w:t>rol variable are preserved.</w:t>
      </w:r>
      <w:r w:rsidRPr="00150921">
        <w:rPr>
          <w:rFonts w:ascii="Times New Roman" w:hAnsi="Times New Roman" w:cs="Times New Roman"/>
          <w:sz w:val="24"/>
          <w:szCs w:val="24"/>
          <w:lang w:val="en-US"/>
        </w:rPr>
        <w:t xml:space="preserve"> </w:t>
      </w:r>
    </w:p>
    <w:p w:rsidR="001A65B3" w:rsidRPr="00150921" w:rsidRDefault="00926680" w:rsidP="002E448E">
      <w:pPr>
        <w:pStyle w:val="3"/>
        <w:rPr>
          <w:lang w:val="en-US"/>
        </w:rPr>
      </w:pPr>
      <w:bookmarkStart w:id="20" w:name="_Toc451925558"/>
      <w:r>
        <w:rPr>
          <w:lang w:val="en-US"/>
        </w:rPr>
        <w:t>3.4.2. Discussion</w:t>
      </w:r>
      <w:bookmarkEnd w:id="20"/>
    </w:p>
    <w:p w:rsidR="001A65B3" w:rsidRPr="00150921" w:rsidRDefault="001A65B3" w:rsidP="009C0D2E">
      <w:pPr>
        <w:spacing w:line="360" w:lineRule="auto"/>
        <w:ind w:firstLine="708"/>
        <w:contextualSpacing/>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Results of the research enable us to make a conclusion about the existence of the relationship betwee</w:t>
      </w:r>
      <w:r w:rsidR="00030E1D">
        <w:rPr>
          <w:rFonts w:ascii="Times New Roman" w:hAnsi="Times New Roman" w:cs="Times New Roman"/>
          <w:sz w:val="24"/>
          <w:szCs w:val="24"/>
          <w:lang w:val="en-US"/>
        </w:rPr>
        <w:t>n disclosure and different enterprise risks</w:t>
      </w:r>
      <w:r w:rsidRPr="00150921">
        <w:rPr>
          <w:rFonts w:ascii="Times New Roman" w:hAnsi="Times New Roman" w:cs="Times New Roman"/>
          <w:sz w:val="24"/>
          <w:szCs w:val="24"/>
          <w:lang w:val="en-US"/>
        </w:rPr>
        <w:t>. In particular, it can be observed that there is significant relationship between such</w:t>
      </w:r>
      <w:r w:rsidR="00B369C6">
        <w:rPr>
          <w:rFonts w:ascii="Times New Roman" w:hAnsi="Times New Roman" w:cs="Times New Roman"/>
          <w:sz w:val="24"/>
          <w:szCs w:val="24"/>
          <w:lang w:val="en-US"/>
        </w:rPr>
        <w:t xml:space="preserve"> enterprise</w:t>
      </w:r>
      <w:r w:rsidRPr="00150921">
        <w:rPr>
          <w:rFonts w:ascii="Times New Roman" w:hAnsi="Times New Roman" w:cs="Times New Roman"/>
          <w:sz w:val="24"/>
          <w:szCs w:val="24"/>
          <w:lang w:val="en-US"/>
        </w:rPr>
        <w:t xml:space="preserve"> risk</w:t>
      </w:r>
      <w:r w:rsidR="00B369C6">
        <w:rPr>
          <w:rFonts w:ascii="Times New Roman" w:hAnsi="Times New Roman" w:cs="Times New Roman"/>
          <w:sz w:val="24"/>
          <w:szCs w:val="24"/>
          <w:lang w:val="en-US"/>
        </w:rPr>
        <w:t>s</w:t>
      </w:r>
      <w:r w:rsidRPr="00150921">
        <w:rPr>
          <w:rFonts w:ascii="Times New Roman" w:hAnsi="Times New Roman" w:cs="Times New Roman"/>
          <w:sz w:val="24"/>
          <w:szCs w:val="24"/>
          <w:lang w:val="en-US"/>
        </w:rPr>
        <w:t xml:space="preserve"> as the aggregated risk, the systemic </w:t>
      </w:r>
      <w:r w:rsidRPr="00150921">
        <w:rPr>
          <w:rFonts w:ascii="Times New Roman" w:hAnsi="Times New Roman" w:cs="Times New Roman"/>
          <w:sz w:val="24"/>
          <w:szCs w:val="24"/>
          <w:lang w:val="en-US"/>
        </w:rPr>
        <w:lastRenderedPageBreak/>
        <w:t xml:space="preserve">risk, the idiosyncratic risk, the downside risk and the aggregated disclosure index. The significance of disclosure index allows us to accept the hypotheses about the negative relationship with enterprise risks. </w:t>
      </w:r>
    </w:p>
    <w:p w:rsidR="001A65B3" w:rsidRPr="00150921" w:rsidRDefault="001A65B3"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The expected sign of disclosure on the aggregated risk is uncertain. As it was said previously a number of studies argue that disclosure is positively associated with sock prices volatility (Ross</w:t>
      </w:r>
      <w:r w:rsidR="001E4673" w:rsidRPr="00150921">
        <w:rPr>
          <w:rFonts w:ascii="Times New Roman" w:hAnsi="Times New Roman" w:cs="Times New Roman"/>
          <w:sz w:val="24"/>
          <w:szCs w:val="24"/>
          <w:lang w:val="en-US"/>
        </w:rPr>
        <w:t>; 1989</w:t>
      </w:r>
      <w:r w:rsidRPr="00150921">
        <w:rPr>
          <w:rFonts w:ascii="Times New Roman" w:hAnsi="Times New Roman" w:cs="Times New Roman"/>
          <w:sz w:val="24"/>
          <w:szCs w:val="24"/>
          <w:lang w:val="en-US"/>
        </w:rPr>
        <w:t>, Leuz and Verrecchia; 2000). On the other hand, some studies reveal that enhanced disclosure decreases stock volatility (Bushee and Noe; 2000, Baumann and Nier; 2004, Kothari, Li, and Short; 2009, and So; 2011). The results provide evidence supporting the second group of studies telling</w:t>
      </w:r>
      <w:r w:rsidR="004C169E">
        <w:rPr>
          <w:rFonts w:ascii="Times New Roman" w:hAnsi="Times New Roman" w:cs="Times New Roman"/>
          <w:sz w:val="24"/>
          <w:szCs w:val="24"/>
          <w:lang w:val="en-US"/>
        </w:rPr>
        <w:t xml:space="preserve"> that</w:t>
      </w:r>
      <w:r w:rsidRPr="00150921">
        <w:rPr>
          <w:rFonts w:ascii="Times New Roman" w:hAnsi="Times New Roman" w:cs="Times New Roman"/>
          <w:sz w:val="24"/>
          <w:szCs w:val="24"/>
          <w:lang w:val="en-US"/>
        </w:rPr>
        <w:t xml:space="preserve"> </w:t>
      </w:r>
      <w:r w:rsidR="001E4673">
        <w:rPr>
          <w:rFonts w:ascii="Times New Roman" w:hAnsi="Times New Roman" w:cs="Times New Roman"/>
          <w:sz w:val="24"/>
          <w:szCs w:val="24"/>
          <w:lang w:val="en-US"/>
        </w:rPr>
        <w:t>t</w:t>
      </w:r>
      <w:r w:rsidR="001E4673" w:rsidRPr="00151A67">
        <w:rPr>
          <w:rFonts w:ascii="Times New Roman" w:hAnsi="Times New Roman" w:cs="Times New Roman"/>
          <w:sz w:val="24"/>
          <w:szCs w:val="24"/>
          <w:lang w:val="en-US"/>
        </w:rPr>
        <w:t>he higher the level of bank’s disclosure in</w:t>
      </w:r>
      <w:r w:rsidR="001E4673">
        <w:rPr>
          <w:rFonts w:ascii="Times New Roman" w:hAnsi="Times New Roman" w:cs="Times New Roman"/>
          <w:sz w:val="24"/>
          <w:szCs w:val="24"/>
          <w:lang w:val="en-US"/>
        </w:rPr>
        <w:t xml:space="preserve"> the current year the lower </w:t>
      </w:r>
      <w:r w:rsidRPr="00150921">
        <w:rPr>
          <w:rFonts w:ascii="Times New Roman" w:hAnsi="Times New Roman" w:cs="Times New Roman"/>
          <w:sz w:val="24"/>
          <w:szCs w:val="24"/>
          <w:lang w:val="en-US"/>
        </w:rPr>
        <w:t>stock volatility</w:t>
      </w:r>
      <w:r w:rsidR="001E4673">
        <w:rPr>
          <w:rFonts w:ascii="Times New Roman" w:hAnsi="Times New Roman" w:cs="Times New Roman"/>
          <w:sz w:val="24"/>
          <w:szCs w:val="24"/>
          <w:lang w:val="en-US"/>
        </w:rPr>
        <w:t xml:space="preserve"> in the following year</w:t>
      </w:r>
      <w:r w:rsidRPr="00150921">
        <w:rPr>
          <w:rFonts w:ascii="Times New Roman" w:hAnsi="Times New Roman" w:cs="Times New Roman"/>
          <w:sz w:val="24"/>
          <w:szCs w:val="24"/>
          <w:lang w:val="en-US"/>
        </w:rPr>
        <w:t>. This can be explained as follows</w:t>
      </w:r>
      <w:r w:rsidR="00B369C6">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by mitigating uncertainty disclosure may reduce the degree of the impact of news about bank’s performance that in turn would reduce stock volatility (Lang and Lundholm; 1993, Bushee and Noe; 2000). After that the simple theories of market microstructure suggests that </w:t>
      </w:r>
      <w:r w:rsidR="001E4673">
        <w:rPr>
          <w:rFonts w:ascii="Times New Roman" w:hAnsi="Times New Roman" w:cs="Times New Roman"/>
          <w:sz w:val="24"/>
          <w:szCs w:val="24"/>
          <w:lang w:val="en-US"/>
        </w:rPr>
        <w:t>increas</w:t>
      </w:r>
      <w:r w:rsidRPr="00150921">
        <w:rPr>
          <w:rFonts w:ascii="Times New Roman" w:hAnsi="Times New Roman" w:cs="Times New Roman"/>
          <w:sz w:val="24"/>
          <w:szCs w:val="24"/>
          <w:lang w:val="en-US"/>
        </w:rPr>
        <w:t>ed</w:t>
      </w:r>
      <w:r w:rsidR="001E4673">
        <w:rPr>
          <w:rFonts w:ascii="Times New Roman" w:hAnsi="Times New Roman" w:cs="Times New Roman"/>
          <w:sz w:val="24"/>
          <w:szCs w:val="24"/>
          <w:lang w:val="en-US"/>
        </w:rPr>
        <w:t xml:space="preserve"> level of</w:t>
      </w:r>
      <w:r w:rsidRPr="00150921">
        <w:rPr>
          <w:rFonts w:ascii="Times New Roman" w:hAnsi="Times New Roman" w:cs="Times New Roman"/>
          <w:sz w:val="24"/>
          <w:szCs w:val="24"/>
          <w:lang w:val="en-US"/>
        </w:rPr>
        <w:t xml:space="preserve"> disclosure </w:t>
      </w:r>
      <w:r w:rsidR="001E4673">
        <w:rPr>
          <w:rFonts w:ascii="Times New Roman" w:hAnsi="Times New Roman" w:cs="Times New Roman"/>
          <w:sz w:val="24"/>
          <w:szCs w:val="24"/>
          <w:lang w:val="en-US"/>
        </w:rPr>
        <w:t>decreases</w:t>
      </w:r>
      <w:r w:rsidRPr="00150921">
        <w:rPr>
          <w:rFonts w:ascii="Times New Roman" w:hAnsi="Times New Roman" w:cs="Times New Roman"/>
          <w:sz w:val="24"/>
          <w:szCs w:val="24"/>
          <w:lang w:val="en-US"/>
        </w:rPr>
        <w:t xml:space="preserve"> the information asymmetry among different investors and </w:t>
      </w:r>
      <w:r w:rsidR="001E4673">
        <w:rPr>
          <w:rFonts w:ascii="Times New Roman" w:hAnsi="Times New Roman" w:cs="Times New Roman"/>
          <w:sz w:val="24"/>
          <w:szCs w:val="24"/>
          <w:lang w:val="en-US"/>
        </w:rPr>
        <w:t>lower</w:t>
      </w:r>
      <w:r w:rsidRPr="00150921">
        <w:rPr>
          <w:rFonts w:ascii="Times New Roman" w:hAnsi="Times New Roman" w:cs="Times New Roman"/>
          <w:sz w:val="24"/>
          <w:szCs w:val="24"/>
          <w:lang w:val="en-US"/>
        </w:rPr>
        <w:t xml:space="preserve"> the advantage to be better-informed.   This in turn decreases the price impact of trade actions of informed investors (Diamond and Verrecchia 1991). </w:t>
      </w:r>
      <w:r w:rsidR="00030E1D">
        <w:rPr>
          <w:rFonts w:ascii="Times New Roman" w:hAnsi="Times New Roman" w:cs="Times New Roman"/>
          <w:sz w:val="24"/>
          <w:szCs w:val="24"/>
          <w:lang w:val="en-US"/>
        </w:rPr>
        <w:t>Hence</w:t>
      </w:r>
      <w:r w:rsidR="001E4673" w:rsidRPr="00150921">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the</w:t>
      </w:r>
      <w:r w:rsidR="00030E1D">
        <w:rPr>
          <w:rFonts w:ascii="Times New Roman" w:hAnsi="Times New Roman" w:cs="Times New Roman"/>
          <w:sz w:val="24"/>
          <w:szCs w:val="24"/>
          <w:lang w:val="en-US"/>
        </w:rPr>
        <w:t xml:space="preserve"> increased level of</w:t>
      </w:r>
      <w:r w:rsidRPr="00150921">
        <w:rPr>
          <w:rFonts w:ascii="Times New Roman" w:hAnsi="Times New Roman" w:cs="Times New Roman"/>
          <w:sz w:val="24"/>
          <w:szCs w:val="24"/>
          <w:lang w:val="en-US"/>
        </w:rPr>
        <w:t xml:space="preserve"> disclosure may </w:t>
      </w:r>
      <w:r w:rsidR="001E4673">
        <w:rPr>
          <w:rFonts w:ascii="Times New Roman" w:hAnsi="Times New Roman" w:cs="Times New Roman"/>
          <w:sz w:val="24"/>
          <w:szCs w:val="24"/>
          <w:lang w:val="en-US"/>
        </w:rPr>
        <w:t>lower</w:t>
      </w:r>
      <w:r w:rsidRPr="00150921">
        <w:rPr>
          <w:rFonts w:ascii="Times New Roman" w:hAnsi="Times New Roman" w:cs="Times New Roman"/>
          <w:sz w:val="24"/>
          <w:szCs w:val="24"/>
          <w:lang w:val="en-US"/>
        </w:rPr>
        <w:t xml:space="preserve"> </w:t>
      </w:r>
      <w:r w:rsidR="00030E1D">
        <w:rPr>
          <w:rFonts w:ascii="Times New Roman" w:hAnsi="Times New Roman" w:cs="Times New Roman"/>
          <w:sz w:val="24"/>
          <w:szCs w:val="24"/>
          <w:lang w:val="en-US"/>
        </w:rPr>
        <w:t>diversity</w:t>
      </w:r>
      <w:r w:rsidRPr="00150921">
        <w:rPr>
          <w:rFonts w:ascii="Times New Roman" w:hAnsi="Times New Roman" w:cs="Times New Roman"/>
          <w:sz w:val="24"/>
          <w:szCs w:val="24"/>
          <w:lang w:val="en-US"/>
        </w:rPr>
        <w:t xml:space="preserve"> of</w:t>
      </w:r>
      <w:r w:rsidR="001E4673">
        <w:rPr>
          <w:rFonts w:ascii="Times New Roman" w:hAnsi="Times New Roman" w:cs="Times New Roman"/>
          <w:sz w:val="24"/>
          <w:szCs w:val="24"/>
          <w:lang w:val="en-US"/>
        </w:rPr>
        <w:t xml:space="preserve"> investors’</w:t>
      </w:r>
      <w:r w:rsidRPr="00150921">
        <w:rPr>
          <w:rFonts w:ascii="Times New Roman" w:hAnsi="Times New Roman" w:cs="Times New Roman"/>
          <w:sz w:val="24"/>
          <w:szCs w:val="24"/>
          <w:lang w:val="en-US"/>
        </w:rPr>
        <w:t xml:space="preserve"> beliefs about </w:t>
      </w:r>
      <w:r w:rsidR="00030E1D">
        <w:rPr>
          <w:rFonts w:ascii="Times New Roman" w:hAnsi="Times New Roman" w:cs="Times New Roman"/>
          <w:sz w:val="24"/>
          <w:szCs w:val="24"/>
          <w:lang w:val="en-US"/>
        </w:rPr>
        <w:t>real</w:t>
      </w:r>
      <w:r w:rsidRPr="00150921">
        <w:rPr>
          <w:rFonts w:ascii="Times New Roman" w:hAnsi="Times New Roman" w:cs="Times New Roman"/>
          <w:sz w:val="24"/>
          <w:szCs w:val="24"/>
          <w:lang w:val="en-US"/>
        </w:rPr>
        <w:t xml:space="preserve"> value of the </w:t>
      </w:r>
      <w:r w:rsidR="001E4673">
        <w:rPr>
          <w:rFonts w:ascii="Times New Roman" w:hAnsi="Times New Roman" w:cs="Times New Roman"/>
          <w:sz w:val="24"/>
          <w:szCs w:val="24"/>
          <w:lang w:val="en-US"/>
        </w:rPr>
        <w:t xml:space="preserve">bank </w:t>
      </w:r>
      <w:r w:rsidRPr="00150921">
        <w:rPr>
          <w:rFonts w:ascii="Times New Roman" w:hAnsi="Times New Roman" w:cs="Times New Roman"/>
          <w:sz w:val="24"/>
          <w:szCs w:val="24"/>
          <w:lang w:val="en-US"/>
        </w:rPr>
        <w:t xml:space="preserve">as a result reducing the volume traded and stock price volatility. </w:t>
      </w:r>
    </w:p>
    <w:p w:rsidR="001A65B3" w:rsidRPr="00150921" w:rsidRDefault="001A65B3"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 xml:space="preserve">Column </w:t>
      </w:r>
      <w:r w:rsidR="001E4673">
        <w:rPr>
          <w:rFonts w:ascii="Times New Roman" w:hAnsi="Times New Roman" w:cs="Times New Roman"/>
          <w:sz w:val="24"/>
          <w:szCs w:val="24"/>
          <w:lang w:val="en-US"/>
        </w:rPr>
        <w:t>IV and VI</w:t>
      </w:r>
      <w:r w:rsidRPr="00150921">
        <w:rPr>
          <w:rFonts w:ascii="Times New Roman" w:hAnsi="Times New Roman" w:cs="Times New Roman"/>
          <w:sz w:val="24"/>
          <w:szCs w:val="24"/>
          <w:lang w:val="en-US"/>
        </w:rPr>
        <w:t xml:space="preserve"> shows that enhanced level of disclosure decreases both </w:t>
      </w:r>
      <w:r w:rsidR="00DE47A1">
        <w:rPr>
          <w:rFonts w:ascii="Times New Roman" w:hAnsi="Times New Roman" w:cs="Times New Roman"/>
          <w:sz w:val="24"/>
          <w:szCs w:val="24"/>
          <w:lang w:val="en-US"/>
        </w:rPr>
        <w:t>systemic</w:t>
      </w:r>
      <w:r w:rsidRPr="00150921">
        <w:rPr>
          <w:rFonts w:ascii="Times New Roman" w:hAnsi="Times New Roman" w:cs="Times New Roman"/>
          <w:sz w:val="24"/>
          <w:szCs w:val="24"/>
          <w:lang w:val="en-US"/>
        </w:rPr>
        <w:t xml:space="preserve"> and idiosyncratic risks of bank holding companies. This finding support the results of Lambert et al</w:t>
      </w:r>
      <w:r w:rsidR="00B369C6">
        <w:rPr>
          <w:rFonts w:ascii="Times New Roman" w:hAnsi="Times New Roman" w:cs="Times New Roman"/>
          <w:sz w:val="24"/>
          <w:szCs w:val="24"/>
          <w:lang w:val="en-US"/>
        </w:rPr>
        <w:t>. (</w:t>
      </w:r>
      <w:r w:rsidRPr="00150921">
        <w:rPr>
          <w:rFonts w:ascii="Times New Roman" w:hAnsi="Times New Roman" w:cs="Times New Roman"/>
          <w:sz w:val="24"/>
          <w:szCs w:val="24"/>
          <w:lang w:val="en-US"/>
        </w:rPr>
        <w:t>2007</w:t>
      </w:r>
      <w:r w:rsidR="00B369C6">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and Ashbaugh-Skaife et al.</w:t>
      </w:r>
      <w:r w:rsidR="00030E1D">
        <w:rPr>
          <w:rFonts w:ascii="Times New Roman" w:hAnsi="Times New Roman" w:cs="Times New Roman"/>
          <w:sz w:val="24"/>
          <w:szCs w:val="24"/>
          <w:lang w:val="en-US"/>
        </w:rPr>
        <w:t xml:space="preserve"> (</w:t>
      </w:r>
      <w:r w:rsidRPr="00150921">
        <w:rPr>
          <w:rFonts w:ascii="Times New Roman" w:hAnsi="Times New Roman" w:cs="Times New Roman"/>
          <w:sz w:val="24"/>
          <w:szCs w:val="24"/>
          <w:lang w:val="en-US"/>
        </w:rPr>
        <w:t>2009</w:t>
      </w:r>
      <w:r w:rsidR="00030E1D">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Here we can conclude that disclosure is an important determinant of </w:t>
      </w:r>
      <w:r w:rsidR="00DE47A1">
        <w:rPr>
          <w:rFonts w:ascii="Times New Roman" w:hAnsi="Times New Roman" w:cs="Times New Roman"/>
          <w:sz w:val="24"/>
          <w:szCs w:val="24"/>
          <w:lang w:val="en-US"/>
        </w:rPr>
        <w:t>systemic</w:t>
      </w:r>
      <w:r w:rsidRPr="00150921">
        <w:rPr>
          <w:rFonts w:ascii="Times New Roman" w:hAnsi="Times New Roman" w:cs="Times New Roman"/>
          <w:sz w:val="24"/>
          <w:szCs w:val="24"/>
          <w:lang w:val="en-US"/>
        </w:rPr>
        <w:t xml:space="preserve"> and </w:t>
      </w:r>
      <w:r w:rsidR="00134054">
        <w:rPr>
          <w:rFonts w:ascii="Times New Roman" w:hAnsi="Times New Roman" w:cs="Times New Roman"/>
          <w:sz w:val="24"/>
          <w:szCs w:val="24"/>
          <w:lang w:val="en-US"/>
        </w:rPr>
        <w:t>idiosyncratic</w:t>
      </w:r>
      <w:r w:rsidRPr="00150921">
        <w:rPr>
          <w:rFonts w:ascii="Times New Roman" w:hAnsi="Times New Roman" w:cs="Times New Roman"/>
          <w:sz w:val="24"/>
          <w:szCs w:val="24"/>
          <w:lang w:val="en-US"/>
        </w:rPr>
        <w:t xml:space="preserve"> risks. Eas</w:t>
      </w:r>
      <w:r w:rsidR="00030E1D">
        <w:rPr>
          <w:rFonts w:ascii="Times New Roman" w:hAnsi="Times New Roman" w:cs="Times New Roman"/>
          <w:sz w:val="24"/>
          <w:szCs w:val="24"/>
          <w:lang w:val="en-US"/>
        </w:rPr>
        <w:t>ley and O’Hara; 2004 and O’Hara</w:t>
      </w:r>
      <w:r w:rsidRPr="00150921">
        <w:rPr>
          <w:rFonts w:ascii="Times New Roman" w:hAnsi="Times New Roman" w:cs="Times New Roman"/>
          <w:sz w:val="24"/>
          <w:szCs w:val="24"/>
          <w:lang w:val="en-US"/>
        </w:rPr>
        <w:t xml:space="preserve"> </w:t>
      </w:r>
      <w:r w:rsidR="00030E1D">
        <w:rPr>
          <w:rFonts w:ascii="Times New Roman" w:hAnsi="Times New Roman" w:cs="Times New Roman"/>
          <w:sz w:val="24"/>
          <w:szCs w:val="24"/>
          <w:lang w:val="en-US"/>
        </w:rPr>
        <w:t>(</w:t>
      </w:r>
      <w:r w:rsidRPr="00150921">
        <w:rPr>
          <w:rFonts w:ascii="Times New Roman" w:hAnsi="Times New Roman" w:cs="Times New Roman"/>
          <w:sz w:val="24"/>
          <w:szCs w:val="24"/>
          <w:lang w:val="en-US"/>
        </w:rPr>
        <w:t>2003</w:t>
      </w:r>
      <w:r w:rsidR="00030E1D">
        <w:rPr>
          <w:rFonts w:ascii="Times New Roman" w:hAnsi="Times New Roman" w:cs="Times New Roman"/>
          <w:sz w:val="24"/>
          <w:szCs w:val="24"/>
          <w:lang w:val="en-US"/>
        </w:rPr>
        <w:t>)</w:t>
      </w:r>
      <w:r w:rsidRPr="00150921">
        <w:rPr>
          <w:rFonts w:ascii="Times New Roman" w:hAnsi="Times New Roman" w:cs="Times New Roman"/>
          <w:sz w:val="24"/>
          <w:szCs w:val="24"/>
          <w:lang w:val="en-US"/>
        </w:rPr>
        <w:t xml:space="preserve"> claim that a firm’s financial reporting quality can influence the firm’s information environment and in turn its </w:t>
      </w:r>
      <w:r w:rsidR="00DE47A1">
        <w:rPr>
          <w:rFonts w:ascii="Times New Roman" w:hAnsi="Times New Roman" w:cs="Times New Roman"/>
          <w:sz w:val="24"/>
          <w:szCs w:val="24"/>
          <w:lang w:val="en-US"/>
        </w:rPr>
        <w:t>systemic</w:t>
      </w:r>
      <w:r w:rsidRPr="00150921">
        <w:rPr>
          <w:rFonts w:ascii="Times New Roman" w:hAnsi="Times New Roman" w:cs="Times New Roman"/>
          <w:sz w:val="24"/>
          <w:szCs w:val="24"/>
          <w:lang w:val="en-US"/>
        </w:rPr>
        <w:t xml:space="preserve"> and idiosyncratic risks.</w:t>
      </w:r>
      <w:r w:rsidR="00134054">
        <w:rPr>
          <w:rFonts w:ascii="Times New Roman" w:hAnsi="Times New Roman" w:cs="Times New Roman"/>
          <w:sz w:val="24"/>
          <w:szCs w:val="24"/>
          <w:lang w:val="en-US"/>
        </w:rPr>
        <w:t xml:space="preserve"> Hence, bank holding companies with lower level of disclosure present higher information risk to investors that in turn is translated into higher </w:t>
      </w:r>
      <w:r w:rsidR="00DE47A1">
        <w:rPr>
          <w:rFonts w:ascii="Times New Roman" w:hAnsi="Times New Roman" w:cs="Times New Roman"/>
          <w:sz w:val="24"/>
          <w:szCs w:val="24"/>
          <w:lang w:val="en-US"/>
        </w:rPr>
        <w:t>systemic</w:t>
      </w:r>
      <w:r w:rsidR="00134054" w:rsidRPr="00150921">
        <w:rPr>
          <w:rFonts w:ascii="Times New Roman" w:hAnsi="Times New Roman" w:cs="Times New Roman"/>
          <w:sz w:val="24"/>
          <w:szCs w:val="24"/>
          <w:lang w:val="en-US"/>
        </w:rPr>
        <w:t xml:space="preserve"> and idiosyncratic risks</w:t>
      </w:r>
      <w:r w:rsidR="00030E1D">
        <w:rPr>
          <w:rFonts w:ascii="Times New Roman" w:hAnsi="Times New Roman" w:cs="Times New Roman"/>
          <w:sz w:val="24"/>
          <w:szCs w:val="24"/>
          <w:lang w:val="en-US"/>
        </w:rPr>
        <w:t>.</w:t>
      </w:r>
    </w:p>
    <w:p w:rsidR="001A65B3" w:rsidRPr="00150921" w:rsidRDefault="00030E1D"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Finally,</w:t>
      </w:r>
      <w:r w:rsidR="004C169E">
        <w:rPr>
          <w:rFonts w:ascii="Times New Roman" w:hAnsi="Times New Roman" w:cs="Times New Roman"/>
          <w:sz w:val="24"/>
          <w:szCs w:val="24"/>
          <w:lang w:val="en-US"/>
        </w:rPr>
        <w:t xml:space="preserve"> in column VIII</w:t>
      </w:r>
      <w:r>
        <w:rPr>
          <w:rFonts w:ascii="Times New Roman" w:hAnsi="Times New Roman" w:cs="Times New Roman"/>
          <w:sz w:val="24"/>
          <w:szCs w:val="24"/>
          <w:lang w:val="en-US"/>
        </w:rPr>
        <w:t xml:space="preserve"> </w:t>
      </w:r>
      <w:r w:rsidR="001A65B3" w:rsidRPr="00150921">
        <w:rPr>
          <w:rFonts w:ascii="Times New Roman" w:hAnsi="Times New Roman" w:cs="Times New Roman"/>
          <w:sz w:val="24"/>
          <w:szCs w:val="24"/>
          <w:lang w:val="en-US"/>
        </w:rPr>
        <w:t>regression analysis has revealed a significant negative relationship between the downside risk and the aggregated disclosure index. The finding support the</w:t>
      </w:r>
      <w:r w:rsidR="003F0A05">
        <w:rPr>
          <w:rFonts w:ascii="Times New Roman" w:hAnsi="Times New Roman" w:cs="Times New Roman"/>
          <w:sz w:val="24"/>
          <w:szCs w:val="24"/>
          <w:lang w:val="en-US"/>
        </w:rPr>
        <w:t xml:space="preserve"> results of Ederington and Lee (</w:t>
      </w:r>
      <w:r w:rsidR="001A65B3" w:rsidRPr="00150921">
        <w:rPr>
          <w:rFonts w:ascii="Times New Roman" w:hAnsi="Times New Roman" w:cs="Times New Roman"/>
          <w:sz w:val="24"/>
          <w:szCs w:val="24"/>
          <w:lang w:val="en-US"/>
        </w:rPr>
        <w:t>1996</w:t>
      </w:r>
      <w:r w:rsidR="003F0A05">
        <w:rPr>
          <w:rFonts w:ascii="Times New Roman" w:hAnsi="Times New Roman" w:cs="Times New Roman"/>
          <w:sz w:val="24"/>
          <w:szCs w:val="24"/>
          <w:lang w:val="en-US"/>
        </w:rPr>
        <w:t>)</w:t>
      </w:r>
      <w:r w:rsidR="001A65B3" w:rsidRPr="00150921">
        <w:rPr>
          <w:rFonts w:ascii="Times New Roman" w:hAnsi="Times New Roman" w:cs="Times New Roman"/>
          <w:sz w:val="24"/>
          <w:szCs w:val="24"/>
          <w:lang w:val="en-US"/>
        </w:rPr>
        <w:t xml:space="preserve"> and Rogers, Skin</w:t>
      </w:r>
      <w:r w:rsidR="003F0A05">
        <w:rPr>
          <w:rFonts w:ascii="Times New Roman" w:hAnsi="Times New Roman" w:cs="Times New Roman"/>
          <w:sz w:val="24"/>
          <w:szCs w:val="24"/>
          <w:lang w:val="en-US"/>
        </w:rPr>
        <w:t>ner, and Van Buskirk</w:t>
      </w:r>
      <w:r w:rsidR="00940FFA">
        <w:rPr>
          <w:rFonts w:ascii="Times New Roman" w:hAnsi="Times New Roman" w:cs="Times New Roman"/>
          <w:sz w:val="24"/>
          <w:szCs w:val="24"/>
          <w:lang w:val="en-US"/>
        </w:rPr>
        <w:t xml:space="preserve"> </w:t>
      </w:r>
      <w:r w:rsidR="003F0A05">
        <w:rPr>
          <w:rFonts w:ascii="Times New Roman" w:hAnsi="Times New Roman" w:cs="Times New Roman"/>
          <w:sz w:val="24"/>
          <w:szCs w:val="24"/>
          <w:lang w:val="en-US"/>
        </w:rPr>
        <w:t>(</w:t>
      </w:r>
      <w:r w:rsidR="00940FFA">
        <w:rPr>
          <w:rFonts w:ascii="Times New Roman" w:hAnsi="Times New Roman" w:cs="Times New Roman"/>
          <w:sz w:val="24"/>
          <w:szCs w:val="24"/>
          <w:lang w:val="en-US"/>
        </w:rPr>
        <w:t>2009</w:t>
      </w:r>
      <w:r w:rsidR="003F0A05">
        <w:rPr>
          <w:rFonts w:ascii="Times New Roman" w:hAnsi="Times New Roman" w:cs="Times New Roman"/>
          <w:sz w:val="24"/>
          <w:szCs w:val="24"/>
          <w:lang w:val="en-US"/>
        </w:rPr>
        <w:t>) who showed that the disclosure of certain type information is associated with lower downside risk.</w:t>
      </w:r>
    </w:p>
    <w:p w:rsidR="001A65B3" w:rsidRPr="00150921" w:rsidRDefault="001A65B3" w:rsidP="007910F8">
      <w:pPr>
        <w:spacing w:line="360" w:lineRule="auto"/>
        <w:ind w:firstLine="708"/>
        <w:jc w:val="both"/>
        <w:rPr>
          <w:rFonts w:ascii="Times New Roman" w:hAnsi="Times New Roman" w:cs="Times New Roman"/>
          <w:sz w:val="24"/>
          <w:szCs w:val="24"/>
          <w:lang w:val="en-US"/>
        </w:rPr>
      </w:pPr>
      <w:r w:rsidRPr="00150921">
        <w:rPr>
          <w:rFonts w:ascii="Times New Roman" w:hAnsi="Times New Roman" w:cs="Times New Roman"/>
          <w:sz w:val="24"/>
          <w:szCs w:val="24"/>
          <w:lang w:val="en-US"/>
        </w:rPr>
        <w:t xml:space="preserve">From managerial point of </w:t>
      </w:r>
      <w:r w:rsidR="00B23CDA" w:rsidRPr="00150921">
        <w:rPr>
          <w:rFonts w:ascii="Times New Roman" w:hAnsi="Times New Roman" w:cs="Times New Roman"/>
          <w:sz w:val="24"/>
          <w:szCs w:val="24"/>
          <w:lang w:val="en-US"/>
        </w:rPr>
        <w:t>view,</w:t>
      </w:r>
      <w:r w:rsidRPr="00150921">
        <w:rPr>
          <w:rFonts w:ascii="Times New Roman" w:hAnsi="Times New Roman" w:cs="Times New Roman"/>
          <w:sz w:val="24"/>
          <w:szCs w:val="24"/>
          <w:lang w:val="en-US"/>
        </w:rPr>
        <w:t xml:space="preserve"> the results of the study may be useful for </w:t>
      </w:r>
      <w:r w:rsidR="00030E1D">
        <w:rPr>
          <w:rFonts w:ascii="Times New Roman" w:hAnsi="Times New Roman" w:cs="Times New Roman"/>
          <w:sz w:val="24"/>
          <w:szCs w:val="24"/>
          <w:lang w:val="en-US"/>
        </w:rPr>
        <w:t>outside investors as well as</w:t>
      </w:r>
      <w:r w:rsidRPr="00150921">
        <w:rPr>
          <w:rFonts w:ascii="Times New Roman" w:hAnsi="Times New Roman" w:cs="Times New Roman"/>
          <w:sz w:val="24"/>
          <w:szCs w:val="24"/>
          <w:lang w:val="en-US"/>
        </w:rPr>
        <w:t xml:space="preserve"> banks. Enhanced information disclosure</w:t>
      </w:r>
      <w:r w:rsidR="00D501BB">
        <w:rPr>
          <w:rFonts w:ascii="Times New Roman" w:hAnsi="Times New Roman" w:cs="Times New Roman"/>
          <w:sz w:val="24"/>
          <w:szCs w:val="24"/>
          <w:lang w:val="en-US"/>
        </w:rPr>
        <w:t xml:space="preserve"> may</w:t>
      </w:r>
      <w:r w:rsidRPr="00150921">
        <w:rPr>
          <w:rFonts w:ascii="Times New Roman" w:hAnsi="Times New Roman" w:cs="Times New Roman"/>
          <w:sz w:val="24"/>
          <w:szCs w:val="24"/>
          <w:lang w:val="en-US"/>
        </w:rPr>
        <w:t xml:space="preserve"> influence the investment decisions of outside investors. Controlling for a number of bank holding company financial characteristics, such as the size, the volatility, the capital buffer, the non-performing loans ratio, return on equity and the level of deposits, we find that bank holding companies that </w:t>
      </w:r>
      <w:r w:rsidR="00030E1D">
        <w:rPr>
          <w:rFonts w:ascii="Times New Roman" w:hAnsi="Times New Roman" w:cs="Times New Roman"/>
          <w:sz w:val="24"/>
          <w:szCs w:val="24"/>
          <w:lang w:val="en-US"/>
        </w:rPr>
        <w:t>provide more</w:t>
      </w:r>
      <w:r w:rsidRPr="00150921">
        <w:rPr>
          <w:rFonts w:ascii="Times New Roman" w:hAnsi="Times New Roman" w:cs="Times New Roman"/>
          <w:sz w:val="24"/>
          <w:szCs w:val="24"/>
          <w:lang w:val="en-US"/>
        </w:rPr>
        <w:t xml:space="preserve"> information</w:t>
      </w:r>
      <w:r w:rsidR="00030E1D">
        <w:rPr>
          <w:rFonts w:ascii="Times New Roman" w:hAnsi="Times New Roman" w:cs="Times New Roman"/>
          <w:sz w:val="24"/>
          <w:szCs w:val="24"/>
          <w:lang w:val="en-US"/>
        </w:rPr>
        <w:t xml:space="preserve"> in </w:t>
      </w:r>
      <w:r w:rsidR="00030E1D">
        <w:rPr>
          <w:rFonts w:ascii="Times New Roman" w:hAnsi="Times New Roman" w:cs="Times New Roman"/>
          <w:sz w:val="24"/>
          <w:szCs w:val="24"/>
          <w:lang w:val="en-US"/>
        </w:rPr>
        <w:lastRenderedPageBreak/>
        <w:t>their disclosure</w:t>
      </w:r>
      <w:r w:rsidRPr="00150921">
        <w:rPr>
          <w:rFonts w:ascii="Times New Roman" w:hAnsi="Times New Roman" w:cs="Times New Roman"/>
          <w:sz w:val="24"/>
          <w:szCs w:val="24"/>
          <w:lang w:val="en-US"/>
        </w:rPr>
        <w:t xml:space="preserve"> show lower measures of the aggregated risk, the systemic risk, the idiosyncratic and the downside </w:t>
      </w:r>
      <w:r w:rsidR="00030E1D">
        <w:rPr>
          <w:rFonts w:ascii="Times New Roman" w:hAnsi="Times New Roman" w:cs="Times New Roman"/>
          <w:sz w:val="24"/>
          <w:szCs w:val="24"/>
          <w:lang w:val="en-US"/>
        </w:rPr>
        <w:t>risk than do banks that provide</w:t>
      </w:r>
      <w:r w:rsidRPr="00150921">
        <w:rPr>
          <w:rFonts w:ascii="Times New Roman" w:hAnsi="Times New Roman" w:cs="Times New Roman"/>
          <w:sz w:val="24"/>
          <w:szCs w:val="24"/>
          <w:lang w:val="en-US"/>
        </w:rPr>
        <w:t xml:space="preserve"> less information. It seems that investors tend to invest more in companies with lower level of risk. </w:t>
      </w:r>
      <w:r w:rsidR="00B23CDA" w:rsidRPr="00150921">
        <w:rPr>
          <w:rFonts w:ascii="Times New Roman" w:hAnsi="Times New Roman" w:cs="Times New Roman"/>
          <w:sz w:val="24"/>
          <w:szCs w:val="24"/>
          <w:lang w:val="en-US"/>
        </w:rPr>
        <w:t>Moreover,</w:t>
      </w:r>
      <w:r w:rsidRPr="00150921">
        <w:rPr>
          <w:rFonts w:ascii="Times New Roman" w:hAnsi="Times New Roman" w:cs="Times New Roman"/>
          <w:sz w:val="24"/>
          <w:szCs w:val="24"/>
          <w:lang w:val="en-US"/>
        </w:rPr>
        <w:t xml:space="preserve"> the results suggest that higher level of disclosure may be </w:t>
      </w:r>
      <w:r w:rsidR="00030E1D">
        <w:rPr>
          <w:rFonts w:ascii="Times New Roman" w:hAnsi="Times New Roman" w:cs="Times New Roman"/>
          <w:sz w:val="24"/>
          <w:szCs w:val="24"/>
          <w:lang w:val="en-US"/>
        </w:rPr>
        <w:t>beneficial</w:t>
      </w:r>
      <w:r w:rsidRPr="00150921">
        <w:rPr>
          <w:rFonts w:ascii="Times New Roman" w:hAnsi="Times New Roman" w:cs="Times New Roman"/>
          <w:sz w:val="24"/>
          <w:szCs w:val="24"/>
          <w:lang w:val="en-US"/>
        </w:rPr>
        <w:t xml:space="preserve"> for banks as </w:t>
      </w:r>
      <w:r w:rsidR="00B23CDA" w:rsidRPr="00150921">
        <w:rPr>
          <w:rFonts w:ascii="Times New Roman" w:hAnsi="Times New Roman" w:cs="Times New Roman"/>
          <w:sz w:val="24"/>
          <w:szCs w:val="24"/>
          <w:lang w:val="en-US"/>
        </w:rPr>
        <w:t>well,</w:t>
      </w:r>
      <w:r w:rsidRPr="00150921">
        <w:rPr>
          <w:rFonts w:ascii="Times New Roman" w:hAnsi="Times New Roman" w:cs="Times New Roman"/>
          <w:sz w:val="24"/>
          <w:szCs w:val="24"/>
          <w:lang w:val="en-US"/>
        </w:rPr>
        <w:t xml:space="preserve"> if lower level of enterprise risks will be translated into reduced cost of capital. </w:t>
      </w:r>
    </w:p>
    <w:p w:rsidR="00BD7CE6" w:rsidRPr="005E2B1E" w:rsidRDefault="00BD7CE6" w:rsidP="00BD7CE6">
      <w:pPr>
        <w:spacing w:line="360" w:lineRule="auto"/>
        <w:ind w:firstLine="708"/>
        <w:jc w:val="both"/>
        <w:rPr>
          <w:rFonts w:cs="Times New Roman"/>
          <w:color w:val="000000"/>
          <w:szCs w:val="24"/>
          <w:lang w:val="en-US"/>
        </w:rPr>
      </w:pPr>
    </w:p>
    <w:p w:rsidR="004F47D5" w:rsidRDefault="004F47D5" w:rsidP="004F47D5">
      <w:pPr>
        <w:spacing w:line="360" w:lineRule="auto"/>
        <w:ind w:firstLine="708"/>
        <w:rPr>
          <w:rFonts w:ascii="Times New Roman" w:hAnsi="Times New Roman" w:cs="Times New Roman"/>
          <w:sz w:val="24"/>
          <w:szCs w:val="24"/>
          <w:lang w:val="en-US"/>
        </w:rPr>
      </w:pPr>
    </w:p>
    <w:p w:rsidR="004F47D5" w:rsidRDefault="004F47D5" w:rsidP="004F47D5">
      <w:pPr>
        <w:rPr>
          <w:rFonts w:ascii="Times New Roman" w:hAnsi="Times New Roman" w:cs="Times New Roman"/>
          <w:sz w:val="24"/>
          <w:szCs w:val="24"/>
          <w:lang w:val="en-US"/>
        </w:rPr>
      </w:pPr>
    </w:p>
    <w:p w:rsidR="0044492F" w:rsidRPr="004F47D5" w:rsidRDefault="0044492F" w:rsidP="004F47D5">
      <w:pPr>
        <w:rPr>
          <w:rFonts w:ascii="Times New Roman" w:hAnsi="Times New Roman" w:cs="Times New Roman"/>
          <w:sz w:val="24"/>
          <w:szCs w:val="24"/>
          <w:lang w:val="en-US"/>
        </w:rPr>
        <w:sectPr w:rsidR="0044492F" w:rsidRPr="004F47D5" w:rsidSect="00121068">
          <w:pgSz w:w="11906" w:h="16838" w:code="9"/>
          <w:pgMar w:top="1134" w:right="850" w:bottom="1134" w:left="1701" w:header="708" w:footer="708" w:gutter="0"/>
          <w:cols w:space="708"/>
          <w:titlePg/>
          <w:docGrid w:linePitch="360"/>
        </w:sectPr>
      </w:pPr>
    </w:p>
    <w:p w:rsidR="008E5586" w:rsidRDefault="008E5586" w:rsidP="00511ACA">
      <w:pPr>
        <w:pStyle w:val="1"/>
        <w:rPr>
          <w:lang w:val="en-US"/>
        </w:rPr>
      </w:pPr>
      <w:bookmarkStart w:id="21" w:name="_Toc451925559"/>
      <w:r>
        <w:rPr>
          <w:lang w:val="en-US"/>
        </w:rPr>
        <w:lastRenderedPageBreak/>
        <w:t>Conclusion</w:t>
      </w:r>
      <w:bookmarkEnd w:id="21"/>
    </w:p>
    <w:p w:rsidR="008E5586" w:rsidRDefault="008E5586" w:rsidP="008E558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Information problem as well as agency problem</w:t>
      </w:r>
      <w:r w:rsidRPr="00E71B39">
        <w:rPr>
          <w:rFonts w:ascii="Times New Roman" w:hAnsi="Times New Roman" w:cs="Times New Roman"/>
          <w:sz w:val="24"/>
          <w:szCs w:val="24"/>
          <w:lang w:val="en-US"/>
        </w:rPr>
        <w:t xml:space="preserve"> is argued as one of the main reas</w:t>
      </w:r>
      <w:r>
        <w:rPr>
          <w:rFonts w:ascii="Times New Roman" w:hAnsi="Times New Roman" w:cs="Times New Roman"/>
          <w:sz w:val="24"/>
          <w:szCs w:val="24"/>
          <w:lang w:val="en-US"/>
        </w:rPr>
        <w:t xml:space="preserve">ons that impede the optimal allocation of resources in capital markets. In periods of market turbulence, market participants prefer safe haven investments. Hence, investors with low quality information about assets reduce their holdings, </w:t>
      </w:r>
      <w:r w:rsidRPr="00E026FD">
        <w:rPr>
          <w:rFonts w:ascii="Times New Roman" w:hAnsi="Times New Roman" w:cs="Times New Roman"/>
          <w:sz w:val="24"/>
          <w:szCs w:val="24"/>
          <w:lang w:val="en-US"/>
        </w:rPr>
        <w:t xml:space="preserve">while holders of </w:t>
      </w:r>
      <w:r>
        <w:rPr>
          <w:rFonts w:ascii="Times New Roman" w:hAnsi="Times New Roman" w:cs="Times New Roman"/>
          <w:sz w:val="24"/>
          <w:szCs w:val="24"/>
          <w:lang w:val="en-US"/>
        </w:rPr>
        <w:t>high quality a</w:t>
      </w:r>
      <w:r w:rsidRPr="00E026FD">
        <w:rPr>
          <w:rFonts w:ascii="Times New Roman" w:hAnsi="Times New Roman" w:cs="Times New Roman"/>
          <w:sz w:val="24"/>
          <w:szCs w:val="24"/>
          <w:lang w:val="en-US"/>
        </w:rPr>
        <w:t xml:space="preserve">ssets are unwilling to sell at prevailing market prices, </w:t>
      </w:r>
      <w:r>
        <w:rPr>
          <w:rFonts w:ascii="Times New Roman" w:hAnsi="Times New Roman" w:cs="Times New Roman"/>
          <w:sz w:val="24"/>
          <w:szCs w:val="24"/>
          <w:lang w:val="en-US"/>
        </w:rPr>
        <w:t xml:space="preserve">leading to a collapse of market </w:t>
      </w:r>
      <w:r w:rsidRPr="00E026FD">
        <w:rPr>
          <w:rFonts w:ascii="Times New Roman" w:hAnsi="Times New Roman" w:cs="Times New Roman"/>
          <w:sz w:val="24"/>
          <w:szCs w:val="24"/>
          <w:lang w:val="en-US"/>
        </w:rPr>
        <w:t>functioning.</w:t>
      </w:r>
      <w:r>
        <w:rPr>
          <w:rFonts w:ascii="Times New Roman" w:hAnsi="Times New Roman" w:cs="Times New Roman"/>
          <w:sz w:val="24"/>
          <w:szCs w:val="24"/>
          <w:lang w:val="en-US"/>
        </w:rPr>
        <w:t xml:space="preserve"> One of the possible ways to mitigate the problem is requirement to increase the level of corporate disclosure.</w:t>
      </w:r>
      <w:r>
        <w:rPr>
          <w:rFonts w:ascii="Times New Roman" w:hAnsi="Times New Roman" w:cs="Times New Roman"/>
          <w:sz w:val="24"/>
          <w:szCs w:val="24"/>
          <w:lang w:val="en-US"/>
        </w:rPr>
        <w:tab/>
        <w:t xml:space="preserve"> </w:t>
      </w:r>
    </w:p>
    <w:p w:rsidR="008E5586" w:rsidRDefault="008E5586" w:rsidP="008E558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 master thesis is devoted to</w:t>
      </w:r>
      <w:r w:rsidR="005A361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analyses of </w:t>
      </w:r>
      <w:r w:rsidRPr="0092456E">
        <w:rPr>
          <w:rFonts w:ascii="Times New Roman" w:hAnsi="Times New Roman" w:cs="Times New Roman"/>
          <w:sz w:val="24"/>
          <w:szCs w:val="24"/>
          <w:lang w:val="en-US"/>
        </w:rPr>
        <w:t>the relationship between disclosure and riskiness of a financial institution.</w:t>
      </w:r>
      <w:r>
        <w:rPr>
          <w:rFonts w:ascii="Times New Roman" w:hAnsi="Times New Roman" w:cs="Times New Roman"/>
          <w:sz w:val="24"/>
          <w:szCs w:val="24"/>
          <w:lang w:val="en-US"/>
        </w:rPr>
        <w:t xml:space="preserve"> </w:t>
      </w:r>
      <w:r w:rsidRPr="00AA5F22">
        <w:rPr>
          <w:rFonts w:ascii="Times New Roman" w:hAnsi="Times New Roman" w:cs="Times New Roman"/>
          <w:sz w:val="24"/>
          <w:szCs w:val="24"/>
          <w:lang w:val="en-US"/>
        </w:rPr>
        <w:t xml:space="preserve">The structure of the </w:t>
      </w:r>
      <w:r>
        <w:rPr>
          <w:rFonts w:ascii="Times New Roman" w:hAnsi="Times New Roman" w:cs="Times New Roman"/>
          <w:sz w:val="24"/>
          <w:szCs w:val="24"/>
          <w:lang w:val="en-US"/>
        </w:rPr>
        <w:t>master thesis</w:t>
      </w:r>
      <w:r w:rsidRPr="00AA5F22">
        <w:rPr>
          <w:rFonts w:ascii="Times New Roman" w:hAnsi="Times New Roman" w:cs="Times New Roman"/>
          <w:sz w:val="24"/>
          <w:szCs w:val="24"/>
          <w:lang w:val="en-US"/>
        </w:rPr>
        <w:t xml:space="preserve"> is </w:t>
      </w:r>
      <w:r>
        <w:rPr>
          <w:rFonts w:ascii="Times New Roman" w:hAnsi="Times New Roman" w:cs="Times New Roman"/>
          <w:sz w:val="24"/>
          <w:szCs w:val="24"/>
          <w:lang w:val="en-US"/>
        </w:rPr>
        <w:t>constructed</w:t>
      </w:r>
      <w:r w:rsidRPr="00AA5F22">
        <w:rPr>
          <w:rFonts w:ascii="Times New Roman" w:hAnsi="Times New Roman" w:cs="Times New Roman"/>
          <w:sz w:val="24"/>
          <w:szCs w:val="24"/>
          <w:lang w:val="en-US"/>
        </w:rPr>
        <w:t xml:space="preserve"> </w:t>
      </w:r>
      <w:r>
        <w:rPr>
          <w:rFonts w:ascii="Times New Roman" w:hAnsi="Times New Roman" w:cs="Times New Roman"/>
          <w:sz w:val="24"/>
          <w:szCs w:val="24"/>
          <w:lang w:val="en-US"/>
        </w:rPr>
        <w:t>in the way that enables consi</w:t>
      </w:r>
      <w:r w:rsidR="00B369C6">
        <w:rPr>
          <w:rFonts w:ascii="Times New Roman" w:hAnsi="Times New Roman" w:cs="Times New Roman"/>
          <w:sz w:val="24"/>
          <w:szCs w:val="24"/>
          <w:lang w:val="en-US"/>
        </w:rPr>
        <w:t xml:space="preserve">stently </w:t>
      </w:r>
      <w:r>
        <w:rPr>
          <w:rFonts w:ascii="Times New Roman" w:hAnsi="Times New Roman" w:cs="Times New Roman"/>
          <w:sz w:val="24"/>
          <w:szCs w:val="24"/>
          <w:lang w:val="en-US"/>
        </w:rPr>
        <w:t>achieve the goal</w:t>
      </w:r>
      <w:r w:rsidRPr="00AA5F22">
        <w:rPr>
          <w:rFonts w:ascii="Times New Roman" w:hAnsi="Times New Roman" w:cs="Times New Roman"/>
          <w:sz w:val="24"/>
          <w:szCs w:val="24"/>
          <w:lang w:val="en-US"/>
        </w:rPr>
        <w:t>.</w:t>
      </w:r>
      <w:r w:rsidR="00EC4617">
        <w:rPr>
          <w:rFonts w:ascii="Times New Roman" w:hAnsi="Times New Roman" w:cs="Times New Roman"/>
          <w:sz w:val="24"/>
          <w:szCs w:val="24"/>
          <w:lang w:val="en-US"/>
        </w:rPr>
        <w:t xml:space="preserve"> In the first chapter, </w:t>
      </w:r>
      <w:r>
        <w:rPr>
          <w:rFonts w:ascii="Times New Roman" w:hAnsi="Times New Roman" w:cs="Times New Roman"/>
          <w:sz w:val="24"/>
          <w:szCs w:val="24"/>
          <w:lang w:val="en-US"/>
        </w:rPr>
        <w:t xml:space="preserve">four types of risks that </w:t>
      </w:r>
      <w:r w:rsidR="005A3613">
        <w:rPr>
          <w:rFonts w:ascii="Times New Roman" w:hAnsi="Times New Roman" w:cs="Times New Roman"/>
          <w:sz w:val="24"/>
          <w:szCs w:val="24"/>
          <w:lang w:val="en-US"/>
        </w:rPr>
        <w:t>investors typically face while making investment decisions</w:t>
      </w:r>
      <w:r>
        <w:rPr>
          <w:rFonts w:ascii="Times New Roman" w:hAnsi="Times New Roman" w:cs="Times New Roman"/>
          <w:sz w:val="24"/>
          <w:szCs w:val="24"/>
          <w:lang w:val="en-US"/>
        </w:rPr>
        <w:t xml:space="preserve"> are defined. Moreover, the methods to measure these risks are also described. </w:t>
      </w:r>
      <w:r w:rsidRPr="00AA5F22">
        <w:rPr>
          <w:rFonts w:ascii="Times New Roman" w:hAnsi="Times New Roman" w:cs="Times New Roman"/>
          <w:sz w:val="24"/>
          <w:szCs w:val="24"/>
          <w:lang w:val="en-US"/>
        </w:rPr>
        <w:t xml:space="preserve">In the second chapter, </w:t>
      </w:r>
      <w:r>
        <w:rPr>
          <w:rFonts w:ascii="Times New Roman" w:hAnsi="Times New Roman" w:cs="Times New Roman"/>
          <w:sz w:val="24"/>
          <w:szCs w:val="24"/>
          <w:lang w:val="en-US"/>
        </w:rPr>
        <w:t>we descri</w:t>
      </w:r>
      <w:r w:rsidR="00EC4617">
        <w:rPr>
          <w:rFonts w:ascii="Times New Roman" w:hAnsi="Times New Roman" w:cs="Times New Roman"/>
          <w:sz w:val="24"/>
          <w:szCs w:val="24"/>
          <w:lang w:val="en-US"/>
        </w:rPr>
        <w:t>be the role of disclosure in</w:t>
      </w:r>
      <w:r>
        <w:rPr>
          <w:rFonts w:ascii="Times New Roman" w:hAnsi="Times New Roman" w:cs="Times New Roman"/>
          <w:sz w:val="24"/>
          <w:szCs w:val="24"/>
          <w:lang w:val="en-US"/>
        </w:rPr>
        <w:t xml:space="preserve"> capital market and peculiarities of corporate disclosure in U.S.</w:t>
      </w:r>
      <w:r w:rsidRPr="00AA5F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Then based on the review of previous studies different consequences of disclosure have been identified, additionally </w:t>
      </w:r>
      <w:r w:rsidRPr="0092456E">
        <w:rPr>
          <w:rFonts w:ascii="Times New Roman" w:hAnsi="Times New Roman" w:cs="Times New Roman"/>
          <w:sz w:val="24"/>
          <w:szCs w:val="24"/>
          <w:lang w:val="en-US"/>
        </w:rPr>
        <w:t>the relationship between disclosure and riskiness of a financial institution</w:t>
      </w:r>
      <w:r>
        <w:rPr>
          <w:rFonts w:ascii="Times New Roman" w:hAnsi="Times New Roman" w:cs="Times New Roman"/>
          <w:sz w:val="24"/>
          <w:szCs w:val="24"/>
          <w:lang w:val="en-US"/>
        </w:rPr>
        <w:t xml:space="preserve"> has been argued.</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At the third chapter</w:t>
      </w:r>
      <w:r w:rsidRPr="00AA5F22">
        <w:rPr>
          <w:rFonts w:ascii="Times New Roman" w:hAnsi="Times New Roman" w:cs="Times New Roman"/>
          <w:sz w:val="24"/>
          <w:szCs w:val="24"/>
          <w:lang w:val="en-US"/>
        </w:rPr>
        <w:t xml:space="preserve">, </w:t>
      </w:r>
      <w:r>
        <w:rPr>
          <w:rFonts w:ascii="Times New Roman" w:hAnsi="Times New Roman" w:cs="Times New Roman"/>
          <w:sz w:val="24"/>
          <w:szCs w:val="24"/>
          <w:lang w:val="en-US"/>
        </w:rPr>
        <w:t>we formulated the research hypothes</w:t>
      </w:r>
      <w:r w:rsidR="00B369C6">
        <w:rPr>
          <w:rFonts w:ascii="Times New Roman" w:hAnsi="Times New Roman" w:cs="Times New Roman"/>
          <w:sz w:val="24"/>
          <w:szCs w:val="24"/>
          <w:lang w:val="en-US"/>
        </w:rPr>
        <w:t>es</w:t>
      </w:r>
      <w:r w:rsidRPr="00AA5F22">
        <w:rPr>
          <w:rFonts w:ascii="Times New Roman" w:hAnsi="Times New Roman" w:cs="Times New Roman"/>
          <w:sz w:val="24"/>
          <w:szCs w:val="24"/>
          <w:lang w:val="en-US"/>
        </w:rPr>
        <w:t xml:space="preserve"> and </w:t>
      </w:r>
      <w:r>
        <w:rPr>
          <w:rFonts w:ascii="Times New Roman" w:hAnsi="Times New Roman" w:cs="Times New Roman"/>
          <w:sz w:val="24"/>
          <w:szCs w:val="24"/>
          <w:lang w:val="en-US"/>
        </w:rPr>
        <w:t>described</w:t>
      </w:r>
      <w:r w:rsidR="00B369C6">
        <w:rPr>
          <w:rFonts w:ascii="Times New Roman" w:hAnsi="Times New Roman" w:cs="Times New Roman"/>
          <w:sz w:val="24"/>
          <w:szCs w:val="24"/>
          <w:lang w:val="en-US"/>
        </w:rPr>
        <w:t xml:space="preserve"> </w:t>
      </w:r>
      <w:r w:rsidRPr="00AA5F22">
        <w:rPr>
          <w:rFonts w:ascii="Times New Roman" w:hAnsi="Times New Roman" w:cs="Times New Roman"/>
          <w:sz w:val="24"/>
          <w:szCs w:val="24"/>
          <w:lang w:val="en-US"/>
        </w:rPr>
        <w:t>model</w:t>
      </w:r>
      <w:r w:rsidR="00B369C6">
        <w:rPr>
          <w:rFonts w:ascii="Times New Roman" w:hAnsi="Times New Roman" w:cs="Times New Roman"/>
          <w:sz w:val="24"/>
          <w:szCs w:val="24"/>
          <w:lang w:val="en-US"/>
        </w:rPr>
        <w:t>s</w:t>
      </w:r>
      <w:r w:rsidRPr="00AA5F2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the main</w:t>
      </w:r>
      <w:r w:rsidRPr="00AA5F22">
        <w:rPr>
          <w:rFonts w:ascii="Times New Roman" w:hAnsi="Times New Roman" w:cs="Times New Roman"/>
          <w:sz w:val="24"/>
          <w:szCs w:val="24"/>
          <w:lang w:val="en-US"/>
        </w:rPr>
        <w:t xml:space="preserve"> variables. To test the hypotheses a sample of </w:t>
      </w:r>
      <w:r>
        <w:rPr>
          <w:rFonts w:ascii="Times New Roman" w:hAnsi="Times New Roman" w:cs="Times New Roman"/>
          <w:sz w:val="24"/>
          <w:szCs w:val="24"/>
          <w:lang w:val="en-US"/>
        </w:rPr>
        <w:t>66 U.S. publicly listed bank holding companies has been formed</w:t>
      </w:r>
      <w:r w:rsidRPr="00AA5F22">
        <w:rPr>
          <w:rFonts w:ascii="Times New Roman" w:hAnsi="Times New Roman" w:cs="Times New Roman"/>
          <w:sz w:val="24"/>
          <w:szCs w:val="24"/>
          <w:lang w:val="en-US"/>
        </w:rPr>
        <w:t>.</w:t>
      </w:r>
    </w:p>
    <w:p w:rsidR="00511AEC" w:rsidRDefault="00511AEC" w:rsidP="008E558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measure the </w:t>
      </w:r>
      <w:r w:rsidR="0018190E">
        <w:rPr>
          <w:rFonts w:ascii="Times New Roman" w:hAnsi="Times New Roman" w:cs="Times New Roman"/>
          <w:sz w:val="24"/>
          <w:szCs w:val="24"/>
          <w:lang w:val="en-US"/>
        </w:rPr>
        <w:t>level of disclosure</w:t>
      </w:r>
      <w:r w:rsidR="00B369C6">
        <w:rPr>
          <w:rFonts w:ascii="Times New Roman" w:hAnsi="Times New Roman" w:cs="Times New Roman"/>
          <w:sz w:val="24"/>
          <w:szCs w:val="24"/>
          <w:lang w:val="en-US"/>
        </w:rPr>
        <w:t xml:space="preserve"> I used</w:t>
      </w:r>
      <w:r>
        <w:rPr>
          <w:rFonts w:ascii="Times New Roman" w:hAnsi="Times New Roman" w:cs="Times New Roman"/>
          <w:sz w:val="24"/>
          <w:szCs w:val="24"/>
          <w:lang w:val="en-US"/>
        </w:rPr>
        <w:t xml:space="preserve"> the method proposed </w:t>
      </w:r>
      <w:r w:rsidRPr="0044492F">
        <w:rPr>
          <w:rFonts w:ascii="Times New Roman" w:hAnsi="Times New Roman" w:cs="Times New Roman"/>
          <w:sz w:val="24"/>
          <w:szCs w:val="24"/>
          <w:lang w:val="en-US"/>
        </w:rPr>
        <w:t>by Rhiannon Sowerbutts, Peter Zimmerman and Ilknur Zer</w:t>
      </w:r>
      <w:r>
        <w:rPr>
          <w:rFonts w:ascii="Times New Roman" w:hAnsi="Times New Roman" w:cs="Times New Roman"/>
          <w:sz w:val="24"/>
          <w:szCs w:val="24"/>
          <w:lang w:val="en-US"/>
        </w:rPr>
        <w:t xml:space="preserve"> in </w:t>
      </w:r>
      <w:r w:rsidRPr="0044492F">
        <w:rPr>
          <w:rFonts w:ascii="Times New Roman" w:hAnsi="Times New Roman" w:cs="Times New Roman"/>
          <w:sz w:val="24"/>
          <w:szCs w:val="24"/>
          <w:lang w:val="en-US"/>
        </w:rPr>
        <w:t>Banks’ disclosure and financial stability report</w:t>
      </w:r>
      <w:r>
        <w:rPr>
          <w:rFonts w:ascii="Times New Roman" w:hAnsi="Times New Roman" w:cs="Times New Roman"/>
          <w:sz w:val="24"/>
          <w:szCs w:val="24"/>
          <w:lang w:val="en-US"/>
        </w:rPr>
        <w:t xml:space="preserve">. The authors identified four main groups in corporate disclosure related to the riskiness of financial institution: </w:t>
      </w:r>
      <w:r w:rsidRPr="0044492F">
        <w:rPr>
          <w:rFonts w:ascii="Times New Roman" w:eastAsiaTheme="minorEastAsia" w:hAnsi="Times New Roman" w:cs="Times New Roman"/>
          <w:sz w:val="24"/>
          <w:szCs w:val="24"/>
          <w:lang w:val="en-US"/>
        </w:rPr>
        <w:t xml:space="preserve">liquidity risk, group structure, intra-annual information and spillover risk. All categories </w:t>
      </w:r>
      <w:r w:rsidR="0018190E">
        <w:rPr>
          <w:rFonts w:ascii="Times New Roman" w:eastAsiaTheme="minorEastAsia" w:hAnsi="Times New Roman" w:cs="Times New Roman"/>
          <w:sz w:val="24"/>
          <w:szCs w:val="24"/>
          <w:lang w:val="en-US"/>
        </w:rPr>
        <w:t xml:space="preserve">consist of </w:t>
      </w:r>
      <w:r w:rsidRPr="0044492F">
        <w:rPr>
          <w:rFonts w:ascii="Times New Roman" w:eastAsiaTheme="minorEastAsia" w:hAnsi="Times New Roman" w:cs="Times New Roman"/>
          <w:sz w:val="24"/>
          <w:szCs w:val="24"/>
          <w:lang w:val="en-US"/>
        </w:rPr>
        <w:t>14 sub-indices. For each sub-ind</w:t>
      </w:r>
      <w:r>
        <w:rPr>
          <w:rFonts w:ascii="Times New Roman" w:eastAsiaTheme="minorEastAsia" w:hAnsi="Times New Roman" w:cs="Times New Roman"/>
          <w:sz w:val="24"/>
          <w:szCs w:val="24"/>
          <w:lang w:val="en-US"/>
        </w:rPr>
        <w:t>ex</w:t>
      </w:r>
      <w:r w:rsidRPr="0044492F">
        <w:rPr>
          <w:rFonts w:ascii="Times New Roman" w:eastAsiaTheme="minorEastAsia" w:hAnsi="Times New Roman" w:cs="Times New Roman"/>
          <w:sz w:val="24"/>
          <w:szCs w:val="24"/>
          <w:lang w:val="en-US"/>
        </w:rPr>
        <w:t xml:space="preserve"> the score 1 is </w:t>
      </w:r>
      <w:r w:rsidR="00B369C6">
        <w:rPr>
          <w:rFonts w:ascii="Times New Roman" w:eastAsiaTheme="minorEastAsia" w:hAnsi="Times New Roman" w:cs="Times New Roman"/>
          <w:sz w:val="24"/>
          <w:szCs w:val="24"/>
          <w:lang w:val="en-US"/>
        </w:rPr>
        <w:t>given</w:t>
      </w:r>
      <w:r w:rsidRPr="0044492F">
        <w:rPr>
          <w:rFonts w:ascii="Times New Roman" w:eastAsiaTheme="minorEastAsia" w:hAnsi="Times New Roman" w:cs="Times New Roman"/>
          <w:sz w:val="24"/>
          <w:szCs w:val="24"/>
          <w:lang w:val="en-US"/>
        </w:rPr>
        <w:t xml:space="preserve"> when </w:t>
      </w:r>
      <w:r w:rsidR="0018190E">
        <w:rPr>
          <w:rFonts w:ascii="Times New Roman" w:eastAsiaTheme="minorEastAsia" w:hAnsi="Times New Roman" w:cs="Times New Roman"/>
          <w:sz w:val="24"/>
          <w:szCs w:val="24"/>
          <w:lang w:val="en-US"/>
        </w:rPr>
        <w:t>bank holding company</w:t>
      </w:r>
      <w:r w:rsidRPr="0044492F">
        <w:rPr>
          <w:rFonts w:ascii="Times New Roman" w:eastAsiaTheme="minorEastAsia" w:hAnsi="Times New Roman" w:cs="Times New Roman"/>
          <w:sz w:val="24"/>
          <w:szCs w:val="24"/>
          <w:lang w:val="en-US"/>
        </w:rPr>
        <w:t xml:space="preserve"> provides </w:t>
      </w:r>
      <w:r>
        <w:rPr>
          <w:rFonts w:ascii="Times New Roman" w:eastAsiaTheme="minorEastAsia" w:hAnsi="Times New Roman" w:cs="Times New Roman"/>
          <w:sz w:val="24"/>
          <w:szCs w:val="24"/>
          <w:lang w:val="en-US"/>
        </w:rPr>
        <w:t>the relevant</w:t>
      </w:r>
      <w:r w:rsidRPr="0044492F">
        <w:rPr>
          <w:rFonts w:ascii="Times New Roman" w:eastAsiaTheme="minorEastAsia" w:hAnsi="Times New Roman" w:cs="Times New Roman"/>
          <w:sz w:val="24"/>
          <w:szCs w:val="24"/>
          <w:lang w:val="en-US"/>
        </w:rPr>
        <w:t xml:space="preserve"> information </w:t>
      </w:r>
      <w:r w:rsidRPr="0044492F">
        <w:rPr>
          <w:rFonts w:ascii="Times New Roman" w:hAnsi="Times New Roman" w:cs="Times New Roman"/>
          <w:sz w:val="24"/>
          <w:szCs w:val="24"/>
          <w:lang w:val="en-US"/>
        </w:rPr>
        <w:t>in its 10-K</w:t>
      </w:r>
      <w:r>
        <w:rPr>
          <w:rFonts w:ascii="Times New Roman" w:hAnsi="Times New Roman" w:cs="Times New Roman"/>
          <w:sz w:val="24"/>
          <w:szCs w:val="24"/>
          <w:lang w:val="en-US"/>
        </w:rPr>
        <w:t xml:space="preserve"> statements,</w:t>
      </w:r>
      <w:r w:rsidRPr="0044492F">
        <w:rPr>
          <w:rFonts w:ascii="Times New Roman" w:hAnsi="Times New Roman" w:cs="Times New Roman"/>
          <w:sz w:val="24"/>
          <w:szCs w:val="24"/>
          <w:lang w:val="en-US"/>
        </w:rPr>
        <w:t xml:space="preserve"> annual, or proxy reports </w:t>
      </w:r>
      <w:r>
        <w:rPr>
          <w:rFonts w:ascii="Times New Roman" w:hAnsi="Times New Roman" w:cs="Times New Roman"/>
          <w:sz w:val="24"/>
          <w:szCs w:val="24"/>
          <w:lang w:val="en-US"/>
        </w:rPr>
        <w:t>for a particular year</w:t>
      </w:r>
      <w:r w:rsidRPr="0044492F">
        <w:rPr>
          <w:rFonts w:ascii="Times New Roman" w:eastAsiaTheme="minorEastAsia" w:hAnsi="Times New Roman" w:cs="Times New Roman"/>
          <w:sz w:val="24"/>
          <w:szCs w:val="24"/>
          <w:lang w:val="en-US"/>
        </w:rPr>
        <w:t>.</w:t>
      </w:r>
      <w:r w:rsidR="0018190E">
        <w:rPr>
          <w:rFonts w:ascii="Times New Roman" w:eastAsiaTheme="minorEastAsia" w:hAnsi="Times New Roman" w:cs="Times New Roman"/>
          <w:sz w:val="24"/>
          <w:szCs w:val="24"/>
          <w:lang w:val="en-US"/>
        </w:rPr>
        <w:t xml:space="preserve"> </w:t>
      </w:r>
      <w:r w:rsidR="009D7CB3">
        <w:rPr>
          <w:rFonts w:ascii="Times New Roman" w:eastAsiaTheme="minorEastAsia" w:hAnsi="Times New Roman" w:cs="Times New Roman"/>
          <w:sz w:val="24"/>
          <w:szCs w:val="24"/>
          <w:lang w:val="en-US"/>
        </w:rPr>
        <w:t>However,</w:t>
      </w:r>
      <w:r w:rsidR="0018190E">
        <w:rPr>
          <w:rFonts w:ascii="Times New Roman" w:eastAsiaTheme="minorEastAsia" w:hAnsi="Times New Roman" w:cs="Times New Roman"/>
          <w:sz w:val="24"/>
          <w:szCs w:val="24"/>
          <w:lang w:val="en-US"/>
        </w:rPr>
        <w:t xml:space="preserve"> no judgments on the quality of disclosed information was made.</w:t>
      </w:r>
      <w:r w:rsidR="00B369C6">
        <w:rPr>
          <w:rFonts w:ascii="Times New Roman" w:eastAsiaTheme="minorEastAsia" w:hAnsi="Times New Roman" w:cs="Times New Roman"/>
          <w:sz w:val="24"/>
          <w:szCs w:val="24"/>
          <w:lang w:val="en-US"/>
        </w:rPr>
        <w:t xml:space="preserve"> The Principal Component Analysis for calculation of the aggregated disclosure index were employed.</w:t>
      </w:r>
    </w:p>
    <w:p w:rsidR="00B369C6" w:rsidRDefault="008E5586" w:rsidP="00B369C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7D7EE4">
        <w:rPr>
          <w:rFonts w:ascii="Times New Roman" w:hAnsi="Times New Roman" w:cs="Times New Roman"/>
          <w:sz w:val="24"/>
          <w:szCs w:val="24"/>
          <w:lang w:val="en-US"/>
        </w:rPr>
        <w:t xml:space="preserve">he </w:t>
      </w:r>
      <w:r>
        <w:rPr>
          <w:rFonts w:ascii="Times New Roman" w:hAnsi="Times New Roman" w:cs="Times New Roman"/>
          <w:sz w:val="24"/>
          <w:szCs w:val="24"/>
          <w:lang w:val="en-US"/>
        </w:rPr>
        <w:t>results</w:t>
      </w:r>
      <w:r w:rsidRPr="007D7EE4">
        <w:rPr>
          <w:rFonts w:ascii="Times New Roman" w:hAnsi="Times New Roman" w:cs="Times New Roman"/>
          <w:sz w:val="24"/>
          <w:szCs w:val="24"/>
          <w:lang w:val="en-US"/>
        </w:rPr>
        <w:t xml:space="preserve"> presented in this paper sugge</w:t>
      </w:r>
      <w:r>
        <w:rPr>
          <w:rFonts w:ascii="Times New Roman" w:hAnsi="Times New Roman" w:cs="Times New Roman"/>
          <w:sz w:val="24"/>
          <w:szCs w:val="24"/>
          <w:lang w:val="en-US"/>
        </w:rPr>
        <w:t>sts that disclosure may help to mitigate some of information asymmetry</w:t>
      </w:r>
      <w:r w:rsidRPr="007D7EE4">
        <w:rPr>
          <w:rFonts w:ascii="Times New Roman" w:hAnsi="Times New Roman" w:cs="Times New Roman"/>
          <w:sz w:val="24"/>
          <w:szCs w:val="24"/>
          <w:lang w:val="en-US"/>
        </w:rPr>
        <w:t>. In parti</w:t>
      </w:r>
      <w:r>
        <w:rPr>
          <w:rFonts w:ascii="Times New Roman" w:hAnsi="Times New Roman" w:cs="Times New Roman"/>
          <w:sz w:val="24"/>
          <w:szCs w:val="24"/>
          <w:lang w:val="en-US"/>
        </w:rPr>
        <w:t>cular, I show that</w:t>
      </w:r>
      <w:r w:rsidR="00AC2B39">
        <w:rPr>
          <w:rFonts w:ascii="Times New Roman" w:hAnsi="Times New Roman" w:cs="Times New Roman"/>
          <w:sz w:val="24"/>
          <w:szCs w:val="24"/>
          <w:lang w:val="en-US"/>
        </w:rPr>
        <w:t xml:space="preserve"> after c</w:t>
      </w:r>
      <w:r w:rsidR="00AC2B39" w:rsidRPr="00150921">
        <w:rPr>
          <w:rFonts w:ascii="Times New Roman" w:hAnsi="Times New Roman" w:cs="Times New Roman"/>
          <w:sz w:val="24"/>
          <w:szCs w:val="24"/>
          <w:lang w:val="en-US"/>
        </w:rPr>
        <w:t>ontrolling for a number of bank holding company financial characteristics, such as the size, the volatility, the capital buffer, the non-performing loans ratio, return on equity and the level of deposits</w:t>
      </w:r>
      <w:r>
        <w:rPr>
          <w:rFonts w:ascii="Times New Roman" w:hAnsi="Times New Roman" w:cs="Times New Roman"/>
          <w:sz w:val="24"/>
          <w:szCs w:val="24"/>
          <w:lang w:val="en-US"/>
        </w:rPr>
        <w:t xml:space="preserve"> an increased </w:t>
      </w:r>
      <w:r w:rsidRPr="007D7EE4">
        <w:rPr>
          <w:rFonts w:ascii="Times New Roman" w:hAnsi="Times New Roman" w:cs="Times New Roman"/>
          <w:sz w:val="24"/>
          <w:szCs w:val="24"/>
          <w:lang w:val="en-US"/>
        </w:rPr>
        <w:t xml:space="preserve">disclosure </w:t>
      </w:r>
      <w:r>
        <w:rPr>
          <w:rFonts w:ascii="Times New Roman" w:hAnsi="Times New Roman" w:cs="Times New Roman"/>
          <w:sz w:val="24"/>
          <w:szCs w:val="24"/>
          <w:lang w:val="en-US"/>
        </w:rPr>
        <w:t xml:space="preserve">is followed by decreased </w:t>
      </w:r>
      <w:r w:rsidR="00B369C6">
        <w:rPr>
          <w:rFonts w:ascii="Times New Roman" w:hAnsi="Times New Roman" w:cs="Times New Roman"/>
          <w:sz w:val="24"/>
          <w:szCs w:val="24"/>
          <w:lang w:val="en-US"/>
        </w:rPr>
        <w:t xml:space="preserve">aggregated risk, </w:t>
      </w:r>
      <w:r w:rsidR="00DE47A1">
        <w:rPr>
          <w:rFonts w:ascii="Times New Roman" w:hAnsi="Times New Roman" w:cs="Times New Roman"/>
          <w:sz w:val="24"/>
          <w:szCs w:val="24"/>
          <w:lang w:val="en-US"/>
        </w:rPr>
        <w:t>systemic</w:t>
      </w:r>
      <w:r w:rsidR="00511AEC">
        <w:rPr>
          <w:rFonts w:ascii="Times New Roman" w:hAnsi="Times New Roman" w:cs="Times New Roman"/>
          <w:sz w:val="24"/>
          <w:szCs w:val="24"/>
          <w:lang w:val="en-US"/>
        </w:rPr>
        <w:t xml:space="preserve"> risk, idiosyncratic risk, and downside risk</w:t>
      </w:r>
      <w:r w:rsidRPr="007D7EE4">
        <w:rPr>
          <w:rFonts w:ascii="Times New Roman" w:hAnsi="Times New Roman" w:cs="Times New Roman"/>
          <w:sz w:val="24"/>
          <w:szCs w:val="24"/>
          <w:lang w:val="en-US"/>
        </w:rPr>
        <w:t>.</w:t>
      </w:r>
    </w:p>
    <w:p w:rsidR="009F6AEA" w:rsidRDefault="00AC2B39" w:rsidP="009F6AEA">
      <w:pPr>
        <w:spacing w:line="360" w:lineRule="auto"/>
        <w:ind w:firstLine="709"/>
        <w:jc w:val="both"/>
        <w:rPr>
          <w:rFonts w:ascii="Times New Roman" w:hAnsi="Times New Roman" w:cs="Times New Roman"/>
          <w:sz w:val="24"/>
          <w:szCs w:val="24"/>
          <w:lang w:val="en-US"/>
        </w:rPr>
        <w:sectPr w:rsidR="009F6AEA" w:rsidSect="00121068">
          <w:pgSz w:w="11906" w:h="16838" w:code="9"/>
          <w:pgMar w:top="1134" w:right="850" w:bottom="1134" w:left="1701" w:header="708" w:footer="708" w:gutter="0"/>
          <w:cols w:space="708"/>
          <w:titlePg/>
          <w:docGrid w:linePitch="360"/>
        </w:sectPr>
      </w:pPr>
      <w:r>
        <w:rPr>
          <w:rFonts w:ascii="Times New Roman" w:hAnsi="Times New Roman" w:cs="Times New Roman"/>
          <w:sz w:val="24"/>
          <w:szCs w:val="24"/>
          <w:lang w:val="en-US"/>
        </w:rPr>
        <w:t>Obtained</w:t>
      </w:r>
      <w:r w:rsidR="004760DA">
        <w:rPr>
          <w:rFonts w:ascii="Times New Roman" w:hAnsi="Times New Roman" w:cs="Times New Roman"/>
          <w:sz w:val="24"/>
          <w:szCs w:val="24"/>
          <w:lang w:val="en-US"/>
        </w:rPr>
        <w:t xml:space="preserve"> results </w:t>
      </w:r>
      <w:r>
        <w:rPr>
          <w:rFonts w:ascii="Times New Roman" w:hAnsi="Times New Roman" w:cs="Times New Roman"/>
          <w:sz w:val="24"/>
          <w:szCs w:val="24"/>
          <w:lang w:val="en-US"/>
        </w:rPr>
        <w:t>provide</w:t>
      </w:r>
      <w:r w:rsidR="004760DA">
        <w:rPr>
          <w:rFonts w:ascii="Times New Roman" w:hAnsi="Times New Roman" w:cs="Times New Roman"/>
          <w:sz w:val="24"/>
          <w:szCs w:val="24"/>
          <w:lang w:val="en-US"/>
        </w:rPr>
        <w:t xml:space="preserve"> </w:t>
      </w:r>
      <w:r w:rsidR="009F6AEA">
        <w:rPr>
          <w:rFonts w:ascii="Times New Roman" w:hAnsi="Times New Roman" w:cs="Times New Roman"/>
          <w:sz w:val="24"/>
          <w:szCs w:val="24"/>
          <w:lang w:val="en-US"/>
        </w:rPr>
        <w:t>some</w:t>
      </w:r>
      <w:r>
        <w:rPr>
          <w:rFonts w:ascii="Times New Roman" w:hAnsi="Times New Roman" w:cs="Times New Roman"/>
          <w:sz w:val="24"/>
          <w:szCs w:val="24"/>
          <w:lang w:val="en-US"/>
        </w:rPr>
        <w:t xml:space="preserve"> possible</w:t>
      </w:r>
      <w:r w:rsidR="009F6AEA">
        <w:rPr>
          <w:rFonts w:ascii="Times New Roman" w:hAnsi="Times New Roman" w:cs="Times New Roman"/>
          <w:sz w:val="24"/>
          <w:szCs w:val="24"/>
          <w:lang w:val="en-US"/>
        </w:rPr>
        <w:t xml:space="preserve"> managerial implications. </w:t>
      </w:r>
      <w:r>
        <w:rPr>
          <w:rFonts w:ascii="Times New Roman" w:hAnsi="Times New Roman" w:cs="Times New Roman"/>
          <w:sz w:val="24"/>
          <w:szCs w:val="24"/>
          <w:lang w:val="en-US"/>
        </w:rPr>
        <w:t>H</w:t>
      </w:r>
      <w:r w:rsidR="009F6AEA">
        <w:rPr>
          <w:rFonts w:ascii="Times New Roman" w:hAnsi="Times New Roman" w:cs="Times New Roman"/>
          <w:sz w:val="24"/>
          <w:szCs w:val="24"/>
          <w:lang w:val="en-US"/>
        </w:rPr>
        <w:t>igher level of disclosure may be useful for investors as well as banks themselves. First, e</w:t>
      </w:r>
      <w:r w:rsidR="009F6AEA" w:rsidRPr="00150921">
        <w:rPr>
          <w:rFonts w:ascii="Times New Roman" w:hAnsi="Times New Roman" w:cs="Times New Roman"/>
          <w:sz w:val="24"/>
          <w:szCs w:val="24"/>
          <w:lang w:val="en-US"/>
        </w:rPr>
        <w:t>nhanced information disclosure</w:t>
      </w:r>
      <w:r w:rsidR="008F4184">
        <w:rPr>
          <w:rFonts w:ascii="Times New Roman" w:hAnsi="Times New Roman" w:cs="Times New Roman"/>
          <w:sz w:val="24"/>
          <w:szCs w:val="24"/>
          <w:lang w:val="en-US"/>
        </w:rPr>
        <w:t xml:space="preserve"> </w:t>
      </w:r>
      <w:r w:rsidR="008F4184">
        <w:rPr>
          <w:rFonts w:ascii="Times New Roman" w:hAnsi="Times New Roman" w:cs="Times New Roman"/>
          <w:sz w:val="24"/>
          <w:szCs w:val="24"/>
          <w:lang w:val="en-US"/>
        </w:rPr>
        <w:lastRenderedPageBreak/>
        <w:t>may</w:t>
      </w:r>
      <w:r w:rsidR="009F6AEA" w:rsidRPr="00150921">
        <w:rPr>
          <w:rFonts w:ascii="Times New Roman" w:hAnsi="Times New Roman" w:cs="Times New Roman"/>
          <w:sz w:val="24"/>
          <w:szCs w:val="24"/>
          <w:lang w:val="en-US"/>
        </w:rPr>
        <w:t xml:space="preserve"> influence the investment decisions of outside investors. It seems that investors tend to invest more in companies with lower level of risk. </w:t>
      </w:r>
      <w:r w:rsidR="009F6AEA">
        <w:rPr>
          <w:rFonts w:ascii="Times New Roman" w:hAnsi="Times New Roman" w:cs="Times New Roman"/>
          <w:sz w:val="24"/>
          <w:szCs w:val="24"/>
          <w:lang w:val="en-US"/>
        </w:rPr>
        <w:t>Second</w:t>
      </w:r>
      <w:r w:rsidR="009F6AEA" w:rsidRPr="00150921">
        <w:rPr>
          <w:rFonts w:ascii="Times New Roman" w:hAnsi="Times New Roman" w:cs="Times New Roman"/>
          <w:sz w:val="24"/>
          <w:szCs w:val="24"/>
          <w:lang w:val="en-US"/>
        </w:rPr>
        <w:t>,</w:t>
      </w:r>
      <w:r w:rsidR="009F6AEA">
        <w:rPr>
          <w:rFonts w:ascii="Times New Roman" w:hAnsi="Times New Roman" w:cs="Times New Roman"/>
          <w:sz w:val="24"/>
          <w:szCs w:val="24"/>
          <w:lang w:val="en-US"/>
        </w:rPr>
        <w:t xml:space="preserve"> </w:t>
      </w:r>
      <w:r w:rsidR="009F6AEA" w:rsidRPr="00150921">
        <w:rPr>
          <w:rFonts w:ascii="Times New Roman" w:hAnsi="Times New Roman" w:cs="Times New Roman"/>
          <w:sz w:val="24"/>
          <w:szCs w:val="24"/>
          <w:lang w:val="en-US"/>
        </w:rPr>
        <w:t>higher level of disclosure may be useful for banks as well, if lower level of enterprise risks will be translated into reduced cost of capital.</w:t>
      </w:r>
    </w:p>
    <w:p w:rsidR="003641A6" w:rsidRPr="00121068" w:rsidRDefault="00F21E08" w:rsidP="003641A6">
      <w:pPr>
        <w:pStyle w:val="1"/>
        <w:rPr>
          <w:rStyle w:val="10"/>
          <w:b/>
          <w:lang w:val="en-US"/>
        </w:rPr>
      </w:pPr>
      <w:bookmarkStart w:id="22" w:name="_Toc451925560"/>
      <w:r>
        <w:rPr>
          <w:rStyle w:val="10"/>
          <w:b/>
          <w:lang w:val="en-US"/>
        </w:rPr>
        <w:lastRenderedPageBreak/>
        <w:t>List of</w:t>
      </w:r>
      <w:r w:rsidR="00121068">
        <w:rPr>
          <w:rStyle w:val="10"/>
          <w:b/>
          <w:lang w:val="en-US"/>
        </w:rPr>
        <w:t xml:space="preserve"> References</w:t>
      </w:r>
      <w:bookmarkEnd w:id="22"/>
    </w:p>
    <w:p w:rsidR="003641A6" w:rsidRPr="007C02AF" w:rsidRDefault="003641A6" w:rsidP="00CD5F5C">
      <w:pPr>
        <w:pStyle w:val="a3"/>
        <w:numPr>
          <w:ilvl w:val="0"/>
          <w:numId w:val="15"/>
        </w:numPr>
        <w:spacing w:line="360" w:lineRule="auto"/>
        <w:jc w:val="both"/>
        <w:rPr>
          <w:lang w:val="en-US"/>
        </w:rPr>
      </w:pPr>
      <w:r w:rsidRPr="007C02AF">
        <w:rPr>
          <w:lang w:val="en-US"/>
        </w:rPr>
        <w:t xml:space="preserve">Akerlof, George A. "The Market for "Lemons": Quality Uncertainty and the Market Mechanism." </w:t>
      </w:r>
      <w:r w:rsidRPr="007C02AF">
        <w:rPr>
          <w:i/>
          <w:iCs/>
          <w:lang w:val="en-US"/>
        </w:rPr>
        <w:t>The Quarterly Journal of Economics</w:t>
      </w:r>
      <w:r w:rsidRPr="007C02AF">
        <w:rPr>
          <w:lang w:val="en-US"/>
        </w:rPr>
        <w:t xml:space="preserve"> 84, no. 3 (1970): 488. </w:t>
      </w:r>
    </w:p>
    <w:p w:rsidR="00DC1AD5" w:rsidRPr="007C02AF" w:rsidRDefault="00DC1AD5" w:rsidP="00CD5F5C">
      <w:pPr>
        <w:pStyle w:val="a3"/>
        <w:numPr>
          <w:ilvl w:val="0"/>
          <w:numId w:val="15"/>
        </w:numPr>
        <w:spacing w:line="360" w:lineRule="auto"/>
        <w:jc w:val="both"/>
      </w:pPr>
      <w:r w:rsidRPr="007C02AF">
        <w:rPr>
          <w:lang w:val="en-US"/>
        </w:rPr>
        <w:t xml:space="preserve">Apostolik, Richard, Christopher Donohue, and Peter Went. </w:t>
      </w:r>
      <w:r w:rsidRPr="007C02AF">
        <w:rPr>
          <w:i/>
          <w:iCs/>
          <w:lang w:val="en-US"/>
        </w:rPr>
        <w:t>Foundations of Banking Risk: An Overview of Banking, Banking Risks, and Risk-based Banking Regulation</w:t>
      </w:r>
      <w:r w:rsidRPr="007C02AF">
        <w:rPr>
          <w:lang w:val="en-US"/>
        </w:rPr>
        <w:t xml:space="preserve">. </w:t>
      </w:r>
      <w:r w:rsidRPr="007C02AF">
        <w:t xml:space="preserve">Hoboken, NJ: John Wiley, 2009. </w:t>
      </w:r>
    </w:p>
    <w:p w:rsidR="00DC1AD5" w:rsidRPr="007C02AF" w:rsidRDefault="00E641EB" w:rsidP="00CD5F5C">
      <w:pPr>
        <w:pStyle w:val="a3"/>
        <w:numPr>
          <w:ilvl w:val="0"/>
          <w:numId w:val="15"/>
        </w:numPr>
        <w:spacing w:line="360" w:lineRule="auto"/>
        <w:jc w:val="both"/>
      </w:pPr>
      <w:r w:rsidRPr="007C02AF">
        <w:rPr>
          <w:lang w:val="en-US"/>
        </w:rPr>
        <w:t xml:space="preserve">Ashbaugh-Skaife, Hollis, Daniel W. Collins, William R. Kinney Jr, and Ryan Lafond. "The Effect of SOX Internal Control Deficiencies on Firm Risk and Cost of Equity." </w:t>
      </w:r>
      <w:r w:rsidRPr="007C02AF">
        <w:rPr>
          <w:i/>
          <w:iCs/>
        </w:rPr>
        <w:t>Journal of Accounting Research</w:t>
      </w:r>
      <w:r w:rsidRPr="007C02AF">
        <w:t xml:space="preserve"> 47, no. 1 (2009): 1-43. </w:t>
      </w:r>
    </w:p>
    <w:p w:rsidR="00BB6C93" w:rsidRPr="007C02AF" w:rsidRDefault="003641A6" w:rsidP="00CD5F5C">
      <w:pPr>
        <w:pStyle w:val="a3"/>
        <w:numPr>
          <w:ilvl w:val="0"/>
          <w:numId w:val="15"/>
        </w:numPr>
        <w:autoSpaceDE w:val="0"/>
        <w:autoSpaceDN w:val="0"/>
        <w:adjustRightInd w:val="0"/>
        <w:spacing w:line="360" w:lineRule="auto"/>
        <w:jc w:val="both"/>
        <w:rPr>
          <w:color w:val="231F20"/>
          <w:lang w:val="en-US"/>
        </w:rPr>
      </w:pPr>
      <w:r w:rsidRPr="007C02AF">
        <w:rPr>
          <w:lang w:val="en-US"/>
        </w:rPr>
        <w:t xml:space="preserve">Bank of England, Financial Stability Report, </w:t>
      </w:r>
      <w:r w:rsidR="00BB6C93" w:rsidRPr="007C02AF">
        <w:rPr>
          <w:lang w:val="en-US"/>
        </w:rPr>
        <w:t xml:space="preserve">(2009) </w:t>
      </w:r>
      <w:r w:rsidRPr="007C02AF">
        <w:rPr>
          <w:lang w:val="en-US"/>
        </w:rPr>
        <w:t>December.</w:t>
      </w:r>
    </w:p>
    <w:p w:rsidR="00BB6C93" w:rsidRPr="007C02AF" w:rsidRDefault="00BB6C93" w:rsidP="00CD5F5C">
      <w:pPr>
        <w:pStyle w:val="a3"/>
        <w:numPr>
          <w:ilvl w:val="0"/>
          <w:numId w:val="15"/>
        </w:numPr>
        <w:autoSpaceDE w:val="0"/>
        <w:autoSpaceDN w:val="0"/>
        <w:adjustRightInd w:val="0"/>
        <w:spacing w:line="360" w:lineRule="auto"/>
        <w:jc w:val="both"/>
        <w:rPr>
          <w:color w:val="231F20"/>
          <w:lang w:val="en-US"/>
        </w:rPr>
      </w:pPr>
      <w:r w:rsidRPr="007C02AF">
        <w:rPr>
          <w:lang w:val="en-US"/>
        </w:rPr>
        <w:t>Baumann, U., and E. Nier. "Disclosure, volatility and transparency: an empirical investigation into the value of bank disclosure", Working paper, Federal Reserve Bank of New York. (2004)</w:t>
      </w:r>
    </w:p>
    <w:p w:rsidR="00E641EB" w:rsidRPr="007C02AF" w:rsidRDefault="00E641EB" w:rsidP="00CD5F5C">
      <w:pPr>
        <w:pStyle w:val="a3"/>
        <w:numPr>
          <w:ilvl w:val="0"/>
          <w:numId w:val="15"/>
        </w:numPr>
        <w:spacing w:line="360" w:lineRule="auto"/>
        <w:jc w:val="both"/>
      </w:pPr>
      <w:r w:rsidRPr="007C02AF">
        <w:rPr>
          <w:lang w:val="en-US"/>
        </w:rPr>
        <w:t xml:space="preserve">Bebchuk, Lucian Arye, and Jesse M. Fried. "Executive Compensation as an Agency Problem." </w:t>
      </w:r>
      <w:r w:rsidRPr="007C02AF">
        <w:rPr>
          <w:i/>
          <w:iCs/>
        </w:rPr>
        <w:t>SSRN Electronic Journal SSRN Journal</w:t>
      </w:r>
      <w:r w:rsidRPr="007C02AF">
        <w:t xml:space="preserve">. </w:t>
      </w:r>
    </w:p>
    <w:p w:rsidR="000B1D09" w:rsidRPr="007C02AF" w:rsidRDefault="000B1D09" w:rsidP="00CD5F5C">
      <w:pPr>
        <w:pStyle w:val="a3"/>
        <w:numPr>
          <w:ilvl w:val="0"/>
          <w:numId w:val="15"/>
        </w:numPr>
        <w:spacing w:line="360" w:lineRule="auto"/>
        <w:jc w:val="both"/>
        <w:rPr>
          <w:lang w:val="en-US"/>
        </w:rPr>
      </w:pPr>
      <w:r w:rsidRPr="007C02AF">
        <w:rPr>
          <w:lang w:val="en-US"/>
        </w:rPr>
        <w:t xml:space="preserve">Botosan, C. "Disclosure level and the cost of capital." </w:t>
      </w:r>
      <w:r w:rsidRPr="007C02AF">
        <w:rPr>
          <w:i/>
          <w:iCs/>
          <w:lang w:val="en-US"/>
        </w:rPr>
        <w:t>The Accounting Review</w:t>
      </w:r>
      <w:r w:rsidRPr="007C02AF">
        <w:rPr>
          <w:lang w:val="en-US"/>
        </w:rPr>
        <w:t xml:space="preserve"> 72 (1997): 323–350.</w:t>
      </w:r>
    </w:p>
    <w:p w:rsidR="00E641EB" w:rsidRPr="007C02AF" w:rsidRDefault="00E641EB" w:rsidP="00CD5F5C">
      <w:pPr>
        <w:pStyle w:val="a3"/>
        <w:numPr>
          <w:ilvl w:val="0"/>
          <w:numId w:val="15"/>
        </w:numPr>
        <w:spacing w:line="360" w:lineRule="auto"/>
        <w:jc w:val="both"/>
      </w:pPr>
      <w:r w:rsidRPr="007C02AF">
        <w:rPr>
          <w:lang w:val="en-US"/>
        </w:rPr>
        <w:t xml:space="preserve">Bradfield, James. </w:t>
      </w:r>
      <w:r w:rsidRPr="007C02AF">
        <w:rPr>
          <w:i/>
          <w:iCs/>
          <w:lang w:val="en-US"/>
        </w:rPr>
        <w:t>Introduction to the Economics of Financial Markets</w:t>
      </w:r>
      <w:r w:rsidRPr="007C02AF">
        <w:rPr>
          <w:lang w:val="en-US"/>
        </w:rPr>
        <w:t xml:space="preserve">. </w:t>
      </w:r>
      <w:r w:rsidRPr="007C02AF">
        <w:t xml:space="preserve">Oxford: Oxford University Press, 2007. </w:t>
      </w:r>
    </w:p>
    <w:p w:rsidR="00C45611" w:rsidRPr="007C02AF" w:rsidRDefault="00C45611" w:rsidP="00CD5F5C">
      <w:pPr>
        <w:pStyle w:val="a3"/>
        <w:numPr>
          <w:ilvl w:val="0"/>
          <w:numId w:val="15"/>
        </w:numPr>
        <w:spacing w:line="360" w:lineRule="auto"/>
        <w:jc w:val="both"/>
        <w:rPr>
          <w:lang w:val="en-US"/>
        </w:rPr>
      </w:pPr>
      <w:r w:rsidRPr="007C02AF">
        <w:rPr>
          <w:lang w:val="en-US"/>
        </w:rPr>
        <w:t xml:space="preserve">Brealey, Richard A., and Stewart C. Myers. </w:t>
      </w:r>
      <w:r w:rsidRPr="007C02AF">
        <w:rPr>
          <w:i/>
          <w:iCs/>
          <w:lang w:val="en-US"/>
        </w:rPr>
        <w:t>Principles of Corporate Finance</w:t>
      </w:r>
      <w:r w:rsidRPr="007C02AF">
        <w:rPr>
          <w:lang w:val="en-US"/>
        </w:rPr>
        <w:t xml:space="preserve">. New York: McGraw-Hill, 1991. </w:t>
      </w:r>
    </w:p>
    <w:p w:rsidR="00E641EB" w:rsidRPr="007C02AF" w:rsidRDefault="000B1D09" w:rsidP="00CD5F5C">
      <w:pPr>
        <w:pStyle w:val="a3"/>
        <w:numPr>
          <w:ilvl w:val="0"/>
          <w:numId w:val="15"/>
        </w:numPr>
        <w:spacing w:line="360" w:lineRule="auto"/>
        <w:jc w:val="both"/>
      </w:pPr>
      <w:r w:rsidRPr="007C02AF">
        <w:rPr>
          <w:lang w:val="en-US"/>
        </w:rPr>
        <w:t xml:space="preserve">Bushee, Brian J., and Christopher F. Noe. "Corporate Disclosure Practices, Institutional Investors, and Stock Return Volatility." </w:t>
      </w:r>
      <w:r w:rsidRPr="007C02AF">
        <w:rPr>
          <w:i/>
          <w:iCs/>
        </w:rPr>
        <w:t>Journal of Accounting Research</w:t>
      </w:r>
      <w:r w:rsidRPr="007C02AF">
        <w:t xml:space="preserve"> 38 (2000): 171.</w:t>
      </w:r>
    </w:p>
    <w:p w:rsidR="00E641EB" w:rsidRPr="007C02AF" w:rsidRDefault="00E641EB" w:rsidP="00CD5F5C">
      <w:pPr>
        <w:pStyle w:val="a3"/>
        <w:numPr>
          <w:ilvl w:val="0"/>
          <w:numId w:val="15"/>
        </w:numPr>
        <w:spacing w:line="360" w:lineRule="auto"/>
        <w:jc w:val="both"/>
      </w:pPr>
      <w:r w:rsidRPr="007C02AF">
        <w:rPr>
          <w:lang w:val="en-US"/>
        </w:rPr>
        <w:t xml:space="preserve">Campbell, John, Martin Lettau, Burton Malkiel, and Yexiao Xu. "Have Individual Stocks Become More Volatile? </w:t>
      </w:r>
      <w:r w:rsidRPr="007C02AF">
        <w:t xml:space="preserve">An Empirical Exploration of Idiosyncratic Risk." 2000. </w:t>
      </w:r>
    </w:p>
    <w:p w:rsidR="000B1D09" w:rsidRPr="007C02AF" w:rsidRDefault="00E641EB" w:rsidP="00CD5F5C">
      <w:pPr>
        <w:pStyle w:val="a3"/>
        <w:numPr>
          <w:ilvl w:val="0"/>
          <w:numId w:val="15"/>
        </w:numPr>
        <w:spacing w:line="360" w:lineRule="auto"/>
        <w:jc w:val="both"/>
      </w:pPr>
      <w:r w:rsidRPr="007C02AF">
        <w:rPr>
          <w:lang w:val="en-US"/>
        </w:rPr>
        <w:t xml:space="preserve">Demsetz, Rebecca S., Marc R. Saidenberg, and Philip E. Strahan. "Agency Problems and Risk Taking At Banks." </w:t>
      </w:r>
      <w:r w:rsidRPr="007C02AF">
        <w:rPr>
          <w:i/>
          <w:iCs/>
        </w:rPr>
        <w:t>SSRN Electronic Journal SSRN Journal</w:t>
      </w:r>
      <w:r w:rsidRPr="007C02AF">
        <w:t xml:space="preserve">. </w:t>
      </w:r>
    </w:p>
    <w:p w:rsidR="00BB6C93" w:rsidRDefault="000B1D09" w:rsidP="00CD5F5C">
      <w:pPr>
        <w:pStyle w:val="a3"/>
        <w:numPr>
          <w:ilvl w:val="0"/>
          <w:numId w:val="15"/>
        </w:numPr>
        <w:spacing w:line="360" w:lineRule="auto"/>
        <w:jc w:val="both"/>
      </w:pPr>
      <w:r w:rsidRPr="007C02AF">
        <w:rPr>
          <w:lang w:val="en-US"/>
        </w:rPr>
        <w:t xml:space="preserve">Diamond, Douglas W., and Robert E. Verrecchia. "Disclosure, Liquidity, and the Cost of Capital." </w:t>
      </w:r>
      <w:r w:rsidRPr="007C02AF">
        <w:rPr>
          <w:i/>
          <w:iCs/>
        </w:rPr>
        <w:t>The Journal of Finance</w:t>
      </w:r>
      <w:r w:rsidRPr="007C02AF">
        <w:t xml:space="preserve"> 46, no. 4 (1991): 1325-359.</w:t>
      </w:r>
    </w:p>
    <w:p w:rsidR="00CD5F5C" w:rsidRPr="00CD5F5C" w:rsidRDefault="00CD5F5C" w:rsidP="00CD5F5C">
      <w:pPr>
        <w:pStyle w:val="a3"/>
        <w:numPr>
          <w:ilvl w:val="0"/>
          <w:numId w:val="15"/>
        </w:numPr>
        <w:spacing w:line="360" w:lineRule="auto"/>
        <w:jc w:val="both"/>
        <w:rPr>
          <w:lang w:val="en-US"/>
        </w:rPr>
      </w:pPr>
      <w:r w:rsidRPr="00CD5F5C">
        <w:rPr>
          <w:lang w:val="en-US"/>
        </w:rPr>
        <w:t xml:space="preserve">"Downside Deviation as a Risk Measure." Invest Excel. 2011. Accessed May 25, 2016. http://investexcel.net/downside-deviation-excel/. </w:t>
      </w:r>
    </w:p>
    <w:p w:rsidR="000B1D09" w:rsidRPr="007C02AF" w:rsidRDefault="00BB6C93" w:rsidP="00CD5F5C">
      <w:pPr>
        <w:pStyle w:val="a3"/>
        <w:numPr>
          <w:ilvl w:val="0"/>
          <w:numId w:val="15"/>
        </w:numPr>
        <w:spacing w:line="360" w:lineRule="auto"/>
        <w:jc w:val="both"/>
      </w:pPr>
      <w:r w:rsidRPr="007C02AF">
        <w:rPr>
          <w:lang w:val="en-US"/>
        </w:rPr>
        <w:t xml:space="preserve">Easley, David, Soeren Hvidkjaer, and Maureen O'Hara. "Is Information Risk a Determinant of Asset Returns?" </w:t>
      </w:r>
      <w:r w:rsidRPr="007C02AF">
        <w:rPr>
          <w:i/>
          <w:iCs/>
        </w:rPr>
        <w:t>The Journal of Finance</w:t>
      </w:r>
      <w:r w:rsidRPr="007C02AF">
        <w:t xml:space="preserve"> 57, no. 5 (2002): 2185-221. </w:t>
      </w:r>
      <w:r w:rsidR="000B1D09" w:rsidRPr="007C02AF">
        <w:t xml:space="preserve"> </w:t>
      </w:r>
    </w:p>
    <w:p w:rsidR="00BB6C93" w:rsidRPr="007C02AF" w:rsidRDefault="00BB6C93" w:rsidP="00CD5F5C">
      <w:pPr>
        <w:pStyle w:val="a3"/>
        <w:numPr>
          <w:ilvl w:val="0"/>
          <w:numId w:val="15"/>
        </w:numPr>
        <w:spacing w:line="360" w:lineRule="auto"/>
        <w:jc w:val="both"/>
      </w:pPr>
      <w:r w:rsidRPr="007C02AF">
        <w:rPr>
          <w:lang w:val="en-US"/>
        </w:rPr>
        <w:lastRenderedPageBreak/>
        <w:t xml:space="preserve">Easley, David, and Maureen O'hara. "Information and the Cost of Capital." </w:t>
      </w:r>
      <w:r w:rsidRPr="007C02AF">
        <w:rPr>
          <w:i/>
          <w:iCs/>
        </w:rPr>
        <w:t>The Journal of Finance</w:t>
      </w:r>
      <w:r w:rsidRPr="007C02AF">
        <w:t xml:space="preserve"> 59, no. 4 (2004): 1553-583. </w:t>
      </w:r>
    </w:p>
    <w:p w:rsidR="00E641EB" w:rsidRPr="007C02AF" w:rsidRDefault="00E641EB" w:rsidP="00CD5F5C">
      <w:pPr>
        <w:pStyle w:val="a3"/>
        <w:numPr>
          <w:ilvl w:val="0"/>
          <w:numId w:val="15"/>
        </w:numPr>
        <w:spacing w:line="360" w:lineRule="auto"/>
        <w:jc w:val="both"/>
      </w:pPr>
      <w:r w:rsidRPr="007C02AF">
        <w:rPr>
          <w:lang w:val="en-US"/>
        </w:rPr>
        <w:t xml:space="preserve">Ederington, Louis H., and Jae Ha Lee. "The Creation and Resolution of Market Uncertainty: The Impact of Information Releases on Implied Volatility." </w:t>
      </w:r>
      <w:r w:rsidRPr="007C02AF">
        <w:rPr>
          <w:i/>
          <w:iCs/>
        </w:rPr>
        <w:t>The Journal of Financial and Quantitative Analysis</w:t>
      </w:r>
      <w:r w:rsidRPr="007C02AF">
        <w:t xml:space="preserve"> 31, no. 4 (1996): 513. </w:t>
      </w:r>
    </w:p>
    <w:p w:rsidR="00263AE9" w:rsidRPr="007C02AF" w:rsidRDefault="00263AE9" w:rsidP="00CD5F5C">
      <w:pPr>
        <w:pStyle w:val="a3"/>
        <w:numPr>
          <w:ilvl w:val="0"/>
          <w:numId w:val="15"/>
        </w:numPr>
        <w:spacing w:line="360" w:lineRule="auto"/>
        <w:jc w:val="both"/>
        <w:rPr>
          <w:lang w:val="en-US"/>
        </w:rPr>
      </w:pPr>
      <w:r w:rsidRPr="007C02AF">
        <w:rPr>
          <w:lang w:val="en-US"/>
        </w:rPr>
        <w:t xml:space="preserve">"SEC Disclosure Laws and Regulations." Inc. Accessed May 10, 2016. http://www.inc.com/encyclopedia/sec-disclosure-laws-and-regulations.html. </w:t>
      </w:r>
    </w:p>
    <w:p w:rsidR="00263AE9" w:rsidRPr="007C02AF" w:rsidRDefault="00263AE9" w:rsidP="00CD5F5C">
      <w:pPr>
        <w:pStyle w:val="a3"/>
        <w:numPr>
          <w:ilvl w:val="0"/>
          <w:numId w:val="15"/>
        </w:numPr>
        <w:spacing w:line="360" w:lineRule="auto"/>
        <w:jc w:val="both"/>
        <w:rPr>
          <w:lang w:val="en-US"/>
        </w:rPr>
      </w:pPr>
      <w:r w:rsidRPr="007C02AF">
        <w:rPr>
          <w:lang w:val="en-US"/>
        </w:rPr>
        <w:t xml:space="preserve">"Downside Risk Definition | Investopedia." Investopedia. 2003. Accessed May 10, 2016. http://www.investopedia.com/terms/d/downsiderisk.asp?layout=infini. </w:t>
      </w:r>
    </w:p>
    <w:p w:rsidR="007C02AF" w:rsidRPr="007C02AF" w:rsidRDefault="007C02AF" w:rsidP="00CD5F5C">
      <w:pPr>
        <w:pStyle w:val="a3"/>
        <w:numPr>
          <w:ilvl w:val="0"/>
          <w:numId w:val="15"/>
        </w:numPr>
        <w:spacing w:line="360" w:lineRule="auto"/>
        <w:jc w:val="both"/>
        <w:rPr>
          <w:lang w:val="en-US"/>
        </w:rPr>
      </w:pPr>
      <w:r w:rsidRPr="007C02AF">
        <w:rPr>
          <w:lang w:val="en-US"/>
        </w:rPr>
        <w:t xml:space="preserve">Kirabaeva Kirabaeva. </w:t>
      </w:r>
      <w:r w:rsidRPr="007C02AF">
        <w:rPr>
          <w:i/>
          <w:iCs/>
          <w:lang w:val="en-US"/>
        </w:rPr>
        <w:t>Adverse Selection and Financial Crises</w:t>
      </w:r>
      <w:r w:rsidRPr="007C02AF">
        <w:rPr>
          <w:lang w:val="en-US"/>
        </w:rPr>
        <w:t xml:space="preserve">. Working paper. Bank of Ca Nada Review, 2010. </w:t>
      </w:r>
    </w:p>
    <w:p w:rsidR="00DC1AD5" w:rsidRPr="007C02AF" w:rsidRDefault="00DC1AD5" w:rsidP="00CD5F5C">
      <w:pPr>
        <w:pStyle w:val="a3"/>
        <w:numPr>
          <w:ilvl w:val="0"/>
          <w:numId w:val="15"/>
        </w:numPr>
        <w:spacing w:line="360" w:lineRule="auto"/>
        <w:jc w:val="both"/>
        <w:rPr>
          <w:lang w:val="en-US"/>
        </w:rPr>
      </w:pPr>
      <w:r w:rsidRPr="007C02AF">
        <w:rPr>
          <w:lang w:val="en-US"/>
        </w:rPr>
        <w:t xml:space="preserve">Knight, Frank H. </w:t>
      </w:r>
      <w:r w:rsidRPr="007C02AF">
        <w:rPr>
          <w:i/>
          <w:iCs/>
          <w:lang w:val="en-US"/>
        </w:rPr>
        <w:t>Risk, Uncertainty and Profit</w:t>
      </w:r>
      <w:r w:rsidRPr="007C02AF">
        <w:rPr>
          <w:lang w:val="en-US"/>
        </w:rPr>
        <w:t xml:space="preserve">. Boston: Houghton Mifflin Company, 1921. </w:t>
      </w:r>
    </w:p>
    <w:p w:rsidR="00BB6C93" w:rsidRDefault="00BB6C93" w:rsidP="00CD5F5C">
      <w:pPr>
        <w:pStyle w:val="a3"/>
        <w:numPr>
          <w:ilvl w:val="0"/>
          <w:numId w:val="15"/>
        </w:numPr>
        <w:spacing w:line="360" w:lineRule="auto"/>
        <w:jc w:val="both"/>
      </w:pPr>
      <w:r w:rsidRPr="007C02AF">
        <w:rPr>
          <w:lang w:val="en-US"/>
        </w:rPr>
        <w:t xml:space="preserve">Kothari, S. P., Xu Li, and James E. Short. "The Effect of Disclosures by Management, Analysts, and Business Press on Cost of Capital, Return Volatility, and Analyst Forecasts: A Study Using Content Analysis." </w:t>
      </w:r>
      <w:r w:rsidRPr="007C02AF">
        <w:rPr>
          <w:i/>
          <w:iCs/>
        </w:rPr>
        <w:t>The Accounting Review</w:t>
      </w:r>
      <w:r w:rsidRPr="007C02AF">
        <w:t xml:space="preserve"> 84, no. 5 (2009): 1639-670. </w:t>
      </w:r>
    </w:p>
    <w:p w:rsidR="00BF1EC8" w:rsidRPr="007C02AF" w:rsidRDefault="00BF1EC8" w:rsidP="00CD5F5C">
      <w:pPr>
        <w:pStyle w:val="a3"/>
        <w:numPr>
          <w:ilvl w:val="0"/>
          <w:numId w:val="15"/>
        </w:numPr>
        <w:spacing w:line="360" w:lineRule="auto"/>
        <w:jc w:val="both"/>
      </w:pPr>
      <w:r w:rsidRPr="00BF1EC8">
        <w:rPr>
          <w:lang w:val="en-US"/>
        </w:rPr>
        <w:t xml:space="preserve">Kraus, Susan. </w:t>
      </w:r>
      <w:r w:rsidRPr="00BF1EC8">
        <w:rPr>
          <w:i/>
          <w:iCs/>
          <w:lang w:val="en-US"/>
        </w:rPr>
        <w:t>Enhancing Bank Transparency: Public Disclosure and Supervisory Information That Promote Safety and Soundness in Banking Systems</w:t>
      </w:r>
      <w:r w:rsidRPr="00BF1EC8">
        <w:rPr>
          <w:lang w:val="en-US"/>
        </w:rPr>
        <w:t xml:space="preserve">. </w:t>
      </w:r>
      <w:r w:rsidRPr="00BF1EC8">
        <w:t xml:space="preserve">Basle: Basle Committee on Banking Supervision, 1998. </w:t>
      </w:r>
    </w:p>
    <w:p w:rsidR="00BB6C93" w:rsidRPr="007C02AF" w:rsidRDefault="00BB6C93" w:rsidP="00CD5F5C">
      <w:pPr>
        <w:pStyle w:val="a3"/>
        <w:numPr>
          <w:ilvl w:val="0"/>
          <w:numId w:val="15"/>
        </w:numPr>
        <w:spacing w:line="360" w:lineRule="auto"/>
        <w:jc w:val="both"/>
      </w:pPr>
      <w:r w:rsidRPr="007C02AF">
        <w:rPr>
          <w:lang w:val="en-US"/>
        </w:rPr>
        <w:t xml:space="preserve">Lambert, Richard, Christian Leuz, and Robert E. Verrecchia. "Accounting Information, Disclosure, and the Cost of Capital." </w:t>
      </w:r>
      <w:r w:rsidRPr="007C02AF">
        <w:rPr>
          <w:i/>
          <w:iCs/>
        </w:rPr>
        <w:t>J Accounting Res Journal of Accounting Research</w:t>
      </w:r>
      <w:r w:rsidRPr="007C02AF">
        <w:t xml:space="preserve"> 45, no. 2 (2007): 385-420. </w:t>
      </w:r>
    </w:p>
    <w:p w:rsidR="00E641EB" w:rsidRPr="007C02AF" w:rsidRDefault="00E641EB" w:rsidP="00CD5F5C">
      <w:pPr>
        <w:pStyle w:val="a3"/>
        <w:numPr>
          <w:ilvl w:val="0"/>
          <w:numId w:val="15"/>
        </w:numPr>
        <w:spacing w:line="360" w:lineRule="auto"/>
        <w:jc w:val="both"/>
      </w:pPr>
      <w:r w:rsidRPr="007C02AF">
        <w:rPr>
          <w:lang w:val="en-US"/>
        </w:rPr>
        <w:t xml:space="preserve">Lang, Mark, and Russell Lundholm. "Cross-Sectional Determinants of Analyst Ratings of Corporate Disclosures." </w:t>
      </w:r>
      <w:r w:rsidRPr="007C02AF">
        <w:rPr>
          <w:i/>
          <w:iCs/>
        </w:rPr>
        <w:t>Journal of Accounting Research</w:t>
      </w:r>
      <w:r w:rsidRPr="007C02AF">
        <w:t xml:space="preserve"> 31, no. 2 (1993): 246. </w:t>
      </w:r>
    </w:p>
    <w:p w:rsidR="005D34A6" w:rsidRPr="007C02AF" w:rsidRDefault="005D34A6" w:rsidP="00CD5F5C">
      <w:pPr>
        <w:pStyle w:val="a3"/>
        <w:numPr>
          <w:ilvl w:val="0"/>
          <w:numId w:val="15"/>
        </w:numPr>
        <w:spacing w:line="360" w:lineRule="auto"/>
        <w:jc w:val="both"/>
      </w:pPr>
      <w:r w:rsidRPr="007C02AF">
        <w:rPr>
          <w:lang w:val="en-US"/>
        </w:rPr>
        <w:t xml:space="preserve">Leuz, Christian, and Robert E. Verrecchia. "The Economic Consequences of Increased Disclosure." </w:t>
      </w:r>
      <w:r w:rsidRPr="007C02AF">
        <w:rPr>
          <w:i/>
          <w:iCs/>
        </w:rPr>
        <w:t>SSRN Electronic Journal SSRN Journal</w:t>
      </w:r>
      <w:r w:rsidRPr="007C02AF">
        <w:t xml:space="preserve">. </w:t>
      </w:r>
    </w:p>
    <w:p w:rsidR="004B0BD3" w:rsidRPr="007C02AF" w:rsidRDefault="004B0BD3" w:rsidP="00CD5F5C">
      <w:pPr>
        <w:pStyle w:val="a3"/>
        <w:numPr>
          <w:ilvl w:val="0"/>
          <w:numId w:val="15"/>
        </w:numPr>
        <w:spacing w:line="360" w:lineRule="auto"/>
        <w:jc w:val="both"/>
        <w:rPr>
          <w:lang w:val="en-US"/>
        </w:rPr>
      </w:pPr>
      <w:r w:rsidRPr="007C02AF">
        <w:rPr>
          <w:lang w:val="en-US"/>
        </w:rPr>
        <w:t xml:space="preserve">Markowitz, Harry. "Portfolio Selection." </w:t>
      </w:r>
      <w:r w:rsidRPr="007C02AF">
        <w:rPr>
          <w:i/>
          <w:iCs/>
          <w:lang w:val="en-US"/>
        </w:rPr>
        <w:t>The Journal of Finance</w:t>
      </w:r>
      <w:r w:rsidRPr="007C02AF">
        <w:rPr>
          <w:lang w:val="en-US"/>
        </w:rPr>
        <w:t xml:space="preserve"> 7, no. 1 (1952): 77. </w:t>
      </w:r>
    </w:p>
    <w:p w:rsidR="00E641EB" w:rsidRPr="007C02AF" w:rsidRDefault="00E641EB" w:rsidP="00CD5F5C">
      <w:pPr>
        <w:pStyle w:val="a3"/>
        <w:numPr>
          <w:ilvl w:val="0"/>
          <w:numId w:val="15"/>
        </w:numPr>
        <w:spacing w:line="360" w:lineRule="auto"/>
        <w:jc w:val="both"/>
      </w:pPr>
      <w:r w:rsidRPr="007C02AF">
        <w:rPr>
          <w:lang w:val="en-US"/>
        </w:rPr>
        <w:t xml:space="preserve">Rajgopal, Shiva, and Mohan Venkatachalam. "Financial Reporting Quality and Idiosyncratic Return Volatility." </w:t>
      </w:r>
      <w:r w:rsidRPr="007C02AF">
        <w:rPr>
          <w:i/>
          <w:iCs/>
        </w:rPr>
        <w:t>Journal of Accounting and Economics</w:t>
      </w:r>
      <w:r w:rsidRPr="007C02AF">
        <w:t xml:space="preserve"> 51, no. 1-2 (2011): 1-20. </w:t>
      </w:r>
    </w:p>
    <w:p w:rsidR="00263AE9" w:rsidRPr="007C02AF" w:rsidRDefault="00263AE9" w:rsidP="00CD5F5C">
      <w:pPr>
        <w:pStyle w:val="a3"/>
        <w:numPr>
          <w:ilvl w:val="0"/>
          <w:numId w:val="15"/>
        </w:numPr>
        <w:spacing w:line="360" w:lineRule="auto"/>
        <w:jc w:val="both"/>
        <w:rPr>
          <w:lang w:val="en-US"/>
        </w:rPr>
      </w:pPr>
      <w:r w:rsidRPr="007C02AF">
        <w:rPr>
          <w:i/>
          <w:iCs/>
          <w:lang w:val="en-US"/>
        </w:rPr>
        <w:t>Report on Consolidation in the Financial Sector</w:t>
      </w:r>
      <w:r w:rsidRPr="007C02AF">
        <w:rPr>
          <w:lang w:val="en-US"/>
        </w:rPr>
        <w:t xml:space="preserve">. Place of Publication Not Identified: Publisher Not Identified, 2001. </w:t>
      </w:r>
    </w:p>
    <w:p w:rsidR="007C02AF" w:rsidRPr="007C02AF" w:rsidRDefault="007C02AF" w:rsidP="00CD5F5C">
      <w:pPr>
        <w:pStyle w:val="a3"/>
        <w:numPr>
          <w:ilvl w:val="0"/>
          <w:numId w:val="15"/>
        </w:numPr>
        <w:spacing w:line="360" w:lineRule="auto"/>
        <w:jc w:val="both"/>
        <w:rPr>
          <w:lang w:val="en-US"/>
        </w:rPr>
      </w:pPr>
      <w:r w:rsidRPr="007C02AF">
        <w:rPr>
          <w:i/>
          <w:iCs/>
          <w:lang w:val="en-US"/>
        </w:rPr>
        <w:t>Revised Pillar 3 Disclosure Requirements Standards</w:t>
      </w:r>
      <w:r w:rsidRPr="007C02AF">
        <w:rPr>
          <w:lang w:val="en-US"/>
        </w:rPr>
        <w:t xml:space="preserve">. Basel: Bank for Internat. Settlements, 2015. </w:t>
      </w:r>
    </w:p>
    <w:p w:rsidR="004B0BD3" w:rsidRPr="007C02AF" w:rsidRDefault="00E641EB" w:rsidP="00CD5F5C">
      <w:pPr>
        <w:pStyle w:val="a3"/>
        <w:numPr>
          <w:ilvl w:val="0"/>
          <w:numId w:val="15"/>
        </w:numPr>
        <w:spacing w:line="360" w:lineRule="auto"/>
        <w:jc w:val="both"/>
        <w:rPr>
          <w:lang w:val="en-US"/>
        </w:rPr>
      </w:pPr>
      <w:r w:rsidRPr="007C02AF">
        <w:rPr>
          <w:lang w:val="en-US"/>
        </w:rPr>
        <w:t xml:space="preserve">Rogers, Jonathan L., Douglas J. Skinner, and Andrew Van Buskirk. "Earnings Guidance and Market Uncertainty." </w:t>
      </w:r>
      <w:r w:rsidRPr="007C02AF">
        <w:rPr>
          <w:i/>
          <w:iCs/>
          <w:lang w:val="en-US"/>
        </w:rPr>
        <w:t>Journal of Accounting and Economics</w:t>
      </w:r>
      <w:r w:rsidRPr="007C02AF">
        <w:rPr>
          <w:lang w:val="en-US"/>
        </w:rPr>
        <w:t xml:space="preserve"> 48, no. 1 (2009): 90-109. </w:t>
      </w:r>
    </w:p>
    <w:p w:rsidR="005D34A6" w:rsidRPr="007C02AF" w:rsidRDefault="005D34A6" w:rsidP="00CD5F5C">
      <w:pPr>
        <w:pStyle w:val="a3"/>
        <w:numPr>
          <w:ilvl w:val="0"/>
          <w:numId w:val="15"/>
        </w:numPr>
        <w:spacing w:line="360" w:lineRule="auto"/>
        <w:jc w:val="both"/>
        <w:rPr>
          <w:lang w:val="en-US"/>
        </w:rPr>
      </w:pPr>
      <w:r w:rsidRPr="007C02AF">
        <w:rPr>
          <w:lang w:val="en-US"/>
        </w:rPr>
        <w:lastRenderedPageBreak/>
        <w:t xml:space="preserve">Ross, Stephen A. "Information and Volatility: The No-Arbitrage Martingale Approach to Timing and Resolution Irrelevancy." </w:t>
      </w:r>
      <w:r w:rsidRPr="007C02AF">
        <w:rPr>
          <w:i/>
          <w:iCs/>
          <w:lang w:val="en-US"/>
        </w:rPr>
        <w:t>The Journal of Finance</w:t>
      </w:r>
      <w:r w:rsidRPr="007C02AF">
        <w:rPr>
          <w:lang w:val="en-US"/>
        </w:rPr>
        <w:t xml:space="preserve"> 44, no. 1 (1989): 1-17. </w:t>
      </w:r>
    </w:p>
    <w:p w:rsidR="00E641EB" w:rsidRPr="007C02AF" w:rsidRDefault="00E641EB" w:rsidP="00CD5F5C">
      <w:pPr>
        <w:pStyle w:val="a3"/>
        <w:numPr>
          <w:ilvl w:val="0"/>
          <w:numId w:val="15"/>
        </w:numPr>
        <w:spacing w:line="360" w:lineRule="auto"/>
        <w:jc w:val="both"/>
      </w:pPr>
      <w:r w:rsidRPr="007C02AF">
        <w:rPr>
          <w:lang w:val="en-US"/>
        </w:rPr>
        <w:t xml:space="preserve">Roy, A. D. "Safety First and the Holding of Assets." </w:t>
      </w:r>
      <w:r w:rsidRPr="007C02AF">
        <w:rPr>
          <w:i/>
          <w:iCs/>
        </w:rPr>
        <w:t>Econometrica</w:t>
      </w:r>
      <w:r w:rsidRPr="007C02AF">
        <w:t xml:space="preserve"> 20, no. 3 (1952): 431. </w:t>
      </w:r>
    </w:p>
    <w:p w:rsidR="00C45611" w:rsidRPr="007C02AF" w:rsidRDefault="00C45611" w:rsidP="00CD5F5C">
      <w:pPr>
        <w:pStyle w:val="a3"/>
        <w:numPr>
          <w:ilvl w:val="0"/>
          <w:numId w:val="15"/>
        </w:numPr>
        <w:spacing w:line="360" w:lineRule="auto"/>
        <w:jc w:val="both"/>
        <w:rPr>
          <w:lang w:val="en-US"/>
        </w:rPr>
      </w:pPr>
      <w:r w:rsidRPr="007C02AF">
        <w:rPr>
          <w:lang w:val="en-US"/>
        </w:rPr>
        <w:t xml:space="preserve">Sharpe, William F. </w:t>
      </w:r>
      <w:r w:rsidRPr="007C02AF">
        <w:rPr>
          <w:i/>
          <w:iCs/>
          <w:lang w:val="en-US"/>
        </w:rPr>
        <w:t>Investments</w:t>
      </w:r>
      <w:r w:rsidRPr="007C02AF">
        <w:rPr>
          <w:lang w:val="en-US"/>
        </w:rPr>
        <w:t xml:space="preserve">. Englewood Cliffs, NJ: Prentice-Hall, 1985. </w:t>
      </w:r>
    </w:p>
    <w:p w:rsidR="00E34255" w:rsidRPr="007C02AF" w:rsidRDefault="00E34255" w:rsidP="00CD5F5C">
      <w:pPr>
        <w:pStyle w:val="a3"/>
        <w:numPr>
          <w:ilvl w:val="0"/>
          <w:numId w:val="15"/>
        </w:numPr>
        <w:spacing w:line="360" w:lineRule="auto"/>
        <w:jc w:val="both"/>
      </w:pPr>
      <w:r w:rsidRPr="007C02AF">
        <w:rPr>
          <w:lang w:val="en-US"/>
        </w:rPr>
        <w:t xml:space="preserve">Sorescu, Alina B., and Jelena Spanjol. "Innovation's Effect on Firm Value and Risk: Insights from Consumer Packaged Goods." </w:t>
      </w:r>
      <w:r w:rsidRPr="007C02AF">
        <w:rPr>
          <w:i/>
          <w:iCs/>
        </w:rPr>
        <w:t>Journal of Marketing</w:t>
      </w:r>
      <w:r w:rsidRPr="007C02AF">
        <w:t xml:space="preserve"> 72, no. 2 (2008): 114-32. </w:t>
      </w:r>
    </w:p>
    <w:p w:rsidR="00BB6C93" w:rsidRPr="007C02AF" w:rsidRDefault="00E641EB" w:rsidP="00CD5F5C">
      <w:pPr>
        <w:pStyle w:val="a3"/>
        <w:numPr>
          <w:ilvl w:val="0"/>
          <w:numId w:val="15"/>
        </w:numPr>
        <w:spacing w:line="360" w:lineRule="auto"/>
        <w:jc w:val="both"/>
      </w:pPr>
      <w:r w:rsidRPr="007C02AF">
        <w:rPr>
          <w:lang w:val="en-US"/>
        </w:rPr>
        <w:t xml:space="preserve">Stuart, Alan, and Harry M. Markowitz. "Portfolio Selection: Efficient Diversification of Investments." </w:t>
      </w:r>
      <w:r w:rsidRPr="007C02AF">
        <w:rPr>
          <w:i/>
          <w:iCs/>
        </w:rPr>
        <w:t>Or</w:t>
      </w:r>
      <w:r w:rsidRPr="007C02AF">
        <w:t xml:space="preserve"> 10, no. 4 (1959): 253. </w:t>
      </w:r>
    </w:p>
    <w:p w:rsidR="000B1D09" w:rsidRPr="007C02AF" w:rsidRDefault="000B1D09" w:rsidP="00CD5F5C">
      <w:pPr>
        <w:pStyle w:val="a3"/>
        <w:numPr>
          <w:ilvl w:val="0"/>
          <w:numId w:val="15"/>
        </w:numPr>
        <w:spacing w:line="360" w:lineRule="auto"/>
        <w:jc w:val="both"/>
        <w:rPr>
          <w:lang w:val="en-US"/>
        </w:rPr>
      </w:pPr>
      <w:r w:rsidRPr="007C02AF">
        <w:rPr>
          <w:lang w:val="en-US"/>
        </w:rPr>
        <w:t xml:space="preserve">Verrecchia, Robert E. "Essays on Disclosure." </w:t>
      </w:r>
      <w:r w:rsidRPr="007C02AF">
        <w:rPr>
          <w:i/>
          <w:iCs/>
          <w:lang w:val="en-US"/>
        </w:rPr>
        <w:t>Journal of Accounting and Economics</w:t>
      </w:r>
      <w:r w:rsidRPr="007C02AF">
        <w:rPr>
          <w:lang w:val="en-US"/>
        </w:rPr>
        <w:t xml:space="preserve"> 32, no. 1-3 (2001): 97-180. </w:t>
      </w:r>
    </w:p>
    <w:p w:rsidR="000B1D09" w:rsidRPr="00E641EB" w:rsidRDefault="00E641EB" w:rsidP="00CD5F5C">
      <w:pPr>
        <w:pStyle w:val="a3"/>
        <w:numPr>
          <w:ilvl w:val="0"/>
          <w:numId w:val="15"/>
        </w:numPr>
        <w:spacing w:line="360" w:lineRule="auto"/>
        <w:jc w:val="both"/>
      </w:pPr>
      <w:r w:rsidRPr="007C02AF">
        <w:rPr>
          <w:lang w:val="en-US"/>
        </w:rPr>
        <w:t xml:space="preserve">Zer, Ilknur. "Disclosure Practices and Option Implied Probability of Default." </w:t>
      </w:r>
      <w:r w:rsidRPr="007C02AF">
        <w:rPr>
          <w:i/>
          <w:iCs/>
        </w:rPr>
        <w:t>SSRN Electronic Journal SSRN Journal</w:t>
      </w:r>
      <w:r w:rsidRPr="007C02AF">
        <w:t>.</w:t>
      </w:r>
      <w:r w:rsidRPr="00E641EB">
        <w:t xml:space="preserve"> </w:t>
      </w:r>
    </w:p>
    <w:p w:rsidR="003641A6" w:rsidRDefault="003641A6" w:rsidP="003641A6">
      <w:pPr>
        <w:rPr>
          <w:rFonts w:ascii="Times New Roman" w:hAnsi="Times New Roman" w:cs="Times New Roman"/>
          <w:sz w:val="24"/>
          <w:szCs w:val="24"/>
          <w:lang w:val="en-US"/>
        </w:rPr>
      </w:pPr>
    </w:p>
    <w:p w:rsidR="003641A6" w:rsidRPr="003641A6" w:rsidRDefault="003641A6" w:rsidP="003641A6">
      <w:pPr>
        <w:rPr>
          <w:rFonts w:ascii="Times New Roman" w:hAnsi="Times New Roman" w:cs="Times New Roman"/>
          <w:sz w:val="24"/>
          <w:szCs w:val="24"/>
          <w:lang w:val="en-US"/>
        </w:rPr>
        <w:sectPr w:rsidR="003641A6" w:rsidRPr="003641A6" w:rsidSect="00121068">
          <w:pgSz w:w="11906" w:h="16838" w:code="9"/>
          <w:pgMar w:top="1134" w:right="850" w:bottom="1134" w:left="1701" w:header="708" w:footer="708" w:gutter="0"/>
          <w:cols w:space="708"/>
          <w:titlePg/>
          <w:docGrid w:linePitch="360"/>
        </w:sectPr>
      </w:pPr>
    </w:p>
    <w:p w:rsidR="00C365B6" w:rsidRDefault="00C365B6" w:rsidP="00C365B6">
      <w:pPr>
        <w:pStyle w:val="1"/>
        <w:rPr>
          <w:lang w:val="en-US"/>
        </w:rPr>
      </w:pPr>
      <w:bookmarkStart w:id="23" w:name="_Toc451925561"/>
      <w:r>
        <w:rPr>
          <w:rStyle w:val="10"/>
          <w:b/>
          <w:lang w:val="en-US"/>
        </w:rPr>
        <w:lastRenderedPageBreak/>
        <w:t>Appendix</w:t>
      </w:r>
      <w:r w:rsidRPr="009F6AEA">
        <w:rPr>
          <w:lang w:val="en-US"/>
        </w:rPr>
        <w:t xml:space="preserve"> 1</w:t>
      </w:r>
      <w:bookmarkEnd w:id="23"/>
    </w:p>
    <w:p w:rsidR="00E57A09" w:rsidRPr="00E57A09" w:rsidRDefault="00E57A09" w:rsidP="00E57A09">
      <w:pPr>
        <w:rPr>
          <w:rFonts w:ascii="Times New Roman" w:hAnsi="Times New Roman" w:cs="Times New Roman"/>
          <w:sz w:val="24"/>
          <w:lang w:val="en-US"/>
        </w:rPr>
      </w:pPr>
      <w:r w:rsidRPr="00832793">
        <w:rPr>
          <w:rFonts w:ascii="Times New Roman" w:hAnsi="Times New Roman" w:cs="Times New Roman"/>
          <w:b/>
          <w:sz w:val="24"/>
          <w:lang w:val="en-US"/>
        </w:rPr>
        <w:t>Table 1</w:t>
      </w:r>
      <w:r w:rsidRPr="00E57A09">
        <w:rPr>
          <w:rFonts w:ascii="Times New Roman" w:hAnsi="Times New Roman" w:cs="Times New Roman"/>
          <w:sz w:val="24"/>
          <w:lang w:val="en-US"/>
        </w:rPr>
        <w:t xml:space="preserve"> </w:t>
      </w:r>
      <w:r>
        <w:rPr>
          <w:rFonts w:ascii="Times New Roman" w:hAnsi="Times New Roman" w:cs="Times New Roman"/>
          <w:sz w:val="24"/>
          <w:lang w:val="en-US"/>
        </w:rPr>
        <w:t>List of Bank holding companies</w:t>
      </w:r>
    </w:p>
    <w:tbl>
      <w:tblPr>
        <w:tblStyle w:val="ab"/>
        <w:tblW w:w="0" w:type="auto"/>
        <w:tblLook w:val="04A0" w:firstRow="1" w:lastRow="0" w:firstColumn="1" w:lastColumn="0" w:noHBand="0" w:noVBand="1"/>
      </w:tblPr>
      <w:tblGrid>
        <w:gridCol w:w="4106"/>
        <w:gridCol w:w="1701"/>
        <w:gridCol w:w="1201"/>
        <w:gridCol w:w="2337"/>
      </w:tblGrid>
      <w:tr w:rsidR="00C365B6" w:rsidRPr="009F6AEA" w:rsidTr="005A4E43">
        <w:tc>
          <w:tcPr>
            <w:tcW w:w="4106" w:type="dxa"/>
          </w:tcPr>
          <w:p w:rsidR="00C365B6" w:rsidRPr="005A4E43" w:rsidRDefault="00C365B6" w:rsidP="007B06AC">
            <w:pPr>
              <w:spacing w:line="360" w:lineRule="auto"/>
              <w:jc w:val="both"/>
              <w:rPr>
                <w:rFonts w:ascii="Times New Roman" w:hAnsi="Times New Roman"/>
                <w:b/>
                <w:lang w:val="en-US"/>
              </w:rPr>
            </w:pPr>
            <w:r w:rsidRPr="005A4E43">
              <w:rPr>
                <w:rFonts w:ascii="Times New Roman" w:hAnsi="Times New Roman"/>
                <w:b/>
                <w:lang w:val="en-US"/>
              </w:rPr>
              <w:t>Name</w:t>
            </w:r>
          </w:p>
        </w:tc>
        <w:tc>
          <w:tcPr>
            <w:tcW w:w="1701" w:type="dxa"/>
          </w:tcPr>
          <w:p w:rsidR="00C365B6" w:rsidRPr="005A4E43" w:rsidRDefault="00C365B6" w:rsidP="005A4E43">
            <w:pPr>
              <w:spacing w:line="360" w:lineRule="auto"/>
              <w:jc w:val="right"/>
              <w:rPr>
                <w:rFonts w:ascii="Times New Roman" w:hAnsi="Times New Roman" w:cs="Times New Roman"/>
                <w:b/>
                <w:lang w:val="en-US"/>
              </w:rPr>
            </w:pPr>
            <w:r w:rsidRPr="005A4E43">
              <w:rPr>
                <w:rFonts w:ascii="Times New Roman" w:hAnsi="Times New Roman" w:cs="Times New Roman"/>
                <w:b/>
                <w:lang w:val="en-US"/>
              </w:rPr>
              <w:t>2010 TA ($</w:t>
            </w:r>
            <w:r w:rsidR="006A3304" w:rsidRPr="005A4E43">
              <w:rPr>
                <w:rFonts w:ascii="Times New Roman" w:hAnsi="Times New Roman" w:cs="Times New Roman"/>
                <w:b/>
                <w:lang w:val="en-US"/>
              </w:rPr>
              <w:t xml:space="preserve"> </w:t>
            </w:r>
            <w:r w:rsidRPr="005A4E43">
              <w:rPr>
                <w:rFonts w:ascii="Times New Roman" w:hAnsi="Times New Roman" w:cs="Times New Roman"/>
                <w:b/>
                <w:lang w:val="en-US"/>
              </w:rPr>
              <w:t>bn)</w:t>
            </w:r>
          </w:p>
        </w:tc>
        <w:tc>
          <w:tcPr>
            <w:tcW w:w="1201" w:type="dxa"/>
          </w:tcPr>
          <w:p w:rsidR="00C365B6" w:rsidRPr="005A4E43" w:rsidRDefault="00C365B6" w:rsidP="005A4E43">
            <w:pPr>
              <w:spacing w:line="360" w:lineRule="auto"/>
              <w:jc w:val="right"/>
              <w:rPr>
                <w:rFonts w:ascii="Times New Roman" w:hAnsi="Times New Roman" w:cs="Times New Roman"/>
                <w:b/>
                <w:lang w:val="en-US"/>
              </w:rPr>
            </w:pPr>
            <w:r w:rsidRPr="005A4E43">
              <w:rPr>
                <w:rFonts w:ascii="Times New Roman" w:hAnsi="Times New Roman" w:cs="Times New Roman"/>
                <w:b/>
                <w:lang w:val="en-US"/>
              </w:rPr>
              <w:t>State</w:t>
            </w:r>
          </w:p>
        </w:tc>
        <w:tc>
          <w:tcPr>
            <w:tcW w:w="2337" w:type="dxa"/>
          </w:tcPr>
          <w:p w:rsidR="00C365B6" w:rsidRPr="005A4E43" w:rsidRDefault="00C365B6" w:rsidP="005A4E43">
            <w:pPr>
              <w:spacing w:line="360" w:lineRule="auto"/>
              <w:jc w:val="right"/>
              <w:rPr>
                <w:rFonts w:ascii="Times New Roman" w:hAnsi="Times New Roman" w:cs="Times New Roman"/>
                <w:b/>
                <w:lang w:val="en-US"/>
              </w:rPr>
            </w:pPr>
            <w:r w:rsidRPr="005A4E43">
              <w:rPr>
                <w:rFonts w:ascii="Times New Roman" w:hAnsi="Times New Roman" w:cs="Times New Roman"/>
                <w:b/>
                <w:lang w:val="en-US"/>
              </w:rPr>
              <w:t>Sample</w:t>
            </w:r>
          </w:p>
        </w:tc>
      </w:tr>
      <w:tr w:rsidR="00C365B6" w:rsidRPr="009F6AEA" w:rsidTr="005A4E43">
        <w:tc>
          <w:tcPr>
            <w:tcW w:w="4106" w:type="dxa"/>
          </w:tcPr>
          <w:p w:rsidR="00C365B6" w:rsidRPr="009F6AEA" w:rsidRDefault="00C365B6" w:rsidP="007B06AC">
            <w:pPr>
              <w:jc w:val="both"/>
              <w:rPr>
                <w:rFonts w:ascii="Times New Roman" w:hAnsi="Times New Roman"/>
                <w:lang w:val="en-US"/>
              </w:rPr>
            </w:pPr>
            <w:r w:rsidRPr="009F6AEA">
              <w:rPr>
                <w:rFonts w:ascii="Times New Roman" w:hAnsi="Times New Roman"/>
                <w:lang w:val="en-US"/>
              </w:rPr>
              <w:t>ASSOCIATED BANC CORP</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21.80</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WI</w:t>
            </w:r>
          </w:p>
        </w:tc>
        <w:tc>
          <w:tcPr>
            <w:tcW w:w="2337" w:type="dxa"/>
          </w:tcPr>
          <w:p w:rsidR="00C365B6" w:rsidRPr="009F6AEA" w:rsidRDefault="00C365B6" w:rsidP="005A4E43">
            <w:pPr>
              <w:jc w:val="right"/>
              <w:rPr>
                <w:rFonts w:ascii="Times New Roman" w:hAnsi="Times New Roman" w:cs="Times New Roman"/>
                <w:lang w:val="en-US"/>
              </w:rPr>
            </w:pPr>
            <w:r w:rsidRPr="009F6AEA">
              <w:rPr>
                <w:rFonts w:ascii="Times New Roman" w:hAnsi="Times New Roman" w:cs="Times New Roman"/>
                <w:lang w:val="en-US"/>
              </w:rPr>
              <w:t>2010-2013</w:t>
            </w:r>
          </w:p>
        </w:tc>
      </w:tr>
      <w:tr w:rsidR="00C365B6" w:rsidRPr="00EC3A33" w:rsidTr="005A4E43">
        <w:tc>
          <w:tcPr>
            <w:tcW w:w="4106" w:type="dxa"/>
          </w:tcPr>
          <w:p w:rsidR="00C365B6" w:rsidRPr="009F6AEA" w:rsidRDefault="00C365B6" w:rsidP="007B06AC">
            <w:pPr>
              <w:jc w:val="both"/>
              <w:rPr>
                <w:rFonts w:ascii="Times New Roman" w:hAnsi="Times New Roman"/>
                <w:lang w:val="en-US"/>
              </w:rPr>
            </w:pPr>
            <w:r w:rsidRPr="009F6AEA">
              <w:rPr>
                <w:rFonts w:ascii="Times New Roman" w:hAnsi="Times New Roman"/>
                <w:lang w:val="en-US"/>
              </w:rPr>
              <w:t>BANCORPSOUTH</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13.62</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MS</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BANK OF AMER CORP</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2264.91</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NC</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BANK OF HI CORP</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13.13</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HI</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61658B" w:rsidRDefault="00C365B6" w:rsidP="007B06AC">
            <w:pPr>
              <w:jc w:val="both"/>
              <w:rPr>
                <w:rFonts w:ascii="Times New Roman" w:hAnsi="Times New Roman"/>
                <w:lang w:val="en-US"/>
              </w:rPr>
            </w:pPr>
            <w:r w:rsidRPr="0061658B">
              <w:rPr>
                <w:rFonts w:ascii="Times New Roman" w:hAnsi="Times New Roman"/>
                <w:lang w:val="en-US"/>
              </w:rPr>
              <w:t>BANK OF NY MELLON CORP</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247.26</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NY</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BB&amp;T CORP</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156.23</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NC</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BOK FC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23.94</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OK</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BOSTON PRIVATE FNCL HOLD</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6.16</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MA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CAPITAL ONE FC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197.50</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VA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CATHAY GEN BC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10.67</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CENTRAL PACIFIC FC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3.94</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HI</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CITIGROUP</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1913.90</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NY</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CITIZENS REPUBLIC BC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9.97</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MI</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CITY NAT CORP</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21.25</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COMERICA</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53.67</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TX</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COMMERCE BSHRS</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18.50</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MO</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CULLEN/FROST BKR</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17.62</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TX</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EC3A33" w:rsidRDefault="00C365B6" w:rsidP="007B06AC">
            <w:pPr>
              <w:jc w:val="both"/>
              <w:rPr>
                <w:rFonts w:ascii="Times New Roman" w:hAnsi="Times New Roman"/>
              </w:rPr>
            </w:pPr>
            <w:r w:rsidRPr="00187154">
              <w:rPr>
                <w:rFonts w:ascii="Times New Roman" w:hAnsi="Times New Roman"/>
              </w:rPr>
              <w:t>CVB FC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6.38</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EAST W BC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20.70</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FIFTH THIRD BC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111.01</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OH</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FIRST BC</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15.59</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PR</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FIRST CITIZENS BSHRS</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20.81</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NC</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FIRST COMMONWEALTH FNCL</w:t>
            </w:r>
          </w:p>
        </w:tc>
        <w:tc>
          <w:tcPr>
            <w:tcW w:w="1701" w:type="dxa"/>
          </w:tcPr>
          <w:p w:rsidR="00C365B6" w:rsidRPr="005A4E43" w:rsidRDefault="00681522" w:rsidP="005A4E43">
            <w:pPr>
              <w:jc w:val="right"/>
              <w:rPr>
                <w:rFonts w:ascii="Times New Roman" w:hAnsi="Times New Roman" w:cs="Times New Roman"/>
                <w:lang w:val="en-US"/>
              </w:rPr>
            </w:pPr>
            <w:r w:rsidRPr="005A4E43">
              <w:rPr>
                <w:rFonts w:ascii="Times New Roman" w:hAnsi="Times New Roman" w:cs="Times New Roman"/>
                <w:lang w:val="en-US"/>
              </w:rPr>
              <w:t>5.81</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PA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FIRST HORIZON NAT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24.70</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TN</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FIRST MIDWEST BC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8.03</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IL</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FIRSTMERIT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14.14</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OH</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FNB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8.96</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PA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FRANKLIN RESOURCES</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10.71</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FULTON FNCL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16.17</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PA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HANCOCK HC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8.13</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MS</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HUNTINGTON BSHRS</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53.82</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OH</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INTERNATIONAL BSHRS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11.94</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TX</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JPMORGAN CHASE &amp; CO</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2117.61</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NY</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KEYCORP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91.41</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OH</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M&amp;T BK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68.02</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NY</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EC3A33"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MB FNCL</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10.32</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IL</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NATIONAL PENN BSHRS</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8.76</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PA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NEW YORK CMNTY BC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41.10</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NY</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NORTHERN TR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83.84</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IL</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OLD NAT BC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7.17</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IN</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PACIFIC CAP BC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6.09</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2010-2012</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PARK NAT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7.30</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OH</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PNC FNCL SVC GROUP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264.28</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PA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POPULAR</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38.33</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PR</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PROSPERITY BSHRS</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9.48</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TX</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PROVIDENT BSHRS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6.79</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MD</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REGIONS FC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132.35</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AL</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STATE STREET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158.72</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MA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lastRenderedPageBreak/>
              <w:t>STERLING FC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9.49</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WA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SUNTRUST BK</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172.84</w:t>
            </w:r>
          </w:p>
        </w:tc>
        <w:tc>
          <w:tcPr>
            <w:tcW w:w="1201" w:type="dxa"/>
          </w:tcPr>
          <w:p w:rsidR="00C365B6" w:rsidRPr="005A4E43" w:rsidRDefault="001D44C6" w:rsidP="005A4E43">
            <w:pPr>
              <w:jc w:val="right"/>
              <w:rPr>
                <w:rFonts w:ascii="Times New Roman" w:hAnsi="Times New Roman" w:cs="Times New Roman"/>
                <w:lang w:val="en-US"/>
              </w:rPr>
            </w:pPr>
            <w:r w:rsidRPr="005A4E43">
              <w:rPr>
                <w:rFonts w:ascii="Times New Roman" w:hAnsi="Times New Roman" w:cs="Times New Roman"/>
                <w:lang w:val="en-US"/>
              </w:rPr>
              <w:t>GA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SUSQUEHANNA BSHRS</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13.95</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PA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SVB FNCL GRP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17.49</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SYNOVUS FC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30.09</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GA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TCF FC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18.47</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MN</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TRUSTMARK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9.52</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MS</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U S BC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307.79</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MN</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UMB FC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12.40</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MO</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UMPQUA HC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11.66</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OR</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UNITED BSHRS</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7.11</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WV</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UNITED CMNTY BK</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7.28</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GA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VALLEY NAT BC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14.14</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NJ</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WEBSTER FNCL CORP</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17.93</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CT</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WELLS FARGO &amp; CO</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1258.13</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CA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WHITNEY HC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11.65</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LA</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2010-2011</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WINTRUST FC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13.98</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IL</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r w:rsidR="00C365B6" w:rsidRPr="00187154" w:rsidTr="005A4E43">
        <w:tc>
          <w:tcPr>
            <w:tcW w:w="4106" w:type="dxa"/>
          </w:tcPr>
          <w:p w:rsidR="00C365B6" w:rsidRPr="00187154" w:rsidRDefault="00C365B6" w:rsidP="007B06AC">
            <w:pPr>
              <w:jc w:val="both"/>
              <w:rPr>
                <w:rFonts w:ascii="Times New Roman" w:hAnsi="Times New Roman"/>
              </w:rPr>
            </w:pPr>
            <w:r w:rsidRPr="00187154">
              <w:rPr>
                <w:rFonts w:ascii="Times New Roman" w:hAnsi="Times New Roman"/>
              </w:rPr>
              <w:t>ZIONS BC</w:t>
            </w:r>
          </w:p>
        </w:tc>
        <w:tc>
          <w:tcPr>
            <w:tcW w:w="1701" w:type="dxa"/>
          </w:tcPr>
          <w:p w:rsidR="00C365B6" w:rsidRPr="005A4E43" w:rsidRDefault="006A3304" w:rsidP="005A4E43">
            <w:pPr>
              <w:jc w:val="right"/>
              <w:rPr>
                <w:rFonts w:ascii="Times New Roman" w:hAnsi="Times New Roman" w:cs="Times New Roman"/>
                <w:lang w:val="en-US"/>
              </w:rPr>
            </w:pPr>
            <w:r w:rsidRPr="005A4E43">
              <w:rPr>
                <w:rFonts w:ascii="Times New Roman" w:hAnsi="Times New Roman" w:cs="Times New Roman"/>
                <w:lang w:val="en-US"/>
              </w:rPr>
              <w:t>50.49</w:t>
            </w:r>
          </w:p>
        </w:tc>
        <w:tc>
          <w:tcPr>
            <w:tcW w:w="1201" w:type="dxa"/>
          </w:tcPr>
          <w:p w:rsidR="00C365B6" w:rsidRPr="005A4E43" w:rsidRDefault="009E52BD" w:rsidP="005A4E43">
            <w:pPr>
              <w:jc w:val="right"/>
              <w:rPr>
                <w:rFonts w:ascii="Times New Roman" w:hAnsi="Times New Roman" w:cs="Times New Roman"/>
                <w:lang w:val="en-US"/>
              </w:rPr>
            </w:pPr>
            <w:r w:rsidRPr="005A4E43">
              <w:rPr>
                <w:rFonts w:ascii="Times New Roman" w:hAnsi="Times New Roman" w:cs="Times New Roman"/>
                <w:lang w:val="en-US"/>
              </w:rPr>
              <w:t>UT</w:t>
            </w:r>
          </w:p>
        </w:tc>
        <w:tc>
          <w:tcPr>
            <w:tcW w:w="2337" w:type="dxa"/>
          </w:tcPr>
          <w:p w:rsidR="00C365B6" w:rsidRPr="005A4E43" w:rsidRDefault="00C365B6" w:rsidP="005A4E43">
            <w:pPr>
              <w:jc w:val="right"/>
              <w:rPr>
                <w:rFonts w:ascii="Times New Roman" w:hAnsi="Times New Roman" w:cs="Times New Roman"/>
              </w:rPr>
            </w:pPr>
            <w:r w:rsidRPr="005A4E43">
              <w:rPr>
                <w:rFonts w:ascii="Times New Roman" w:hAnsi="Times New Roman" w:cs="Times New Roman"/>
              </w:rPr>
              <w:t>2010-2013</w:t>
            </w:r>
          </w:p>
        </w:tc>
      </w:tr>
    </w:tbl>
    <w:p w:rsidR="00C365B6" w:rsidRDefault="00C365B6" w:rsidP="008E5586">
      <w:pPr>
        <w:spacing w:line="360" w:lineRule="auto"/>
        <w:ind w:firstLine="709"/>
        <w:jc w:val="both"/>
        <w:rPr>
          <w:rFonts w:ascii="Times New Roman" w:hAnsi="Times New Roman" w:cs="Times New Roman"/>
          <w:sz w:val="24"/>
          <w:szCs w:val="24"/>
          <w:lang w:val="en-US"/>
        </w:rPr>
        <w:sectPr w:rsidR="00C365B6" w:rsidSect="00121068">
          <w:pgSz w:w="11906" w:h="16838" w:code="9"/>
          <w:pgMar w:top="1134" w:right="850" w:bottom="1134" w:left="1701" w:header="708" w:footer="708" w:gutter="0"/>
          <w:cols w:space="708"/>
          <w:titlePg/>
          <w:docGrid w:linePitch="360"/>
        </w:sectPr>
      </w:pPr>
    </w:p>
    <w:p w:rsidR="008E5586" w:rsidRDefault="00C365B6" w:rsidP="00C365B6">
      <w:pPr>
        <w:pStyle w:val="1"/>
        <w:rPr>
          <w:lang w:val="en-US"/>
        </w:rPr>
      </w:pPr>
      <w:bookmarkStart w:id="24" w:name="_Toc451925562"/>
      <w:r>
        <w:rPr>
          <w:lang w:val="en-US"/>
        </w:rPr>
        <w:lastRenderedPageBreak/>
        <w:t>Appendix 2</w:t>
      </w:r>
      <w:bookmarkEnd w:id="24"/>
    </w:p>
    <w:p w:rsidR="00832793" w:rsidRPr="00832793" w:rsidRDefault="00832793" w:rsidP="00832793">
      <w:pPr>
        <w:rPr>
          <w:rFonts w:ascii="Times New Roman" w:hAnsi="Times New Roman" w:cs="Times New Roman"/>
          <w:sz w:val="24"/>
          <w:lang w:val="en-US"/>
        </w:rPr>
      </w:pPr>
      <w:r w:rsidRPr="00832793">
        <w:rPr>
          <w:rFonts w:ascii="Times New Roman" w:hAnsi="Times New Roman" w:cs="Times New Roman"/>
          <w:b/>
          <w:sz w:val="24"/>
          <w:lang w:val="en-US"/>
        </w:rPr>
        <w:t>Table 2</w:t>
      </w:r>
      <w:r w:rsidRPr="00832793">
        <w:rPr>
          <w:rFonts w:ascii="Times New Roman" w:hAnsi="Times New Roman" w:cs="Times New Roman"/>
          <w:sz w:val="24"/>
          <w:lang w:val="en-US"/>
        </w:rPr>
        <w:t xml:space="preserve"> Variables description</w:t>
      </w:r>
    </w:p>
    <w:tbl>
      <w:tblPr>
        <w:tblStyle w:val="ab"/>
        <w:tblW w:w="0" w:type="auto"/>
        <w:tblLook w:val="04A0" w:firstRow="1" w:lastRow="0" w:firstColumn="1" w:lastColumn="0" w:noHBand="0" w:noVBand="1"/>
      </w:tblPr>
      <w:tblGrid>
        <w:gridCol w:w="1838"/>
        <w:gridCol w:w="2268"/>
        <w:gridCol w:w="5239"/>
      </w:tblGrid>
      <w:tr w:rsidR="00C365B6" w:rsidRPr="00A86C22" w:rsidTr="00F43A1C">
        <w:tc>
          <w:tcPr>
            <w:tcW w:w="1838" w:type="dxa"/>
          </w:tcPr>
          <w:p w:rsidR="00C365B6" w:rsidRPr="00A86C22" w:rsidRDefault="00C365B6" w:rsidP="007B06AC">
            <w:pPr>
              <w:spacing w:line="360" w:lineRule="auto"/>
              <w:rPr>
                <w:rFonts w:ascii="Times New Roman" w:hAnsi="Times New Roman" w:cs="Times New Roman"/>
                <w:b/>
                <w:sz w:val="24"/>
                <w:szCs w:val="24"/>
                <w:lang w:val="en-US"/>
              </w:rPr>
            </w:pPr>
            <w:r w:rsidRPr="00A86C22">
              <w:rPr>
                <w:rFonts w:ascii="Times New Roman" w:hAnsi="Times New Roman" w:cs="Times New Roman"/>
                <w:b/>
                <w:sz w:val="24"/>
                <w:szCs w:val="24"/>
                <w:lang w:val="en-US"/>
              </w:rPr>
              <w:t>Variable</w:t>
            </w:r>
          </w:p>
        </w:tc>
        <w:tc>
          <w:tcPr>
            <w:tcW w:w="2268" w:type="dxa"/>
          </w:tcPr>
          <w:p w:rsidR="00C365B6" w:rsidRPr="00A86C22" w:rsidRDefault="00C365B6" w:rsidP="007B06AC">
            <w:pPr>
              <w:spacing w:line="360" w:lineRule="auto"/>
              <w:rPr>
                <w:rFonts w:ascii="Times New Roman" w:hAnsi="Times New Roman" w:cs="Times New Roman"/>
                <w:b/>
                <w:sz w:val="24"/>
                <w:szCs w:val="24"/>
                <w:lang w:val="en-US"/>
              </w:rPr>
            </w:pPr>
            <w:r w:rsidRPr="00A86C22">
              <w:rPr>
                <w:rFonts w:ascii="Times New Roman" w:hAnsi="Times New Roman" w:cs="Times New Roman"/>
                <w:b/>
                <w:sz w:val="24"/>
                <w:szCs w:val="24"/>
                <w:lang w:val="en-US"/>
              </w:rPr>
              <w:t>Title</w:t>
            </w:r>
          </w:p>
        </w:tc>
        <w:tc>
          <w:tcPr>
            <w:tcW w:w="5239" w:type="dxa"/>
          </w:tcPr>
          <w:p w:rsidR="00C365B6" w:rsidRPr="00A86C22" w:rsidRDefault="00C365B6" w:rsidP="007B06AC">
            <w:pPr>
              <w:spacing w:line="360" w:lineRule="auto"/>
              <w:rPr>
                <w:rFonts w:ascii="Times New Roman" w:hAnsi="Times New Roman" w:cs="Times New Roman"/>
                <w:b/>
                <w:sz w:val="24"/>
                <w:szCs w:val="24"/>
                <w:lang w:val="en-US"/>
              </w:rPr>
            </w:pPr>
            <w:r w:rsidRPr="00A86C22">
              <w:rPr>
                <w:rFonts w:ascii="Times New Roman" w:hAnsi="Times New Roman" w:cs="Times New Roman"/>
                <w:b/>
                <w:sz w:val="24"/>
                <w:szCs w:val="24"/>
                <w:lang w:val="en-US"/>
              </w:rPr>
              <w:t>Measurement approach</w:t>
            </w:r>
          </w:p>
        </w:tc>
      </w:tr>
      <w:tr w:rsidR="00C365B6" w:rsidRPr="00A86C22" w:rsidTr="007B06AC">
        <w:trPr>
          <w:trHeight w:val="420"/>
        </w:trPr>
        <w:tc>
          <w:tcPr>
            <w:tcW w:w="9345" w:type="dxa"/>
            <w:gridSpan w:val="3"/>
          </w:tcPr>
          <w:p w:rsidR="00C365B6" w:rsidRPr="00A86C22" w:rsidRDefault="00C365B6" w:rsidP="007B06AC">
            <w:pPr>
              <w:spacing w:line="360" w:lineRule="auto"/>
              <w:rPr>
                <w:rFonts w:ascii="Times New Roman" w:hAnsi="Times New Roman" w:cs="Times New Roman"/>
                <w:b/>
                <w:sz w:val="24"/>
                <w:szCs w:val="24"/>
                <w:lang w:val="en-US"/>
              </w:rPr>
            </w:pPr>
            <w:r w:rsidRPr="00A86C22">
              <w:rPr>
                <w:rFonts w:ascii="Times New Roman" w:hAnsi="Times New Roman" w:cs="Times New Roman"/>
                <w:b/>
                <w:sz w:val="24"/>
                <w:szCs w:val="24"/>
                <w:lang w:val="en-US"/>
              </w:rPr>
              <w:t>Dependent variables</w:t>
            </w:r>
          </w:p>
        </w:tc>
      </w:tr>
      <w:tr w:rsidR="00C365B6" w:rsidRPr="00AF0B79" w:rsidTr="00F43A1C">
        <w:tc>
          <w:tcPr>
            <w:tcW w:w="1838" w:type="dxa"/>
          </w:tcPr>
          <w:p w:rsidR="00C365B6" w:rsidRPr="00A86C22" w:rsidRDefault="00C365B6" w:rsidP="007B06AC">
            <w:pPr>
              <w:spacing w:line="360" w:lineRule="auto"/>
              <w:rPr>
                <w:rFonts w:ascii="Cambria Math" w:hAnsi="Cambria Math" w:cs="Times New Roman"/>
                <w:i/>
                <w:sz w:val="24"/>
                <w:szCs w:val="24"/>
                <w:vertAlign w:val="subscript"/>
                <w:lang w:val="en-US"/>
              </w:rPr>
            </w:pPr>
            <w:r w:rsidRPr="00A86C22">
              <w:rPr>
                <w:rFonts w:ascii="Cambria Math" w:hAnsi="Cambria Math" w:cs="Times New Roman"/>
                <w:i/>
                <w:sz w:val="24"/>
                <w:szCs w:val="24"/>
                <w:lang w:val="en-US"/>
              </w:rPr>
              <w:t>yaggrisk</w:t>
            </w:r>
            <w:r w:rsidRPr="00A86C22">
              <w:rPr>
                <w:rFonts w:ascii="Cambria Math" w:hAnsi="Cambria Math" w:cs="Times New Roman"/>
                <w:i/>
                <w:sz w:val="24"/>
                <w:szCs w:val="24"/>
                <w:vertAlign w:val="subscript"/>
                <w:lang w:val="en-US"/>
              </w:rPr>
              <w:t>it+1</w:t>
            </w:r>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The aggregated risk</w:t>
            </w:r>
          </w:p>
        </w:tc>
        <w:tc>
          <w:tcPr>
            <w:tcW w:w="5239"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Standard deviation of weekly equity returns</w:t>
            </w:r>
          </w:p>
          <w:p w:rsidR="00A86C22" w:rsidRPr="00A86C22" w:rsidRDefault="00AE0B9C" w:rsidP="007B06AC">
            <w:pPr>
              <w:spacing w:line="360" w:lineRule="auto"/>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i,t</m:t>
                    </m:r>
                  </m:sub>
                </m:sSub>
                <m:r>
                  <w:rPr>
                    <w:rFonts w:ascii="Cambria Math" w:hAnsi="Cambria Math" w:cs="Times New Roman"/>
                    <w:sz w:val="24"/>
                    <w:szCs w:val="24"/>
                    <w:lang w:val="en-US"/>
                  </w:rPr>
                  <m:t>=</m:t>
                </m:r>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r>
                          <w:rPr>
                            <w:rFonts w:ascii="Cambria Math" w:hAnsi="Cambria Math" w:cs="Times New Roman"/>
                            <w:sz w:val="24"/>
                            <w:szCs w:val="24"/>
                            <w:lang w:val="en-US"/>
                          </w:rPr>
                          <m:t>-1</m:t>
                        </m:r>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w=1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sup>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i,w</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b>
                                    <m:r>
                                      <w:rPr>
                                        <w:rFonts w:ascii="Cambria Math" w:hAnsi="Cambria Math" w:cs="Times New Roman"/>
                                        <w:sz w:val="24"/>
                                        <w:szCs w:val="24"/>
                                        <w:lang w:val="en-US"/>
                                      </w:rPr>
                                      <m:t>i</m:t>
                                    </m:r>
                                  </m:sub>
                                </m:sSub>
                              </m:e>
                            </m:d>
                          </m:e>
                          <m:sup>
                            <m:r>
                              <w:rPr>
                                <w:rFonts w:ascii="Cambria Math" w:hAnsi="Cambria Math" w:cs="Times New Roman"/>
                                <w:sz w:val="24"/>
                                <w:szCs w:val="24"/>
                                <w:lang w:val="en-US"/>
                              </w:rPr>
                              <m:t>2</m:t>
                            </m:r>
                          </m:sup>
                        </m:sSup>
                      </m:e>
                    </m:nary>
                  </m:e>
                </m:rad>
              </m:oMath>
            </m:oMathPara>
          </w:p>
          <w:p w:rsidR="00C365B6" w:rsidRDefault="00A86C22" w:rsidP="00A86C22">
            <w:pPr>
              <w:spacing w:line="360" w:lineRule="auto"/>
              <w:rPr>
                <w:rFonts w:ascii="Times New Roman" w:hAnsi="Times New Roman" w:cs="Times New Roman"/>
                <w:sz w:val="24"/>
                <w:szCs w:val="24"/>
                <w:lang w:val="en-US"/>
              </w:rPr>
            </w:pPr>
            <w:r w:rsidRPr="00A86C22">
              <w:rPr>
                <w:rFonts w:ascii="Times New Roman" w:eastAsiaTheme="minorEastAsia"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oMath>
            <w:r w:rsidRPr="00A86C22">
              <w:rPr>
                <w:rFonts w:ascii="Times New Roman" w:hAnsi="Times New Roman" w:cs="Times New Roman"/>
                <w:sz w:val="24"/>
                <w:szCs w:val="24"/>
                <w:lang w:val="en-US"/>
              </w:rPr>
              <w:t xml:space="preserve"> is the number of weeks available in year </w:t>
            </w:r>
            <w:r w:rsidRPr="00A86C22">
              <w:rPr>
                <w:rFonts w:ascii="Times New Roman" w:hAnsi="Times New Roman" w:cs="Times New Roman"/>
                <w:i/>
                <w:sz w:val="24"/>
                <w:szCs w:val="24"/>
                <w:lang w:val="en-US"/>
              </w:rPr>
              <w:t>t</w:t>
            </w:r>
            <w:r w:rsidRPr="00A86C22">
              <w:rPr>
                <w:rFonts w:ascii="Times New Roman" w:hAnsi="Times New Roman" w:cs="Times New Roman"/>
                <w:sz w:val="24"/>
                <w:szCs w:val="24"/>
                <w:lang w:val="en-US"/>
              </w:rPr>
              <w:t xml:space="preserve"> for bank </w:t>
            </w:r>
            <w:r w:rsidRPr="00A86C22">
              <w:rPr>
                <w:rFonts w:ascii="Times New Roman" w:hAnsi="Times New Roman" w:cs="Times New Roman"/>
                <w:i/>
                <w:sz w:val="24"/>
                <w:szCs w:val="24"/>
                <w:lang w:val="en-US"/>
              </w:rPr>
              <w:t>i</w:t>
            </w:r>
            <w:r w:rsidRPr="00A86C22">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i,w</m:t>
                  </m:r>
                </m:sub>
              </m:sSub>
            </m:oMath>
            <w:r w:rsidRPr="00A86C22">
              <w:rPr>
                <w:rFonts w:ascii="Times New Roman" w:hAnsi="Times New Roman" w:cs="Times New Roman"/>
                <w:sz w:val="24"/>
                <w:szCs w:val="24"/>
                <w:lang w:val="en-US"/>
              </w:rPr>
              <w:t xml:space="preserve"> is the equity return of bank </w:t>
            </w:r>
            <w:r w:rsidRPr="00A86C22">
              <w:rPr>
                <w:rFonts w:ascii="Times New Roman" w:hAnsi="Times New Roman" w:cs="Times New Roman"/>
                <w:i/>
                <w:sz w:val="24"/>
                <w:szCs w:val="24"/>
                <w:lang w:val="en-US"/>
              </w:rPr>
              <w:t>i</w:t>
            </w:r>
            <w:r w:rsidRPr="00A86C22">
              <w:rPr>
                <w:rFonts w:ascii="Times New Roman" w:hAnsi="Times New Roman" w:cs="Times New Roman"/>
                <w:sz w:val="24"/>
                <w:szCs w:val="24"/>
                <w:lang w:val="en-US"/>
              </w:rPr>
              <w:t xml:space="preserve"> in week </w:t>
            </w:r>
            <w:r w:rsidRPr="00A86C22">
              <w:rPr>
                <w:rFonts w:ascii="Times New Roman" w:hAnsi="Times New Roman" w:cs="Times New Roman"/>
                <w:i/>
                <w:sz w:val="24"/>
                <w:szCs w:val="24"/>
                <w:lang w:val="en-US"/>
              </w:rPr>
              <w:t>w</w:t>
            </w:r>
            <w:r w:rsidRPr="00A86C22">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b>
                  <m:r>
                    <w:rPr>
                      <w:rFonts w:ascii="Cambria Math" w:hAnsi="Cambria Math" w:cs="Times New Roman"/>
                      <w:sz w:val="24"/>
                      <w:szCs w:val="24"/>
                      <w:lang w:val="en-US"/>
                    </w:rPr>
                    <m:t>i</m:t>
                  </m:r>
                </m:sub>
              </m:sSub>
            </m:oMath>
            <w:r w:rsidRPr="00A86C22">
              <w:rPr>
                <w:rFonts w:ascii="Times New Roman" w:eastAsiaTheme="minorEastAsia" w:hAnsi="Times New Roman" w:cs="Times New Roman"/>
                <w:sz w:val="24"/>
                <w:szCs w:val="24"/>
                <w:lang w:val="en-US"/>
              </w:rPr>
              <w:t xml:space="preserve"> is the expected equity return</w:t>
            </w:r>
            <w:r w:rsidRPr="00A86C22">
              <w:rPr>
                <w:rFonts w:ascii="Times New Roman" w:hAnsi="Times New Roman" w:cs="Times New Roman"/>
                <w:sz w:val="24"/>
                <w:szCs w:val="24"/>
                <w:lang w:val="en-US"/>
              </w:rPr>
              <w:t xml:space="preserve"> of bank</w:t>
            </w:r>
            <w:r w:rsidRPr="00A86C22">
              <w:rPr>
                <w:rFonts w:ascii="Times New Roman" w:hAnsi="Times New Roman" w:cs="Times New Roman"/>
                <w:i/>
                <w:sz w:val="24"/>
                <w:szCs w:val="24"/>
                <w:lang w:val="en-US"/>
              </w:rPr>
              <w:t xml:space="preserve"> i</w:t>
            </w:r>
            <w:r w:rsidRPr="00A86C22">
              <w:rPr>
                <w:rFonts w:ascii="Times New Roman" w:hAnsi="Times New Roman" w:cs="Times New Roman"/>
                <w:sz w:val="24"/>
                <w:szCs w:val="24"/>
                <w:lang w:val="en-US"/>
              </w:rPr>
              <w:t>.</w:t>
            </w:r>
          </w:p>
          <w:p w:rsidR="009C1B6D" w:rsidRPr="00A86C22" w:rsidRDefault="009C1B6D" w:rsidP="00A86C22">
            <w:pPr>
              <w:spacing w:line="360" w:lineRule="auto"/>
              <w:rPr>
                <w:rFonts w:ascii="Times New Roman" w:hAnsi="Times New Roman" w:cs="Times New Roman"/>
                <w:sz w:val="24"/>
                <w:szCs w:val="24"/>
                <w:lang w:val="en-US"/>
              </w:rPr>
            </w:pPr>
          </w:p>
        </w:tc>
      </w:tr>
      <w:tr w:rsidR="00C365B6" w:rsidRPr="007C6B5B" w:rsidTr="00F43A1C">
        <w:tc>
          <w:tcPr>
            <w:tcW w:w="1838" w:type="dxa"/>
          </w:tcPr>
          <w:p w:rsidR="00C365B6" w:rsidRPr="00A86C22" w:rsidRDefault="00C365B6" w:rsidP="007B06AC">
            <w:pPr>
              <w:spacing w:line="360" w:lineRule="auto"/>
              <w:rPr>
                <w:rFonts w:ascii="Cambria Math" w:hAnsi="Cambria Math" w:cs="Times New Roman"/>
                <w:i/>
                <w:sz w:val="24"/>
                <w:szCs w:val="24"/>
                <w:vertAlign w:val="subscript"/>
                <w:lang w:val="en-US"/>
              </w:rPr>
            </w:pPr>
            <w:r w:rsidRPr="00A86C22">
              <w:rPr>
                <w:rFonts w:ascii="Cambria Math" w:hAnsi="Cambria Math" w:cs="Times New Roman"/>
                <w:i/>
                <w:sz w:val="24"/>
                <w:szCs w:val="24"/>
                <w:lang w:val="en-US"/>
              </w:rPr>
              <w:t>sysrisk</w:t>
            </w:r>
            <w:r w:rsidRPr="00A86C22">
              <w:rPr>
                <w:rFonts w:ascii="Cambria Math" w:hAnsi="Cambria Math" w:cs="Times New Roman"/>
                <w:i/>
                <w:sz w:val="24"/>
                <w:szCs w:val="24"/>
                <w:vertAlign w:val="subscript"/>
                <w:lang w:val="en-US"/>
              </w:rPr>
              <w:t>it+1</w:t>
            </w:r>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 xml:space="preserve">The </w:t>
            </w:r>
            <w:r w:rsidR="00DE47A1">
              <w:rPr>
                <w:rFonts w:ascii="Times New Roman" w:hAnsi="Times New Roman" w:cs="Times New Roman"/>
                <w:sz w:val="24"/>
                <w:szCs w:val="24"/>
                <w:lang w:val="en-US"/>
              </w:rPr>
              <w:t>systemic</w:t>
            </w:r>
            <w:r w:rsidRPr="00A86C22">
              <w:rPr>
                <w:rFonts w:ascii="Times New Roman" w:hAnsi="Times New Roman" w:cs="Times New Roman"/>
                <w:sz w:val="24"/>
                <w:szCs w:val="24"/>
                <w:lang w:val="en-US"/>
              </w:rPr>
              <w:t xml:space="preserve"> risk</w:t>
            </w:r>
          </w:p>
        </w:tc>
        <w:tc>
          <w:tcPr>
            <w:tcW w:w="5239" w:type="dxa"/>
          </w:tcPr>
          <w:p w:rsidR="00C365B6"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Beta estimated from security market model</w:t>
            </w:r>
          </w:p>
          <w:p w:rsidR="00A86C22" w:rsidRPr="00A86C22" w:rsidRDefault="00AE0B9C" w:rsidP="007B06AC">
            <w:pPr>
              <w:spacing w:line="360" w:lineRule="auto"/>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r>
                  <w:rPr>
                    <w:rFonts w:ascii="Cambria Math"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m:oMathPara>
          </w:p>
          <w:p w:rsidR="00A86C22" w:rsidRDefault="00A86C22" w:rsidP="007B06AC">
            <w:pPr>
              <w:spacing w:line="360" w:lineRule="auto"/>
              <w:rPr>
                <w:rFonts w:ascii="Times New Roman" w:hAnsi="Times New Roman" w:cs="Times New Roman"/>
                <w:sz w:val="24"/>
                <w:szCs w:val="24"/>
                <w:lang w:val="en-US"/>
              </w:rPr>
            </w:pPr>
            <w:r w:rsidRPr="0044492F">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oMath>
            <w:r w:rsidRPr="0044492F">
              <w:rPr>
                <w:rFonts w:ascii="Times New Roman" w:hAnsi="Times New Roman" w:cs="Times New Roman"/>
                <w:sz w:val="24"/>
                <w:szCs w:val="24"/>
                <w:lang w:val="en-US"/>
              </w:rPr>
              <w:t xml:space="preserve"> is the weekly stock return for bank holding company </w:t>
            </w:r>
            <w:r w:rsidRPr="0044492F">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in week </w:t>
            </w:r>
            <w:r w:rsidRPr="0044492F">
              <w:rPr>
                <w:rFonts w:ascii="Times New Roman" w:hAnsi="Times New Roman" w:cs="Times New Roman"/>
                <w:i/>
                <w:sz w:val="24"/>
                <w:szCs w:val="24"/>
                <w:lang w:val="en-US"/>
              </w:rPr>
              <w:t>t</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oMath>
            <w:r w:rsidRPr="0044492F">
              <w:rPr>
                <w:rFonts w:ascii="Times New Roman" w:hAnsi="Times New Roman" w:cs="Times New Roman"/>
                <w:sz w:val="24"/>
                <w:szCs w:val="24"/>
                <w:lang w:val="en-US"/>
              </w:rPr>
              <w:t xml:space="preserve"> is the weekly return from holding a 3-month risk-free treasury-bill,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oMath>
            <w:r w:rsidRPr="0044492F">
              <w:rPr>
                <w:rFonts w:ascii="Times New Roman" w:eastAsiaTheme="minorEastAsia" w:hAnsi="Times New Roman" w:cs="Times New Roman"/>
                <w:sz w:val="24"/>
                <w:szCs w:val="24"/>
                <w:lang w:val="en-US"/>
              </w:rPr>
              <w:t xml:space="preserve"> </w:t>
            </w:r>
            <w:r w:rsidRPr="0044492F">
              <w:rPr>
                <w:rFonts w:ascii="Times New Roman" w:hAnsi="Times New Roman" w:cs="Times New Roman"/>
                <w:sz w:val="24"/>
                <w:szCs w:val="24"/>
                <w:lang w:val="en-US"/>
              </w:rPr>
              <w:t xml:space="preserve">is the weekly return for NYSE or NASDAQ market index in week </w:t>
            </w:r>
            <w:r w:rsidRPr="0044492F">
              <w:rPr>
                <w:rFonts w:ascii="Times New Roman" w:hAnsi="Times New Roman" w:cs="Times New Roman"/>
                <w:i/>
                <w:sz w:val="24"/>
                <w:szCs w:val="24"/>
                <w:lang w:val="en-US"/>
              </w:rPr>
              <w:t>t</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oMath>
            <w:r w:rsidRPr="0044492F">
              <w:rPr>
                <w:rFonts w:ascii="Times New Roman" w:hAnsi="Times New Roman" w:cs="Times New Roman"/>
                <w:sz w:val="24"/>
                <w:szCs w:val="24"/>
                <w:lang w:val="en-US"/>
              </w:rPr>
              <w:t xml:space="preserve"> is the intercept term,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oMath>
            <w:r w:rsidRPr="0044492F">
              <w:rPr>
                <w:rFonts w:ascii="Times New Roman" w:hAnsi="Times New Roman" w:cs="Times New Roman"/>
                <w:sz w:val="24"/>
                <w:szCs w:val="24"/>
                <w:lang w:val="en-US"/>
              </w:rPr>
              <w:t xml:space="preserve"> (or beta) is the slope term,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i,t</m:t>
                  </m:r>
                </m:sub>
              </m:sSub>
            </m:oMath>
            <w:r w:rsidRPr="0044492F">
              <w:rPr>
                <w:rFonts w:ascii="Times New Roman" w:hAnsi="Times New Roman" w:cs="Times New Roman"/>
                <w:sz w:val="24"/>
                <w:szCs w:val="24"/>
                <w:lang w:val="en-US"/>
              </w:rPr>
              <w:t xml:space="preserve"> is an random error term.</w:t>
            </w:r>
          </w:p>
          <w:p w:rsidR="009C1B6D" w:rsidRPr="00A86C22" w:rsidRDefault="009C1B6D" w:rsidP="007B06AC">
            <w:pPr>
              <w:spacing w:line="360" w:lineRule="auto"/>
              <w:rPr>
                <w:rFonts w:ascii="Times New Roman" w:hAnsi="Times New Roman" w:cs="Times New Roman"/>
                <w:sz w:val="24"/>
                <w:szCs w:val="24"/>
                <w:lang w:val="en-US"/>
              </w:rPr>
            </w:pPr>
          </w:p>
        </w:tc>
      </w:tr>
      <w:tr w:rsidR="00C365B6" w:rsidRPr="00AF0B79" w:rsidTr="00F43A1C">
        <w:tc>
          <w:tcPr>
            <w:tcW w:w="1838" w:type="dxa"/>
          </w:tcPr>
          <w:p w:rsidR="00C365B6" w:rsidRPr="00A86C22" w:rsidRDefault="00C365B6" w:rsidP="007B06AC">
            <w:pPr>
              <w:spacing w:line="360" w:lineRule="auto"/>
              <w:rPr>
                <w:rFonts w:ascii="Cambria Math" w:hAnsi="Cambria Math" w:cs="Times New Roman"/>
                <w:i/>
                <w:sz w:val="24"/>
                <w:szCs w:val="24"/>
                <w:lang w:val="en-US"/>
              </w:rPr>
            </w:pPr>
            <w:r w:rsidRPr="00A86C22">
              <w:rPr>
                <w:rFonts w:ascii="Cambria Math" w:hAnsi="Cambria Math" w:cs="Times New Roman"/>
                <w:i/>
                <w:sz w:val="24"/>
                <w:szCs w:val="24"/>
                <w:lang w:val="en-US"/>
              </w:rPr>
              <w:t>yidiorisk</w:t>
            </w:r>
            <w:r w:rsidRPr="00A86C22">
              <w:rPr>
                <w:rFonts w:ascii="Cambria Math" w:hAnsi="Cambria Math" w:cs="Times New Roman"/>
                <w:i/>
                <w:sz w:val="24"/>
                <w:szCs w:val="24"/>
                <w:vertAlign w:val="subscript"/>
                <w:lang w:val="en-US"/>
              </w:rPr>
              <w:t>it+1</w:t>
            </w:r>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The idiosyncratic risk</w:t>
            </w:r>
          </w:p>
        </w:tc>
        <w:tc>
          <w:tcPr>
            <w:tcW w:w="5239" w:type="dxa"/>
          </w:tcPr>
          <w:p w:rsidR="00A86C22" w:rsidRPr="00A86C22" w:rsidRDefault="00A86C22" w:rsidP="007B06A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C365B6" w:rsidRPr="00A86C22">
              <w:rPr>
                <w:rFonts w:ascii="Times New Roman" w:hAnsi="Times New Roman" w:cs="Times New Roman"/>
                <w:sz w:val="24"/>
                <w:szCs w:val="24"/>
                <w:lang w:val="en-US"/>
              </w:rPr>
              <w:t xml:space="preserve">tandard deviation of the weekly residuals of </w:t>
            </w:r>
            <w:r>
              <w:rPr>
                <w:rFonts w:ascii="Times New Roman" w:hAnsi="Times New Roman" w:cs="Times New Roman"/>
                <w:sz w:val="24"/>
                <w:szCs w:val="24"/>
                <w:lang w:val="en-US"/>
              </w:rPr>
              <w:t>market model</w:t>
            </w:r>
          </w:p>
        </w:tc>
      </w:tr>
      <w:tr w:rsidR="00C365B6" w:rsidRPr="00AF0B79" w:rsidTr="00F43A1C">
        <w:tc>
          <w:tcPr>
            <w:tcW w:w="1838" w:type="dxa"/>
          </w:tcPr>
          <w:p w:rsidR="00C365B6" w:rsidRPr="00A86C22" w:rsidRDefault="00C365B6" w:rsidP="007B06AC">
            <w:pPr>
              <w:spacing w:line="360" w:lineRule="auto"/>
              <w:rPr>
                <w:rFonts w:ascii="Cambria Math" w:hAnsi="Cambria Math" w:cs="Times New Roman"/>
                <w:i/>
                <w:sz w:val="24"/>
                <w:szCs w:val="24"/>
              </w:rPr>
            </w:pPr>
            <w:r w:rsidRPr="00A86C22">
              <w:rPr>
                <w:rFonts w:ascii="Cambria Math" w:hAnsi="Cambria Math" w:cs="Times New Roman"/>
                <w:i/>
                <w:sz w:val="24"/>
                <w:szCs w:val="24"/>
                <w:lang w:val="en-US"/>
              </w:rPr>
              <w:t>ydownrisk</w:t>
            </w:r>
            <w:r w:rsidRPr="00A86C22">
              <w:rPr>
                <w:rFonts w:ascii="Cambria Math" w:hAnsi="Cambria Math" w:cs="Times New Roman"/>
                <w:i/>
                <w:sz w:val="24"/>
                <w:szCs w:val="24"/>
                <w:vertAlign w:val="subscript"/>
                <w:lang w:val="en-US"/>
              </w:rPr>
              <w:t>it+1</w:t>
            </w:r>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The downside risk</w:t>
            </w:r>
          </w:p>
        </w:tc>
        <w:tc>
          <w:tcPr>
            <w:tcW w:w="5239" w:type="dxa"/>
          </w:tcPr>
          <w:p w:rsidR="00A86C22" w:rsidRDefault="00A86C22" w:rsidP="00A86C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Downside</w:t>
            </w:r>
            <w:r w:rsidR="00C365B6" w:rsidRPr="00A86C22">
              <w:rPr>
                <w:rFonts w:ascii="Times New Roman" w:hAnsi="Times New Roman" w:cs="Times New Roman"/>
                <w:sz w:val="24"/>
                <w:szCs w:val="24"/>
                <w:lang w:val="en-US"/>
              </w:rPr>
              <w:t xml:space="preserve"> deviation </w:t>
            </w:r>
            <w:r w:rsidRPr="0044492F">
              <w:rPr>
                <w:rFonts w:ascii="Times New Roman" w:hAnsi="Times New Roman" w:cs="Times New Roman"/>
                <w:sz w:val="24"/>
                <w:szCs w:val="24"/>
                <w:lang w:val="en-US"/>
              </w:rPr>
              <w:t>of a stock market asset’s weekly returns</w:t>
            </w:r>
            <w:r>
              <w:rPr>
                <w:rFonts w:ascii="Times New Roman" w:hAnsi="Times New Roman" w:cs="Times New Roman"/>
                <w:sz w:val="24"/>
                <w:szCs w:val="24"/>
                <w:lang w:val="en-US"/>
              </w:rPr>
              <w:t xml:space="preserve"> below minimum accepted returns</w:t>
            </w:r>
          </w:p>
          <w:p w:rsidR="00A86C22" w:rsidRPr="00A86C22" w:rsidRDefault="00A86C22" w:rsidP="00A86C22">
            <w:pPr>
              <w:spacing w:line="360" w:lineRule="auto"/>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i,t</m:t>
                    </m:r>
                  </m:sub>
                </m:sSub>
                <m:r>
                  <w:rPr>
                    <w:rFonts w:ascii="Cambria Math" w:hAnsi="Cambria Math" w:cs="Times New Roman"/>
                    <w:sz w:val="24"/>
                    <w:szCs w:val="24"/>
                    <w:lang w:val="en-US"/>
                  </w:rPr>
                  <m:t>=</m:t>
                </m:r>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r>
                          <w:rPr>
                            <w:rFonts w:ascii="Cambria Math" w:hAnsi="Cambria Math" w:cs="Times New Roman"/>
                            <w:sz w:val="24"/>
                            <w:szCs w:val="24"/>
                            <w:lang w:val="en-US"/>
                          </w:rPr>
                          <m:t>-1</m:t>
                        </m:r>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w=1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sup>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min⁡</m:t>
                                    </m:r>
                                    <m:r>
                                      <w:rPr>
                                        <w:rFonts w:ascii="Cambria Math" w:hAnsi="Cambria Math" w:cs="Times New Roman"/>
                                        <w:sz w:val="24"/>
                                        <w:szCs w:val="24"/>
                                        <w:lang w:val="en-US"/>
                                      </w:rPr>
                                      <m:t>(r</m:t>
                                    </m:r>
                                  </m:e>
                                  <m:sub>
                                    <m:r>
                                      <w:rPr>
                                        <w:rFonts w:ascii="Cambria Math" w:hAnsi="Cambria Math" w:cs="Times New Roman"/>
                                        <w:sz w:val="24"/>
                                        <w:szCs w:val="24"/>
                                        <w:lang w:val="en-US"/>
                                      </w:rPr>
                                      <m:t>i,w</m:t>
                                    </m:r>
                                  </m:sub>
                                </m:sSub>
                                <m:r>
                                  <w:rPr>
                                    <w:rFonts w:ascii="Cambria Math" w:hAnsi="Cambria Math" w:cs="Times New Roman"/>
                                    <w:sz w:val="24"/>
                                    <w:szCs w:val="24"/>
                                    <w:lang w:val="en-US"/>
                                  </w:rPr>
                                  <m:t>-c,0)</m:t>
                                </m:r>
                              </m:e>
                            </m:d>
                          </m:e>
                          <m:sup>
                            <m:r>
                              <w:rPr>
                                <w:rFonts w:ascii="Cambria Math" w:hAnsi="Cambria Math" w:cs="Times New Roman"/>
                                <w:sz w:val="24"/>
                                <w:szCs w:val="24"/>
                                <w:lang w:val="en-US"/>
                              </w:rPr>
                              <m:t>2</m:t>
                            </m:r>
                          </m:sup>
                        </m:sSup>
                      </m:e>
                    </m:nary>
                  </m:e>
                </m:rad>
              </m:oMath>
            </m:oMathPara>
          </w:p>
          <w:p w:rsidR="009C1B6D" w:rsidRPr="00A86C22" w:rsidRDefault="00A86C22" w:rsidP="00A86C22">
            <w:pPr>
              <w:spacing w:line="360" w:lineRule="auto"/>
              <w:rPr>
                <w:rFonts w:ascii="Times New Roman" w:eastAsiaTheme="minorEastAsia" w:hAnsi="Times New Roman" w:cs="Times New Roman"/>
                <w:sz w:val="24"/>
                <w:szCs w:val="24"/>
                <w:lang w:val="en-US"/>
              </w:rPr>
            </w:pPr>
            <w:r w:rsidRPr="0044492F">
              <w:rPr>
                <w:rFonts w:ascii="Times New Roman" w:eastAsiaTheme="minorEastAsia"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oMath>
            <w:r w:rsidRPr="0044492F">
              <w:rPr>
                <w:rFonts w:ascii="Times New Roman" w:hAnsi="Times New Roman" w:cs="Times New Roman"/>
                <w:sz w:val="24"/>
                <w:szCs w:val="24"/>
                <w:lang w:val="en-US"/>
              </w:rPr>
              <w:t xml:space="preserve"> is the number of weeks available in year </w:t>
            </w:r>
            <w:r w:rsidRPr="0044492F">
              <w:rPr>
                <w:rFonts w:ascii="Times New Roman" w:hAnsi="Times New Roman" w:cs="Times New Roman"/>
                <w:i/>
                <w:sz w:val="24"/>
                <w:szCs w:val="24"/>
                <w:lang w:val="en-US"/>
              </w:rPr>
              <w:t>t</w:t>
            </w:r>
            <w:r>
              <w:rPr>
                <w:rFonts w:ascii="Times New Roman" w:hAnsi="Times New Roman" w:cs="Times New Roman"/>
                <w:sz w:val="24"/>
                <w:szCs w:val="24"/>
                <w:lang w:val="en-US"/>
              </w:rPr>
              <w:t xml:space="preserve"> for bank</w:t>
            </w:r>
            <w:r w:rsidRPr="0044492F">
              <w:rPr>
                <w:rFonts w:ascii="Times New Roman" w:hAnsi="Times New Roman" w:cs="Times New Roman"/>
                <w:sz w:val="24"/>
                <w:szCs w:val="24"/>
                <w:lang w:val="en-US"/>
              </w:rPr>
              <w:t xml:space="preserve"> </w:t>
            </w:r>
            <w:r w:rsidRPr="0044492F">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i,w</m:t>
                  </m:r>
                </m:sub>
              </m:sSub>
            </m:oMath>
            <w:r w:rsidRPr="0044492F">
              <w:rPr>
                <w:rFonts w:ascii="Times New Roman" w:hAnsi="Times New Roman" w:cs="Times New Roman"/>
                <w:sz w:val="24"/>
                <w:szCs w:val="24"/>
                <w:lang w:val="en-US"/>
              </w:rPr>
              <w:t xml:space="preserve"> is the equity return of bank </w:t>
            </w:r>
            <w:r w:rsidRPr="00CC6AAD">
              <w:rPr>
                <w:rFonts w:ascii="Times New Roman" w:hAnsi="Times New Roman" w:cs="Times New Roman"/>
                <w:i/>
                <w:sz w:val="24"/>
                <w:szCs w:val="24"/>
                <w:lang w:val="en-US"/>
              </w:rPr>
              <w:t>i</w:t>
            </w:r>
            <w:r w:rsidRPr="0044492F">
              <w:rPr>
                <w:rFonts w:ascii="Times New Roman" w:hAnsi="Times New Roman" w:cs="Times New Roman"/>
                <w:sz w:val="24"/>
                <w:szCs w:val="24"/>
                <w:lang w:val="en-US"/>
              </w:rPr>
              <w:t xml:space="preserve"> in </w:t>
            </w:r>
            <w:r w:rsidRPr="0044492F">
              <w:rPr>
                <w:rFonts w:ascii="Times New Roman" w:hAnsi="Times New Roman" w:cs="Times New Roman"/>
                <w:sz w:val="24"/>
                <w:szCs w:val="24"/>
                <w:lang w:val="en-US"/>
              </w:rPr>
              <w:lastRenderedPageBreak/>
              <w:t xml:space="preserve">week </w:t>
            </w:r>
            <w:r w:rsidRPr="002843E5">
              <w:rPr>
                <w:rFonts w:ascii="Times New Roman" w:hAnsi="Times New Roman" w:cs="Times New Roman"/>
                <w:i/>
                <w:sz w:val="24"/>
                <w:szCs w:val="24"/>
                <w:lang w:val="en-US"/>
              </w:rPr>
              <w:t>w</w:t>
            </w:r>
            <w:r w:rsidRPr="0044492F">
              <w:rPr>
                <w:rFonts w:ascii="Times New Roman" w:hAnsi="Times New Roman" w:cs="Times New Roman"/>
                <w:sz w:val="24"/>
                <w:szCs w:val="24"/>
                <w:lang w:val="en-US"/>
              </w:rPr>
              <w:t xml:space="preserve">, </w:t>
            </w:r>
            <m:oMath>
              <m:r>
                <w:rPr>
                  <w:rFonts w:ascii="Cambria Math" w:hAnsi="Cambria Math" w:cs="Times New Roman"/>
                  <w:sz w:val="24"/>
                  <w:szCs w:val="24"/>
                  <w:lang w:val="en-US"/>
                </w:rPr>
                <m:t>c</m:t>
              </m:r>
            </m:oMath>
            <w:r w:rsidRPr="0044492F">
              <w:rPr>
                <w:rFonts w:ascii="Times New Roman" w:eastAsiaTheme="minorEastAsia" w:hAnsi="Times New Roman" w:cs="Times New Roman"/>
                <w:sz w:val="24"/>
                <w:szCs w:val="24"/>
                <w:lang w:val="en-US"/>
              </w:rPr>
              <w:t xml:space="preserve"> is minimum accepted return which is equal 0.0% for the purpose of this research</w:t>
            </w:r>
          </w:p>
        </w:tc>
      </w:tr>
      <w:tr w:rsidR="00C365B6" w:rsidRPr="00A86C22" w:rsidTr="007B06AC">
        <w:tc>
          <w:tcPr>
            <w:tcW w:w="9345" w:type="dxa"/>
            <w:gridSpan w:val="3"/>
          </w:tcPr>
          <w:p w:rsidR="00C365B6" w:rsidRPr="00A86C22" w:rsidRDefault="00C365B6" w:rsidP="007B06AC">
            <w:pPr>
              <w:spacing w:line="360" w:lineRule="auto"/>
              <w:rPr>
                <w:rFonts w:ascii="Times New Roman" w:hAnsi="Times New Roman" w:cs="Times New Roman"/>
                <w:b/>
                <w:sz w:val="24"/>
                <w:szCs w:val="24"/>
                <w:lang w:val="en-US"/>
              </w:rPr>
            </w:pPr>
            <w:r w:rsidRPr="00A86C22">
              <w:rPr>
                <w:rFonts w:ascii="Times New Roman" w:hAnsi="Times New Roman" w:cs="Times New Roman"/>
                <w:b/>
                <w:sz w:val="24"/>
                <w:szCs w:val="24"/>
                <w:lang w:val="en-US"/>
              </w:rPr>
              <w:lastRenderedPageBreak/>
              <w:t>Independent variable</w:t>
            </w:r>
          </w:p>
        </w:tc>
      </w:tr>
      <w:tr w:rsidR="00C365B6" w:rsidRPr="00AF0B79" w:rsidTr="00F43A1C">
        <w:tc>
          <w:tcPr>
            <w:tcW w:w="1838" w:type="dxa"/>
          </w:tcPr>
          <w:p w:rsidR="00C365B6" w:rsidRPr="00A86C22" w:rsidRDefault="00AE0B9C" w:rsidP="007B06AC">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disc</m:t>
                    </m:r>
                  </m:e>
                  <m:sub>
                    <m:r>
                      <w:rPr>
                        <w:rFonts w:ascii="Cambria Math" w:hAnsi="Cambria Math" w:cs="Times New Roman"/>
                        <w:sz w:val="24"/>
                        <w:szCs w:val="24"/>
                      </w:rPr>
                      <m:t>b</m:t>
                    </m:r>
                    <m:r>
                      <w:rPr>
                        <w:rFonts w:ascii="Cambria Math" w:hAnsi="Cambria Math" w:cs="Times New Roman"/>
                        <w:sz w:val="24"/>
                        <w:szCs w:val="24"/>
                        <w:lang w:val="en-US"/>
                      </w:rPr>
                      <m:t xml:space="preserve">, </m:t>
                    </m:r>
                    <m:r>
                      <w:rPr>
                        <w:rFonts w:ascii="Cambria Math" w:hAnsi="Cambria Math" w:cs="Times New Roman"/>
                        <w:sz w:val="24"/>
                        <w:szCs w:val="24"/>
                      </w:rPr>
                      <m:t>t</m:t>
                    </m:r>
                  </m:sub>
                </m:sSub>
              </m:oMath>
            </m:oMathPara>
          </w:p>
        </w:tc>
        <w:tc>
          <w:tcPr>
            <w:tcW w:w="2268" w:type="dxa"/>
          </w:tcPr>
          <w:p w:rsidR="00C365B6" w:rsidRPr="00A86C22" w:rsidRDefault="00C365B6" w:rsidP="00F43A1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 xml:space="preserve">The aggregated disclosure </w:t>
            </w:r>
            <w:r w:rsidR="00F43A1C">
              <w:rPr>
                <w:rFonts w:ascii="Times New Roman" w:hAnsi="Times New Roman" w:cs="Times New Roman"/>
                <w:sz w:val="24"/>
                <w:szCs w:val="24"/>
                <w:lang w:val="en-US"/>
              </w:rPr>
              <w:t>index</w:t>
            </w:r>
          </w:p>
        </w:tc>
        <w:tc>
          <w:tcPr>
            <w:tcW w:w="5239" w:type="dxa"/>
          </w:tcPr>
          <w:p w:rsidR="00C365B6" w:rsidRDefault="00FE27D7" w:rsidP="007B06A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Measured by the formula:</w:t>
            </w:r>
          </w:p>
          <w:p w:rsidR="00FE27D7" w:rsidRPr="00FE27D7" w:rsidRDefault="00AE0B9C" w:rsidP="007B06AC">
            <w:pPr>
              <w:spacing w:line="360" w:lineRule="auto"/>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lang w:val="en-US"/>
                      </w:rPr>
                      <m:t>disc</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1</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LIQ</m:t>
                    </m:r>
                  </m:e>
                  <m:sub>
                    <m:r>
                      <w:rPr>
                        <w:rFonts w:ascii="Cambria Math" w:eastAsiaTheme="minorEastAsia" w:hAnsi="Cambria Math" w:cs="Times New Roman"/>
                        <w:sz w:val="24"/>
                        <w:szCs w:val="24"/>
                        <w:lang w:val="en-US"/>
                      </w:rPr>
                      <m:t>i, t</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GRP_STR</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3</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INTRA</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4</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SPIL</m:t>
                    </m:r>
                  </m:e>
                  <m:sub>
                    <m:r>
                      <w:rPr>
                        <w:rFonts w:ascii="Cambria Math" w:eastAsiaTheme="minorEastAsia" w:hAnsi="Cambria Math" w:cs="Times New Roman"/>
                        <w:sz w:val="24"/>
                        <w:szCs w:val="24"/>
                        <w:lang w:val="en-US"/>
                      </w:rPr>
                      <m:t>i,t</m:t>
                    </m:r>
                  </m:sub>
                </m:sSub>
              </m:oMath>
            </m:oMathPara>
          </w:p>
          <w:p w:rsidR="00FE27D7" w:rsidRPr="0044492F" w:rsidRDefault="00FE27D7" w:rsidP="00FE27D7">
            <w:pPr>
              <w:spacing w:line="360" w:lineRule="auto"/>
              <w:jc w:val="both"/>
              <w:rPr>
                <w:rFonts w:ascii="Times New Roman" w:hAnsi="Times New Roman" w:cs="Times New Roman"/>
                <w:sz w:val="24"/>
                <w:szCs w:val="24"/>
                <w:lang w:val="en-US"/>
              </w:rPr>
            </w:pPr>
            <w:r w:rsidRPr="0044492F">
              <w:rPr>
                <w:rFonts w:ascii="Times New Roman" w:eastAsiaTheme="minorEastAsia" w:hAnsi="Times New Roman" w:cs="Times New Roman"/>
                <w:sz w:val="24"/>
                <w:szCs w:val="24"/>
                <w:lang w:val="en-US"/>
              </w:rPr>
              <w:t xml:space="preserve">where: </w:t>
            </w:r>
          </w:p>
          <w:p w:rsidR="00FE27D7" w:rsidRPr="0044492F" w:rsidRDefault="00AE0B9C" w:rsidP="00FE27D7">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LIQ</m:t>
                  </m:r>
                </m:e>
                <m:sub>
                  <m:r>
                    <w:rPr>
                      <w:rFonts w:ascii="Cambria Math" w:eastAsiaTheme="minorEastAsia" w:hAnsi="Cambria Math" w:cs="Times New Roman"/>
                      <w:sz w:val="24"/>
                      <w:szCs w:val="24"/>
                      <w:lang w:val="en-US"/>
                    </w:rPr>
                    <m:t>i, t</m:t>
                  </m:r>
                </m:sub>
              </m:sSub>
            </m:oMath>
            <w:r w:rsidR="00FE27D7" w:rsidRPr="0044492F">
              <w:rPr>
                <w:rFonts w:ascii="Times New Roman" w:eastAsiaTheme="minorEastAsia" w:hAnsi="Times New Roman" w:cs="Times New Roman"/>
                <w:sz w:val="24"/>
                <w:szCs w:val="24"/>
                <w:lang w:val="en-US"/>
              </w:rPr>
              <w:t xml:space="preserve"> – the disclosure score on liquidity risk</w:t>
            </w:r>
          </w:p>
          <w:p w:rsidR="00FE27D7" w:rsidRPr="0044492F" w:rsidRDefault="00AE0B9C" w:rsidP="00FE27D7">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GRP_STR</m:t>
                  </m:r>
                </m:e>
                <m:sub>
                  <m:r>
                    <w:rPr>
                      <w:rFonts w:ascii="Cambria Math" w:eastAsiaTheme="minorEastAsia" w:hAnsi="Cambria Math" w:cs="Times New Roman"/>
                      <w:sz w:val="24"/>
                      <w:szCs w:val="24"/>
                      <w:lang w:val="en-US"/>
                    </w:rPr>
                    <m:t>i,t</m:t>
                  </m:r>
                </m:sub>
              </m:sSub>
            </m:oMath>
            <w:r w:rsidR="00FE27D7" w:rsidRPr="0044492F">
              <w:rPr>
                <w:rFonts w:ascii="Times New Roman" w:eastAsiaTheme="minorEastAsia" w:hAnsi="Times New Roman" w:cs="Times New Roman"/>
                <w:sz w:val="24"/>
                <w:szCs w:val="24"/>
                <w:lang w:val="en-US"/>
              </w:rPr>
              <w:t xml:space="preserve"> – the disclosure score on group structure</w:t>
            </w:r>
          </w:p>
          <w:p w:rsidR="00FE27D7" w:rsidRPr="0044492F" w:rsidRDefault="00AE0B9C" w:rsidP="00FE27D7">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INTRA</m:t>
                  </m:r>
                </m:e>
                <m:sub>
                  <m:r>
                    <w:rPr>
                      <w:rFonts w:ascii="Cambria Math" w:eastAsiaTheme="minorEastAsia" w:hAnsi="Cambria Math" w:cs="Times New Roman"/>
                      <w:sz w:val="24"/>
                      <w:szCs w:val="24"/>
                      <w:lang w:val="en-US"/>
                    </w:rPr>
                    <m:t>i,t</m:t>
                  </m:r>
                </m:sub>
              </m:sSub>
            </m:oMath>
            <w:r w:rsidR="00FE27D7" w:rsidRPr="0044492F">
              <w:rPr>
                <w:rFonts w:ascii="Times New Roman" w:eastAsiaTheme="minorEastAsia" w:hAnsi="Times New Roman" w:cs="Times New Roman"/>
                <w:sz w:val="24"/>
                <w:szCs w:val="24"/>
                <w:lang w:val="en-US"/>
              </w:rPr>
              <w:t xml:space="preserve"> – the disclosure score on intra-annual information</w:t>
            </w:r>
          </w:p>
          <w:p w:rsidR="00FE27D7" w:rsidRPr="0044492F" w:rsidRDefault="00AE0B9C" w:rsidP="00FE27D7">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SPIL</m:t>
                  </m:r>
                </m:e>
                <m:sub>
                  <m:r>
                    <w:rPr>
                      <w:rFonts w:ascii="Cambria Math" w:eastAsiaTheme="minorEastAsia" w:hAnsi="Cambria Math" w:cs="Times New Roman"/>
                      <w:sz w:val="24"/>
                      <w:szCs w:val="24"/>
                      <w:lang w:val="en-US"/>
                    </w:rPr>
                    <m:t>i,t</m:t>
                  </m:r>
                </m:sub>
              </m:sSub>
            </m:oMath>
            <w:r w:rsidR="00FE27D7" w:rsidRPr="0044492F">
              <w:rPr>
                <w:rFonts w:ascii="Times New Roman" w:eastAsiaTheme="minorEastAsia" w:hAnsi="Times New Roman" w:cs="Times New Roman"/>
                <w:sz w:val="24"/>
                <w:szCs w:val="24"/>
                <w:lang w:val="en-US"/>
              </w:rPr>
              <w:t xml:space="preserve"> – the disclosure score on spillover risk</w:t>
            </w:r>
          </w:p>
          <w:p w:rsidR="00FE27D7" w:rsidRPr="0044492F" w:rsidRDefault="00AE0B9C" w:rsidP="00FE27D7">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1</m:t>
                  </m:r>
                </m:sub>
              </m:sSub>
            </m:oMath>
            <w:r w:rsidR="00FE27D7" w:rsidRPr="0044492F">
              <w:rPr>
                <w:rFonts w:ascii="Times New Roman" w:eastAsiaTheme="minorEastAsia" w:hAnsi="Times New Roman" w:cs="Times New Roman"/>
                <w:iCs/>
                <w:sz w:val="24"/>
                <w:szCs w:val="24"/>
                <w:lang w:val="en-US"/>
              </w:rPr>
              <w:t>,</w:t>
            </w:r>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2</m:t>
                  </m:r>
                </m:sub>
              </m:sSub>
            </m:oMath>
            <w:r w:rsidR="00FE27D7" w:rsidRPr="0044492F">
              <w:rPr>
                <w:rFonts w:ascii="Times New Roman" w:eastAsiaTheme="minorEastAsia" w:hAnsi="Times New Roman" w:cs="Times New Roman"/>
                <w:iCs/>
                <w:sz w:val="24"/>
                <w:szCs w:val="24"/>
                <w:lang w:val="en-US"/>
              </w:rPr>
              <w:t xml:space="preserve">, </w:t>
            </w:r>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3</m:t>
                  </m:r>
                </m:sub>
              </m:sSub>
            </m:oMath>
            <w:r w:rsidR="00FE27D7" w:rsidRPr="0044492F">
              <w:rPr>
                <w:rFonts w:ascii="Times New Roman" w:eastAsiaTheme="minorEastAsia" w:hAnsi="Times New Roman" w:cs="Times New Roman"/>
                <w:iCs/>
                <w:sz w:val="24"/>
                <w:szCs w:val="24"/>
                <w:lang w:val="en-US"/>
              </w:rPr>
              <w:t>,</w:t>
            </w:r>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4</m:t>
                  </m:r>
                </m:sub>
              </m:sSub>
            </m:oMath>
            <w:r w:rsidR="00FE27D7" w:rsidRPr="0044492F">
              <w:rPr>
                <w:rFonts w:ascii="Times New Roman" w:eastAsiaTheme="minorEastAsia" w:hAnsi="Times New Roman" w:cs="Times New Roman"/>
                <w:iCs/>
                <w:sz w:val="24"/>
                <w:szCs w:val="24"/>
                <w:lang w:val="en-US"/>
              </w:rPr>
              <w:t xml:space="preserve"> – the weights of disclosure categories </w:t>
            </w:r>
          </w:p>
          <w:p w:rsidR="00FE27D7" w:rsidRPr="00A86C22" w:rsidRDefault="00FE27D7" w:rsidP="007B06AC">
            <w:pPr>
              <w:spacing w:line="360" w:lineRule="auto"/>
              <w:rPr>
                <w:rFonts w:ascii="Times New Roman" w:hAnsi="Times New Roman" w:cs="Times New Roman"/>
                <w:sz w:val="24"/>
                <w:szCs w:val="24"/>
                <w:lang w:val="en-US"/>
              </w:rPr>
            </w:pPr>
          </w:p>
        </w:tc>
      </w:tr>
      <w:tr w:rsidR="00C365B6" w:rsidRPr="00A86C22" w:rsidTr="007B06AC">
        <w:tc>
          <w:tcPr>
            <w:tcW w:w="9345" w:type="dxa"/>
            <w:gridSpan w:val="3"/>
          </w:tcPr>
          <w:p w:rsidR="00C365B6" w:rsidRPr="00A86C22" w:rsidRDefault="00C365B6" w:rsidP="007B06AC">
            <w:pPr>
              <w:spacing w:line="360" w:lineRule="auto"/>
              <w:rPr>
                <w:rFonts w:ascii="Times New Roman" w:hAnsi="Times New Roman" w:cs="Times New Roman"/>
                <w:b/>
                <w:sz w:val="24"/>
                <w:szCs w:val="24"/>
                <w:lang w:val="en-US"/>
              </w:rPr>
            </w:pPr>
            <w:r w:rsidRPr="00A86C22">
              <w:rPr>
                <w:rFonts w:ascii="Times New Roman" w:hAnsi="Times New Roman" w:cs="Times New Roman"/>
                <w:b/>
                <w:sz w:val="24"/>
                <w:szCs w:val="24"/>
                <w:lang w:val="en-US"/>
              </w:rPr>
              <w:t>Control variables</w:t>
            </w:r>
          </w:p>
        </w:tc>
      </w:tr>
      <w:tr w:rsidR="00C365B6" w:rsidRPr="00AF0B79" w:rsidTr="00F43A1C">
        <w:tc>
          <w:tcPr>
            <w:tcW w:w="1838" w:type="dxa"/>
          </w:tcPr>
          <w:p w:rsidR="00C365B6" w:rsidRPr="00A86C22" w:rsidRDefault="00AE0B9C" w:rsidP="007B06AC">
            <w:pPr>
              <w:spacing w:line="360" w:lineRule="auto"/>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size</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m:oMathPara>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Size</w:t>
            </w:r>
          </w:p>
        </w:tc>
        <w:tc>
          <w:tcPr>
            <w:tcW w:w="5239" w:type="dxa"/>
          </w:tcPr>
          <w:p w:rsidR="00C365B6" w:rsidRPr="00A86C22" w:rsidRDefault="00FE27D7" w:rsidP="00FE27D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This variable calculated as t</w:t>
            </w:r>
            <w:r w:rsidR="00C365B6" w:rsidRPr="00A86C22">
              <w:rPr>
                <w:rFonts w:ascii="Times New Roman" w:hAnsi="Times New Roman" w:cs="Times New Roman"/>
                <w:sz w:val="24"/>
                <w:szCs w:val="24"/>
                <w:lang w:val="en-US"/>
              </w:rPr>
              <w:t>he natural logarithm of bank’s market capitalization at the end of the year.</w:t>
            </w:r>
          </w:p>
        </w:tc>
      </w:tr>
      <w:tr w:rsidR="00C365B6" w:rsidRPr="00AF0B79" w:rsidTr="00F43A1C">
        <w:tc>
          <w:tcPr>
            <w:tcW w:w="1838" w:type="dxa"/>
          </w:tcPr>
          <w:p w:rsidR="00C365B6" w:rsidRPr="00A86C22" w:rsidRDefault="00AE0B9C" w:rsidP="007B06AC">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vola</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m:oMathPara>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Volatility</w:t>
            </w:r>
          </w:p>
        </w:tc>
        <w:tc>
          <w:tcPr>
            <w:tcW w:w="5239" w:type="dxa"/>
          </w:tcPr>
          <w:p w:rsidR="009C1B6D" w:rsidRDefault="009C1B6D" w:rsidP="009C1B6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Measured by the formula:</w:t>
            </w:r>
          </w:p>
          <w:p w:rsidR="00C365B6" w:rsidRPr="00A86C22" w:rsidRDefault="00AE0B9C" w:rsidP="007B06AC">
            <w:pPr>
              <w:spacing w:line="360" w:lineRule="auto"/>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vola</m:t>
                    </m:r>
                  </m:e>
                  <m:sub>
                    <m:r>
                      <w:rPr>
                        <w:rFonts w:ascii="Cambria Math" w:hAnsi="Cambria Math" w:cs="Times New Roman"/>
                        <w:sz w:val="24"/>
                        <w:szCs w:val="24"/>
                        <w:lang w:val="en-US"/>
                      </w:rPr>
                      <m:t>i,t</m:t>
                    </m:r>
                  </m:sub>
                </m:sSub>
                <m:r>
                  <w:rPr>
                    <w:rFonts w:ascii="Cambria Math" w:hAnsi="Cambria Math" w:cs="Times New Roman"/>
                    <w:sz w:val="24"/>
                    <w:szCs w:val="24"/>
                    <w:lang w:val="en-US"/>
                  </w:rPr>
                  <m:t>=</m:t>
                </m:r>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w=1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sup>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i,w</m:t>
                                        </m:r>
                                      </m:sub>
                                      <m:sup>
                                        <m:r>
                                          <w:rPr>
                                            <w:rFonts w:ascii="Cambria Math" w:hAnsi="Cambria Math" w:cs="Times New Roman"/>
                                            <w:sz w:val="24"/>
                                            <w:szCs w:val="24"/>
                                            <w:lang w:val="en-US"/>
                                          </w:rPr>
                                          <m:t>H</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i,w</m:t>
                                        </m:r>
                                      </m:sub>
                                      <m:sup>
                                        <m:r>
                                          <w:rPr>
                                            <w:rFonts w:ascii="Cambria Math" w:hAnsi="Cambria Math" w:cs="Times New Roman"/>
                                            <w:sz w:val="24"/>
                                            <w:szCs w:val="24"/>
                                            <w:lang w:val="en-US"/>
                                          </w:rPr>
                                          <m:t>L</m:t>
                                        </m:r>
                                      </m:sup>
                                    </m:sSubSup>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i,w</m:t>
                                        </m:r>
                                      </m:sub>
                                      <m:sup>
                                        <m:r>
                                          <w:rPr>
                                            <w:rFonts w:ascii="Cambria Math" w:hAnsi="Cambria Math" w:cs="Times New Roman"/>
                                            <w:sz w:val="24"/>
                                            <w:szCs w:val="24"/>
                                            <w:lang w:val="en-US"/>
                                          </w:rPr>
                                          <m:t>C</m:t>
                                        </m:r>
                                      </m:sup>
                                    </m:sSubSup>
                                  </m:den>
                                </m:f>
                              </m:e>
                            </m:d>
                          </m:e>
                          <m:sup>
                            <m:r>
                              <w:rPr>
                                <w:rFonts w:ascii="Cambria Math" w:hAnsi="Cambria Math" w:cs="Times New Roman"/>
                                <w:sz w:val="24"/>
                                <w:szCs w:val="24"/>
                                <w:lang w:val="en-US"/>
                              </w:rPr>
                              <m:t>2</m:t>
                            </m:r>
                          </m:sup>
                        </m:sSup>
                      </m:e>
                    </m:nary>
                  </m:e>
                </m:rad>
              </m:oMath>
            </m:oMathPara>
          </w:p>
          <w:p w:rsidR="00C365B6" w:rsidRPr="00A86C22" w:rsidRDefault="00C365B6" w:rsidP="007B06AC">
            <w:pPr>
              <w:autoSpaceDE w:val="0"/>
              <w:autoSpaceDN w:val="0"/>
              <w:adjustRightInd w:val="0"/>
              <w:spacing w:line="360" w:lineRule="auto"/>
              <w:rPr>
                <w:rFonts w:ascii="Times New Roman" w:hAnsi="Times New Roman" w:cs="Times New Roman"/>
                <w:sz w:val="24"/>
                <w:szCs w:val="24"/>
                <w:lang w:val="en-US"/>
              </w:rPr>
            </w:pPr>
            <w:r w:rsidRPr="00A86C22">
              <w:rPr>
                <w:rFonts w:ascii="Times New Roman" w:eastAsiaTheme="minorEastAsia"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i,t</m:t>
                  </m:r>
                </m:sub>
              </m:sSub>
            </m:oMath>
            <w:r w:rsidRPr="00A86C22">
              <w:rPr>
                <w:rFonts w:ascii="Times New Roman" w:hAnsi="Times New Roman" w:cs="Times New Roman"/>
                <w:sz w:val="24"/>
                <w:szCs w:val="24"/>
                <w:lang w:val="en-US"/>
              </w:rPr>
              <w:t xml:space="preserve"> is the number of weeks available in year t for stock i;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i,w</m:t>
                  </m:r>
                </m:sub>
                <m:sup>
                  <m:r>
                    <w:rPr>
                      <w:rFonts w:ascii="Cambria Math" w:hAnsi="Cambria Math" w:cs="Times New Roman"/>
                      <w:sz w:val="24"/>
                      <w:szCs w:val="24"/>
                      <w:lang w:val="en-US"/>
                    </w:rPr>
                    <m:t>H</m:t>
                  </m:r>
                </m:sup>
              </m:sSubSup>
            </m:oMath>
            <w:r w:rsidRPr="00A86C22">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i,w</m:t>
                  </m:r>
                </m:sub>
                <m:sup>
                  <m:r>
                    <w:rPr>
                      <w:rFonts w:ascii="Cambria Math" w:hAnsi="Cambria Math" w:cs="Times New Roman"/>
                      <w:sz w:val="24"/>
                      <w:szCs w:val="24"/>
                      <w:lang w:val="en-US"/>
                    </w:rPr>
                    <m:t>L</m:t>
                  </m:r>
                </m:sup>
              </m:sSubSup>
            </m:oMath>
            <w:r w:rsidRPr="00A86C22">
              <w:rPr>
                <w:rFonts w:ascii="Times New Roman" w:eastAsiaTheme="minorEastAsia" w:hAnsi="Times New Roman" w:cs="Times New Roman"/>
                <w:sz w:val="24"/>
                <w:szCs w:val="24"/>
                <w:lang w:val="en-US"/>
              </w:rPr>
              <w:t xml:space="preserve">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P</m:t>
                  </m:r>
                </m:e>
                <m:sub>
                  <m:r>
                    <w:rPr>
                      <w:rFonts w:ascii="Cambria Math" w:hAnsi="Cambria Math" w:cs="Times New Roman"/>
                      <w:sz w:val="24"/>
                      <w:szCs w:val="24"/>
                      <w:lang w:val="en-US"/>
                    </w:rPr>
                    <m:t>i,w</m:t>
                  </m:r>
                </m:sub>
                <m:sup>
                  <m:r>
                    <w:rPr>
                      <w:rFonts w:ascii="Cambria Math" w:hAnsi="Cambria Math" w:cs="Times New Roman"/>
                      <w:sz w:val="24"/>
                      <w:szCs w:val="24"/>
                      <w:lang w:val="en-US"/>
                    </w:rPr>
                    <m:t>C</m:t>
                  </m:r>
                </m:sup>
              </m:sSubSup>
            </m:oMath>
            <w:r w:rsidRPr="00A86C22">
              <w:rPr>
                <w:rFonts w:ascii="Times New Roman" w:eastAsiaTheme="minorEastAsia" w:hAnsi="Times New Roman" w:cs="Times New Roman"/>
                <w:sz w:val="24"/>
                <w:szCs w:val="24"/>
                <w:lang w:val="en-US"/>
              </w:rPr>
              <w:t xml:space="preserve"> </w:t>
            </w:r>
            <w:r w:rsidRPr="00A86C22">
              <w:rPr>
                <w:rFonts w:ascii="Times New Roman" w:hAnsi="Times New Roman" w:cs="Times New Roman"/>
                <w:sz w:val="24"/>
                <w:szCs w:val="24"/>
                <w:lang w:val="en-US"/>
              </w:rPr>
              <w:t xml:space="preserve">are the average weekly highest, the average weekly lowest and closing prices for equity of bank </w:t>
            </w:r>
            <w:r w:rsidRPr="009C1B6D">
              <w:rPr>
                <w:rFonts w:ascii="Times New Roman" w:hAnsi="Times New Roman" w:cs="Times New Roman"/>
                <w:i/>
                <w:sz w:val="24"/>
                <w:szCs w:val="24"/>
                <w:lang w:val="en-US"/>
              </w:rPr>
              <w:t>i</w:t>
            </w:r>
            <w:r w:rsidRPr="00A86C22">
              <w:rPr>
                <w:rFonts w:ascii="Times New Roman" w:hAnsi="Times New Roman" w:cs="Times New Roman"/>
                <w:sz w:val="24"/>
                <w:szCs w:val="24"/>
                <w:lang w:val="en-US"/>
              </w:rPr>
              <w:t xml:space="preserve"> in week </w:t>
            </w:r>
            <w:r w:rsidRPr="009C1B6D">
              <w:rPr>
                <w:rFonts w:ascii="Times New Roman" w:hAnsi="Times New Roman" w:cs="Times New Roman"/>
                <w:i/>
                <w:sz w:val="24"/>
                <w:szCs w:val="24"/>
                <w:lang w:val="en-US"/>
              </w:rPr>
              <w:t>w</w:t>
            </w:r>
          </w:p>
        </w:tc>
      </w:tr>
      <w:tr w:rsidR="00C365B6" w:rsidRPr="00AF0B79" w:rsidTr="00F43A1C">
        <w:tc>
          <w:tcPr>
            <w:tcW w:w="1838" w:type="dxa"/>
          </w:tcPr>
          <w:p w:rsidR="00C365B6" w:rsidRPr="00A86C22" w:rsidRDefault="00AE0B9C" w:rsidP="007B06AC">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capbuf</m:t>
                    </m:r>
                  </m:e>
                  <m:sub>
                    <m:r>
                      <w:rPr>
                        <w:rFonts w:ascii="Cambria Math" w:hAnsi="Cambria Math" w:cs="Times New Roman"/>
                        <w:sz w:val="24"/>
                        <w:szCs w:val="24"/>
                      </w:rPr>
                      <m:t>i</m:t>
                    </m:r>
                    <m:r>
                      <w:rPr>
                        <w:rFonts w:ascii="Cambria Math" w:hAnsi="Cambria Math" w:cs="Times New Roman"/>
                        <w:sz w:val="24"/>
                        <w:szCs w:val="24"/>
                        <w:lang w:val="en-US"/>
                      </w:rPr>
                      <m:t xml:space="preserve">, </m:t>
                    </m:r>
                    <m:r>
                      <w:rPr>
                        <w:rFonts w:ascii="Cambria Math" w:hAnsi="Cambria Math" w:cs="Times New Roman"/>
                        <w:sz w:val="24"/>
                        <w:szCs w:val="24"/>
                      </w:rPr>
                      <m:t>t</m:t>
                    </m:r>
                  </m:sub>
                </m:sSub>
              </m:oMath>
            </m:oMathPara>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Capital buffer</w:t>
            </w:r>
          </w:p>
        </w:tc>
        <w:tc>
          <w:tcPr>
            <w:tcW w:w="5239" w:type="dxa"/>
          </w:tcPr>
          <w:p w:rsidR="00C365B6" w:rsidRPr="00A86C22" w:rsidRDefault="00FE27D7" w:rsidP="00FE27D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Capital buffer ratio calculated as t</w:t>
            </w:r>
            <w:r w:rsidR="00C365B6" w:rsidRPr="00A86C22">
              <w:rPr>
                <w:rFonts w:ascii="Times New Roman" w:hAnsi="Times New Roman" w:cs="Times New Roman"/>
                <w:sz w:val="24"/>
                <w:szCs w:val="24"/>
                <w:lang w:val="en-US"/>
              </w:rPr>
              <w:t>he bank's equity capital as a proportion of its total liabilities</w:t>
            </w:r>
          </w:p>
        </w:tc>
      </w:tr>
      <w:tr w:rsidR="00C365B6" w:rsidRPr="00AF0B79" w:rsidTr="00F43A1C">
        <w:tc>
          <w:tcPr>
            <w:tcW w:w="1838" w:type="dxa"/>
          </w:tcPr>
          <w:p w:rsidR="00C365B6" w:rsidRPr="00A86C22" w:rsidRDefault="00AE0B9C" w:rsidP="007B06AC">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npl</m:t>
                    </m:r>
                  </m:e>
                  <m:sub>
                    <m:r>
                      <w:rPr>
                        <w:rFonts w:ascii="Cambria Math" w:hAnsi="Cambria Math" w:cs="Times New Roman"/>
                        <w:sz w:val="24"/>
                        <w:szCs w:val="24"/>
                      </w:rPr>
                      <m:t>i, t</m:t>
                    </m:r>
                  </m:sub>
                </m:sSub>
              </m:oMath>
            </m:oMathPara>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The Non-performing loans ratio</w:t>
            </w:r>
          </w:p>
        </w:tc>
        <w:tc>
          <w:tcPr>
            <w:tcW w:w="5239" w:type="dxa"/>
          </w:tcPr>
          <w:p w:rsidR="00C365B6" w:rsidRPr="00A86C22" w:rsidRDefault="009C1B6D" w:rsidP="009C1B6D">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The Non-performing loans ratio</w:t>
            </w:r>
            <w:r>
              <w:rPr>
                <w:rFonts w:ascii="Times New Roman" w:hAnsi="Times New Roman" w:cs="Times New Roman"/>
                <w:sz w:val="24"/>
                <w:szCs w:val="24"/>
                <w:lang w:val="en-US"/>
              </w:rPr>
              <w:t xml:space="preserve"> calculated as bank’s n</w:t>
            </w:r>
            <w:r w:rsidR="00C365B6" w:rsidRPr="00A86C22">
              <w:rPr>
                <w:rFonts w:ascii="Times New Roman" w:hAnsi="Times New Roman" w:cs="Times New Roman"/>
                <w:sz w:val="24"/>
                <w:szCs w:val="24"/>
                <w:lang w:val="en-US"/>
              </w:rPr>
              <w:t>on-performing loans</w:t>
            </w:r>
            <w:r>
              <w:rPr>
                <w:rFonts w:ascii="Times New Roman" w:hAnsi="Times New Roman" w:cs="Times New Roman"/>
                <w:sz w:val="24"/>
                <w:szCs w:val="24"/>
                <w:lang w:val="en-US"/>
              </w:rPr>
              <w:t xml:space="preserve"> </w:t>
            </w:r>
            <w:r w:rsidRPr="00A86C22">
              <w:rPr>
                <w:rFonts w:ascii="Times New Roman" w:hAnsi="Times New Roman" w:cs="Times New Roman"/>
                <w:sz w:val="24"/>
                <w:szCs w:val="24"/>
                <w:lang w:val="en-US"/>
              </w:rPr>
              <w:t>as a proportion of its</w:t>
            </w:r>
            <w:r>
              <w:rPr>
                <w:rFonts w:ascii="Times New Roman" w:hAnsi="Times New Roman" w:cs="Times New Roman"/>
                <w:sz w:val="24"/>
                <w:szCs w:val="24"/>
                <w:lang w:val="en-US"/>
              </w:rPr>
              <w:t xml:space="preserve"> </w:t>
            </w:r>
            <w:r w:rsidR="00C365B6" w:rsidRPr="00A86C22">
              <w:rPr>
                <w:rFonts w:ascii="Times New Roman" w:hAnsi="Times New Roman" w:cs="Times New Roman"/>
                <w:sz w:val="24"/>
                <w:szCs w:val="24"/>
                <w:lang w:val="en-US"/>
              </w:rPr>
              <w:t>total assets</w:t>
            </w:r>
          </w:p>
        </w:tc>
      </w:tr>
      <w:tr w:rsidR="00C365B6" w:rsidRPr="00AF0B79" w:rsidTr="00F43A1C">
        <w:tc>
          <w:tcPr>
            <w:tcW w:w="1838" w:type="dxa"/>
          </w:tcPr>
          <w:p w:rsidR="00C365B6" w:rsidRPr="00A86C22" w:rsidRDefault="00AE0B9C" w:rsidP="007B06AC">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roe</m:t>
                    </m:r>
                  </m:e>
                  <m:sub>
                    <m:r>
                      <w:rPr>
                        <w:rFonts w:ascii="Cambria Math" w:hAnsi="Cambria Math" w:cs="Times New Roman"/>
                        <w:sz w:val="24"/>
                        <w:szCs w:val="24"/>
                      </w:rPr>
                      <m:t>i, t</m:t>
                    </m:r>
                  </m:sub>
                </m:sSub>
              </m:oMath>
            </m:oMathPara>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Return on equity</w:t>
            </w:r>
          </w:p>
        </w:tc>
        <w:tc>
          <w:tcPr>
            <w:tcW w:w="5239" w:type="dxa"/>
          </w:tcPr>
          <w:p w:rsidR="00C365B6" w:rsidRPr="00A86C22" w:rsidRDefault="009C1B6D" w:rsidP="009C1B6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Calculated as t</w:t>
            </w:r>
            <w:r w:rsidR="00C365B6" w:rsidRPr="00A86C22">
              <w:rPr>
                <w:rFonts w:ascii="Times New Roman" w:hAnsi="Times New Roman" w:cs="Times New Roman"/>
                <w:sz w:val="24"/>
                <w:szCs w:val="24"/>
                <w:lang w:val="en-US"/>
              </w:rPr>
              <w:t>he ratio of the income before extraordinary items to total book equity.</w:t>
            </w:r>
          </w:p>
        </w:tc>
      </w:tr>
      <w:tr w:rsidR="00C365B6" w:rsidRPr="00AF0B79" w:rsidTr="00F43A1C">
        <w:tc>
          <w:tcPr>
            <w:tcW w:w="1838" w:type="dxa"/>
          </w:tcPr>
          <w:p w:rsidR="00C365B6" w:rsidRPr="00A86C22" w:rsidRDefault="00AE0B9C" w:rsidP="007B06AC">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depo</m:t>
                    </m:r>
                  </m:e>
                  <m:sub>
                    <m:r>
                      <w:rPr>
                        <w:rFonts w:ascii="Cambria Math" w:hAnsi="Cambria Math" w:cs="Times New Roman"/>
                        <w:sz w:val="24"/>
                        <w:szCs w:val="24"/>
                      </w:rPr>
                      <m:t>i, t</m:t>
                    </m:r>
                  </m:sub>
                </m:sSub>
              </m:oMath>
            </m:oMathPara>
          </w:p>
        </w:tc>
        <w:tc>
          <w:tcPr>
            <w:tcW w:w="2268" w:type="dxa"/>
          </w:tcPr>
          <w:p w:rsidR="00C365B6" w:rsidRPr="00A86C22" w:rsidRDefault="00C365B6" w:rsidP="007B06AC">
            <w:pPr>
              <w:spacing w:line="360" w:lineRule="auto"/>
              <w:rPr>
                <w:rFonts w:ascii="Times New Roman" w:hAnsi="Times New Roman" w:cs="Times New Roman"/>
                <w:sz w:val="24"/>
                <w:szCs w:val="24"/>
                <w:lang w:val="en-US"/>
              </w:rPr>
            </w:pPr>
            <w:r w:rsidRPr="00A86C22">
              <w:rPr>
                <w:rFonts w:ascii="Times New Roman" w:hAnsi="Times New Roman" w:cs="Times New Roman"/>
                <w:sz w:val="24"/>
                <w:szCs w:val="24"/>
                <w:lang w:val="en-US"/>
              </w:rPr>
              <w:t>The level of deposits</w:t>
            </w:r>
          </w:p>
        </w:tc>
        <w:tc>
          <w:tcPr>
            <w:tcW w:w="5239" w:type="dxa"/>
          </w:tcPr>
          <w:p w:rsidR="00C365B6" w:rsidRPr="00A86C22" w:rsidRDefault="009C1B6D" w:rsidP="009C1B6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Calculated as t</w:t>
            </w:r>
            <w:r w:rsidR="00C365B6" w:rsidRPr="00A86C22">
              <w:rPr>
                <w:rFonts w:ascii="Times New Roman" w:hAnsi="Times New Roman" w:cs="Times New Roman"/>
                <w:sz w:val="24"/>
                <w:szCs w:val="24"/>
                <w:lang w:val="en-US"/>
              </w:rPr>
              <w:t>he natural logarithm of total deposits.</w:t>
            </w:r>
          </w:p>
        </w:tc>
      </w:tr>
    </w:tbl>
    <w:p w:rsidR="006457BD" w:rsidRPr="00A86C22" w:rsidRDefault="006457BD" w:rsidP="006457BD">
      <w:pPr>
        <w:spacing w:line="360" w:lineRule="auto"/>
        <w:ind w:firstLine="709"/>
        <w:jc w:val="both"/>
        <w:rPr>
          <w:rFonts w:ascii="Times New Roman" w:hAnsi="Times New Roman" w:cs="Times New Roman"/>
          <w:sz w:val="24"/>
          <w:szCs w:val="24"/>
          <w:lang w:val="en-US"/>
        </w:rPr>
      </w:pPr>
    </w:p>
    <w:sectPr w:rsidR="006457BD" w:rsidRPr="00A86C22" w:rsidSect="0012106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9C" w:rsidRDefault="00AE0B9C" w:rsidP="00E47893">
      <w:pPr>
        <w:spacing w:after="0" w:line="240" w:lineRule="auto"/>
      </w:pPr>
      <w:r>
        <w:separator/>
      </w:r>
    </w:p>
  </w:endnote>
  <w:endnote w:type="continuationSeparator" w:id="0">
    <w:p w:rsidR="00AE0B9C" w:rsidRDefault="00AE0B9C" w:rsidP="00E4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48445"/>
      <w:docPartObj>
        <w:docPartGallery w:val="Page Numbers (Bottom of Page)"/>
        <w:docPartUnique/>
      </w:docPartObj>
    </w:sdtPr>
    <w:sdtContent>
      <w:p w:rsidR="00AF0B79" w:rsidRDefault="00AF0B79">
        <w:pPr>
          <w:pStyle w:val="a9"/>
          <w:jc w:val="right"/>
        </w:pPr>
        <w:r>
          <w:fldChar w:fldCharType="begin"/>
        </w:r>
        <w:r>
          <w:instrText>PAGE   \* MERGEFORMAT</w:instrText>
        </w:r>
        <w:r>
          <w:fldChar w:fldCharType="separate"/>
        </w:r>
        <w:r w:rsidR="007C6B5B">
          <w:rPr>
            <w:noProof/>
          </w:rPr>
          <w:t>43</w:t>
        </w:r>
        <w:r>
          <w:fldChar w:fldCharType="end"/>
        </w:r>
      </w:p>
    </w:sdtContent>
  </w:sdt>
  <w:p w:rsidR="00AF0B79" w:rsidRDefault="00AF0B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46970"/>
      <w:docPartObj>
        <w:docPartGallery w:val="Page Numbers (Bottom of Page)"/>
        <w:docPartUnique/>
      </w:docPartObj>
    </w:sdtPr>
    <w:sdtContent>
      <w:p w:rsidR="00AF0B79" w:rsidRDefault="00AF0B79">
        <w:pPr>
          <w:pStyle w:val="a9"/>
          <w:jc w:val="right"/>
        </w:pPr>
        <w:r>
          <w:fldChar w:fldCharType="begin"/>
        </w:r>
        <w:r>
          <w:instrText>PAGE   \* MERGEFORMAT</w:instrText>
        </w:r>
        <w:r>
          <w:fldChar w:fldCharType="separate"/>
        </w:r>
        <w:r w:rsidR="007C6B5B">
          <w:rPr>
            <w:noProof/>
          </w:rPr>
          <w:t>1</w:t>
        </w:r>
        <w:r>
          <w:fldChar w:fldCharType="end"/>
        </w:r>
      </w:p>
    </w:sdtContent>
  </w:sdt>
  <w:p w:rsidR="00CD5F5C" w:rsidRDefault="00CD5F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9C" w:rsidRDefault="00AE0B9C" w:rsidP="00E47893">
      <w:pPr>
        <w:spacing w:after="0" w:line="240" w:lineRule="auto"/>
      </w:pPr>
      <w:r>
        <w:separator/>
      </w:r>
    </w:p>
  </w:footnote>
  <w:footnote w:type="continuationSeparator" w:id="0">
    <w:p w:rsidR="00AE0B9C" w:rsidRDefault="00AE0B9C" w:rsidP="00E47893">
      <w:pPr>
        <w:spacing w:after="0" w:line="240" w:lineRule="auto"/>
      </w:pPr>
      <w:r>
        <w:continuationSeparator/>
      </w:r>
    </w:p>
  </w:footnote>
  <w:footnote w:id="1">
    <w:p w:rsidR="00CD5F5C" w:rsidRPr="004A72D5" w:rsidRDefault="00CD5F5C" w:rsidP="00E47893">
      <w:pPr>
        <w:autoSpaceDE w:val="0"/>
        <w:autoSpaceDN w:val="0"/>
        <w:adjustRightInd w:val="0"/>
        <w:spacing w:after="0" w:line="240" w:lineRule="auto"/>
        <w:rPr>
          <w:rFonts w:ascii="Times New Roman" w:hAnsi="Times New Roman" w:cs="Times New Roman"/>
          <w:sz w:val="20"/>
          <w:szCs w:val="20"/>
          <w:lang w:val="en-US"/>
        </w:rPr>
      </w:pPr>
      <w:r w:rsidRPr="004A72D5">
        <w:rPr>
          <w:rStyle w:val="a6"/>
          <w:rFonts w:ascii="Times New Roman" w:hAnsi="Times New Roman" w:cs="Times New Roman"/>
          <w:sz w:val="20"/>
          <w:szCs w:val="20"/>
        </w:rPr>
        <w:footnoteRef/>
      </w:r>
      <w:r w:rsidRPr="004A72D5">
        <w:rPr>
          <w:rFonts w:ascii="Times New Roman" w:hAnsi="Times New Roman" w:cs="Times New Roman"/>
          <w:sz w:val="20"/>
          <w:szCs w:val="20"/>
          <w:lang w:val="en-US"/>
        </w:rPr>
        <w:t xml:space="preserve"> See Diamond and Verrecchia (1991), Verrecchia (1994), Botosan (1997) Bushee and Noe (2000), Easley et al. (2002), Easley and O’Hara (2004), Baumann and Nier (2004), Kothari, Li, and Short (2009), Lambert et al. (2007)</w:t>
      </w:r>
    </w:p>
  </w:footnote>
  <w:footnote w:id="2">
    <w:p w:rsidR="00CD5F5C" w:rsidRPr="0085257C" w:rsidRDefault="00CD5F5C">
      <w:pPr>
        <w:pStyle w:val="a4"/>
        <w:rPr>
          <w:rFonts w:ascii="Times New Roman" w:hAnsi="Times New Roman" w:cs="Times New Roman"/>
          <w:lang w:val="en-US"/>
        </w:rPr>
      </w:pPr>
      <w:r w:rsidRPr="0085257C">
        <w:rPr>
          <w:rStyle w:val="a6"/>
          <w:rFonts w:ascii="Times New Roman" w:hAnsi="Times New Roman" w:cs="Times New Roman"/>
        </w:rPr>
        <w:footnoteRef/>
      </w:r>
      <w:r w:rsidRPr="0085257C">
        <w:rPr>
          <w:rFonts w:ascii="Times New Roman" w:hAnsi="Times New Roman" w:cs="Times New Roman"/>
          <w:lang w:val="en-US"/>
        </w:rPr>
        <w:t xml:space="preserve"> Downside risk. Investopedia. Retrieved from http://www.investopedia.com/terms/d/downsiderisk.asp?layout=infini&amp;v=5B&amp;orig=1&amp;adtest=5B</w:t>
      </w:r>
    </w:p>
  </w:footnote>
  <w:footnote w:id="3">
    <w:p w:rsidR="00CD5F5C" w:rsidRPr="00CD5F5C" w:rsidRDefault="00CD5F5C">
      <w:pPr>
        <w:pStyle w:val="a4"/>
        <w:rPr>
          <w:rFonts w:ascii="Times New Roman" w:hAnsi="Times New Roman" w:cs="Times New Roman"/>
          <w:lang w:val="en-US"/>
        </w:rPr>
      </w:pPr>
      <w:r w:rsidRPr="00CD5F5C">
        <w:rPr>
          <w:rStyle w:val="a6"/>
          <w:rFonts w:ascii="Times New Roman" w:hAnsi="Times New Roman" w:cs="Times New Roman"/>
        </w:rPr>
        <w:footnoteRef/>
      </w:r>
      <w:r w:rsidRPr="00CD5F5C">
        <w:rPr>
          <w:rFonts w:ascii="Times New Roman" w:hAnsi="Times New Roman" w:cs="Times New Roman"/>
          <w:lang w:val="en-US"/>
        </w:rPr>
        <w:t xml:space="preserve"> "Downside Deviation as a Risk Measure." Invest Excel. 2011. Accessed May 25, 2016. http://investexcel.net/downside-deviation-excel/.</w:t>
      </w:r>
    </w:p>
  </w:footnote>
  <w:footnote w:id="4">
    <w:p w:rsidR="00CD5F5C" w:rsidRPr="00B3186A" w:rsidRDefault="00CD5F5C" w:rsidP="00B3186A">
      <w:pPr>
        <w:pStyle w:val="a4"/>
        <w:rPr>
          <w:lang w:val="en-US"/>
        </w:rPr>
      </w:pPr>
      <w:r w:rsidRPr="00B3186A">
        <w:rPr>
          <w:rStyle w:val="a6"/>
          <w:rFonts w:ascii="Times New Roman" w:hAnsi="Times New Roman" w:cs="Times New Roman"/>
        </w:rPr>
        <w:footnoteRef/>
      </w:r>
      <w:r w:rsidRPr="00B3186A">
        <w:rPr>
          <w:rFonts w:ascii="Times New Roman" w:hAnsi="Times New Roman" w:cs="Times New Roman"/>
          <w:lang w:val="en-US"/>
        </w:rPr>
        <w:t xml:space="preserve"> </w:t>
      </w:r>
      <w:r w:rsidRPr="00B3186A">
        <w:rPr>
          <w:rFonts w:ascii="Times New Roman" w:hAnsi="Times New Roman" w:cs="Times New Roman"/>
          <w:i/>
          <w:iCs/>
          <w:lang w:val="en-US"/>
        </w:rPr>
        <w:t>Report on Consolidation in the Financial Sector</w:t>
      </w:r>
      <w:r w:rsidRPr="00B3186A">
        <w:rPr>
          <w:rFonts w:ascii="Times New Roman" w:hAnsi="Times New Roman" w:cs="Times New Roman"/>
          <w:lang w:val="en-US"/>
        </w:rPr>
        <w:t>. Place of Publication Not Identified: Publisher Not Identified, 2001</w:t>
      </w:r>
      <w:r w:rsidRPr="00B3186A">
        <w:rPr>
          <w:lang w:val="en-US"/>
        </w:rPr>
        <w:t xml:space="preserve">. </w:t>
      </w:r>
    </w:p>
    <w:p w:rsidR="00CD5F5C" w:rsidRPr="00C738B4" w:rsidRDefault="00CD5F5C" w:rsidP="008E5586">
      <w:pPr>
        <w:pStyle w:val="a4"/>
        <w:rPr>
          <w:lang w:val="en-US"/>
        </w:rPr>
      </w:pPr>
    </w:p>
  </w:footnote>
  <w:footnote w:id="5">
    <w:p w:rsidR="00CD5F5C" w:rsidRPr="004323DC" w:rsidRDefault="00CD5F5C">
      <w:pPr>
        <w:pStyle w:val="a4"/>
        <w:rPr>
          <w:rFonts w:ascii="Times New Roman" w:hAnsi="Times New Roman" w:cs="Times New Roman"/>
          <w:lang w:val="en-US"/>
        </w:rPr>
      </w:pPr>
      <w:r w:rsidRPr="00CD5F5C">
        <w:rPr>
          <w:rStyle w:val="a6"/>
          <w:rFonts w:ascii="Times New Roman" w:hAnsi="Times New Roman" w:cs="Times New Roman"/>
        </w:rPr>
        <w:footnoteRef/>
      </w:r>
      <w:r w:rsidRPr="00CD5F5C">
        <w:rPr>
          <w:rFonts w:ascii="Times New Roman" w:hAnsi="Times New Roman" w:cs="Times New Roman"/>
          <w:lang w:val="en-US"/>
        </w:rPr>
        <w:t xml:space="preserve"> Brealey, Richard A., and Stewart C. Myers. </w:t>
      </w:r>
      <w:r w:rsidRPr="00CD5F5C">
        <w:rPr>
          <w:rFonts w:ascii="Times New Roman" w:hAnsi="Times New Roman" w:cs="Times New Roman"/>
          <w:i/>
          <w:iCs/>
          <w:lang w:val="en-US"/>
        </w:rPr>
        <w:t>Principles of Corporate Finance</w:t>
      </w:r>
      <w:r w:rsidRPr="00CD5F5C">
        <w:rPr>
          <w:rFonts w:ascii="Times New Roman" w:hAnsi="Times New Roman" w:cs="Times New Roman"/>
          <w:lang w:val="en-US"/>
        </w:rPr>
        <w:t>. New York: McGraw-Hill, 1991.</w:t>
      </w:r>
    </w:p>
  </w:footnote>
  <w:footnote w:id="6">
    <w:p w:rsidR="00CD5F5C" w:rsidRPr="00B3186A" w:rsidRDefault="00CD5F5C">
      <w:pPr>
        <w:pStyle w:val="a4"/>
        <w:rPr>
          <w:lang w:val="en-US"/>
        </w:rPr>
      </w:pPr>
      <w:r w:rsidRPr="00CD5F5C">
        <w:rPr>
          <w:rStyle w:val="a6"/>
          <w:rFonts w:ascii="Times New Roman" w:hAnsi="Times New Roman" w:cs="Times New Roman"/>
        </w:rPr>
        <w:footnoteRef/>
      </w:r>
      <w:r w:rsidRPr="00CD5F5C">
        <w:rPr>
          <w:rFonts w:ascii="Times New Roman" w:hAnsi="Times New Roman" w:cs="Times New Roman"/>
          <w:lang w:val="en-US"/>
        </w:rPr>
        <w:t xml:space="preserve"> Bradfield, James. </w:t>
      </w:r>
      <w:r w:rsidRPr="00CD5F5C">
        <w:rPr>
          <w:rFonts w:ascii="Times New Roman" w:hAnsi="Times New Roman" w:cs="Times New Roman"/>
          <w:i/>
          <w:iCs/>
          <w:lang w:val="en-US"/>
        </w:rPr>
        <w:t>Introduction to the Economics of Financial Markets</w:t>
      </w:r>
      <w:r w:rsidRPr="00CD5F5C">
        <w:rPr>
          <w:rFonts w:ascii="Times New Roman" w:hAnsi="Times New Roman" w:cs="Times New Roman"/>
          <w:lang w:val="en-US"/>
        </w:rPr>
        <w:t xml:space="preserve">. </w:t>
      </w:r>
      <w:r w:rsidRPr="004323DC">
        <w:rPr>
          <w:rFonts w:ascii="Times New Roman" w:hAnsi="Times New Roman" w:cs="Times New Roman"/>
          <w:lang w:val="en-US"/>
        </w:rPr>
        <w:t>Oxford: Oxford University Press, 2007.</w:t>
      </w:r>
    </w:p>
  </w:footnote>
  <w:footnote w:id="7">
    <w:p w:rsidR="00CD5F5C" w:rsidRPr="00A03FE1" w:rsidRDefault="00CD5F5C">
      <w:pPr>
        <w:pStyle w:val="a4"/>
        <w:rPr>
          <w:rFonts w:ascii="Times New Roman" w:hAnsi="Times New Roman" w:cs="Times New Roman"/>
          <w:lang w:val="en-US"/>
        </w:rPr>
      </w:pPr>
      <w:r w:rsidRPr="00A03FE1">
        <w:rPr>
          <w:rStyle w:val="a6"/>
          <w:rFonts w:ascii="Times New Roman" w:hAnsi="Times New Roman" w:cs="Times New Roman"/>
        </w:rPr>
        <w:footnoteRef/>
      </w:r>
      <w:r w:rsidRPr="00A03FE1">
        <w:rPr>
          <w:rFonts w:ascii="Times New Roman" w:hAnsi="Times New Roman" w:cs="Times New Roman"/>
          <w:lang w:val="en-US"/>
        </w:rPr>
        <w:t xml:space="preserve">Apostolik, Richard, Christopher Donohue, and Peter Went. </w:t>
      </w:r>
      <w:r w:rsidRPr="00A03FE1">
        <w:rPr>
          <w:rFonts w:ascii="Times New Roman" w:hAnsi="Times New Roman" w:cs="Times New Roman"/>
          <w:i/>
          <w:iCs/>
          <w:lang w:val="en-US"/>
        </w:rPr>
        <w:t>Foundations of Banking Risk: An Overview of Banking, Banking Risks, and Risk-based Banking Regulation</w:t>
      </w:r>
      <w:r w:rsidRPr="00A03FE1">
        <w:rPr>
          <w:rFonts w:ascii="Times New Roman" w:hAnsi="Times New Roman" w:cs="Times New Roman"/>
          <w:lang w:val="en-US"/>
        </w:rPr>
        <w:t>. Hoboken, NJ: John Wiley, 2009.</w:t>
      </w:r>
      <w:r w:rsidR="005A0818">
        <w:rPr>
          <w:rFonts w:ascii="Times New Roman" w:hAnsi="Times New Roman" w:cs="Times New Roman"/>
          <w:lang w:val="en-US"/>
        </w:rPr>
        <w:t xml:space="preserve"> p. 14-15</w:t>
      </w:r>
    </w:p>
  </w:footnote>
  <w:footnote w:id="8">
    <w:p w:rsidR="00CD5F5C" w:rsidRPr="00A03FE1" w:rsidRDefault="00CD5F5C">
      <w:pPr>
        <w:pStyle w:val="a4"/>
        <w:rPr>
          <w:rFonts w:ascii="Times New Roman" w:hAnsi="Times New Roman" w:cs="Times New Roman"/>
          <w:lang w:val="en-US"/>
        </w:rPr>
      </w:pPr>
      <w:r w:rsidRPr="00A03FE1">
        <w:rPr>
          <w:rStyle w:val="a6"/>
          <w:rFonts w:ascii="Times New Roman" w:hAnsi="Times New Roman" w:cs="Times New Roman"/>
        </w:rPr>
        <w:footnoteRef/>
      </w:r>
      <w:r w:rsidRPr="00A03FE1">
        <w:rPr>
          <w:rFonts w:ascii="Times New Roman" w:hAnsi="Times New Roman" w:cs="Times New Roman"/>
          <w:lang w:val="en-US"/>
        </w:rPr>
        <w:t xml:space="preserve">Apostolik, Richard, Christopher Donohue, and Peter Went. </w:t>
      </w:r>
      <w:r w:rsidRPr="00A03FE1">
        <w:rPr>
          <w:rFonts w:ascii="Times New Roman" w:hAnsi="Times New Roman" w:cs="Times New Roman"/>
          <w:i/>
          <w:iCs/>
          <w:lang w:val="en-US"/>
        </w:rPr>
        <w:t>Foundations of Banking Risk: An Overview of Banking, Banking Risks, and Risk-based Banking Regulation</w:t>
      </w:r>
      <w:r w:rsidRPr="00A03FE1">
        <w:rPr>
          <w:rFonts w:ascii="Times New Roman" w:hAnsi="Times New Roman" w:cs="Times New Roman"/>
          <w:lang w:val="en-US"/>
        </w:rPr>
        <w:t xml:space="preserve">. </w:t>
      </w:r>
      <w:r w:rsidRPr="00121068">
        <w:rPr>
          <w:rFonts w:ascii="Times New Roman" w:hAnsi="Times New Roman" w:cs="Times New Roman"/>
          <w:lang w:val="en-US"/>
        </w:rPr>
        <w:t>Hoboken, NJ: John Wiley, 2009.</w:t>
      </w:r>
      <w:r>
        <w:rPr>
          <w:rFonts w:ascii="Times New Roman" w:hAnsi="Times New Roman" w:cs="Times New Roman"/>
          <w:lang w:val="en-US"/>
        </w:rPr>
        <w:t xml:space="preserve"> p. 15-18</w:t>
      </w:r>
    </w:p>
  </w:footnote>
  <w:footnote w:id="9">
    <w:p w:rsidR="00CD5F5C" w:rsidRPr="00A03FE1" w:rsidRDefault="00CD5F5C">
      <w:pPr>
        <w:pStyle w:val="a4"/>
        <w:rPr>
          <w:rFonts w:ascii="Times New Roman" w:hAnsi="Times New Roman" w:cs="Times New Roman"/>
          <w:lang w:val="en-US"/>
        </w:rPr>
      </w:pPr>
      <w:r w:rsidRPr="00A03FE1">
        <w:rPr>
          <w:rStyle w:val="a6"/>
          <w:rFonts w:ascii="Times New Roman" w:hAnsi="Times New Roman" w:cs="Times New Roman"/>
        </w:rPr>
        <w:footnoteRef/>
      </w:r>
      <w:r w:rsidRPr="00A03FE1">
        <w:rPr>
          <w:rFonts w:ascii="Times New Roman" w:hAnsi="Times New Roman" w:cs="Times New Roman"/>
          <w:lang w:val="en-US"/>
        </w:rPr>
        <w:t xml:space="preserve"> Apostolik, Richard, Christopher Donohue, and Peter Went. </w:t>
      </w:r>
      <w:r w:rsidRPr="00A03FE1">
        <w:rPr>
          <w:rFonts w:ascii="Times New Roman" w:hAnsi="Times New Roman" w:cs="Times New Roman"/>
          <w:i/>
          <w:iCs/>
          <w:lang w:val="en-US"/>
        </w:rPr>
        <w:t>Foundations of Banking Risk: An Overview of Banking, Banking Risks, and Risk-based Banking Regulation</w:t>
      </w:r>
      <w:r w:rsidRPr="00A03FE1">
        <w:rPr>
          <w:rFonts w:ascii="Times New Roman" w:hAnsi="Times New Roman" w:cs="Times New Roman"/>
          <w:lang w:val="en-US"/>
        </w:rPr>
        <w:t xml:space="preserve">. </w:t>
      </w:r>
      <w:r w:rsidRPr="00121068">
        <w:rPr>
          <w:rFonts w:ascii="Times New Roman" w:hAnsi="Times New Roman" w:cs="Times New Roman"/>
          <w:lang w:val="en-US"/>
        </w:rPr>
        <w:t>Hoboken, NJ: John Wiley, 2009.</w:t>
      </w:r>
      <w:r>
        <w:rPr>
          <w:rFonts w:ascii="Times New Roman" w:hAnsi="Times New Roman" w:cs="Times New Roman"/>
          <w:lang w:val="en-US"/>
        </w:rPr>
        <w:t xml:space="preserve"> p. 18-19</w:t>
      </w:r>
    </w:p>
  </w:footnote>
  <w:footnote w:id="10">
    <w:p w:rsidR="00CD5F5C" w:rsidRPr="008272F8" w:rsidRDefault="00CD5F5C" w:rsidP="008272F8">
      <w:pPr>
        <w:pStyle w:val="a4"/>
        <w:rPr>
          <w:rFonts w:ascii="Times New Roman" w:hAnsi="Times New Roman" w:cs="Times New Roman"/>
          <w:lang w:val="en-US"/>
        </w:rPr>
      </w:pPr>
      <w:r w:rsidRPr="008272F8">
        <w:rPr>
          <w:rStyle w:val="a6"/>
          <w:rFonts w:ascii="Times New Roman" w:hAnsi="Times New Roman" w:cs="Times New Roman"/>
        </w:rPr>
        <w:footnoteRef/>
      </w:r>
      <w:r w:rsidRPr="008272F8">
        <w:rPr>
          <w:rFonts w:ascii="Times New Roman" w:hAnsi="Times New Roman" w:cs="Times New Roman"/>
          <w:lang w:val="en-US"/>
        </w:rPr>
        <w:t xml:space="preserve"> Akerlof, George A. "The Market for "Lemons": Quality Uncertainty and the Market Mechanism." </w:t>
      </w:r>
      <w:r w:rsidRPr="008272F8">
        <w:rPr>
          <w:rFonts w:ascii="Times New Roman" w:hAnsi="Times New Roman" w:cs="Times New Roman"/>
          <w:i/>
          <w:iCs/>
          <w:lang w:val="en-US"/>
        </w:rPr>
        <w:t>The Quarterly Journal of Economics</w:t>
      </w:r>
      <w:r w:rsidRPr="008272F8">
        <w:rPr>
          <w:rFonts w:ascii="Times New Roman" w:hAnsi="Times New Roman" w:cs="Times New Roman"/>
          <w:lang w:val="en-US"/>
        </w:rPr>
        <w:t xml:space="preserve"> 84, no. 3 (1970): 488. </w:t>
      </w:r>
    </w:p>
    <w:p w:rsidR="00CD5F5C" w:rsidRPr="006B7FCD" w:rsidRDefault="00CD5F5C">
      <w:pPr>
        <w:pStyle w:val="a4"/>
        <w:rPr>
          <w:rFonts w:ascii="Times New Roman" w:hAnsi="Times New Roman" w:cs="Times New Roman"/>
          <w:lang w:val="en-US"/>
        </w:rPr>
      </w:pPr>
    </w:p>
  </w:footnote>
  <w:footnote w:id="11">
    <w:p w:rsidR="00CD5F5C" w:rsidRPr="008272F8" w:rsidRDefault="00CD5F5C" w:rsidP="008272F8">
      <w:pPr>
        <w:pStyle w:val="a4"/>
        <w:rPr>
          <w:rFonts w:ascii="Times New Roman" w:hAnsi="Times New Roman" w:cs="Times New Roman"/>
          <w:lang w:val="en-US"/>
        </w:rPr>
      </w:pPr>
      <w:r w:rsidRPr="008272F8">
        <w:rPr>
          <w:rStyle w:val="a6"/>
          <w:rFonts w:ascii="Times New Roman" w:hAnsi="Times New Roman" w:cs="Times New Roman"/>
        </w:rPr>
        <w:footnoteRef/>
      </w:r>
      <w:r w:rsidRPr="008272F8">
        <w:rPr>
          <w:rFonts w:ascii="Times New Roman" w:hAnsi="Times New Roman" w:cs="Times New Roman"/>
          <w:lang w:val="en-US"/>
        </w:rPr>
        <w:t xml:space="preserve"> Kirabaeva Kirabaeva. </w:t>
      </w:r>
      <w:r w:rsidRPr="008272F8">
        <w:rPr>
          <w:rFonts w:ascii="Times New Roman" w:hAnsi="Times New Roman" w:cs="Times New Roman"/>
          <w:i/>
          <w:iCs/>
          <w:lang w:val="en-US"/>
        </w:rPr>
        <w:t>Adverse Selection and Financial Crises</w:t>
      </w:r>
      <w:r w:rsidRPr="008272F8">
        <w:rPr>
          <w:rFonts w:ascii="Times New Roman" w:hAnsi="Times New Roman" w:cs="Times New Roman"/>
          <w:lang w:val="en-US"/>
        </w:rPr>
        <w:t xml:space="preserve">. Working paper. Bank of Ca Nada Review, 2010. </w:t>
      </w:r>
    </w:p>
    <w:p w:rsidR="00CD5F5C" w:rsidRPr="00697537" w:rsidRDefault="00CD5F5C">
      <w:pPr>
        <w:pStyle w:val="a4"/>
        <w:rPr>
          <w:rFonts w:ascii="Times New Roman" w:hAnsi="Times New Roman" w:cs="Times New Roman"/>
          <w:lang w:val="en-US"/>
        </w:rPr>
      </w:pPr>
    </w:p>
  </w:footnote>
  <w:footnote w:id="12">
    <w:p w:rsidR="00CD5F5C" w:rsidRPr="008272F8" w:rsidRDefault="00CD5F5C" w:rsidP="008272F8">
      <w:pPr>
        <w:pStyle w:val="a4"/>
        <w:rPr>
          <w:rFonts w:ascii="Times New Roman" w:hAnsi="Times New Roman" w:cs="Times New Roman"/>
          <w:lang w:val="en-US"/>
        </w:rPr>
      </w:pPr>
      <w:r w:rsidRPr="008272F8">
        <w:rPr>
          <w:rStyle w:val="a6"/>
          <w:rFonts w:ascii="Times New Roman" w:hAnsi="Times New Roman" w:cs="Times New Roman"/>
        </w:rPr>
        <w:footnoteRef/>
      </w:r>
      <w:r w:rsidRPr="008272F8">
        <w:rPr>
          <w:rFonts w:ascii="Times New Roman" w:hAnsi="Times New Roman" w:cs="Times New Roman"/>
          <w:lang w:val="en-US"/>
        </w:rPr>
        <w:t xml:space="preserve"> Bebchuk, Lucian Arye, and Jesse M. Fried. "Executive Compensation as an Agency Problem." </w:t>
      </w:r>
      <w:r w:rsidRPr="005308D6">
        <w:rPr>
          <w:rFonts w:ascii="Times New Roman" w:hAnsi="Times New Roman" w:cs="Times New Roman"/>
          <w:i/>
          <w:iCs/>
          <w:lang w:val="en-US"/>
        </w:rPr>
        <w:t>SSRN Electronic Journal SSRN Journal</w:t>
      </w:r>
      <w:r w:rsidRPr="005308D6">
        <w:rPr>
          <w:rFonts w:ascii="Times New Roman" w:hAnsi="Times New Roman" w:cs="Times New Roman"/>
          <w:lang w:val="en-US"/>
        </w:rPr>
        <w:t xml:space="preserve">. </w:t>
      </w:r>
    </w:p>
    <w:p w:rsidR="00CD5F5C" w:rsidRPr="00007511" w:rsidRDefault="00CD5F5C">
      <w:pPr>
        <w:pStyle w:val="a4"/>
        <w:rPr>
          <w:rFonts w:ascii="Times New Roman" w:hAnsi="Times New Roman" w:cs="Times New Roman"/>
          <w:lang w:val="en-US"/>
        </w:rPr>
      </w:pPr>
    </w:p>
  </w:footnote>
  <w:footnote w:id="13">
    <w:p w:rsidR="00CD5F5C" w:rsidRPr="005308D6" w:rsidRDefault="00CD5F5C" w:rsidP="005308D6">
      <w:pPr>
        <w:pStyle w:val="a4"/>
        <w:rPr>
          <w:rFonts w:ascii="Times New Roman" w:hAnsi="Times New Roman" w:cs="Times New Roman"/>
          <w:lang w:val="en-US"/>
        </w:rPr>
      </w:pPr>
      <w:r w:rsidRPr="00B3017B">
        <w:rPr>
          <w:rStyle w:val="a6"/>
          <w:rFonts w:ascii="Times New Roman" w:hAnsi="Times New Roman" w:cs="Times New Roman"/>
        </w:rPr>
        <w:footnoteRef/>
      </w:r>
      <w:r>
        <w:rPr>
          <w:rFonts w:ascii="Times New Roman" w:hAnsi="Times New Roman" w:cs="Times New Roman"/>
          <w:lang w:val="en-US"/>
        </w:rPr>
        <w:t xml:space="preserve"> </w:t>
      </w:r>
      <w:r w:rsidRPr="005308D6">
        <w:rPr>
          <w:rFonts w:ascii="Times New Roman" w:hAnsi="Times New Roman" w:cs="Times New Roman"/>
          <w:lang w:val="en-US"/>
        </w:rPr>
        <w:t>"SEC Disclosure Laws and Regulations." Inc. Accessed May 10, 2016. http://www.inc.com/encyclopedia/sec-disclosure-laws-and-regulations.html.</w:t>
      </w:r>
      <w:r w:rsidRPr="005308D6">
        <w:rPr>
          <w:lang w:val="en-US"/>
        </w:rPr>
        <w:t xml:space="preserve"> </w:t>
      </w:r>
    </w:p>
    <w:p w:rsidR="00CD5F5C" w:rsidRPr="00B3017B" w:rsidRDefault="00CD5F5C">
      <w:pPr>
        <w:pStyle w:val="a4"/>
        <w:rPr>
          <w:rFonts w:ascii="Times New Roman" w:hAnsi="Times New Roman" w:cs="Times New Roman"/>
          <w:lang w:val="en-US"/>
        </w:rPr>
      </w:pPr>
    </w:p>
  </w:footnote>
  <w:footnote w:id="14">
    <w:p w:rsidR="00CD5F5C" w:rsidRPr="002367B6" w:rsidRDefault="00CD5F5C">
      <w:pPr>
        <w:pStyle w:val="a4"/>
        <w:rPr>
          <w:rFonts w:ascii="Times New Roman" w:hAnsi="Times New Roman" w:cs="Times New Roman"/>
          <w:lang w:val="en-US"/>
        </w:rPr>
      </w:pPr>
      <w:r w:rsidRPr="002367B6">
        <w:rPr>
          <w:rStyle w:val="a6"/>
          <w:rFonts w:ascii="Times New Roman" w:hAnsi="Times New Roman" w:cs="Times New Roman"/>
        </w:rPr>
        <w:footnoteRef/>
      </w:r>
      <w:r w:rsidRPr="002367B6">
        <w:rPr>
          <w:rFonts w:ascii="Times New Roman" w:hAnsi="Times New Roman" w:cs="Times New Roman"/>
          <w:lang w:val="en-US"/>
        </w:rPr>
        <w:t xml:space="preserve"> </w:t>
      </w:r>
      <w:r w:rsidRPr="002367B6">
        <w:rPr>
          <w:rFonts w:ascii="Times New Roman" w:hAnsi="Times New Roman" w:cs="Times New Roman"/>
          <w:i/>
          <w:iCs/>
          <w:lang w:val="en-US"/>
        </w:rPr>
        <w:t>Revised Pillar 3 Disclosure Requirements Standards</w:t>
      </w:r>
      <w:r w:rsidRPr="002367B6">
        <w:rPr>
          <w:rFonts w:ascii="Times New Roman" w:hAnsi="Times New Roman" w:cs="Times New Roman"/>
          <w:lang w:val="en-US"/>
        </w:rPr>
        <w:t xml:space="preserve">. Basel: Bank for Internat. Settlements, 2015. </w:t>
      </w:r>
    </w:p>
  </w:footnote>
  <w:footnote w:id="15">
    <w:p w:rsidR="00CD5F5C" w:rsidRPr="002367B6" w:rsidRDefault="00CD5F5C">
      <w:pPr>
        <w:pStyle w:val="a4"/>
        <w:rPr>
          <w:rFonts w:ascii="Times New Roman" w:hAnsi="Times New Roman" w:cs="Times New Roman"/>
          <w:lang w:val="en-US"/>
        </w:rPr>
      </w:pPr>
      <w:r w:rsidRPr="002367B6">
        <w:rPr>
          <w:rStyle w:val="a6"/>
          <w:rFonts w:ascii="Times New Roman" w:hAnsi="Times New Roman" w:cs="Times New Roman"/>
        </w:rPr>
        <w:footnoteRef/>
      </w:r>
      <w:r w:rsidRPr="002367B6">
        <w:rPr>
          <w:rFonts w:ascii="Times New Roman" w:hAnsi="Times New Roman" w:cs="Times New Roman"/>
          <w:lang w:val="en-US"/>
        </w:rPr>
        <w:t xml:space="preserve"> Kraus, Susan. </w:t>
      </w:r>
      <w:r w:rsidRPr="002367B6">
        <w:rPr>
          <w:rFonts w:ascii="Times New Roman" w:hAnsi="Times New Roman" w:cs="Times New Roman"/>
          <w:i/>
          <w:iCs/>
          <w:lang w:val="en-US"/>
        </w:rPr>
        <w:t>Enhancing Bank Transparency: Public Disclosure and Supervisory Information That Promote Safety and Soundness in Banking Systems</w:t>
      </w:r>
      <w:r w:rsidRPr="002367B6">
        <w:rPr>
          <w:rFonts w:ascii="Times New Roman" w:hAnsi="Times New Roman" w:cs="Times New Roman"/>
          <w:lang w:val="en-US"/>
        </w:rPr>
        <w:t xml:space="preserve">. </w:t>
      </w:r>
      <w:r w:rsidRPr="002E448E">
        <w:rPr>
          <w:rFonts w:ascii="Times New Roman" w:hAnsi="Times New Roman" w:cs="Times New Roman"/>
          <w:lang w:val="en-US"/>
        </w:rPr>
        <w:t xml:space="preserve">Basle: Basle Committee on Banking Supervision, 1998. </w:t>
      </w:r>
    </w:p>
  </w:footnote>
  <w:footnote w:id="16">
    <w:p w:rsidR="00CD5F5C" w:rsidRPr="00D553B0" w:rsidRDefault="00CD5F5C" w:rsidP="002819BB">
      <w:pPr>
        <w:pStyle w:val="a4"/>
        <w:rPr>
          <w:rFonts w:ascii="Times New Roman" w:hAnsi="Times New Roman" w:cs="Times New Roman"/>
          <w:lang w:val="en-US"/>
        </w:rPr>
      </w:pPr>
      <w:r w:rsidRPr="00D553B0">
        <w:rPr>
          <w:rStyle w:val="a6"/>
          <w:rFonts w:ascii="Times New Roman" w:hAnsi="Times New Roman" w:cs="Times New Roman"/>
        </w:rPr>
        <w:footnoteRef/>
      </w:r>
      <w:r w:rsidRPr="00D553B0">
        <w:rPr>
          <w:rFonts w:ascii="Times New Roman" w:hAnsi="Times New Roman" w:cs="Times New Roman"/>
          <w:lang w:val="en-US"/>
        </w:rPr>
        <w:t xml:space="preserve"> See Diamond and Verrecchia (1991), Verrecchia (1994), Botosan (1997) Bushee and Noe (2000), Easley et al. (2002), Easley and O’Hara (2004), Baumann and Nier (2004), Kothari, Li, and Short (2009), Lambert et al.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421A"/>
    <w:multiLevelType w:val="multilevel"/>
    <w:tmpl w:val="5C9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B51C49"/>
    <w:multiLevelType w:val="hybridMultilevel"/>
    <w:tmpl w:val="94ECC28C"/>
    <w:lvl w:ilvl="0" w:tplc="2B60797E">
      <w:start w:val="1"/>
      <w:numFmt w:val="decimal"/>
      <w:lvlText w:val="%1."/>
      <w:lvlJc w:val="left"/>
      <w:pPr>
        <w:tabs>
          <w:tab w:val="num" w:pos="720"/>
        </w:tabs>
        <w:ind w:left="720" w:hanging="360"/>
      </w:pPr>
    </w:lvl>
    <w:lvl w:ilvl="1" w:tplc="5FA6D716" w:tentative="1">
      <w:start w:val="1"/>
      <w:numFmt w:val="decimal"/>
      <w:lvlText w:val="%2."/>
      <w:lvlJc w:val="left"/>
      <w:pPr>
        <w:tabs>
          <w:tab w:val="num" w:pos="1440"/>
        </w:tabs>
        <w:ind w:left="1440" w:hanging="360"/>
      </w:pPr>
    </w:lvl>
    <w:lvl w:ilvl="2" w:tplc="F79A927C" w:tentative="1">
      <w:start w:val="1"/>
      <w:numFmt w:val="decimal"/>
      <w:lvlText w:val="%3."/>
      <w:lvlJc w:val="left"/>
      <w:pPr>
        <w:tabs>
          <w:tab w:val="num" w:pos="2160"/>
        </w:tabs>
        <w:ind w:left="2160" w:hanging="360"/>
      </w:pPr>
    </w:lvl>
    <w:lvl w:ilvl="3" w:tplc="40A0856A" w:tentative="1">
      <w:start w:val="1"/>
      <w:numFmt w:val="decimal"/>
      <w:lvlText w:val="%4."/>
      <w:lvlJc w:val="left"/>
      <w:pPr>
        <w:tabs>
          <w:tab w:val="num" w:pos="2880"/>
        </w:tabs>
        <w:ind w:left="2880" w:hanging="360"/>
      </w:pPr>
    </w:lvl>
    <w:lvl w:ilvl="4" w:tplc="9910926A" w:tentative="1">
      <w:start w:val="1"/>
      <w:numFmt w:val="decimal"/>
      <w:lvlText w:val="%5."/>
      <w:lvlJc w:val="left"/>
      <w:pPr>
        <w:tabs>
          <w:tab w:val="num" w:pos="3600"/>
        </w:tabs>
        <w:ind w:left="3600" w:hanging="360"/>
      </w:pPr>
    </w:lvl>
    <w:lvl w:ilvl="5" w:tplc="93AEFEC4" w:tentative="1">
      <w:start w:val="1"/>
      <w:numFmt w:val="decimal"/>
      <w:lvlText w:val="%6."/>
      <w:lvlJc w:val="left"/>
      <w:pPr>
        <w:tabs>
          <w:tab w:val="num" w:pos="4320"/>
        </w:tabs>
        <w:ind w:left="4320" w:hanging="360"/>
      </w:pPr>
    </w:lvl>
    <w:lvl w:ilvl="6" w:tplc="2962F3DA" w:tentative="1">
      <w:start w:val="1"/>
      <w:numFmt w:val="decimal"/>
      <w:lvlText w:val="%7."/>
      <w:lvlJc w:val="left"/>
      <w:pPr>
        <w:tabs>
          <w:tab w:val="num" w:pos="5040"/>
        </w:tabs>
        <w:ind w:left="5040" w:hanging="360"/>
      </w:pPr>
    </w:lvl>
    <w:lvl w:ilvl="7" w:tplc="8F1CB9D6" w:tentative="1">
      <w:start w:val="1"/>
      <w:numFmt w:val="decimal"/>
      <w:lvlText w:val="%8."/>
      <w:lvlJc w:val="left"/>
      <w:pPr>
        <w:tabs>
          <w:tab w:val="num" w:pos="5760"/>
        </w:tabs>
        <w:ind w:left="5760" w:hanging="360"/>
      </w:pPr>
    </w:lvl>
    <w:lvl w:ilvl="8" w:tplc="B75015BE" w:tentative="1">
      <w:start w:val="1"/>
      <w:numFmt w:val="decimal"/>
      <w:lvlText w:val="%9."/>
      <w:lvlJc w:val="left"/>
      <w:pPr>
        <w:tabs>
          <w:tab w:val="num" w:pos="6480"/>
        </w:tabs>
        <w:ind w:left="6480" w:hanging="360"/>
      </w:pPr>
    </w:lvl>
  </w:abstractNum>
  <w:abstractNum w:abstractNumId="2" w15:restartNumberingAfterBreak="0">
    <w:nsid w:val="1AF2790C"/>
    <w:multiLevelType w:val="hybridMultilevel"/>
    <w:tmpl w:val="9E443F56"/>
    <w:lvl w:ilvl="0" w:tplc="9992DD2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C9D725F"/>
    <w:multiLevelType w:val="hybridMultilevel"/>
    <w:tmpl w:val="C9E0493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FA11124"/>
    <w:multiLevelType w:val="hybridMultilevel"/>
    <w:tmpl w:val="ACDE2B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23C770B"/>
    <w:multiLevelType w:val="hybridMultilevel"/>
    <w:tmpl w:val="9D266026"/>
    <w:lvl w:ilvl="0" w:tplc="23BEA06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362C8"/>
    <w:multiLevelType w:val="multilevel"/>
    <w:tmpl w:val="AC560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AA4C8B"/>
    <w:multiLevelType w:val="multilevel"/>
    <w:tmpl w:val="77CA0C78"/>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6B17A92"/>
    <w:multiLevelType w:val="hybridMultilevel"/>
    <w:tmpl w:val="B4E68B76"/>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B0598F"/>
    <w:multiLevelType w:val="hybridMultilevel"/>
    <w:tmpl w:val="FB8EF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1CF1A17"/>
    <w:multiLevelType w:val="hybridMultilevel"/>
    <w:tmpl w:val="12B05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98A2500"/>
    <w:multiLevelType w:val="hybridMultilevel"/>
    <w:tmpl w:val="5E7AD5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C5F34B7"/>
    <w:multiLevelType w:val="multilevel"/>
    <w:tmpl w:val="EC04F39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A3082F"/>
    <w:multiLevelType w:val="multilevel"/>
    <w:tmpl w:val="45B0D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AB1BEB"/>
    <w:multiLevelType w:val="multilevel"/>
    <w:tmpl w:val="73504C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9F040F"/>
    <w:multiLevelType w:val="multilevel"/>
    <w:tmpl w:val="D74E5A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0"/>
  </w:num>
  <w:num w:numId="4">
    <w:abstractNumId w:val="4"/>
  </w:num>
  <w:num w:numId="5">
    <w:abstractNumId w:val="13"/>
  </w:num>
  <w:num w:numId="6">
    <w:abstractNumId w:val="14"/>
  </w:num>
  <w:num w:numId="7">
    <w:abstractNumId w:val="15"/>
  </w:num>
  <w:num w:numId="8">
    <w:abstractNumId w:val="12"/>
  </w:num>
  <w:num w:numId="9">
    <w:abstractNumId w:val="6"/>
  </w:num>
  <w:num w:numId="10">
    <w:abstractNumId w:val="11"/>
  </w:num>
  <w:num w:numId="11">
    <w:abstractNumId w:val="3"/>
  </w:num>
  <w:num w:numId="12">
    <w:abstractNumId w:val="7"/>
  </w:num>
  <w:num w:numId="13">
    <w:abstractNumId w:val="9"/>
  </w:num>
  <w:num w:numId="14">
    <w:abstractNumId w:val="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B2"/>
    <w:rsid w:val="00001281"/>
    <w:rsid w:val="00007511"/>
    <w:rsid w:val="00010818"/>
    <w:rsid w:val="000135EB"/>
    <w:rsid w:val="00021351"/>
    <w:rsid w:val="000214B3"/>
    <w:rsid w:val="00024A1F"/>
    <w:rsid w:val="00030E1D"/>
    <w:rsid w:val="00040A5D"/>
    <w:rsid w:val="000450AF"/>
    <w:rsid w:val="0006265D"/>
    <w:rsid w:val="00064C53"/>
    <w:rsid w:val="0007450A"/>
    <w:rsid w:val="00084386"/>
    <w:rsid w:val="0009603C"/>
    <w:rsid w:val="000A1673"/>
    <w:rsid w:val="000B1D09"/>
    <w:rsid w:val="000C1526"/>
    <w:rsid w:val="000C43BA"/>
    <w:rsid w:val="000D59DC"/>
    <w:rsid w:val="000E7CB7"/>
    <w:rsid w:val="000F1CC2"/>
    <w:rsid w:val="000F4EA6"/>
    <w:rsid w:val="001076B7"/>
    <w:rsid w:val="00120031"/>
    <w:rsid w:val="00121068"/>
    <w:rsid w:val="001246F5"/>
    <w:rsid w:val="00134054"/>
    <w:rsid w:val="00140828"/>
    <w:rsid w:val="00142B20"/>
    <w:rsid w:val="00150921"/>
    <w:rsid w:val="00151A67"/>
    <w:rsid w:val="001568B5"/>
    <w:rsid w:val="0018190E"/>
    <w:rsid w:val="00191879"/>
    <w:rsid w:val="001A2BC8"/>
    <w:rsid w:val="001A65B3"/>
    <w:rsid w:val="001B4D68"/>
    <w:rsid w:val="001D44C6"/>
    <w:rsid w:val="001E4673"/>
    <w:rsid w:val="001E468E"/>
    <w:rsid w:val="0020083B"/>
    <w:rsid w:val="0020585E"/>
    <w:rsid w:val="002100E3"/>
    <w:rsid w:val="00224FE3"/>
    <w:rsid w:val="00225B8D"/>
    <w:rsid w:val="00234661"/>
    <w:rsid w:val="00234806"/>
    <w:rsid w:val="00234BB7"/>
    <w:rsid w:val="002367B6"/>
    <w:rsid w:val="00246F6D"/>
    <w:rsid w:val="00261FDB"/>
    <w:rsid w:val="00263AE9"/>
    <w:rsid w:val="002677CE"/>
    <w:rsid w:val="0028043C"/>
    <w:rsid w:val="002819BB"/>
    <w:rsid w:val="002843E5"/>
    <w:rsid w:val="002A6DF2"/>
    <w:rsid w:val="002A7861"/>
    <w:rsid w:val="002A7F15"/>
    <w:rsid w:val="002B2570"/>
    <w:rsid w:val="002B6F23"/>
    <w:rsid w:val="002C5022"/>
    <w:rsid w:val="002D2173"/>
    <w:rsid w:val="002D79E1"/>
    <w:rsid w:val="002E448E"/>
    <w:rsid w:val="002E6C2B"/>
    <w:rsid w:val="002E6FE6"/>
    <w:rsid w:val="002F4585"/>
    <w:rsid w:val="002F79D7"/>
    <w:rsid w:val="00315455"/>
    <w:rsid w:val="00321573"/>
    <w:rsid w:val="0032542D"/>
    <w:rsid w:val="00333787"/>
    <w:rsid w:val="003363F6"/>
    <w:rsid w:val="0034253E"/>
    <w:rsid w:val="00353A13"/>
    <w:rsid w:val="003641A6"/>
    <w:rsid w:val="00366959"/>
    <w:rsid w:val="00370F95"/>
    <w:rsid w:val="00396053"/>
    <w:rsid w:val="00397A84"/>
    <w:rsid w:val="003A36A9"/>
    <w:rsid w:val="003C3A2D"/>
    <w:rsid w:val="003C7561"/>
    <w:rsid w:val="003D3EE6"/>
    <w:rsid w:val="003E0DB3"/>
    <w:rsid w:val="003E0F0A"/>
    <w:rsid w:val="003E4589"/>
    <w:rsid w:val="003F0A05"/>
    <w:rsid w:val="003F7222"/>
    <w:rsid w:val="004079EA"/>
    <w:rsid w:val="004122EF"/>
    <w:rsid w:val="004320BC"/>
    <w:rsid w:val="004323DC"/>
    <w:rsid w:val="0043303E"/>
    <w:rsid w:val="00443101"/>
    <w:rsid w:val="0044492F"/>
    <w:rsid w:val="00445A9E"/>
    <w:rsid w:val="004622AE"/>
    <w:rsid w:val="004628C8"/>
    <w:rsid w:val="00467526"/>
    <w:rsid w:val="00471E3C"/>
    <w:rsid w:val="00475212"/>
    <w:rsid w:val="004760DA"/>
    <w:rsid w:val="00490F79"/>
    <w:rsid w:val="004961FD"/>
    <w:rsid w:val="004A72D5"/>
    <w:rsid w:val="004A7622"/>
    <w:rsid w:val="004B0BD3"/>
    <w:rsid w:val="004B6F01"/>
    <w:rsid w:val="004C169E"/>
    <w:rsid w:val="004D2AFD"/>
    <w:rsid w:val="004E4B47"/>
    <w:rsid w:val="004E6B51"/>
    <w:rsid w:val="004F47D5"/>
    <w:rsid w:val="00505E21"/>
    <w:rsid w:val="00511ACA"/>
    <w:rsid w:val="00511AEC"/>
    <w:rsid w:val="00513978"/>
    <w:rsid w:val="0052369B"/>
    <w:rsid w:val="005308D6"/>
    <w:rsid w:val="0054064E"/>
    <w:rsid w:val="0054191B"/>
    <w:rsid w:val="005506B6"/>
    <w:rsid w:val="00564E2D"/>
    <w:rsid w:val="00567C4E"/>
    <w:rsid w:val="0058506A"/>
    <w:rsid w:val="00595F54"/>
    <w:rsid w:val="005A0818"/>
    <w:rsid w:val="005A3613"/>
    <w:rsid w:val="005A4D7C"/>
    <w:rsid w:val="005A4E43"/>
    <w:rsid w:val="005A5461"/>
    <w:rsid w:val="005C4A33"/>
    <w:rsid w:val="005C7B56"/>
    <w:rsid w:val="005D34A6"/>
    <w:rsid w:val="00607966"/>
    <w:rsid w:val="006110C8"/>
    <w:rsid w:val="00611FC1"/>
    <w:rsid w:val="00624632"/>
    <w:rsid w:val="00633009"/>
    <w:rsid w:val="006457BD"/>
    <w:rsid w:val="00650187"/>
    <w:rsid w:val="00665741"/>
    <w:rsid w:val="00666BE3"/>
    <w:rsid w:val="00681522"/>
    <w:rsid w:val="00694399"/>
    <w:rsid w:val="00697537"/>
    <w:rsid w:val="006A3304"/>
    <w:rsid w:val="006A4D63"/>
    <w:rsid w:val="006A7C72"/>
    <w:rsid w:val="006B3A35"/>
    <w:rsid w:val="006B7FCD"/>
    <w:rsid w:val="007035B7"/>
    <w:rsid w:val="00710A32"/>
    <w:rsid w:val="007329FA"/>
    <w:rsid w:val="007368CC"/>
    <w:rsid w:val="007423AD"/>
    <w:rsid w:val="00745D55"/>
    <w:rsid w:val="00754A43"/>
    <w:rsid w:val="0076322E"/>
    <w:rsid w:val="00766714"/>
    <w:rsid w:val="007676C7"/>
    <w:rsid w:val="007715B3"/>
    <w:rsid w:val="0078601F"/>
    <w:rsid w:val="00790587"/>
    <w:rsid w:val="007910F8"/>
    <w:rsid w:val="007A339C"/>
    <w:rsid w:val="007A4CF6"/>
    <w:rsid w:val="007B06AC"/>
    <w:rsid w:val="007C02AF"/>
    <w:rsid w:val="007C6B5B"/>
    <w:rsid w:val="007C7076"/>
    <w:rsid w:val="007D7EE4"/>
    <w:rsid w:val="007E10F5"/>
    <w:rsid w:val="007F07D5"/>
    <w:rsid w:val="007F6DB3"/>
    <w:rsid w:val="0080755B"/>
    <w:rsid w:val="00825301"/>
    <w:rsid w:val="008272F8"/>
    <w:rsid w:val="00832793"/>
    <w:rsid w:val="0085257C"/>
    <w:rsid w:val="0086257D"/>
    <w:rsid w:val="008724C8"/>
    <w:rsid w:val="0087483B"/>
    <w:rsid w:val="0088300B"/>
    <w:rsid w:val="00892DFA"/>
    <w:rsid w:val="008E3BC2"/>
    <w:rsid w:val="008E3D37"/>
    <w:rsid w:val="008E5586"/>
    <w:rsid w:val="008F2872"/>
    <w:rsid w:val="008F4184"/>
    <w:rsid w:val="008F53B2"/>
    <w:rsid w:val="00900DFD"/>
    <w:rsid w:val="0091030E"/>
    <w:rsid w:val="00910656"/>
    <w:rsid w:val="0091664C"/>
    <w:rsid w:val="0092222F"/>
    <w:rsid w:val="0092387E"/>
    <w:rsid w:val="0092456E"/>
    <w:rsid w:val="00926680"/>
    <w:rsid w:val="00936199"/>
    <w:rsid w:val="00940FFA"/>
    <w:rsid w:val="0094392D"/>
    <w:rsid w:val="009741A0"/>
    <w:rsid w:val="00983D4A"/>
    <w:rsid w:val="009B2949"/>
    <w:rsid w:val="009B64E3"/>
    <w:rsid w:val="009C0D2E"/>
    <w:rsid w:val="009C19F1"/>
    <w:rsid w:val="009C1B6D"/>
    <w:rsid w:val="009D3691"/>
    <w:rsid w:val="009D40A4"/>
    <w:rsid w:val="009D5F40"/>
    <w:rsid w:val="009D7CB3"/>
    <w:rsid w:val="009E38E5"/>
    <w:rsid w:val="009E52BD"/>
    <w:rsid w:val="009E7B11"/>
    <w:rsid w:val="009F6AEA"/>
    <w:rsid w:val="00A03FE1"/>
    <w:rsid w:val="00A10E8F"/>
    <w:rsid w:val="00A11D7C"/>
    <w:rsid w:val="00A2409E"/>
    <w:rsid w:val="00A3064A"/>
    <w:rsid w:val="00A43170"/>
    <w:rsid w:val="00A57CEE"/>
    <w:rsid w:val="00A74B64"/>
    <w:rsid w:val="00A7617C"/>
    <w:rsid w:val="00A7634E"/>
    <w:rsid w:val="00A86C22"/>
    <w:rsid w:val="00AA5F22"/>
    <w:rsid w:val="00AB3A57"/>
    <w:rsid w:val="00AC1B8C"/>
    <w:rsid w:val="00AC2B39"/>
    <w:rsid w:val="00AD09F1"/>
    <w:rsid w:val="00AE0B9C"/>
    <w:rsid w:val="00AE3450"/>
    <w:rsid w:val="00AE4F91"/>
    <w:rsid w:val="00AF0B79"/>
    <w:rsid w:val="00AF1F30"/>
    <w:rsid w:val="00AF25D6"/>
    <w:rsid w:val="00AF2BDD"/>
    <w:rsid w:val="00AF4E99"/>
    <w:rsid w:val="00B01645"/>
    <w:rsid w:val="00B03582"/>
    <w:rsid w:val="00B0469A"/>
    <w:rsid w:val="00B23012"/>
    <w:rsid w:val="00B23CDA"/>
    <w:rsid w:val="00B3017B"/>
    <w:rsid w:val="00B3186A"/>
    <w:rsid w:val="00B369C6"/>
    <w:rsid w:val="00B4277B"/>
    <w:rsid w:val="00B56054"/>
    <w:rsid w:val="00B620B2"/>
    <w:rsid w:val="00B81504"/>
    <w:rsid w:val="00B81E14"/>
    <w:rsid w:val="00B850D6"/>
    <w:rsid w:val="00B8599F"/>
    <w:rsid w:val="00B86BAC"/>
    <w:rsid w:val="00B92360"/>
    <w:rsid w:val="00BB23E4"/>
    <w:rsid w:val="00BB666C"/>
    <w:rsid w:val="00BB6C93"/>
    <w:rsid w:val="00BD72B3"/>
    <w:rsid w:val="00BD7CE6"/>
    <w:rsid w:val="00BD7FE7"/>
    <w:rsid w:val="00BE39E1"/>
    <w:rsid w:val="00BF09AB"/>
    <w:rsid w:val="00BF1EC8"/>
    <w:rsid w:val="00C24588"/>
    <w:rsid w:val="00C365B6"/>
    <w:rsid w:val="00C405D4"/>
    <w:rsid w:val="00C45611"/>
    <w:rsid w:val="00C67783"/>
    <w:rsid w:val="00C83D2B"/>
    <w:rsid w:val="00C946D2"/>
    <w:rsid w:val="00C96A80"/>
    <w:rsid w:val="00C978F7"/>
    <w:rsid w:val="00CA33D8"/>
    <w:rsid w:val="00CA7EF3"/>
    <w:rsid w:val="00CB0173"/>
    <w:rsid w:val="00CB31B1"/>
    <w:rsid w:val="00CC1EC7"/>
    <w:rsid w:val="00CC6AAD"/>
    <w:rsid w:val="00CD02D3"/>
    <w:rsid w:val="00CD03B7"/>
    <w:rsid w:val="00CD5F5C"/>
    <w:rsid w:val="00CE04DD"/>
    <w:rsid w:val="00CE2BAE"/>
    <w:rsid w:val="00D032BF"/>
    <w:rsid w:val="00D0684B"/>
    <w:rsid w:val="00D07BA5"/>
    <w:rsid w:val="00D222CF"/>
    <w:rsid w:val="00D31865"/>
    <w:rsid w:val="00D501BB"/>
    <w:rsid w:val="00D53C67"/>
    <w:rsid w:val="00D553B0"/>
    <w:rsid w:val="00D6571D"/>
    <w:rsid w:val="00D81717"/>
    <w:rsid w:val="00D8373D"/>
    <w:rsid w:val="00D83B66"/>
    <w:rsid w:val="00D92508"/>
    <w:rsid w:val="00DA29B1"/>
    <w:rsid w:val="00DC04A3"/>
    <w:rsid w:val="00DC1AD5"/>
    <w:rsid w:val="00DD5115"/>
    <w:rsid w:val="00DD5D01"/>
    <w:rsid w:val="00DE47A1"/>
    <w:rsid w:val="00DF26A7"/>
    <w:rsid w:val="00DF4939"/>
    <w:rsid w:val="00E026FD"/>
    <w:rsid w:val="00E05B63"/>
    <w:rsid w:val="00E21003"/>
    <w:rsid w:val="00E33909"/>
    <w:rsid w:val="00E33E91"/>
    <w:rsid w:val="00E34255"/>
    <w:rsid w:val="00E35944"/>
    <w:rsid w:val="00E4615E"/>
    <w:rsid w:val="00E47893"/>
    <w:rsid w:val="00E54880"/>
    <w:rsid w:val="00E57A09"/>
    <w:rsid w:val="00E62263"/>
    <w:rsid w:val="00E641EB"/>
    <w:rsid w:val="00E7103B"/>
    <w:rsid w:val="00E71B39"/>
    <w:rsid w:val="00E825D9"/>
    <w:rsid w:val="00EA2441"/>
    <w:rsid w:val="00EA2F61"/>
    <w:rsid w:val="00EC1E53"/>
    <w:rsid w:val="00EC3B62"/>
    <w:rsid w:val="00EC4617"/>
    <w:rsid w:val="00EF5715"/>
    <w:rsid w:val="00F05F7B"/>
    <w:rsid w:val="00F072F8"/>
    <w:rsid w:val="00F144C2"/>
    <w:rsid w:val="00F21E08"/>
    <w:rsid w:val="00F22BC9"/>
    <w:rsid w:val="00F23B1B"/>
    <w:rsid w:val="00F26A33"/>
    <w:rsid w:val="00F415C5"/>
    <w:rsid w:val="00F4193C"/>
    <w:rsid w:val="00F43A1C"/>
    <w:rsid w:val="00F6403E"/>
    <w:rsid w:val="00F6438C"/>
    <w:rsid w:val="00F81E98"/>
    <w:rsid w:val="00F83D2B"/>
    <w:rsid w:val="00F92921"/>
    <w:rsid w:val="00F929EC"/>
    <w:rsid w:val="00FA468D"/>
    <w:rsid w:val="00FB047A"/>
    <w:rsid w:val="00FB6F49"/>
    <w:rsid w:val="00FD072D"/>
    <w:rsid w:val="00FD0E35"/>
    <w:rsid w:val="00FE27D7"/>
    <w:rsid w:val="00FE2F35"/>
    <w:rsid w:val="00FE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24DD8-88DC-4247-ABF9-FBD1EE52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4880"/>
    <w:pPr>
      <w:keepNext/>
      <w:keepLines/>
      <w:spacing w:before="240" w:after="36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E54880"/>
    <w:pPr>
      <w:keepNext/>
      <w:keepLines/>
      <w:spacing w:before="240" w:after="240"/>
      <w:outlineLvl w:val="1"/>
    </w:pPr>
    <w:rPr>
      <w:rFonts w:ascii="Times New Roman" w:eastAsiaTheme="majorEastAsia" w:hAnsi="Times New Roman" w:cstheme="majorBidi"/>
      <w:b/>
      <w:color w:val="000000" w:themeColor="text1"/>
      <w:sz w:val="24"/>
      <w:szCs w:val="26"/>
    </w:rPr>
  </w:style>
  <w:style w:type="paragraph" w:styleId="3">
    <w:name w:val="heading 3"/>
    <w:basedOn w:val="a"/>
    <w:next w:val="a"/>
    <w:link w:val="30"/>
    <w:uiPriority w:val="9"/>
    <w:unhideWhenUsed/>
    <w:qFormat/>
    <w:rsid w:val="00396053"/>
    <w:pPr>
      <w:keepNext/>
      <w:keepLines/>
      <w:spacing w:before="40" w:after="120"/>
      <w:outlineLvl w:val="2"/>
    </w:pPr>
    <w:rPr>
      <w:rFonts w:ascii="Times New Roman" w:eastAsiaTheme="majorEastAsia" w:hAnsi="Times New Roman" w:cstheme="majorBidi"/>
      <w:b/>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58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E47893"/>
    <w:pPr>
      <w:spacing w:after="0" w:line="240" w:lineRule="auto"/>
    </w:pPr>
    <w:rPr>
      <w:sz w:val="20"/>
      <w:szCs w:val="20"/>
    </w:rPr>
  </w:style>
  <w:style w:type="character" w:customStyle="1" w:styleId="a5">
    <w:name w:val="Текст сноски Знак"/>
    <w:basedOn w:val="a0"/>
    <w:link w:val="a4"/>
    <w:uiPriority w:val="99"/>
    <w:rsid w:val="00E47893"/>
    <w:rPr>
      <w:sz w:val="20"/>
      <w:szCs w:val="20"/>
    </w:rPr>
  </w:style>
  <w:style w:type="character" w:styleId="a6">
    <w:name w:val="footnote reference"/>
    <w:basedOn w:val="a0"/>
    <w:uiPriority w:val="99"/>
    <w:semiHidden/>
    <w:unhideWhenUsed/>
    <w:rsid w:val="00E47893"/>
    <w:rPr>
      <w:vertAlign w:val="superscript"/>
    </w:rPr>
  </w:style>
  <w:style w:type="character" w:customStyle="1" w:styleId="10">
    <w:name w:val="Заголовок 1 Знак"/>
    <w:basedOn w:val="a0"/>
    <w:link w:val="1"/>
    <w:uiPriority w:val="9"/>
    <w:rsid w:val="00E54880"/>
    <w:rPr>
      <w:rFonts w:ascii="Times New Roman" w:eastAsiaTheme="majorEastAsia" w:hAnsi="Times New Roman" w:cstheme="majorBidi"/>
      <w:b/>
      <w:color w:val="000000" w:themeColor="text1"/>
      <w:sz w:val="28"/>
      <w:szCs w:val="32"/>
    </w:rPr>
  </w:style>
  <w:style w:type="paragraph" w:styleId="a7">
    <w:name w:val="header"/>
    <w:basedOn w:val="a"/>
    <w:link w:val="a8"/>
    <w:uiPriority w:val="99"/>
    <w:unhideWhenUsed/>
    <w:rsid w:val="00BB23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23E4"/>
  </w:style>
  <w:style w:type="paragraph" w:styleId="a9">
    <w:name w:val="footer"/>
    <w:basedOn w:val="a"/>
    <w:link w:val="aa"/>
    <w:uiPriority w:val="99"/>
    <w:unhideWhenUsed/>
    <w:rsid w:val="00BB23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23E4"/>
  </w:style>
  <w:style w:type="character" w:customStyle="1" w:styleId="20">
    <w:name w:val="Заголовок 2 Знак"/>
    <w:basedOn w:val="a0"/>
    <w:link w:val="2"/>
    <w:uiPriority w:val="9"/>
    <w:rsid w:val="00E54880"/>
    <w:rPr>
      <w:rFonts w:ascii="Times New Roman" w:eastAsiaTheme="majorEastAsia" w:hAnsi="Times New Roman" w:cstheme="majorBidi"/>
      <w:b/>
      <w:color w:val="000000" w:themeColor="text1"/>
      <w:sz w:val="24"/>
      <w:szCs w:val="26"/>
    </w:rPr>
  </w:style>
  <w:style w:type="character" w:customStyle="1" w:styleId="apple-converted-space">
    <w:name w:val="apple-converted-space"/>
    <w:basedOn w:val="a0"/>
    <w:rsid w:val="008E5586"/>
  </w:style>
  <w:style w:type="table" w:styleId="ab">
    <w:name w:val="Table Grid"/>
    <w:basedOn w:val="a1"/>
    <w:uiPriority w:val="59"/>
    <w:rsid w:val="008E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B56054"/>
    <w:rPr>
      <w:i/>
      <w:iCs/>
    </w:rPr>
  </w:style>
  <w:style w:type="paragraph" w:styleId="ad">
    <w:name w:val="Normal (Web)"/>
    <w:basedOn w:val="a"/>
    <w:uiPriority w:val="99"/>
    <w:semiHidden/>
    <w:unhideWhenUsed/>
    <w:rsid w:val="00471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71E3C"/>
    <w:rPr>
      <w:color w:val="0000FF"/>
      <w:u w:val="single"/>
    </w:rPr>
  </w:style>
  <w:style w:type="paragraph" w:styleId="af">
    <w:name w:val="TOC Heading"/>
    <w:basedOn w:val="1"/>
    <w:next w:val="a"/>
    <w:uiPriority w:val="39"/>
    <w:unhideWhenUsed/>
    <w:qFormat/>
    <w:rsid w:val="00CA33D8"/>
    <w:pPr>
      <w:spacing w:after="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CA33D8"/>
    <w:pPr>
      <w:spacing w:after="100"/>
    </w:pPr>
  </w:style>
  <w:style w:type="paragraph" w:styleId="21">
    <w:name w:val="toc 2"/>
    <w:basedOn w:val="a"/>
    <w:next w:val="a"/>
    <w:autoRedefine/>
    <w:uiPriority w:val="39"/>
    <w:unhideWhenUsed/>
    <w:rsid w:val="00CA33D8"/>
    <w:pPr>
      <w:spacing w:after="100"/>
      <w:ind w:left="220"/>
    </w:pPr>
  </w:style>
  <w:style w:type="character" w:customStyle="1" w:styleId="30">
    <w:name w:val="Заголовок 3 Знак"/>
    <w:basedOn w:val="a0"/>
    <w:link w:val="3"/>
    <w:uiPriority w:val="9"/>
    <w:rsid w:val="00396053"/>
    <w:rPr>
      <w:rFonts w:ascii="Times New Roman" w:eastAsiaTheme="majorEastAsia" w:hAnsi="Times New Roman" w:cstheme="majorBidi"/>
      <w:b/>
      <w:color w:val="000000" w:themeColor="text1"/>
      <w:sz w:val="24"/>
      <w:szCs w:val="24"/>
    </w:rPr>
  </w:style>
  <w:style w:type="paragraph" w:styleId="31">
    <w:name w:val="toc 3"/>
    <w:basedOn w:val="a"/>
    <w:next w:val="a"/>
    <w:autoRedefine/>
    <w:uiPriority w:val="39"/>
    <w:unhideWhenUsed/>
    <w:rsid w:val="003215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331">
      <w:bodyDiv w:val="1"/>
      <w:marLeft w:val="0"/>
      <w:marRight w:val="0"/>
      <w:marTop w:val="0"/>
      <w:marBottom w:val="0"/>
      <w:divBdr>
        <w:top w:val="none" w:sz="0" w:space="0" w:color="auto"/>
        <w:left w:val="none" w:sz="0" w:space="0" w:color="auto"/>
        <w:bottom w:val="none" w:sz="0" w:space="0" w:color="auto"/>
        <w:right w:val="none" w:sz="0" w:space="0" w:color="auto"/>
      </w:divBdr>
      <w:divsChild>
        <w:div w:id="1431856859">
          <w:marLeft w:val="0"/>
          <w:marRight w:val="0"/>
          <w:marTop w:val="0"/>
          <w:marBottom w:val="0"/>
          <w:divBdr>
            <w:top w:val="none" w:sz="0" w:space="0" w:color="auto"/>
            <w:left w:val="none" w:sz="0" w:space="0" w:color="auto"/>
            <w:bottom w:val="none" w:sz="0" w:space="0" w:color="auto"/>
            <w:right w:val="none" w:sz="0" w:space="0" w:color="auto"/>
          </w:divBdr>
        </w:div>
      </w:divsChild>
    </w:div>
    <w:div w:id="154994491">
      <w:bodyDiv w:val="1"/>
      <w:marLeft w:val="0"/>
      <w:marRight w:val="0"/>
      <w:marTop w:val="0"/>
      <w:marBottom w:val="0"/>
      <w:divBdr>
        <w:top w:val="none" w:sz="0" w:space="0" w:color="auto"/>
        <w:left w:val="none" w:sz="0" w:space="0" w:color="auto"/>
        <w:bottom w:val="none" w:sz="0" w:space="0" w:color="auto"/>
        <w:right w:val="none" w:sz="0" w:space="0" w:color="auto"/>
      </w:divBdr>
      <w:divsChild>
        <w:div w:id="674843293">
          <w:marLeft w:val="0"/>
          <w:marRight w:val="0"/>
          <w:marTop w:val="0"/>
          <w:marBottom w:val="0"/>
          <w:divBdr>
            <w:top w:val="none" w:sz="0" w:space="0" w:color="auto"/>
            <w:left w:val="none" w:sz="0" w:space="0" w:color="auto"/>
            <w:bottom w:val="none" w:sz="0" w:space="0" w:color="auto"/>
            <w:right w:val="none" w:sz="0" w:space="0" w:color="auto"/>
          </w:divBdr>
        </w:div>
      </w:divsChild>
    </w:div>
    <w:div w:id="186792994">
      <w:bodyDiv w:val="1"/>
      <w:marLeft w:val="0"/>
      <w:marRight w:val="0"/>
      <w:marTop w:val="0"/>
      <w:marBottom w:val="0"/>
      <w:divBdr>
        <w:top w:val="none" w:sz="0" w:space="0" w:color="auto"/>
        <w:left w:val="none" w:sz="0" w:space="0" w:color="auto"/>
        <w:bottom w:val="none" w:sz="0" w:space="0" w:color="auto"/>
        <w:right w:val="none" w:sz="0" w:space="0" w:color="auto"/>
      </w:divBdr>
      <w:divsChild>
        <w:div w:id="488520441">
          <w:marLeft w:val="0"/>
          <w:marRight w:val="0"/>
          <w:marTop w:val="0"/>
          <w:marBottom w:val="0"/>
          <w:divBdr>
            <w:top w:val="none" w:sz="0" w:space="0" w:color="auto"/>
            <w:left w:val="none" w:sz="0" w:space="0" w:color="auto"/>
            <w:bottom w:val="none" w:sz="0" w:space="0" w:color="auto"/>
            <w:right w:val="none" w:sz="0" w:space="0" w:color="auto"/>
          </w:divBdr>
        </w:div>
      </w:divsChild>
    </w:div>
    <w:div w:id="230845167">
      <w:bodyDiv w:val="1"/>
      <w:marLeft w:val="0"/>
      <w:marRight w:val="0"/>
      <w:marTop w:val="0"/>
      <w:marBottom w:val="0"/>
      <w:divBdr>
        <w:top w:val="none" w:sz="0" w:space="0" w:color="auto"/>
        <w:left w:val="none" w:sz="0" w:space="0" w:color="auto"/>
        <w:bottom w:val="none" w:sz="0" w:space="0" w:color="auto"/>
        <w:right w:val="none" w:sz="0" w:space="0" w:color="auto"/>
      </w:divBdr>
      <w:divsChild>
        <w:div w:id="573856011">
          <w:marLeft w:val="0"/>
          <w:marRight w:val="0"/>
          <w:marTop w:val="0"/>
          <w:marBottom w:val="0"/>
          <w:divBdr>
            <w:top w:val="none" w:sz="0" w:space="0" w:color="auto"/>
            <w:left w:val="none" w:sz="0" w:space="0" w:color="auto"/>
            <w:bottom w:val="none" w:sz="0" w:space="0" w:color="auto"/>
            <w:right w:val="none" w:sz="0" w:space="0" w:color="auto"/>
          </w:divBdr>
        </w:div>
      </w:divsChild>
    </w:div>
    <w:div w:id="334966258">
      <w:bodyDiv w:val="1"/>
      <w:marLeft w:val="0"/>
      <w:marRight w:val="0"/>
      <w:marTop w:val="0"/>
      <w:marBottom w:val="0"/>
      <w:divBdr>
        <w:top w:val="none" w:sz="0" w:space="0" w:color="auto"/>
        <w:left w:val="none" w:sz="0" w:space="0" w:color="auto"/>
        <w:bottom w:val="none" w:sz="0" w:space="0" w:color="auto"/>
        <w:right w:val="none" w:sz="0" w:space="0" w:color="auto"/>
      </w:divBdr>
      <w:divsChild>
        <w:div w:id="1828325337">
          <w:marLeft w:val="0"/>
          <w:marRight w:val="0"/>
          <w:marTop w:val="0"/>
          <w:marBottom w:val="0"/>
          <w:divBdr>
            <w:top w:val="none" w:sz="0" w:space="0" w:color="auto"/>
            <w:left w:val="none" w:sz="0" w:space="0" w:color="auto"/>
            <w:bottom w:val="none" w:sz="0" w:space="0" w:color="auto"/>
            <w:right w:val="none" w:sz="0" w:space="0" w:color="auto"/>
          </w:divBdr>
        </w:div>
      </w:divsChild>
    </w:div>
    <w:div w:id="421100998">
      <w:bodyDiv w:val="1"/>
      <w:marLeft w:val="0"/>
      <w:marRight w:val="0"/>
      <w:marTop w:val="0"/>
      <w:marBottom w:val="0"/>
      <w:divBdr>
        <w:top w:val="none" w:sz="0" w:space="0" w:color="auto"/>
        <w:left w:val="none" w:sz="0" w:space="0" w:color="auto"/>
        <w:bottom w:val="none" w:sz="0" w:space="0" w:color="auto"/>
        <w:right w:val="none" w:sz="0" w:space="0" w:color="auto"/>
      </w:divBdr>
      <w:divsChild>
        <w:div w:id="489685867">
          <w:marLeft w:val="0"/>
          <w:marRight w:val="0"/>
          <w:marTop w:val="0"/>
          <w:marBottom w:val="0"/>
          <w:divBdr>
            <w:top w:val="none" w:sz="0" w:space="0" w:color="auto"/>
            <w:left w:val="none" w:sz="0" w:space="0" w:color="auto"/>
            <w:bottom w:val="none" w:sz="0" w:space="0" w:color="auto"/>
            <w:right w:val="none" w:sz="0" w:space="0" w:color="auto"/>
          </w:divBdr>
        </w:div>
      </w:divsChild>
    </w:div>
    <w:div w:id="488793047">
      <w:bodyDiv w:val="1"/>
      <w:marLeft w:val="0"/>
      <w:marRight w:val="0"/>
      <w:marTop w:val="0"/>
      <w:marBottom w:val="0"/>
      <w:divBdr>
        <w:top w:val="none" w:sz="0" w:space="0" w:color="auto"/>
        <w:left w:val="none" w:sz="0" w:space="0" w:color="auto"/>
        <w:bottom w:val="none" w:sz="0" w:space="0" w:color="auto"/>
        <w:right w:val="none" w:sz="0" w:space="0" w:color="auto"/>
      </w:divBdr>
      <w:divsChild>
        <w:div w:id="2078087277">
          <w:marLeft w:val="0"/>
          <w:marRight w:val="0"/>
          <w:marTop w:val="0"/>
          <w:marBottom w:val="0"/>
          <w:divBdr>
            <w:top w:val="none" w:sz="0" w:space="0" w:color="auto"/>
            <w:left w:val="none" w:sz="0" w:space="0" w:color="auto"/>
            <w:bottom w:val="none" w:sz="0" w:space="0" w:color="auto"/>
            <w:right w:val="none" w:sz="0" w:space="0" w:color="auto"/>
          </w:divBdr>
        </w:div>
      </w:divsChild>
    </w:div>
    <w:div w:id="529538848">
      <w:bodyDiv w:val="1"/>
      <w:marLeft w:val="0"/>
      <w:marRight w:val="0"/>
      <w:marTop w:val="0"/>
      <w:marBottom w:val="0"/>
      <w:divBdr>
        <w:top w:val="none" w:sz="0" w:space="0" w:color="auto"/>
        <w:left w:val="none" w:sz="0" w:space="0" w:color="auto"/>
        <w:bottom w:val="none" w:sz="0" w:space="0" w:color="auto"/>
        <w:right w:val="none" w:sz="0" w:space="0" w:color="auto"/>
      </w:divBdr>
      <w:divsChild>
        <w:div w:id="764769713">
          <w:marLeft w:val="0"/>
          <w:marRight w:val="0"/>
          <w:marTop w:val="0"/>
          <w:marBottom w:val="0"/>
          <w:divBdr>
            <w:top w:val="none" w:sz="0" w:space="0" w:color="auto"/>
            <w:left w:val="none" w:sz="0" w:space="0" w:color="auto"/>
            <w:bottom w:val="none" w:sz="0" w:space="0" w:color="auto"/>
            <w:right w:val="none" w:sz="0" w:space="0" w:color="auto"/>
          </w:divBdr>
        </w:div>
      </w:divsChild>
    </w:div>
    <w:div w:id="535460688">
      <w:bodyDiv w:val="1"/>
      <w:marLeft w:val="0"/>
      <w:marRight w:val="0"/>
      <w:marTop w:val="0"/>
      <w:marBottom w:val="0"/>
      <w:divBdr>
        <w:top w:val="none" w:sz="0" w:space="0" w:color="auto"/>
        <w:left w:val="none" w:sz="0" w:space="0" w:color="auto"/>
        <w:bottom w:val="none" w:sz="0" w:space="0" w:color="auto"/>
        <w:right w:val="none" w:sz="0" w:space="0" w:color="auto"/>
      </w:divBdr>
      <w:divsChild>
        <w:div w:id="49815615">
          <w:marLeft w:val="0"/>
          <w:marRight w:val="0"/>
          <w:marTop w:val="0"/>
          <w:marBottom w:val="0"/>
          <w:divBdr>
            <w:top w:val="none" w:sz="0" w:space="0" w:color="auto"/>
            <w:left w:val="none" w:sz="0" w:space="0" w:color="auto"/>
            <w:bottom w:val="none" w:sz="0" w:space="0" w:color="auto"/>
            <w:right w:val="none" w:sz="0" w:space="0" w:color="auto"/>
          </w:divBdr>
        </w:div>
      </w:divsChild>
    </w:div>
    <w:div w:id="583690067">
      <w:bodyDiv w:val="1"/>
      <w:marLeft w:val="0"/>
      <w:marRight w:val="0"/>
      <w:marTop w:val="0"/>
      <w:marBottom w:val="0"/>
      <w:divBdr>
        <w:top w:val="none" w:sz="0" w:space="0" w:color="auto"/>
        <w:left w:val="none" w:sz="0" w:space="0" w:color="auto"/>
        <w:bottom w:val="none" w:sz="0" w:space="0" w:color="auto"/>
        <w:right w:val="none" w:sz="0" w:space="0" w:color="auto"/>
      </w:divBdr>
      <w:divsChild>
        <w:div w:id="1230382547">
          <w:marLeft w:val="0"/>
          <w:marRight w:val="0"/>
          <w:marTop w:val="0"/>
          <w:marBottom w:val="0"/>
          <w:divBdr>
            <w:top w:val="none" w:sz="0" w:space="0" w:color="auto"/>
            <w:left w:val="none" w:sz="0" w:space="0" w:color="auto"/>
            <w:bottom w:val="none" w:sz="0" w:space="0" w:color="auto"/>
            <w:right w:val="none" w:sz="0" w:space="0" w:color="auto"/>
          </w:divBdr>
        </w:div>
      </w:divsChild>
    </w:div>
    <w:div w:id="635337373">
      <w:bodyDiv w:val="1"/>
      <w:marLeft w:val="0"/>
      <w:marRight w:val="0"/>
      <w:marTop w:val="0"/>
      <w:marBottom w:val="0"/>
      <w:divBdr>
        <w:top w:val="none" w:sz="0" w:space="0" w:color="auto"/>
        <w:left w:val="none" w:sz="0" w:space="0" w:color="auto"/>
        <w:bottom w:val="none" w:sz="0" w:space="0" w:color="auto"/>
        <w:right w:val="none" w:sz="0" w:space="0" w:color="auto"/>
      </w:divBdr>
      <w:divsChild>
        <w:div w:id="431123374">
          <w:marLeft w:val="0"/>
          <w:marRight w:val="0"/>
          <w:marTop w:val="0"/>
          <w:marBottom w:val="0"/>
          <w:divBdr>
            <w:top w:val="none" w:sz="0" w:space="0" w:color="auto"/>
            <w:left w:val="none" w:sz="0" w:space="0" w:color="auto"/>
            <w:bottom w:val="none" w:sz="0" w:space="0" w:color="auto"/>
            <w:right w:val="none" w:sz="0" w:space="0" w:color="auto"/>
          </w:divBdr>
        </w:div>
      </w:divsChild>
    </w:div>
    <w:div w:id="669412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975">
          <w:marLeft w:val="0"/>
          <w:marRight w:val="0"/>
          <w:marTop w:val="0"/>
          <w:marBottom w:val="0"/>
          <w:divBdr>
            <w:top w:val="none" w:sz="0" w:space="0" w:color="auto"/>
            <w:left w:val="none" w:sz="0" w:space="0" w:color="auto"/>
            <w:bottom w:val="none" w:sz="0" w:space="0" w:color="auto"/>
            <w:right w:val="none" w:sz="0" w:space="0" w:color="auto"/>
          </w:divBdr>
        </w:div>
      </w:divsChild>
    </w:div>
    <w:div w:id="672026632">
      <w:bodyDiv w:val="1"/>
      <w:marLeft w:val="0"/>
      <w:marRight w:val="0"/>
      <w:marTop w:val="0"/>
      <w:marBottom w:val="0"/>
      <w:divBdr>
        <w:top w:val="none" w:sz="0" w:space="0" w:color="auto"/>
        <w:left w:val="none" w:sz="0" w:space="0" w:color="auto"/>
        <w:bottom w:val="none" w:sz="0" w:space="0" w:color="auto"/>
        <w:right w:val="none" w:sz="0" w:space="0" w:color="auto"/>
      </w:divBdr>
      <w:divsChild>
        <w:div w:id="1756321138">
          <w:marLeft w:val="0"/>
          <w:marRight w:val="0"/>
          <w:marTop w:val="0"/>
          <w:marBottom w:val="0"/>
          <w:divBdr>
            <w:top w:val="none" w:sz="0" w:space="0" w:color="auto"/>
            <w:left w:val="none" w:sz="0" w:space="0" w:color="auto"/>
            <w:bottom w:val="none" w:sz="0" w:space="0" w:color="auto"/>
            <w:right w:val="none" w:sz="0" w:space="0" w:color="auto"/>
          </w:divBdr>
        </w:div>
      </w:divsChild>
    </w:div>
    <w:div w:id="699864925">
      <w:bodyDiv w:val="1"/>
      <w:marLeft w:val="0"/>
      <w:marRight w:val="0"/>
      <w:marTop w:val="0"/>
      <w:marBottom w:val="0"/>
      <w:divBdr>
        <w:top w:val="none" w:sz="0" w:space="0" w:color="auto"/>
        <w:left w:val="none" w:sz="0" w:space="0" w:color="auto"/>
        <w:bottom w:val="none" w:sz="0" w:space="0" w:color="auto"/>
        <w:right w:val="none" w:sz="0" w:space="0" w:color="auto"/>
      </w:divBdr>
      <w:divsChild>
        <w:div w:id="1767654149">
          <w:marLeft w:val="0"/>
          <w:marRight w:val="0"/>
          <w:marTop w:val="0"/>
          <w:marBottom w:val="0"/>
          <w:divBdr>
            <w:top w:val="none" w:sz="0" w:space="0" w:color="auto"/>
            <w:left w:val="none" w:sz="0" w:space="0" w:color="auto"/>
            <w:bottom w:val="none" w:sz="0" w:space="0" w:color="auto"/>
            <w:right w:val="none" w:sz="0" w:space="0" w:color="auto"/>
          </w:divBdr>
        </w:div>
      </w:divsChild>
    </w:div>
    <w:div w:id="726804412">
      <w:bodyDiv w:val="1"/>
      <w:marLeft w:val="0"/>
      <w:marRight w:val="0"/>
      <w:marTop w:val="0"/>
      <w:marBottom w:val="0"/>
      <w:divBdr>
        <w:top w:val="none" w:sz="0" w:space="0" w:color="auto"/>
        <w:left w:val="none" w:sz="0" w:space="0" w:color="auto"/>
        <w:bottom w:val="none" w:sz="0" w:space="0" w:color="auto"/>
        <w:right w:val="none" w:sz="0" w:space="0" w:color="auto"/>
      </w:divBdr>
      <w:divsChild>
        <w:div w:id="856194298">
          <w:marLeft w:val="0"/>
          <w:marRight w:val="0"/>
          <w:marTop w:val="0"/>
          <w:marBottom w:val="0"/>
          <w:divBdr>
            <w:top w:val="none" w:sz="0" w:space="0" w:color="auto"/>
            <w:left w:val="none" w:sz="0" w:space="0" w:color="auto"/>
            <w:bottom w:val="none" w:sz="0" w:space="0" w:color="auto"/>
            <w:right w:val="none" w:sz="0" w:space="0" w:color="auto"/>
          </w:divBdr>
        </w:div>
      </w:divsChild>
    </w:div>
    <w:div w:id="736517267">
      <w:bodyDiv w:val="1"/>
      <w:marLeft w:val="0"/>
      <w:marRight w:val="0"/>
      <w:marTop w:val="0"/>
      <w:marBottom w:val="0"/>
      <w:divBdr>
        <w:top w:val="none" w:sz="0" w:space="0" w:color="auto"/>
        <w:left w:val="none" w:sz="0" w:space="0" w:color="auto"/>
        <w:bottom w:val="none" w:sz="0" w:space="0" w:color="auto"/>
        <w:right w:val="none" w:sz="0" w:space="0" w:color="auto"/>
      </w:divBdr>
      <w:divsChild>
        <w:div w:id="1511290883">
          <w:marLeft w:val="0"/>
          <w:marRight w:val="0"/>
          <w:marTop w:val="0"/>
          <w:marBottom w:val="0"/>
          <w:divBdr>
            <w:top w:val="none" w:sz="0" w:space="0" w:color="auto"/>
            <w:left w:val="none" w:sz="0" w:space="0" w:color="auto"/>
            <w:bottom w:val="none" w:sz="0" w:space="0" w:color="auto"/>
            <w:right w:val="none" w:sz="0" w:space="0" w:color="auto"/>
          </w:divBdr>
        </w:div>
      </w:divsChild>
    </w:div>
    <w:div w:id="753550637">
      <w:bodyDiv w:val="1"/>
      <w:marLeft w:val="0"/>
      <w:marRight w:val="0"/>
      <w:marTop w:val="0"/>
      <w:marBottom w:val="0"/>
      <w:divBdr>
        <w:top w:val="none" w:sz="0" w:space="0" w:color="auto"/>
        <w:left w:val="none" w:sz="0" w:space="0" w:color="auto"/>
        <w:bottom w:val="none" w:sz="0" w:space="0" w:color="auto"/>
        <w:right w:val="none" w:sz="0" w:space="0" w:color="auto"/>
      </w:divBdr>
      <w:divsChild>
        <w:div w:id="414519648">
          <w:marLeft w:val="0"/>
          <w:marRight w:val="0"/>
          <w:marTop w:val="0"/>
          <w:marBottom w:val="0"/>
          <w:divBdr>
            <w:top w:val="none" w:sz="0" w:space="0" w:color="auto"/>
            <w:left w:val="none" w:sz="0" w:space="0" w:color="auto"/>
            <w:bottom w:val="none" w:sz="0" w:space="0" w:color="auto"/>
            <w:right w:val="none" w:sz="0" w:space="0" w:color="auto"/>
          </w:divBdr>
        </w:div>
      </w:divsChild>
    </w:div>
    <w:div w:id="872153116">
      <w:bodyDiv w:val="1"/>
      <w:marLeft w:val="0"/>
      <w:marRight w:val="0"/>
      <w:marTop w:val="0"/>
      <w:marBottom w:val="0"/>
      <w:divBdr>
        <w:top w:val="none" w:sz="0" w:space="0" w:color="auto"/>
        <w:left w:val="none" w:sz="0" w:space="0" w:color="auto"/>
        <w:bottom w:val="none" w:sz="0" w:space="0" w:color="auto"/>
        <w:right w:val="none" w:sz="0" w:space="0" w:color="auto"/>
      </w:divBdr>
      <w:divsChild>
        <w:div w:id="1821271305">
          <w:marLeft w:val="0"/>
          <w:marRight w:val="0"/>
          <w:marTop w:val="0"/>
          <w:marBottom w:val="0"/>
          <w:divBdr>
            <w:top w:val="none" w:sz="0" w:space="0" w:color="auto"/>
            <w:left w:val="none" w:sz="0" w:space="0" w:color="auto"/>
            <w:bottom w:val="none" w:sz="0" w:space="0" w:color="auto"/>
            <w:right w:val="none" w:sz="0" w:space="0" w:color="auto"/>
          </w:divBdr>
        </w:div>
      </w:divsChild>
    </w:div>
    <w:div w:id="942764262">
      <w:bodyDiv w:val="1"/>
      <w:marLeft w:val="0"/>
      <w:marRight w:val="0"/>
      <w:marTop w:val="0"/>
      <w:marBottom w:val="0"/>
      <w:divBdr>
        <w:top w:val="none" w:sz="0" w:space="0" w:color="auto"/>
        <w:left w:val="none" w:sz="0" w:space="0" w:color="auto"/>
        <w:bottom w:val="none" w:sz="0" w:space="0" w:color="auto"/>
        <w:right w:val="none" w:sz="0" w:space="0" w:color="auto"/>
      </w:divBdr>
      <w:divsChild>
        <w:div w:id="1664622185">
          <w:marLeft w:val="0"/>
          <w:marRight w:val="0"/>
          <w:marTop w:val="0"/>
          <w:marBottom w:val="0"/>
          <w:divBdr>
            <w:top w:val="none" w:sz="0" w:space="0" w:color="auto"/>
            <w:left w:val="none" w:sz="0" w:space="0" w:color="auto"/>
            <w:bottom w:val="none" w:sz="0" w:space="0" w:color="auto"/>
            <w:right w:val="none" w:sz="0" w:space="0" w:color="auto"/>
          </w:divBdr>
        </w:div>
      </w:divsChild>
    </w:div>
    <w:div w:id="959145412">
      <w:bodyDiv w:val="1"/>
      <w:marLeft w:val="0"/>
      <w:marRight w:val="0"/>
      <w:marTop w:val="0"/>
      <w:marBottom w:val="0"/>
      <w:divBdr>
        <w:top w:val="none" w:sz="0" w:space="0" w:color="auto"/>
        <w:left w:val="none" w:sz="0" w:space="0" w:color="auto"/>
        <w:bottom w:val="none" w:sz="0" w:space="0" w:color="auto"/>
        <w:right w:val="none" w:sz="0" w:space="0" w:color="auto"/>
      </w:divBdr>
      <w:divsChild>
        <w:div w:id="379595517">
          <w:marLeft w:val="0"/>
          <w:marRight w:val="0"/>
          <w:marTop w:val="0"/>
          <w:marBottom w:val="0"/>
          <w:divBdr>
            <w:top w:val="none" w:sz="0" w:space="0" w:color="auto"/>
            <w:left w:val="none" w:sz="0" w:space="0" w:color="auto"/>
            <w:bottom w:val="none" w:sz="0" w:space="0" w:color="auto"/>
            <w:right w:val="none" w:sz="0" w:space="0" w:color="auto"/>
          </w:divBdr>
        </w:div>
      </w:divsChild>
    </w:div>
    <w:div w:id="964045951">
      <w:bodyDiv w:val="1"/>
      <w:marLeft w:val="0"/>
      <w:marRight w:val="0"/>
      <w:marTop w:val="0"/>
      <w:marBottom w:val="0"/>
      <w:divBdr>
        <w:top w:val="none" w:sz="0" w:space="0" w:color="auto"/>
        <w:left w:val="none" w:sz="0" w:space="0" w:color="auto"/>
        <w:bottom w:val="none" w:sz="0" w:space="0" w:color="auto"/>
        <w:right w:val="none" w:sz="0" w:space="0" w:color="auto"/>
      </w:divBdr>
      <w:divsChild>
        <w:div w:id="1788618599">
          <w:marLeft w:val="0"/>
          <w:marRight w:val="0"/>
          <w:marTop w:val="0"/>
          <w:marBottom w:val="0"/>
          <w:divBdr>
            <w:top w:val="none" w:sz="0" w:space="0" w:color="auto"/>
            <w:left w:val="none" w:sz="0" w:space="0" w:color="auto"/>
            <w:bottom w:val="none" w:sz="0" w:space="0" w:color="auto"/>
            <w:right w:val="none" w:sz="0" w:space="0" w:color="auto"/>
          </w:divBdr>
        </w:div>
      </w:divsChild>
    </w:div>
    <w:div w:id="1146552700">
      <w:bodyDiv w:val="1"/>
      <w:marLeft w:val="0"/>
      <w:marRight w:val="0"/>
      <w:marTop w:val="0"/>
      <w:marBottom w:val="0"/>
      <w:divBdr>
        <w:top w:val="none" w:sz="0" w:space="0" w:color="auto"/>
        <w:left w:val="none" w:sz="0" w:space="0" w:color="auto"/>
        <w:bottom w:val="none" w:sz="0" w:space="0" w:color="auto"/>
        <w:right w:val="none" w:sz="0" w:space="0" w:color="auto"/>
      </w:divBdr>
      <w:divsChild>
        <w:div w:id="8682532">
          <w:marLeft w:val="0"/>
          <w:marRight w:val="0"/>
          <w:marTop w:val="0"/>
          <w:marBottom w:val="0"/>
          <w:divBdr>
            <w:top w:val="none" w:sz="0" w:space="0" w:color="auto"/>
            <w:left w:val="none" w:sz="0" w:space="0" w:color="auto"/>
            <w:bottom w:val="none" w:sz="0" w:space="0" w:color="auto"/>
            <w:right w:val="none" w:sz="0" w:space="0" w:color="auto"/>
          </w:divBdr>
        </w:div>
      </w:divsChild>
    </w:div>
    <w:div w:id="1199657948">
      <w:bodyDiv w:val="1"/>
      <w:marLeft w:val="0"/>
      <w:marRight w:val="0"/>
      <w:marTop w:val="0"/>
      <w:marBottom w:val="0"/>
      <w:divBdr>
        <w:top w:val="none" w:sz="0" w:space="0" w:color="auto"/>
        <w:left w:val="none" w:sz="0" w:space="0" w:color="auto"/>
        <w:bottom w:val="none" w:sz="0" w:space="0" w:color="auto"/>
        <w:right w:val="none" w:sz="0" w:space="0" w:color="auto"/>
      </w:divBdr>
      <w:divsChild>
        <w:div w:id="1209220546">
          <w:marLeft w:val="0"/>
          <w:marRight w:val="0"/>
          <w:marTop w:val="0"/>
          <w:marBottom w:val="0"/>
          <w:divBdr>
            <w:top w:val="none" w:sz="0" w:space="0" w:color="auto"/>
            <w:left w:val="none" w:sz="0" w:space="0" w:color="auto"/>
            <w:bottom w:val="none" w:sz="0" w:space="0" w:color="auto"/>
            <w:right w:val="none" w:sz="0" w:space="0" w:color="auto"/>
          </w:divBdr>
        </w:div>
      </w:divsChild>
    </w:div>
    <w:div w:id="1203248022">
      <w:bodyDiv w:val="1"/>
      <w:marLeft w:val="0"/>
      <w:marRight w:val="0"/>
      <w:marTop w:val="0"/>
      <w:marBottom w:val="0"/>
      <w:divBdr>
        <w:top w:val="none" w:sz="0" w:space="0" w:color="auto"/>
        <w:left w:val="none" w:sz="0" w:space="0" w:color="auto"/>
        <w:bottom w:val="none" w:sz="0" w:space="0" w:color="auto"/>
        <w:right w:val="none" w:sz="0" w:space="0" w:color="auto"/>
      </w:divBdr>
      <w:divsChild>
        <w:div w:id="319115271">
          <w:marLeft w:val="0"/>
          <w:marRight w:val="0"/>
          <w:marTop w:val="0"/>
          <w:marBottom w:val="0"/>
          <w:divBdr>
            <w:top w:val="none" w:sz="0" w:space="0" w:color="auto"/>
            <w:left w:val="none" w:sz="0" w:space="0" w:color="auto"/>
            <w:bottom w:val="none" w:sz="0" w:space="0" w:color="auto"/>
            <w:right w:val="none" w:sz="0" w:space="0" w:color="auto"/>
          </w:divBdr>
        </w:div>
      </w:divsChild>
    </w:div>
    <w:div w:id="1239748564">
      <w:bodyDiv w:val="1"/>
      <w:marLeft w:val="0"/>
      <w:marRight w:val="0"/>
      <w:marTop w:val="0"/>
      <w:marBottom w:val="0"/>
      <w:divBdr>
        <w:top w:val="none" w:sz="0" w:space="0" w:color="auto"/>
        <w:left w:val="none" w:sz="0" w:space="0" w:color="auto"/>
        <w:bottom w:val="none" w:sz="0" w:space="0" w:color="auto"/>
        <w:right w:val="none" w:sz="0" w:space="0" w:color="auto"/>
      </w:divBdr>
      <w:divsChild>
        <w:div w:id="1789884419">
          <w:marLeft w:val="0"/>
          <w:marRight w:val="0"/>
          <w:marTop w:val="0"/>
          <w:marBottom w:val="0"/>
          <w:divBdr>
            <w:top w:val="none" w:sz="0" w:space="0" w:color="auto"/>
            <w:left w:val="none" w:sz="0" w:space="0" w:color="auto"/>
            <w:bottom w:val="none" w:sz="0" w:space="0" w:color="auto"/>
            <w:right w:val="none" w:sz="0" w:space="0" w:color="auto"/>
          </w:divBdr>
        </w:div>
      </w:divsChild>
    </w:div>
    <w:div w:id="1291011046">
      <w:bodyDiv w:val="1"/>
      <w:marLeft w:val="0"/>
      <w:marRight w:val="0"/>
      <w:marTop w:val="0"/>
      <w:marBottom w:val="0"/>
      <w:divBdr>
        <w:top w:val="none" w:sz="0" w:space="0" w:color="auto"/>
        <w:left w:val="none" w:sz="0" w:space="0" w:color="auto"/>
        <w:bottom w:val="none" w:sz="0" w:space="0" w:color="auto"/>
        <w:right w:val="none" w:sz="0" w:space="0" w:color="auto"/>
      </w:divBdr>
      <w:divsChild>
        <w:div w:id="968241197">
          <w:marLeft w:val="0"/>
          <w:marRight w:val="0"/>
          <w:marTop w:val="0"/>
          <w:marBottom w:val="0"/>
          <w:divBdr>
            <w:top w:val="none" w:sz="0" w:space="0" w:color="auto"/>
            <w:left w:val="none" w:sz="0" w:space="0" w:color="auto"/>
            <w:bottom w:val="none" w:sz="0" w:space="0" w:color="auto"/>
            <w:right w:val="none" w:sz="0" w:space="0" w:color="auto"/>
          </w:divBdr>
        </w:div>
      </w:divsChild>
    </w:div>
    <w:div w:id="1318460377">
      <w:bodyDiv w:val="1"/>
      <w:marLeft w:val="0"/>
      <w:marRight w:val="0"/>
      <w:marTop w:val="0"/>
      <w:marBottom w:val="0"/>
      <w:divBdr>
        <w:top w:val="none" w:sz="0" w:space="0" w:color="auto"/>
        <w:left w:val="none" w:sz="0" w:space="0" w:color="auto"/>
        <w:bottom w:val="none" w:sz="0" w:space="0" w:color="auto"/>
        <w:right w:val="none" w:sz="0" w:space="0" w:color="auto"/>
      </w:divBdr>
      <w:divsChild>
        <w:div w:id="601767025">
          <w:marLeft w:val="0"/>
          <w:marRight w:val="0"/>
          <w:marTop w:val="0"/>
          <w:marBottom w:val="0"/>
          <w:divBdr>
            <w:top w:val="none" w:sz="0" w:space="0" w:color="auto"/>
            <w:left w:val="none" w:sz="0" w:space="0" w:color="auto"/>
            <w:bottom w:val="none" w:sz="0" w:space="0" w:color="auto"/>
            <w:right w:val="none" w:sz="0" w:space="0" w:color="auto"/>
          </w:divBdr>
        </w:div>
      </w:divsChild>
    </w:div>
    <w:div w:id="1327709471">
      <w:bodyDiv w:val="1"/>
      <w:marLeft w:val="0"/>
      <w:marRight w:val="0"/>
      <w:marTop w:val="0"/>
      <w:marBottom w:val="0"/>
      <w:divBdr>
        <w:top w:val="none" w:sz="0" w:space="0" w:color="auto"/>
        <w:left w:val="none" w:sz="0" w:space="0" w:color="auto"/>
        <w:bottom w:val="none" w:sz="0" w:space="0" w:color="auto"/>
        <w:right w:val="none" w:sz="0" w:space="0" w:color="auto"/>
      </w:divBdr>
      <w:divsChild>
        <w:div w:id="1342463355">
          <w:marLeft w:val="0"/>
          <w:marRight w:val="0"/>
          <w:marTop w:val="0"/>
          <w:marBottom w:val="0"/>
          <w:divBdr>
            <w:top w:val="none" w:sz="0" w:space="0" w:color="auto"/>
            <w:left w:val="none" w:sz="0" w:space="0" w:color="auto"/>
            <w:bottom w:val="none" w:sz="0" w:space="0" w:color="auto"/>
            <w:right w:val="none" w:sz="0" w:space="0" w:color="auto"/>
          </w:divBdr>
        </w:div>
      </w:divsChild>
    </w:div>
    <w:div w:id="1359894105">
      <w:bodyDiv w:val="1"/>
      <w:marLeft w:val="0"/>
      <w:marRight w:val="0"/>
      <w:marTop w:val="0"/>
      <w:marBottom w:val="0"/>
      <w:divBdr>
        <w:top w:val="none" w:sz="0" w:space="0" w:color="auto"/>
        <w:left w:val="none" w:sz="0" w:space="0" w:color="auto"/>
        <w:bottom w:val="none" w:sz="0" w:space="0" w:color="auto"/>
        <w:right w:val="none" w:sz="0" w:space="0" w:color="auto"/>
      </w:divBdr>
    </w:div>
    <w:div w:id="1423797256">
      <w:bodyDiv w:val="1"/>
      <w:marLeft w:val="0"/>
      <w:marRight w:val="0"/>
      <w:marTop w:val="0"/>
      <w:marBottom w:val="0"/>
      <w:divBdr>
        <w:top w:val="none" w:sz="0" w:space="0" w:color="auto"/>
        <w:left w:val="none" w:sz="0" w:space="0" w:color="auto"/>
        <w:bottom w:val="none" w:sz="0" w:space="0" w:color="auto"/>
        <w:right w:val="none" w:sz="0" w:space="0" w:color="auto"/>
      </w:divBdr>
      <w:divsChild>
        <w:div w:id="1237548633">
          <w:marLeft w:val="0"/>
          <w:marRight w:val="0"/>
          <w:marTop w:val="0"/>
          <w:marBottom w:val="0"/>
          <w:divBdr>
            <w:top w:val="none" w:sz="0" w:space="0" w:color="auto"/>
            <w:left w:val="none" w:sz="0" w:space="0" w:color="auto"/>
            <w:bottom w:val="none" w:sz="0" w:space="0" w:color="auto"/>
            <w:right w:val="none" w:sz="0" w:space="0" w:color="auto"/>
          </w:divBdr>
        </w:div>
      </w:divsChild>
    </w:div>
    <w:div w:id="1441140975">
      <w:bodyDiv w:val="1"/>
      <w:marLeft w:val="0"/>
      <w:marRight w:val="0"/>
      <w:marTop w:val="0"/>
      <w:marBottom w:val="0"/>
      <w:divBdr>
        <w:top w:val="none" w:sz="0" w:space="0" w:color="auto"/>
        <w:left w:val="none" w:sz="0" w:space="0" w:color="auto"/>
        <w:bottom w:val="none" w:sz="0" w:space="0" w:color="auto"/>
        <w:right w:val="none" w:sz="0" w:space="0" w:color="auto"/>
      </w:divBdr>
      <w:divsChild>
        <w:div w:id="1798180440">
          <w:marLeft w:val="-225"/>
          <w:marRight w:val="-225"/>
          <w:marTop w:val="0"/>
          <w:marBottom w:val="0"/>
          <w:divBdr>
            <w:top w:val="none" w:sz="0" w:space="0" w:color="auto"/>
            <w:left w:val="none" w:sz="0" w:space="0" w:color="auto"/>
            <w:bottom w:val="none" w:sz="0" w:space="0" w:color="auto"/>
            <w:right w:val="none" w:sz="0" w:space="0" w:color="auto"/>
          </w:divBdr>
          <w:divsChild>
            <w:div w:id="20669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4890">
      <w:bodyDiv w:val="1"/>
      <w:marLeft w:val="0"/>
      <w:marRight w:val="0"/>
      <w:marTop w:val="0"/>
      <w:marBottom w:val="0"/>
      <w:divBdr>
        <w:top w:val="none" w:sz="0" w:space="0" w:color="auto"/>
        <w:left w:val="none" w:sz="0" w:space="0" w:color="auto"/>
        <w:bottom w:val="none" w:sz="0" w:space="0" w:color="auto"/>
        <w:right w:val="none" w:sz="0" w:space="0" w:color="auto"/>
      </w:divBdr>
      <w:divsChild>
        <w:div w:id="517544837">
          <w:marLeft w:val="-225"/>
          <w:marRight w:val="-225"/>
          <w:marTop w:val="0"/>
          <w:marBottom w:val="0"/>
          <w:divBdr>
            <w:top w:val="none" w:sz="0" w:space="0" w:color="auto"/>
            <w:left w:val="none" w:sz="0" w:space="0" w:color="auto"/>
            <w:bottom w:val="none" w:sz="0" w:space="0" w:color="auto"/>
            <w:right w:val="none" w:sz="0" w:space="0" w:color="auto"/>
          </w:divBdr>
          <w:divsChild>
            <w:div w:id="7869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08357">
      <w:bodyDiv w:val="1"/>
      <w:marLeft w:val="0"/>
      <w:marRight w:val="0"/>
      <w:marTop w:val="0"/>
      <w:marBottom w:val="0"/>
      <w:divBdr>
        <w:top w:val="none" w:sz="0" w:space="0" w:color="auto"/>
        <w:left w:val="none" w:sz="0" w:space="0" w:color="auto"/>
        <w:bottom w:val="none" w:sz="0" w:space="0" w:color="auto"/>
        <w:right w:val="none" w:sz="0" w:space="0" w:color="auto"/>
      </w:divBdr>
      <w:divsChild>
        <w:div w:id="1227301305">
          <w:marLeft w:val="0"/>
          <w:marRight w:val="0"/>
          <w:marTop w:val="0"/>
          <w:marBottom w:val="0"/>
          <w:divBdr>
            <w:top w:val="none" w:sz="0" w:space="0" w:color="auto"/>
            <w:left w:val="none" w:sz="0" w:space="0" w:color="auto"/>
            <w:bottom w:val="none" w:sz="0" w:space="0" w:color="auto"/>
            <w:right w:val="none" w:sz="0" w:space="0" w:color="auto"/>
          </w:divBdr>
        </w:div>
      </w:divsChild>
    </w:div>
    <w:div w:id="152294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4329">
          <w:marLeft w:val="0"/>
          <w:marRight w:val="0"/>
          <w:marTop w:val="0"/>
          <w:marBottom w:val="0"/>
          <w:divBdr>
            <w:top w:val="none" w:sz="0" w:space="0" w:color="auto"/>
            <w:left w:val="none" w:sz="0" w:space="0" w:color="auto"/>
            <w:bottom w:val="none" w:sz="0" w:space="0" w:color="auto"/>
            <w:right w:val="none" w:sz="0" w:space="0" w:color="auto"/>
          </w:divBdr>
        </w:div>
      </w:divsChild>
    </w:div>
    <w:div w:id="1559705002">
      <w:bodyDiv w:val="1"/>
      <w:marLeft w:val="0"/>
      <w:marRight w:val="0"/>
      <w:marTop w:val="0"/>
      <w:marBottom w:val="0"/>
      <w:divBdr>
        <w:top w:val="none" w:sz="0" w:space="0" w:color="auto"/>
        <w:left w:val="none" w:sz="0" w:space="0" w:color="auto"/>
        <w:bottom w:val="none" w:sz="0" w:space="0" w:color="auto"/>
        <w:right w:val="none" w:sz="0" w:space="0" w:color="auto"/>
      </w:divBdr>
      <w:divsChild>
        <w:div w:id="185336721">
          <w:marLeft w:val="0"/>
          <w:marRight w:val="0"/>
          <w:marTop w:val="0"/>
          <w:marBottom w:val="0"/>
          <w:divBdr>
            <w:top w:val="none" w:sz="0" w:space="0" w:color="auto"/>
            <w:left w:val="none" w:sz="0" w:space="0" w:color="auto"/>
            <w:bottom w:val="none" w:sz="0" w:space="0" w:color="auto"/>
            <w:right w:val="none" w:sz="0" w:space="0" w:color="auto"/>
          </w:divBdr>
        </w:div>
      </w:divsChild>
    </w:div>
    <w:div w:id="1566408198">
      <w:bodyDiv w:val="1"/>
      <w:marLeft w:val="0"/>
      <w:marRight w:val="0"/>
      <w:marTop w:val="0"/>
      <w:marBottom w:val="0"/>
      <w:divBdr>
        <w:top w:val="none" w:sz="0" w:space="0" w:color="auto"/>
        <w:left w:val="none" w:sz="0" w:space="0" w:color="auto"/>
        <w:bottom w:val="none" w:sz="0" w:space="0" w:color="auto"/>
        <w:right w:val="none" w:sz="0" w:space="0" w:color="auto"/>
      </w:divBdr>
      <w:divsChild>
        <w:div w:id="2127380899">
          <w:marLeft w:val="720"/>
          <w:marRight w:val="0"/>
          <w:marTop w:val="115"/>
          <w:marBottom w:val="0"/>
          <w:divBdr>
            <w:top w:val="none" w:sz="0" w:space="0" w:color="auto"/>
            <w:left w:val="none" w:sz="0" w:space="0" w:color="auto"/>
            <w:bottom w:val="none" w:sz="0" w:space="0" w:color="auto"/>
            <w:right w:val="none" w:sz="0" w:space="0" w:color="auto"/>
          </w:divBdr>
        </w:div>
        <w:div w:id="430899641">
          <w:marLeft w:val="720"/>
          <w:marRight w:val="0"/>
          <w:marTop w:val="115"/>
          <w:marBottom w:val="0"/>
          <w:divBdr>
            <w:top w:val="none" w:sz="0" w:space="0" w:color="auto"/>
            <w:left w:val="none" w:sz="0" w:space="0" w:color="auto"/>
            <w:bottom w:val="none" w:sz="0" w:space="0" w:color="auto"/>
            <w:right w:val="none" w:sz="0" w:space="0" w:color="auto"/>
          </w:divBdr>
        </w:div>
        <w:div w:id="439881668">
          <w:marLeft w:val="720"/>
          <w:marRight w:val="0"/>
          <w:marTop w:val="115"/>
          <w:marBottom w:val="0"/>
          <w:divBdr>
            <w:top w:val="none" w:sz="0" w:space="0" w:color="auto"/>
            <w:left w:val="none" w:sz="0" w:space="0" w:color="auto"/>
            <w:bottom w:val="none" w:sz="0" w:space="0" w:color="auto"/>
            <w:right w:val="none" w:sz="0" w:space="0" w:color="auto"/>
          </w:divBdr>
        </w:div>
        <w:div w:id="887451968">
          <w:marLeft w:val="720"/>
          <w:marRight w:val="0"/>
          <w:marTop w:val="115"/>
          <w:marBottom w:val="0"/>
          <w:divBdr>
            <w:top w:val="none" w:sz="0" w:space="0" w:color="auto"/>
            <w:left w:val="none" w:sz="0" w:space="0" w:color="auto"/>
            <w:bottom w:val="none" w:sz="0" w:space="0" w:color="auto"/>
            <w:right w:val="none" w:sz="0" w:space="0" w:color="auto"/>
          </w:divBdr>
        </w:div>
      </w:divsChild>
    </w:div>
    <w:div w:id="1644122303">
      <w:bodyDiv w:val="1"/>
      <w:marLeft w:val="0"/>
      <w:marRight w:val="0"/>
      <w:marTop w:val="0"/>
      <w:marBottom w:val="0"/>
      <w:divBdr>
        <w:top w:val="none" w:sz="0" w:space="0" w:color="auto"/>
        <w:left w:val="none" w:sz="0" w:space="0" w:color="auto"/>
        <w:bottom w:val="none" w:sz="0" w:space="0" w:color="auto"/>
        <w:right w:val="none" w:sz="0" w:space="0" w:color="auto"/>
      </w:divBdr>
      <w:divsChild>
        <w:div w:id="1403211570">
          <w:marLeft w:val="0"/>
          <w:marRight w:val="0"/>
          <w:marTop w:val="0"/>
          <w:marBottom w:val="0"/>
          <w:divBdr>
            <w:top w:val="none" w:sz="0" w:space="0" w:color="auto"/>
            <w:left w:val="none" w:sz="0" w:space="0" w:color="auto"/>
            <w:bottom w:val="none" w:sz="0" w:space="0" w:color="auto"/>
            <w:right w:val="none" w:sz="0" w:space="0" w:color="auto"/>
          </w:divBdr>
        </w:div>
      </w:divsChild>
    </w:div>
    <w:div w:id="1661226201">
      <w:bodyDiv w:val="1"/>
      <w:marLeft w:val="0"/>
      <w:marRight w:val="0"/>
      <w:marTop w:val="0"/>
      <w:marBottom w:val="0"/>
      <w:divBdr>
        <w:top w:val="none" w:sz="0" w:space="0" w:color="auto"/>
        <w:left w:val="none" w:sz="0" w:space="0" w:color="auto"/>
        <w:bottom w:val="none" w:sz="0" w:space="0" w:color="auto"/>
        <w:right w:val="none" w:sz="0" w:space="0" w:color="auto"/>
      </w:divBdr>
      <w:divsChild>
        <w:div w:id="33622262">
          <w:marLeft w:val="0"/>
          <w:marRight w:val="0"/>
          <w:marTop w:val="0"/>
          <w:marBottom w:val="0"/>
          <w:divBdr>
            <w:top w:val="none" w:sz="0" w:space="0" w:color="auto"/>
            <w:left w:val="none" w:sz="0" w:space="0" w:color="auto"/>
            <w:bottom w:val="none" w:sz="0" w:space="0" w:color="auto"/>
            <w:right w:val="none" w:sz="0" w:space="0" w:color="auto"/>
          </w:divBdr>
        </w:div>
      </w:divsChild>
    </w:div>
    <w:div w:id="1666282383">
      <w:bodyDiv w:val="1"/>
      <w:marLeft w:val="0"/>
      <w:marRight w:val="0"/>
      <w:marTop w:val="0"/>
      <w:marBottom w:val="0"/>
      <w:divBdr>
        <w:top w:val="none" w:sz="0" w:space="0" w:color="auto"/>
        <w:left w:val="none" w:sz="0" w:space="0" w:color="auto"/>
        <w:bottom w:val="none" w:sz="0" w:space="0" w:color="auto"/>
        <w:right w:val="none" w:sz="0" w:space="0" w:color="auto"/>
      </w:divBdr>
      <w:divsChild>
        <w:div w:id="1910262288">
          <w:marLeft w:val="0"/>
          <w:marRight w:val="0"/>
          <w:marTop w:val="0"/>
          <w:marBottom w:val="0"/>
          <w:divBdr>
            <w:top w:val="none" w:sz="0" w:space="0" w:color="auto"/>
            <w:left w:val="none" w:sz="0" w:space="0" w:color="auto"/>
            <w:bottom w:val="none" w:sz="0" w:space="0" w:color="auto"/>
            <w:right w:val="none" w:sz="0" w:space="0" w:color="auto"/>
          </w:divBdr>
        </w:div>
      </w:divsChild>
    </w:div>
    <w:div w:id="1796678194">
      <w:bodyDiv w:val="1"/>
      <w:marLeft w:val="0"/>
      <w:marRight w:val="0"/>
      <w:marTop w:val="0"/>
      <w:marBottom w:val="0"/>
      <w:divBdr>
        <w:top w:val="none" w:sz="0" w:space="0" w:color="auto"/>
        <w:left w:val="none" w:sz="0" w:space="0" w:color="auto"/>
        <w:bottom w:val="none" w:sz="0" w:space="0" w:color="auto"/>
        <w:right w:val="none" w:sz="0" w:space="0" w:color="auto"/>
      </w:divBdr>
      <w:divsChild>
        <w:div w:id="84959865">
          <w:marLeft w:val="0"/>
          <w:marRight w:val="0"/>
          <w:marTop w:val="0"/>
          <w:marBottom w:val="0"/>
          <w:divBdr>
            <w:top w:val="none" w:sz="0" w:space="0" w:color="auto"/>
            <w:left w:val="none" w:sz="0" w:space="0" w:color="auto"/>
            <w:bottom w:val="none" w:sz="0" w:space="0" w:color="auto"/>
            <w:right w:val="none" w:sz="0" w:space="0" w:color="auto"/>
          </w:divBdr>
        </w:div>
      </w:divsChild>
    </w:div>
    <w:div w:id="1844395276">
      <w:bodyDiv w:val="1"/>
      <w:marLeft w:val="0"/>
      <w:marRight w:val="0"/>
      <w:marTop w:val="0"/>
      <w:marBottom w:val="0"/>
      <w:divBdr>
        <w:top w:val="none" w:sz="0" w:space="0" w:color="auto"/>
        <w:left w:val="none" w:sz="0" w:space="0" w:color="auto"/>
        <w:bottom w:val="none" w:sz="0" w:space="0" w:color="auto"/>
        <w:right w:val="none" w:sz="0" w:space="0" w:color="auto"/>
      </w:divBdr>
      <w:divsChild>
        <w:div w:id="614825015">
          <w:marLeft w:val="0"/>
          <w:marRight w:val="0"/>
          <w:marTop w:val="0"/>
          <w:marBottom w:val="0"/>
          <w:divBdr>
            <w:top w:val="none" w:sz="0" w:space="0" w:color="auto"/>
            <w:left w:val="none" w:sz="0" w:space="0" w:color="auto"/>
            <w:bottom w:val="none" w:sz="0" w:space="0" w:color="auto"/>
            <w:right w:val="none" w:sz="0" w:space="0" w:color="auto"/>
          </w:divBdr>
        </w:div>
      </w:divsChild>
    </w:div>
    <w:div w:id="1975914839">
      <w:bodyDiv w:val="1"/>
      <w:marLeft w:val="0"/>
      <w:marRight w:val="0"/>
      <w:marTop w:val="0"/>
      <w:marBottom w:val="0"/>
      <w:divBdr>
        <w:top w:val="none" w:sz="0" w:space="0" w:color="auto"/>
        <w:left w:val="none" w:sz="0" w:space="0" w:color="auto"/>
        <w:bottom w:val="none" w:sz="0" w:space="0" w:color="auto"/>
        <w:right w:val="none" w:sz="0" w:space="0" w:color="auto"/>
      </w:divBdr>
      <w:divsChild>
        <w:div w:id="1731877927">
          <w:marLeft w:val="0"/>
          <w:marRight w:val="0"/>
          <w:marTop w:val="0"/>
          <w:marBottom w:val="0"/>
          <w:divBdr>
            <w:top w:val="none" w:sz="0" w:space="0" w:color="auto"/>
            <w:left w:val="none" w:sz="0" w:space="0" w:color="auto"/>
            <w:bottom w:val="none" w:sz="0" w:space="0" w:color="auto"/>
            <w:right w:val="none" w:sz="0" w:space="0" w:color="auto"/>
          </w:divBdr>
        </w:div>
      </w:divsChild>
    </w:div>
    <w:div w:id="2041738112">
      <w:bodyDiv w:val="1"/>
      <w:marLeft w:val="0"/>
      <w:marRight w:val="0"/>
      <w:marTop w:val="0"/>
      <w:marBottom w:val="0"/>
      <w:divBdr>
        <w:top w:val="none" w:sz="0" w:space="0" w:color="auto"/>
        <w:left w:val="none" w:sz="0" w:space="0" w:color="auto"/>
        <w:bottom w:val="none" w:sz="0" w:space="0" w:color="auto"/>
        <w:right w:val="none" w:sz="0" w:space="0" w:color="auto"/>
      </w:divBdr>
    </w:div>
    <w:div w:id="2126607432">
      <w:bodyDiv w:val="1"/>
      <w:marLeft w:val="0"/>
      <w:marRight w:val="0"/>
      <w:marTop w:val="0"/>
      <w:marBottom w:val="0"/>
      <w:divBdr>
        <w:top w:val="none" w:sz="0" w:space="0" w:color="auto"/>
        <w:left w:val="none" w:sz="0" w:space="0" w:color="auto"/>
        <w:bottom w:val="none" w:sz="0" w:space="0" w:color="auto"/>
        <w:right w:val="none" w:sz="0" w:space="0" w:color="auto"/>
      </w:divBdr>
      <w:divsChild>
        <w:div w:id="213879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wles.econ.yale.edu/P/cm/m16/index.htm" TargetMode="External"/><Relationship Id="rId18" Type="http://schemas.openxmlformats.org/officeDocument/2006/relationships/hyperlink" Target="http://www.investopedia.com/terms/e/economist.asp" TargetMode="External"/><Relationship Id="rId26" Type="http://schemas.openxmlformats.org/officeDocument/2006/relationships/hyperlink" Target="http://www.investopedia.com/terms/n/netincome.asp" TargetMode="External"/><Relationship Id="rId3" Type="http://schemas.openxmlformats.org/officeDocument/2006/relationships/styles" Target="styles.xml"/><Relationship Id="rId21" Type="http://schemas.openxmlformats.org/officeDocument/2006/relationships/hyperlink" Target="https://en.wikipedia.org/wiki/Liquidity_risk"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investopedia.com/terms/s/seller.asp" TargetMode="External"/><Relationship Id="rId25" Type="http://schemas.openxmlformats.org/officeDocument/2006/relationships/hyperlink" Target="http://www.investopedia.com/terms/c/capitalrequirement.as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n.wikipedia.org/wiki/Market_liquid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investopedia.com/terms/f/financialinstitution.asp" TargetMode="External"/><Relationship Id="rId5" Type="http://schemas.openxmlformats.org/officeDocument/2006/relationships/webSettings" Target="webSettings.xml"/><Relationship Id="rId15" Type="http://schemas.openxmlformats.org/officeDocument/2006/relationships/hyperlink" Target="http://www.investopedia.com/terms/h/hedge.asp" TargetMode="Externa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en.wikipedia.org/wiki/Capital_adequac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hyperlink" Target="https://en.wikipedia.org/wiki/Bank_stress_tests" TargetMode="External"/><Relationship Id="rId27" Type="http://schemas.openxmlformats.org/officeDocument/2006/relationships/hyperlink" Target="http://www.investopedia.com/terms/s/shareholder.a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806272\Desktop\&#1042;&#1064;&#1052;\&#1076;&#1080;&#1087;&#1083;&#1086;&#1084;\&#1044;&#1072;&#1085;&#1085;&#1099;&#1077;\Stock%20pric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806272\AppData\Roaming\Microsoft\Excel\Stock%20prices%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806272\Desktop\&#1042;&#1064;&#1052;\&#1076;&#1080;&#1087;&#1083;&#1086;&#1084;\&#1044;&#1072;&#1085;&#1085;&#1099;&#1077;\Data_fin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cat>
            <c:numRef>
              <c:f>NYSE!$AS$2:$AS$21</c:f>
              <c:numCache>
                <c:formatCode>0.0</c:formatCode>
                <c:ptCount val="20"/>
                <c:pt idx="0">
                  <c:v>-7.8463274171309827</c:v>
                </c:pt>
                <c:pt idx="1">
                  <c:v>-7.0373661694550416</c:v>
                </c:pt>
                <c:pt idx="2">
                  <c:v>-6.2284049217791004</c:v>
                </c:pt>
                <c:pt idx="3">
                  <c:v>-5.4194436741031593</c:v>
                </c:pt>
                <c:pt idx="4">
                  <c:v>-4.6104824264272182</c:v>
                </c:pt>
                <c:pt idx="5">
                  <c:v>-3.801521178751277</c:v>
                </c:pt>
                <c:pt idx="6">
                  <c:v>-2.9925599310753359</c:v>
                </c:pt>
                <c:pt idx="7">
                  <c:v>-2.1835986833993948</c:v>
                </c:pt>
                <c:pt idx="8">
                  <c:v>-1.3746374357234536</c:v>
                </c:pt>
                <c:pt idx="9">
                  <c:v>-0.56567618804751252</c:v>
                </c:pt>
                <c:pt idx="10">
                  <c:v>0.24328505962842861</c:v>
                </c:pt>
                <c:pt idx="11">
                  <c:v>1.0522463073043697</c:v>
                </c:pt>
                <c:pt idx="12">
                  <c:v>1.8612075549803109</c:v>
                </c:pt>
                <c:pt idx="13">
                  <c:v>2.670168802656252</c:v>
                </c:pt>
                <c:pt idx="14">
                  <c:v>3.4791300503321931</c:v>
                </c:pt>
                <c:pt idx="15">
                  <c:v>4.2880912980081343</c:v>
                </c:pt>
                <c:pt idx="16">
                  <c:v>5.0970525456840754</c:v>
                </c:pt>
                <c:pt idx="17">
                  <c:v>5.9060137933600165</c:v>
                </c:pt>
                <c:pt idx="18">
                  <c:v>6.7149750410359577</c:v>
                </c:pt>
                <c:pt idx="19">
                  <c:v>7.5239362887118988</c:v>
                </c:pt>
              </c:numCache>
            </c:numRef>
          </c:cat>
          <c:val>
            <c:numRef>
              <c:f>NYSE!$AT$2:$AT$21</c:f>
              <c:numCache>
                <c:formatCode>General</c:formatCode>
                <c:ptCount val="20"/>
                <c:pt idx="0">
                  <c:v>1</c:v>
                </c:pt>
                <c:pt idx="1">
                  <c:v>1</c:v>
                </c:pt>
                <c:pt idx="2">
                  <c:v>1</c:v>
                </c:pt>
                <c:pt idx="3">
                  <c:v>0</c:v>
                </c:pt>
                <c:pt idx="4">
                  <c:v>2</c:v>
                </c:pt>
                <c:pt idx="5">
                  <c:v>5</c:v>
                </c:pt>
                <c:pt idx="6">
                  <c:v>12</c:v>
                </c:pt>
                <c:pt idx="7">
                  <c:v>11</c:v>
                </c:pt>
                <c:pt idx="8">
                  <c:v>16</c:v>
                </c:pt>
                <c:pt idx="9">
                  <c:v>18</c:v>
                </c:pt>
                <c:pt idx="10">
                  <c:v>21</c:v>
                </c:pt>
                <c:pt idx="11">
                  <c:v>23</c:v>
                </c:pt>
                <c:pt idx="12">
                  <c:v>19</c:v>
                </c:pt>
                <c:pt idx="13">
                  <c:v>6</c:v>
                </c:pt>
                <c:pt idx="14">
                  <c:v>10</c:v>
                </c:pt>
                <c:pt idx="15">
                  <c:v>3</c:v>
                </c:pt>
                <c:pt idx="16">
                  <c:v>2</c:v>
                </c:pt>
                <c:pt idx="17">
                  <c:v>3</c:v>
                </c:pt>
                <c:pt idx="18">
                  <c:v>0</c:v>
                </c:pt>
                <c:pt idx="19">
                  <c:v>2</c:v>
                </c:pt>
              </c:numCache>
            </c:numRef>
          </c:val>
        </c:ser>
        <c:dLbls>
          <c:showLegendKey val="0"/>
          <c:showVal val="0"/>
          <c:showCatName val="0"/>
          <c:showSerName val="0"/>
          <c:showPercent val="0"/>
          <c:showBubbleSize val="0"/>
        </c:dLbls>
        <c:gapWidth val="0"/>
        <c:overlap val="-1"/>
        <c:axId val="408646552"/>
        <c:axId val="408645768"/>
      </c:barChart>
      <c:lineChart>
        <c:grouping val="standard"/>
        <c:varyColors val="0"/>
        <c:ser>
          <c:idx val="1"/>
          <c:order val="1"/>
          <c:spPr>
            <a:ln w="28575" cap="rnd">
              <a:solidFill>
                <a:schemeClr val="accent2"/>
              </a:solidFill>
              <a:round/>
            </a:ln>
            <a:effectLst/>
          </c:spPr>
          <c:marker>
            <c:symbol val="none"/>
          </c:marker>
          <c:val>
            <c:numRef>
              <c:f>NYSE!$AU$2:$AU$21</c:f>
              <c:numCache>
                <c:formatCode>General</c:formatCode>
                <c:ptCount val="20"/>
                <c:pt idx="0">
                  <c:v>0.31186218570786356</c:v>
                </c:pt>
                <c:pt idx="1">
                  <c:v>0.74445136319070737</c:v>
                </c:pt>
                <c:pt idx="2">
                  <c:v>1.6125288841506853</c:v>
                </c:pt>
                <c:pt idx="3">
                  <c:v>3.1693940453742795</c:v>
                </c:pt>
                <c:pt idx="4">
                  <c:v>5.6525255570681354</c:v>
                </c:pt>
                <c:pt idx="5">
                  <c:v>9.1475837334400971</c:v>
                </c:pt>
                <c:pt idx="6">
                  <c:v>13.432839150906901</c:v>
                </c:pt>
                <c:pt idx="7">
                  <c:v>17.898918774061098</c:v>
                </c:pt>
                <c:pt idx="8">
                  <c:v>21.641299826181747</c:v>
                </c:pt>
                <c:pt idx="9">
                  <c:v>23.743101474501358</c:v>
                </c:pt>
                <c:pt idx="10">
                  <c:v>23.636823771168462</c:v>
                </c:pt>
                <c:pt idx="11">
                  <c:v>21.351989529337011</c:v>
                </c:pt>
                <c:pt idx="12">
                  <c:v>17.501897671196808</c:v>
                </c:pt>
                <c:pt idx="13">
                  <c:v>13.017557202556125</c:v>
                </c:pt>
                <c:pt idx="14">
                  <c:v>8.7855996919965555</c:v>
                </c:pt>
                <c:pt idx="15">
                  <c:v>5.3803544767727978</c:v>
                </c:pt>
                <c:pt idx="16">
                  <c:v>2.989839875158542</c:v>
                </c:pt>
                <c:pt idx="17">
                  <c:v>1.5075875140572343</c:v>
                </c:pt>
                <c:pt idx="18">
                  <c:v>0.68978650899555449</c:v>
                </c:pt>
                <c:pt idx="19">
                  <c:v>0.28638114568145917</c:v>
                </c:pt>
              </c:numCache>
            </c:numRef>
          </c:val>
          <c:smooth val="1"/>
        </c:ser>
        <c:dLbls>
          <c:showLegendKey val="0"/>
          <c:showVal val="0"/>
          <c:showCatName val="0"/>
          <c:showSerName val="0"/>
          <c:showPercent val="0"/>
          <c:showBubbleSize val="0"/>
        </c:dLbls>
        <c:marker val="1"/>
        <c:smooth val="0"/>
        <c:axId val="408646552"/>
        <c:axId val="408645768"/>
      </c:lineChart>
      <c:catAx>
        <c:axId val="408646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Returns,</a:t>
                </a:r>
                <a:r>
                  <a:rPr lang="en-US" baseline="0"/>
                  <a:t> %</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15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645768"/>
        <c:crosses val="autoZero"/>
        <c:auto val="1"/>
        <c:lblAlgn val="ctr"/>
        <c:lblOffset val="100"/>
        <c:noMultiLvlLbl val="0"/>
      </c:catAx>
      <c:valAx>
        <c:axId val="4086457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08646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NYSE!$AO$2</c:f>
              <c:strCache>
                <c:ptCount val="1"/>
                <c:pt idx="0">
                  <c:v>Cullen/Frost Bankers, Inc. </c:v>
                </c:pt>
              </c:strCache>
            </c:strRef>
          </c:tx>
          <c:spPr>
            <a:ln w="28575" cap="rnd">
              <a:solidFill>
                <a:schemeClr val="accent1"/>
              </a:solidFill>
              <a:round/>
            </a:ln>
            <a:effectLst/>
          </c:spPr>
          <c:marker>
            <c:symbol val="none"/>
          </c:marker>
          <c:val>
            <c:numRef>
              <c:f>NYSE!$AO$3:$AO$158</c:f>
              <c:numCache>
                <c:formatCode>General</c:formatCode>
                <c:ptCount val="156"/>
                <c:pt idx="0">
                  <c:v>-0.74170091284784023</c:v>
                </c:pt>
                <c:pt idx="1">
                  <c:v>-1.4314165732525554</c:v>
                </c:pt>
                <c:pt idx="2">
                  <c:v>-2.4884811739488675</c:v>
                </c:pt>
                <c:pt idx="3">
                  <c:v>2.7353365586387262</c:v>
                </c:pt>
                <c:pt idx="4">
                  <c:v>-1.643354840524593</c:v>
                </c:pt>
                <c:pt idx="5">
                  <c:v>0.97878746322458898</c:v>
                </c:pt>
                <c:pt idx="6">
                  <c:v>-3.0305310187982646</c:v>
                </c:pt>
                <c:pt idx="7">
                  <c:v>2.2745742034716252</c:v>
                </c:pt>
                <c:pt idx="8">
                  <c:v>-2.8265547058806311</c:v>
                </c:pt>
                <c:pt idx="9">
                  <c:v>1.4931923976214108</c:v>
                </c:pt>
                <c:pt idx="10">
                  <c:v>-0.32210570384477205</c:v>
                </c:pt>
                <c:pt idx="11">
                  <c:v>-0.42170349143693758</c:v>
                </c:pt>
                <c:pt idx="12">
                  <c:v>-0.55088894889205364</c:v>
                </c:pt>
                <c:pt idx="13">
                  <c:v>-1.3403802523118657</c:v>
                </c:pt>
                <c:pt idx="14">
                  <c:v>-0.31632291789641481</c:v>
                </c:pt>
                <c:pt idx="15">
                  <c:v>8.6371120032320364E-2</c:v>
                </c:pt>
                <c:pt idx="16">
                  <c:v>0.6453851842650643</c:v>
                </c:pt>
                <c:pt idx="17">
                  <c:v>1.2643100439952994</c:v>
                </c:pt>
                <c:pt idx="18">
                  <c:v>5.6633849004389205</c:v>
                </c:pt>
                <c:pt idx="19">
                  <c:v>-4.5668728496671962</c:v>
                </c:pt>
                <c:pt idx="20">
                  <c:v>-1.0033582758233395</c:v>
                </c:pt>
                <c:pt idx="21">
                  <c:v>2.5443831029838675</c:v>
                </c:pt>
                <c:pt idx="22">
                  <c:v>-2.3205523048424785</c:v>
                </c:pt>
                <c:pt idx="23">
                  <c:v>0.71016235340471678</c:v>
                </c:pt>
                <c:pt idx="24">
                  <c:v>-3.3868057706858625</c:v>
                </c:pt>
                <c:pt idx="25">
                  <c:v>3.594733178211531</c:v>
                </c:pt>
                <c:pt idx="26">
                  <c:v>-7.8463274171309827</c:v>
                </c:pt>
                <c:pt idx="27">
                  <c:v>-2.9176902581809183</c:v>
                </c:pt>
                <c:pt idx="28">
                  <c:v>-2.0879568670132449</c:v>
                </c:pt>
                <c:pt idx="29">
                  <c:v>1.6862175733395823</c:v>
                </c:pt>
                <c:pt idx="30">
                  <c:v>-0.37225807733984745</c:v>
                </c:pt>
                <c:pt idx="31">
                  <c:v>-0.81692600995753351</c:v>
                </c:pt>
                <c:pt idx="32">
                  <c:v>0.5736017107672986</c:v>
                </c:pt>
                <c:pt idx="33">
                  <c:v>-3.4600072978766319</c:v>
                </c:pt>
                <c:pt idx="34">
                  <c:v>-3.0051883278543059</c:v>
                </c:pt>
                <c:pt idx="35">
                  <c:v>-0.76146213785915273</c:v>
                </c:pt>
                <c:pt idx="36">
                  <c:v>1.8929086697557527</c:v>
                </c:pt>
                <c:pt idx="37">
                  <c:v>1.841729801316824</c:v>
                </c:pt>
                <c:pt idx="38">
                  <c:v>-0.73908011528684292</c:v>
                </c:pt>
                <c:pt idx="39">
                  <c:v>0.83507845135283121</c:v>
                </c:pt>
                <c:pt idx="40">
                  <c:v>-0.5773929164762821</c:v>
                </c:pt>
                <c:pt idx="41">
                  <c:v>-0.79127480090656777</c:v>
                </c:pt>
                <c:pt idx="42">
                  <c:v>-1.1249846304010833</c:v>
                </c:pt>
                <c:pt idx="43">
                  <c:v>-0.97208085626876417</c:v>
                </c:pt>
                <c:pt idx="44">
                  <c:v>0.54914923209238364</c:v>
                </c:pt>
                <c:pt idx="45">
                  <c:v>-0.17984679100652362</c:v>
                </c:pt>
                <c:pt idx="46">
                  <c:v>-1.9164663979332055</c:v>
                </c:pt>
                <c:pt idx="47">
                  <c:v>-1.29272153621057</c:v>
                </c:pt>
                <c:pt idx="48">
                  <c:v>-1.6354702330021935</c:v>
                </c:pt>
                <c:pt idx="49">
                  <c:v>0</c:v>
                </c:pt>
                <c:pt idx="50">
                  <c:v>-2.1528651007645729</c:v>
                </c:pt>
                <c:pt idx="51">
                  <c:v>0.15783092756429906</c:v>
                </c:pt>
                <c:pt idx="52">
                  <c:v>-5.38141715570009</c:v>
                </c:pt>
                <c:pt idx="53">
                  <c:v>1.2495571396105525</c:v>
                </c:pt>
                <c:pt idx="54">
                  <c:v>-1.6386244066144324</c:v>
                </c:pt>
                <c:pt idx="55">
                  <c:v>0.24102729194652436</c:v>
                </c:pt>
                <c:pt idx="56">
                  <c:v>1.123303975143894</c:v>
                </c:pt>
                <c:pt idx="57">
                  <c:v>1.6899766681186998</c:v>
                </c:pt>
                <c:pt idx="58">
                  <c:v>-3.0626657578991487</c:v>
                </c:pt>
                <c:pt idx="59">
                  <c:v>2.6692532076564417</c:v>
                </c:pt>
                <c:pt idx="60">
                  <c:v>1.0516113966654383</c:v>
                </c:pt>
                <c:pt idx="61">
                  <c:v>-2.0419927483008733</c:v>
                </c:pt>
                <c:pt idx="62">
                  <c:v>-1.4032036983466263</c:v>
                </c:pt>
                <c:pt idx="63">
                  <c:v>2.8405347725129135</c:v>
                </c:pt>
                <c:pt idx="64">
                  <c:v>3.4537537407098009</c:v>
                </c:pt>
                <c:pt idx="65">
                  <c:v>-1.0393288040770323</c:v>
                </c:pt>
                <c:pt idx="66">
                  <c:v>0.97037780332540136</c:v>
                </c:pt>
                <c:pt idx="67">
                  <c:v>3.0400490493065004</c:v>
                </c:pt>
                <c:pt idx="68">
                  <c:v>-3.3855342282250596</c:v>
                </c:pt>
                <c:pt idx="69">
                  <c:v>-3.863260004290956</c:v>
                </c:pt>
                <c:pt idx="70">
                  <c:v>0.1948708125135433</c:v>
                </c:pt>
                <c:pt idx="71">
                  <c:v>0.99169003499944564</c:v>
                </c:pt>
                <c:pt idx="72">
                  <c:v>-2.0652290484244515</c:v>
                </c:pt>
                <c:pt idx="73">
                  <c:v>-0.12599989449726257</c:v>
                </c:pt>
                <c:pt idx="74">
                  <c:v>0.5747110583284204</c:v>
                </c:pt>
                <c:pt idx="75">
                  <c:v>1.0510485518908896</c:v>
                </c:pt>
                <c:pt idx="76">
                  <c:v>1.6171874045208625</c:v>
                </c:pt>
                <c:pt idx="77">
                  <c:v>0.40025191389828829</c:v>
                </c:pt>
                <c:pt idx="78">
                  <c:v>-0.15642924557703083</c:v>
                </c:pt>
                <c:pt idx="79">
                  <c:v>-1.7901485903865602</c:v>
                </c:pt>
                <c:pt idx="80">
                  <c:v>-1.4088576808376612</c:v>
                </c:pt>
                <c:pt idx="81">
                  <c:v>0.19736355770824282</c:v>
                </c:pt>
                <c:pt idx="82">
                  <c:v>-1.3352804683513695</c:v>
                </c:pt>
                <c:pt idx="83">
                  <c:v>3.5398060697112688</c:v>
                </c:pt>
                <c:pt idx="84">
                  <c:v>-3.1799204451593002</c:v>
                </c:pt>
                <c:pt idx="85">
                  <c:v>4.5442508120139564</c:v>
                </c:pt>
                <c:pt idx="86">
                  <c:v>0.25695834620740365</c:v>
                </c:pt>
                <c:pt idx="87">
                  <c:v>1.2073918326702806</c:v>
                </c:pt>
                <c:pt idx="88">
                  <c:v>-4.4590038872370741</c:v>
                </c:pt>
                <c:pt idx="89">
                  <c:v>-1.1554660240166608</c:v>
                </c:pt>
                <c:pt idx="90">
                  <c:v>2.8726997524433395</c:v>
                </c:pt>
                <c:pt idx="91">
                  <c:v>1.0885593544188177</c:v>
                </c:pt>
                <c:pt idx="92">
                  <c:v>0.85558311013777721</c:v>
                </c:pt>
                <c:pt idx="93">
                  <c:v>3.317994332949374</c:v>
                </c:pt>
                <c:pt idx="94">
                  <c:v>-4.4489215767421539</c:v>
                </c:pt>
                <c:pt idx="95">
                  <c:v>-2.9732809793325874</c:v>
                </c:pt>
                <c:pt idx="96">
                  <c:v>0.18517473744190635</c:v>
                </c:pt>
                <c:pt idx="97">
                  <c:v>1.5523079613735771</c:v>
                </c:pt>
                <c:pt idx="98">
                  <c:v>-2.2578974958930464</c:v>
                </c:pt>
                <c:pt idx="99">
                  <c:v>1.8590435026054959</c:v>
                </c:pt>
                <c:pt idx="100">
                  <c:v>-1.8059552894811131</c:v>
                </c:pt>
                <c:pt idx="101">
                  <c:v>1.7016504867687607</c:v>
                </c:pt>
                <c:pt idx="102">
                  <c:v>-2.0738872420241297</c:v>
                </c:pt>
                <c:pt idx="103">
                  <c:v>-3.102149778143664</c:v>
                </c:pt>
                <c:pt idx="104">
                  <c:v>-3.1258373152441927</c:v>
                </c:pt>
                <c:pt idx="105">
                  <c:v>0.56539874930596035</c:v>
                </c:pt>
                <c:pt idx="106">
                  <c:v>-2.9175462842846858</c:v>
                </c:pt>
                <c:pt idx="107">
                  <c:v>0.84779021801788967</c:v>
                </c:pt>
                <c:pt idx="108">
                  <c:v>-3.3359148878007554</c:v>
                </c:pt>
                <c:pt idx="109">
                  <c:v>-7.6709344113101112</c:v>
                </c:pt>
                <c:pt idx="110">
                  <c:v>5.6297682636100177</c:v>
                </c:pt>
                <c:pt idx="111">
                  <c:v>1.5519677756039765</c:v>
                </c:pt>
                <c:pt idx="112">
                  <c:v>-1.6522732614479718</c:v>
                </c:pt>
                <c:pt idx="113">
                  <c:v>1.1574632111277348</c:v>
                </c:pt>
                <c:pt idx="114">
                  <c:v>-3.5339318970982658</c:v>
                </c:pt>
                <c:pt idx="115">
                  <c:v>-2.9410794128743469</c:v>
                </c:pt>
                <c:pt idx="116">
                  <c:v>-2.4211220993382567</c:v>
                </c:pt>
                <c:pt idx="117">
                  <c:v>-0.54365190461937363</c:v>
                </c:pt>
                <c:pt idx="118">
                  <c:v>-0.94206662631090787</c:v>
                </c:pt>
                <c:pt idx="119">
                  <c:v>7.5239362887118979</c:v>
                </c:pt>
                <c:pt idx="120">
                  <c:v>-4.809621067891257</c:v>
                </c:pt>
                <c:pt idx="121">
                  <c:v>1.614995465696017</c:v>
                </c:pt>
                <c:pt idx="122">
                  <c:v>2.7978659985508747</c:v>
                </c:pt>
                <c:pt idx="123">
                  <c:v>-6.330704671366397</c:v>
                </c:pt>
                <c:pt idx="124">
                  <c:v>7.3009919931795659</c:v>
                </c:pt>
                <c:pt idx="125">
                  <c:v>3.1094750777932103</c:v>
                </c:pt>
                <c:pt idx="126">
                  <c:v>4.9458504319620396</c:v>
                </c:pt>
                <c:pt idx="127">
                  <c:v>3.447678785707637</c:v>
                </c:pt>
                <c:pt idx="128">
                  <c:v>-1.3175939278488227</c:v>
                </c:pt>
                <c:pt idx="129">
                  <c:v>3.0947832926414471</c:v>
                </c:pt>
                <c:pt idx="130">
                  <c:v>1.5035277730137058</c:v>
                </c:pt>
                <c:pt idx="131">
                  <c:v>-3.8922314595493455</c:v>
                </c:pt>
                <c:pt idx="132">
                  <c:v>1.8942634135784053</c:v>
                </c:pt>
                <c:pt idx="133">
                  <c:v>-2.8368130433825907</c:v>
                </c:pt>
                <c:pt idx="134">
                  <c:v>0.3272707039433731</c:v>
                </c:pt>
                <c:pt idx="135">
                  <c:v>3.7061049121704639</c:v>
                </c:pt>
                <c:pt idx="136">
                  <c:v>1.7623048677311361</c:v>
                </c:pt>
                <c:pt idx="137">
                  <c:v>-1.2350087026888934</c:v>
                </c:pt>
                <c:pt idx="138">
                  <c:v>0.97896637075238668</c:v>
                </c:pt>
                <c:pt idx="139">
                  <c:v>1.2399379019273071</c:v>
                </c:pt>
                <c:pt idx="140">
                  <c:v>0.48833443471669608</c:v>
                </c:pt>
                <c:pt idx="141">
                  <c:v>0.76975473639550218</c:v>
                </c:pt>
                <c:pt idx="142">
                  <c:v>-0.55161450644920484</c:v>
                </c:pt>
                <c:pt idx="143">
                  <c:v>0.21766541392395822</c:v>
                </c:pt>
                <c:pt idx="144">
                  <c:v>-3.1085289079925964</c:v>
                </c:pt>
                <c:pt idx="145">
                  <c:v>3.4501535756521998E-2</c:v>
                </c:pt>
                <c:pt idx="146">
                  <c:v>5.1721006259509768E-2</c:v>
                </c:pt>
                <c:pt idx="147">
                  <c:v>0.29262928280489131</c:v>
                </c:pt>
                <c:pt idx="148">
                  <c:v>2.0584203541576578</c:v>
                </c:pt>
                <c:pt idx="149">
                  <c:v>0.92587236522938388</c:v>
                </c:pt>
                <c:pt idx="150">
                  <c:v>-1.3331240281371115</c:v>
                </c:pt>
                <c:pt idx="151">
                  <c:v>-1.7942299968735487</c:v>
                </c:pt>
                <c:pt idx="152">
                  <c:v>-0.56521221006703204</c:v>
                </c:pt>
                <c:pt idx="153">
                  <c:v>5.3180873576692145</c:v>
                </c:pt>
                <c:pt idx="154">
                  <c:v>0.69788452183675953</c:v>
                </c:pt>
                <c:pt idx="155">
                  <c:v>-2.6384169950720913</c:v>
                </c:pt>
              </c:numCache>
            </c:numRef>
          </c:val>
          <c:smooth val="0"/>
        </c:ser>
        <c:ser>
          <c:idx val="1"/>
          <c:order val="1"/>
          <c:tx>
            <c:strRef>
              <c:f>NYSE!$AP$2</c:f>
              <c:strCache>
                <c:ptCount val="1"/>
                <c:pt idx="0">
                  <c:v>x</c:v>
                </c:pt>
              </c:strCache>
            </c:strRef>
          </c:tx>
          <c:spPr>
            <a:ln w="28575" cap="rnd">
              <a:solidFill>
                <a:schemeClr val="accent2"/>
              </a:solidFill>
              <a:round/>
            </a:ln>
            <a:effectLst/>
          </c:spPr>
          <c:marker>
            <c:symbol val="none"/>
          </c:marker>
          <c:val>
            <c:numRef>
              <c:f>NYSE!$AP$3:$AP$158</c:f>
              <c:numCache>
                <c:formatCode>General</c:formatCode>
                <c:ptCount val="15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numCache>
            </c:numRef>
          </c:val>
          <c:smooth val="0"/>
        </c:ser>
        <c:dLbls>
          <c:showLegendKey val="0"/>
          <c:showVal val="0"/>
          <c:showCatName val="0"/>
          <c:showSerName val="0"/>
          <c:showPercent val="0"/>
          <c:showBubbleSize val="0"/>
        </c:dLbls>
        <c:smooth val="0"/>
        <c:axId val="408646944"/>
        <c:axId val="408647336"/>
      </c:lineChart>
      <c:catAx>
        <c:axId val="408646944"/>
        <c:scaling>
          <c:orientation val="minMax"/>
        </c:scaling>
        <c:delete val="1"/>
        <c:axPos val="b"/>
        <c:majorTickMark val="none"/>
        <c:minorTickMark val="none"/>
        <c:tickLblPos val="nextTo"/>
        <c:crossAx val="408647336"/>
        <c:crosses val="autoZero"/>
        <c:auto val="1"/>
        <c:lblAlgn val="ctr"/>
        <c:lblOffset val="100"/>
        <c:noMultiLvlLbl val="0"/>
      </c:catAx>
      <c:valAx>
        <c:axId val="408647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Weekly rate of return,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646944"/>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'Disclosure (3)'!$AS$71</c:f>
              <c:strCache>
                <c:ptCount val="1"/>
                <c:pt idx="0">
                  <c:v>Disclosure</c:v>
                </c:pt>
              </c:strCache>
            </c:strRef>
          </c:tx>
          <c:spPr>
            <a:ln w="28575" cap="rnd">
              <a:solidFill>
                <a:schemeClr val="accent1"/>
              </a:solidFill>
              <a:round/>
            </a:ln>
            <a:effectLst/>
          </c:spPr>
          <c:marker>
            <c:symbol val="none"/>
          </c:marker>
          <c:cat>
            <c:numRef>
              <c:f>'Disclosure (3)'!$AR$72:$AR$74</c:f>
              <c:numCache>
                <c:formatCode>General</c:formatCode>
                <c:ptCount val="3"/>
                <c:pt idx="0">
                  <c:v>2010</c:v>
                </c:pt>
                <c:pt idx="1">
                  <c:v>2011</c:v>
                </c:pt>
                <c:pt idx="2">
                  <c:v>2012</c:v>
                </c:pt>
              </c:numCache>
            </c:numRef>
          </c:cat>
          <c:val>
            <c:numRef>
              <c:f>'Disclosure (3)'!$AS$72:$AS$74</c:f>
              <c:numCache>
                <c:formatCode>General</c:formatCode>
                <c:ptCount val="3"/>
                <c:pt idx="0">
                  <c:v>0.97787089999999999</c:v>
                </c:pt>
                <c:pt idx="1">
                  <c:v>0.94740919999999995</c:v>
                </c:pt>
                <c:pt idx="2">
                  <c:v>1.1884380000000001</c:v>
                </c:pt>
              </c:numCache>
            </c:numRef>
          </c:val>
          <c:smooth val="0"/>
        </c:ser>
        <c:ser>
          <c:idx val="1"/>
          <c:order val="1"/>
          <c:tx>
            <c:strRef>
              <c:f>'Disclosure (3)'!$AT$71</c:f>
              <c:strCache>
                <c:ptCount val="1"/>
                <c:pt idx="0">
                  <c:v>Liquidity</c:v>
                </c:pt>
              </c:strCache>
            </c:strRef>
          </c:tx>
          <c:spPr>
            <a:ln w="28575" cap="rnd">
              <a:solidFill>
                <a:schemeClr val="accent2"/>
              </a:solidFill>
              <a:prstDash val="sysDot"/>
              <a:round/>
            </a:ln>
            <a:effectLst/>
          </c:spPr>
          <c:marker>
            <c:symbol val="none"/>
          </c:marker>
          <c:cat>
            <c:numRef>
              <c:f>'Disclosure (3)'!$AR$72:$AR$74</c:f>
              <c:numCache>
                <c:formatCode>General</c:formatCode>
                <c:ptCount val="3"/>
                <c:pt idx="0">
                  <c:v>2010</c:v>
                </c:pt>
                <c:pt idx="1">
                  <c:v>2011</c:v>
                </c:pt>
                <c:pt idx="2">
                  <c:v>2012</c:v>
                </c:pt>
              </c:numCache>
            </c:numRef>
          </c:cat>
          <c:val>
            <c:numRef>
              <c:f>'Disclosure (3)'!$AT$72:$AT$74</c:f>
              <c:numCache>
                <c:formatCode>General</c:formatCode>
                <c:ptCount val="3"/>
                <c:pt idx="0">
                  <c:v>0.65423636363636384</c:v>
                </c:pt>
                <c:pt idx="1">
                  <c:v>0.62877230769230796</c:v>
                </c:pt>
                <c:pt idx="2">
                  <c:v>0.83248307692307688</c:v>
                </c:pt>
              </c:numCache>
            </c:numRef>
          </c:val>
          <c:smooth val="0"/>
        </c:ser>
        <c:ser>
          <c:idx val="2"/>
          <c:order val="2"/>
          <c:tx>
            <c:strRef>
              <c:f>'Disclosure (3)'!$AU$71</c:f>
              <c:strCache>
                <c:ptCount val="1"/>
                <c:pt idx="0">
                  <c:v>Group structure</c:v>
                </c:pt>
              </c:strCache>
            </c:strRef>
          </c:tx>
          <c:spPr>
            <a:ln w="28575" cap="rnd">
              <a:solidFill>
                <a:schemeClr val="accent3"/>
              </a:solidFill>
              <a:prstDash val="dashDot"/>
              <a:round/>
            </a:ln>
            <a:effectLst/>
          </c:spPr>
          <c:marker>
            <c:symbol val="none"/>
          </c:marker>
          <c:cat>
            <c:numRef>
              <c:f>'Disclosure (3)'!$AR$72:$AR$74</c:f>
              <c:numCache>
                <c:formatCode>General</c:formatCode>
                <c:ptCount val="3"/>
                <c:pt idx="0">
                  <c:v>2010</c:v>
                </c:pt>
                <c:pt idx="1">
                  <c:v>2011</c:v>
                </c:pt>
                <c:pt idx="2">
                  <c:v>2012</c:v>
                </c:pt>
              </c:numCache>
            </c:numRef>
          </c:cat>
          <c:val>
            <c:numRef>
              <c:f>'Disclosure (3)'!$AU$72:$AU$74</c:f>
              <c:numCache>
                <c:formatCode>General</c:formatCode>
                <c:ptCount val="3"/>
                <c:pt idx="0">
                  <c:v>0.42983333333333362</c:v>
                </c:pt>
                <c:pt idx="1">
                  <c:v>0.43343846153846172</c:v>
                </c:pt>
                <c:pt idx="2">
                  <c:v>0.54678307692307659</c:v>
                </c:pt>
              </c:numCache>
            </c:numRef>
          </c:val>
          <c:smooth val="0"/>
        </c:ser>
        <c:ser>
          <c:idx val="3"/>
          <c:order val="3"/>
          <c:tx>
            <c:strRef>
              <c:f>'Disclosure (3)'!$AV$71</c:f>
              <c:strCache>
                <c:ptCount val="1"/>
                <c:pt idx="0">
                  <c:v>Intra-annual information</c:v>
                </c:pt>
              </c:strCache>
            </c:strRef>
          </c:tx>
          <c:spPr>
            <a:ln w="28575" cap="rnd">
              <a:solidFill>
                <a:schemeClr val="accent4"/>
              </a:solidFill>
              <a:prstDash val="lgDash"/>
              <a:round/>
            </a:ln>
            <a:effectLst/>
          </c:spPr>
          <c:marker>
            <c:symbol val="none"/>
          </c:marker>
          <c:cat>
            <c:numRef>
              <c:f>'Disclosure (3)'!$AR$72:$AR$74</c:f>
              <c:numCache>
                <c:formatCode>General</c:formatCode>
                <c:ptCount val="3"/>
                <c:pt idx="0">
                  <c:v>2010</c:v>
                </c:pt>
                <c:pt idx="1">
                  <c:v>2011</c:v>
                </c:pt>
                <c:pt idx="2">
                  <c:v>2012</c:v>
                </c:pt>
              </c:numCache>
            </c:numRef>
          </c:cat>
          <c:val>
            <c:numRef>
              <c:f>'Disclosure (3)'!$AV$72:$AV$74</c:f>
              <c:numCache>
                <c:formatCode>General</c:formatCode>
                <c:ptCount val="3"/>
                <c:pt idx="0">
                  <c:v>0.41772727272727245</c:v>
                </c:pt>
                <c:pt idx="1">
                  <c:v>0.40360769230769211</c:v>
                </c:pt>
                <c:pt idx="2">
                  <c:v>0.40395692307692288</c:v>
                </c:pt>
              </c:numCache>
            </c:numRef>
          </c:val>
          <c:smooth val="0"/>
        </c:ser>
        <c:ser>
          <c:idx val="4"/>
          <c:order val="4"/>
          <c:tx>
            <c:strRef>
              <c:f>'Disclosure (3)'!$AW$71</c:f>
              <c:strCache>
                <c:ptCount val="1"/>
                <c:pt idx="0">
                  <c:v>Spillover risk</c:v>
                </c:pt>
              </c:strCache>
            </c:strRef>
          </c:tx>
          <c:spPr>
            <a:ln w="28575" cap="rnd">
              <a:solidFill>
                <a:schemeClr val="accent5"/>
              </a:solidFill>
              <a:prstDash val="sysDash"/>
              <a:round/>
            </a:ln>
            <a:effectLst/>
          </c:spPr>
          <c:marker>
            <c:symbol val="none"/>
          </c:marker>
          <c:cat>
            <c:numRef>
              <c:f>'Disclosure (3)'!$AR$72:$AR$74</c:f>
              <c:numCache>
                <c:formatCode>General</c:formatCode>
                <c:ptCount val="3"/>
                <c:pt idx="0">
                  <c:v>2010</c:v>
                </c:pt>
                <c:pt idx="1">
                  <c:v>2011</c:v>
                </c:pt>
                <c:pt idx="2">
                  <c:v>2012</c:v>
                </c:pt>
              </c:numCache>
            </c:numRef>
          </c:cat>
          <c:val>
            <c:numRef>
              <c:f>'Disclosure (3)'!$AW$72:$AW$74</c:f>
              <c:numCache>
                <c:formatCode>General</c:formatCode>
                <c:ptCount val="3"/>
                <c:pt idx="0">
                  <c:v>0.54972923076923075</c:v>
                </c:pt>
                <c:pt idx="1">
                  <c:v>0.58100468750000001</c:v>
                </c:pt>
                <c:pt idx="2">
                  <c:v>0.61119374999999965</c:v>
                </c:pt>
              </c:numCache>
            </c:numRef>
          </c:val>
          <c:smooth val="0"/>
        </c:ser>
        <c:dLbls>
          <c:showLegendKey val="0"/>
          <c:showVal val="0"/>
          <c:showCatName val="0"/>
          <c:showSerName val="0"/>
          <c:showPercent val="0"/>
          <c:showBubbleSize val="0"/>
        </c:dLbls>
        <c:smooth val="0"/>
        <c:axId val="362307432"/>
        <c:axId val="357995296"/>
      </c:lineChart>
      <c:catAx>
        <c:axId val="36230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995296"/>
        <c:crosses val="autoZero"/>
        <c:auto val="1"/>
        <c:lblAlgn val="ctr"/>
        <c:lblOffset val="100"/>
        <c:noMultiLvlLbl val="0"/>
      </c:catAx>
      <c:valAx>
        <c:axId val="3579952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307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8025-E539-4E1C-BFB5-0974E4B0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Pages>
  <Words>15411</Words>
  <Characters>87847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 Зарипов</dc:creator>
  <cp:keywords/>
  <dc:description/>
  <cp:lastModifiedBy>Айдар Зарипов</cp:lastModifiedBy>
  <cp:revision>240</cp:revision>
  <cp:lastPrinted>2016-05-25T05:36:00Z</cp:lastPrinted>
  <dcterms:created xsi:type="dcterms:W3CDTF">2016-05-13T10:15:00Z</dcterms:created>
  <dcterms:modified xsi:type="dcterms:W3CDTF">2016-05-25T05:36:00Z</dcterms:modified>
</cp:coreProperties>
</file>