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59" w:rsidRPr="00DF6DCA" w:rsidRDefault="00DF6DCA" w:rsidP="00DF6D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DCA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  <w:r w:rsidR="000A6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CA" w:rsidRDefault="001475D8" w:rsidP="00DF6D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государственного и административного права</w:t>
      </w:r>
      <w:r w:rsidR="000A6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CA" w:rsidRPr="00DF6DCA" w:rsidRDefault="00DF6DCA" w:rsidP="00DF6D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DCA" w:rsidRPr="00DF6DCA" w:rsidRDefault="00DF6DCA" w:rsidP="00DF6D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DCA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F6DCA">
        <w:rPr>
          <w:rFonts w:ascii="Times New Roman" w:hAnsi="Times New Roman" w:cs="Times New Roman"/>
          <w:sz w:val="28"/>
          <w:szCs w:val="28"/>
        </w:rPr>
        <w:t>агистерской диссертации</w:t>
      </w:r>
      <w:r w:rsidR="000A6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CA" w:rsidRPr="00DF6DCA" w:rsidRDefault="00DF6DCA" w:rsidP="00DF6D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6DCA">
        <w:rPr>
          <w:rFonts w:ascii="Times New Roman" w:hAnsi="Times New Roman" w:cs="Times New Roman"/>
          <w:sz w:val="28"/>
          <w:szCs w:val="28"/>
        </w:rPr>
        <w:t xml:space="preserve">тудента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6DCA">
        <w:rPr>
          <w:rFonts w:ascii="Times New Roman" w:hAnsi="Times New Roman" w:cs="Times New Roman"/>
          <w:sz w:val="28"/>
          <w:szCs w:val="28"/>
        </w:rPr>
        <w:t xml:space="preserve">о </w:t>
      </w:r>
      <w:r w:rsidR="00426560">
        <w:rPr>
          <w:rFonts w:ascii="Times New Roman" w:hAnsi="Times New Roman" w:cs="Times New Roman"/>
          <w:sz w:val="28"/>
          <w:szCs w:val="28"/>
        </w:rPr>
        <w:t xml:space="preserve">направлению магистратуры </w:t>
      </w:r>
      <w:r w:rsidRPr="00DF6DCA">
        <w:rPr>
          <w:rFonts w:ascii="Times New Roman" w:hAnsi="Times New Roman" w:cs="Times New Roman"/>
          <w:sz w:val="28"/>
          <w:szCs w:val="28"/>
        </w:rPr>
        <w:t>«Налоговое право»</w:t>
      </w:r>
      <w:r w:rsidR="000A6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CA" w:rsidRPr="000A6568" w:rsidRDefault="000A6568" w:rsidP="00DF6D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Даниила Геннадьевича </w:t>
      </w:r>
    </w:p>
    <w:p w:rsidR="00DF6DCA" w:rsidRPr="00DF6DCA" w:rsidRDefault="00DF6DCA" w:rsidP="00DF6D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DCA" w:rsidRDefault="00DF6DCA" w:rsidP="00DF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CA">
        <w:rPr>
          <w:rFonts w:ascii="Times New Roman" w:hAnsi="Times New Roman" w:cs="Times New Roman"/>
          <w:b/>
          <w:sz w:val="28"/>
          <w:szCs w:val="28"/>
        </w:rPr>
        <w:t>Тема диссертации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6DCA" w:rsidRDefault="000A6568" w:rsidP="00DF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68">
        <w:rPr>
          <w:rFonts w:ascii="Times New Roman" w:hAnsi="Times New Roman" w:cs="Times New Roman"/>
          <w:sz w:val="28"/>
          <w:szCs w:val="28"/>
        </w:rPr>
        <w:t>Правовые презумпции как инструмент противодействия налоговым злоупотреблениям</w:t>
      </w:r>
    </w:p>
    <w:p w:rsidR="000A6568" w:rsidRPr="00DF6DCA" w:rsidRDefault="000A6568" w:rsidP="00DF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DCA" w:rsidRPr="00DF6DCA" w:rsidRDefault="00DF6DCA" w:rsidP="00DF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CA">
        <w:rPr>
          <w:rFonts w:ascii="Times New Roman" w:hAnsi="Times New Roman" w:cs="Times New Roman"/>
          <w:b/>
          <w:sz w:val="28"/>
          <w:szCs w:val="28"/>
        </w:rPr>
        <w:t>Цели и задачи исследования</w:t>
      </w:r>
      <w:r w:rsidRPr="00DF6DCA">
        <w:rPr>
          <w:rFonts w:ascii="Times New Roman" w:hAnsi="Times New Roman" w:cs="Times New Roman"/>
          <w:sz w:val="28"/>
          <w:szCs w:val="28"/>
        </w:rPr>
        <w:t>:</w:t>
      </w:r>
      <w:r w:rsidR="005F4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60" w:rsidRDefault="00426560" w:rsidP="005F4A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A3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6576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="005F4A0B">
        <w:rPr>
          <w:rFonts w:ascii="Times New Roman" w:hAnsi="Times New Roman" w:cs="Times New Roman"/>
          <w:sz w:val="28"/>
          <w:szCs w:val="28"/>
        </w:rPr>
        <w:t xml:space="preserve">пределов </w:t>
      </w:r>
      <w:r>
        <w:rPr>
          <w:rFonts w:ascii="Times New Roman" w:hAnsi="Times New Roman" w:cs="Times New Roman"/>
          <w:sz w:val="28"/>
          <w:szCs w:val="28"/>
        </w:rPr>
        <w:t xml:space="preserve">допустимости </w:t>
      </w:r>
      <w:r w:rsidR="005F4A0B">
        <w:rPr>
          <w:rFonts w:ascii="Times New Roman" w:hAnsi="Times New Roman" w:cs="Times New Roman"/>
          <w:sz w:val="28"/>
          <w:szCs w:val="28"/>
        </w:rPr>
        <w:t xml:space="preserve">и условий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7D6576">
        <w:rPr>
          <w:rFonts w:ascii="Times New Roman" w:hAnsi="Times New Roman" w:cs="Times New Roman"/>
          <w:sz w:val="28"/>
          <w:szCs w:val="28"/>
        </w:rPr>
        <w:t xml:space="preserve"> правовых презумпций в целях противодействия злоупотреблениям в сфере налоговых правоотношений</w:t>
      </w:r>
      <w:r>
        <w:rPr>
          <w:rFonts w:ascii="Times New Roman" w:hAnsi="Times New Roman" w:cs="Times New Roman"/>
          <w:sz w:val="28"/>
          <w:szCs w:val="28"/>
        </w:rPr>
        <w:t xml:space="preserve"> с позиций конституци</w:t>
      </w:r>
      <w:r w:rsidR="005F4A0B">
        <w:rPr>
          <w:rFonts w:ascii="Times New Roman" w:hAnsi="Times New Roman" w:cs="Times New Roman"/>
          <w:sz w:val="28"/>
          <w:szCs w:val="28"/>
        </w:rPr>
        <w:t xml:space="preserve">онных принципов налогообложения; </w:t>
      </w:r>
    </w:p>
    <w:p w:rsidR="00426560" w:rsidRDefault="005F4A0B" w:rsidP="004265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26560">
        <w:rPr>
          <w:rFonts w:ascii="Times New Roman" w:hAnsi="Times New Roman" w:cs="Times New Roman"/>
          <w:b/>
          <w:sz w:val="28"/>
          <w:szCs w:val="28"/>
        </w:rPr>
        <w:t>.</w:t>
      </w:r>
      <w:r w:rsidR="00426560">
        <w:rPr>
          <w:rFonts w:ascii="Times New Roman" w:hAnsi="Times New Roman" w:cs="Times New Roman"/>
          <w:sz w:val="28"/>
          <w:szCs w:val="28"/>
        </w:rPr>
        <w:t xml:space="preserve"> Р</w:t>
      </w:r>
      <w:r w:rsidR="00426560" w:rsidRPr="007D6576">
        <w:rPr>
          <w:rFonts w:ascii="Times New Roman" w:hAnsi="Times New Roman" w:cs="Times New Roman"/>
          <w:sz w:val="28"/>
          <w:szCs w:val="28"/>
        </w:rPr>
        <w:t>ассмотрение</w:t>
      </w:r>
      <w:r w:rsidR="00426560">
        <w:rPr>
          <w:rFonts w:ascii="Times New Roman" w:hAnsi="Times New Roman" w:cs="Times New Roman"/>
          <w:sz w:val="28"/>
          <w:szCs w:val="28"/>
        </w:rPr>
        <w:t xml:space="preserve"> отдельных правил в сфере налогообложения, основанных на таких презумпциях; </w:t>
      </w:r>
    </w:p>
    <w:p w:rsidR="00426560" w:rsidRPr="003A3ECC" w:rsidRDefault="005F4A0B" w:rsidP="004265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26560">
        <w:rPr>
          <w:rFonts w:ascii="Times New Roman" w:hAnsi="Times New Roman" w:cs="Times New Roman"/>
          <w:b/>
          <w:sz w:val="28"/>
          <w:szCs w:val="28"/>
        </w:rPr>
        <w:t>.</w:t>
      </w:r>
      <w:r w:rsidR="00426560">
        <w:rPr>
          <w:rFonts w:ascii="Times New Roman" w:hAnsi="Times New Roman" w:cs="Times New Roman"/>
          <w:sz w:val="28"/>
          <w:szCs w:val="28"/>
        </w:rPr>
        <w:t xml:space="preserve"> Оценка конституционности данных презумпций с точки зрения выявленных пределов и условий их использования. </w:t>
      </w:r>
    </w:p>
    <w:p w:rsidR="00DF2954" w:rsidRPr="00DF2954" w:rsidRDefault="00DF2954" w:rsidP="00DF2954">
      <w:pPr>
        <w:pStyle w:val="af2"/>
        <w:spacing w:before="0" w:after="0" w:line="360" w:lineRule="auto"/>
        <w:ind w:firstLine="709"/>
        <w:jc w:val="both"/>
        <w:rPr>
          <w:sz w:val="28"/>
        </w:rPr>
      </w:pPr>
    </w:p>
    <w:p w:rsidR="00DF6DCA" w:rsidRPr="00DF6DCA" w:rsidRDefault="00DF6DCA" w:rsidP="00DF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CA">
        <w:rPr>
          <w:rFonts w:ascii="Times New Roman" w:hAnsi="Times New Roman" w:cs="Times New Roman"/>
          <w:b/>
          <w:sz w:val="28"/>
          <w:szCs w:val="28"/>
        </w:rPr>
        <w:t>Выводы, сделанные по результатам исследования</w:t>
      </w:r>
      <w:r w:rsidRPr="00DF6DCA">
        <w:rPr>
          <w:rFonts w:ascii="Times New Roman" w:hAnsi="Times New Roman" w:cs="Times New Roman"/>
          <w:sz w:val="28"/>
          <w:szCs w:val="28"/>
        </w:rPr>
        <w:t>:</w:t>
      </w:r>
    </w:p>
    <w:p w:rsidR="00426560" w:rsidRDefault="00426560" w:rsidP="004265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034">
        <w:rPr>
          <w:rFonts w:ascii="Times New Roman" w:hAnsi="Times New Roman" w:cs="Times New Roman"/>
          <w:sz w:val="28"/>
          <w:szCs w:val="28"/>
        </w:rPr>
        <w:t xml:space="preserve">Проведенное 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правовых презумпций как инструмента противодействия налоговым злоупотреблениям позволяет утверждать следующее. </w:t>
      </w:r>
    </w:p>
    <w:p w:rsidR="00426560" w:rsidRDefault="00426560" w:rsidP="005F4A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1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Pr="00F10034">
        <w:rPr>
          <w:rFonts w:ascii="Times New Roman" w:hAnsi="Times New Roman" w:cs="Times New Roman"/>
          <w:sz w:val="28"/>
          <w:szCs w:val="28"/>
        </w:rPr>
        <w:t>презумпция добросовестности налогоплательщика и презумпции, направленные на противодействие налоговым злоупотреблениям, не противоречат друг дру</w:t>
      </w:r>
      <w:r>
        <w:rPr>
          <w:rFonts w:ascii="Times New Roman" w:hAnsi="Times New Roman" w:cs="Times New Roman"/>
          <w:sz w:val="28"/>
          <w:szCs w:val="28"/>
        </w:rPr>
        <w:t xml:space="preserve">гу, </w:t>
      </w:r>
      <w:r w:rsidR="005F4A0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существование в законодательстве и тех, и других презумпций может преследовать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конституционно-значимые цели, тем не менее, </w:t>
      </w:r>
      <w:r w:rsidRPr="00E54C7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законодателем презумпций, направленных на противодейс</w:t>
      </w:r>
      <w:r w:rsidR="005F4A0B">
        <w:rPr>
          <w:rFonts w:ascii="Times New Roman" w:hAnsi="Times New Roman" w:cs="Times New Roman"/>
          <w:sz w:val="28"/>
          <w:szCs w:val="28"/>
        </w:rPr>
        <w:t xml:space="preserve">твие налоговым злоупотреблениям, которые являются изъятием из принципа добросовестности, </w:t>
      </w:r>
      <w:r w:rsidR="009657E5">
        <w:rPr>
          <w:rFonts w:ascii="Times New Roman" w:hAnsi="Times New Roman" w:cs="Times New Roman"/>
          <w:sz w:val="28"/>
          <w:szCs w:val="28"/>
        </w:rPr>
        <w:t xml:space="preserve">должно осуществляться в конституционно-допустимых пределах с учетом действия конституционных принципов налогообложения. </w:t>
      </w:r>
      <w:proofErr w:type="gramEnd"/>
    </w:p>
    <w:p w:rsidR="00426560" w:rsidRDefault="00426560" w:rsidP="004265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19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Наиболее значимым конституционно-правовым ограничителем дискреции законодателя в данной сфере выступает принцип экономической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налогообложения. Обоснованность наличия налоговой обязанности может быть поставлена под сомнение, если она не связана с выгодой, полученной налогоплательщиком</w:t>
      </w:r>
      <w:r w:rsidRPr="00AC3E92">
        <w:rPr>
          <w:rFonts w:ascii="Times New Roman" w:hAnsi="Times New Roman" w:cs="Times New Roman"/>
          <w:sz w:val="28"/>
          <w:szCs w:val="28"/>
        </w:rPr>
        <w:t xml:space="preserve"> (прирост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имущественной массы</w:t>
      </w:r>
      <w:r w:rsidRPr="00AC3E92">
        <w:rPr>
          <w:rFonts w:ascii="Times New Roman" w:hAnsi="Times New Roman" w:cs="Times New Roman"/>
          <w:sz w:val="28"/>
          <w:szCs w:val="28"/>
        </w:rPr>
        <w:t>), либо обладание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3E92">
        <w:rPr>
          <w:rFonts w:ascii="Times New Roman" w:hAnsi="Times New Roman" w:cs="Times New Roman"/>
          <w:sz w:val="28"/>
          <w:szCs w:val="28"/>
        </w:rPr>
        <w:t xml:space="preserve"> им на вещном праве те</w:t>
      </w:r>
      <w:r>
        <w:rPr>
          <w:rFonts w:ascii="Times New Roman" w:hAnsi="Times New Roman" w:cs="Times New Roman"/>
          <w:sz w:val="28"/>
          <w:szCs w:val="28"/>
        </w:rPr>
        <w:t xml:space="preserve">м или иным имущественным благом. </w:t>
      </w:r>
    </w:p>
    <w:p w:rsidR="00426560" w:rsidRDefault="008F67BA" w:rsidP="004265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26560" w:rsidRPr="00373196">
        <w:rPr>
          <w:rFonts w:ascii="Times New Roman" w:hAnsi="Times New Roman" w:cs="Times New Roman"/>
          <w:b/>
          <w:sz w:val="28"/>
          <w:szCs w:val="28"/>
        </w:rPr>
        <w:t>.</w:t>
      </w:r>
      <w:r w:rsidR="00426560">
        <w:rPr>
          <w:rFonts w:ascii="Times New Roman" w:hAnsi="Times New Roman" w:cs="Times New Roman"/>
          <w:sz w:val="28"/>
          <w:szCs w:val="28"/>
        </w:rPr>
        <w:t xml:space="preserve"> В</w:t>
      </w:r>
      <w:r w:rsidR="00426560" w:rsidRPr="00BB577C">
        <w:rPr>
          <w:rFonts w:ascii="Times New Roman" w:hAnsi="Times New Roman" w:cs="Times New Roman"/>
          <w:sz w:val="28"/>
          <w:szCs w:val="28"/>
        </w:rPr>
        <w:t xml:space="preserve">зимание налога </w:t>
      </w:r>
      <w:r w:rsidR="00426560">
        <w:rPr>
          <w:rFonts w:ascii="Times New Roman" w:hAnsi="Times New Roman" w:cs="Times New Roman"/>
          <w:sz w:val="28"/>
          <w:szCs w:val="28"/>
        </w:rPr>
        <w:t xml:space="preserve">на добавленную стоимость </w:t>
      </w:r>
      <w:r w:rsidR="00426560" w:rsidRPr="00BB577C">
        <w:rPr>
          <w:rFonts w:ascii="Times New Roman" w:hAnsi="Times New Roman" w:cs="Times New Roman"/>
          <w:sz w:val="28"/>
          <w:szCs w:val="28"/>
        </w:rPr>
        <w:t xml:space="preserve">при безвозмездной передаче товаров, оказании услуг, выполнении работ </w:t>
      </w:r>
      <w:r w:rsidR="00426560">
        <w:rPr>
          <w:rFonts w:ascii="Times New Roman" w:hAnsi="Times New Roman" w:cs="Times New Roman"/>
          <w:sz w:val="28"/>
          <w:szCs w:val="28"/>
        </w:rPr>
        <w:t xml:space="preserve">не в полной мере соответствует </w:t>
      </w:r>
      <w:r w:rsidR="00426560" w:rsidRPr="00BB577C">
        <w:rPr>
          <w:rFonts w:ascii="Times New Roman" w:hAnsi="Times New Roman" w:cs="Times New Roman"/>
          <w:sz w:val="28"/>
          <w:szCs w:val="28"/>
        </w:rPr>
        <w:t xml:space="preserve">экономическому основанию </w:t>
      </w:r>
      <w:r w:rsidR="00426560">
        <w:rPr>
          <w:rFonts w:ascii="Times New Roman" w:hAnsi="Times New Roman" w:cs="Times New Roman"/>
          <w:sz w:val="28"/>
          <w:szCs w:val="28"/>
        </w:rPr>
        <w:t>данного налога</w:t>
      </w:r>
      <w:r w:rsidR="00426560" w:rsidRPr="00BB577C">
        <w:rPr>
          <w:rFonts w:ascii="Times New Roman" w:hAnsi="Times New Roman" w:cs="Times New Roman"/>
          <w:sz w:val="28"/>
          <w:szCs w:val="28"/>
        </w:rPr>
        <w:t xml:space="preserve"> (а именно – налог взимается в отсутствие его экономического основания, которым является добавленная стоимость), в силу чего </w:t>
      </w:r>
      <w:r w:rsidR="00426560">
        <w:rPr>
          <w:rFonts w:ascii="Times New Roman" w:hAnsi="Times New Roman" w:cs="Times New Roman"/>
          <w:sz w:val="28"/>
          <w:szCs w:val="28"/>
        </w:rPr>
        <w:t xml:space="preserve">может быть поставлен вопрос о конституционности регулирования в соответствующей части. </w:t>
      </w:r>
    </w:p>
    <w:p w:rsidR="00426560" w:rsidRDefault="00426560" w:rsidP="004265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577C">
        <w:rPr>
          <w:rFonts w:ascii="Times New Roman" w:hAnsi="Times New Roman" w:cs="Times New Roman"/>
          <w:sz w:val="28"/>
          <w:szCs w:val="28"/>
        </w:rPr>
        <w:t>алоговые органы не лишены возможности ставить под сомнение учет налогоплательщиком той или иной операции по передаче товаров, выполнению работ, оказанию услуг, совершенной налогоплател</w:t>
      </w:r>
      <w:r w:rsidR="00455E7E">
        <w:rPr>
          <w:rFonts w:ascii="Times New Roman" w:hAnsi="Times New Roman" w:cs="Times New Roman"/>
          <w:sz w:val="28"/>
          <w:szCs w:val="28"/>
        </w:rPr>
        <w:t>ьщиком в качестве безвозмездной</w:t>
      </w:r>
      <w:r w:rsidRPr="00BB577C">
        <w:rPr>
          <w:rFonts w:ascii="Times New Roman" w:hAnsi="Times New Roman" w:cs="Times New Roman"/>
          <w:sz w:val="28"/>
          <w:szCs w:val="28"/>
        </w:rPr>
        <w:t>. В случаях, если налогоплательщик не сможет представить убедительного обоснования экономических причин совершения им именно безвозмездной операции, налоговая выгода, полученная им от такой операции, подлежит признанию необоснованной.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60" w:rsidRDefault="00426560" w:rsidP="00D14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577C">
        <w:rPr>
          <w:rFonts w:ascii="Times New Roman" w:hAnsi="Times New Roman" w:cs="Times New Roman"/>
          <w:sz w:val="28"/>
          <w:szCs w:val="28"/>
        </w:rPr>
        <w:t xml:space="preserve">алогоплательщик при безвозмездной передаче товаров (выполнении работ, оказании услуг) в любом случае вправе выставить покупателю счет-фактуру с выделенной в ней суммой налога и уплатить налог, исчисленный в порядке, аналогичном статье 105.3 Налогового кодекса РФ. </w:t>
      </w:r>
    </w:p>
    <w:p w:rsidR="00D1464C" w:rsidRDefault="00D1464C" w:rsidP="004265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6560" w:rsidRPr="00373196">
        <w:rPr>
          <w:rFonts w:ascii="Times New Roman" w:hAnsi="Times New Roman" w:cs="Times New Roman"/>
          <w:b/>
          <w:sz w:val="28"/>
          <w:szCs w:val="28"/>
        </w:rPr>
        <w:t>.</w:t>
      </w:r>
      <w:r w:rsidR="00426560">
        <w:rPr>
          <w:rFonts w:ascii="Times New Roman" w:hAnsi="Times New Roman" w:cs="Times New Roman"/>
          <w:sz w:val="28"/>
          <w:szCs w:val="28"/>
        </w:rPr>
        <w:t xml:space="preserve"> При взимании</w:t>
      </w:r>
      <w:r w:rsidR="00426560" w:rsidRPr="00BB577C">
        <w:rPr>
          <w:rFonts w:ascii="Times New Roman" w:hAnsi="Times New Roman" w:cs="Times New Roman"/>
          <w:sz w:val="28"/>
          <w:szCs w:val="28"/>
        </w:rPr>
        <w:t xml:space="preserve"> налога </w:t>
      </w:r>
      <w:r w:rsidR="00426560">
        <w:rPr>
          <w:rFonts w:ascii="Times New Roman" w:hAnsi="Times New Roman" w:cs="Times New Roman"/>
          <w:sz w:val="28"/>
          <w:szCs w:val="28"/>
        </w:rPr>
        <w:t xml:space="preserve">на добавленную стоимость </w:t>
      </w:r>
      <w:r w:rsidR="00426560" w:rsidRPr="00BB577C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426560" w:rsidRPr="00BB577C">
        <w:rPr>
          <w:rFonts w:ascii="Times New Roman" w:hAnsi="Times New Roman" w:cs="Times New Roman"/>
          <w:sz w:val="28"/>
          <w:szCs w:val="28"/>
        </w:rPr>
        <w:lastRenderedPageBreak/>
        <w:t xml:space="preserve">метода «по отгрузке» </w:t>
      </w:r>
      <w:r>
        <w:rPr>
          <w:rFonts w:ascii="Times New Roman" w:hAnsi="Times New Roman" w:cs="Times New Roman"/>
          <w:sz w:val="28"/>
          <w:szCs w:val="28"/>
        </w:rPr>
        <w:t>в ситуации</w:t>
      </w:r>
      <w:r w:rsidR="00426560" w:rsidRPr="00BB57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налогоплательщик</w:t>
      </w:r>
      <w:r w:rsidR="00426560" w:rsidRPr="00BB577C">
        <w:rPr>
          <w:rFonts w:ascii="Times New Roman" w:hAnsi="Times New Roman" w:cs="Times New Roman"/>
          <w:sz w:val="28"/>
          <w:szCs w:val="28"/>
        </w:rPr>
        <w:t xml:space="preserve"> впоследствии утрачивает реальную возможность получить оплату за отгруженный товар, выполненные работы или оказанные услуги </w:t>
      </w:r>
      <w:r w:rsidR="00426560">
        <w:rPr>
          <w:rFonts w:ascii="Times New Roman" w:hAnsi="Times New Roman" w:cs="Times New Roman"/>
          <w:sz w:val="28"/>
          <w:szCs w:val="28"/>
        </w:rPr>
        <w:t xml:space="preserve">может быть усмотрено противоречие принципу экономической </w:t>
      </w:r>
      <w:proofErr w:type="spellStart"/>
      <w:r w:rsidR="00426560">
        <w:rPr>
          <w:rFonts w:ascii="Times New Roman" w:hAnsi="Times New Roman" w:cs="Times New Roman"/>
          <w:sz w:val="28"/>
          <w:szCs w:val="28"/>
        </w:rPr>
        <w:t>основанности</w:t>
      </w:r>
      <w:proofErr w:type="spellEnd"/>
      <w:r w:rsidR="00426560">
        <w:rPr>
          <w:rFonts w:ascii="Times New Roman" w:hAnsi="Times New Roman" w:cs="Times New Roman"/>
          <w:sz w:val="28"/>
          <w:szCs w:val="28"/>
        </w:rPr>
        <w:t xml:space="preserve"> налогообложения. </w:t>
      </w:r>
    </w:p>
    <w:p w:rsidR="00426560" w:rsidRPr="00BB577C" w:rsidRDefault="00426560" w:rsidP="004265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77C">
        <w:rPr>
          <w:rFonts w:ascii="Times New Roman" w:hAnsi="Times New Roman" w:cs="Times New Roman"/>
          <w:sz w:val="28"/>
          <w:szCs w:val="28"/>
        </w:rPr>
        <w:t>С целью защиты имущественного интереса налогоплательщика федеральному законодателю надлежит предусмотреть механизм обратных корректировок налоговых обязательств по налогу на добавленную стоимость с тем, чтобы налогоплательщик, утративший реальную возможность получения оплаты за отгруженный товар (выполненные работы, оказанные услуги) имел возможность соразмерного уменьшения своего налогового бремени по налогу на добавленную стоимост</w:t>
      </w:r>
      <w:r>
        <w:rPr>
          <w:rFonts w:ascii="Times New Roman" w:hAnsi="Times New Roman" w:cs="Times New Roman"/>
          <w:sz w:val="28"/>
          <w:szCs w:val="28"/>
        </w:rPr>
        <w:t xml:space="preserve">ь (на ранее уплаченную сумму). </w:t>
      </w:r>
      <w:proofErr w:type="gramEnd"/>
    </w:p>
    <w:p w:rsidR="00426560" w:rsidRPr="00BB577C" w:rsidRDefault="00426560" w:rsidP="004265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BB577C">
        <w:rPr>
          <w:rFonts w:ascii="Times New Roman" w:hAnsi="Times New Roman" w:cs="Times New Roman"/>
          <w:sz w:val="28"/>
          <w:szCs w:val="28"/>
        </w:rPr>
        <w:t xml:space="preserve">ля целей соблюдения принципа баланса частных и публичных интересов в сфере налогообложения, на приобретателей отгруженных товаров (выполненных работ, оказанных услуг) должна быть возложена обязанность по восстановлению ранее принятых сумм налога к вычету посредством дополнения действующей редакции пункта 3 статьи 170 Налогового кодекса РФ (в том случае, если данные суммы налога были ими приняты ранее). </w:t>
      </w:r>
      <w:proofErr w:type="gramEnd"/>
    </w:p>
    <w:p w:rsidR="00426560" w:rsidRDefault="00426560" w:rsidP="004265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577C">
        <w:rPr>
          <w:rFonts w:ascii="Times New Roman" w:hAnsi="Times New Roman" w:cs="Times New Roman"/>
          <w:sz w:val="28"/>
          <w:szCs w:val="28"/>
        </w:rPr>
        <w:t xml:space="preserve">алоговый орган в рамках проведения камеральной или выездной налоговой проверки налогоплательщика не лишен возможности представить доказательства его недобросовестности, которая может выражаться, например, в намеренном отсутствии факта оплаты отгруженного </w:t>
      </w:r>
      <w:proofErr w:type="gramStart"/>
      <w:r w:rsidRPr="00BB577C">
        <w:rPr>
          <w:rFonts w:ascii="Times New Roman" w:hAnsi="Times New Roman" w:cs="Times New Roman"/>
          <w:sz w:val="28"/>
          <w:szCs w:val="28"/>
        </w:rPr>
        <w:t>товара</w:t>
      </w:r>
      <w:proofErr w:type="gramEnd"/>
      <w:r w:rsidRPr="00BB577C">
        <w:rPr>
          <w:rFonts w:ascii="Times New Roman" w:hAnsi="Times New Roman" w:cs="Times New Roman"/>
          <w:sz w:val="28"/>
          <w:szCs w:val="28"/>
        </w:rPr>
        <w:t xml:space="preserve"> с целью последующего произведения предложенной корректировки налогового обязательства и </w:t>
      </w:r>
      <w:r>
        <w:rPr>
          <w:rFonts w:ascii="Times New Roman" w:hAnsi="Times New Roman" w:cs="Times New Roman"/>
          <w:sz w:val="28"/>
          <w:szCs w:val="28"/>
        </w:rPr>
        <w:t>на этом основании отказать</w:t>
      </w:r>
      <w:r w:rsidRPr="00BB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признании обоснованной налоговой выгоды, выразившейся </w:t>
      </w:r>
      <w:r w:rsidRPr="00BB577C">
        <w:rPr>
          <w:rFonts w:ascii="Times New Roman" w:hAnsi="Times New Roman" w:cs="Times New Roman"/>
          <w:sz w:val="28"/>
          <w:szCs w:val="28"/>
        </w:rPr>
        <w:t xml:space="preserve">в осуществлении такой корректировки. </w:t>
      </w:r>
    </w:p>
    <w:p w:rsidR="00426560" w:rsidRPr="00BB577C" w:rsidRDefault="00D1464C" w:rsidP="004265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26560" w:rsidRPr="00373196">
        <w:rPr>
          <w:rFonts w:ascii="Times New Roman" w:hAnsi="Times New Roman" w:cs="Times New Roman"/>
          <w:b/>
          <w:sz w:val="28"/>
          <w:szCs w:val="28"/>
        </w:rPr>
        <w:t>.</w:t>
      </w:r>
      <w:r w:rsidR="00426560">
        <w:rPr>
          <w:rFonts w:ascii="Times New Roman" w:hAnsi="Times New Roman" w:cs="Times New Roman"/>
          <w:sz w:val="28"/>
          <w:szCs w:val="28"/>
        </w:rPr>
        <w:t xml:space="preserve"> П</w:t>
      </w:r>
      <w:r w:rsidR="00426560" w:rsidRPr="00BB577C">
        <w:rPr>
          <w:rFonts w:ascii="Times New Roman" w:hAnsi="Times New Roman" w:cs="Times New Roman"/>
          <w:sz w:val="28"/>
          <w:szCs w:val="28"/>
        </w:rPr>
        <w:t xml:space="preserve">резумпция скрытого распределения прибыли, применяющаяся при наличии признаков «тонкой капитализации» заемщика </w:t>
      </w:r>
      <w:r w:rsidR="00426560">
        <w:rPr>
          <w:rFonts w:ascii="Times New Roman" w:hAnsi="Times New Roman" w:cs="Times New Roman"/>
          <w:sz w:val="28"/>
          <w:szCs w:val="28"/>
        </w:rPr>
        <w:t xml:space="preserve">в целях исчисления и уплаты налога на прибыль организаций, </w:t>
      </w:r>
      <w:r w:rsidR="00426560" w:rsidRPr="00BB577C">
        <w:rPr>
          <w:rFonts w:ascii="Times New Roman" w:hAnsi="Times New Roman" w:cs="Times New Roman"/>
          <w:sz w:val="28"/>
          <w:szCs w:val="28"/>
        </w:rPr>
        <w:t xml:space="preserve">не учитывает </w:t>
      </w:r>
      <w:r w:rsidR="00426560">
        <w:rPr>
          <w:rFonts w:ascii="Times New Roman" w:hAnsi="Times New Roman" w:cs="Times New Roman"/>
          <w:sz w:val="28"/>
          <w:szCs w:val="28"/>
        </w:rPr>
        <w:t xml:space="preserve">возможное наличие реальных экономических предпосылок </w:t>
      </w:r>
      <w:r w:rsidR="00426560" w:rsidRPr="00BB577C">
        <w:rPr>
          <w:rFonts w:ascii="Times New Roman" w:hAnsi="Times New Roman" w:cs="Times New Roman"/>
          <w:sz w:val="28"/>
          <w:szCs w:val="28"/>
        </w:rPr>
        <w:t xml:space="preserve">выдачи дочерней организации займа, а не вклада в уставный капитал, </w:t>
      </w:r>
      <w:r w:rsidR="0042656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2656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26560">
        <w:rPr>
          <w:rFonts w:ascii="Times New Roman" w:hAnsi="Times New Roman" w:cs="Times New Roman"/>
          <w:sz w:val="28"/>
          <w:szCs w:val="28"/>
        </w:rPr>
        <w:t xml:space="preserve"> с чем</w:t>
      </w:r>
      <w:r w:rsidR="00426560" w:rsidRPr="00BB577C">
        <w:rPr>
          <w:rFonts w:ascii="Times New Roman" w:hAnsi="Times New Roman" w:cs="Times New Roman"/>
          <w:sz w:val="28"/>
          <w:szCs w:val="28"/>
        </w:rPr>
        <w:t xml:space="preserve"> </w:t>
      </w:r>
      <w:r w:rsidR="00426560">
        <w:rPr>
          <w:rFonts w:ascii="Times New Roman" w:hAnsi="Times New Roman" w:cs="Times New Roman"/>
          <w:sz w:val="28"/>
          <w:szCs w:val="28"/>
        </w:rPr>
        <w:t xml:space="preserve">может быть усмотрено </w:t>
      </w:r>
      <w:r w:rsidR="00426560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принципа экономической </w:t>
      </w:r>
      <w:proofErr w:type="spellStart"/>
      <w:r w:rsidR="00426560">
        <w:rPr>
          <w:rFonts w:ascii="Times New Roman" w:hAnsi="Times New Roman" w:cs="Times New Roman"/>
          <w:sz w:val="28"/>
          <w:szCs w:val="28"/>
        </w:rPr>
        <w:t>основанности</w:t>
      </w:r>
      <w:proofErr w:type="spellEnd"/>
      <w:r w:rsidR="00426560">
        <w:rPr>
          <w:rFonts w:ascii="Times New Roman" w:hAnsi="Times New Roman" w:cs="Times New Roman"/>
          <w:sz w:val="28"/>
          <w:szCs w:val="28"/>
        </w:rPr>
        <w:t xml:space="preserve"> налогообложения. </w:t>
      </w:r>
    </w:p>
    <w:p w:rsidR="00426560" w:rsidRDefault="00426560" w:rsidP="004265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577C">
        <w:rPr>
          <w:rFonts w:ascii="Times New Roman" w:hAnsi="Times New Roman" w:cs="Times New Roman"/>
          <w:sz w:val="28"/>
          <w:szCs w:val="28"/>
        </w:rPr>
        <w:t xml:space="preserve">равило пункта 2 статьи 269 Налогового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может быть подвергнуто сомнению с точки зрения конституционности.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B577C">
        <w:rPr>
          <w:rFonts w:ascii="Times New Roman" w:hAnsi="Times New Roman" w:cs="Times New Roman"/>
          <w:sz w:val="28"/>
          <w:szCs w:val="28"/>
        </w:rPr>
        <w:t>равоприменитель</w:t>
      </w:r>
      <w:proofErr w:type="spellEnd"/>
      <w:r w:rsidRPr="00BB577C">
        <w:rPr>
          <w:rFonts w:ascii="Times New Roman" w:hAnsi="Times New Roman" w:cs="Times New Roman"/>
          <w:sz w:val="28"/>
          <w:szCs w:val="28"/>
        </w:rPr>
        <w:t xml:space="preserve"> имеет возможность иными методами осуществлять борьбу с возможными злоупотреблениями, которые выражаются в предоставлении дочерней компании займа, а не вклада в уставный капитал с единственной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Pr="00BB577C">
        <w:rPr>
          <w:rFonts w:ascii="Times New Roman" w:hAnsi="Times New Roman" w:cs="Times New Roman"/>
          <w:sz w:val="28"/>
          <w:szCs w:val="28"/>
        </w:rPr>
        <w:t xml:space="preserve"> – уменьшением налоговых обязательств дочерней компании по налогу на прибыль организаций.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BB577C">
        <w:rPr>
          <w:rFonts w:ascii="Times New Roman" w:hAnsi="Times New Roman" w:cs="Times New Roman"/>
          <w:sz w:val="28"/>
          <w:szCs w:val="28"/>
        </w:rPr>
        <w:t xml:space="preserve"> в данном случае подлежит право налоговых органов переквалифицировать сделки по выдаче займа в операц</w:t>
      </w:r>
      <w:r>
        <w:rPr>
          <w:rFonts w:ascii="Times New Roman" w:hAnsi="Times New Roman" w:cs="Times New Roman"/>
          <w:sz w:val="28"/>
          <w:szCs w:val="28"/>
        </w:rPr>
        <w:t>ии по вкладу в уставный капитал</w:t>
      </w:r>
      <w:r w:rsidRPr="00BB577C">
        <w:rPr>
          <w:rFonts w:ascii="Times New Roman" w:hAnsi="Times New Roman" w:cs="Times New Roman"/>
          <w:sz w:val="28"/>
          <w:szCs w:val="28"/>
        </w:rPr>
        <w:t>. В случаях, если налогоплательщик не сможет представить убедительного обоснования наличия у него экономического интереса в совершении операции именно по получению займа, налоговая выгода, полученная им от такой операции, подлежит признанию необоснованной.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60" w:rsidRPr="002C6DE4" w:rsidRDefault="00255652" w:rsidP="004265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26560" w:rsidRPr="00373196">
        <w:rPr>
          <w:rFonts w:ascii="Times New Roman" w:hAnsi="Times New Roman" w:cs="Times New Roman"/>
          <w:b/>
          <w:sz w:val="28"/>
          <w:szCs w:val="28"/>
        </w:rPr>
        <w:t>.</w:t>
      </w:r>
      <w:r w:rsidR="00426560">
        <w:rPr>
          <w:rFonts w:ascii="Times New Roman" w:hAnsi="Times New Roman" w:cs="Times New Roman"/>
          <w:sz w:val="28"/>
          <w:szCs w:val="28"/>
        </w:rPr>
        <w:t xml:space="preserve"> Действующая модель</w:t>
      </w:r>
      <w:r w:rsidR="00426560" w:rsidRPr="002C6DE4">
        <w:rPr>
          <w:rFonts w:ascii="Times New Roman" w:hAnsi="Times New Roman" w:cs="Times New Roman"/>
          <w:sz w:val="28"/>
          <w:szCs w:val="28"/>
        </w:rPr>
        <w:t xml:space="preserve"> налога на игорный бизнес </w:t>
      </w:r>
      <w:r w:rsidR="00426560">
        <w:rPr>
          <w:rFonts w:ascii="Times New Roman" w:hAnsi="Times New Roman" w:cs="Times New Roman"/>
          <w:sz w:val="28"/>
          <w:szCs w:val="28"/>
        </w:rPr>
        <w:t xml:space="preserve">может быть подвергнута критике с конституционных позиций постольку, поскольку допускает обложение не реально полученной плательщиком данного налога прибыли от занятия особым видом предпринимательской деятельности, а такой прибыли, в отношении получения которой можно сделать лишь вероятностный вывод, а потому противоречит принципу экономической </w:t>
      </w:r>
      <w:proofErr w:type="spellStart"/>
      <w:r w:rsidR="00426560">
        <w:rPr>
          <w:rFonts w:ascii="Times New Roman" w:hAnsi="Times New Roman" w:cs="Times New Roman"/>
          <w:sz w:val="28"/>
          <w:szCs w:val="28"/>
        </w:rPr>
        <w:t>основанности</w:t>
      </w:r>
      <w:proofErr w:type="spellEnd"/>
      <w:r w:rsidR="00426560">
        <w:rPr>
          <w:rFonts w:ascii="Times New Roman" w:hAnsi="Times New Roman" w:cs="Times New Roman"/>
          <w:sz w:val="28"/>
          <w:szCs w:val="28"/>
        </w:rPr>
        <w:t xml:space="preserve"> налогообложения. </w:t>
      </w:r>
      <w:r w:rsidR="00426560" w:rsidRPr="002C6DE4">
        <w:rPr>
          <w:rFonts w:ascii="Times New Roman" w:hAnsi="Times New Roman" w:cs="Times New Roman"/>
          <w:sz w:val="28"/>
          <w:szCs w:val="28"/>
        </w:rPr>
        <w:t xml:space="preserve">Федеральному законодателю надлежит предусмотреть в Налоговом кодексе РФ изменения с тем, чтобы обеспечить соответствие обложения прибыли от осуществления деятельности по ведению игорного бизнеса конституционным принципам налогообложения. Данные изменения могут заключаться </w:t>
      </w:r>
      <w:proofErr w:type="gramStart"/>
      <w:r w:rsidR="00426560" w:rsidRPr="002C6DE4">
        <w:rPr>
          <w:rFonts w:ascii="Times New Roman" w:hAnsi="Times New Roman" w:cs="Times New Roman"/>
          <w:sz w:val="28"/>
          <w:szCs w:val="28"/>
        </w:rPr>
        <w:t>в предоставлении субъектам Российской Федерации права на повышение налоговых ставок по налогу на прибыль организаций для субъектов</w:t>
      </w:r>
      <w:proofErr w:type="gramEnd"/>
      <w:r w:rsidR="00426560" w:rsidRPr="002C6DE4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</w:t>
      </w:r>
      <w:r w:rsidR="00426560">
        <w:rPr>
          <w:rFonts w:ascii="Times New Roman" w:hAnsi="Times New Roman" w:cs="Times New Roman"/>
          <w:sz w:val="28"/>
          <w:szCs w:val="28"/>
        </w:rPr>
        <w:t xml:space="preserve">ности в сфере игорного бизнеса и </w:t>
      </w:r>
      <w:r w:rsidR="00426560" w:rsidRPr="002C6DE4">
        <w:rPr>
          <w:rFonts w:ascii="Times New Roman" w:hAnsi="Times New Roman" w:cs="Times New Roman"/>
          <w:sz w:val="28"/>
          <w:szCs w:val="28"/>
        </w:rPr>
        <w:t xml:space="preserve">должны быть закреплены в статье 284 Налогового кодекса РФ, предусматривающей установление налоговых ставок по налогу на прибыль организаций. </w:t>
      </w:r>
    </w:p>
    <w:p w:rsidR="00426560" w:rsidRDefault="00426560" w:rsidP="004265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4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рассмотренное</w:t>
      </w:r>
      <w:r w:rsidRPr="002C6DE4">
        <w:rPr>
          <w:rFonts w:ascii="Times New Roman" w:hAnsi="Times New Roman" w:cs="Times New Roman"/>
          <w:sz w:val="28"/>
          <w:szCs w:val="28"/>
        </w:rPr>
        <w:t xml:space="preserve"> регулирование нарушает принцип запрета двойного налогообложения.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 обязан подвергнуть налогообложению как реально полученную прибыль по общим правилам налога на прибыль организаций (глава 25 Налогового кодекса РФ), так и прибыль, которая может быть им получена при осуществлении деятельности по ведению игорного бизнеса (глава 29 Налогового кодекса РФ). </w:t>
      </w:r>
    </w:p>
    <w:p w:rsidR="00605364" w:rsidRPr="000A6568" w:rsidRDefault="00605364" w:rsidP="004265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5364" w:rsidRPr="000A6568" w:rsidSect="003B6732"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1EF" w:rsidRDefault="000921EF">
      <w:pPr>
        <w:spacing w:after="0" w:line="240" w:lineRule="auto"/>
      </w:pPr>
      <w:r>
        <w:separator/>
      </w:r>
    </w:p>
  </w:endnote>
  <w:endnote w:type="continuationSeparator" w:id="0">
    <w:p w:rsidR="000921EF" w:rsidRDefault="0009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esavska BG Sans">
    <w:panose1 w:val="00000000000000000000"/>
    <w:charset w:val="00"/>
    <w:family w:val="modern"/>
    <w:notTrueType/>
    <w:pitch w:val="variable"/>
    <w:sig w:usb0="8000022F" w:usb1="5000004A" w:usb2="00000000" w:usb3="00000000" w:csb0="000001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BF" w:rsidRPr="00D03EBE" w:rsidRDefault="003424DE" w:rsidP="0075759F">
    <w:pPr>
      <w:pStyle w:val="af"/>
      <w:jc w:val="right"/>
      <w:rPr>
        <w:rFonts w:ascii="Times New Roman" w:hAnsi="Times New Roman"/>
        <w:sz w:val="20"/>
        <w:szCs w:val="20"/>
      </w:rPr>
    </w:pPr>
    <w:r w:rsidRPr="00D03EBE">
      <w:rPr>
        <w:rFonts w:ascii="Times New Roman" w:hAnsi="Times New Roman"/>
        <w:bCs/>
        <w:sz w:val="20"/>
        <w:szCs w:val="20"/>
      </w:rPr>
      <w:fldChar w:fldCharType="begin"/>
    </w:r>
    <w:r w:rsidR="0075759F" w:rsidRPr="00D03EBE">
      <w:rPr>
        <w:rFonts w:ascii="Times New Roman" w:hAnsi="Times New Roman"/>
        <w:bCs/>
        <w:sz w:val="20"/>
        <w:szCs w:val="20"/>
      </w:rPr>
      <w:instrText>PAGE</w:instrText>
    </w:r>
    <w:r w:rsidRPr="00D03EBE">
      <w:rPr>
        <w:rFonts w:ascii="Times New Roman" w:hAnsi="Times New Roman"/>
        <w:bCs/>
        <w:sz w:val="20"/>
        <w:szCs w:val="20"/>
      </w:rPr>
      <w:fldChar w:fldCharType="separate"/>
    </w:r>
    <w:r w:rsidR="00E53FE0">
      <w:rPr>
        <w:rFonts w:ascii="Times New Roman" w:hAnsi="Times New Roman"/>
        <w:bCs/>
        <w:noProof/>
        <w:sz w:val="20"/>
        <w:szCs w:val="20"/>
      </w:rPr>
      <w:t>2</w:t>
    </w:r>
    <w:r w:rsidRPr="00D03EBE">
      <w:rPr>
        <w:rFonts w:ascii="Times New Roman" w:hAnsi="Times New Roman"/>
        <w:bCs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BF" w:rsidRPr="00DF6DCA" w:rsidRDefault="003424DE" w:rsidP="0075759F">
    <w:pPr>
      <w:pStyle w:val="16"/>
      <w:jc w:val="right"/>
      <w:rPr>
        <w:rFonts w:ascii="Times New Roman" w:hAnsi="Times New Roman" w:cs="Times New Roman"/>
        <w:sz w:val="20"/>
        <w:szCs w:val="20"/>
      </w:rPr>
    </w:pPr>
    <w:r w:rsidRPr="00DF6DCA">
      <w:rPr>
        <w:rFonts w:ascii="Times New Roman" w:eastAsia="Resavska BG Sans" w:hAnsi="Times New Roman" w:cs="Times New Roman"/>
        <w:bCs/>
        <w:sz w:val="20"/>
        <w:szCs w:val="20"/>
      </w:rPr>
      <w:fldChar w:fldCharType="begin"/>
    </w:r>
    <w:r w:rsidR="00405ABF" w:rsidRPr="00DF6DCA">
      <w:rPr>
        <w:rFonts w:ascii="Times New Roman" w:eastAsia="Resavska BG Sans" w:hAnsi="Times New Roman" w:cs="Times New Roman"/>
        <w:bCs/>
        <w:sz w:val="20"/>
        <w:szCs w:val="20"/>
      </w:rPr>
      <w:instrText xml:space="preserve"> PAGE \*Arabic </w:instrText>
    </w:r>
    <w:r w:rsidRPr="00DF6DCA">
      <w:rPr>
        <w:rFonts w:ascii="Times New Roman" w:eastAsia="Resavska BG Sans" w:hAnsi="Times New Roman" w:cs="Times New Roman"/>
        <w:bCs/>
        <w:sz w:val="20"/>
        <w:szCs w:val="20"/>
      </w:rPr>
      <w:fldChar w:fldCharType="separate"/>
    </w:r>
    <w:r w:rsidR="00E53FE0">
      <w:rPr>
        <w:rFonts w:ascii="Times New Roman" w:eastAsia="Resavska BG Sans" w:hAnsi="Times New Roman" w:cs="Times New Roman"/>
        <w:bCs/>
        <w:noProof/>
        <w:sz w:val="20"/>
        <w:szCs w:val="20"/>
      </w:rPr>
      <w:t>1</w:t>
    </w:r>
    <w:r w:rsidRPr="00DF6DCA">
      <w:rPr>
        <w:rFonts w:ascii="Times New Roman" w:eastAsia="Resavska BG Sans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1EF" w:rsidRDefault="000921EF">
      <w:pPr>
        <w:spacing w:after="0" w:line="240" w:lineRule="auto"/>
      </w:pPr>
      <w:r>
        <w:separator/>
      </w:r>
    </w:p>
  </w:footnote>
  <w:footnote w:type="continuationSeparator" w:id="0">
    <w:p w:rsidR="000921EF" w:rsidRDefault="00092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6E7"/>
    <w:multiLevelType w:val="hybridMultilevel"/>
    <w:tmpl w:val="E52AF8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F5004C"/>
    <w:multiLevelType w:val="multilevel"/>
    <w:tmpl w:val="10EC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125C4"/>
    <w:multiLevelType w:val="hybridMultilevel"/>
    <w:tmpl w:val="F64A3A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95383F"/>
    <w:multiLevelType w:val="multilevel"/>
    <w:tmpl w:val="1614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C4167"/>
    <w:multiLevelType w:val="hybridMultilevel"/>
    <w:tmpl w:val="7CBCA3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944F74"/>
    <w:multiLevelType w:val="multilevel"/>
    <w:tmpl w:val="BCC6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632AC"/>
    <w:multiLevelType w:val="hybridMultilevel"/>
    <w:tmpl w:val="3C1437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695F1E"/>
    <w:multiLevelType w:val="hybridMultilevel"/>
    <w:tmpl w:val="B5C85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834779"/>
    <w:multiLevelType w:val="multilevel"/>
    <w:tmpl w:val="408E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E3E4F"/>
    <w:multiLevelType w:val="hybridMultilevel"/>
    <w:tmpl w:val="2814F6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B556999"/>
    <w:multiLevelType w:val="multilevel"/>
    <w:tmpl w:val="B7747E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7EA55E7B"/>
    <w:multiLevelType w:val="hybridMultilevel"/>
    <w:tmpl w:val="5996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E41B2B"/>
    <w:rsid w:val="00006D9A"/>
    <w:rsid w:val="000115D1"/>
    <w:rsid w:val="0003151F"/>
    <w:rsid w:val="00042533"/>
    <w:rsid w:val="00063821"/>
    <w:rsid w:val="00064660"/>
    <w:rsid w:val="000661FC"/>
    <w:rsid w:val="000857C5"/>
    <w:rsid w:val="000921EF"/>
    <w:rsid w:val="000A2E84"/>
    <w:rsid w:val="000A6568"/>
    <w:rsid w:val="000C2F5D"/>
    <w:rsid w:val="000C5B02"/>
    <w:rsid w:val="000C5F22"/>
    <w:rsid w:val="000C71A6"/>
    <w:rsid w:val="000E7066"/>
    <w:rsid w:val="00115488"/>
    <w:rsid w:val="001258A7"/>
    <w:rsid w:val="00125A24"/>
    <w:rsid w:val="00133FA6"/>
    <w:rsid w:val="00135FC4"/>
    <w:rsid w:val="001475D8"/>
    <w:rsid w:val="0015255C"/>
    <w:rsid w:val="001600C5"/>
    <w:rsid w:val="00171455"/>
    <w:rsid w:val="00173E35"/>
    <w:rsid w:val="00174155"/>
    <w:rsid w:val="00176493"/>
    <w:rsid w:val="0018145A"/>
    <w:rsid w:val="00187CF2"/>
    <w:rsid w:val="001913A3"/>
    <w:rsid w:val="001B51E0"/>
    <w:rsid w:val="001C24E8"/>
    <w:rsid w:val="001D2AB2"/>
    <w:rsid w:val="001D4265"/>
    <w:rsid w:val="001E1BA7"/>
    <w:rsid w:val="00204CF3"/>
    <w:rsid w:val="0023535A"/>
    <w:rsid w:val="00237A08"/>
    <w:rsid w:val="00255652"/>
    <w:rsid w:val="00262D4E"/>
    <w:rsid w:val="0026646C"/>
    <w:rsid w:val="00282547"/>
    <w:rsid w:val="0028416A"/>
    <w:rsid w:val="00286ECA"/>
    <w:rsid w:val="00294BF9"/>
    <w:rsid w:val="002A6EB0"/>
    <w:rsid w:val="002B0F4E"/>
    <w:rsid w:val="002C6776"/>
    <w:rsid w:val="002C7078"/>
    <w:rsid w:val="002E0508"/>
    <w:rsid w:val="002E4713"/>
    <w:rsid w:val="002F2D51"/>
    <w:rsid w:val="003003E9"/>
    <w:rsid w:val="00311E20"/>
    <w:rsid w:val="00330741"/>
    <w:rsid w:val="00335D17"/>
    <w:rsid w:val="003424DE"/>
    <w:rsid w:val="0035028E"/>
    <w:rsid w:val="00370CC7"/>
    <w:rsid w:val="003749AC"/>
    <w:rsid w:val="0038251E"/>
    <w:rsid w:val="003A6394"/>
    <w:rsid w:val="003B6732"/>
    <w:rsid w:val="003B7188"/>
    <w:rsid w:val="003C64E1"/>
    <w:rsid w:val="003D6A8A"/>
    <w:rsid w:val="003E06EE"/>
    <w:rsid w:val="003F2482"/>
    <w:rsid w:val="00405ABF"/>
    <w:rsid w:val="00426560"/>
    <w:rsid w:val="00434CD8"/>
    <w:rsid w:val="00440720"/>
    <w:rsid w:val="00442C64"/>
    <w:rsid w:val="004514FE"/>
    <w:rsid w:val="004536F1"/>
    <w:rsid w:val="00455E7E"/>
    <w:rsid w:val="00490255"/>
    <w:rsid w:val="00491A03"/>
    <w:rsid w:val="004B055F"/>
    <w:rsid w:val="004B5635"/>
    <w:rsid w:val="004D0FCA"/>
    <w:rsid w:val="004D1FE1"/>
    <w:rsid w:val="004D7A74"/>
    <w:rsid w:val="005061DC"/>
    <w:rsid w:val="0051170C"/>
    <w:rsid w:val="0051487C"/>
    <w:rsid w:val="00524841"/>
    <w:rsid w:val="00572678"/>
    <w:rsid w:val="005B302F"/>
    <w:rsid w:val="005B494F"/>
    <w:rsid w:val="005C3650"/>
    <w:rsid w:val="005C5FE2"/>
    <w:rsid w:val="005D7C81"/>
    <w:rsid w:val="005F4A0B"/>
    <w:rsid w:val="00605303"/>
    <w:rsid w:val="00605364"/>
    <w:rsid w:val="00605629"/>
    <w:rsid w:val="006130C4"/>
    <w:rsid w:val="00622A1A"/>
    <w:rsid w:val="00622AA5"/>
    <w:rsid w:val="00641ACF"/>
    <w:rsid w:val="0065247E"/>
    <w:rsid w:val="00654BF0"/>
    <w:rsid w:val="0066756F"/>
    <w:rsid w:val="00686E19"/>
    <w:rsid w:val="006A1610"/>
    <w:rsid w:val="006C4030"/>
    <w:rsid w:val="006D0D2F"/>
    <w:rsid w:val="006D27B1"/>
    <w:rsid w:val="006F323E"/>
    <w:rsid w:val="006F5498"/>
    <w:rsid w:val="00717163"/>
    <w:rsid w:val="00735011"/>
    <w:rsid w:val="007477B3"/>
    <w:rsid w:val="0075364C"/>
    <w:rsid w:val="0075759F"/>
    <w:rsid w:val="00764D24"/>
    <w:rsid w:val="007703A8"/>
    <w:rsid w:val="00774FC1"/>
    <w:rsid w:val="007763B5"/>
    <w:rsid w:val="0077651B"/>
    <w:rsid w:val="0078732C"/>
    <w:rsid w:val="007A2A4A"/>
    <w:rsid w:val="007D6868"/>
    <w:rsid w:val="007E4A9A"/>
    <w:rsid w:val="007F5E59"/>
    <w:rsid w:val="007F701F"/>
    <w:rsid w:val="0080568A"/>
    <w:rsid w:val="00840676"/>
    <w:rsid w:val="008B1906"/>
    <w:rsid w:val="008D0A63"/>
    <w:rsid w:val="008D2A4D"/>
    <w:rsid w:val="008F67BA"/>
    <w:rsid w:val="00942C0A"/>
    <w:rsid w:val="009458A4"/>
    <w:rsid w:val="00952199"/>
    <w:rsid w:val="00952572"/>
    <w:rsid w:val="009657E5"/>
    <w:rsid w:val="00976EA7"/>
    <w:rsid w:val="00982EE5"/>
    <w:rsid w:val="009922E1"/>
    <w:rsid w:val="009960FB"/>
    <w:rsid w:val="00A223EC"/>
    <w:rsid w:val="00A229A6"/>
    <w:rsid w:val="00A22C9D"/>
    <w:rsid w:val="00A304E6"/>
    <w:rsid w:val="00A305B1"/>
    <w:rsid w:val="00A30D64"/>
    <w:rsid w:val="00A66A68"/>
    <w:rsid w:val="00AA38EA"/>
    <w:rsid w:val="00AA6246"/>
    <w:rsid w:val="00AD7C9E"/>
    <w:rsid w:val="00AF3F9B"/>
    <w:rsid w:val="00AF6971"/>
    <w:rsid w:val="00B04229"/>
    <w:rsid w:val="00B25330"/>
    <w:rsid w:val="00B27EFE"/>
    <w:rsid w:val="00B52024"/>
    <w:rsid w:val="00B74095"/>
    <w:rsid w:val="00B81A81"/>
    <w:rsid w:val="00B82A75"/>
    <w:rsid w:val="00B947E4"/>
    <w:rsid w:val="00BA3458"/>
    <w:rsid w:val="00BA59A9"/>
    <w:rsid w:val="00BB50D3"/>
    <w:rsid w:val="00BC3F56"/>
    <w:rsid w:val="00BC427C"/>
    <w:rsid w:val="00C05304"/>
    <w:rsid w:val="00C05DAA"/>
    <w:rsid w:val="00C238C2"/>
    <w:rsid w:val="00C27380"/>
    <w:rsid w:val="00C2777A"/>
    <w:rsid w:val="00C27F01"/>
    <w:rsid w:val="00C3609D"/>
    <w:rsid w:val="00C474C3"/>
    <w:rsid w:val="00C50D0D"/>
    <w:rsid w:val="00C57F93"/>
    <w:rsid w:val="00CA5F31"/>
    <w:rsid w:val="00CD3BB9"/>
    <w:rsid w:val="00CE19B8"/>
    <w:rsid w:val="00CF02D8"/>
    <w:rsid w:val="00CF171F"/>
    <w:rsid w:val="00CF307C"/>
    <w:rsid w:val="00D03EBE"/>
    <w:rsid w:val="00D07E15"/>
    <w:rsid w:val="00D1464C"/>
    <w:rsid w:val="00D27EFA"/>
    <w:rsid w:val="00D315E7"/>
    <w:rsid w:val="00D33F49"/>
    <w:rsid w:val="00D5196D"/>
    <w:rsid w:val="00D87DC9"/>
    <w:rsid w:val="00D9257F"/>
    <w:rsid w:val="00DB6D6E"/>
    <w:rsid w:val="00DD33C9"/>
    <w:rsid w:val="00DE4798"/>
    <w:rsid w:val="00DF0B1C"/>
    <w:rsid w:val="00DF1EC5"/>
    <w:rsid w:val="00DF2280"/>
    <w:rsid w:val="00DF234B"/>
    <w:rsid w:val="00DF2954"/>
    <w:rsid w:val="00DF440C"/>
    <w:rsid w:val="00DF6DCA"/>
    <w:rsid w:val="00DF78C3"/>
    <w:rsid w:val="00E00408"/>
    <w:rsid w:val="00E12409"/>
    <w:rsid w:val="00E25898"/>
    <w:rsid w:val="00E32C46"/>
    <w:rsid w:val="00E41B2B"/>
    <w:rsid w:val="00E53FE0"/>
    <w:rsid w:val="00E61868"/>
    <w:rsid w:val="00E75603"/>
    <w:rsid w:val="00E80102"/>
    <w:rsid w:val="00EB780A"/>
    <w:rsid w:val="00EF499F"/>
    <w:rsid w:val="00F16E27"/>
    <w:rsid w:val="00F53E17"/>
    <w:rsid w:val="00F73C5B"/>
    <w:rsid w:val="00F93BD9"/>
    <w:rsid w:val="00F96D5D"/>
    <w:rsid w:val="00FA069D"/>
    <w:rsid w:val="00FA75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1E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8251E"/>
  </w:style>
  <w:style w:type="character" w:styleId="a3">
    <w:name w:val="Hyperlink"/>
    <w:rsid w:val="0038251E"/>
    <w:rPr>
      <w:color w:val="000080"/>
      <w:u w:val="single"/>
    </w:rPr>
  </w:style>
  <w:style w:type="character" w:customStyle="1" w:styleId="a4">
    <w:name w:val="Òåêñò ñíîñêè Çíàê"/>
    <w:rsid w:val="0038251E"/>
    <w:rPr>
      <w:sz w:val="20"/>
      <w:szCs w:val="20"/>
    </w:rPr>
  </w:style>
  <w:style w:type="character" w:customStyle="1" w:styleId="10">
    <w:name w:val="Знак сноски1"/>
    <w:rsid w:val="0038251E"/>
    <w:rPr>
      <w:position w:val="1"/>
      <w:sz w:val="14"/>
    </w:rPr>
  </w:style>
  <w:style w:type="character" w:customStyle="1" w:styleId="a5">
    <w:name w:val="Âåðõíèé êîëîíòèòóë Çíàê"/>
    <w:rsid w:val="0038251E"/>
    <w:rPr>
      <w:rFonts w:cs="Times New Roman"/>
    </w:rPr>
  </w:style>
  <w:style w:type="character" w:customStyle="1" w:styleId="a6">
    <w:name w:val="Íèæíèé êîëîíòèòóë Çíàê"/>
    <w:rsid w:val="0038251E"/>
    <w:rPr>
      <w:rFonts w:cs="Times New Roman"/>
    </w:rPr>
  </w:style>
  <w:style w:type="character" w:customStyle="1" w:styleId="a7">
    <w:name w:val="Символ сноски"/>
    <w:rsid w:val="0038251E"/>
  </w:style>
  <w:style w:type="character" w:styleId="a8">
    <w:name w:val="footnote reference"/>
    <w:rsid w:val="0038251E"/>
    <w:rPr>
      <w:vertAlign w:val="superscript"/>
    </w:rPr>
  </w:style>
  <w:style w:type="character" w:styleId="a9">
    <w:name w:val="endnote reference"/>
    <w:rsid w:val="0038251E"/>
    <w:rPr>
      <w:vertAlign w:val="superscript"/>
    </w:rPr>
  </w:style>
  <w:style w:type="character" w:customStyle="1" w:styleId="aa">
    <w:name w:val="Символы концевой сноски"/>
    <w:rsid w:val="0038251E"/>
  </w:style>
  <w:style w:type="paragraph" w:styleId="ab">
    <w:name w:val="Title"/>
    <w:basedOn w:val="a"/>
    <w:next w:val="ac"/>
    <w:rsid w:val="003825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38251E"/>
    <w:pPr>
      <w:spacing w:after="120"/>
    </w:pPr>
    <w:rPr>
      <w:rFonts w:cs="Times New Roman"/>
    </w:rPr>
  </w:style>
  <w:style w:type="paragraph" w:styleId="ae">
    <w:name w:val="List"/>
    <w:basedOn w:val="ac"/>
    <w:rsid w:val="0038251E"/>
    <w:rPr>
      <w:rFonts w:cs="Mangal"/>
    </w:rPr>
  </w:style>
  <w:style w:type="paragraph" w:customStyle="1" w:styleId="11">
    <w:name w:val="Название1"/>
    <w:basedOn w:val="a"/>
    <w:rsid w:val="003825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8251E"/>
    <w:pPr>
      <w:suppressLineNumbers/>
    </w:pPr>
    <w:rPr>
      <w:rFonts w:cs="Mangal"/>
    </w:rPr>
  </w:style>
  <w:style w:type="paragraph" w:customStyle="1" w:styleId="ConsPlusNormal">
    <w:name w:val="ConsPlusNormal"/>
    <w:rsid w:val="0038251E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38251E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">
    <w:name w:val="ConsPlusTitle"/>
    <w:rsid w:val="0038251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Cell">
    <w:name w:val="ConsPlusCell"/>
    <w:rsid w:val="0038251E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13">
    <w:name w:val="Обычный (веб)1"/>
    <w:basedOn w:val="a"/>
    <w:rsid w:val="0038251E"/>
    <w:pPr>
      <w:spacing w:before="100" w:after="119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38251E"/>
    <w:pPr>
      <w:spacing w:before="100" w:after="0" w:line="200" w:lineRule="atLeast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Текст сноски1"/>
    <w:basedOn w:val="a"/>
    <w:rsid w:val="0038251E"/>
    <w:rPr>
      <w:sz w:val="20"/>
      <w:szCs w:val="20"/>
    </w:rPr>
  </w:style>
  <w:style w:type="paragraph" w:customStyle="1" w:styleId="15">
    <w:name w:val="Верхний колонтитул1"/>
    <w:basedOn w:val="a"/>
    <w:rsid w:val="0038251E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rsid w:val="0038251E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rsid w:val="0038251E"/>
    <w:pPr>
      <w:suppressLineNumbers/>
      <w:tabs>
        <w:tab w:val="center" w:pos="4677"/>
        <w:tab w:val="right" w:pos="9355"/>
      </w:tabs>
    </w:pPr>
    <w:rPr>
      <w:rFonts w:cs="Times New Roman"/>
    </w:rPr>
  </w:style>
  <w:style w:type="paragraph" w:styleId="af1">
    <w:name w:val="footnote text"/>
    <w:basedOn w:val="a"/>
    <w:rsid w:val="0038251E"/>
    <w:pPr>
      <w:suppressLineNumbers/>
      <w:ind w:left="283" w:hanging="283"/>
    </w:pPr>
    <w:rPr>
      <w:sz w:val="20"/>
      <w:szCs w:val="20"/>
    </w:rPr>
  </w:style>
  <w:style w:type="paragraph" w:styleId="af2">
    <w:name w:val="Normal (Web)"/>
    <w:basedOn w:val="a"/>
    <w:uiPriority w:val="99"/>
    <w:unhideWhenUsed/>
    <w:rsid w:val="00AD7C9E"/>
    <w:pPr>
      <w:widowControl/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WW8Num15z1">
    <w:name w:val="WW8Num15z1"/>
    <w:rsid w:val="00C238C2"/>
    <w:rPr>
      <w:rFonts w:ascii="Symbol" w:hAnsi="Symbol" w:cs="Symbol"/>
    </w:rPr>
  </w:style>
  <w:style w:type="paragraph" w:styleId="af3">
    <w:name w:val="header"/>
    <w:basedOn w:val="a"/>
    <w:link w:val="af4"/>
    <w:uiPriority w:val="99"/>
    <w:unhideWhenUsed/>
    <w:rsid w:val="007575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75759F"/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af0">
    <w:name w:val="Нижний колонтитул Знак"/>
    <w:link w:val="af"/>
    <w:uiPriority w:val="99"/>
    <w:rsid w:val="0075759F"/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7">
    <w:name w:val="Знак сноски1"/>
    <w:rsid w:val="00DF2954"/>
    <w:rPr>
      <w:vertAlign w:val="superscript"/>
    </w:rPr>
  </w:style>
  <w:style w:type="character" w:customStyle="1" w:styleId="WW-1234">
    <w:name w:val="WW-Основной текст + Курсив1234"/>
    <w:rsid w:val="001475D8"/>
    <w:rPr>
      <w:rFonts w:ascii="Times New Roman" w:eastAsia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ad">
    <w:name w:val="Основной текст Знак"/>
    <w:link w:val="ac"/>
    <w:rsid w:val="00C2777A"/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D22C-3CFD-4557-B165-806A2FA6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Ïîñòàíîâëåíèå Ïðåçèäèóìà ÂÀÑ ÐÔ îò 07.06.2011 N 1744/11 ïî äåëó N À03-3359/2010Â èñêå î âçûñêàíèè íåîñíîâàòåëüíîãî îáîãàùåíèÿ è ïðîöåíòîâ çà ïîëüçîâàíèå ÷óæèìè äåíåæíûìè ñðåäñòâàìè îòêàçàíî ïðàâîìåðíî, òàê êàê ñîáñòâåííèê íå èìååò ïðàâà íà âçûñêàíèå ñ ôàê</vt:lpstr>
    </vt:vector>
  </TitlesOfParts>
  <Company>Krokoz™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Ïîñòàíîâëåíèå Ïðåçèäèóìà ÂÀÑ ÐÔ îò 07.06.2011 N 1744/11 ïî äåëó N À03-3359/2010Â èñêå î âçûñêàíèè íåîñíîâàòåëüíîãî îáîãàùåíèÿ è ïðîöåíòîâ çà ïîëüçîâàíèå ÷óæèìè äåíåæíûìè ñðåäñòâàìè îòêàçàíî ïðàâîìåðíî, òàê êàê ñîáñòâåííèê íå èìååò ïðàâà íà âçûñêàíèå ñ ôàê</dc:title>
  <dc:subject>skip</dc:subject>
  <dc:creator>skip</dc:creator>
  <cp:keywords/>
  <cp:lastModifiedBy>ADG</cp:lastModifiedBy>
  <cp:revision>6</cp:revision>
  <cp:lastPrinted>1899-12-31T21:00:00Z</cp:lastPrinted>
  <dcterms:created xsi:type="dcterms:W3CDTF">2016-05-10T21:25:00Z</dcterms:created>
  <dcterms:modified xsi:type="dcterms:W3CDTF">2016-05-13T14:46:00Z</dcterms:modified>
</cp:coreProperties>
</file>