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34" w:rsidRPr="00413C31" w:rsidRDefault="002E4334" w:rsidP="002E4334">
      <w:pPr>
        <w:spacing w:after="120"/>
        <w:jc w:val="center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>ФГОУ ВПО «Санкт-Петербургский государственный университет»</w:t>
      </w:r>
    </w:p>
    <w:p w:rsidR="002E4334" w:rsidRPr="00413C31" w:rsidRDefault="002E4334" w:rsidP="002E4334">
      <w:pPr>
        <w:spacing w:after="120"/>
        <w:jc w:val="center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>Медицинский факультет</w:t>
      </w:r>
    </w:p>
    <w:p w:rsidR="002E4334" w:rsidRPr="00413C31" w:rsidRDefault="002E4334" w:rsidP="002E4334">
      <w:pPr>
        <w:spacing w:after="120"/>
        <w:jc w:val="center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 xml:space="preserve">Кафедра </w:t>
      </w:r>
      <w:r>
        <w:rPr>
          <w:rFonts w:ascii="Times New Roman" w:eastAsia="MS ??" w:hAnsi="Times New Roman" w:cs="Times New Roman"/>
          <w:bCs/>
          <w:sz w:val="28"/>
          <w:szCs w:val="28"/>
        </w:rPr>
        <w:t>онкологии</w:t>
      </w:r>
    </w:p>
    <w:p w:rsidR="002E4334" w:rsidRPr="00413C31" w:rsidRDefault="002E4334" w:rsidP="002E4334">
      <w:pPr>
        <w:ind w:firstLine="7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firstLine="7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firstLine="7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keepNext/>
        <w:spacing w:before="240" w:after="60"/>
        <w:jc w:val="both"/>
        <w:outlineLvl w:val="3"/>
        <w:rPr>
          <w:rFonts w:ascii="Times New Roman" w:eastAsia="MS Mincho" w:hAnsi="Times New Roman" w:cs="Times New Roman"/>
          <w:b/>
          <w:sz w:val="28"/>
          <w:szCs w:val="28"/>
        </w:rPr>
      </w:pPr>
      <w:r w:rsidRPr="00413C31">
        <w:rPr>
          <w:rFonts w:ascii="Times New Roman" w:eastAsia="MS Mincho" w:hAnsi="Times New Roman" w:cs="Times New Roman"/>
          <w:b/>
          <w:sz w:val="28"/>
          <w:szCs w:val="28"/>
        </w:rPr>
        <w:t>Допускается к защите</w:t>
      </w: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>Заведующий кафедрой</w:t>
      </w: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MS ??" w:hAnsi="Times New Roman" w:cs="Times New Roman"/>
          <w:bCs/>
          <w:i/>
          <w:iCs/>
          <w:sz w:val="28"/>
          <w:szCs w:val="28"/>
        </w:rPr>
        <w:t>д.м.н., проф., Орлова Р.В.</w:t>
      </w: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i/>
          <w:i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i/>
          <w:iCs/>
          <w:sz w:val="28"/>
          <w:szCs w:val="28"/>
        </w:rPr>
        <w:t>«    »________________</w:t>
      </w:r>
    </w:p>
    <w:p w:rsidR="002E4334" w:rsidRPr="00413C31" w:rsidRDefault="002E4334" w:rsidP="002E4334">
      <w:pPr>
        <w:ind w:firstLine="7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4334" w:rsidRPr="00413C31" w:rsidRDefault="002E4334" w:rsidP="002E4334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4334" w:rsidRPr="00413C31" w:rsidRDefault="002E4334" w:rsidP="002E4334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4334" w:rsidRPr="00413C31" w:rsidRDefault="002E4334" w:rsidP="002E4334">
      <w:pPr>
        <w:ind w:firstLine="720"/>
        <w:jc w:val="center"/>
        <w:rPr>
          <w:rFonts w:ascii="Times New Roman" w:eastAsia="MS ??" w:hAnsi="Times New Roman" w:cs="Times New Roman"/>
          <w:b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/>
          <w:bCs/>
          <w:sz w:val="28"/>
          <w:szCs w:val="28"/>
        </w:rPr>
        <w:t>ДИПЛОМНАЯ РАБОТА</w:t>
      </w:r>
    </w:p>
    <w:p w:rsidR="002E4334" w:rsidRPr="00413C31" w:rsidRDefault="002E4334" w:rsidP="002E4334">
      <w:pPr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4334" w:rsidRDefault="0053735A" w:rsidP="0053735A">
      <w:pPr>
        <w:jc w:val="center"/>
        <w:rPr>
          <w:rFonts w:ascii="Times New Roman" w:eastAsia="MS Mincho" w:hAnsi="Times New Roman" w:cs="Times New Roman"/>
          <w:iCs/>
          <w:sz w:val="28"/>
          <w:szCs w:val="28"/>
        </w:rPr>
      </w:pPr>
      <w:r>
        <w:rPr>
          <w:rFonts w:ascii="Times New Roman" w:eastAsia="MS Mincho" w:hAnsi="Times New Roman" w:cs="Times New Roman"/>
          <w:iCs/>
          <w:sz w:val="28"/>
          <w:szCs w:val="28"/>
        </w:rPr>
        <w:t>Прогностическое значение микроокружения опухоли при аденокарциномах толстой кишки</w:t>
      </w: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EF4D03" w:rsidRDefault="00EF4D03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EF4D03" w:rsidRDefault="00EF4D03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EF4D03" w:rsidRPr="00413C31" w:rsidRDefault="00EF4D03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Default="002E4334" w:rsidP="002E4334">
      <w:pPr>
        <w:ind w:left="5652" w:firstLine="12"/>
        <w:jc w:val="right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>Выполнила студентка</w:t>
      </w:r>
    </w:p>
    <w:p w:rsidR="002E4334" w:rsidRPr="00413C31" w:rsidRDefault="002E4334" w:rsidP="002E4334">
      <w:pPr>
        <w:ind w:left="5652" w:firstLine="12"/>
        <w:jc w:val="right"/>
        <w:rPr>
          <w:rFonts w:ascii="Times New Roman" w:eastAsia="MS ??" w:hAnsi="Times New Roman" w:cs="Times New Roman"/>
          <w:bCs/>
          <w:iCs/>
          <w:sz w:val="28"/>
          <w:szCs w:val="28"/>
        </w:rPr>
      </w:pPr>
      <w:r>
        <w:rPr>
          <w:rFonts w:ascii="Times New Roman" w:eastAsia="MS ??" w:hAnsi="Times New Roman" w:cs="Times New Roman"/>
          <w:bCs/>
          <w:iCs/>
          <w:sz w:val="28"/>
          <w:szCs w:val="28"/>
        </w:rPr>
        <w:t>602 группы</w:t>
      </w:r>
    </w:p>
    <w:p w:rsidR="002E4334" w:rsidRPr="00413C31" w:rsidRDefault="002E4334" w:rsidP="002E4334">
      <w:pPr>
        <w:tabs>
          <w:tab w:val="left" w:pos="5920"/>
        </w:tabs>
        <w:ind w:left="4320"/>
        <w:jc w:val="right"/>
        <w:rPr>
          <w:rFonts w:ascii="Times New Roman" w:eastAsia="MS ??" w:hAnsi="Times New Roman" w:cs="Times New Roman"/>
          <w:bCs/>
          <w:sz w:val="28"/>
          <w:szCs w:val="28"/>
        </w:rPr>
      </w:pPr>
      <w:r>
        <w:rPr>
          <w:rFonts w:ascii="Times New Roman" w:eastAsia="MS ??" w:hAnsi="Times New Roman" w:cs="Times New Roman"/>
          <w:bCs/>
          <w:sz w:val="28"/>
          <w:szCs w:val="28"/>
        </w:rPr>
        <w:t>Шило П.С.</w:t>
      </w:r>
    </w:p>
    <w:p w:rsidR="002E4334" w:rsidRPr="00413C31" w:rsidRDefault="002E4334" w:rsidP="002E4334">
      <w:pPr>
        <w:ind w:left="3600" w:firstLine="7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left="4932" w:firstLine="720"/>
        <w:jc w:val="right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>Научны</w:t>
      </w:r>
      <w:r>
        <w:rPr>
          <w:rFonts w:ascii="Times New Roman" w:eastAsia="MS ??" w:hAnsi="Times New Roman" w:cs="Times New Roman"/>
          <w:bCs/>
          <w:sz w:val="28"/>
          <w:szCs w:val="28"/>
        </w:rPr>
        <w:t>й руководитель</w:t>
      </w:r>
      <w:r w:rsidRPr="00413C31">
        <w:rPr>
          <w:rFonts w:ascii="Times New Roman" w:eastAsia="MS ??" w:hAnsi="Times New Roman" w:cs="Times New Roman"/>
          <w:bCs/>
          <w:sz w:val="28"/>
          <w:szCs w:val="28"/>
        </w:rPr>
        <w:t>:</w:t>
      </w:r>
    </w:p>
    <w:p w:rsidR="002E4334" w:rsidRPr="00413C31" w:rsidRDefault="002E4334" w:rsidP="002E4334">
      <w:pPr>
        <w:jc w:val="right"/>
        <w:rPr>
          <w:rFonts w:ascii="Times New Roman" w:eastAsia="MS ??" w:hAnsi="Times New Roman" w:cs="Times New Roman"/>
          <w:bCs/>
          <w:sz w:val="28"/>
          <w:szCs w:val="28"/>
        </w:rPr>
      </w:pPr>
      <w:r>
        <w:rPr>
          <w:rFonts w:ascii="Times New Roman" w:eastAsia="MS ??" w:hAnsi="Times New Roman" w:cs="Times New Roman"/>
          <w:bCs/>
          <w:iCs/>
          <w:sz w:val="28"/>
          <w:szCs w:val="28"/>
        </w:rPr>
        <w:t>Д.м.н., проф. Орлова Р.В.</w:t>
      </w:r>
    </w:p>
    <w:p w:rsidR="002E4334" w:rsidRDefault="002E4334" w:rsidP="002E4334">
      <w:pPr>
        <w:ind w:left="43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left="43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left="43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left="43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ind w:left="4320"/>
        <w:jc w:val="both"/>
        <w:rPr>
          <w:rFonts w:ascii="Times New Roman" w:eastAsia="MS ??" w:hAnsi="Times New Roman" w:cs="Times New Roman"/>
          <w:bCs/>
          <w:sz w:val="28"/>
          <w:szCs w:val="28"/>
        </w:rPr>
      </w:pPr>
    </w:p>
    <w:p w:rsidR="002E4334" w:rsidRPr="00413C31" w:rsidRDefault="002E4334" w:rsidP="002E4334">
      <w:pPr>
        <w:jc w:val="center"/>
        <w:rPr>
          <w:rFonts w:ascii="Times New Roman" w:eastAsia="MS ??" w:hAnsi="Times New Roman" w:cs="Times New Roman"/>
          <w:bCs/>
          <w:sz w:val="28"/>
          <w:szCs w:val="28"/>
        </w:rPr>
      </w:pPr>
      <w:r w:rsidRPr="00413C31">
        <w:rPr>
          <w:rFonts w:ascii="Times New Roman" w:eastAsia="MS ??" w:hAnsi="Times New Roman" w:cs="Times New Roman"/>
          <w:bCs/>
          <w:sz w:val="28"/>
          <w:szCs w:val="28"/>
        </w:rPr>
        <w:t>Санкт-Петербург</w:t>
      </w:r>
    </w:p>
    <w:p w:rsidR="002E4334" w:rsidRDefault="00EF4D03" w:rsidP="002E4334">
      <w:pPr>
        <w:jc w:val="center"/>
        <w:rPr>
          <w:rFonts w:ascii="Times New Roman" w:eastAsia="MS ??" w:hAnsi="Times New Roman" w:cs="Times New Roman"/>
          <w:bCs/>
          <w:sz w:val="28"/>
          <w:szCs w:val="28"/>
        </w:rPr>
      </w:pPr>
      <w:r>
        <w:rPr>
          <w:rFonts w:ascii="Times New Roman" w:eastAsia="MS ??" w:hAnsi="Times New Roman" w:cs="Times New Roman"/>
          <w:bCs/>
          <w:sz w:val="28"/>
          <w:szCs w:val="28"/>
        </w:rPr>
        <w:t>2016</w:t>
      </w:r>
      <w:r w:rsidR="002E4334" w:rsidRPr="00413C31">
        <w:rPr>
          <w:rFonts w:ascii="Times New Roman" w:eastAsia="MS ??" w:hAnsi="Times New Roman" w:cs="Times New Roman"/>
          <w:bCs/>
          <w:sz w:val="28"/>
          <w:szCs w:val="28"/>
        </w:rPr>
        <w:t xml:space="preserve"> год</w:t>
      </w:r>
    </w:p>
    <w:p w:rsidR="0036673C" w:rsidRDefault="0036673C" w:rsidP="005C600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Liberation Serif" w:eastAsia="SimSun" w:hAnsi="Liberation Serif" w:cs="Mangal"/>
          <w:b w:val="0"/>
          <w:bCs w:val="0"/>
          <w:color w:val="00000A"/>
          <w:sz w:val="24"/>
          <w:szCs w:val="24"/>
          <w:lang w:eastAsia="zh-CN" w:bidi="hi-IN"/>
        </w:rPr>
        <w:id w:val="486927123"/>
        <w:docPartObj>
          <w:docPartGallery w:val="Table of Contents"/>
          <w:docPartUnique/>
        </w:docPartObj>
      </w:sdtPr>
      <w:sdtContent>
        <w:p w:rsidR="008C2665" w:rsidRDefault="008C2665">
          <w:pPr>
            <w:pStyle w:val="afa"/>
            <w:rPr>
              <w:rFonts w:ascii="Times New Roman" w:hAnsi="Times New Roman" w:cs="Times New Roman"/>
              <w:color w:val="auto"/>
            </w:rPr>
          </w:pPr>
          <w:r w:rsidRPr="00CF2D9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F2D98" w:rsidRPr="00CF2D98" w:rsidRDefault="00CF2D98" w:rsidP="00CF2D98">
          <w:pPr>
            <w:rPr>
              <w:rFonts w:hint="eastAsia"/>
              <w:lang w:eastAsia="en-US" w:bidi="ar-SA"/>
            </w:rPr>
          </w:pPr>
        </w:p>
        <w:p w:rsidR="006A69D0" w:rsidRPr="006A69D0" w:rsidRDefault="001C4EBD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r w:rsidRPr="006A69D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8C2665" w:rsidRPr="006A69D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A69D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51122279" w:history="1">
            <w:r w:rsidR="006A69D0"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Список сокращений</w:t>
            </w:r>
            <w:r w:rsidR="006A69D0"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69D0"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A69D0"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_Toc451122279 \h </w:instrText>
            </w:r>
            <w:r w:rsidR="006A69D0"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69D0"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A69D0"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0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_Toc451122280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1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1. Современное представление о параметрах микроокружения опухоли как прогностических факторах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_Toc451122281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2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1.1 Прогностические факторы КРР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_Toc451122282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3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1.2 Микроокружение опухоли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_Toc451122283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30"/>
            <w:tabs>
              <w:tab w:val="left" w:pos="132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4" w:history="1">
            <w:r w:rsidRPr="006A69D0">
              <w:rPr>
                <w:rStyle w:val="af2"/>
                <w:rFonts w:ascii="Times New Roman" w:hAnsi="Times New Roman" w:cs="Times New Roman"/>
                <w:bCs/>
                <w:noProof/>
                <w:sz w:val="28"/>
                <w:szCs w:val="28"/>
              </w:rPr>
              <w:t>1.1.1.</w:t>
            </w:r>
            <w:r w:rsidRPr="006A69D0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eastAsia="ru-RU" w:bidi="ar-SA"/>
              </w:rPr>
              <w:tab/>
            </w:r>
            <w:r w:rsidRPr="006A69D0">
              <w:rPr>
                <w:rStyle w:val="af2"/>
                <w:rFonts w:ascii="Times New Roman" w:hAnsi="Times New Roman" w:cs="Times New Roman"/>
                <w:bCs/>
                <w:noProof/>
                <w:sz w:val="28"/>
                <w:szCs w:val="28"/>
              </w:rPr>
              <w:t>Нейтрофилы в опухолевом микроокружении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_Toc451122284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5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_Toc451122285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6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2.1. Материалы исследования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_Toc451122286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7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 Методы исследования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_Toc451122287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3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8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2.2.1 Методика имуногистохимической окраски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_Toc451122288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3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89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2.2.2. Методика подсчета инфильтрирующих опухоль нейтрофилов и эозинофилов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_Toc451122289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3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0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2.2.3. Статистическая обработка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_Toc451122290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1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собственного исследования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_Toc451122291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2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3.1. Распределение пациентов по полу, возрасту и локализации опухоли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_Toc451122292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3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3.2. Сравнительная оценка нейтрофильной инфильтрации опухоли в группах благоприятного и неблагоприятного прогнозов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_Toc451122293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4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3.3. Сравнительная оценка эозинофильной инфильтрации опухоли в группах благоприятного и неблагоприятного прогнозов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_Toc451122294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5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3.4. Сравнительная оценка </w:t>
            </w:r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Ki</w:t>
            </w:r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-67 в группах благоприятного и неблагоприятного прогнозов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_Toc451122295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6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 xml:space="preserve">3.4. Связь между </w:t>
            </w:r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Ki</w:t>
            </w:r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-67 и уровнем инфильтрированности опухоли нейтрофилами и эозинофилами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_Toc451122296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20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7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3.5. Зависимость между локализацией опухоли и степенью инфильтрированности её эозинофилами и нейтрофилами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_Toc451122297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8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_Toc451122298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299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_Toc451122299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A69D0" w:rsidRPr="006A69D0" w:rsidRDefault="006A69D0" w:rsidP="006A69D0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ru-RU" w:bidi="ar-SA"/>
            </w:rPr>
          </w:pPr>
          <w:hyperlink w:anchor="_Toc451122300" w:history="1"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C</w:t>
            </w:r>
            <w:r w:rsidRPr="006A69D0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писок литературы: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_Toc451122300 \h </w:instrTex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61D4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6A69D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F2D98" w:rsidRDefault="001C4EBD" w:rsidP="006A69D0">
          <w:pPr>
            <w:spacing w:line="276" w:lineRule="auto"/>
            <w:rPr>
              <w:rFonts w:hint="eastAsia"/>
            </w:rPr>
          </w:pPr>
          <w:r w:rsidRPr="006A69D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44462" w:rsidRPr="006A69D0" w:rsidRDefault="008C2665" w:rsidP="006A69D0">
      <w:pPr>
        <w:pStyle w:val="1"/>
        <w:rPr>
          <w:rFonts w:hint="eastAsia"/>
        </w:rPr>
      </w:pPr>
      <w:bookmarkStart w:id="0" w:name="_Toc451122279"/>
      <w:r w:rsidRPr="006A69D0">
        <w:rPr>
          <w:rFonts w:ascii="Times New Roman" w:hAnsi="Times New Roman"/>
          <w:sz w:val="28"/>
          <w:szCs w:val="28"/>
        </w:rPr>
        <w:lastRenderedPageBreak/>
        <w:t>Список сокращений</w:t>
      </w:r>
      <w:bookmarkEnd w:id="0"/>
    </w:p>
    <w:p w:rsidR="00244462" w:rsidRPr="00B30458" w:rsidRDefault="00244462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44462" w:rsidRPr="00B30458" w:rsidRDefault="00244462" w:rsidP="006A69D0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0458">
        <w:rPr>
          <w:rFonts w:ascii="Times New Roman" w:hAnsi="Times New Roman" w:cs="Times New Roman"/>
          <w:sz w:val="28"/>
          <w:szCs w:val="28"/>
          <w:lang w:eastAsia="ru-RU"/>
        </w:rPr>
        <w:t>ИГХ - иммуногистохимическая окраска срезов;</w:t>
      </w:r>
    </w:p>
    <w:p w:rsidR="005478CC" w:rsidRPr="005478CC" w:rsidRDefault="005478CC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КРР–</w:t>
      </w:r>
      <w:r w:rsidRPr="005478C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колоректальный рак</w:t>
      </w:r>
      <w:r w:rsidR="00BB1C9E">
        <w:rPr>
          <w:rFonts w:ascii="Times New Roman" w:hAnsi="Times New Roman" w:cs="Times New Roman"/>
          <w:bCs/>
          <w:sz w:val="28"/>
          <w:szCs w:val="28"/>
        </w:rPr>
        <w:t>;</w:t>
      </w:r>
    </w:p>
    <w:p w:rsidR="000A35D3" w:rsidRDefault="000A35D3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458">
        <w:rPr>
          <w:rFonts w:ascii="Times New Roman" w:hAnsi="Times New Roman" w:cs="Times New Roman"/>
          <w:bCs/>
          <w:sz w:val="28"/>
          <w:szCs w:val="28"/>
        </w:rPr>
        <w:t>ЛУ - лимфатические узлы;</w:t>
      </w:r>
    </w:p>
    <w:p w:rsidR="00621A18" w:rsidRPr="00621A18" w:rsidRDefault="00621A18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НВЛ – нейтрофильные внеклеточные ловушки</w:t>
      </w:r>
      <w:r w:rsidR="00BB1C9E">
        <w:rPr>
          <w:rFonts w:ascii="Times New Roman" w:hAnsi="Times New Roman" w:cs="Times New Roman"/>
          <w:bCs/>
          <w:sz w:val="28"/>
          <w:szCs w:val="28"/>
        </w:rPr>
        <w:t>;</w:t>
      </w:r>
    </w:p>
    <w:p w:rsidR="000A35D3" w:rsidRDefault="000A35D3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РТК</w:t>
      </w:r>
      <w:r w:rsidR="00621A1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- рак толстой кишки;</w:t>
      </w:r>
    </w:p>
    <w:p w:rsidR="000A35D3" w:rsidRPr="00B30458" w:rsidRDefault="000A35D3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ФНО</w:t>
      </w:r>
      <w:r w:rsidRPr="00B30458">
        <w:rPr>
          <w:rFonts w:ascii="Times New Roman" w:hAnsi="Times New Roman" w:cs="Times New Roman"/>
          <w:sz w:val="28"/>
          <w:szCs w:val="28"/>
        </w:rPr>
        <w:t xml:space="preserve"> – фактор некроза опухоли</w:t>
      </w:r>
      <w:r w:rsidR="00BB1C9E">
        <w:rPr>
          <w:rFonts w:ascii="Times New Roman" w:hAnsi="Times New Roman" w:cs="Times New Roman"/>
          <w:sz w:val="28"/>
          <w:szCs w:val="28"/>
        </w:rPr>
        <w:t>;</w:t>
      </w:r>
    </w:p>
    <w:p w:rsidR="000A35D3" w:rsidRPr="00B30458" w:rsidRDefault="000A35D3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30458">
        <w:rPr>
          <w:rFonts w:ascii="Times New Roman" w:hAnsi="Times New Roman" w:cs="Times New Roman"/>
          <w:sz w:val="28"/>
          <w:szCs w:val="28"/>
        </w:rPr>
        <w:t xml:space="preserve"> - кластер дифференцировки;</w:t>
      </w:r>
    </w:p>
    <w:p w:rsidR="000A35D3" w:rsidRPr="00B30458" w:rsidRDefault="000A35D3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eastAsia="NSimSun" w:hAnsi="Times New Roman" w:cs="Times New Roman"/>
          <w:bCs/>
          <w:color w:val="212121"/>
          <w:sz w:val="28"/>
          <w:szCs w:val="28"/>
        </w:rPr>
      </w:pPr>
      <w:r w:rsidRPr="00B30458">
        <w:rPr>
          <w:rFonts w:ascii="Times New Roman" w:eastAsia="NSimSun" w:hAnsi="Times New Roman" w:cs="Times New Roman"/>
          <w:bCs/>
          <w:color w:val="212121"/>
          <w:sz w:val="28"/>
          <w:szCs w:val="28"/>
        </w:rPr>
        <w:t xml:space="preserve">CD8 + - клетки, экспрессирующие </w:t>
      </w:r>
      <w:r w:rsidRPr="00B30458">
        <w:rPr>
          <w:rFonts w:ascii="Times New Roman" w:eastAsia="NSimSun" w:hAnsi="Times New Roman" w:cs="Times New Roman"/>
          <w:bCs/>
          <w:color w:val="212121"/>
          <w:sz w:val="28"/>
          <w:szCs w:val="28"/>
          <w:lang w:val="en-US"/>
        </w:rPr>
        <w:t>CD</w:t>
      </w:r>
      <w:r w:rsidRPr="00B30458">
        <w:rPr>
          <w:rFonts w:ascii="Times New Roman" w:eastAsia="NSimSun" w:hAnsi="Times New Roman" w:cs="Times New Roman"/>
          <w:bCs/>
          <w:color w:val="212121"/>
          <w:sz w:val="28"/>
          <w:szCs w:val="28"/>
        </w:rPr>
        <w:t>8 рецептор</w:t>
      </w:r>
      <w:r w:rsidR="00BB1C9E">
        <w:rPr>
          <w:rFonts w:ascii="Times New Roman" w:eastAsia="NSimSun" w:hAnsi="Times New Roman" w:cs="Times New Roman"/>
          <w:bCs/>
          <w:color w:val="212121"/>
          <w:sz w:val="28"/>
          <w:szCs w:val="28"/>
        </w:rPr>
        <w:t>;</w:t>
      </w:r>
    </w:p>
    <w:p w:rsidR="00244462" w:rsidRPr="00B30458" w:rsidRDefault="00244462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>-67 - индекс пролиферативной активности ;</w:t>
      </w:r>
    </w:p>
    <w:p w:rsidR="00244462" w:rsidRPr="00B30458" w:rsidRDefault="00244462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  <w:lang w:val="en-US"/>
        </w:rPr>
        <w:t>ESMO</w:t>
      </w:r>
      <w:r w:rsidRPr="00B30458">
        <w:rPr>
          <w:rFonts w:ascii="Times New Roman" w:hAnsi="Times New Roman" w:cs="Times New Roman"/>
          <w:sz w:val="28"/>
          <w:szCs w:val="28"/>
        </w:rPr>
        <w:t>- европейская ассоциация онкологов;</w:t>
      </w:r>
    </w:p>
    <w:p w:rsidR="000A35D3" w:rsidRPr="00B30458" w:rsidRDefault="00621A18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ОАМ</w:t>
      </w:r>
      <w:r w:rsidR="00361D40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0A35D3" w:rsidRPr="00B30458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="000A35D3" w:rsidRPr="00B3045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опухоль-</w:t>
      </w:r>
      <w:r w:rsidR="000A35D3" w:rsidRPr="00B30458">
        <w:rPr>
          <w:rFonts w:ascii="Times New Roman" w:hAnsi="Times New Roman" w:cs="Times New Roman"/>
          <w:color w:val="212121"/>
          <w:sz w:val="28"/>
          <w:szCs w:val="28"/>
        </w:rPr>
        <w:t>ассоциированные макрофаги</w:t>
      </w:r>
      <w:r w:rsidR="006A69D0">
        <w:rPr>
          <w:rFonts w:ascii="Times New Roman" w:hAnsi="Times New Roman" w:cs="Times New Roman"/>
          <w:color w:val="212121"/>
          <w:sz w:val="28"/>
          <w:szCs w:val="28"/>
        </w:rPr>
        <w:t>;</w:t>
      </w:r>
      <w:r w:rsidR="000A35D3"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0A35D3" w:rsidRPr="00B30458" w:rsidRDefault="00621A18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ОАН</w:t>
      </w:r>
      <w:r w:rsidR="00361D40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0A35D3" w:rsidRPr="00B30458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="000A35D3" w:rsidRPr="00B3045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опухоль-</w:t>
      </w:r>
      <w:r w:rsidR="000A35D3" w:rsidRPr="00B30458">
        <w:rPr>
          <w:rFonts w:ascii="Times New Roman" w:hAnsi="Times New Roman" w:cs="Times New Roman"/>
          <w:color w:val="212121"/>
          <w:sz w:val="28"/>
          <w:szCs w:val="28"/>
        </w:rPr>
        <w:t>ассоциированные нейтрофилы</w:t>
      </w:r>
      <w:r w:rsidR="006A69D0">
        <w:rPr>
          <w:rFonts w:ascii="Times New Roman" w:hAnsi="Times New Roman" w:cs="Times New Roman"/>
          <w:color w:val="212121"/>
          <w:sz w:val="28"/>
          <w:szCs w:val="28"/>
        </w:rPr>
        <w:t>;</w:t>
      </w:r>
      <w:r w:rsidR="000A35D3"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0A35D3" w:rsidRPr="00B30458" w:rsidRDefault="00244462" w:rsidP="00B30458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458">
        <w:rPr>
          <w:rFonts w:ascii="Times New Roman" w:hAnsi="Times New Roman" w:cs="Times New Roman"/>
          <w:bCs/>
          <w:sz w:val="28"/>
          <w:szCs w:val="28"/>
          <w:lang w:val="en-US"/>
        </w:rPr>
        <w:t>TNM</w:t>
      </w:r>
      <w:r w:rsidRPr="00B30458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B3045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304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Pr="00B304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t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umor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304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04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n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odus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04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045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m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etastasis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Pr="00B304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международная классификация стадий развития</w:t>
      </w:r>
      <w:r w:rsidRPr="00B30458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8" w:tooltip="Злокачественная опухоль" w:history="1">
        <w:r w:rsidRPr="00B30458">
          <w:rPr>
            <w:rStyle w:val="af2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раковых опухолей</w:t>
        </w:r>
      </w:hyperlink>
      <w:r w:rsidR="006A69D0">
        <w:t>.</w:t>
      </w:r>
    </w:p>
    <w:p w:rsidR="00200ABC" w:rsidRDefault="00200ABC" w:rsidP="00B30458">
      <w:pPr>
        <w:pStyle w:val="a0"/>
        <w:spacing w:line="360" w:lineRule="auto"/>
        <w:jc w:val="both"/>
        <w:rPr>
          <w:rFonts w:ascii="Times New Roman" w:hAnsi="Times New Roman" w:cs="Times New Roman"/>
          <w:b/>
        </w:rPr>
      </w:pPr>
    </w:p>
    <w:p w:rsidR="006A69D0" w:rsidRDefault="006A69D0" w:rsidP="006A69D0">
      <w:pPr>
        <w:pStyle w:val="a7"/>
      </w:pPr>
    </w:p>
    <w:p w:rsidR="006A69D0" w:rsidRDefault="006A69D0" w:rsidP="006A69D0">
      <w:pPr>
        <w:pStyle w:val="a7"/>
      </w:pPr>
    </w:p>
    <w:p w:rsidR="006A69D0" w:rsidRPr="006A69D0" w:rsidRDefault="006A69D0" w:rsidP="006A69D0">
      <w:pPr>
        <w:pStyle w:val="a7"/>
      </w:pPr>
    </w:p>
    <w:p w:rsidR="00244462" w:rsidRDefault="00244462" w:rsidP="00B30458">
      <w:pPr>
        <w:widowControl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9D0" w:rsidRPr="00B30458" w:rsidRDefault="006A69D0" w:rsidP="00B30458">
      <w:pPr>
        <w:widowControl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361" w:rsidRPr="00B30458" w:rsidRDefault="00A52361" w:rsidP="00137981">
      <w:pPr>
        <w:pStyle w:val="a7"/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451122280"/>
      <w:r w:rsidRPr="00B3045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1"/>
    </w:p>
    <w:p w:rsidR="00A52361" w:rsidRPr="00B30458" w:rsidRDefault="00A52361" w:rsidP="00B3045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361" w:rsidRPr="00B30458" w:rsidRDefault="00B80477" w:rsidP="00B30458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Рак толстой кишки – одна из наиболее </w:t>
      </w:r>
      <w:r w:rsidR="00B9577F" w:rsidRPr="00B30458">
        <w:rPr>
          <w:rFonts w:ascii="Times New Roman" w:hAnsi="Times New Roman" w:cs="Times New Roman"/>
          <w:sz w:val="28"/>
          <w:szCs w:val="28"/>
        </w:rPr>
        <w:t>часто встречающихся злокачествен</w:t>
      </w:r>
      <w:r w:rsidRPr="00B30458">
        <w:rPr>
          <w:rFonts w:ascii="Times New Roman" w:hAnsi="Times New Roman" w:cs="Times New Roman"/>
          <w:sz w:val="28"/>
          <w:szCs w:val="28"/>
        </w:rPr>
        <w:t xml:space="preserve">ных опухолей, заболеваемость которой </w:t>
      </w:r>
      <w:r w:rsidR="00B9577F" w:rsidRPr="00B30458">
        <w:rPr>
          <w:rFonts w:ascii="Times New Roman" w:hAnsi="Times New Roman" w:cs="Times New Roman"/>
          <w:sz w:val="28"/>
          <w:szCs w:val="28"/>
        </w:rPr>
        <w:t>с каждым годом</w:t>
      </w:r>
      <w:r w:rsidRPr="00B30458">
        <w:rPr>
          <w:rFonts w:ascii="Times New Roman" w:hAnsi="Times New Roman" w:cs="Times New Roman"/>
          <w:sz w:val="28"/>
          <w:szCs w:val="28"/>
        </w:rPr>
        <w:t xml:space="preserve"> увеличивается. В структуре онкологической заболеваемости колоректальный рак до недавнего времени занимал четвертое место, а в структуре онкологической смертности – второе место у женщин (после рака молочной железы) и третье место у мужчин</w:t>
      </w:r>
      <w:r w:rsidR="00B9577F" w:rsidRPr="00B30458">
        <w:rPr>
          <w:rFonts w:ascii="Times New Roman" w:hAnsi="Times New Roman" w:cs="Times New Roman"/>
          <w:sz w:val="28"/>
          <w:szCs w:val="28"/>
        </w:rPr>
        <w:t xml:space="preserve"> (после рака предстательной же</w:t>
      </w:r>
      <w:r w:rsidRPr="00B30458">
        <w:rPr>
          <w:rFonts w:ascii="Times New Roman" w:hAnsi="Times New Roman" w:cs="Times New Roman"/>
          <w:sz w:val="28"/>
          <w:szCs w:val="28"/>
        </w:rPr>
        <w:t xml:space="preserve">лезы и рака легкого) </w:t>
      </w:r>
      <w:r w:rsidR="00AF4C30">
        <w:rPr>
          <w:rFonts w:ascii="Times New Roman" w:hAnsi="Times New Roman" w:cs="Times New Roman"/>
          <w:sz w:val="28"/>
          <w:szCs w:val="28"/>
        </w:rPr>
        <w:t>[4</w:t>
      </w:r>
      <w:r w:rsidR="00A52361" w:rsidRPr="00B30458">
        <w:rPr>
          <w:rFonts w:ascii="Times New Roman" w:hAnsi="Times New Roman" w:cs="Times New Roman"/>
          <w:sz w:val="28"/>
          <w:szCs w:val="28"/>
        </w:rPr>
        <w:t xml:space="preserve">]. </w:t>
      </w:r>
      <w:r w:rsidR="001C5B0D" w:rsidRPr="00B30458">
        <w:rPr>
          <w:rFonts w:ascii="Times New Roman" w:hAnsi="Times New Roman" w:cs="Times New Roman"/>
          <w:sz w:val="28"/>
          <w:szCs w:val="28"/>
        </w:rPr>
        <w:t xml:space="preserve">В России за последние 50 лет (с 1960 по 2010 г.) количество впервые выявленного </w:t>
      </w:r>
      <w:r w:rsidR="005478CC">
        <w:rPr>
          <w:rFonts w:ascii="Times New Roman" w:hAnsi="Times New Roman" w:cs="Times New Roman"/>
          <w:sz w:val="28"/>
          <w:szCs w:val="28"/>
        </w:rPr>
        <w:t xml:space="preserve">рака толстой кишки </w:t>
      </w:r>
      <w:r w:rsidR="001C5B0D" w:rsidRPr="00B30458">
        <w:rPr>
          <w:rFonts w:ascii="Times New Roman" w:hAnsi="Times New Roman" w:cs="Times New Roman"/>
          <w:sz w:val="28"/>
          <w:szCs w:val="28"/>
        </w:rPr>
        <w:t>выросло в 7 раз. Указывают, что за 10 лет число больных увеличилось на 22% и достигло 46 тыс. в год</w:t>
      </w:r>
      <w:r w:rsidR="00AF4C30">
        <w:rPr>
          <w:rFonts w:ascii="Times New Roman" w:hAnsi="Times New Roman" w:cs="Times New Roman"/>
          <w:sz w:val="28"/>
          <w:szCs w:val="28"/>
        </w:rPr>
        <w:t>. [3</w:t>
      </w:r>
      <w:r w:rsidR="00A52361" w:rsidRPr="00B30458">
        <w:rPr>
          <w:rFonts w:ascii="Times New Roman" w:hAnsi="Times New Roman" w:cs="Times New Roman"/>
          <w:sz w:val="28"/>
          <w:szCs w:val="28"/>
        </w:rPr>
        <w:t>].</w:t>
      </w:r>
      <w:r w:rsidR="001C5B0D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A52361" w:rsidRPr="00B30458">
        <w:rPr>
          <w:rFonts w:ascii="Times New Roman" w:hAnsi="Times New Roman" w:cs="Times New Roman"/>
          <w:sz w:val="28"/>
          <w:szCs w:val="28"/>
        </w:rPr>
        <w:t xml:space="preserve">В структуре смертности населения России от злокачественных новообразований КРР занимает 2-е место после рака легкого. </w:t>
      </w:r>
      <w:r w:rsidR="005478CC">
        <w:rPr>
          <w:rFonts w:ascii="Times New Roman" w:hAnsi="Times New Roman" w:cs="Times New Roman"/>
          <w:sz w:val="28"/>
          <w:szCs w:val="28"/>
        </w:rPr>
        <w:t>В 2008 г. в России от КРР умерло</w:t>
      </w:r>
      <w:r w:rsidR="00A52361" w:rsidRPr="00B30458">
        <w:rPr>
          <w:rFonts w:ascii="Times New Roman" w:hAnsi="Times New Roman" w:cs="Times New Roman"/>
          <w:sz w:val="28"/>
          <w:szCs w:val="28"/>
        </w:rPr>
        <w:t xml:space="preserve"> 37 901 человек, </w:t>
      </w:r>
      <w:r w:rsidR="00AF4C30">
        <w:rPr>
          <w:rFonts w:ascii="Times New Roman" w:hAnsi="Times New Roman" w:cs="Times New Roman"/>
          <w:sz w:val="28"/>
          <w:szCs w:val="28"/>
        </w:rPr>
        <w:t>из них 16 692 – от РПК [1</w:t>
      </w:r>
      <w:r w:rsidR="00A52361" w:rsidRPr="00B30458">
        <w:rPr>
          <w:rFonts w:ascii="Times New Roman" w:hAnsi="Times New Roman" w:cs="Times New Roman"/>
          <w:sz w:val="28"/>
          <w:szCs w:val="28"/>
        </w:rPr>
        <w:t>]. В Санкт- Петербурге начиная с 2005 г. смертность от КРР у женщин находится на 1-м месте и составила в структуре онкологичес</w:t>
      </w:r>
      <w:r w:rsidR="00AF4C30">
        <w:rPr>
          <w:rFonts w:ascii="Times New Roman" w:hAnsi="Times New Roman" w:cs="Times New Roman"/>
          <w:sz w:val="28"/>
          <w:szCs w:val="28"/>
        </w:rPr>
        <w:t>кой смертности в 2007 г. 19 % [2</w:t>
      </w:r>
      <w:r w:rsidR="00A52361" w:rsidRPr="00B30458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52361" w:rsidRPr="00B30458" w:rsidRDefault="00D15CCA" w:rsidP="00B30458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В настоящее время большое внимание уделяется персонализации назначаемого лечения. Необходимость </w:t>
      </w:r>
      <w:r w:rsidR="006B0442"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индивидуализации </w:t>
      </w:r>
      <w:r w:rsidR="00CA1D88" w:rsidRPr="00B30458">
        <w:rPr>
          <w:rFonts w:ascii="Times New Roman" w:hAnsi="Times New Roman" w:cs="Times New Roman"/>
          <w:color w:val="212121"/>
          <w:sz w:val="28"/>
          <w:szCs w:val="28"/>
        </w:rPr>
        <w:t>связана с потребностью в совершенствовании методов лечения больных, что должно привести к увеличению пятилетней и сроков безрецидивной выживаемости. Индивидуальный подход особенно оправдан для лечения пациентов, имеющих неясный прогноз при оценке по стандартным критериям.</w:t>
      </w:r>
    </w:p>
    <w:p w:rsidR="00C02779" w:rsidRPr="00B30458" w:rsidRDefault="006B0442" w:rsidP="00B30458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Имеющиеся на сегодняшний день критерии, по которым оценивается прогноз конкретного пациента</w:t>
      </w:r>
      <w:r w:rsidR="005478CC">
        <w:rPr>
          <w:rFonts w:ascii="Times New Roman" w:hAnsi="Times New Roman" w:cs="Times New Roman"/>
          <w:sz w:val="28"/>
          <w:szCs w:val="28"/>
        </w:rPr>
        <w:t>,</w:t>
      </w:r>
      <w:r w:rsidRPr="00B30458">
        <w:rPr>
          <w:rFonts w:ascii="Times New Roman" w:hAnsi="Times New Roman" w:cs="Times New Roman"/>
          <w:sz w:val="28"/>
          <w:szCs w:val="28"/>
        </w:rPr>
        <w:t xml:space="preserve"> не обеспечивает удовлетворительной точности, в связи с чем определение рационального объема хирургического и химиотерапевтического лечения для некоторых групп больных довольно проблематично</w:t>
      </w:r>
      <w:r w:rsidR="00B80477" w:rsidRPr="00B30458">
        <w:rPr>
          <w:rFonts w:ascii="Times New Roman" w:hAnsi="Times New Roman" w:cs="Times New Roman"/>
          <w:sz w:val="28"/>
          <w:szCs w:val="28"/>
        </w:rPr>
        <w:t xml:space="preserve">. </w:t>
      </w:r>
      <w:r w:rsidR="00C02779" w:rsidRPr="00B30458">
        <w:rPr>
          <w:rFonts w:ascii="Times New Roman" w:hAnsi="Times New Roman" w:cs="Times New Roman"/>
          <w:sz w:val="28"/>
          <w:szCs w:val="28"/>
        </w:rPr>
        <w:t xml:space="preserve">Так, у пациентов с </w:t>
      </w:r>
      <w:r w:rsidR="00B80477" w:rsidRPr="00B30458">
        <w:rPr>
          <w:rFonts w:ascii="Times New Roman" w:hAnsi="Times New Roman" w:cs="Times New Roman"/>
          <w:sz w:val="28"/>
          <w:szCs w:val="28"/>
        </w:rPr>
        <w:t>местнораспространненными формами заболевания (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Tis</w:t>
      </w:r>
      <w:r w:rsidR="00B80477" w:rsidRPr="00B30458">
        <w:rPr>
          <w:rFonts w:ascii="Times New Roman" w:hAnsi="Times New Roman" w:cs="Times New Roman"/>
          <w:sz w:val="28"/>
          <w:szCs w:val="28"/>
        </w:rPr>
        <w:t>\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80477" w:rsidRPr="00B30458">
        <w:rPr>
          <w:rFonts w:ascii="Times New Roman" w:hAnsi="Times New Roman" w:cs="Times New Roman"/>
          <w:sz w:val="28"/>
          <w:szCs w:val="28"/>
        </w:rPr>
        <w:t>1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80477" w:rsidRPr="00B30458">
        <w:rPr>
          <w:rFonts w:ascii="Times New Roman" w:hAnsi="Times New Roman" w:cs="Times New Roman"/>
          <w:sz w:val="28"/>
          <w:szCs w:val="28"/>
        </w:rPr>
        <w:t>0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B80477" w:rsidRPr="00B30458">
        <w:rPr>
          <w:rFonts w:ascii="Times New Roman" w:hAnsi="Times New Roman" w:cs="Times New Roman"/>
          <w:sz w:val="28"/>
          <w:szCs w:val="28"/>
        </w:rPr>
        <w:t>0)</w:t>
      </w:r>
      <w:r w:rsidR="00C02779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50399E" w:rsidRPr="00B30458">
        <w:rPr>
          <w:rFonts w:ascii="Times New Roman" w:hAnsi="Times New Roman" w:cs="Times New Roman"/>
          <w:sz w:val="28"/>
          <w:szCs w:val="28"/>
        </w:rPr>
        <w:lastRenderedPageBreak/>
        <w:t>невозможно исключить наличия субклинических и недиагностированных отдаленных метастазов, в связи с чем многие из этих больных получают токсичную и агрессивную терапию, сопряженную с большим количеством побочных эффектов. Однако при наличии критериев, которые позволили бы прогнозировать течение опухолевого процесса, некоторым пациентам из данной группы можно было бы провести радикальное, но в т</w:t>
      </w:r>
      <w:r w:rsidR="00E307D7" w:rsidRPr="00B30458">
        <w:rPr>
          <w:rFonts w:ascii="Times New Roman" w:hAnsi="Times New Roman" w:cs="Times New Roman"/>
          <w:sz w:val="28"/>
          <w:szCs w:val="28"/>
        </w:rPr>
        <w:t>о же время более щадящее лечение, повышая таким образом качество жизни и снижая количество рисков.</w:t>
      </w:r>
    </w:p>
    <w:p w:rsidR="00B80477" w:rsidRPr="00B30458" w:rsidRDefault="00C02779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Также сложна ситуация у больных с </w:t>
      </w:r>
      <w:r w:rsidR="00E307D7" w:rsidRPr="00B30458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B80477" w:rsidRPr="00B30458">
        <w:rPr>
          <w:rFonts w:ascii="Times New Roman" w:hAnsi="Times New Roman" w:cs="Times New Roman"/>
          <w:sz w:val="28"/>
          <w:szCs w:val="28"/>
        </w:rPr>
        <w:t>распространенными</w:t>
      </w:r>
      <w:r w:rsidR="00E307D7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B80477" w:rsidRPr="00B30458">
        <w:rPr>
          <w:rFonts w:ascii="Times New Roman" w:hAnsi="Times New Roman" w:cs="Times New Roman"/>
          <w:sz w:val="28"/>
          <w:szCs w:val="28"/>
        </w:rPr>
        <w:t xml:space="preserve">формами </w:t>
      </w:r>
      <w:r w:rsidR="00E307D7" w:rsidRPr="00B30458">
        <w:rPr>
          <w:rFonts w:ascii="Times New Roman" w:hAnsi="Times New Roman" w:cs="Times New Roman"/>
          <w:sz w:val="28"/>
          <w:szCs w:val="28"/>
        </w:rPr>
        <w:t xml:space="preserve">заболевания </w:t>
      </w:r>
      <w:r w:rsidR="00B80477" w:rsidRPr="00B30458">
        <w:rPr>
          <w:rFonts w:ascii="Times New Roman" w:hAnsi="Times New Roman" w:cs="Times New Roman"/>
          <w:sz w:val="28"/>
          <w:szCs w:val="28"/>
        </w:rPr>
        <w:t>(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80477" w:rsidRPr="00B30458">
        <w:rPr>
          <w:rFonts w:ascii="Times New Roman" w:hAnsi="Times New Roman" w:cs="Times New Roman"/>
          <w:sz w:val="28"/>
          <w:szCs w:val="28"/>
        </w:rPr>
        <w:t>4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80477" w:rsidRPr="00B30458">
        <w:rPr>
          <w:rFonts w:ascii="Times New Roman" w:hAnsi="Times New Roman" w:cs="Times New Roman"/>
          <w:sz w:val="28"/>
          <w:szCs w:val="28"/>
        </w:rPr>
        <w:t>0</w:t>
      </w:r>
      <w:r w:rsidR="00B80477" w:rsidRPr="00B3045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52361" w:rsidRPr="00B30458">
        <w:rPr>
          <w:rFonts w:ascii="Times New Roman" w:hAnsi="Times New Roman" w:cs="Times New Roman"/>
          <w:sz w:val="28"/>
          <w:szCs w:val="28"/>
        </w:rPr>
        <w:t>0)</w:t>
      </w:r>
      <w:r w:rsidR="00E307D7" w:rsidRPr="00B30458">
        <w:rPr>
          <w:rFonts w:ascii="Times New Roman" w:hAnsi="Times New Roman" w:cs="Times New Roman"/>
          <w:sz w:val="28"/>
          <w:szCs w:val="28"/>
        </w:rPr>
        <w:t xml:space="preserve">. Для данной категории пациентов по-прежнему остается нерешенным вопрос о необходимости назначения адъювантной химиотерапии, равно как и для пациентов с неоднозначной гистологической картиной. Опять-таки, поиск дополнительных прогностических критериев мог бы значительно облегчить решение данной задачи. </w:t>
      </w:r>
    </w:p>
    <w:p w:rsidR="00213C65" w:rsidRPr="00B30458" w:rsidRDefault="00C671E0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Таким образом, появление более точных  дополнительных факторов прогноза могло бы в значительной степени </w:t>
      </w:r>
      <w:r w:rsidR="00213C65" w:rsidRPr="00B30458">
        <w:rPr>
          <w:rFonts w:ascii="Times New Roman" w:hAnsi="Times New Roman" w:cs="Times New Roman"/>
          <w:sz w:val="28"/>
          <w:szCs w:val="28"/>
        </w:rPr>
        <w:t xml:space="preserve">облегчить выбор наиболее целесообразной схемы терапии и </w:t>
      </w:r>
      <w:r w:rsidRPr="00B30458">
        <w:rPr>
          <w:rFonts w:ascii="Times New Roman" w:hAnsi="Times New Roman" w:cs="Times New Roman"/>
          <w:sz w:val="28"/>
          <w:szCs w:val="28"/>
        </w:rPr>
        <w:t>усовершенствовать лечение конкретных пациентов с колоректальным раком.</w:t>
      </w:r>
    </w:p>
    <w:p w:rsidR="00570C26" w:rsidRPr="00B30458" w:rsidRDefault="00570C26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В последние десятилетия </w:t>
      </w:r>
      <w:r w:rsidR="00B80477" w:rsidRPr="00B30458">
        <w:rPr>
          <w:rFonts w:ascii="Times New Roman" w:hAnsi="Times New Roman" w:cs="Times New Roman"/>
          <w:sz w:val="28"/>
          <w:szCs w:val="28"/>
        </w:rPr>
        <w:t>уровень развития медицинской науки</w:t>
      </w:r>
      <w:r w:rsidR="0011204C" w:rsidRPr="00B30458">
        <w:rPr>
          <w:rFonts w:ascii="Times New Roman" w:hAnsi="Times New Roman" w:cs="Times New Roman"/>
          <w:sz w:val="28"/>
          <w:szCs w:val="28"/>
        </w:rPr>
        <w:t xml:space="preserve"> позволил </w:t>
      </w:r>
      <w:r w:rsidR="00B80477" w:rsidRPr="00B30458">
        <w:rPr>
          <w:rFonts w:ascii="Times New Roman" w:hAnsi="Times New Roman" w:cs="Times New Roman"/>
          <w:sz w:val="28"/>
          <w:szCs w:val="28"/>
        </w:rPr>
        <w:t>достаточно далеко продвинуться в области изучения процессов канцерогенеза</w:t>
      </w:r>
      <w:r w:rsidRPr="00B30458">
        <w:rPr>
          <w:rFonts w:ascii="Times New Roman" w:hAnsi="Times New Roman" w:cs="Times New Roman"/>
          <w:sz w:val="28"/>
          <w:szCs w:val="28"/>
        </w:rPr>
        <w:t xml:space="preserve">, однако необходимо помнить, что при выполнении работ по изучению биологии опухоли </w:t>
      </w:r>
      <w:r w:rsidRPr="00B30458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B304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Pr="00B30458">
        <w:rPr>
          <w:rFonts w:ascii="Times New Roman" w:hAnsi="Times New Roman" w:cs="Times New Roman"/>
          <w:sz w:val="28"/>
          <w:szCs w:val="28"/>
        </w:rPr>
        <w:t xml:space="preserve"> существует большое количество условностей, в первую очередь связанных с тем, что при данном подходе не учитываются параметры микроокружения, а также взаимоотношения опухоли с целостным организмом.</w:t>
      </w:r>
      <w:r w:rsidR="0011204C" w:rsidRPr="00B30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361" w:rsidRPr="00B30458" w:rsidRDefault="00570C26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Интерес к микроокружению опухоли как к активному компоненту процесса канцерогенеза возрос в последние годы, когда исследователи, чьи усилия до этого были сфокусированы на изучении генома опухолевых</w:t>
      </w:r>
      <w:r w:rsidR="00B95862" w:rsidRPr="00B30458">
        <w:rPr>
          <w:rFonts w:ascii="Times New Roman" w:hAnsi="Times New Roman" w:cs="Times New Roman"/>
          <w:sz w:val="28"/>
          <w:szCs w:val="28"/>
        </w:rPr>
        <w:t xml:space="preserve"> клеток</w:t>
      </w:r>
      <w:r w:rsidRPr="00B30458">
        <w:rPr>
          <w:rFonts w:ascii="Times New Roman" w:hAnsi="Times New Roman" w:cs="Times New Roman"/>
          <w:sz w:val="28"/>
          <w:szCs w:val="28"/>
        </w:rPr>
        <w:t xml:space="preserve">, пришли к выводу, </w:t>
      </w:r>
      <w:r w:rsidR="00B95862" w:rsidRPr="00B30458">
        <w:rPr>
          <w:rFonts w:ascii="Times New Roman" w:hAnsi="Times New Roman" w:cs="Times New Roman"/>
          <w:sz w:val="28"/>
          <w:szCs w:val="28"/>
        </w:rPr>
        <w:t xml:space="preserve">что роль стромы опухоли недооценена. </w:t>
      </w:r>
      <w:r w:rsidR="0011204C" w:rsidRPr="00B30458">
        <w:rPr>
          <w:rFonts w:ascii="Times New Roman" w:hAnsi="Times New Roman" w:cs="Times New Roman"/>
          <w:sz w:val="28"/>
          <w:szCs w:val="28"/>
        </w:rPr>
        <w:t xml:space="preserve">В </w:t>
      </w:r>
      <w:r w:rsidR="00B95862" w:rsidRPr="00B30458">
        <w:rPr>
          <w:rFonts w:ascii="Times New Roman" w:hAnsi="Times New Roman" w:cs="Times New Roman"/>
          <w:sz w:val="28"/>
          <w:szCs w:val="28"/>
        </w:rPr>
        <w:lastRenderedPageBreak/>
        <w:t>настоящее время наблюдается увеличение количества исследований, посвященных изучению микроокружения</w:t>
      </w:r>
      <w:r w:rsidR="0011204C" w:rsidRPr="00B30458">
        <w:rPr>
          <w:rFonts w:ascii="Times New Roman" w:hAnsi="Times New Roman" w:cs="Times New Roman"/>
          <w:sz w:val="28"/>
          <w:szCs w:val="28"/>
        </w:rPr>
        <w:t xml:space="preserve"> опухоли, что указывает на </w:t>
      </w:r>
      <w:r w:rsidR="00B95862" w:rsidRPr="00B30458">
        <w:rPr>
          <w:rFonts w:ascii="Times New Roman" w:hAnsi="Times New Roman" w:cs="Times New Roman"/>
          <w:sz w:val="28"/>
          <w:szCs w:val="28"/>
        </w:rPr>
        <w:t>наличие интереса к данной теме в мировом онкологическом сообществе.</w:t>
      </w:r>
    </w:p>
    <w:p w:rsidR="004369EC" w:rsidRPr="00B30458" w:rsidRDefault="005478CC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различных показателей</w:t>
      </w:r>
      <w:r w:rsidR="004369EC" w:rsidRPr="00B30458">
        <w:rPr>
          <w:rFonts w:ascii="Times New Roman" w:hAnsi="Times New Roman" w:cs="Times New Roman"/>
          <w:sz w:val="28"/>
          <w:szCs w:val="28"/>
        </w:rPr>
        <w:t xml:space="preserve"> опухолевого микроокружения возможно определение степени агрессивности опухолевого процесса, что позволяет выделять различные прогностические группы среди онкологических па</w:t>
      </w:r>
      <w:r w:rsidR="00BC409D" w:rsidRPr="00B30458">
        <w:rPr>
          <w:rFonts w:ascii="Times New Roman" w:hAnsi="Times New Roman" w:cs="Times New Roman"/>
          <w:sz w:val="28"/>
          <w:szCs w:val="28"/>
        </w:rPr>
        <w:t>циентов. Таким образом, сегодня наибольшую актуальность имеют исследования,</w:t>
      </w:r>
      <w:r w:rsidR="004369EC" w:rsidRPr="00B30458">
        <w:rPr>
          <w:rFonts w:ascii="Times New Roman" w:hAnsi="Times New Roman" w:cs="Times New Roman"/>
          <w:sz w:val="28"/>
          <w:szCs w:val="28"/>
        </w:rPr>
        <w:t xml:space="preserve"> направленные на поиск связи между определенными параметрами микроокружения опухоли и клинико-морфологическими параметрами опухолевого роста. Вероятно, знания о различных вариантах микроокружения опухоли при КРР будут способствовать более рациональному осуществлению лечебных мероприятий.</w:t>
      </w:r>
    </w:p>
    <w:p w:rsidR="00B80477" w:rsidRDefault="00B80477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361D40" w:rsidRPr="00B30458" w:rsidRDefault="00361D40" w:rsidP="00B30458">
      <w:pPr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137981" w:rsidRDefault="00137981" w:rsidP="00137981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r w:rsidRPr="00B3045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Цель исследования:</w:t>
      </w:r>
    </w:p>
    <w:p w:rsidR="00137981" w:rsidRPr="00197E99" w:rsidRDefault="00137981" w:rsidP="00137981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</w:p>
    <w:p w:rsidR="00137981" w:rsidRPr="00197E99" w:rsidRDefault="00137981" w:rsidP="00137981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Определение значения инфильтрации опухоли нейтрофилами и эозинофилами как дополнительных факторов прогноза  у пациентов  с аденокарциномами толстой кишки и их сопоставление с уже существующими прогностическими факторами </w:t>
      </w:r>
    </w:p>
    <w:p w:rsidR="00137981" w:rsidRPr="00B30458" w:rsidRDefault="00137981" w:rsidP="00137981">
      <w:pPr>
        <w:widowControl/>
        <w:spacing w:line="360" w:lineRule="auto"/>
        <w:ind w:left="50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37981" w:rsidRDefault="00137981" w:rsidP="00137981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</w:p>
    <w:p w:rsidR="00137981" w:rsidRPr="00197E99" w:rsidRDefault="00137981" w:rsidP="00137981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37981" w:rsidRPr="00B30458" w:rsidRDefault="00137981" w:rsidP="00137981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Установить наличие связи между степенью инфильтрированности опухоли нейтрофилами и прогнозом </w:t>
      </w:r>
    </w:p>
    <w:p w:rsidR="00137981" w:rsidRPr="00B30458" w:rsidRDefault="00137981" w:rsidP="00137981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Определить наличие связи между степенью инфильтрированности опухоли эозинофилами и прогнозом </w:t>
      </w:r>
    </w:p>
    <w:p w:rsidR="00137981" w:rsidRPr="00B30458" w:rsidRDefault="00137981" w:rsidP="00137981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Выявить наличие статистически значимых различий экспрессии 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-67 в группах с благоприятным и неблагоприятным прогнозом</w:t>
      </w:r>
    </w:p>
    <w:p w:rsidR="00137981" w:rsidRPr="00B30458" w:rsidRDefault="00137981" w:rsidP="00137981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Установить наличие связи между экспрессией 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-67 и уровнем инфильтрированности опухоли нейтрофилами и эозинофилами</w:t>
      </w:r>
    </w:p>
    <w:p w:rsidR="00137981" w:rsidRPr="00B30458" w:rsidRDefault="00137981" w:rsidP="00137981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Выявить зависимость между локализацией опухоли и степенью инфильтри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рованности её эозинофилами и ней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трофилами</w:t>
      </w:r>
      <w:r w:rsidR="00AA04B5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AA04B5" w:rsidRDefault="00AA04B5" w:rsidP="00137981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" w:name="_Toc451122281"/>
    </w:p>
    <w:p w:rsidR="00AA04B5" w:rsidRPr="00AA04B5" w:rsidRDefault="00AA04B5" w:rsidP="00AA04B5">
      <w:pPr>
        <w:widowControl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:rsidR="00AA04B5" w:rsidRDefault="00AA04B5">
      <w:pPr>
        <w:widowControl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35D7" w:rsidRPr="008C2665" w:rsidRDefault="004435D7" w:rsidP="00137981">
      <w:pPr>
        <w:pStyle w:val="1"/>
        <w:rPr>
          <w:rFonts w:ascii="Times New Roman" w:hAnsi="Times New Roman" w:cs="Times New Roman"/>
          <w:sz w:val="28"/>
          <w:szCs w:val="28"/>
        </w:rPr>
      </w:pPr>
      <w:r w:rsidRPr="008C2665">
        <w:rPr>
          <w:rFonts w:ascii="Times New Roman" w:hAnsi="Times New Roman" w:cs="Times New Roman"/>
          <w:sz w:val="28"/>
          <w:szCs w:val="28"/>
        </w:rPr>
        <w:lastRenderedPageBreak/>
        <w:t xml:space="preserve">Глава 1. Современное представление о </w:t>
      </w:r>
      <w:r w:rsidR="00137981" w:rsidRPr="008C2665">
        <w:rPr>
          <w:rFonts w:ascii="Times New Roman" w:hAnsi="Times New Roman" w:cs="Times New Roman"/>
          <w:sz w:val="28"/>
          <w:szCs w:val="28"/>
        </w:rPr>
        <w:t xml:space="preserve">параметрах </w:t>
      </w:r>
      <w:r w:rsidRPr="008C2665">
        <w:rPr>
          <w:rFonts w:ascii="Times New Roman" w:hAnsi="Times New Roman" w:cs="Times New Roman"/>
          <w:sz w:val="28"/>
          <w:szCs w:val="28"/>
        </w:rPr>
        <w:t>микроокружения опухоли</w:t>
      </w:r>
      <w:r w:rsidR="00137981" w:rsidRPr="008C2665">
        <w:rPr>
          <w:rFonts w:ascii="Times New Roman" w:hAnsi="Times New Roman" w:cs="Times New Roman"/>
          <w:sz w:val="28"/>
          <w:szCs w:val="28"/>
        </w:rPr>
        <w:t xml:space="preserve"> как прогностических факторах</w:t>
      </w:r>
      <w:bookmarkEnd w:id="2"/>
    </w:p>
    <w:p w:rsidR="00137981" w:rsidRDefault="00137981" w:rsidP="00B304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361" w:rsidRPr="008C2665" w:rsidRDefault="004435D7" w:rsidP="0013798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451122282"/>
      <w:r w:rsidRPr="008C2665">
        <w:rPr>
          <w:rFonts w:ascii="Times New Roman" w:hAnsi="Times New Roman" w:cs="Times New Roman"/>
          <w:sz w:val="28"/>
          <w:szCs w:val="28"/>
        </w:rPr>
        <w:t xml:space="preserve">1.1 </w:t>
      </w:r>
      <w:r w:rsidR="00A52361" w:rsidRPr="008C2665">
        <w:rPr>
          <w:rFonts w:ascii="Times New Roman" w:hAnsi="Times New Roman" w:cs="Times New Roman"/>
          <w:sz w:val="28"/>
          <w:szCs w:val="28"/>
        </w:rPr>
        <w:t>Прогностические факторы КРР</w:t>
      </w:r>
      <w:bookmarkEnd w:id="3"/>
    </w:p>
    <w:p w:rsidR="00A52361" w:rsidRPr="00B30458" w:rsidRDefault="00A52361" w:rsidP="00B304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0477" w:rsidRPr="00B30458" w:rsidRDefault="00B80477" w:rsidP="00B3045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>Определение прогноза заболевания является одной из наиболее важных задач современных онкологов и онко</w:t>
      </w:r>
      <w:r w:rsidR="00A52361"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морфологов. На сегодняшний день </w:t>
      </w:r>
      <w:r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>проводится</w:t>
      </w:r>
      <w:r w:rsidR="001C5B0D"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огромное количество исследований, направленных</w:t>
      </w:r>
      <w:r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 поиск</w:t>
      </w:r>
      <w:r w:rsidR="00A52361"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1C5B0D"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>прогностических и предиктивных факторов</w:t>
      </w:r>
      <w:r w:rsidRPr="00B30458">
        <w:rPr>
          <w:rFonts w:ascii="Times New Roman" w:eastAsia="Calibri" w:hAnsi="Times New Roman" w:cs="Times New Roman"/>
          <w:color w:val="auto"/>
          <w:sz w:val="28"/>
          <w:szCs w:val="28"/>
        </w:rPr>
        <w:t>, способных предсказать результаты лечения онкологического заболевания у конкретного больного.</w:t>
      </w:r>
      <w:r w:rsidRPr="00B3045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80477" w:rsidRPr="00B30458" w:rsidRDefault="00B80477" w:rsidP="00B30458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</w:pP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>Согласно рекомендациям европейской ассоциации онкологов (</w:t>
      </w: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 w:bidi="ar-SA"/>
        </w:rPr>
        <w:t>ESMO</w:t>
      </w: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>) по лечению рака ободочной кишки за 2013 год, прогноз течения заболевания зависит от некоторых серологических маркеров а также макро</w:t>
      </w:r>
      <w:r w:rsidR="005478CC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>-</w:t>
      </w: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 xml:space="preserve"> и микроскопических критериев</w:t>
      </w:r>
      <w:r w:rsidR="00AF4C30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 xml:space="preserve"> [12</w:t>
      </w:r>
      <w:r w:rsidR="000F1E45"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>]</w:t>
      </w: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 xml:space="preserve">. </w:t>
      </w:r>
    </w:p>
    <w:p w:rsidR="00C02779" w:rsidRPr="00B30458" w:rsidRDefault="00B80477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 xml:space="preserve">Прогноз рака толстой кишки в первую очередь связан со стадированием по классификации TNM, и, что наиболее важно, наличием или отсутствием вовлечения </w:t>
      </w:r>
      <w:r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 xml:space="preserve">лимфоузлов. </w:t>
      </w:r>
      <w:r w:rsidR="00C02779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Однако</w:t>
      </w:r>
      <w:r w:rsidR="00BC409D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 xml:space="preserve"> несмотря на безусловно</w:t>
      </w:r>
      <w:r w:rsidR="00C02779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 xml:space="preserve"> важную прогностическую значимость стадирования по </w:t>
      </w:r>
      <w:r w:rsidR="00C02779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ru-RU" w:bidi="ar-SA"/>
        </w:rPr>
        <w:t>TNM</w:t>
      </w:r>
      <w:r w:rsidR="00C02779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 xml:space="preserve"> примерно у 10% пациентов с I стадией заболевания и 20% пациентов – со II происходит рецидив или метастазирование. Такая неоднородность результатов лечения обусловливает необходимость поиска дополнительных прогностических маркеров.  </w:t>
      </w:r>
    </w:p>
    <w:p w:rsidR="00B80477" w:rsidRPr="00B30458" w:rsidRDefault="00C02779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Помимо </w:t>
      </w:r>
      <w:r w:rsidRPr="00B30458">
        <w:rPr>
          <w:rFonts w:ascii="Times New Roman" w:hAnsi="Times New Roman" w:cs="Times New Roman"/>
          <w:color w:val="auto"/>
          <w:sz w:val="28"/>
          <w:szCs w:val="28"/>
          <w:lang w:val="en-US"/>
        </w:rPr>
        <w:t>TNM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>-стадирования к</w:t>
      </w:r>
      <w:r w:rsidR="001C5B0D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 факторам негативного прогноза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 относится наличие кишечной непроходимости или перфорации стенки кишки.</w:t>
      </w:r>
    </w:p>
    <w:p w:rsidR="00B80477" w:rsidRPr="00B30458" w:rsidRDefault="001C5B0D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Большое значение 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>пр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>и планировании терапии имеет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 оценка степени злокачественности опухоли, наличие прорастания в лимфатические и кровеносные сосуды, выявление опухолевых клеток по краю резекции кишки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>, что не оценивае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тся при стадировании опухолевого процесса по системе 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  <w:lang w:val="en-US"/>
        </w:rPr>
        <w:t>TNM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 и Dukes. В качестве дополнительных 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факторов прогноза 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lastRenderedPageBreak/>
        <w:t>сейчас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 предла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>гается оценка количества клеток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 с мутацией в гене 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  <w:lang w:val="en-US"/>
        </w:rPr>
        <w:t>p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>-53, k-ras, bcl-2, TGF-</w:t>
      </w:r>
      <w:r w:rsidR="00B80477" w:rsidRPr="00B30458">
        <w:rPr>
          <w:rFonts w:ascii="Times New Roman" w:hAnsi="Times New Roman" w:cs="Times New Roman"/>
          <w:i/>
          <w:iCs/>
          <w:color w:val="auto"/>
          <w:sz w:val="28"/>
          <w:szCs w:val="28"/>
        </w:rPr>
        <w:t>a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, EGF, оценка пролиферативного индекса и числа клеток с </w:t>
      </w:r>
      <w:r w:rsidR="00AF4C30">
        <w:rPr>
          <w:rFonts w:ascii="Times New Roman" w:hAnsi="Times New Roman" w:cs="Times New Roman"/>
          <w:color w:val="auto"/>
          <w:sz w:val="28"/>
          <w:szCs w:val="28"/>
        </w:rPr>
        <w:t>анеуплоидией [29</w:t>
      </w:r>
      <w:r w:rsidR="00B80477" w:rsidRPr="00B30458">
        <w:rPr>
          <w:rFonts w:ascii="Times New Roman" w:hAnsi="Times New Roman" w:cs="Times New Roman"/>
          <w:color w:val="auto"/>
          <w:sz w:val="28"/>
          <w:szCs w:val="28"/>
        </w:rPr>
        <w:t>]</w:t>
      </w:r>
      <w:r w:rsidR="00B80477"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Оценка данных критериев не входит в обязательные рекомендации по лечению рака ободочной кишки. </w:t>
      </w:r>
    </w:p>
    <w:p w:rsidR="00B80477" w:rsidRPr="00B30458" w:rsidRDefault="00B80477" w:rsidP="00B3045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</w:pPr>
      <w:r w:rsidRPr="00B30458">
        <w:rPr>
          <w:rFonts w:ascii="Times New Roman" w:hAnsi="Times New Roman" w:cs="Times New Roman"/>
          <w:color w:val="auto"/>
          <w:sz w:val="28"/>
          <w:szCs w:val="28"/>
        </w:rPr>
        <w:t>Из серологических маркеров в настоящее время активно применяется динамическая оценка уровня раково-эмбрионального антигена</w:t>
      </w:r>
      <w:r w:rsidR="005478CC">
        <w:rPr>
          <w:rFonts w:ascii="Times New Roman" w:hAnsi="Times New Roman" w:cs="Times New Roman"/>
          <w:color w:val="auto"/>
          <w:sz w:val="28"/>
          <w:szCs w:val="28"/>
        </w:rPr>
        <w:t xml:space="preserve"> (РЭА)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, и/или антигена </w:t>
      </w:r>
      <w:r w:rsidRPr="00B30458">
        <w:rPr>
          <w:rFonts w:ascii="Times New Roman" w:hAnsi="Times New Roman" w:cs="Times New Roman"/>
          <w:color w:val="auto"/>
          <w:sz w:val="28"/>
          <w:szCs w:val="28"/>
          <w:lang w:val="en-US"/>
        </w:rPr>
        <w:t>CA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>-19 (</w:t>
      </w:r>
      <w:r w:rsidRPr="00B30458">
        <w:rPr>
          <w:rFonts w:ascii="Times New Roman" w:hAnsi="Times New Roman" w:cs="Times New Roman"/>
          <w:color w:val="auto"/>
          <w:sz w:val="28"/>
          <w:szCs w:val="28"/>
          <w:lang w:val="en-US"/>
        </w:rPr>
        <w:t>CA</w:t>
      </w:r>
      <w:r w:rsidRPr="00B30458">
        <w:rPr>
          <w:rFonts w:ascii="Times New Roman" w:hAnsi="Times New Roman" w:cs="Times New Roman"/>
          <w:color w:val="auto"/>
          <w:sz w:val="28"/>
          <w:szCs w:val="28"/>
        </w:rPr>
        <w:t xml:space="preserve">-19-9), повышенные сывороточные уровни которых в послеоперационном периоде имеют отрицательную прогностическую значимость и говорят о прогрессировании заболевания. </w:t>
      </w:r>
      <w:r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Некоторые ретроспективные исследования показали, что послеоперационные переливание крови может ухудшить прогноз, но эти данные не были подтверждены в крупных многоцентровых проспективных рандомизированных исследованиях</w:t>
      </w:r>
      <w:r w:rsidR="001C5B0D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, которые не выявили никаких</w:t>
      </w:r>
      <w:r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 xml:space="preserve"> </w:t>
      </w:r>
      <w:r w:rsidR="001C5B0D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 xml:space="preserve">преимуществ аутологичного </w:t>
      </w:r>
      <w:r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переливания крови по сра</w:t>
      </w:r>
      <w:r w:rsidR="001C5B0D" w:rsidRPr="00B30458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ar-SA"/>
        </w:rPr>
        <w:t>внению с аллогенным</w:t>
      </w:r>
      <w:r w:rsidR="001C5B0D"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 xml:space="preserve"> </w:t>
      </w:r>
      <w:r w:rsidR="00AF4C30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>[6</w:t>
      </w:r>
      <w:r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>].</w:t>
      </w:r>
      <w:r w:rsidR="004B1D00" w:rsidRPr="00B30458">
        <w:rPr>
          <w:rFonts w:ascii="Times New Roman" w:eastAsia="Times New Roman" w:hAnsi="Times New Roman" w:cs="Times New Roman"/>
          <w:color w:val="212121"/>
          <w:sz w:val="28"/>
          <w:szCs w:val="28"/>
          <w:lang w:eastAsia="ru-RU" w:bidi="ar-SA"/>
        </w:rPr>
        <w:t xml:space="preserve"> </w:t>
      </w:r>
    </w:p>
    <w:p w:rsidR="006A2455" w:rsidRPr="00AA04B5" w:rsidRDefault="00C02779" w:rsidP="00AA04B5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Также широко распространены в клинической практике различные микроскопические параметры. Наиболее простыми в изучении являются определение степени дифференцировки опухоли. Опухоли, утратившие черты первоначальной ткани, относят к низкодифференцированным. Они, в отличие от высокодифференцированных</w:t>
      </w:r>
      <w:r w:rsidR="005478CC">
        <w:rPr>
          <w:rFonts w:ascii="Times New Roman" w:hAnsi="Times New Roman" w:cs="Times New Roman"/>
          <w:sz w:val="28"/>
          <w:szCs w:val="28"/>
        </w:rPr>
        <w:t>,</w:t>
      </w:r>
      <w:r w:rsidRPr="00B30458">
        <w:rPr>
          <w:rFonts w:ascii="Times New Roman" w:hAnsi="Times New Roman" w:cs="Times New Roman"/>
          <w:sz w:val="28"/>
          <w:szCs w:val="28"/>
        </w:rPr>
        <w:t xml:space="preserve"> характеризуются</w:t>
      </w:r>
      <w:r w:rsidR="000F1E45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инфильтративным характером роста с быстрым прорастанием подлежащих тканей и большим количеством картин деления клеток опухоли. Низкодифференцированные опухоли являются прогностически менее благоприятными из-за высокого метастатического потенциала. Помимо этого, с помощью микроскопического анализа</w:t>
      </w:r>
      <w:r w:rsidR="005478CC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можно определить степень поражения естественных барьеров на пути роста опухолевой ткани, что отражается в показателе степени инвазии. Поражение эпителия, базальной мембраны, мышечной и серозной оболочек, лимфатических и кровеносных сосудов, лимфатических узлов, увеличивает вероятность появления отдаленных метастазов.</w:t>
      </w:r>
    </w:p>
    <w:p w:rsidR="009A54DA" w:rsidRPr="00B30458" w:rsidRDefault="00137981" w:rsidP="00137981">
      <w:pPr>
        <w:pStyle w:val="ae"/>
        <w:widowControl/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451122283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="009A54DA" w:rsidRPr="00B30458">
        <w:rPr>
          <w:rFonts w:ascii="Times New Roman" w:hAnsi="Times New Roman" w:cs="Times New Roman"/>
          <w:b/>
          <w:sz w:val="28"/>
          <w:szCs w:val="28"/>
        </w:rPr>
        <w:t>Микроокружение опухоли</w:t>
      </w:r>
      <w:bookmarkEnd w:id="4"/>
    </w:p>
    <w:p w:rsidR="009A54DA" w:rsidRPr="00B30458" w:rsidRDefault="009A54DA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8CC" w:rsidRDefault="009A54DA" w:rsidP="005478CC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 настоящее время известно, что опухоль является сложной биологи</w:t>
      </w:r>
      <w:r w:rsidR="005478CC">
        <w:rPr>
          <w:rFonts w:ascii="Times New Roman" w:hAnsi="Times New Roman" w:cs="Times New Roman"/>
          <w:sz w:val="28"/>
          <w:szCs w:val="28"/>
        </w:rPr>
        <w:t>ческой системой, тесно связанной</w:t>
      </w:r>
      <w:r w:rsidRPr="00B30458">
        <w:rPr>
          <w:rFonts w:ascii="Times New Roman" w:hAnsi="Times New Roman" w:cs="Times New Roman"/>
          <w:sz w:val="28"/>
          <w:szCs w:val="28"/>
        </w:rPr>
        <w:t xml:space="preserve"> с макроорганизмом. Принцип</w:t>
      </w:r>
      <w:r w:rsidR="004B1D00" w:rsidRPr="00B30458">
        <w:rPr>
          <w:rFonts w:ascii="Times New Roman" w:hAnsi="Times New Roman" w:cs="Times New Roman"/>
          <w:sz w:val="28"/>
          <w:szCs w:val="28"/>
        </w:rPr>
        <w:t>иально важно учитывать, что опу</w:t>
      </w:r>
      <w:r w:rsidRPr="00B30458">
        <w:rPr>
          <w:rFonts w:ascii="Times New Roman" w:hAnsi="Times New Roman" w:cs="Times New Roman"/>
          <w:sz w:val="28"/>
          <w:szCs w:val="28"/>
        </w:rPr>
        <w:t>холевые клетки окружены различными по своей природе компонентами, которые и формируют микроокружение опухолевых клеток. К таким факторам можно отнести различные клетки и структуры, простые химические вещества и сложные макромолекулы.</w:t>
      </w:r>
      <w:r w:rsidR="004B1D00" w:rsidRPr="00B30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8CC" w:rsidRDefault="004B48D3" w:rsidP="005478CC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Структурно и функционально важными элементами микроокружения опухоли являются фибробласты, миофибробласты, нейроэндокринные клетки, адипоциты, иммунные и воспалительные клетки, </w:t>
      </w:r>
      <w:r w:rsidR="00B80477" w:rsidRPr="00B30458">
        <w:rPr>
          <w:rFonts w:ascii="Times New Roman" w:hAnsi="Times New Roman" w:cs="Times New Roman"/>
          <w:sz w:val="28"/>
          <w:szCs w:val="28"/>
        </w:rPr>
        <w:t xml:space="preserve">клетки, формирующие </w:t>
      </w:r>
      <w:r w:rsidRPr="00B30458">
        <w:rPr>
          <w:rFonts w:ascii="Times New Roman" w:hAnsi="Times New Roman" w:cs="Times New Roman"/>
          <w:sz w:val="28"/>
          <w:szCs w:val="28"/>
        </w:rPr>
        <w:t>кровеносные и лимфатические сосудистые сет</w:t>
      </w:r>
      <w:r w:rsidR="009A54DA" w:rsidRPr="00B30458">
        <w:rPr>
          <w:rFonts w:ascii="Times New Roman" w:hAnsi="Times New Roman" w:cs="Times New Roman"/>
          <w:sz w:val="28"/>
          <w:szCs w:val="28"/>
        </w:rPr>
        <w:t xml:space="preserve">и, а также внеклеточный матрикс. </w:t>
      </w:r>
      <w:r w:rsidRPr="00B30458">
        <w:rPr>
          <w:rFonts w:ascii="Times New Roman" w:hAnsi="Times New Roman" w:cs="Times New Roman"/>
          <w:sz w:val="28"/>
          <w:szCs w:val="28"/>
        </w:rPr>
        <w:t xml:space="preserve">Неизмененная строма является одним из самых важных факторов в поддержании физиологического гомеостаза нормальной ткани, и недавние исследования укрепили концепцию, что некоторые стромальные компоненты обладают </w:t>
      </w:r>
      <w:r w:rsidR="00AF4C30">
        <w:rPr>
          <w:rFonts w:ascii="Times New Roman" w:hAnsi="Times New Roman" w:cs="Times New Roman"/>
          <w:sz w:val="28"/>
          <w:szCs w:val="28"/>
        </w:rPr>
        <w:t>противоопухолевой активностью [40,47</w:t>
      </w:r>
      <w:r w:rsidRPr="00B30458">
        <w:rPr>
          <w:rFonts w:ascii="Times New Roman" w:hAnsi="Times New Roman" w:cs="Times New Roman"/>
          <w:sz w:val="28"/>
          <w:szCs w:val="28"/>
        </w:rPr>
        <w:t xml:space="preserve">]. Способность стромы подавлять рост </w:t>
      </w:r>
      <w:r w:rsidR="009A54DA" w:rsidRPr="00B30458">
        <w:rPr>
          <w:rFonts w:ascii="Times New Roman" w:hAnsi="Times New Roman" w:cs="Times New Roman"/>
          <w:sz w:val="28"/>
          <w:szCs w:val="28"/>
        </w:rPr>
        <w:t>опухоли является эволюционно сф</w:t>
      </w:r>
      <w:r w:rsidR="00B80477" w:rsidRPr="00B30458">
        <w:rPr>
          <w:rFonts w:ascii="Times New Roman" w:hAnsi="Times New Roman" w:cs="Times New Roman"/>
          <w:sz w:val="28"/>
          <w:szCs w:val="28"/>
        </w:rPr>
        <w:t>ормированным механизмом. Однако</w:t>
      </w:r>
      <w:r w:rsidRPr="00B30458">
        <w:rPr>
          <w:rFonts w:ascii="Times New Roman" w:hAnsi="Times New Roman" w:cs="Times New Roman"/>
          <w:sz w:val="28"/>
          <w:szCs w:val="28"/>
        </w:rPr>
        <w:t xml:space="preserve"> когда строма подвергается воздействию различных стимулов со стороны опухолевых клеток, гомеостаз изменяется, и строма может способствовать прогрессированию заболевания. В таких условиях стромальные клетки </w:t>
      </w:r>
      <w:r w:rsidR="00B80477" w:rsidRPr="00B30458">
        <w:rPr>
          <w:rFonts w:ascii="Times New Roman" w:hAnsi="Times New Roman" w:cs="Times New Roman"/>
          <w:sz w:val="28"/>
          <w:szCs w:val="28"/>
        </w:rPr>
        <w:t xml:space="preserve">становятся </w:t>
      </w:r>
      <w:r w:rsidRPr="00B30458">
        <w:rPr>
          <w:rFonts w:ascii="Times New Roman" w:hAnsi="Times New Roman" w:cs="Times New Roman"/>
          <w:sz w:val="28"/>
          <w:szCs w:val="28"/>
        </w:rPr>
        <w:t>опухолевыми и начинают синтезировать широкий спектр цитокинов, хемокинов, факторов роста и протеиназ, что значител</w:t>
      </w:r>
      <w:r w:rsidR="004B1D00" w:rsidRPr="00B30458">
        <w:rPr>
          <w:rFonts w:ascii="Times New Roman" w:hAnsi="Times New Roman" w:cs="Times New Roman"/>
          <w:sz w:val="28"/>
          <w:szCs w:val="28"/>
        </w:rPr>
        <w:t>ь</w:t>
      </w:r>
      <w:r w:rsidR="00BB64C0">
        <w:rPr>
          <w:rFonts w:ascii="Times New Roman" w:hAnsi="Times New Roman" w:cs="Times New Roman"/>
          <w:sz w:val="28"/>
          <w:szCs w:val="28"/>
        </w:rPr>
        <w:t>но ускоряет развитие болезни [26</w:t>
      </w:r>
      <w:r w:rsidR="005478CC">
        <w:rPr>
          <w:rFonts w:ascii="Times New Roman" w:hAnsi="Times New Roman" w:cs="Times New Roman"/>
          <w:sz w:val="28"/>
          <w:szCs w:val="28"/>
        </w:rPr>
        <w:t>].</w:t>
      </w:r>
    </w:p>
    <w:p w:rsidR="00C12D2D" w:rsidRPr="00B30458" w:rsidRDefault="004B48D3" w:rsidP="005478CC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Микроокружение солидных опухолей характеризуется не только наличием опухоль-ассоциированных фибробластов и миофибробластов, но и ремоделированием внеклеточного матрикса, изменениями обмена веществ, гипер</w:t>
      </w:r>
      <w:r w:rsidR="004B1D00" w:rsidRPr="00B30458">
        <w:rPr>
          <w:rFonts w:ascii="Times New Roman" w:hAnsi="Times New Roman" w:cs="Times New Roman"/>
          <w:sz w:val="28"/>
          <w:szCs w:val="28"/>
        </w:rPr>
        <w:t>акт</w:t>
      </w:r>
      <w:r w:rsidR="00BB64C0">
        <w:rPr>
          <w:rFonts w:ascii="Times New Roman" w:hAnsi="Times New Roman" w:cs="Times New Roman"/>
          <w:sz w:val="28"/>
          <w:szCs w:val="28"/>
        </w:rPr>
        <w:t>ивированной транскрипцией [54, 50, 16</w:t>
      </w:r>
      <w:r w:rsidRPr="00B30458">
        <w:rPr>
          <w:rFonts w:ascii="Times New Roman" w:hAnsi="Times New Roman" w:cs="Times New Roman"/>
          <w:sz w:val="28"/>
          <w:szCs w:val="28"/>
        </w:rPr>
        <w:t xml:space="preserve">]. Помимо этого, строма опухоли предотвращает эффективную доставку </w:t>
      </w:r>
      <w:r w:rsidRPr="00B30458">
        <w:rPr>
          <w:rFonts w:ascii="Times New Roman" w:hAnsi="Times New Roman" w:cs="Times New Roman"/>
          <w:sz w:val="28"/>
          <w:szCs w:val="28"/>
        </w:rPr>
        <w:lastRenderedPageBreak/>
        <w:t>противоопухолевых агентов в опухолевые очаги и формирует для них благоприятную среду.</w:t>
      </w:r>
    </w:p>
    <w:p w:rsidR="00C12D2D" w:rsidRPr="00B30458" w:rsidRDefault="00C12D2D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665" w:rsidRDefault="008C2665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665">
        <w:rPr>
          <w:rFonts w:ascii="Times New Roman" w:hAnsi="Times New Roman" w:cs="Times New Roman"/>
          <w:b/>
          <w:sz w:val="28"/>
          <w:szCs w:val="28"/>
        </w:rPr>
        <w:t>Рис. 1. Схема микроокружения  опухоли</w:t>
      </w:r>
      <w:r w:rsidR="00AA0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04B5">
        <w:rPr>
          <w:rFonts w:ascii="Times New Roman" w:hAnsi="Times New Roman" w:cs="Times New Roman"/>
          <w:b/>
          <w:sz w:val="28"/>
          <w:szCs w:val="28"/>
          <w:lang w:val="en-US"/>
        </w:rPr>
        <w:t xml:space="preserve">[54] </w:t>
      </w:r>
      <w:r w:rsidRPr="008C2665">
        <w:rPr>
          <w:rFonts w:ascii="Times New Roman" w:hAnsi="Times New Roman" w:cs="Times New Roman"/>
          <w:b/>
          <w:sz w:val="28"/>
          <w:szCs w:val="28"/>
        </w:rPr>
        <w:t>.</w:t>
      </w:r>
    </w:p>
    <w:p w:rsidR="005478CC" w:rsidRDefault="005478CC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2D2D" w:rsidRPr="008C2665" w:rsidRDefault="009A54DA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b/>
          <w:bCs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470675" cy="4125686"/>
            <wp:effectExtent l="19050" t="0" r="6075" b="0"/>
            <wp:docPr id="1" name="Рисунок 1" descr="http://www.nature.com/nature/journal/v501/n7467/images/nature12626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ture.com/nature/journal/v501/n7467/images/nature12626-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86" cy="413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2D" w:rsidRPr="00B30458" w:rsidRDefault="00C12D2D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4C54" w:rsidRDefault="004C4C54" w:rsidP="00B30458">
      <w:pPr>
        <w:widowControl/>
        <w:spacing w:line="360" w:lineRule="auto"/>
        <w:jc w:val="both"/>
        <w:rPr>
          <w:rFonts w:ascii="Times New Roman" w:eastAsia="NSimSun" w:hAnsi="Times New Roman" w:cs="Times New Roman"/>
          <w:b/>
          <w:color w:val="212121"/>
          <w:sz w:val="28"/>
          <w:szCs w:val="28"/>
        </w:rPr>
      </w:pPr>
      <w:bookmarkStart w:id="5" w:name="tw-target-text16"/>
      <w:bookmarkEnd w:id="5"/>
    </w:p>
    <w:p w:rsidR="00E567C7" w:rsidRPr="00B30458" w:rsidRDefault="00E567C7" w:rsidP="00B30458">
      <w:pPr>
        <w:widowControl/>
        <w:spacing w:line="360" w:lineRule="auto"/>
        <w:jc w:val="both"/>
        <w:rPr>
          <w:rFonts w:ascii="Times New Roman" w:eastAsia="NSimSun" w:hAnsi="Times New Roman" w:cs="Times New Roman"/>
          <w:b/>
          <w:bCs/>
          <w:color w:val="212121"/>
          <w:sz w:val="28"/>
          <w:szCs w:val="28"/>
        </w:rPr>
      </w:pPr>
    </w:p>
    <w:p w:rsidR="00C12D2D" w:rsidRPr="00B30458" w:rsidRDefault="00753752" w:rsidP="00137981">
      <w:pPr>
        <w:pStyle w:val="ae"/>
        <w:widowControl/>
        <w:numPr>
          <w:ilvl w:val="2"/>
          <w:numId w:val="20"/>
        </w:numPr>
        <w:spacing w:line="360" w:lineRule="auto"/>
        <w:jc w:val="both"/>
        <w:outlineLvl w:val="2"/>
        <w:rPr>
          <w:rFonts w:ascii="Times New Roman" w:hAnsi="Times New Roman" w:cs="Times New Roman"/>
          <w:b/>
          <w:bCs/>
          <w:color w:val="212121"/>
          <w:sz w:val="28"/>
          <w:szCs w:val="28"/>
        </w:rPr>
      </w:pPr>
      <w:bookmarkStart w:id="6" w:name="_Toc451122284"/>
      <w:r>
        <w:rPr>
          <w:rFonts w:ascii="Times New Roman" w:hAnsi="Times New Roman" w:cs="Times New Roman"/>
          <w:b/>
          <w:bCs/>
          <w:color w:val="212121"/>
          <w:sz w:val="28"/>
          <w:szCs w:val="28"/>
        </w:rPr>
        <w:t>Н</w:t>
      </w:r>
      <w:r w:rsidR="004B48D3" w:rsidRPr="00B30458">
        <w:rPr>
          <w:rFonts w:ascii="Times New Roman" w:hAnsi="Times New Roman" w:cs="Times New Roman"/>
          <w:b/>
          <w:bCs/>
          <w:color w:val="212121"/>
          <w:sz w:val="28"/>
          <w:szCs w:val="28"/>
        </w:rPr>
        <w:t>ейтрофилы</w:t>
      </w:r>
      <w:r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 в опухолевом микроокружении</w:t>
      </w:r>
      <w:bookmarkEnd w:id="6"/>
    </w:p>
    <w:p w:rsidR="00683BCD" w:rsidRPr="00B30458" w:rsidRDefault="00683BCD" w:rsidP="00B30458">
      <w:pPr>
        <w:pStyle w:val="ae"/>
        <w:widowControl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</w:p>
    <w:p w:rsidR="005478CC" w:rsidRDefault="004B48D3" w:rsidP="005478CC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Нейтрофилы являются преобладающим типом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лейкоцитов в организме человека, составляя 50-70% 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циркулирующих в крови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лейкоцитов.</w:t>
      </w:r>
      <w:r w:rsidRPr="00B30458"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роль нейтрофилов как компонентов микроокружения опухоли окончательно не определена. Интерес к роли нейтрофилов в онкологических заболеваниях появился в конце 80-х - начале 90-х </w:t>
      </w:r>
      <w:r w:rsidRPr="00B30458">
        <w:rPr>
          <w:rFonts w:ascii="Times New Roman" w:hAnsi="Times New Roman" w:cs="Times New Roman"/>
          <w:color w:val="212121"/>
          <w:sz w:val="28"/>
          <w:szCs w:val="28"/>
          <w:lang w:val="en-US"/>
        </w:rPr>
        <w:t>XX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века [16</w:t>
      </w:r>
      <w:r w:rsidR="00683BCD" w:rsidRPr="00B30458">
        <w:rPr>
          <w:rFonts w:ascii="Times New Roman" w:hAnsi="Times New Roman" w:cs="Times New Roman"/>
          <w:color w:val="212121"/>
          <w:sz w:val="28"/>
          <w:szCs w:val="28"/>
        </w:rPr>
        <w:t>]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. Тем не менее, в связи с увеличением интереса к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биологии Т-лимфоцитов, а также потому, что большого прогресса в исследовании данной темы тогда достигнуто не было, произошло постепенное снижение интереса к нейтрофилам. Количество публикаций вновь возросло в последние годы. </w:t>
      </w:r>
      <w:bookmarkStart w:id="7" w:name="tw-target-text219"/>
      <w:bookmarkEnd w:id="7"/>
    </w:p>
    <w:p w:rsidR="00C12D2D" w:rsidRPr="00B30458" w:rsidRDefault="004B48D3" w:rsidP="005478CC">
      <w:pPr>
        <w:pStyle w:val="ae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>Нейтрофилы выполняют хорошо изученны</w:t>
      </w:r>
      <w:r w:rsidR="005C6009">
        <w:rPr>
          <w:rFonts w:ascii="Times New Roman" w:hAnsi="Times New Roman" w:cs="Times New Roman"/>
          <w:color w:val="212121"/>
          <w:sz w:val="28"/>
          <w:szCs w:val="28"/>
        </w:rPr>
        <w:t>е функции в  местном иммунитете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, покидая сосудистое русло и проникая в ткани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[22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]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. Там они фагоцитируют имеющиеся микроорганизмы, или убивают их, высвобождая ряд цитокинов (наприм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ер, фактор некроза опухоли (ФНО) -α , интерлейкина (IL) -1 , интерфероны (ИФН) и т.д.) и дефензины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, наряду с токсичными веществам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и и активными формами кислорода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. Несмотря на то, что нейтрофилы традиционно рассматриваются в контекс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те их антибактериальных функций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, в последние го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ды становится ясно, что опухоль-ассоциированные нейтрофилы (ОАН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) и их предшественни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ки миелоидного ряда в селезенке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, костном мозге и крови играют важную роль в биологии рака в качестве иммуносупрессивных клеток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[37</w:t>
      </w:r>
      <w:r w:rsidR="00214BF5"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]. </w:t>
      </w:r>
      <w:r w:rsidRPr="00B30458">
        <w:rPr>
          <w:rStyle w:val="10"/>
          <w:rFonts w:ascii="Times New Roman" w:hAnsi="Times New Roman" w:cs="Times New Roman"/>
          <w:i w:val="0"/>
          <w:color w:val="000000"/>
          <w:sz w:val="28"/>
          <w:szCs w:val="28"/>
        </w:rPr>
        <w:t>Данное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свойство было описано в последние годы для так называемых 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 xml:space="preserve">«миелоидных клеток-супрессоров»,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в больших количествах найденных в селезенке животных с опухолями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[58, 36, </w:t>
      </w:r>
      <w:r w:rsidR="00214BF5"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18] 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и для опухоль-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ассоциированных макрофагов,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из которых развивается особый опухоль-поддерживающий фенотип М2 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[32, 59</w:t>
      </w:r>
      <w:r w:rsidR="00214BF5" w:rsidRPr="00B30458">
        <w:rPr>
          <w:rFonts w:ascii="Times New Roman" w:hAnsi="Times New Roman" w:cs="Times New Roman"/>
          <w:color w:val="212121"/>
          <w:sz w:val="28"/>
          <w:szCs w:val="28"/>
        </w:rPr>
        <w:t>]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.</w:t>
      </w:r>
    </w:p>
    <w:p w:rsidR="00753752" w:rsidRDefault="00B80477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Недавно было выдвинуто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предположение, что и среди нейтрофилов существует опухоль-поддерживающий фенотип, который по аналогии с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макрофагами был назван "N2" [</w:t>
      </w:r>
      <w:r w:rsidR="00214BF5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1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>7</w:t>
      </w:r>
      <w:r w:rsidR="00214BF5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]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. Полный спектр механизмов, осуществляемых данной популяцией нейтрофилов, еще не выяснен, однако было выявлено, что они влияют на ангиогенез, иммунный надзор, а также способны высвобождать хемокины, цитокин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>ы и активные формы кислорода [20</w:t>
      </w:r>
      <w:r w:rsidR="00214BF5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]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. Также было отмечено, что при определенных условиях (например, после блокирования действия трансформирующего фактора роста-бета (TGF-бета) блокада), опухоль-ассоциированные нейтрофилы 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lastRenderedPageBreak/>
        <w:t xml:space="preserve">могут иметь и "N1" - фенотип, обладающий провоспалительными и антитуморогенными свойствами. </w:t>
      </w:r>
    </w:p>
    <w:p w:rsidR="00753752" w:rsidRDefault="004B48D3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>Предположение о том, что инфильтрация опухолевой ткани нейтрофилами может быть связана с неблагоприятным прогнозом, было подтверждено результатами нескольких эпидемиологических исследований для ряда опухолей. Это было показано для метастатической и локализова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н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ной светлоклеточной карциномы [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10, 25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], плоск</w:t>
      </w:r>
      <w:r w:rsidR="006F2B76" w:rsidRPr="00B30458">
        <w:rPr>
          <w:rFonts w:ascii="Times New Roman" w:hAnsi="Times New Roman" w:cs="Times New Roman"/>
          <w:color w:val="212121"/>
          <w:sz w:val="28"/>
          <w:szCs w:val="28"/>
        </w:rPr>
        <w:t>оклеточного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рака головы и шеи [53</w:t>
      </w:r>
      <w:r w:rsidR="006F2B76" w:rsidRPr="00B30458">
        <w:rPr>
          <w:rFonts w:ascii="Times New Roman" w:hAnsi="Times New Roman" w:cs="Times New Roman"/>
          <w:color w:val="212121"/>
          <w:sz w:val="28"/>
          <w:szCs w:val="28"/>
        </w:rPr>
        <w:t>], бронх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оальвеолярного рака [57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],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гепатоцеллюлярной карциномы [55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], и пл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оскоклеточного рака пищевода [14]. Для глиом [46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 и агрессивных типов о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пухолей поджелудочной железы [7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]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степень инфил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ьтрации опухоли нейтрофилами ко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ре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л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лирует со степенью злокачественности. В то же время, для некоторых опухолей высокая степень инфильтрации связывается с благоприятным прогнозом, что был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о показано для рака желудка [2</w:t>
      </w:r>
      <w:r w:rsidR="006F2B76" w:rsidRPr="00753752">
        <w:rPr>
          <w:rFonts w:ascii="Times New Roman" w:hAnsi="Times New Roman" w:cs="Times New Roman"/>
          <w:color w:val="212121"/>
          <w:sz w:val="28"/>
          <w:szCs w:val="28"/>
        </w:rPr>
        <w:t>1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</w:t>
      </w:r>
    </w:p>
    <w:p w:rsidR="00753752" w:rsidRDefault="004B48D3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>Механизмы, при помощи которых нейтрофилы осуществляют свои функции в прогрессии опухолей, в настоящее время определены лишь частично. Такими механизмами могут быть синтез цитокинов, ангиогенных факторов.  Например, клетки опухоли эпителиального происхождения, непосредственно контактирующие с нейтрофилами,  могут поглощать эластазу нейтрофилов и гидролизировать субстрат инсулинового рецептора-1 (IRS-1), в результате чего происходит повышение PDGFR-сигналинга и избыточная пр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олиферация опухолевых клеток [44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 Кроме того, у пациентов с  бронхоальвеолярным раком, фактор роста гепатоцитов (HGF) высвобождается нейтрофилами вследствие стимуляции их опухоль-ассоциированными цитокинами (TNF-a, GM-CSF) и HGF стимулируе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т миграцию опухолевых клеток [45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]. При раке молочной железы нейтрофилы подвергаются воздействию синтезированным опухолевыми клетками </w:t>
      </w:r>
      <w:r w:rsidRPr="00B30458">
        <w:rPr>
          <w:rFonts w:ascii="Times New Roman" w:hAnsi="Times New Roman" w:cs="Times New Roman"/>
          <w:color w:val="212121"/>
          <w:sz w:val="28"/>
          <w:szCs w:val="28"/>
          <w:lang w:val="en-US"/>
        </w:rPr>
        <w:t>GM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30458">
        <w:rPr>
          <w:rFonts w:ascii="Times New Roman" w:hAnsi="Times New Roman" w:cs="Times New Roman"/>
          <w:color w:val="212121"/>
          <w:sz w:val="28"/>
          <w:szCs w:val="28"/>
          <w:lang w:val="en-US"/>
        </w:rPr>
        <w:t>CSF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, вследствие чего они высвобождают онкостатин М. Онкостатин М, в свою очередь, вызывают гиперактивацию каскада VEGF в клетках рака молочной железы и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lastRenderedPageBreak/>
        <w:t>способствует увеличению их инвазивности и метастатическог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о потенциала [45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 В одном из недавних исследований в экспериментальной модели опухоли Mishalian и соавторы показали, что нейтрофилы, ассоциированные с некоторыми опухолями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,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продуцируют CCL17, обеспечивающий рекрутинг регуляторных Т-клеток (Tregs) в опухоль. Рекрутинг Tregs ингибируется анти-CCL17 моноклональными антителами или истощением пула нейтрофилов с помощью анти-Ly6G моноклональных антител, что снижает миграцию Tregs в опухоль. Таким образом, прослеживается четкая связь между TAN и регу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ляторными Т-клетками (Tregs) [45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]. </w:t>
      </w:r>
    </w:p>
    <w:p w:rsidR="00753752" w:rsidRDefault="004B48D3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>Считается, что ОАН играют одну из ключевых ролей в процессе неоангиогенеза.  В генетической модели ра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ка поджелудочной железы у мышей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истощение пула нейтрофилов ингибиру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ет VEGF-зависимый ангиогенез [39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 Степень инфильтрации опухоли нейтрофилами значительно коррелирует со степенью злокачественнойти глиом и ассоциирована с устойчивостью к анти-VEGF терапии в глиобластомах. В этой модели эффект обусловлен нейтрофил-опосредованной сверхэкспрессией S100A4 в опухолевых клетках, так как подавление S100A4 ингибирует развитие опухоли независимо от инфильтр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ации нейтрофилами опухоли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[30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]. В недавних исследованиях было высказано предположение, что нейтрофилы обуславливают прогрессирование и метастазирование опухолей посредством нейтрофильных 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внеклеточных ловушек (НВЛ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), что особенно актуально в контексте системных инфекций, которые нередко возник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ают у онкологических больных [8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 В данном исследовании показано, что циркулирующие опухолевые клетки попадают в данные «ловушки» под воздействием различных условий. В модели инфицированных у мышей с опухолями легк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ого, было показано осаждение НВЛ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в мелкокалиберных сосудах с последующим захватом циркулирующих опухолевых кле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ток в «ловушку». Образование НВЛ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было ассоциировано с повышенным риском метастазир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 xml:space="preserve">ования в печень. 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lastRenderedPageBreak/>
        <w:t>Инактивация НВЛ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ДНК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-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азой или ингибитором эластазы нейтрофилов приводила к уменьшению данных явлений. Эластаза нейтрофилов играет важную роль в канцерогенезе, непосредственно индуцируя пр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олиферацию опухолевых клеток [23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 Интересно, что возможно также модифицировать опухоль-супрессорну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ю роль некоторых компонентов микроокружения опухоли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, как это было показано для EMILIN1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,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который расщепляется эластазой нейтрофилов до неактивных фрагментов. Следствием этого является снижение его ан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типролиферативной активности [42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</w:t>
      </w:r>
    </w:p>
    <w:p w:rsidR="00753752" w:rsidRDefault="00753752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>Как это было описано для О</w:t>
      </w:r>
      <w:r w:rsidR="004B48D3" w:rsidRPr="00B30458">
        <w:rPr>
          <w:rFonts w:ascii="Times New Roman" w:hAnsi="Times New Roman" w:cs="Times New Roman"/>
          <w:color w:val="212121"/>
          <w:sz w:val="28"/>
          <w:szCs w:val="28"/>
        </w:rPr>
        <w:t>AM, нейтрофилы также могут демонстриров</w:t>
      </w:r>
      <w:r w:rsidR="007C31E5" w:rsidRPr="00B30458">
        <w:rPr>
          <w:rFonts w:ascii="Times New Roman" w:hAnsi="Times New Roman" w:cs="Times New Roman"/>
          <w:color w:val="212121"/>
          <w:sz w:val="28"/>
          <w:szCs w:val="28"/>
        </w:rPr>
        <w:t>а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ть удивительную пластичность [35</w:t>
      </w:r>
      <w:r w:rsidR="004B48D3" w:rsidRPr="00B30458">
        <w:rPr>
          <w:rFonts w:ascii="Times New Roman" w:hAnsi="Times New Roman" w:cs="Times New Roman"/>
          <w:color w:val="212121"/>
          <w:sz w:val="28"/>
          <w:szCs w:val="28"/>
        </w:rPr>
        <w:t>]. В моделях рака легкого и мезотелиомы плевры степень инфильтрации опухоли нейтрофилами, цитотоксичность, и их иммуностимулирующая активность увеличились вследствие блокады TGF-бета. Интересно, что в этих экс</w:t>
      </w:r>
      <w:r>
        <w:rPr>
          <w:rFonts w:ascii="Times New Roman" w:hAnsi="Times New Roman" w:cs="Times New Roman"/>
          <w:color w:val="212121"/>
          <w:sz w:val="28"/>
          <w:szCs w:val="28"/>
        </w:rPr>
        <w:t>периментальных животных моделях</w:t>
      </w:r>
      <w:r w:rsidR="004B48D3"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 активность CD8+ Т-к</w:t>
      </w:r>
      <w:r>
        <w:rPr>
          <w:rFonts w:ascii="Times New Roman" w:hAnsi="Times New Roman" w:cs="Times New Roman"/>
          <w:color w:val="212121"/>
          <w:sz w:val="28"/>
          <w:szCs w:val="28"/>
        </w:rPr>
        <w:t>леток возросла после истощения ОAН</w:t>
      </w:r>
      <w:r w:rsidR="004B48D3" w:rsidRPr="00B30458">
        <w:rPr>
          <w:rFonts w:ascii="Times New Roman" w:hAnsi="Times New Roman" w:cs="Times New Roman"/>
          <w:color w:val="212121"/>
          <w:sz w:val="28"/>
          <w:szCs w:val="28"/>
        </w:rPr>
        <w:t>, тогда как после TGF-бета блокады, истощение пула ОАН сниж</w:t>
      </w:r>
      <w:r w:rsidR="007C31E5" w:rsidRPr="00B30458">
        <w:rPr>
          <w:rFonts w:ascii="Times New Roman" w:hAnsi="Times New Roman" w:cs="Times New Roman"/>
          <w:color w:val="212121"/>
          <w:sz w:val="28"/>
          <w:szCs w:val="28"/>
        </w:rPr>
        <w:t>а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ет активность CD8 +Т-клеток  [15</w:t>
      </w:r>
      <w:r w:rsidR="004B48D3" w:rsidRPr="00B30458">
        <w:rPr>
          <w:rFonts w:ascii="Times New Roman" w:hAnsi="Times New Roman" w:cs="Times New Roman"/>
          <w:color w:val="212121"/>
          <w:sz w:val="28"/>
          <w:szCs w:val="28"/>
        </w:rPr>
        <w:t>].</w:t>
      </w:r>
      <w:bookmarkStart w:id="8" w:name="tw-target-text18"/>
      <w:bookmarkEnd w:id="8"/>
    </w:p>
    <w:p w:rsidR="00753752" w:rsidRDefault="004B48D3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>Таким образом, было п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редложено, что ОАН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, как и макрофаги, могут быть преобразованы в N1 и N2 фенотипы. </w:t>
      </w:r>
      <w:r w:rsidR="00753752">
        <w:rPr>
          <w:rFonts w:ascii="Times New Roman" w:hAnsi="Times New Roman" w:cs="Times New Roman"/>
          <w:color w:val="212121"/>
          <w:sz w:val="28"/>
          <w:szCs w:val="28"/>
        </w:rPr>
        <w:t>ОАН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, под воздействием TGF-бета приобретают N2 туморогенный фенотип. В противоположность этому, ингибирование TGF-β индуцируе</w:t>
      </w:r>
      <w:r w:rsidR="007C31E5" w:rsidRPr="00B30458">
        <w:rPr>
          <w:rFonts w:ascii="Times New Roman" w:hAnsi="Times New Roman" w:cs="Times New Roman"/>
          <w:color w:val="212121"/>
          <w:sz w:val="28"/>
          <w:szCs w:val="28"/>
        </w:rPr>
        <w:t>т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антитуморогенный N1 фенотип [35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].  Было показано, TGF-β — сигналинг в миелоидных клетках необходим </w:t>
      </w:r>
      <w:r w:rsidR="007C31E5" w:rsidRPr="00B30458">
        <w:rPr>
          <w:rFonts w:ascii="Times New Roman" w:hAnsi="Times New Roman" w:cs="Times New Roman"/>
          <w:color w:val="212121"/>
          <w:sz w:val="28"/>
          <w:szCs w:val="28"/>
        </w:rPr>
        <w:t>для мет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астазирования опухоли [41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]. В данном исследовании был выявлен специфический для миелоидных клеток TGF-бета — сигналинг, являющийся одним из ключевых факторов метастазирования опухоли. В то же время, TGF-бета сигналинг в эпителиальных клетках, фибробластах и Т-клетках, играет опухоль-супрессивную роль, из чего можно сделать вывод о необходимости клеточно-специфичного подхода в выборе мишеней для лечения опухолей.</w:t>
      </w:r>
    </w:p>
    <w:p w:rsidR="00E567C7" w:rsidRPr="00AA04B5" w:rsidRDefault="004B48D3" w:rsidP="00AA04B5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  <w:lang w:val="en-US"/>
        </w:rPr>
      </w:pPr>
      <w:r w:rsidRPr="00B30458">
        <w:rPr>
          <w:rFonts w:ascii="Times New Roman" w:hAnsi="Times New Roman" w:cs="Times New Roman"/>
          <w:color w:val="212121"/>
          <w:sz w:val="28"/>
          <w:szCs w:val="28"/>
        </w:rPr>
        <w:t xml:space="preserve">Необходимо помнить, что процессы поляризации нейтрофилов в различные фенотипы у человека имеют значительные отличия от таковых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lastRenderedPageBreak/>
        <w:t>у мышей. Таким образом, особенности  и свойства N1-N2 фенотипов  в организме человека должны быть тщательно исследованы.</w:t>
      </w:r>
    </w:p>
    <w:p w:rsidR="00E567C7" w:rsidRDefault="00E567C7" w:rsidP="00B30458">
      <w:pPr>
        <w:pStyle w:val="a7"/>
        <w:widowControl/>
        <w:spacing w:after="0" w:line="360" w:lineRule="auto"/>
        <w:jc w:val="both"/>
        <w:rPr>
          <w:rFonts w:ascii="Times New Roman" w:eastAsia="NSimSun" w:hAnsi="Times New Roman" w:cs="Times New Roman"/>
          <w:b/>
          <w:sz w:val="28"/>
          <w:szCs w:val="28"/>
        </w:rPr>
      </w:pPr>
    </w:p>
    <w:p w:rsidR="007C31E5" w:rsidRPr="00B30458" w:rsidRDefault="00137981" w:rsidP="00B30458">
      <w:pPr>
        <w:pStyle w:val="a7"/>
        <w:widowControl/>
        <w:spacing w:after="0" w:line="360" w:lineRule="auto"/>
        <w:jc w:val="both"/>
        <w:rPr>
          <w:rFonts w:ascii="Times New Roman" w:eastAsia="NSimSun" w:hAnsi="Times New Roman" w:cs="Times New Roman"/>
          <w:b/>
          <w:sz w:val="28"/>
          <w:szCs w:val="28"/>
        </w:rPr>
      </w:pPr>
      <w:r>
        <w:rPr>
          <w:rFonts w:ascii="Times New Roman" w:eastAsia="NSimSun" w:hAnsi="Times New Roman" w:cs="Times New Roman"/>
          <w:b/>
          <w:sz w:val="28"/>
          <w:szCs w:val="28"/>
        </w:rPr>
        <w:t>1.1.2.</w:t>
      </w:r>
      <w:r w:rsidR="007C31E5" w:rsidRPr="00B30458">
        <w:rPr>
          <w:rFonts w:ascii="Times New Roman" w:eastAsia="NSimSun" w:hAnsi="Times New Roman" w:cs="Times New Roman"/>
          <w:b/>
          <w:sz w:val="28"/>
          <w:szCs w:val="28"/>
        </w:rPr>
        <w:t xml:space="preserve"> Эозинофилы в опухолевом </w:t>
      </w:r>
      <w:r w:rsidR="009E547F" w:rsidRPr="00B30458">
        <w:rPr>
          <w:rFonts w:ascii="Times New Roman" w:eastAsia="NSimSun" w:hAnsi="Times New Roman" w:cs="Times New Roman"/>
          <w:b/>
          <w:sz w:val="28"/>
          <w:szCs w:val="28"/>
        </w:rPr>
        <w:t>микроокружении</w:t>
      </w:r>
    </w:p>
    <w:p w:rsidR="009E547F" w:rsidRPr="00AA04B5" w:rsidRDefault="009E547F" w:rsidP="00B30458">
      <w:pPr>
        <w:pStyle w:val="a7"/>
        <w:widowControl/>
        <w:spacing w:after="0" w:line="360" w:lineRule="auto"/>
        <w:jc w:val="both"/>
        <w:rPr>
          <w:rFonts w:ascii="Times New Roman" w:eastAsia="NSimSun" w:hAnsi="Times New Roman" w:cs="Times New Roman"/>
          <w:sz w:val="28"/>
          <w:szCs w:val="28"/>
          <w:lang w:val="en-US"/>
        </w:rPr>
      </w:pPr>
    </w:p>
    <w:p w:rsidR="00753752" w:rsidRDefault="004B48D3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bCs/>
          <w:sz w:val="28"/>
          <w:szCs w:val="28"/>
        </w:rPr>
        <w:t>Эозинофилы</w:t>
      </w:r>
      <w:r w:rsidRPr="00B304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являются многофункциональными лейкоцитами, которые участвуют в патогенезе многих воспалительных процессов, включая паразитарные инфекции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и аллергические заболевания [48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]. Увеличение числа эозинофилов ассоциировано с некоторыми онкологическими заболеваниями, включая плоскоклеточный рак полости рта, опухоли желудочно-кишечного тракта, лимфому 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>Ходжкина и рак носоглотки [11, 31, 52</w:t>
      </w:r>
      <w:r w:rsidR="00753752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]. </w:t>
      </w:r>
    </w:p>
    <w:p w:rsidR="00753752" w:rsidRDefault="004B48D3" w:rsidP="00753752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Роль эозинофилов в опухолевом</w:t>
      </w:r>
      <w:r w:rsidR="00753752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микроокружения остается неясной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. Накопление значительного количества эозинофилов в области некроза позволяет предположить, что эозинофилы могут способствовать некрозу и, возможно, обладают п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>ротивоопухолевой активностью [33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]. Кроме того, имеются данные о том, что эозинофилы играют роль в процессе неоангиогенез</w:t>
      </w:r>
      <w:r w:rsidR="00753752">
        <w:rPr>
          <w:rFonts w:ascii="Times New Roman" w:hAnsi="Times New Roman" w:cs="Times New Roman"/>
          <w:bCs/>
          <w:color w:val="212121"/>
          <w:sz w:val="28"/>
          <w:szCs w:val="28"/>
        </w:rPr>
        <w:t>а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: в секреторных гранулах эозинофилов содержится VEGF. Помимо этого, стимулированные ФНО эозинофилы могут высвобождать проангиогенные факторы, такие как оФР</w:t>
      </w:r>
      <w:r w:rsidR="00BB64C0">
        <w:rPr>
          <w:rFonts w:ascii="Times New Roman" w:hAnsi="Times New Roman" w:cs="Times New Roman"/>
          <w:bCs/>
          <w:color w:val="212121"/>
          <w:sz w:val="28"/>
          <w:szCs w:val="28"/>
        </w:rPr>
        <w:t>Ф, IL-6, IL-8, PDGF, и ММП-9 [9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]. Однако данный эффект пока наблюдался только </w:t>
      </w:r>
      <w:r w:rsidRPr="00753752">
        <w:rPr>
          <w:rFonts w:ascii="Times New Roman" w:hAnsi="Times New Roman" w:cs="Times New Roman"/>
          <w:bCs/>
          <w:i/>
          <w:color w:val="212121"/>
          <w:sz w:val="28"/>
          <w:szCs w:val="28"/>
          <w:lang w:val="en-US"/>
        </w:rPr>
        <w:t>in</w:t>
      </w:r>
      <w:r w:rsidRPr="00753752">
        <w:rPr>
          <w:rFonts w:ascii="Times New Roman" w:hAnsi="Times New Roman" w:cs="Times New Roman"/>
          <w:bCs/>
          <w:i/>
          <w:color w:val="212121"/>
          <w:sz w:val="28"/>
          <w:szCs w:val="28"/>
        </w:rPr>
        <w:t xml:space="preserve"> </w:t>
      </w:r>
      <w:r w:rsidRPr="00753752">
        <w:rPr>
          <w:rFonts w:ascii="Times New Roman" w:hAnsi="Times New Roman" w:cs="Times New Roman"/>
          <w:bCs/>
          <w:i/>
          <w:color w:val="212121"/>
          <w:sz w:val="28"/>
          <w:szCs w:val="28"/>
          <w:lang w:val="en-US"/>
        </w:rPr>
        <w:t>vitro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.</w:t>
      </w:r>
    </w:p>
    <w:p w:rsidR="003D5BFD" w:rsidRPr="00AA04B5" w:rsidRDefault="00353E5E" w:rsidP="00AA04B5">
      <w:pPr>
        <w:pStyle w:val="a7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  <w:lang w:val="en-US"/>
        </w:rPr>
      </w:pP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Предполагается, что степень инфильтрированности опухоли эозинофилами может давать важную прогностическую информацию.</w:t>
      </w:r>
      <w:r w:rsidR="00E5623C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Однако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остается неясным, является ли увеличение числа эозинофилов 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воспалительной реакцией или представляют собой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противоопухолевый механизм</w:t>
      </w:r>
      <w:r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.  В настоящее время существует большое количество работ, свидетельствующих, что более высокий уровень инфильтрированности эозинофилами ассоциирован с благоприятным прогнозом.</w:t>
      </w:r>
      <w:r w:rsidR="00BC362E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Оценка перитуморально </w:t>
      </w:r>
      <w:r w:rsidR="009E547F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расположенных </w:t>
      </w:r>
      <w:r w:rsidR="004B48D3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эозинофилов представляет собой перспективный легко </w:t>
      </w:r>
      <w:r w:rsidR="009E547F" w:rsidRPr="00B30458">
        <w:rPr>
          <w:rFonts w:ascii="Times New Roman" w:hAnsi="Times New Roman" w:cs="Times New Roman"/>
          <w:bCs/>
          <w:color w:val="212121"/>
          <w:sz w:val="28"/>
          <w:szCs w:val="28"/>
        </w:rPr>
        <w:t>оцениваемый  патологами параметр.</w:t>
      </w:r>
    </w:p>
    <w:p w:rsidR="003D5BFD" w:rsidRPr="00AA04B5" w:rsidRDefault="003D5BFD" w:rsidP="00B30458">
      <w:pPr>
        <w:pStyle w:val="af3"/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9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Использование индекса пролиферативной активности </w:t>
      </w:r>
      <w:r w:rsidRPr="00137981">
        <w:rPr>
          <w:rFonts w:ascii="Times New Roman" w:hAnsi="Times New Roman" w:cs="Times New Roman"/>
          <w:b/>
          <w:sz w:val="28"/>
          <w:szCs w:val="28"/>
          <w:lang w:val="en-US"/>
        </w:rPr>
        <w:t>Ki</w:t>
      </w:r>
      <w:r w:rsidRPr="00137981">
        <w:rPr>
          <w:rFonts w:ascii="Times New Roman" w:hAnsi="Times New Roman" w:cs="Times New Roman"/>
          <w:b/>
          <w:sz w:val="28"/>
          <w:szCs w:val="28"/>
        </w:rPr>
        <w:t>-67 при прогнозе дальнейшего течения опухолевого процесса</w:t>
      </w:r>
    </w:p>
    <w:p w:rsidR="00AA04B5" w:rsidRPr="00AA04B5" w:rsidRDefault="00AA04B5" w:rsidP="00AA04B5">
      <w:pPr>
        <w:pStyle w:val="af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Default="00753752" w:rsidP="009F114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61CC" w:rsidRPr="00EE39DA">
        <w:rPr>
          <w:rFonts w:ascii="Times New Roman" w:hAnsi="Times New Roman" w:cs="Times New Roman"/>
          <w:sz w:val="28"/>
          <w:szCs w:val="28"/>
        </w:rPr>
        <w:t xml:space="preserve">Одним из наиболее значимых параметров, описывающих рост опухоли, является скорость деления клеток. Логично, что чем чаще происходит процесс деления, тем выше вероятность появления новых мутаций, которые могут сыграть важную роль в появлении регионарных либо отдаленных метастазов. 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Пролиферативная активность клеток опухоли может быть оценена путем определения уровней экспрессии специфических антигенов  клеточного цикла при помощи иммуногистохимии. Одним из наиболее широко используемых маркеров является антиген Ki67, который экспрессируется в ядрах клеток во всех фазах клеточного цикла, за исключением G0</w:t>
      </w:r>
      <w:r w:rsidR="00EE39DA">
        <w:rPr>
          <w:rFonts w:ascii="Times New Roman" w:hAnsi="Times New Roman" w:cs="Times New Roman"/>
          <w:color w:val="212121"/>
          <w:sz w:val="28"/>
          <w:szCs w:val="28"/>
        </w:rPr>
        <w:t xml:space="preserve"> [5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1]. Было показано, что высокие уровни 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  <w:lang w:val="en-US"/>
        </w:rPr>
        <w:t>Ki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-67 ассоциированы с неблагоприятным исходом у пациентов с такими опухолями, как рак молочной железы, лимфомы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и астроцитомы [5, 28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]. </w:t>
      </w:r>
      <w:r w:rsidR="00E567C7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</w:p>
    <w:p w:rsidR="00E567C7" w:rsidRDefault="00E567C7" w:rsidP="009F114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ab/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Тем не менее, для колоректального рака эти данные не столь однозначны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[13, 27, 49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]. В большинстве исследований высокая экспрессия 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  <w:lang w:val="en-US"/>
        </w:rPr>
        <w:t>Ki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>-67 ассоциирована с благоприятным прогнозом у пациентов с КРР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[19, 34, 13, 49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>].</w:t>
      </w:r>
      <w:r>
        <w:rPr>
          <w:rStyle w:val="apple-converted-space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121"/>
          <w:sz w:val="28"/>
          <w:szCs w:val="28"/>
        </w:rPr>
        <w:t>Однако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 р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асхождения 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в данных 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до сих 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>пор существуют и их причины до сих пор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 xml:space="preserve"> остаются неясными [13, 49, 34, 43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].</w:t>
      </w:r>
      <w:r w:rsidR="005C6009" w:rsidRPr="005C6009">
        <w:rPr>
          <w:rStyle w:val="a4"/>
          <w:color w:val="000000"/>
          <w:sz w:val="30"/>
          <w:szCs w:val="30"/>
          <w:shd w:val="clear" w:color="auto" w:fill="FFFFFF"/>
        </w:rPr>
        <w:t xml:space="preserve"> </w:t>
      </w:r>
      <w:r w:rsidR="005C6009">
        <w:rPr>
          <w:rStyle w:val="apple-converted-space"/>
          <w:color w:val="000000"/>
          <w:sz w:val="30"/>
          <w:szCs w:val="30"/>
          <w:shd w:val="clear" w:color="auto" w:fill="FFFFFF"/>
        </w:rPr>
        <w:t>  </w:t>
      </w:r>
    </w:p>
    <w:p w:rsidR="003D5BFD" w:rsidRPr="00EE39DA" w:rsidRDefault="00E567C7" w:rsidP="009F114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</w:rPr>
        <w:tab/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Если </w:t>
      </w:r>
      <w:r w:rsidR="00E81F17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рассмотреть баланс между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>уровнем гибели  клеток и уровнем пролиферационной активности, противоречивые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 результаты между различными исследованиями могут быть результатом различий в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уровне 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апоптоз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>а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 в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 опухолевых тканях, который не оценивался в этих исследованиях одновременно с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  <w:lang w:val="en-US"/>
        </w:rPr>
        <w:t>Ki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>-67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. Майкл-Робинсон и др. показал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>и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, что существует значительна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>я корреляция между апоптическим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 индексом и индексом пролиферации, что указывает на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возможность 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>коо</w:t>
      </w:r>
      <w:r w:rsidR="00BB64C0">
        <w:rPr>
          <w:rFonts w:ascii="Times New Roman" w:hAnsi="Times New Roman" w:cs="Times New Roman"/>
          <w:color w:val="212121"/>
          <w:sz w:val="28"/>
          <w:szCs w:val="28"/>
        </w:rPr>
        <w:t>рдинированного регулирования [34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].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>Вероятно, д</w:t>
      </w:r>
      <w:r w:rsidR="009361CC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альнейшие исследования должны быть сосредоточены на совместном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t xml:space="preserve">анализе уровней </w:t>
      </w:r>
      <w:r w:rsidR="00EE39DA" w:rsidRPr="00EE39DA">
        <w:rPr>
          <w:rFonts w:ascii="Times New Roman" w:hAnsi="Times New Roman" w:cs="Times New Roman"/>
          <w:color w:val="212121"/>
          <w:sz w:val="28"/>
          <w:szCs w:val="28"/>
        </w:rPr>
        <w:lastRenderedPageBreak/>
        <w:t xml:space="preserve">пролиферации и апоптоза. </w:t>
      </w:r>
      <w:r w:rsidR="00E81F17" w:rsidRPr="00EE3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</w:t>
      </w:r>
      <w:r w:rsidR="00EE39DA" w:rsidRPr="00EE3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изолированное</w:t>
      </w:r>
      <w:r w:rsidR="00E81F17" w:rsidRPr="00EE39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7644" w:rsidRPr="00EE39DA">
        <w:rPr>
          <w:rFonts w:ascii="Times New Roman" w:hAnsi="Times New Roman" w:cs="Times New Roman"/>
          <w:sz w:val="28"/>
          <w:szCs w:val="28"/>
        </w:rPr>
        <w:t>использование маркера</w:t>
      </w:r>
      <w:r w:rsidR="00EE39DA" w:rsidRPr="00EE39DA">
        <w:rPr>
          <w:rFonts w:ascii="Times New Roman" w:hAnsi="Times New Roman" w:cs="Times New Roman"/>
          <w:sz w:val="28"/>
          <w:szCs w:val="28"/>
        </w:rPr>
        <w:t xml:space="preserve"> </w:t>
      </w:r>
      <w:r w:rsidR="00EE39DA" w:rsidRPr="00EE39DA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EE39DA" w:rsidRPr="00EE39DA">
        <w:rPr>
          <w:rFonts w:ascii="Times New Roman" w:hAnsi="Times New Roman" w:cs="Times New Roman"/>
          <w:sz w:val="28"/>
          <w:szCs w:val="28"/>
        </w:rPr>
        <w:t>-67</w:t>
      </w:r>
      <w:r w:rsidR="00F47644" w:rsidRPr="00EE3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КРР </w:t>
      </w:r>
      <w:r w:rsidR="00F47644" w:rsidRPr="00EE39DA">
        <w:rPr>
          <w:rFonts w:ascii="Times New Roman" w:hAnsi="Times New Roman" w:cs="Times New Roman"/>
          <w:sz w:val="28"/>
          <w:szCs w:val="28"/>
        </w:rPr>
        <w:t>в данное время не представляется перспективным в силу неясной прогностической значимости.</w:t>
      </w:r>
    </w:p>
    <w:p w:rsidR="00EB02FC" w:rsidRPr="00B30458" w:rsidRDefault="00EB02FC" w:rsidP="00B30458">
      <w:pPr>
        <w:pStyle w:val="a7"/>
        <w:widowControl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137981" w:rsidRPr="008C2665" w:rsidRDefault="00EB02FC" w:rsidP="00137981">
      <w:pPr>
        <w:pStyle w:val="1"/>
        <w:rPr>
          <w:rFonts w:ascii="Times New Roman" w:hAnsi="Times New Roman" w:cs="Times New Roman"/>
          <w:bCs w:val="0"/>
          <w:sz w:val="28"/>
          <w:szCs w:val="28"/>
        </w:rPr>
      </w:pPr>
      <w:r w:rsidRPr="00B30458">
        <w:rPr>
          <w:rFonts w:ascii="Times New Roman" w:hAnsi="Times New Roman" w:cs="Times New Roman"/>
          <w:b w:val="0"/>
          <w:bCs w:val="0"/>
          <w:sz w:val="28"/>
          <w:szCs w:val="28"/>
          <w:highlight w:val="yellow"/>
        </w:rPr>
        <w:br w:type="page"/>
      </w:r>
      <w:bookmarkStart w:id="9" w:name="_Toc451122285"/>
      <w:r w:rsidR="00137981" w:rsidRPr="008C2665">
        <w:rPr>
          <w:rFonts w:ascii="Times New Roman" w:hAnsi="Times New Roman" w:cs="Times New Roman"/>
          <w:bCs w:val="0"/>
          <w:sz w:val="28"/>
          <w:szCs w:val="28"/>
        </w:rPr>
        <w:lastRenderedPageBreak/>
        <w:t>Глава 2. Материалы и методы</w:t>
      </w:r>
      <w:bookmarkEnd w:id="9"/>
      <w:r w:rsidR="00137981" w:rsidRPr="008C2665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</w:p>
    <w:p w:rsidR="00E567C7" w:rsidRDefault="00E567C7" w:rsidP="00137981">
      <w:pPr>
        <w:pStyle w:val="2"/>
        <w:rPr>
          <w:rFonts w:ascii="Times New Roman" w:hAnsi="Times New Roman" w:cs="Times New Roman"/>
          <w:bCs w:val="0"/>
          <w:sz w:val="28"/>
          <w:szCs w:val="28"/>
        </w:rPr>
      </w:pPr>
    </w:p>
    <w:p w:rsidR="00137981" w:rsidRDefault="00137981" w:rsidP="00137981">
      <w:pPr>
        <w:pStyle w:val="2"/>
        <w:rPr>
          <w:rFonts w:ascii="Times New Roman" w:hAnsi="Times New Roman" w:cs="Times New Roman"/>
          <w:bCs w:val="0"/>
          <w:sz w:val="28"/>
          <w:szCs w:val="28"/>
        </w:rPr>
      </w:pPr>
      <w:bookmarkStart w:id="10" w:name="_Toc451122286"/>
      <w:r w:rsidRPr="008C2665">
        <w:rPr>
          <w:rFonts w:ascii="Times New Roman" w:hAnsi="Times New Roman" w:cs="Times New Roman"/>
          <w:bCs w:val="0"/>
          <w:sz w:val="28"/>
          <w:szCs w:val="28"/>
        </w:rPr>
        <w:t>2.1. Материалы исследования</w:t>
      </w:r>
      <w:bookmarkEnd w:id="10"/>
    </w:p>
    <w:p w:rsidR="00E567C7" w:rsidRPr="008C2665" w:rsidRDefault="00E567C7" w:rsidP="00137981">
      <w:pPr>
        <w:pStyle w:val="2"/>
        <w:rPr>
          <w:rFonts w:ascii="Times New Roman" w:hAnsi="Times New Roman" w:cs="Times New Roman"/>
          <w:bCs w:val="0"/>
          <w:sz w:val="28"/>
          <w:szCs w:val="28"/>
        </w:rPr>
      </w:pPr>
    </w:p>
    <w:p w:rsidR="00FA19E6" w:rsidRPr="00B30458" w:rsidRDefault="00FA19E6" w:rsidP="00B30458">
      <w:pPr>
        <w:tabs>
          <w:tab w:val="left" w:pos="1418"/>
          <w:tab w:val="left" w:pos="1843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Данное исследование выполнено на базе </w:t>
      </w:r>
      <w:r w:rsidRPr="00B30458">
        <w:rPr>
          <w:rFonts w:ascii="Times New Roman" w:hAnsi="Times New Roman" w:cs="Times New Roman"/>
          <w:sz w:val="28"/>
          <w:szCs w:val="28"/>
          <w:lang w:eastAsia="ar-SA"/>
        </w:rPr>
        <w:t xml:space="preserve">СПбГБУЗ «Городской Клинический Онкологический Диспансер» 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</w:t>
      </w:r>
      <w:r w:rsidR="00E56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B3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клинических материалов, собранных в рамках диссертационного исследования на соискание ученой степени кандидата мед. наук Ивановой А.К.</w:t>
      </w:r>
    </w:p>
    <w:p w:rsidR="00753440" w:rsidRPr="00B30458" w:rsidRDefault="00FA19E6" w:rsidP="00E567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Работа выполнена на основе ретроспективного анализа данных историй болезней, гистологических заключ</w:t>
      </w:r>
      <w:r w:rsidR="00E567C7">
        <w:rPr>
          <w:rFonts w:ascii="Times New Roman" w:hAnsi="Times New Roman" w:cs="Times New Roman"/>
          <w:sz w:val="28"/>
          <w:szCs w:val="28"/>
        </w:rPr>
        <w:t>ений больных РТК</w:t>
      </w:r>
      <w:r w:rsidR="00691683" w:rsidRPr="00B30458">
        <w:rPr>
          <w:rFonts w:ascii="Times New Roman" w:hAnsi="Times New Roman" w:cs="Times New Roman"/>
          <w:sz w:val="28"/>
          <w:szCs w:val="28"/>
        </w:rPr>
        <w:t xml:space="preserve">, подсчета инфильтрирующих опухоль нейтрофилов и эозинофилов в 8 наиболее показательных полях зрения и анализа данных об </w:t>
      </w:r>
      <w:r w:rsidR="00A84F91" w:rsidRPr="00B30458">
        <w:rPr>
          <w:rFonts w:ascii="Times New Roman" w:hAnsi="Times New Roman" w:cs="Times New Roman"/>
          <w:sz w:val="28"/>
          <w:szCs w:val="28"/>
        </w:rPr>
        <w:t xml:space="preserve">экспрессии </w:t>
      </w:r>
      <w:r w:rsidR="00A84F91" w:rsidRPr="00B30458">
        <w:rPr>
          <w:rFonts w:ascii="Times New Roman" w:hAnsi="Times New Roman" w:cs="Times New Roman"/>
          <w:sz w:val="28"/>
          <w:szCs w:val="28"/>
          <w:lang w:val="en-US"/>
        </w:rPr>
        <w:t>CXCR</w:t>
      </w:r>
      <w:r w:rsidR="00A84F91" w:rsidRPr="00B30458">
        <w:rPr>
          <w:rFonts w:ascii="Times New Roman" w:hAnsi="Times New Roman" w:cs="Times New Roman"/>
          <w:sz w:val="28"/>
          <w:szCs w:val="28"/>
        </w:rPr>
        <w:t>4-хемокиновых рецепторов.</w:t>
      </w:r>
      <w:r w:rsidR="00691683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Бы</w:t>
      </w:r>
      <w:r w:rsidR="00691683" w:rsidRPr="00B30458">
        <w:rPr>
          <w:rFonts w:ascii="Times New Roman" w:hAnsi="Times New Roman" w:cs="Times New Roman"/>
          <w:sz w:val="28"/>
          <w:szCs w:val="28"/>
        </w:rPr>
        <w:t>ли проанализированы данные 20</w:t>
      </w:r>
      <w:r w:rsidRPr="00B30458">
        <w:rPr>
          <w:rFonts w:ascii="Times New Roman" w:hAnsi="Times New Roman" w:cs="Times New Roman"/>
          <w:sz w:val="28"/>
          <w:szCs w:val="28"/>
        </w:rPr>
        <w:t xml:space="preserve"> пациентов, получавших лечение в химиотерапевтическом отделении. </w:t>
      </w:r>
      <w:r w:rsidR="00A84F91" w:rsidRPr="00B30458">
        <w:rPr>
          <w:rFonts w:ascii="Times New Roman" w:hAnsi="Times New Roman" w:cs="Times New Roman"/>
          <w:sz w:val="28"/>
          <w:szCs w:val="28"/>
        </w:rPr>
        <w:t xml:space="preserve">В исследование были включены пациенты с </w:t>
      </w:r>
      <w:r w:rsidR="00A84F91" w:rsidRPr="00B30458">
        <w:rPr>
          <w:rFonts w:ascii="Times New Roman" w:hAnsi="Times New Roman" w:cs="Times New Roman"/>
          <w:sz w:val="28"/>
          <w:szCs w:val="28"/>
          <w:lang w:val="en-US"/>
        </w:rPr>
        <w:t>pT</w:t>
      </w:r>
      <w:r w:rsidR="00A84F91" w:rsidRPr="00B30458">
        <w:rPr>
          <w:rFonts w:ascii="Times New Roman" w:hAnsi="Times New Roman" w:cs="Times New Roman"/>
          <w:sz w:val="28"/>
          <w:szCs w:val="28"/>
        </w:rPr>
        <w:t>4</w:t>
      </w:r>
      <w:r w:rsidR="00A84F91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A84F91" w:rsidRPr="00B30458">
        <w:rPr>
          <w:rFonts w:ascii="Times New Roman" w:hAnsi="Times New Roman" w:cs="Times New Roman"/>
          <w:sz w:val="28"/>
          <w:szCs w:val="28"/>
        </w:rPr>
        <w:t>0</w:t>
      </w:r>
      <w:r w:rsidR="00A84F91" w:rsidRPr="00B3045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A84F91" w:rsidRPr="00B30458">
        <w:rPr>
          <w:rFonts w:ascii="Times New Roman" w:hAnsi="Times New Roman" w:cs="Times New Roman"/>
          <w:sz w:val="28"/>
          <w:szCs w:val="28"/>
        </w:rPr>
        <w:t>0 аденокарциномами толстой кишки (восходящей</w:t>
      </w:r>
      <w:r w:rsidR="00EC40C1" w:rsidRPr="00B30458">
        <w:rPr>
          <w:rFonts w:ascii="Times New Roman" w:hAnsi="Times New Roman" w:cs="Times New Roman"/>
          <w:sz w:val="28"/>
          <w:szCs w:val="28"/>
        </w:rPr>
        <w:t>, поперечно-ободочной, нисходящей, сигмовидной кишки</w:t>
      </w:r>
      <w:r w:rsidR="00A84F91" w:rsidRPr="00B30458">
        <w:rPr>
          <w:rFonts w:ascii="Times New Roman" w:hAnsi="Times New Roman" w:cs="Times New Roman"/>
          <w:sz w:val="28"/>
          <w:szCs w:val="28"/>
        </w:rPr>
        <w:t>).</w:t>
      </w:r>
    </w:p>
    <w:p w:rsidR="00A84F91" w:rsidRDefault="00A84F91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Пациенты были разделены на группы благоприятного и неблагоприятного прогнозов в зависимости от</w:t>
      </w:r>
      <w:r w:rsidR="009F114A">
        <w:rPr>
          <w:rFonts w:ascii="Times New Roman" w:hAnsi="Times New Roman" w:cs="Times New Roman"/>
          <w:sz w:val="28"/>
          <w:szCs w:val="28"/>
        </w:rPr>
        <w:t xml:space="preserve"> времени до прогрессирования. В группу благоприятного прогноза были включены пациенты, у которых не было зарегистрировано рецидива заболевания в течение 5 лет. В группу неблагоприятного прогноза были включены пациенты, у которых время до прогрессирования составило 1 год и менее.</w:t>
      </w: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7C7" w:rsidRPr="00B30458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>Возраст пациентов варьировал от 28 до 71 лет. Средний возраст пациентов составил 57 ±11 лет.</w:t>
      </w:r>
    </w:p>
    <w:p w:rsidR="00E567C7" w:rsidRPr="00B30458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>В группе пациентов неблагоприятного прогноза средний возраст пациентов составил 53 ±12 лет; в группе благоприятного - 60 ±7 лет.</w:t>
      </w:r>
    </w:p>
    <w:p w:rsidR="00E567C7" w:rsidRPr="00B30458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>В исследование было включено 9 мужчин, 11 женщин: в группу пациентов неблагоприятного прогноза было включено 5 мужчин, 6 женщин; в группу благоприятного – 4 мужчин, 5 женщин.</w:t>
      </w:r>
    </w:p>
    <w:p w:rsidR="00E567C7" w:rsidRDefault="00E567C7" w:rsidP="00E567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7C7">
        <w:rPr>
          <w:rFonts w:ascii="Times New Roman" w:hAnsi="Times New Roman" w:cs="Times New Roman"/>
          <w:b/>
          <w:sz w:val="28"/>
          <w:szCs w:val="28"/>
        </w:rPr>
        <w:lastRenderedPageBreak/>
        <w:t>Рис. 2. Распределение пациентов в зависимости от прогноза</w:t>
      </w:r>
    </w:p>
    <w:p w:rsidR="00E567C7" w:rsidRPr="00E567C7" w:rsidRDefault="00E567C7" w:rsidP="00E567C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19E6" w:rsidRPr="00B30458" w:rsidRDefault="00FA19E6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479225" cy="2256312"/>
            <wp:effectExtent l="19050" t="0" r="262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50CB" w:rsidRPr="00B30458" w:rsidRDefault="005850CB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C6D37" w:rsidRDefault="006C6D37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Все пациенты получали хирургическое лечение в условиях Городского клинического онкологического диспансера Санкт-Петербурга. </w:t>
      </w:r>
    </w:p>
    <w:p w:rsidR="00E567C7" w:rsidRPr="00B30458" w:rsidRDefault="00E567C7" w:rsidP="00B3045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567C7" w:rsidRP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7C7">
        <w:rPr>
          <w:rFonts w:ascii="Times New Roman" w:hAnsi="Times New Roman" w:cs="Times New Roman"/>
          <w:b/>
          <w:sz w:val="28"/>
          <w:szCs w:val="28"/>
        </w:rPr>
        <w:t>Таблица 1. Распределение пациентов по полу</w:t>
      </w:r>
    </w:p>
    <w:p w:rsidR="00F009CA" w:rsidRPr="00B30458" w:rsidRDefault="00F009CA" w:rsidP="00B3045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2441"/>
        <w:gridCol w:w="2302"/>
        <w:gridCol w:w="2277"/>
        <w:gridCol w:w="2267"/>
      </w:tblGrid>
      <w:tr w:rsidR="007D6F2C" w:rsidRPr="00B30458" w:rsidTr="00E567C7">
        <w:tc>
          <w:tcPr>
            <w:tcW w:w="2440" w:type="dxa"/>
            <w:vMerge w:val="restart"/>
          </w:tcPr>
          <w:p w:rsidR="007D6F2C" w:rsidRPr="00B30458" w:rsidRDefault="007D6F2C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</w:p>
        </w:tc>
        <w:tc>
          <w:tcPr>
            <w:tcW w:w="2386" w:type="dxa"/>
          </w:tcPr>
          <w:p w:rsidR="007D6F2C" w:rsidRPr="00B30458" w:rsidRDefault="007D6F2C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Мужчины, человек</w:t>
            </w:r>
          </w:p>
        </w:tc>
        <w:tc>
          <w:tcPr>
            <w:tcW w:w="2376" w:type="dxa"/>
          </w:tcPr>
          <w:p w:rsidR="007D6F2C" w:rsidRPr="00B30458" w:rsidRDefault="007D6F2C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Женщин, человек</w:t>
            </w:r>
          </w:p>
        </w:tc>
        <w:tc>
          <w:tcPr>
            <w:tcW w:w="2369" w:type="dxa"/>
          </w:tcPr>
          <w:p w:rsidR="007D6F2C" w:rsidRPr="00B30458" w:rsidRDefault="007D6F2C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Всего, человек</w:t>
            </w:r>
          </w:p>
        </w:tc>
      </w:tr>
      <w:tr w:rsidR="00E567C7" w:rsidRPr="00B30458" w:rsidTr="007E00F7">
        <w:tc>
          <w:tcPr>
            <w:tcW w:w="2440" w:type="dxa"/>
            <w:vMerge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значение</w:t>
            </w:r>
          </w:p>
        </w:tc>
        <w:tc>
          <w:tcPr>
            <w:tcW w:w="237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значение</w:t>
            </w:r>
          </w:p>
        </w:tc>
        <w:tc>
          <w:tcPr>
            <w:tcW w:w="2369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значение</w:t>
            </w:r>
          </w:p>
        </w:tc>
      </w:tr>
      <w:tr w:rsidR="00E567C7" w:rsidRPr="00B30458" w:rsidTr="007E00F7">
        <w:tc>
          <w:tcPr>
            <w:tcW w:w="2440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Благоприятного прогноза</w:t>
            </w:r>
          </w:p>
        </w:tc>
        <w:tc>
          <w:tcPr>
            <w:tcW w:w="238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7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9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67C7" w:rsidRPr="00B30458" w:rsidTr="007E00F7">
        <w:tc>
          <w:tcPr>
            <w:tcW w:w="2440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Неблагоприятного прогноза</w:t>
            </w:r>
          </w:p>
        </w:tc>
        <w:tc>
          <w:tcPr>
            <w:tcW w:w="238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7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69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567C7" w:rsidRPr="00B30458" w:rsidTr="007E00F7">
        <w:tc>
          <w:tcPr>
            <w:tcW w:w="2440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38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6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69" w:type="dxa"/>
          </w:tcPr>
          <w:p w:rsidR="00E567C7" w:rsidRPr="00B30458" w:rsidRDefault="00E567C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7D6F2C" w:rsidRPr="00B30458" w:rsidRDefault="007D6F2C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67C7">
        <w:rPr>
          <w:rFonts w:ascii="Times New Roman" w:hAnsi="Times New Roman" w:cs="Times New Roman"/>
          <w:b/>
          <w:sz w:val="28"/>
          <w:szCs w:val="28"/>
        </w:rPr>
        <w:lastRenderedPageBreak/>
        <w:t>Рис.3. Распределение по локализации опухоли</w:t>
      </w:r>
    </w:p>
    <w:p w:rsidR="00E567C7" w:rsidRPr="00E567C7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F2C" w:rsidRPr="00B30458" w:rsidRDefault="006250C5" w:rsidP="00E567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93178" cy="2634343"/>
            <wp:effectExtent l="19050" t="0" r="21772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19E6" w:rsidRPr="00B30458" w:rsidRDefault="00FA19E6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D6F2C" w:rsidRPr="00B30458" w:rsidRDefault="006C6D37" w:rsidP="00E567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Таким образом, несмотря на малый размер выборки, она является сбалансированной по основным существующим сейчас прогностическим критериям.</w:t>
      </w:r>
    </w:p>
    <w:p w:rsidR="006250C5" w:rsidRPr="00B30458" w:rsidRDefault="006250C5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981" w:rsidRDefault="00137981" w:rsidP="00137981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451122287"/>
      <w:r w:rsidRPr="00E567C7">
        <w:rPr>
          <w:rFonts w:ascii="Times New Roman" w:hAnsi="Times New Roman" w:cs="Times New Roman"/>
          <w:color w:val="000000" w:themeColor="text1"/>
          <w:sz w:val="28"/>
          <w:szCs w:val="28"/>
        </w:rPr>
        <w:t>2.2. Методы исследования</w:t>
      </w:r>
      <w:bookmarkEnd w:id="11"/>
    </w:p>
    <w:p w:rsidR="00E567C7" w:rsidRPr="00E567C7" w:rsidRDefault="00E567C7" w:rsidP="00137981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7981" w:rsidRPr="00E567C7" w:rsidRDefault="00137981" w:rsidP="00137981">
      <w:pPr>
        <w:pStyle w:val="3"/>
        <w:rPr>
          <w:rFonts w:ascii="Times New Roman" w:hAnsi="Times New Roman" w:cs="Times New Roman"/>
        </w:rPr>
      </w:pPr>
      <w:bookmarkStart w:id="12" w:name="_Toc451122288"/>
      <w:r w:rsidRPr="00E567C7">
        <w:rPr>
          <w:rFonts w:ascii="Times New Roman" w:hAnsi="Times New Roman" w:cs="Times New Roman"/>
          <w:color w:val="000000" w:themeColor="text1"/>
        </w:rPr>
        <w:t>2.2.1</w:t>
      </w:r>
      <w:r w:rsidRPr="00E567C7">
        <w:rPr>
          <w:rFonts w:ascii="Times New Roman" w:hAnsi="Times New Roman" w:cs="Times New Roman"/>
        </w:rPr>
        <w:t xml:space="preserve"> Методика </w:t>
      </w:r>
      <w:r w:rsidR="00E567C7">
        <w:rPr>
          <w:rFonts w:ascii="Times New Roman" w:hAnsi="Times New Roman" w:cs="Times New Roman"/>
        </w:rPr>
        <w:t>имуногистохимической окраски</w:t>
      </w:r>
      <w:bookmarkEnd w:id="12"/>
    </w:p>
    <w:p w:rsidR="00137981" w:rsidRPr="00B30458" w:rsidRDefault="00137981" w:rsidP="00137981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C7" w:rsidRPr="00B30458" w:rsidRDefault="00137981" w:rsidP="00E567C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E567C7" w:rsidRPr="00B30458">
        <w:rPr>
          <w:rFonts w:ascii="Times New Roman" w:hAnsi="Times New Roman" w:cs="Times New Roman"/>
          <w:sz w:val="28"/>
          <w:szCs w:val="28"/>
        </w:rPr>
        <w:t xml:space="preserve">Гистологический материал поступал в лабораторию для иммуногистохимического исследования в виде </w:t>
      </w:r>
      <w:r w:rsidR="00907C8C" w:rsidRPr="00B30458">
        <w:rPr>
          <w:rFonts w:ascii="Times New Roman" w:hAnsi="Times New Roman" w:cs="Times New Roman"/>
          <w:sz w:val="28"/>
          <w:szCs w:val="28"/>
        </w:rPr>
        <w:t xml:space="preserve">залитых в парафин </w:t>
      </w:r>
      <w:r w:rsidR="00907C8C">
        <w:rPr>
          <w:rFonts w:ascii="Times New Roman" w:hAnsi="Times New Roman" w:cs="Times New Roman"/>
          <w:sz w:val="28"/>
          <w:szCs w:val="28"/>
        </w:rPr>
        <w:t xml:space="preserve">фрагментов опухоли. Сначала </w:t>
      </w:r>
      <w:r w:rsidR="00E567C7" w:rsidRPr="00B30458">
        <w:rPr>
          <w:rFonts w:ascii="Times New Roman" w:hAnsi="Times New Roman" w:cs="Times New Roman"/>
          <w:sz w:val="28"/>
          <w:szCs w:val="28"/>
        </w:rPr>
        <w:t>выполнялся пересмотр гистологических препаратов с целью постановки гистологического диагноза. При микроскопическом исследовании выбирался блок с опухолью и нормальной слизистой. С данного блока нарезались срезы толщиной 4 микрон, которые помещали на стекла с поли-</w:t>
      </w:r>
      <w:r w:rsidR="00E567C7" w:rsidRPr="00B304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567C7" w:rsidRPr="00B30458">
        <w:rPr>
          <w:rFonts w:ascii="Times New Roman" w:hAnsi="Times New Roman" w:cs="Times New Roman"/>
          <w:sz w:val="28"/>
          <w:szCs w:val="28"/>
        </w:rPr>
        <w:t xml:space="preserve">-лизиновым покрытием. Срезы подсушивались, депарафинизировались и подвергались демаскировке антигенов при помощи цитратного буфера в условиях водяной бани при температуре девяносто пять градусов Цельсия в течение </w:t>
      </w:r>
      <w:r w:rsidR="00E567C7" w:rsidRPr="00B30458">
        <w:rPr>
          <w:rFonts w:ascii="Times New Roman" w:hAnsi="Times New Roman" w:cs="Times New Roman"/>
          <w:sz w:val="28"/>
          <w:szCs w:val="28"/>
        </w:rPr>
        <w:lastRenderedPageBreak/>
        <w:t xml:space="preserve">тридцати минут. После чего происходило охлаждение срезов при комнатной температуре, и промывание трис-буфером с твином. Каждый срез обводился парафиновым карандашом, после чего осуществлялось ингибирование эндогенной пероксидазы 3% перекисью водорода в течение 20 минут. </w:t>
      </w:r>
      <w:r w:rsidR="00E567C7">
        <w:rPr>
          <w:rFonts w:ascii="Times New Roman" w:hAnsi="Times New Roman" w:cs="Times New Roman"/>
          <w:sz w:val="28"/>
          <w:szCs w:val="28"/>
        </w:rPr>
        <w:t>П</w:t>
      </w:r>
      <w:r w:rsidR="00E567C7" w:rsidRPr="00B30458">
        <w:rPr>
          <w:rFonts w:ascii="Times New Roman" w:hAnsi="Times New Roman" w:cs="Times New Roman"/>
          <w:sz w:val="28"/>
          <w:szCs w:val="28"/>
        </w:rPr>
        <w:t>роизводилось окрашивание с использованием анти-</w:t>
      </w:r>
      <w:r w:rsidR="00E567C7"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E567C7" w:rsidRPr="00B30458">
        <w:rPr>
          <w:rFonts w:ascii="Times New Roman" w:hAnsi="Times New Roman" w:cs="Times New Roman"/>
          <w:sz w:val="28"/>
          <w:szCs w:val="28"/>
        </w:rPr>
        <w:t xml:space="preserve">-67 антител. Инкубирование проводилось в течение ночи при температуре +2 - +8°С (в условиях холодильной камеры), демаскировка антигенов на данном срезе не производилась. </w:t>
      </w:r>
    </w:p>
    <w:p w:rsidR="00E567C7" w:rsidRPr="00B30458" w:rsidRDefault="00E567C7" w:rsidP="00E567C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Подсчет окрашенных раковых клеток на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 xml:space="preserve">-67, выполнялся мануально. Оценивались поля зрения при увеличении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30458">
        <w:rPr>
          <w:rFonts w:ascii="Times New Roman" w:hAnsi="Times New Roman" w:cs="Times New Roman"/>
          <w:sz w:val="28"/>
          <w:szCs w:val="28"/>
        </w:rPr>
        <w:t xml:space="preserve">200 (2000 клеток) с максимальной экспрессией данного маркера, минимальной и средней экспрессией. Высчитывался средний процент позитивных опухолевых клеток. Далее производилось сравнение полученных относительных величин каждого маркера, и делались соответствующие выводы. </w:t>
      </w:r>
    </w:p>
    <w:p w:rsidR="00137981" w:rsidRPr="00B30458" w:rsidRDefault="00137981" w:rsidP="0013798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.</w:t>
      </w:r>
    </w:p>
    <w:p w:rsidR="00137981" w:rsidRPr="00E567C7" w:rsidRDefault="00137981" w:rsidP="00E567C7">
      <w:pPr>
        <w:pStyle w:val="3"/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567C7">
        <w:rPr>
          <w:rFonts w:ascii="Times New Roman" w:hAnsi="Times New Roman" w:cs="Times New Roman"/>
          <w:color w:val="000000" w:themeColor="text1"/>
        </w:rPr>
        <w:t xml:space="preserve"> </w:t>
      </w:r>
      <w:bookmarkStart w:id="13" w:name="_Toc451122289"/>
      <w:r w:rsidRPr="00E567C7">
        <w:rPr>
          <w:rFonts w:ascii="Times New Roman" w:hAnsi="Times New Roman" w:cs="Times New Roman"/>
          <w:color w:val="000000" w:themeColor="text1"/>
        </w:rPr>
        <w:t xml:space="preserve">2.2.2. Методика </w:t>
      </w:r>
      <w:r w:rsidR="00E567C7" w:rsidRPr="00E567C7">
        <w:rPr>
          <w:rFonts w:ascii="Times New Roman" w:hAnsi="Times New Roman" w:cs="Times New Roman"/>
          <w:color w:val="000000" w:themeColor="text1"/>
        </w:rPr>
        <w:t>подсчета инфильтрирующих опухоль нейтрофилов и эозинофилов</w:t>
      </w:r>
      <w:bookmarkEnd w:id="13"/>
      <w:r w:rsidR="00E567C7" w:rsidRPr="00E567C7">
        <w:rPr>
          <w:rFonts w:ascii="Times New Roman" w:hAnsi="Times New Roman" w:cs="Times New Roman"/>
          <w:color w:val="000000" w:themeColor="text1"/>
        </w:rPr>
        <w:t xml:space="preserve"> </w:t>
      </w:r>
    </w:p>
    <w:p w:rsidR="00E567C7" w:rsidRPr="00B30458" w:rsidRDefault="00E567C7" w:rsidP="00E567C7">
      <w:pPr>
        <w:pStyle w:val="3"/>
        <w:rPr>
          <w:rFonts w:ascii="Times New Roman" w:hAnsi="Times New Roman" w:cs="Times New Roman"/>
          <w:b w:val="0"/>
          <w:color w:val="000000" w:themeColor="text1"/>
        </w:rPr>
      </w:pPr>
    </w:p>
    <w:p w:rsidR="00137981" w:rsidRPr="00AA04B5" w:rsidRDefault="00E567C7" w:rsidP="00E567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Исследование параметров микроокружения опухоли проводилось при помощи подсчета нейтрофильного и эозинофильного звена в 8 стандартных пол</w:t>
      </w:r>
      <w:r w:rsidR="00907C8C">
        <w:rPr>
          <w:rFonts w:ascii="Times New Roman" w:hAnsi="Times New Roman" w:cs="Times New Roman"/>
          <w:sz w:val="28"/>
          <w:szCs w:val="28"/>
        </w:rPr>
        <w:t xml:space="preserve">ях зрения при увеличении х40 </w:t>
      </w:r>
      <w:r w:rsidRPr="00B30458">
        <w:rPr>
          <w:rFonts w:ascii="Times New Roman" w:hAnsi="Times New Roman" w:cs="Times New Roman"/>
          <w:sz w:val="28"/>
          <w:szCs w:val="28"/>
        </w:rPr>
        <w:t xml:space="preserve">с захватом в поле зрения нормальной и опухолевой ткани. Сканирование стекол и графическая обработка изображений проводилась в программах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Pannoramic</w:t>
      </w: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canner</w:t>
      </w:r>
      <w:r w:rsidRPr="00B30458">
        <w:rPr>
          <w:rFonts w:ascii="Times New Roman" w:hAnsi="Times New Roman" w:cs="Times New Roman"/>
          <w:sz w:val="28"/>
          <w:szCs w:val="28"/>
        </w:rPr>
        <w:t xml:space="preserve"> 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Pannoramic</w:t>
      </w: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Viewer</w:t>
      </w:r>
      <w:r w:rsidR="00AA04B5" w:rsidRPr="00AA04B5">
        <w:rPr>
          <w:rFonts w:ascii="Times New Roman" w:hAnsi="Times New Roman" w:cs="Times New Roman"/>
          <w:sz w:val="28"/>
          <w:szCs w:val="28"/>
        </w:rPr>
        <w:t>.</w:t>
      </w:r>
    </w:p>
    <w:p w:rsidR="00E567C7" w:rsidRPr="00E567C7" w:rsidRDefault="00E567C7" w:rsidP="00E567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4D03" w:rsidRPr="00E567C7" w:rsidRDefault="00137981" w:rsidP="00137981">
      <w:pPr>
        <w:pStyle w:val="3"/>
        <w:rPr>
          <w:rFonts w:ascii="Times New Roman" w:hAnsi="Times New Roman" w:cs="Times New Roman"/>
          <w:color w:val="000000" w:themeColor="text1"/>
        </w:rPr>
      </w:pPr>
      <w:r w:rsidRPr="00E567C7">
        <w:rPr>
          <w:rFonts w:ascii="Times New Roman" w:hAnsi="Times New Roman" w:cs="Times New Roman"/>
          <w:color w:val="000000" w:themeColor="text1"/>
        </w:rPr>
        <w:t xml:space="preserve"> </w:t>
      </w:r>
      <w:bookmarkStart w:id="14" w:name="_Toc451122290"/>
      <w:r w:rsidRPr="00E567C7">
        <w:rPr>
          <w:rFonts w:ascii="Times New Roman" w:hAnsi="Times New Roman" w:cs="Times New Roman"/>
          <w:color w:val="000000" w:themeColor="text1"/>
        </w:rPr>
        <w:t xml:space="preserve">2.2.3. </w:t>
      </w:r>
      <w:r w:rsidR="00EF4D03" w:rsidRPr="00E567C7">
        <w:rPr>
          <w:rFonts w:ascii="Times New Roman" w:hAnsi="Times New Roman" w:cs="Times New Roman"/>
          <w:color w:val="000000" w:themeColor="text1"/>
        </w:rPr>
        <w:t>Статистическая обработка</w:t>
      </w:r>
      <w:bookmarkEnd w:id="14"/>
    </w:p>
    <w:p w:rsidR="00EF4D03" w:rsidRPr="00B30458" w:rsidRDefault="00EF4D03" w:rsidP="00B3045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7C8C" w:rsidRDefault="00EF4D03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Статистический анализ проводили на персональном компьютере с использованием программы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SPSS</w:t>
      </w:r>
      <w:r w:rsidRPr="00B30458">
        <w:rPr>
          <w:rFonts w:ascii="Times New Roman" w:hAnsi="Times New Roman" w:cs="Times New Roman"/>
          <w:sz w:val="28"/>
          <w:szCs w:val="28"/>
        </w:rPr>
        <w:t xml:space="preserve">. Методы описательной статистики </w:t>
      </w:r>
      <w:r w:rsidRPr="00B30458">
        <w:rPr>
          <w:rFonts w:ascii="Times New Roman" w:hAnsi="Times New Roman" w:cs="Times New Roman"/>
          <w:sz w:val="28"/>
          <w:szCs w:val="28"/>
        </w:rPr>
        <w:lastRenderedPageBreak/>
        <w:t xml:space="preserve">заключались в оценке среднего арифметического (М), средней ошибки среднего значения (m) – для признаков, имеющих непрерывное распределение, а также частоты встречаемости признаков с дискретным значением. Непараметрические данные анализировались с использованием </w:t>
      </w:r>
      <w:r w:rsidR="0046480B" w:rsidRPr="00B30458">
        <w:rPr>
          <w:rFonts w:ascii="Times New Roman" w:hAnsi="Times New Roman" w:cs="Times New Roman"/>
          <w:sz w:val="28"/>
          <w:szCs w:val="28"/>
        </w:rPr>
        <w:t xml:space="preserve"> критерия Манна-Уитни. </w:t>
      </w:r>
    </w:p>
    <w:p w:rsidR="00907C8C" w:rsidRPr="00B30458" w:rsidRDefault="00EF4D03" w:rsidP="00907C8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907C8C" w:rsidRPr="00B30458">
        <w:rPr>
          <w:rFonts w:ascii="Times New Roman" w:hAnsi="Times New Roman" w:cs="Times New Roman"/>
          <w:sz w:val="28"/>
          <w:szCs w:val="28"/>
        </w:rPr>
        <w:t xml:space="preserve">Для выявления наличия статистически значимой корреляции между количественной величиной и наличием или отсутствием проявления какого-либо признака, использовался статистический метод с применением критерия Спирмена. </w:t>
      </w:r>
    </w:p>
    <w:p w:rsidR="00EF4D03" w:rsidRPr="00B30458" w:rsidRDefault="00EF4D03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Графическая обработка данных проводилась при помощи программы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B30458">
        <w:rPr>
          <w:rFonts w:ascii="Times New Roman" w:hAnsi="Times New Roman" w:cs="Times New Roman"/>
          <w:sz w:val="28"/>
          <w:szCs w:val="28"/>
        </w:rPr>
        <w:t xml:space="preserve"> 2003. Критический уровень достоверности нулевой статистической гипотезы (отсутствие значимых различий или факторных влияний) принимали равным 0,05.</w:t>
      </w:r>
    </w:p>
    <w:p w:rsidR="00EF4D03" w:rsidRPr="00B30458" w:rsidRDefault="00EF4D03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4D03" w:rsidRPr="00B30458" w:rsidRDefault="00EF4D03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630" w:rsidRPr="00B30458" w:rsidRDefault="00537630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7630" w:rsidRPr="00B30458" w:rsidRDefault="00537630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4F8" w:rsidRPr="00B30458" w:rsidRDefault="00FA14F8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4F8" w:rsidRPr="00B30458" w:rsidRDefault="00FA14F8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4F8" w:rsidRDefault="00FA14F8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D40" w:rsidRPr="00B30458" w:rsidRDefault="00361D40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4F8" w:rsidRDefault="00FA14F8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D40" w:rsidRDefault="00361D40" w:rsidP="00137981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5" w:name="_Toc451122291"/>
    </w:p>
    <w:p w:rsidR="00361D40" w:rsidRPr="00361D40" w:rsidRDefault="00361D40" w:rsidP="00361D40">
      <w:pPr>
        <w:widowControl/>
        <w:rPr>
          <w:rFonts w:ascii="Times New Roman" w:eastAsia="Microsoft YaHei" w:hAnsi="Times New Roman" w:cs="Times New Roman"/>
          <w:b/>
          <w:bCs/>
          <w:sz w:val="28"/>
          <w:szCs w:val="28"/>
        </w:rPr>
      </w:pPr>
    </w:p>
    <w:p w:rsidR="00361D40" w:rsidRDefault="00361D40">
      <w:pPr>
        <w:widowControl/>
        <w:rPr>
          <w:rFonts w:ascii="Times New Roman" w:eastAsia="Microsoft YaHei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4D03" w:rsidRPr="00E567C7" w:rsidRDefault="00137981" w:rsidP="00137981">
      <w:pPr>
        <w:pStyle w:val="1"/>
        <w:rPr>
          <w:rFonts w:ascii="Times New Roman" w:hAnsi="Times New Roman" w:cs="Times New Roman"/>
          <w:sz w:val="28"/>
          <w:szCs w:val="28"/>
        </w:rPr>
      </w:pPr>
      <w:r w:rsidRPr="00E567C7">
        <w:rPr>
          <w:rFonts w:ascii="Times New Roman" w:hAnsi="Times New Roman" w:cs="Times New Roman"/>
          <w:sz w:val="28"/>
          <w:szCs w:val="28"/>
        </w:rPr>
        <w:lastRenderedPageBreak/>
        <w:t xml:space="preserve">Глава 3. </w:t>
      </w:r>
      <w:r w:rsidR="00EF4D03" w:rsidRPr="00E567C7">
        <w:rPr>
          <w:rFonts w:ascii="Times New Roman" w:hAnsi="Times New Roman" w:cs="Times New Roman"/>
          <w:sz w:val="28"/>
          <w:szCs w:val="28"/>
        </w:rPr>
        <w:t>Результаты собственного исследования</w:t>
      </w:r>
      <w:bookmarkEnd w:id="15"/>
    </w:p>
    <w:p w:rsidR="00537630" w:rsidRPr="00B30458" w:rsidRDefault="00537630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7981" w:rsidRDefault="00137981" w:rsidP="0013798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6" w:name="_Toc451122292"/>
      <w:r>
        <w:rPr>
          <w:rFonts w:ascii="Times New Roman" w:hAnsi="Times New Roman" w:cs="Times New Roman"/>
          <w:sz w:val="28"/>
          <w:szCs w:val="28"/>
        </w:rPr>
        <w:t>3.1. Распределение пациентов по полу, возрасту и локализации опухоли</w:t>
      </w:r>
      <w:bookmarkEnd w:id="16"/>
    </w:p>
    <w:p w:rsidR="00E567C7" w:rsidRDefault="00E567C7" w:rsidP="00137981">
      <w:pPr>
        <w:pStyle w:val="2"/>
        <w:rPr>
          <w:rFonts w:ascii="Times New Roman" w:hAnsi="Times New Roman" w:cs="Times New Roman"/>
          <w:sz w:val="28"/>
          <w:szCs w:val="28"/>
        </w:rPr>
      </w:pPr>
    </w:p>
    <w:p w:rsidR="00EF4D03" w:rsidRDefault="00537630" w:rsidP="00907C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Возраст пациентов варьировал от 28 до 72 лет. Средний возраст пациентов группы неблаг</w:t>
      </w:r>
      <w:r w:rsidR="00C77E75" w:rsidRPr="00B30458">
        <w:rPr>
          <w:rFonts w:ascii="Times New Roman" w:hAnsi="Times New Roman" w:cs="Times New Roman"/>
          <w:sz w:val="28"/>
          <w:szCs w:val="28"/>
        </w:rPr>
        <w:t>оприятного прогноза составил 53±12 лет</w:t>
      </w:r>
      <w:r w:rsidRPr="00B30458">
        <w:rPr>
          <w:rFonts w:ascii="Times New Roman" w:hAnsi="Times New Roman" w:cs="Times New Roman"/>
          <w:sz w:val="28"/>
          <w:szCs w:val="28"/>
        </w:rPr>
        <w:t xml:space="preserve">, а благоприятного – </w:t>
      </w:r>
      <w:r w:rsidR="00C77E75" w:rsidRPr="00B30458">
        <w:rPr>
          <w:rFonts w:ascii="Times New Roman" w:hAnsi="Times New Roman" w:cs="Times New Roman"/>
          <w:sz w:val="28"/>
          <w:szCs w:val="28"/>
        </w:rPr>
        <w:t xml:space="preserve">61±7 </w:t>
      </w:r>
      <w:r w:rsidRPr="00B30458">
        <w:rPr>
          <w:rFonts w:ascii="Times New Roman" w:hAnsi="Times New Roman" w:cs="Times New Roman"/>
          <w:sz w:val="28"/>
          <w:szCs w:val="28"/>
        </w:rPr>
        <w:t>лет.</w:t>
      </w:r>
    </w:p>
    <w:p w:rsidR="00BE12E8" w:rsidRPr="00B30458" w:rsidRDefault="00BE12E8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4F8" w:rsidRPr="00BE12E8" w:rsidRDefault="00AA04B5" w:rsidP="00B304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Рис.4.</w:t>
      </w:r>
      <w:r w:rsidR="00E567C7" w:rsidRPr="00BE12E8">
        <w:rPr>
          <w:rFonts w:ascii="Times New Roman" w:hAnsi="Times New Roman" w:cs="Times New Roman"/>
          <w:b/>
          <w:sz w:val="28"/>
          <w:szCs w:val="28"/>
        </w:rPr>
        <w:t xml:space="preserve"> Распределение пациентов с благоприятным и неблагоприятным прогнозом по полу </w:t>
      </w:r>
    </w:p>
    <w:p w:rsidR="006C6D37" w:rsidRPr="00B30458" w:rsidRDefault="006C6D37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.</w:t>
      </w: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671422" cy="3766782"/>
            <wp:effectExtent l="19050" t="0" r="24528" b="5118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250C5" w:rsidRPr="00B30458" w:rsidRDefault="006250C5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6250C5" w:rsidP="00AA0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В группе пациентов неблагоприятного прогноза преобладали опухоли сигмовидной кишки (64%,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458">
        <w:rPr>
          <w:rFonts w:ascii="Times New Roman" w:hAnsi="Times New Roman" w:cs="Times New Roman"/>
          <w:sz w:val="28"/>
          <w:szCs w:val="28"/>
        </w:rPr>
        <w:t>=7), опухоли поперечно-ободочной кишки составили 18%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458">
        <w:rPr>
          <w:rFonts w:ascii="Times New Roman" w:hAnsi="Times New Roman" w:cs="Times New Roman"/>
          <w:sz w:val="28"/>
          <w:szCs w:val="28"/>
        </w:rPr>
        <w:t>=2), и опухоли во</w:t>
      </w:r>
      <w:r w:rsidR="00907C8C">
        <w:rPr>
          <w:rFonts w:ascii="Times New Roman" w:hAnsi="Times New Roman" w:cs="Times New Roman"/>
          <w:sz w:val="28"/>
          <w:szCs w:val="28"/>
        </w:rPr>
        <w:t>с</w:t>
      </w:r>
      <w:r w:rsidRPr="00B30458">
        <w:rPr>
          <w:rFonts w:ascii="Times New Roman" w:hAnsi="Times New Roman" w:cs="Times New Roman"/>
          <w:sz w:val="28"/>
          <w:szCs w:val="28"/>
        </w:rPr>
        <w:t>ходящей и нисходящей части толстой кишки составили по 9%(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458">
        <w:rPr>
          <w:rFonts w:ascii="Times New Roman" w:hAnsi="Times New Roman" w:cs="Times New Roman"/>
          <w:sz w:val="28"/>
          <w:szCs w:val="28"/>
        </w:rPr>
        <w:t>=1 в обоих случаях).</w:t>
      </w:r>
    </w:p>
    <w:p w:rsidR="00361D40" w:rsidRPr="00AA04B5" w:rsidRDefault="00361D40" w:rsidP="00AA04B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2E8">
        <w:rPr>
          <w:rFonts w:ascii="Times New Roman" w:hAnsi="Times New Roman" w:cs="Times New Roman"/>
          <w:b/>
          <w:sz w:val="28"/>
          <w:szCs w:val="28"/>
        </w:rPr>
        <w:lastRenderedPageBreak/>
        <w:t>Табл. 2. Распределение пациентов по полу и возрасту в группах благоприятного и неблагоприятного прогнозов</w:t>
      </w:r>
    </w:p>
    <w:p w:rsidR="006250C5" w:rsidRPr="00B30458" w:rsidRDefault="006250C5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Look w:val="04A0"/>
      </w:tblPr>
      <w:tblGrid>
        <w:gridCol w:w="1537"/>
        <w:gridCol w:w="1475"/>
        <w:gridCol w:w="1567"/>
        <w:gridCol w:w="1570"/>
        <w:gridCol w:w="1567"/>
        <w:gridCol w:w="1571"/>
      </w:tblGrid>
      <w:tr w:rsidR="00A81C8E" w:rsidRPr="00B30458" w:rsidTr="00CA3765">
        <w:tc>
          <w:tcPr>
            <w:tcW w:w="3190" w:type="dxa"/>
            <w:gridSpan w:val="2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Возрастные группы, лет</w:t>
            </w:r>
          </w:p>
        </w:tc>
        <w:tc>
          <w:tcPr>
            <w:tcW w:w="3190" w:type="dxa"/>
            <w:gridSpan w:val="2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Неблагоприятный прогноз (</w:t>
            </w:r>
            <w:r w:rsidRPr="00B30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=11)</w:t>
            </w:r>
          </w:p>
        </w:tc>
        <w:tc>
          <w:tcPr>
            <w:tcW w:w="3191" w:type="dxa"/>
            <w:gridSpan w:val="2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Благоприятный прогноз (</w:t>
            </w:r>
            <w:r w:rsidRPr="00B304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=9)</w:t>
            </w:r>
          </w:p>
        </w:tc>
      </w:tr>
      <w:tr w:rsidR="00A81C8E" w:rsidRPr="00B30458" w:rsidTr="00CA3765">
        <w:tc>
          <w:tcPr>
            <w:tcW w:w="3190" w:type="dxa"/>
            <w:gridSpan w:val="2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596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</w:tr>
      <w:tr w:rsidR="00A81C8E" w:rsidRPr="00B30458" w:rsidTr="00E23409">
        <w:tc>
          <w:tcPr>
            <w:tcW w:w="1595" w:type="dxa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20-29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знач., чел.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81C8E" w:rsidRPr="00B30458" w:rsidTr="00E23409">
        <w:tc>
          <w:tcPr>
            <w:tcW w:w="1595" w:type="dxa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C25DB9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C8E" w:rsidRPr="00B30458" w:rsidTr="00E23409">
        <w:tc>
          <w:tcPr>
            <w:tcW w:w="1595" w:type="dxa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30-39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знач., чел.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81C8E" w:rsidRPr="00B30458" w:rsidTr="00E23409">
        <w:tc>
          <w:tcPr>
            <w:tcW w:w="1595" w:type="dxa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C25DB9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C8E" w:rsidRPr="00B30458" w:rsidTr="00E23409">
        <w:tc>
          <w:tcPr>
            <w:tcW w:w="1595" w:type="dxa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40-49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знач., чел.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6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81C8E" w:rsidRPr="00B30458" w:rsidTr="00E23409">
        <w:tc>
          <w:tcPr>
            <w:tcW w:w="1595" w:type="dxa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C25DB9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C8E" w:rsidRPr="00B30458" w:rsidTr="00E23409">
        <w:tc>
          <w:tcPr>
            <w:tcW w:w="1595" w:type="dxa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50-59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знач., чел.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1C8E" w:rsidRPr="00B30458" w:rsidTr="00E23409">
        <w:tc>
          <w:tcPr>
            <w:tcW w:w="1595" w:type="dxa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C25DB9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6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A81C8E" w:rsidRPr="00B30458" w:rsidTr="00E23409">
        <w:tc>
          <w:tcPr>
            <w:tcW w:w="1595" w:type="dxa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60-69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знач., чел.</w:t>
            </w:r>
          </w:p>
        </w:tc>
        <w:tc>
          <w:tcPr>
            <w:tcW w:w="1595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2D25B4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A81C8E" w:rsidRPr="00B30458" w:rsidRDefault="002D25B4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1C8E" w:rsidRPr="00B30458" w:rsidTr="00E23409">
        <w:tc>
          <w:tcPr>
            <w:tcW w:w="1595" w:type="dxa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C25DB9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6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A81C8E" w:rsidRPr="00B30458" w:rsidTr="00E23409">
        <w:tc>
          <w:tcPr>
            <w:tcW w:w="1595" w:type="dxa"/>
            <w:vMerge w:val="restart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70-79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Абс. знач., чел.</w:t>
            </w:r>
          </w:p>
        </w:tc>
        <w:tc>
          <w:tcPr>
            <w:tcW w:w="1595" w:type="dxa"/>
          </w:tcPr>
          <w:p w:rsidR="00A81C8E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95" w:type="dxa"/>
          </w:tcPr>
          <w:p w:rsidR="00A81C8E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A81C8E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A81C8E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81C8E" w:rsidRPr="00B30458" w:rsidTr="00E23409">
        <w:tc>
          <w:tcPr>
            <w:tcW w:w="1595" w:type="dxa"/>
            <w:vMerge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95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5" w:type="dxa"/>
          </w:tcPr>
          <w:p w:rsidR="00A81C8E" w:rsidRPr="00B30458" w:rsidRDefault="005E67DF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1596" w:type="dxa"/>
          </w:tcPr>
          <w:p w:rsidR="00A81C8E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3409" w:rsidRPr="00B30458" w:rsidTr="00E23409">
        <w:tc>
          <w:tcPr>
            <w:tcW w:w="1595" w:type="dxa"/>
          </w:tcPr>
          <w:p w:rsidR="00E23409" w:rsidRPr="00B30458" w:rsidRDefault="00A81C8E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Средний возраст, лет</w:t>
            </w:r>
          </w:p>
        </w:tc>
        <w:tc>
          <w:tcPr>
            <w:tcW w:w="1595" w:type="dxa"/>
          </w:tcPr>
          <w:p w:rsidR="00E23409" w:rsidRPr="00B30458" w:rsidRDefault="00E23409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E23409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95" w:type="dxa"/>
          </w:tcPr>
          <w:p w:rsidR="00E23409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595" w:type="dxa"/>
          </w:tcPr>
          <w:p w:rsidR="00E23409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596" w:type="dxa"/>
          </w:tcPr>
          <w:p w:rsidR="00E23409" w:rsidRPr="00B30458" w:rsidRDefault="00D21A37" w:rsidP="00B3045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045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C77E75" w:rsidRPr="00B30458" w:rsidRDefault="00C77E75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4B5" w:rsidRDefault="00AA04B5" w:rsidP="00BE1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Рис. 5</w:t>
      </w:r>
      <w:r w:rsidRPr="00BE12E8">
        <w:rPr>
          <w:rFonts w:ascii="Times New Roman" w:hAnsi="Times New Roman" w:cs="Times New Roman"/>
          <w:b/>
          <w:sz w:val="28"/>
          <w:szCs w:val="28"/>
        </w:rPr>
        <w:t>. Распределение по локализации опухоли в группе неблагоприятного прогноза</w:t>
      </w:r>
    </w:p>
    <w:p w:rsidR="00537630" w:rsidRPr="00B30458" w:rsidRDefault="00537630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97046" cy="3091543"/>
            <wp:effectExtent l="19050" t="0" r="13154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37630" w:rsidRPr="00B30458" w:rsidRDefault="00537630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7630" w:rsidRDefault="00537630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 группе пациентов благоприятного прогноза опухоли восхо</w:t>
      </w:r>
      <w:r w:rsidR="0046480B" w:rsidRPr="00B30458">
        <w:rPr>
          <w:rFonts w:ascii="Times New Roman" w:hAnsi="Times New Roman" w:cs="Times New Roman"/>
          <w:sz w:val="28"/>
          <w:szCs w:val="28"/>
        </w:rPr>
        <w:t>д</w:t>
      </w:r>
      <w:r w:rsidRPr="00B30458">
        <w:rPr>
          <w:rFonts w:ascii="Times New Roman" w:hAnsi="Times New Roman" w:cs="Times New Roman"/>
          <w:sz w:val="28"/>
          <w:szCs w:val="28"/>
        </w:rPr>
        <w:t>ящей части ободочной кишки и сигмовидной составили по 33%</w:t>
      </w:r>
      <w:r w:rsidR="00E04272" w:rsidRPr="00B30458">
        <w:rPr>
          <w:rFonts w:ascii="Times New Roman" w:hAnsi="Times New Roman" w:cs="Times New Roman"/>
          <w:sz w:val="28"/>
          <w:szCs w:val="28"/>
        </w:rPr>
        <w:t xml:space="preserve"> (</w:t>
      </w:r>
      <w:r w:rsidR="00E04272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04272" w:rsidRPr="00B30458">
        <w:rPr>
          <w:rFonts w:ascii="Times New Roman" w:hAnsi="Times New Roman" w:cs="Times New Roman"/>
          <w:sz w:val="28"/>
          <w:szCs w:val="28"/>
        </w:rPr>
        <w:t xml:space="preserve"> в обоих случаях=3)</w:t>
      </w:r>
      <w:r w:rsidRPr="00B30458">
        <w:rPr>
          <w:rFonts w:ascii="Times New Roman" w:hAnsi="Times New Roman" w:cs="Times New Roman"/>
          <w:sz w:val="28"/>
          <w:szCs w:val="28"/>
        </w:rPr>
        <w:t xml:space="preserve">, </w:t>
      </w:r>
      <w:r w:rsidR="00E04272" w:rsidRPr="00B30458">
        <w:rPr>
          <w:rFonts w:ascii="Times New Roman" w:hAnsi="Times New Roman" w:cs="Times New Roman"/>
          <w:sz w:val="28"/>
          <w:szCs w:val="28"/>
        </w:rPr>
        <w:t>опухоли слепой – 22% (</w:t>
      </w:r>
      <w:r w:rsidR="00E04272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07C8C">
        <w:rPr>
          <w:rFonts w:ascii="Times New Roman" w:hAnsi="Times New Roman" w:cs="Times New Roman"/>
          <w:sz w:val="28"/>
          <w:szCs w:val="28"/>
        </w:rPr>
        <w:t>=2)</w:t>
      </w:r>
      <w:r w:rsidR="00E04272" w:rsidRPr="00B30458">
        <w:rPr>
          <w:rFonts w:ascii="Times New Roman" w:hAnsi="Times New Roman" w:cs="Times New Roman"/>
          <w:sz w:val="28"/>
          <w:szCs w:val="28"/>
        </w:rPr>
        <w:t>,</w:t>
      </w:r>
      <w:r w:rsidR="00907C8C">
        <w:rPr>
          <w:rFonts w:ascii="Times New Roman" w:hAnsi="Times New Roman" w:cs="Times New Roman"/>
          <w:sz w:val="28"/>
          <w:szCs w:val="28"/>
        </w:rPr>
        <w:t xml:space="preserve"> </w:t>
      </w:r>
      <w:r w:rsidR="00E04272" w:rsidRPr="00B30458">
        <w:rPr>
          <w:rFonts w:ascii="Times New Roman" w:hAnsi="Times New Roman" w:cs="Times New Roman"/>
          <w:sz w:val="28"/>
          <w:szCs w:val="28"/>
        </w:rPr>
        <w:t>и поперечно-ободочной – 11% (</w:t>
      </w:r>
      <w:r w:rsidR="00E04272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04272" w:rsidRPr="00B30458">
        <w:rPr>
          <w:rFonts w:ascii="Times New Roman" w:hAnsi="Times New Roman" w:cs="Times New Roman"/>
          <w:sz w:val="28"/>
          <w:szCs w:val="28"/>
        </w:rPr>
        <w:t>=1).</w:t>
      </w:r>
    </w:p>
    <w:p w:rsidR="00BE12E8" w:rsidRPr="00B30458" w:rsidRDefault="00BE12E8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6</w:t>
      </w:r>
      <w:r w:rsidRPr="00BE12E8">
        <w:rPr>
          <w:rFonts w:ascii="Times New Roman" w:hAnsi="Times New Roman" w:cs="Times New Roman"/>
          <w:b/>
          <w:sz w:val="28"/>
          <w:szCs w:val="28"/>
        </w:rPr>
        <w:t>. Распределение по локализации опухоли в группе благоприятного прогноза</w:t>
      </w:r>
    </w:p>
    <w:p w:rsidR="00537630" w:rsidRPr="00B30458" w:rsidRDefault="00537630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93871" cy="2917372"/>
            <wp:effectExtent l="19050" t="0" r="16329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81C8E" w:rsidRPr="00BE12E8" w:rsidRDefault="00137981" w:rsidP="0013798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7" w:name="_Toc451122293"/>
      <w:r w:rsidRPr="00BE12E8">
        <w:rPr>
          <w:rFonts w:ascii="Times New Roman" w:hAnsi="Times New Roman" w:cs="Times New Roman"/>
          <w:sz w:val="28"/>
          <w:szCs w:val="28"/>
        </w:rPr>
        <w:lastRenderedPageBreak/>
        <w:t xml:space="preserve">3.2. </w:t>
      </w:r>
      <w:r w:rsidR="00C77E75" w:rsidRPr="00BE12E8">
        <w:rPr>
          <w:rFonts w:ascii="Times New Roman" w:hAnsi="Times New Roman" w:cs="Times New Roman"/>
          <w:sz w:val="28"/>
          <w:szCs w:val="28"/>
        </w:rPr>
        <w:t>Сравнительная оценка нейтрофильной инфильтрации опухоли в группах благоприятного и неблагоприятного прогнозов</w:t>
      </w:r>
      <w:bookmarkEnd w:id="17"/>
    </w:p>
    <w:p w:rsidR="00A81C8E" w:rsidRPr="00B30458" w:rsidRDefault="00A81C8E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83F" w:rsidRPr="00B30458" w:rsidRDefault="00C3683F" w:rsidP="00BE12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Показатель нейтрофильного звена микроокружения опух</w:t>
      </w:r>
      <w:r w:rsidR="00AC1753" w:rsidRPr="00B30458">
        <w:rPr>
          <w:rFonts w:ascii="Times New Roman" w:hAnsi="Times New Roman" w:cs="Times New Roman"/>
          <w:sz w:val="28"/>
          <w:szCs w:val="28"/>
        </w:rPr>
        <w:t xml:space="preserve">оли варьировал в пределах от </w:t>
      </w:r>
      <w:r w:rsidR="000B1A55" w:rsidRPr="00B30458">
        <w:rPr>
          <w:rFonts w:ascii="Times New Roman" w:hAnsi="Times New Roman" w:cs="Times New Roman"/>
          <w:sz w:val="28"/>
          <w:szCs w:val="28"/>
        </w:rPr>
        <w:t>5 до 510</w:t>
      </w:r>
      <w:r w:rsidR="00AC1753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 xml:space="preserve">в кВ.мм. (8 стандартных полей зрения): средний показатель составил </w:t>
      </w:r>
      <w:r w:rsidR="000B1A55" w:rsidRPr="00B30458">
        <w:rPr>
          <w:rFonts w:ascii="Times New Roman" w:hAnsi="Times New Roman" w:cs="Times New Roman"/>
          <w:sz w:val="28"/>
          <w:szCs w:val="28"/>
        </w:rPr>
        <w:t>18</w:t>
      </w:r>
      <w:r w:rsidR="00AC1753" w:rsidRPr="00B30458">
        <w:rPr>
          <w:rFonts w:ascii="Times New Roman" w:hAnsi="Times New Roman" w:cs="Times New Roman"/>
          <w:sz w:val="28"/>
          <w:szCs w:val="28"/>
        </w:rPr>
        <w:t>7±</w:t>
      </w:r>
      <w:r w:rsidR="000B1A55" w:rsidRPr="00B30458">
        <w:rPr>
          <w:rFonts w:ascii="Times New Roman" w:hAnsi="Times New Roman" w:cs="Times New Roman"/>
          <w:sz w:val="28"/>
          <w:szCs w:val="28"/>
        </w:rPr>
        <w:t>144</w:t>
      </w:r>
      <w:r w:rsidRPr="00B30458">
        <w:rPr>
          <w:rFonts w:ascii="Times New Roman" w:hAnsi="Times New Roman" w:cs="Times New Roman"/>
          <w:sz w:val="28"/>
          <w:szCs w:val="28"/>
        </w:rPr>
        <w:t xml:space="preserve">, медиана количества нейтрофилов составила  </w:t>
      </w:r>
      <w:r w:rsidR="000B1A55" w:rsidRPr="00B30458">
        <w:rPr>
          <w:rFonts w:ascii="Times New Roman" w:hAnsi="Times New Roman" w:cs="Times New Roman"/>
          <w:sz w:val="28"/>
          <w:szCs w:val="28"/>
        </w:rPr>
        <w:t>140</w:t>
      </w:r>
      <w:r w:rsidR="00AC1753" w:rsidRPr="00B30458">
        <w:rPr>
          <w:rFonts w:ascii="Times New Roman" w:hAnsi="Times New Roman" w:cs="Times New Roman"/>
          <w:sz w:val="28"/>
          <w:szCs w:val="28"/>
        </w:rPr>
        <w:t xml:space="preserve"> в мм.кв (8 стандартных полей зрения)</w:t>
      </w:r>
    </w:p>
    <w:p w:rsidR="00BB433A" w:rsidRPr="00B30458" w:rsidRDefault="00BB433A" w:rsidP="00907C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 группе неблагопри</w:t>
      </w:r>
      <w:r w:rsidR="00907C8C">
        <w:rPr>
          <w:rFonts w:ascii="Times New Roman" w:hAnsi="Times New Roman" w:cs="Times New Roman"/>
          <w:sz w:val="28"/>
          <w:szCs w:val="28"/>
        </w:rPr>
        <w:t>я</w:t>
      </w:r>
      <w:r w:rsidRPr="00B30458">
        <w:rPr>
          <w:rFonts w:ascii="Times New Roman" w:hAnsi="Times New Roman" w:cs="Times New Roman"/>
          <w:sz w:val="28"/>
          <w:szCs w:val="28"/>
        </w:rPr>
        <w:t>тного прогноза общее количество нейтроф</w:t>
      </w:r>
      <w:r w:rsidR="00907C8C">
        <w:rPr>
          <w:rFonts w:ascii="Times New Roman" w:hAnsi="Times New Roman" w:cs="Times New Roman"/>
          <w:sz w:val="28"/>
          <w:szCs w:val="28"/>
        </w:rPr>
        <w:t>и</w:t>
      </w:r>
      <w:r w:rsidRPr="00B30458">
        <w:rPr>
          <w:rFonts w:ascii="Times New Roman" w:hAnsi="Times New Roman" w:cs="Times New Roman"/>
          <w:sz w:val="28"/>
          <w:szCs w:val="28"/>
        </w:rPr>
        <w:t>лов варьировало от</w:t>
      </w:r>
      <w:r w:rsidR="000B1A55" w:rsidRPr="00B30458">
        <w:rPr>
          <w:rFonts w:ascii="Times New Roman" w:hAnsi="Times New Roman" w:cs="Times New Roman"/>
          <w:sz w:val="28"/>
          <w:szCs w:val="28"/>
        </w:rPr>
        <w:t xml:space="preserve"> 99</w:t>
      </w:r>
      <w:r w:rsidRPr="00B30458">
        <w:rPr>
          <w:rFonts w:ascii="Times New Roman" w:hAnsi="Times New Roman" w:cs="Times New Roman"/>
          <w:sz w:val="28"/>
          <w:szCs w:val="28"/>
        </w:rPr>
        <w:t xml:space="preserve"> до</w:t>
      </w:r>
      <w:r w:rsidR="00AC1753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CB2F9D" w:rsidRPr="00B30458">
        <w:rPr>
          <w:rFonts w:ascii="Times New Roman" w:hAnsi="Times New Roman" w:cs="Times New Roman"/>
          <w:sz w:val="28"/>
          <w:szCs w:val="28"/>
        </w:rPr>
        <w:t>389</w:t>
      </w:r>
      <w:r w:rsidRPr="00B30458">
        <w:rPr>
          <w:rFonts w:ascii="Times New Roman" w:hAnsi="Times New Roman" w:cs="Times New Roman"/>
          <w:sz w:val="28"/>
          <w:szCs w:val="28"/>
        </w:rPr>
        <w:t xml:space="preserve">, </w:t>
      </w:r>
      <w:r w:rsidR="00AC1753" w:rsidRPr="00B30458">
        <w:rPr>
          <w:rFonts w:ascii="Times New Roman" w:hAnsi="Times New Roman" w:cs="Times New Roman"/>
          <w:sz w:val="28"/>
          <w:szCs w:val="28"/>
        </w:rPr>
        <w:t>в</w:t>
      </w:r>
      <w:r w:rsidRPr="00B30458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AC1753" w:rsidRPr="00B30458">
        <w:rPr>
          <w:rFonts w:ascii="Times New Roman" w:hAnsi="Times New Roman" w:cs="Times New Roman"/>
          <w:sz w:val="28"/>
          <w:szCs w:val="28"/>
        </w:rPr>
        <w:t xml:space="preserve">е благоприятного прогноза – от </w:t>
      </w:r>
      <w:r w:rsidR="000B1A55" w:rsidRPr="00B30458">
        <w:rPr>
          <w:rFonts w:ascii="Times New Roman" w:hAnsi="Times New Roman" w:cs="Times New Roman"/>
          <w:sz w:val="28"/>
          <w:szCs w:val="28"/>
        </w:rPr>
        <w:t>15 до 158</w:t>
      </w:r>
      <w:r w:rsidR="00AC1753" w:rsidRPr="00B30458">
        <w:rPr>
          <w:rFonts w:ascii="Times New Roman" w:hAnsi="Times New Roman" w:cs="Times New Roman"/>
          <w:sz w:val="28"/>
          <w:szCs w:val="28"/>
        </w:rPr>
        <w:t>.</w:t>
      </w:r>
    </w:p>
    <w:p w:rsidR="005C6009" w:rsidRPr="00B30458" w:rsidRDefault="005C6009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2E8">
        <w:rPr>
          <w:rFonts w:ascii="Times New Roman" w:hAnsi="Times New Roman" w:cs="Times New Roman"/>
          <w:b/>
          <w:sz w:val="28"/>
          <w:szCs w:val="28"/>
        </w:rPr>
        <w:t>Рис. 7. Смешанная лимфоцитарно-плазмоцитарно-нейтрофильная инфильтрация</w:t>
      </w: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753" w:rsidRPr="00BE12E8" w:rsidRDefault="005C6009" w:rsidP="005C60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2E8"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046202" cy="4093028"/>
            <wp:effectExtent l="19050" t="0" r="0" b="0"/>
            <wp:docPr id="3" name="Рисунок 1" descr="Безымянный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Безымянный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500" cy="40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75" w:rsidRPr="00B30458" w:rsidRDefault="00C77E75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7E75" w:rsidRPr="00B30458" w:rsidRDefault="00C77E75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7E75" w:rsidRPr="00B30458" w:rsidRDefault="00C77E75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77E75" w:rsidRPr="00B30458" w:rsidRDefault="00C77E75" w:rsidP="005C60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A81C8E" w:rsidP="00BE12E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lastRenderedPageBreak/>
        <w:t>Для оценки различи</w:t>
      </w:r>
      <w:r w:rsidR="00BB433A" w:rsidRPr="00B30458">
        <w:rPr>
          <w:rFonts w:ascii="Times New Roman" w:hAnsi="Times New Roman" w:cs="Times New Roman"/>
          <w:sz w:val="28"/>
          <w:szCs w:val="28"/>
        </w:rPr>
        <w:t xml:space="preserve">й в количестве инфильтрирующих опухоль нейтрофилов между группами благоприятного и неблагоприятного прогнозов применялся непараметрический </w:t>
      </w:r>
      <w:r w:rsidR="00BB433A" w:rsidRPr="00B3045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BB433A" w:rsidRPr="00B30458">
        <w:rPr>
          <w:rFonts w:ascii="Times New Roman" w:hAnsi="Times New Roman" w:cs="Times New Roman"/>
          <w:sz w:val="28"/>
          <w:szCs w:val="28"/>
        </w:rPr>
        <w:t>-критерий Манна-Уитни. Для выявления наличия статистически значимой корреляции между количеством нейтрофилов и  временем до прогрессирования использовался статистический метод с применением критерия Спирмена.</w:t>
      </w:r>
      <w:r w:rsidR="00BB433A" w:rsidRPr="00B304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0BF1" w:rsidRPr="00BE12E8" w:rsidRDefault="00BB433A" w:rsidP="00BE12E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Степень инфильтрированности опухоли нейтрофилами достоверно выше в группе пациентов с неблагоприятны прогнозом (</w:t>
      </w:r>
      <w:r w:rsidR="009A0BF1" w:rsidRPr="00B30458">
        <w:rPr>
          <w:rFonts w:ascii="Times New Roman" w:hAnsi="Times New Roman" w:cs="Times New Roman"/>
          <w:sz w:val="28"/>
          <w:szCs w:val="28"/>
        </w:rPr>
        <w:t xml:space="preserve">критерий </w:t>
      </w:r>
      <w:r w:rsidR="009A0BF1" w:rsidRPr="00B3045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9A0BF1" w:rsidRPr="00B30458">
        <w:rPr>
          <w:rFonts w:ascii="Times New Roman" w:hAnsi="Times New Roman" w:cs="Times New Roman"/>
          <w:sz w:val="28"/>
          <w:szCs w:val="28"/>
        </w:rPr>
        <w:t xml:space="preserve"> Манна-Уитни 20.0, </w:t>
      </w:r>
      <w:r w:rsidR="009A0BF1" w:rsidRPr="00B3045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17F28" w:rsidRPr="00B17F28">
        <w:rPr>
          <w:rFonts w:ascii="Times New Roman" w:hAnsi="Times New Roman" w:cs="Times New Roman"/>
          <w:sz w:val="28"/>
          <w:szCs w:val="28"/>
        </w:rPr>
        <w:t>&lt;0.05</w:t>
      </w:r>
      <w:r w:rsidR="009A0BF1" w:rsidRPr="00B30458">
        <w:rPr>
          <w:rFonts w:ascii="Times New Roman" w:hAnsi="Times New Roman" w:cs="Times New Roman"/>
          <w:sz w:val="28"/>
          <w:szCs w:val="28"/>
        </w:rPr>
        <w:t xml:space="preserve">); при сравнении средних </w:t>
      </w:r>
      <w:r w:rsidR="00F11E6D" w:rsidRPr="00B30458">
        <w:rPr>
          <w:rFonts w:ascii="Times New Roman" w:hAnsi="Times New Roman" w:cs="Times New Roman"/>
          <w:sz w:val="28"/>
          <w:szCs w:val="28"/>
        </w:rPr>
        <w:t>по количеству нейтрофилов – в группе небл</w:t>
      </w:r>
      <w:r w:rsidR="000B1A55" w:rsidRPr="00B30458">
        <w:rPr>
          <w:rFonts w:ascii="Times New Roman" w:hAnsi="Times New Roman" w:cs="Times New Roman"/>
          <w:sz w:val="28"/>
          <w:szCs w:val="28"/>
        </w:rPr>
        <w:t>агоприятного прогноза в 1 мм 254</w:t>
      </w:r>
      <w:r w:rsidR="00E16479" w:rsidRPr="00B30458">
        <w:rPr>
          <w:rFonts w:ascii="Times New Roman" w:hAnsi="Times New Roman" w:cs="Times New Roman"/>
          <w:sz w:val="28"/>
          <w:szCs w:val="28"/>
        </w:rPr>
        <w:t>±</w:t>
      </w:r>
      <w:r w:rsidR="000B1A55" w:rsidRPr="00B30458">
        <w:rPr>
          <w:rFonts w:ascii="Times New Roman" w:hAnsi="Times New Roman" w:cs="Times New Roman"/>
          <w:sz w:val="28"/>
          <w:szCs w:val="28"/>
        </w:rPr>
        <w:t>165, в группе благоприятного – 104</w:t>
      </w:r>
      <w:r w:rsidR="00E16479" w:rsidRPr="00B30458">
        <w:rPr>
          <w:rFonts w:ascii="Times New Roman" w:hAnsi="Times New Roman" w:cs="Times New Roman"/>
          <w:sz w:val="28"/>
          <w:szCs w:val="28"/>
        </w:rPr>
        <w:t>±</w:t>
      </w:r>
      <w:r w:rsidR="000B1A55" w:rsidRPr="00B30458">
        <w:rPr>
          <w:rFonts w:ascii="Times New Roman" w:hAnsi="Times New Roman" w:cs="Times New Roman"/>
          <w:sz w:val="28"/>
          <w:szCs w:val="28"/>
        </w:rPr>
        <w:t>43</w:t>
      </w:r>
      <w:r w:rsidR="00F11E6D" w:rsidRPr="00B30458">
        <w:rPr>
          <w:rFonts w:ascii="Times New Roman" w:hAnsi="Times New Roman" w:cs="Times New Roman"/>
          <w:sz w:val="28"/>
          <w:szCs w:val="28"/>
        </w:rPr>
        <w:t xml:space="preserve"> в 1 мм.</w:t>
      </w:r>
    </w:p>
    <w:p w:rsidR="00C77E75" w:rsidRPr="00B30458" w:rsidRDefault="00C77E75" w:rsidP="00B3045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8</w:t>
      </w:r>
      <w:r w:rsidRPr="00BE12E8">
        <w:rPr>
          <w:rFonts w:ascii="Times New Roman" w:hAnsi="Times New Roman" w:cs="Times New Roman"/>
          <w:b/>
          <w:sz w:val="28"/>
          <w:szCs w:val="28"/>
        </w:rPr>
        <w:t>. Различия в степени инфильтрированности опухоли в группах благоприятного и неблагоприятного прогнозов (</w:t>
      </w:r>
      <w:r w:rsidRPr="00BE12E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BE12E8">
        <w:rPr>
          <w:rFonts w:ascii="Times New Roman" w:hAnsi="Times New Roman" w:cs="Times New Roman"/>
          <w:b/>
          <w:sz w:val="28"/>
          <w:szCs w:val="28"/>
        </w:rPr>
        <w:t>&lt;0.05)</w:t>
      </w: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753" w:rsidRPr="00B30458" w:rsidRDefault="00E16479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510893" cy="3592285"/>
            <wp:effectExtent l="19050" t="0" r="13607" b="8165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480B" w:rsidRPr="00B30458" w:rsidRDefault="0046480B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7E75" w:rsidRPr="00B30458" w:rsidRDefault="00C77E75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AC1753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BE12E8">
        <w:rPr>
          <w:rFonts w:ascii="Times New Roman" w:hAnsi="Times New Roman" w:cs="Times New Roman"/>
          <w:sz w:val="28"/>
          <w:szCs w:val="28"/>
        </w:rPr>
        <w:tab/>
      </w:r>
    </w:p>
    <w:p w:rsidR="009957E9" w:rsidRPr="00B30458" w:rsidRDefault="00822B75" w:rsidP="00BE12E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</w:pPr>
      <w:r w:rsidRPr="00B30458">
        <w:rPr>
          <w:rFonts w:ascii="Times New Roman" w:hAnsi="Times New Roman" w:cs="Times New Roman"/>
          <w:sz w:val="28"/>
          <w:szCs w:val="28"/>
        </w:rPr>
        <w:lastRenderedPageBreak/>
        <w:t xml:space="preserve">Была выявлена </w:t>
      </w:r>
      <w:r w:rsidR="009957E9" w:rsidRPr="00B30458">
        <w:rPr>
          <w:rFonts w:ascii="Times New Roman" w:hAnsi="Times New Roman" w:cs="Times New Roman"/>
          <w:sz w:val="28"/>
          <w:szCs w:val="28"/>
        </w:rPr>
        <w:t xml:space="preserve">отрицательная </w:t>
      </w:r>
      <w:r w:rsidRPr="00B30458">
        <w:rPr>
          <w:rFonts w:ascii="Times New Roman" w:hAnsi="Times New Roman" w:cs="Times New Roman"/>
          <w:sz w:val="28"/>
          <w:szCs w:val="28"/>
        </w:rPr>
        <w:t>корреляция средней степени силы между коли</w:t>
      </w:r>
      <w:r w:rsidR="009957E9" w:rsidRPr="00B30458">
        <w:rPr>
          <w:rFonts w:ascii="Times New Roman" w:hAnsi="Times New Roman" w:cs="Times New Roman"/>
          <w:sz w:val="28"/>
          <w:szCs w:val="28"/>
        </w:rPr>
        <w:t>чеством нейтрофилов в 1 мм.кв. и временем до прогрессирования (коэффициент корреляции =</w:t>
      </w:r>
      <w:r w:rsidR="00B17F28">
        <w:rPr>
          <w:rFonts w:ascii="Times New Roman" w:hAnsi="Times New Roman" w:cs="Times New Roman"/>
          <w:sz w:val="28"/>
          <w:szCs w:val="28"/>
        </w:rPr>
        <w:t xml:space="preserve"> </w:t>
      </w:r>
      <w:r w:rsidR="009957E9" w:rsidRPr="00B3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-0,556842919</w:t>
      </w:r>
      <w:r w:rsidR="009D070B" w:rsidRPr="00B3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ar-SA"/>
        </w:rPr>
        <w:t>)</w:t>
      </w:r>
    </w:p>
    <w:p w:rsidR="00EC47FF" w:rsidRPr="00B30458" w:rsidRDefault="00EC47FF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2E8">
        <w:rPr>
          <w:rFonts w:ascii="Times New Roman" w:hAnsi="Times New Roman" w:cs="Times New Roman"/>
          <w:b/>
          <w:sz w:val="28"/>
          <w:szCs w:val="28"/>
        </w:rPr>
        <w:t>Рис.9. Отрицательная корреляция количества нейтрофилов и времени до прогрессирования (</w:t>
      </w:r>
      <w:r w:rsidRPr="00BE12E8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BE12E8">
        <w:rPr>
          <w:rFonts w:ascii="Times New Roman" w:hAnsi="Times New Roman" w:cs="Times New Roman"/>
          <w:b/>
          <w:sz w:val="28"/>
          <w:szCs w:val="28"/>
        </w:rPr>
        <w:t>= -0.56)</w:t>
      </w:r>
    </w:p>
    <w:p w:rsidR="00907C8C" w:rsidRPr="00BE12E8" w:rsidRDefault="00907C8C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21EA" w:rsidRPr="00B30458" w:rsidRDefault="0046480B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416550" cy="3644900"/>
            <wp:effectExtent l="19050" t="0" r="1270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480B" w:rsidRPr="00B30458" w:rsidRDefault="0046480B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21EA" w:rsidRPr="00BE12E8" w:rsidRDefault="00137981" w:rsidP="0013798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8" w:name="_Toc451122294"/>
      <w:r w:rsidRPr="00BE12E8">
        <w:rPr>
          <w:rFonts w:ascii="Times New Roman" w:hAnsi="Times New Roman" w:cs="Times New Roman"/>
          <w:sz w:val="28"/>
          <w:szCs w:val="28"/>
        </w:rPr>
        <w:t xml:space="preserve">3.3. </w:t>
      </w:r>
      <w:r w:rsidR="00185442" w:rsidRPr="00BE12E8">
        <w:rPr>
          <w:rFonts w:ascii="Times New Roman" w:hAnsi="Times New Roman" w:cs="Times New Roman"/>
          <w:sz w:val="28"/>
          <w:szCs w:val="28"/>
        </w:rPr>
        <w:t>Сравнительная оценка эозин</w:t>
      </w:r>
      <w:r w:rsidR="00C77E75" w:rsidRPr="00BE12E8">
        <w:rPr>
          <w:rFonts w:ascii="Times New Roman" w:hAnsi="Times New Roman" w:cs="Times New Roman"/>
          <w:sz w:val="28"/>
          <w:szCs w:val="28"/>
        </w:rPr>
        <w:t>офильной инфильтрации опухоли в группах благоприятного и неблагоприятного прогнозов</w:t>
      </w:r>
      <w:bookmarkEnd w:id="18"/>
    </w:p>
    <w:p w:rsidR="000021EA" w:rsidRPr="00B30458" w:rsidRDefault="000021EA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1EA" w:rsidRPr="00B30458" w:rsidRDefault="000021EA" w:rsidP="00BE12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Эозинофильный компонент микроокружения опух</w:t>
      </w:r>
      <w:r w:rsidR="00EC47FF" w:rsidRPr="00B30458">
        <w:rPr>
          <w:rFonts w:ascii="Times New Roman" w:hAnsi="Times New Roman" w:cs="Times New Roman"/>
          <w:sz w:val="28"/>
          <w:szCs w:val="28"/>
        </w:rPr>
        <w:t>оли варьировал в пределах</w:t>
      </w:r>
      <w:r w:rsidR="000B1A55" w:rsidRPr="00B30458">
        <w:rPr>
          <w:rFonts w:ascii="Times New Roman" w:hAnsi="Times New Roman" w:cs="Times New Roman"/>
          <w:sz w:val="28"/>
          <w:szCs w:val="28"/>
        </w:rPr>
        <w:t xml:space="preserve"> от 0 до 73</w:t>
      </w:r>
      <w:r w:rsidR="00EC47FF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в кВ.мм. (8 стандартных полей зрения)</w:t>
      </w:r>
      <w:r w:rsidR="00EC47FF" w:rsidRPr="00B30458">
        <w:rPr>
          <w:rFonts w:ascii="Times New Roman" w:hAnsi="Times New Roman" w:cs="Times New Roman"/>
          <w:sz w:val="28"/>
          <w:szCs w:val="28"/>
        </w:rPr>
        <w:t xml:space="preserve">: средний показатель составил </w:t>
      </w:r>
      <w:r w:rsidR="000B1A55" w:rsidRPr="00B30458">
        <w:rPr>
          <w:rFonts w:ascii="Times New Roman" w:hAnsi="Times New Roman" w:cs="Times New Roman"/>
          <w:sz w:val="28"/>
          <w:szCs w:val="28"/>
        </w:rPr>
        <w:t>15±18</w:t>
      </w:r>
      <w:r w:rsidR="00EC47FF" w:rsidRPr="00B30458">
        <w:rPr>
          <w:rFonts w:ascii="Times New Roman" w:hAnsi="Times New Roman" w:cs="Times New Roman"/>
          <w:sz w:val="28"/>
          <w:szCs w:val="28"/>
        </w:rPr>
        <w:t>,</w:t>
      </w:r>
      <w:r w:rsidRPr="00B30458">
        <w:rPr>
          <w:rFonts w:ascii="Times New Roman" w:hAnsi="Times New Roman" w:cs="Times New Roman"/>
          <w:sz w:val="28"/>
          <w:szCs w:val="28"/>
        </w:rPr>
        <w:t xml:space="preserve"> медиана ко</w:t>
      </w:r>
      <w:r w:rsidR="000B1A55" w:rsidRPr="00B30458">
        <w:rPr>
          <w:rFonts w:ascii="Times New Roman" w:hAnsi="Times New Roman" w:cs="Times New Roman"/>
          <w:sz w:val="28"/>
          <w:szCs w:val="28"/>
        </w:rPr>
        <w:t xml:space="preserve">личества нейтрофилов составила  9 </w:t>
      </w:r>
      <w:r w:rsidRPr="00B30458">
        <w:rPr>
          <w:rFonts w:ascii="Times New Roman" w:hAnsi="Times New Roman" w:cs="Times New Roman"/>
          <w:sz w:val="28"/>
          <w:szCs w:val="28"/>
        </w:rPr>
        <w:t>в мм.</w:t>
      </w:r>
      <w:r w:rsidR="00907C8C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кв.</w:t>
      </w:r>
    </w:p>
    <w:p w:rsidR="000021EA" w:rsidRPr="00B30458" w:rsidRDefault="000021EA" w:rsidP="00907C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 группе неблагопри</w:t>
      </w:r>
      <w:r w:rsidR="000B1A55" w:rsidRPr="00B30458">
        <w:rPr>
          <w:rFonts w:ascii="Times New Roman" w:hAnsi="Times New Roman" w:cs="Times New Roman"/>
          <w:sz w:val="28"/>
          <w:szCs w:val="28"/>
        </w:rPr>
        <w:t>я</w:t>
      </w:r>
      <w:r w:rsidRPr="00B30458">
        <w:rPr>
          <w:rFonts w:ascii="Times New Roman" w:hAnsi="Times New Roman" w:cs="Times New Roman"/>
          <w:sz w:val="28"/>
          <w:szCs w:val="28"/>
        </w:rPr>
        <w:t xml:space="preserve">тного прогноза общее количество эозинофилов </w:t>
      </w:r>
      <w:r w:rsidR="00907C8C">
        <w:rPr>
          <w:rFonts w:ascii="Times New Roman" w:hAnsi="Times New Roman" w:cs="Times New Roman"/>
          <w:sz w:val="28"/>
          <w:szCs w:val="28"/>
        </w:rPr>
        <w:t xml:space="preserve">в мм.кв. </w:t>
      </w:r>
      <w:r w:rsidRPr="00B30458">
        <w:rPr>
          <w:rFonts w:ascii="Times New Roman" w:hAnsi="Times New Roman" w:cs="Times New Roman"/>
          <w:sz w:val="28"/>
          <w:szCs w:val="28"/>
        </w:rPr>
        <w:t>варьировало от</w:t>
      </w:r>
      <w:r w:rsidR="00823A1A" w:rsidRPr="00B30458">
        <w:rPr>
          <w:rFonts w:ascii="Times New Roman" w:hAnsi="Times New Roman" w:cs="Times New Roman"/>
          <w:sz w:val="28"/>
          <w:szCs w:val="28"/>
        </w:rPr>
        <w:t xml:space="preserve"> 0</w:t>
      </w:r>
      <w:r w:rsidRPr="00B30458">
        <w:rPr>
          <w:rFonts w:ascii="Times New Roman" w:hAnsi="Times New Roman" w:cs="Times New Roman"/>
          <w:sz w:val="28"/>
          <w:szCs w:val="28"/>
        </w:rPr>
        <w:t xml:space="preserve"> до</w:t>
      </w:r>
      <w:r w:rsidR="00823A1A" w:rsidRPr="00B30458">
        <w:rPr>
          <w:rFonts w:ascii="Times New Roman" w:hAnsi="Times New Roman" w:cs="Times New Roman"/>
          <w:sz w:val="28"/>
          <w:szCs w:val="28"/>
        </w:rPr>
        <w:t xml:space="preserve"> 11</w:t>
      </w:r>
      <w:r w:rsidRPr="00B30458">
        <w:rPr>
          <w:rFonts w:ascii="Times New Roman" w:hAnsi="Times New Roman" w:cs="Times New Roman"/>
          <w:sz w:val="28"/>
          <w:szCs w:val="28"/>
        </w:rPr>
        <w:t xml:space="preserve">, </w:t>
      </w:r>
      <w:r w:rsidR="00823A1A" w:rsidRPr="00B30458">
        <w:rPr>
          <w:rFonts w:ascii="Times New Roman" w:hAnsi="Times New Roman" w:cs="Times New Roman"/>
          <w:sz w:val="28"/>
          <w:szCs w:val="28"/>
        </w:rPr>
        <w:t xml:space="preserve">в </w:t>
      </w:r>
      <w:r w:rsidRPr="00B30458">
        <w:rPr>
          <w:rFonts w:ascii="Times New Roman" w:hAnsi="Times New Roman" w:cs="Times New Roman"/>
          <w:sz w:val="28"/>
          <w:szCs w:val="28"/>
        </w:rPr>
        <w:t xml:space="preserve">группе благоприятного прогноза </w:t>
      </w:r>
      <w:r w:rsidR="00823A1A" w:rsidRPr="00B30458">
        <w:rPr>
          <w:rFonts w:ascii="Times New Roman" w:hAnsi="Times New Roman" w:cs="Times New Roman"/>
          <w:sz w:val="28"/>
          <w:szCs w:val="28"/>
        </w:rPr>
        <w:t xml:space="preserve">– от </w:t>
      </w:r>
      <w:r w:rsidR="000B1A55" w:rsidRPr="00B30458">
        <w:rPr>
          <w:rFonts w:ascii="Times New Roman" w:hAnsi="Times New Roman" w:cs="Times New Roman"/>
          <w:sz w:val="28"/>
          <w:szCs w:val="28"/>
        </w:rPr>
        <w:t>9 до 7</w:t>
      </w:r>
      <w:r w:rsidR="00823A1A" w:rsidRPr="00B30458">
        <w:rPr>
          <w:rFonts w:ascii="Times New Roman" w:hAnsi="Times New Roman" w:cs="Times New Roman"/>
          <w:sz w:val="28"/>
          <w:szCs w:val="28"/>
        </w:rPr>
        <w:t>3.</w:t>
      </w:r>
    </w:p>
    <w:p w:rsidR="00C77E75" w:rsidRPr="00B30458" w:rsidRDefault="00C77E75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2E8">
        <w:rPr>
          <w:rFonts w:ascii="Times New Roman" w:hAnsi="Times New Roman" w:cs="Times New Roman"/>
          <w:b/>
          <w:sz w:val="28"/>
          <w:szCs w:val="28"/>
        </w:rPr>
        <w:t>Рис.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  <w:r w:rsidRPr="00BE12E8">
        <w:rPr>
          <w:rFonts w:ascii="Times New Roman" w:hAnsi="Times New Roman" w:cs="Times New Roman"/>
          <w:b/>
          <w:sz w:val="28"/>
          <w:szCs w:val="28"/>
        </w:rPr>
        <w:t>.  Эозинофильная инфильтрация</w:t>
      </w: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7E75" w:rsidRPr="004435D7" w:rsidRDefault="00253EBC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017441" cy="4212772"/>
            <wp:effectExtent l="19050" t="0" r="2359" b="0"/>
            <wp:docPr id="7" name="Рисунок 2" descr="C:\Users\Полина\Desktop\диплом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esktop\диплом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14" cy="422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42" w:rsidRPr="00B30458" w:rsidRDefault="00185442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1EA" w:rsidRDefault="000021EA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Для оценки различий в количестве инфильтрирующих опухоль нейтрофилов между группами благоприятного и неблагоприятного прогнозов применялся непараметрический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30458">
        <w:rPr>
          <w:rFonts w:ascii="Times New Roman" w:hAnsi="Times New Roman" w:cs="Times New Roman"/>
          <w:sz w:val="28"/>
          <w:szCs w:val="28"/>
        </w:rPr>
        <w:t xml:space="preserve">-критерий Манна-Уитни. Для выявления наличия статистически значимой корреляции между количеством нейтрофилов и  временем до прогрессирования использовался статистический метод с применением критерия Спирмена. </w:t>
      </w:r>
    </w:p>
    <w:p w:rsidR="00907C8C" w:rsidRDefault="00907C8C" w:rsidP="00907C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Степень инфильтрированности опухоли эозинофилами достоверно выше в группе пациентов с благоприятным прогнозом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=0.025).</w:t>
      </w:r>
    </w:p>
    <w:p w:rsidR="00907C8C" w:rsidRPr="00B30458" w:rsidRDefault="00907C8C" w:rsidP="00907C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Была выявлена положительная корреляция средней степени силы между количеством эозинофилов, инфильтрирующих опухоль и временем до прогрессирования (коэффициент корреляции Спирмена = 0,58)</w:t>
      </w:r>
      <w:r w:rsidR="00361D40">
        <w:rPr>
          <w:rFonts w:ascii="Times New Roman" w:hAnsi="Times New Roman" w:cs="Times New Roman"/>
          <w:sz w:val="28"/>
          <w:szCs w:val="28"/>
        </w:rPr>
        <w:t>.</w:t>
      </w:r>
    </w:p>
    <w:p w:rsidR="00907C8C" w:rsidRDefault="00907C8C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C8C" w:rsidRDefault="00907C8C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11</w:t>
      </w:r>
      <w:r w:rsidRPr="00BE12E8">
        <w:rPr>
          <w:rFonts w:ascii="Times New Roman" w:hAnsi="Times New Roman" w:cs="Times New Roman"/>
          <w:b/>
          <w:sz w:val="28"/>
          <w:szCs w:val="28"/>
        </w:rPr>
        <w:t xml:space="preserve"> Различия в степени инфильтрированности опухоли в группах благоприятного и неблагоприятного прогнозов (</w:t>
      </w:r>
      <w:r w:rsidRPr="00BE12E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BE12E8">
        <w:rPr>
          <w:rFonts w:ascii="Times New Roman" w:hAnsi="Times New Roman" w:cs="Times New Roman"/>
          <w:b/>
          <w:sz w:val="28"/>
          <w:szCs w:val="28"/>
        </w:rPr>
        <w:t>&lt;0.05)</w:t>
      </w:r>
    </w:p>
    <w:p w:rsidR="00BE12E8" w:rsidRP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442" w:rsidRPr="00B30458" w:rsidRDefault="00823A1A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445760" cy="3179928"/>
            <wp:effectExtent l="19050" t="0" r="21590" b="1422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021EA" w:rsidRPr="00B30458" w:rsidRDefault="000021EA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BE12E8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12</w:t>
      </w:r>
      <w:r w:rsidRPr="00BE12E8">
        <w:rPr>
          <w:rFonts w:ascii="Times New Roman" w:hAnsi="Times New Roman" w:cs="Times New Roman"/>
          <w:b/>
          <w:sz w:val="28"/>
          <w:szCs w:val="28"/>
        </w:rPr>
        <w:t xml:space="preserve"> Влияние количественных показателей наличия нейтрофилов, эозинофилов на время до прогрессирования заболевания (</w:t>
      </w:r>
      <w:r w:rsidRPr="00BE12E8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BE12E8">
        <w:rPr>
          <w:rFonts w:ascii="Times New Roman" w:hAnsi="Times New Roman" w:cs="Times New Roman"/>
          <w:b/>
          <w:sz w:val="28"/>
          <w:szCs w:val="28"/>
        </w:rPr>
        <w:t>=0.58)</w:t>
      </w:r>
    </w:p>
    <w:p w:rsidR="00907C8C" w:rsidRPr="00BE12E8" w:rsidRDefault="00907C8C" w:rsidP="00BE12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0C5" w:rsidRPr="00907C8C" w:rsidRDefault="00251E3D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606681" cy="3275463"/>
            <wp:effectExtent l="19050" t="0" r="13069" b="1137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7C14" w:rsidRPr="00BE12E8" w:rsidRDefault="00137981" w:rsidP="00BE12E8">
      <w:pPr>
        <w:pStyle w:val="2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9" w:name="_Toc451122295"/>
      <w:r w:rsidRPr="00BE12E8">
        <w:rPr>
          <w:rFonts w:ascii="Times New Roman" w:hAnsi="Times New Roman" w:cs="Times New Roman"/>
          <w:sz w:val="28"/>
          <w:szCs w:val="28"/>
        </w:rPr>
        <w:lastRenderedPageBreak/>
        <w:t xml:space="preserve">3.4. </w:t>
      </w:r>
      <w:r w:rsidR="00C50F84" w:rsidRPr="00BE12E8">
        <w:rPr>
          <w:rFonts w:ascii="Times New Roman" w:hAnsi="Times New Roman" w:cs="Times New Roman"/>
          <w:sz w:val="28"/>
          <w:szCs w:val="28"/>
        </w:rPr>
        <w:t xml:space="preserve">Сравнительная оценка </w:t>
      </w:r>
      <w:r w:rsidR="00C50F84" w:rsidRPr="00BE12E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C50F84" w:rsidRPr="00BE12E8">
        <w:rPr>
          <w:rFonts w:ascii="Times New Roman" w:hAnsi="Times New Roman" w:cs="Times New Roman"/>
          <w:sz w:val="28"/>
          <w:szCs w:val="28"/>
        </w:rPr>
        <w:t>-67 в группах благоприятного и неблагоприятного прогнозов</w:t>
      </w:r>
      <w:bookmarkEnd w:id="19"/>
    </w:p>
    <w:p w:rsidR="00185442" w:rsidRPr="00B30458" w:rsidRDefault="00185442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F22A5" w:rsidRPr="00B30458" w:rsidRDefault="00AF22A5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Для оценки различий в экспрессии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 xml:space="preserve">-67 между группами благоприятного и неблагоприятного прогнозов применялся непараметрический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30458">
        <w:rPr>
          <w:rFonts w:ascii="Times New Roman" w:hAnsi="Times New Roman" w:cs="Times New Roman"/>
          <w:sz w:val="28"/>
          <w:szCs w:val="28"/>
        </w:rPr>
        <w:t xml:space="preserve">-критерий Манна-Уитни. </w:t>
      </w:r>
    </w:p>
    <w:p w:rsidR="00DA2706" w:rsidRPr="00B30458" w:rsidRDefault="00DA2706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Средняя степень экспрессии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>-67 в группе неблагоприятного прогноза составила 72±21%; в группе благоприятного прогноза - 77±12</w:t>
      </w:r>
      <w:r w:rsidR="00B17F28" w:rsidRPr="00B17F28">
        <w:rPr>
          <w:rFonts w:ascii="Times New Roman" w:hAnsi="Times New Roman" w:cs="Times New Roman"/>
          <w:sz w:val="28"/>
          <w:szCs w:val="28"/>
        </w:rPr>
        <w:t>%</w:t>
      </w:r>
      <w:r w:rsidRPr="00B30458">
        <w:rPr>
          <w:rFonts w:ascii="Times New Roman" w:hAnsi="Times New Roman" w:cs="Times New Roman"/>
          <w:sz w:val="28"/>
          <w:szCs w:val="28"/>
        </w:rPr>
        <w:t>.</w:t>
      </w:r>
    </w:p>
    <w:p w:rsidR="00AF22A5" w:rsidRPr="00B30458" w:rsidRDefault="00AF22A5" w:rsidP="00B3045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Статистически значимых различий экспрессии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>-67 в группах благоприятного и неблагоприятного</w:t>
      </w:r>
      <w:r w:rsidR="00DA2706" w:rsidRPr="00B30458">
        <w:rPr>
          <w:rFonts w:ascii="Times New Roman" w:hAnsi="Times New Roman" w:cs="Times New Roman"/>
          <w:sz w:val="28"/>
          <w:szCs w:val="28"/>
        </w:rPr>
        <w:t xml:space="preserve"> прогнозов обнаружено не было (</w:t>
      </w:r>
      <w:r w:rsidR="00DA2706" w:rsidRPr="00B3045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A2706" w:rsidRPr="00B30458">
        <w:rPr>
          <w:rFonts w:ascii="Times New Roman" w:hAnsi="Times New Roman" w:cs="Times New Roman"/>
          <w:sz w:val="28"/>
          <w:szCs w:val="28"/>
        </w:rPr>
        <w:t>&gt;0.05)</w:t>
      </w:r>
    </w:p>
    <w:p w:rsidR="006250C5" w:rsidRDefault="00DA2706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Корреляции экпрессии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>-67 с временем до прогрессирования выявлено не было.</w:t>
      </w:r>
    </w:p>
    <w:p w:rsidR="00907C8C" w:rsidRPr="00B30458" w:rsidRDefault="00907C8C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2E8" w:rsidRDefault="00BE12E8" w:rsidP="00BE12E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2E8">
        <w:rPr>
          <w:rFonts w:ascii="Times New Roman" w:hAnsi="Times New Roman" w:cs="Times New Roman"/>
          <w:b/>
          <w:sz w:val="28"/>
          <w:szCs w:val="28"/>
        </w:rPr>
        <w:t xml:space="preserve">Рис.13 Сравнительная оценка уровня экспрессии </w:t>
      </w:r>
      <w:r w:rsidRPr="00BE12E8">
        <w:rPr>
          <w:rFonts w:ascii="Times New Roman" w:hAnsi="Times New Roman" w:cs="Times New Roman"/>
          <w:b/>
          <w:sz w:val="28"/>
          <w:szCs w:val="28"/>
          <w:lang w:val="en-US"/>
        </w:rPr>
        <w:t>Ki</w:t>
      </w:r>
      <w:r w:rsidRPr="00BE12E8">
        <w:rPr>
          <w:rFonts w:ascii="Times New Roman" w:hAnsi="Times New Roman" w:cs="Times New Roman"/>
          <w:b/>
          <w:sz w:val="28"/>
          <w:szCs w:val="28"/>
        </w:rPr>
        <w:t>-67  в группах благоприятного и неблагоприятного прогнозов.</w:t>
      </w:r>
    </w:p>
    <w:p w:rsidR="00BE12E8" w:rsidRPr="00BE12E8" w:rsidRDefault="00BE12E8" w:rsidP="00BE12E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0C5" w:rsidRPr="00AA04B5" w:rsidRDefault="00DA2706" w:rsidP="00B304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492750" cy="3797300"/>
            <wp:effectExtent l="19050" t="0" r="1270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930C5" w:rsidRPr="00BE12E8" w:rsidRDefault="00137981" w:rsidP="00BE12E8">
      <w:pPr>
        <w:pStyle w:val="2"/>
        <w:spacing w:line="36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0" w:name="_Toc451122296"/>
      <w:r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 xml:space="preserve">3.4. </w:t>
      </w:r>
      <w:r w:rsidR="00EB02FC"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Связь между </w:t>
      </w:r>
      <w:r w:rsidR="006250C5" w:rsidRPr="00BE12E8">
        <w:rPr>
          <w:rFonts w:ascii="Times New Roman" w:hAnsi="Times New Roman" w:cs="Times New Roman"/>
          <w:bCs w:val="0"/>
          <w:color w:val="auto"/>
          <w:sz w:val="28"/>
          <w:szCs w:val="28"/>
          <w:lang w:val="en-US"/>
        </w:rPr>
        <w:t>Ki</w:t>
      </w:r>
      <w:r w:rsidR="006250C5"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>-67 и уровнем инфильтрированности опухоли нейтрофилами и эозинофилами</w:t>
      </w:r>
      <w:bookmarkEnd w:id="20"/>
    </w:p>
    <w:p w:rsidR="005930C5" w:rsidRPr="00B30458" w:rsidRDefault="005930C5" w:rsidP="00B30458">
      <w:pPr>
        <w:widowControl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11DB5" w:rsidRPr="00B30458" w:rsidRDefault="005930C5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Для оценки</w:t>
      </w:r>
      <w:r w:rsidR="00D11DB5"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коррелятивной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связи между экспрессией 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-67 и уровнем инфильтрированности опухоли нейтрофилами  и эозинофи</w:t>
      </w:r>
      <w:r w:rsidR="00D11DB5"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лами применялся </w:t>
      </w:r>
      <w:r w:rsidR="00D11DB5" w:rsidRPr="00B30458">
        <w:rPr>
          <w:rFonts w:ascii="Times New Roman" w:hAnsi="Times New Roman" w:cs="Times New Roman"/>
          <w:sz w:val="28"/>
          <w:szCs w:val="28"/>
        </w:rPr>
        <w:t xml:space="preserve">использовался статистический метод с применением критерия Спирмена. </w:t>
      </w:r>
    </w:p>
    <w:p w:rsidR="005930C5" w:rsidRPr="00B30458" w:rsidRDefault="00DA2706" w:rsidP="00B30458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Статистически значимой корреляции между уровнем инфильтрированности опухоли нейтрофилами, эозинофилами и степенью экспрессии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 xml:space="preserve">-67 выявлено не было. Коэффициент корреляции для количества инфильтрирующих опухоль нейтрофилов с экспрессией 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sz w:val="28"/>
          <w:szCs w:val="28"/>
        </w:rPr>
        <w:t>-67 оказался равен 0,19; коэффициент Спирменя для эозинофилов и экспрессии</w:t>
      </w:r>
      <w:r w:rsidR="00361D40">
        <w:rPr>
          <w:rFonts w:ascii="Times New Roman" w:hAnsi="Times New Roman" w:cs="Times New Roman"/>
          <w:sz w:val="28"/>
          <w:szCs w:val="28"/>
        </w:rPr>
        <w:t>.</w:t>
      </w:r>
      <w:r w:rsidRPr="00B30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C8C" w:rsidRDefault="00907C8C" w:rsidP="00BE12E8">
      <w:pPr>
        <w:pStyle w:val="2"/>
        <w:spacing w:line="36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6250C5" w:rsidRPr="00BE12E8" w:rsidRDefault="008C2665" w:rsidP="00BE12E8">
      <w:pPr>
        <w:pStyle w:val="2"/>
        <w:spacing w:line="36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1" w:name="_Toc451122297"/>
      <w:r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3.5. </w:t>
      </w:r>
      <w:r w:rsidR="00EB02FC"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>З</w:t>
      </w:r>
      <w:r w:rsidR="006250C5"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>ависимость между локализацией опухоли и степенью инфильтрированности её эозинофилам</w:t>
      </w:r>
      <w:r w:rsidR="00BE12E8"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>и и ней</w:t>
      </w:r>
      <w:r w:rsidR="006250C5"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>трофилами</w:t>
      </w:r>
      <w:bookmarkEnd w:id="21"/>
    </w:p>
    <w:p w:rsidR="00CA0563" w:rsidRPr="00B30458" w:rsidRDefault="00E34842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93201" w:rsidRPr="00B304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CA0563" w:rsidRPr="00B30458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A0563" w:rsidRPr="00B30458" w:rsidRDefault="00CA0563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Связь между локализацией опухоли и степенью инфильтрированности ее нейтрофилами и эозинофилами оценивалась при помощи</w:t>
      </w:r>
      <w:r w:rsidR="003C26AE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="00D0403A" w:rsidRPr="00B30458">
        <w:rPr>
          <w:rFonts w:ascii="Times New Roman" w:hAnsi="Times New Roman" w:cs="Times New Roman"/>
          <w:sz w:val="28"/>
          <w:szCs w:val="28"/>
        </w:rPr>
        <w:t>метода, применяемого для</w:t>
      </w:r>
      <w:r w:rsidR="00907C8C">
        <w:rPr>
          <w:rFonts w:ascii="Times New Roman" w:hAnsi="Times New Roman" w:cs="Times New Roman"/>
          <w:sz w:val="28"/>
          <w:szCs w:val="28"/>
        </w:rPr>
        <w:t xml:space="preserve"> переменных с номинальной шкало</w:t>
      </w:r>
      <w:r w:rsidR="00D0403A" w:rsidRPr="00B30458">
        <w:rPr>
          <w:rFonts w:ascii="Times New Roman" w:hAnsi="Times New Roman" w:cs="Times New Roman"/>
          <w:sz w:val="28"/>
          <w:szCs w:val="28"/>
        </w:rPr>
        <w:t>й – коэффициента корреляции Пирсона.</w:t>
      </w:r>
    </w:p>
    <w:p w:rsidR="003C26AE" w:rsidRPr="00B30458" w:rsidRDefault="00CA0563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Среднее количество нейтрофилов, инфильтрирующих опухоль, для аденокарцином сигмовидной кишки составило </w:t>
      </w:r>
      <w:r w:rsidR="003C26AE" w:rsidRPr="00B30458">
        <w:rPr>
          <w:rFonts w:ascii="Times New Roman" w:hAnsi="Times New Roman" w:cs="Times New Roman"/>
          <w:sz w:val="28"/>
          <w:szCs w:val="28"/>
        </w:rPr>
        <w:t>176±134 в 1 мм.кв (</w:t>
      </w:r>
      <w:r w:rsidR="003C26AE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C26AE" w:rsidRPr="00B30458">
        <w:rPr>
          <w:rFonts w:ascii="Times New Roman" w:hAnsi="Times New Roman" w:cs="Times New Roman"/>
          <w:sz w:val="28"/>
          <w:szCs w:val="28"/>
        </w:rPr>
        <w:t>=10): для восходящей части ободочной кишки - 211±200 (</w:t>
      </w:r>
      <w:r w:rsidR="003C26AE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C26AE" w:rsidRPr="00B30458">
        <w:rPr>
          <w:rFonts w:ascii="Times New Roman" w:hAnsi="Times New Roman" w:cs="Times New Roman"/>
          <w:sz w:val="28"/>
          <w:szCs w:val="28"/>
        </w:rPr>
        <w:t>=4), для поперечно-ободочной кишки - 244±193</w:t>
      </w:r>
      <w:r w:rsidR="00AC03CA" w:rsidRPr="00B30458">
        <w:rPr>
          <w:rFonts w:ascii="Times New Roman" w:hAnsi="Times New Roman" w:cs="Times New Roman"/>
          <w:sz w:val="28"/>
          <w:szCs w:val="28"/>
        </w:rPr>
        <w:t xml:space="preserve">  </w:t>
      </w:r>
      <w:r w:rsidR="003C26AE" w:rsidRPr="00B30458">
        <w:rPr>
          <w:rFonts w:ascii="Times New Roman" w:hAnsi="Times New Roman" w:cs="Times New Roman"/>
          <w:sz w:val="28"/>
          <w:szCs w:val="28"/>
        </w:rPr>
        <w:t>(</w:t>
      </w:r>
      <w:r w:rsidR="003C26AE"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C26AE" w:rsidRPr="00B30458">
        <w:rPr>
          <w:rFonts w:ascii="Times New Roman" w:hAnsi="Times New Roman" w:cs="Times New Roman"/>
          <w:sz w:val="28"/>
          <w:szCs w:val="28"/>
        </w:rPr>
        <w:t>=3). Локализация в слепой и нисходящей ободочной кишке не была включена в исследование в связи с крайне малым объемом выборки.</w:t>
      </w:r>
    </w:p>
    <w:p w:rsidR="00BE12E8" w:rsidRDefault="003C26AE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Статистически значимых различий получено не было, вероятно, в связи с большим количеством групп и малым</w:t>
      </w:r>
      <w:r w:rsidR="00AC03CA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объемом выборки.</w:t>
      </w:r>
      <w:r w:rsidR="00BE12E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E46D4" w:rsidRPr="00B30458" w:rsidRDefault="002E46D4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lastRenderedPageBreak/>
        <w:t>Среднее количество эозинофилов, инфильтрирующих опухоль, для аденокарцином сигмовидной кишки составило 11±9 в 1 мм.кв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458">
        <w:rPr>
          <w:rFonts w:ascii="Times New Roman" w:hAnsi="Times New Roman" w:cs="Times New Roman"/>
          <w:sz w:val="28"/>
          <w:szCs w:val="28"/>
        </w:rPr>
        <w:t>=10): для восходящей части ободочной кишки - 11±6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458">
        <w:rPr>
          <w:rFonts w:ascii="Times New Roman" w:hAnsi="Times New Roman" w:cs="Times New Roman"/>
          <w:sz w:val="28"/>
          <w:szCs w:val="28"/>
        </w:rPr>
        <w:t>=4), для поперечно-ободочной кишки - 18±26 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458">
        <w:rPr>
          <w:rFonts w:ascii="Times New Roman" w:hAnsi="Times New Roman" w:cs="Times New Roman"/>
          <w:sz w:val="28"/>
          <w:szCs w:val="28"/>
        </w:rPr>
        <w:t xml:space="preserve">=3). </w:t>
      </w:r>
      <w:r w:rsidR="00AC03CA" w:rsidRPr="00B3045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EF4D03" w:rsidRPr="005C6009" w:rsidRDefault="002E46D4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Статистически значимой корреляции между количеством эозино</w:t>
      </w:r>
      <w:r w:rsidR="00907C8C">
        <w:rPr>
          <w:rFonts w:ascii="Times New Roman" w:hAnsi="Times New Roman" w:cs="Times New Roman"/>
          <w:sz w:val="28"/>
          <w:szCs w:val="28"/>
        </w:rPr>
        <w:t>ф</w:t>
      </w:r>
      <w:r w:rsidRPr="00B30458">
        <w:rPr>
          <w:rFonts w:ascii="Times New Roman" w:hAnsi="Times New Roman" w:cs="Times New Roman"/>
          <w:sz w:val="28"/>
          <w:szCs w:val="28"/>
        </w:rPr>
        <w:t>илов, инфильтрир</w:t>
      </w:r>
      <w:r w:rsidR="00BE12E8">
        <w:rPr>
          <w:rFonts w:ascii="Times New Roman" w:hAnsi="Times New Roman" w:cs="Times New Roman"/>
          <w:sz w:val="28"/>
          <w:szCs w:val="28"/>
        </w:rPr>
        <w:t>у</w:t>
      </w:r>
      <w:r w:rsidRPr="00B30458">
        <w:rPr>
          <w:rFonts w:ascii="Times New Roman" w:hAnsi="Times New Roman" w:cs="Times New Roman"/>
          <w:sz w:val="28"/>
          <w:szCs w:val="28"/>
        </w:rPr>
        <w:t>ющих опухоль и ее локализацией также получено не было</w:t>
      </w:r>
      <w:r w:rsidR="00AC03CA" w:rsidRPr="00B30458">
        <w:rPr>
          <w:rFonts w:ascii="Times New Roman" w:hAnsi="Times New Roman" w:cs="Times New Roman"/>
          <w:sz w:val="28"/>
          <w:szCs w:val="28"/>
        </w:rPr>
        <w:t xml:space="preserve"> </w:t>
      </w:r>
      <w:r w:rsidRPr="00B30458">
        <w:rPr>
          <w:rFonts w:ascii="Times New Roman" w:hAnsi="Times New Roman" w:cs="Times New Roman"/>
          <w:sz w:val="28"/>
          <w:szCs w:val="28"/>
        </w:rPr>
        <w:t>в связи с недостаточным объемом выборки.</w:t>
      </w:r>
      <w:r w:rsidR="00AC03CA" w:rsidRPr="00B304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250C5" w:rsidRPr="00B30458">
        <w:rPr>
          <w:rFonts w:ascii="Times New Roman" w:hAnsi="Times New Roman" w:cs="Times New Roman"/>
          <w:sz w:val="28"/>
          <w:szCs w:val="28"/>
        </w:rPr>
        <w:br w:type="page"/>
      </w:r>
    </w:p>
    <w:p w:rsidR="00EF4D03" w:rsidRPr="00BE12E8" w:rsidRDefault="00EF4D03" w:rsidP="008C2665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2" w:name="_Toc451122298"/>
      <w:r w:rsidRPr="00BE12E8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bookmarkEnd w:id="22"/>
    </w:p>
    <w:p w:rsidR="003F5802" w:rsidRPr="00B30458" w:rsidRDefault="003F5802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6DC" w:rsidRPr="00B30458" w:rsidRDefault="007C185A" w:rsidP="00B3045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 настоящее время р</w:t>
      </w:r>
      <w:r w:rsidR="005C46DC" w:rsidRPr="00B30458">
        <w:rPr>
          <w:rFonts w:ascii="Times New Roman" w:hAnsi="Times New Roman" w:cs="Times New Roman"/>
          <w:sz w:val="28"/>
          <w:szCs w:val="28"/>
        </w:rPr>
        <w:t>ешение проблемы лечения больных раком</w:t>
      </w:r>
      <w:r w:rsidRPr="00B30458">
        <w:rPr>
          <w:rFonts w:ascii="Times New Roman" w:hAnsi="Times New Roman" w:cs="Times New Roman"/>
          <w:sz w:val="28"/>
          <w:szCs w:val="28"/>
        </w:rPr>
        <w:t xml:space="preserve"> толстой кишки </w:t>
      </w:r>
      <w:r w:rsidR="005C46DC" w:rsidRPr="00B30458">
        <w:rPr>
          <w:rFonts w:ascii="Times New Roman" w:hAnsi="Times New Roman" w:cs="Times New Roman"/>
          <w:sz w:val="28"/>
          <w:szCs w:val="28"/>
        </w:rPr>
        <w:t xml:space="preserve"> является одной из </w:t>
      </w:r>
      <w:r w:rsidRPr="00B30458">
        <w:rPr>
          <w:rFonts w:ascii="Times New Roman" w:hAnsi="Times New Roman" w:cs="Times New Roman"/>
          <w:sz w:val="28"/>
          <w:szCs w:val="28"/>
        </w:rPr>
        <w:t xml:space="preserve">наиболее важных </w:t>
      </w:r>
      <w:r w:rsidR="005C46DC" w:rsidRPr="00B30458">
        <w:rPr>
          <w:rFonts w:ascii="Times New Roman" w:hAnsi="Times New Roman" w:cs="Times New Roman"/>
          <w:sz w:val="28"/>
          <w:szCs w:val="28"/>
        </w:rPr>
        <w:t xml:space="preserve">задач современного </w:t>
      </w:r>
      <w:r w:rsidRPr="00B30458">
        <w:rPr>
          <w:rFonts w:ascii="Times New Roman" w:hAnsi="Times New Roman" w:cs="Times New Roman"/>
          <w:sz w:val="28"/>
          <w:szCs w:val="28"/>
        </w:rPr>
        <w:t>он</w:t>
      </w:r>
      <w:r w:rsidR="00907C8C">
        <w:rPr>
          <w:rFonts w:ascii="Times New Roman" w:hAnsi="Times New Roman" w:cs="Times New Roman"/>
          <w:sz w:val="28"/>
          <w:szCs w:val="28"/>
        </w:rPr>
        <w:t>к</w:t>
      </w:r>
      <w:r w:rsidRPr="00B30458">
        <w:rPr>
          <w:rFonts w:ascii="Times New Roman" w:hAnsi="Times New Roman" w:cs="Times New Roman"/>
          <w:sz w:val="28"/>
          <w:szCs w:val="28"/>
        </w:rPr>
        <w:t xml:space="preserve">ологического </w:t>
      </w:r>
      <w:r w:rsidR="005C46DC" w:rsidRPr="00B30458">
        <w:rPr>
          <w:rFonts w:ascii="Times New Roman" w:hAnsi="Times New Roman" w:cs="Times New Roman"/>
          <w:sz w:val="28"/>
          <w:szCs w:val="28"/>
        </w:rPr>
        <w:t xml:space="preserve">сообщества. </w:t>
      </w:r>
    </w:p>
    <w:p w:rsidR="005C46DC" w:rsidRPr="00B30458" w:rsidRDefault="007C185A" w:rsidP="00B30458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>Оптимальным способо</w:t>
      </w:r>
      <w:r w:rsidR="005C46DC"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решения большинства проблем, </w:t>
      </w:r>
      <w:r w:rsidR="00907C8C">
        <w:rPr>
          <w:rFonts w:ascii="Times New Roman" w:hAnsi="Times New Roman" w:cs="Times New Roman"/>
          <w:color w:val="000000" w:themeColor="text1"/>
          <w:sz w:val="28"/>
          <w:szCs w:val="28"/>
        </w:rPr>
        <w:t>связанны</w:t>
      </w:r>
      <w:r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>х с эффективностью</w:t>
      </w:r>
      <w:r w:rsidR="005C46DC"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лечения, </w:t>
      </w:r>
      <w:r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представляется </w:t>
      </w:r>
      <w:r w:rsidR="005C46DC" w:rsidRPr="00B304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персонализация проводимой терапии. </w:t>
      </w:r>
      <w:r w:rsidRPr="00B30458">
        <w:rPr>
          <w:rFonts w:ascii="Times New Roman" w:hAnsi="Times New Roman" w:cs="Times New Roman"/>
          <w:color w:val="212121"/>
          <w:sz w:val="28"/>
          <w:szCs w:val="28"/>
        </w:rPr>
        <w:t>Необходимость индивидуализации связана с потребностью в совершенствовании методов лечения больных, что должно привести к увеличению пятилетней и сроков безрецидивной выживаемости. Индивидуальный подход особенно оправдан для лечения пациентов, имеющих неясный прогноз при оценке по стандартным критериям.</w:t>
      </w:r>
    </w:p>
    <w:p w:rsidR="00BE12E8" w:rsidRDefault="007C185A" w:rsidP="00BE12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 xml:space="preserve">Перспективными </w:t>
      </w:r>
      <w:r w:rsidR="005C46DC" w:rsidRPr="00B30458">
        <w:rPr>
          <w:rFonts w:ascii="Times New Roman" w:hAnsi="Times New Roman" w:cs="Times New Roman"/>
          <w:sz w:val="28"/>
          <w:szCs w:val="28"/>
        </w:rPr>
        <w:t>методами поиска предикторов течения опу</w:t>
      </w:r>
      <w:r w:rsidRPr="00B30458">
        <w:rPr>
          <w:rFonts w:ascii="Times New Roman" w:hAnsi="Times New Roman" w:cs="Times New Roman"/>
          <w:sz w:val="28"/>
          <w:szCs w:val="28"/>
        </w:rPr>
        <w:t xml:space="preserve">холевого процесса </w:t>
      </w:r>
      <w:r w:rsidR="005C46DC" w:rsidRPr="00B30458">
        <w:rPr>
          <w:rFonts w:ascii="Times New Roman" w:hAnsi="Times New Roman" w:cs="Times New Roman"/>
          <w:sz w:val="28"/>
          <w:szCs w:val="28"/>
        </w:rPr>
        <w:t xml:space="preserve"> является оценка </w:t>
      </w:r>
      <w:r w:rsidRPr="00B30458">
        <w:rPr>
          <w:rFonts w:ascii="Times New Roman" w:hAnsi="Times New Roman" w:cs="Times New Roman"/>
          <w:sz w:val="28"/>
          <w:szCs w:val="28"/>
        </w:rPr>
        <w:t xml:space="preserve">некоторых параметров микроокружения </w:t>
      </w:r>
      <w:r w:rsidR="005C46DC" w:rsidRPr="00B30458">
        <w:rPr>
          <w:rFonts w:ascii="Times New Roman" w:hAnsi="Times New Roman" w:cs="Times New Roman"/>
          <w:sz w:val="28"/>
          <w:szCs w:val="28"/>
        </w:rPr>
        <w:t xml:space="preserve">опухолевой ткани. </w:t>
      </w:r>
    </w:p>
    <w:p w:rsidR="00790647" w:rsidRPr="00BE12E8" w:rsidRDefault="00790647" w:rsidP="00BE12E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Главной целью данной работы было определение значения инфильтрации опухоли нейтрофилами и эозинофилами как дополнительных факторов прогноза  у пациентов  с аденокарциномами толстой кишки и их сопоставление с уже существующими прогностическими факторами </w:t>
      </w:r>
    </w:p>
    <w:p w:rsidR="00BE12E8" w:rsidRDefault="00EA70BC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В ходе данной работы было получены важные выводы, указывающие на возможность применения оценки некоторых параметров микроокружения опухоли</w:t>
      </w:r>
      <w:r w:rsidR="00361D40">
        <w:rPr>
          <w:rFonts w:ascii="Times New Roman" w:hAnsi="Times New Roman" w:cs="Times New Roman"/>
          <w:sz w:val="28"/>
          <w:szCs w:val="28"/>
        </w:rPr>
        <w:t>.</w:t>
      </w:r>
      <w:r w:rsidR="007C185A" w:rsidRPr="00B30458">
        <w:rPr>
          <w:rFonts w:ascii="Times New Roman" w:hAnsi="Times New Roman" w:cs="Times New Roman"/>
          <w:sz w:val="28"/>
          <w:szCs w:val="28"/>
        </w:rPr>
        <w:t xml:space="preserve"> Так, была выявлена связь количества нейтрофилов и эозинофилов, инфильтрирующих опухоль с неблагоприятным и благоприятным прогнозом соответственно.</w:t>
      </w:r>
      <w:r w:rsidR="00FA14F8" w:rsidRPr="00B30458">
        <w:rPr>
          <w:rFonts w:ascii="Times New Roman" w:hAnsi="Times New Roman" w:cs="Times New Roman"/>
          <w:sz w:val="28"/>
          <w:szCs w:val="28"/>
        </w:rPr>
        <w:t xml:space="preserve"> Подсчет нейтрофилов и эозинофилов в 8 полях зрения не занимает много времени и является перспективным способом дополнительного прогнозирования.</w:t>
      </w:r>
    </w:p>
    <w:p w:rsidR="00BE12E8" w:rsidRDefault="009D070B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Также были получены отрицательные результаты</w:t>
      </w:r>
      <w:r w:rsidR="00790647" w:rsidRPr="00B30458">
        <w:rPr>
          <w:rFonts w:ascii="Times New Roman" w:hAnsi="Times New Roman" w:cs="Times New Roman"/>
          <w:sz w:val="28"/>
          <w:szCs w:val="28"/>
        </w:rPr>
        <w:t xml:space="preserve"> для связи уровня экспрессии </w:t>
      </w:r>
      <w:r w:rsidR="00790647" w:rsidRPr="00B30458">
        <w:rPr>
          <w:rFonts w:ascii="Times New Roman" w:hAnsi="Times New Roman" w:cs="Times New Roman"/>
          <w:sz w:val="28"/>
          <w:szCs w:val="28"/>
          <w:lang w:val="en-US"/>
        </w:rPr>
        <w:t>Ki</w:t>
      </w:r>
      <w:r w:rsidR="00790647" w:rsidRPr="00B30458">
        <w:rPr>
          <w:rFonts w:ascii="Times New Roman" w:hAnsi="Times New Roman" w:cs="Times New Roman"/>
          <w:sz w:val="28"/>
          <w:szCs w:val="28"/>
        </w:rPr>
        <w:t xml:space="preserve">-67 с прогнозом, а также уровнем инфильтрированности опухоли нейтрофилами, эозинофилами, что можно расценивать либо как </w:t>
      </w:r>
      <w:r w:rsidR="00790647" w:rsidRPr="00B30458">
        <w:rPr>
          <w:rFonts w:ascii="Times New Roman" w:hAnsi="Times New Roman" w:cs="Times New Roman"/>
          <w:sz w:val="28"/>
          <w:szCs w:val="28"/>
        </w:rPr>
        <w:lastRenderedPageBreak/>
        <w:t>отсутствие взаимосвязи в действительности, либо как недостаточный объем выборки. Также не было выявлено связи между количеством инфильтрирующих опухоль нейтрофилов, эозинофилов и локализацией опухоли, однако, учитывая большое количество групп пациентов и малый объем выборки, мы не можем с уверенностью сказать об отсутствии взаимосвязи.</w:t>
      </w:r>
    </w:p>
    <w:p w:rsidR="00EA70BC" w:rsidRPr="00B30458" w:rsidRDefault="00790647" w:rsidP="00BE12E8">
      <w:pPr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Таким образом, мы можем заключить, что оценка некоторых параметров микроокружения опухоли, таких как степень инфильтрированности нейтрофилами и эозинофилами</w:t>
      </w:r>
      <w:r w:rsidR="00B30458" w:rsidRPr="00B30458">
        <w:rPr>
          <w:rFonts w:ascii="Times New Roman" w:hAnsi="Times New Roman" w:cs="Times New Roman"/>
          <w:sz w:val="28"/>
          <w:szCs w:val="28"/>
        </w:rPr>
        <w:t>, может быть дополнительным прогностическим фактором для опухолей толстой кишки.</w:t>
      </w:r>
    </w:p>
    <w:p w:rsidR="00EA70BC" w:rsidRPr="00B30458" w:rsidRDefault="00EA70BC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647" w:rsidRPr="00B30458" w:rsidRDefault="00790647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647" w:rsidRPr="00B30458" w:rsidRDefault="00790647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4D03" w:rsidRPr="00BE12E8" w:rsidRDefault="00790647" w:rsidP="008C2665">
      <w:pPr>
        <w:pStyle w:val="1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br w:type="page"/>
      </w:r>
      <w:bookmarkStart w:id="23" w:name="_Toc451122299"/>
      <w:r w:rsidR="00EF4D03" w:rsidRPr="00BE12E8">
        <w:rPr>
          <w:rFonts w:ascii="Times New Roman" w:hAnsi="Times New Roman" w:cs="Times New Roman"/>
          <w:sz w:val="28"/>
          <w:szCs w:val="28"/>
        </w:rPr>
        <w:lastRenderedPageBreak/>
        <w:t>Выводы</w:t>
      </w:r>
      <w:bookmarkEnd w:id="23"/>
    </w:p>
    <w:p w:rsidR="009D070B" w:rsidRPr="00B30458" w:rsidRDefault="009D070B" w:rsidP="00BE12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70B" w:rsidRPr="001F5CC7" w:rsidRDefault="009D070B" w:rsidP="001F5CC7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Степень инфильтрированности опухоли нейтрофилами достоверно выше в группе пациент</w:t>
      </w:r>
      <w:r w:rsidR="00CF2D98">
        <w:rPr>
          <w:rFonts w:ascii="Times New Roman" w:hAnsi="Times New Roman" w:cs="Times New Roman"/>
          <w:sz w:val="28"/>
          <w:szCs w:val="28"/>
        </w:rPr>
        <w:t>ов с неблагоприятны</w:t>
      </w:r>
      <w:r w:rsidR="00BB1C9E">
        <w:rPr>
          <w:rFonts w:ascii="Times New Roman" w:hAnsi="Times New Roman" w:cs="Times New Roman"/>
          <w:sz w:val="28"/>
          <w:szCs w:val="28"/>
        </w:rPr>
        <w:t>м</w:t>
      </w:r>
      <w:r w:rsidR="00CF2D98">
        <w:rPr>
          <w:rFonts w:ascii="Times New Roman" w:hAnsi="Times New Roman" w:cs="Times New Roman"/>
          <w:sz w:val="28"/>
          <w:szCs w:val="28"/>
        </w:rPr>
        <w:t xml:space="preserve"> прогнозом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75928">
        <w:rPr>
          <w:rFonts w:ascii="Times New Roman" w:hAnsi="Times New Roman" w:cs="Times New Roman"/>
          <w:sz w:val="28"/>
          <w:szCs w:val="28"/>
        </w:rPr>
        <w:t>&lt;0.0</w:t>
      </w:r>
      <w:r w:rsidRPr="00B30458">
        <w:rPr>
          <w:rFonts w:ascii="Times New Roman" w:hAnsi="Times New Roman" w:cs="Times New Roman"/>
          <w:sz w:val="28"/>
          <w:szCs w:val="28"/>
        </w:rPr>
        <w:t>5); имеется средней силы</w:t>
      </w:r>
      <w:r w:rsidR="001F5CC7">
        <w:rPr>
          <w:rFonts w:ascii="Times New Roman" w:hAnsi="Times New Roman" w:cs="Times New Roman"/>
          <w:sz w:val="28"/>
          <w:szCs w:val="28"/>
        </w:rPr>
        <w:t xml:space="preserve"> отрицательная</w:t>
      </w:r>
      <w:r w:rsidRPr="00B30458">
        <w:rPr>
          <w:rFonts w:ascii="Times New Roman" w:hAnsi="Times New Roman" w:cs="Times New Roman"/>
          <w:sz w:val="28"/>
          <w:szCs w:val="28"/>
        </w:rPr>
        <w:t xml:space="preserve"> связь между временем до прогрессирования и уровнем нейтрофильной инфильтрации (</w:t>
      </w:r>
      <w:r w:rsidR="00A475D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1F5CC7">
        <w:rPr>
          <w:rFonts w:ascii="Times New Roman" w:hAnsi="Times New Roman" w:cs="Times New Roman"/>
          <w:sz w:val="28"/>
          <w:szCs w:val="28"/>
        </w:rPr>
        <w:t>=</w:t>
      </w:r>
      <w:r w:rsidR="001F5CC7">
        <w:rPr>
          <w:rFonts w:ascii="Times New Roman" w:hAnsi="Times New Roman" w:cs="Times New Roman"/>
          <w:sz w:val="28"/>
          <w:szCs w:val="28"/>
        </w:rPr>
        <w:t xml:space="preserve"> </w:t>
      </w:r>
      <w:r w:rsidR="001F5CC7" w:rsidRPr="001F5CC7">
        <w:rPr>
          <w:rFonts w:ascii="Times New Roman" w:hAnsi="Times New Roman" w:cs="Times New Roman"/>
          <w:sz w:val="28"/>
          <w:szCs w:val="28"/>
        </w:rPr>
        <w:t>-</w:t>
      </w:r>
      <w:r w:rsidRPr="001F5CC7">
        <w:rPr>
          <w:rFonts w:ascii="Times New Roman" w:hAnsi="Times New Roman" w:cs="Times New Roman"/>
          <w:sz w:val="28"/>
          <w:szCs w:val="28"/>
        </w:rPr>
        <w:t>0.55)</w:t>
      </w:r>
      <w:r w:rsidR="00361D40" w:rsidRPr="001F5CC7">
        <w:rPr>
          <w:rFonts w:ascii="Times New Roman" w:hAnsi="Times New Roman" w:cs="Times New Roman"/>
          <w:sz w:val="28"/>
          <w:szCs w:val="28"/>
        </w:rPr>
        <w:t>;</w:t>
      </w:r>
    </w:p>
    <w:p w:rsidR="009D070B" w:rsidRPr="00B30458" w:rsidRDefault="009D070B" w:rsidP="00B30458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t>Степень инфильтрированности опухоли эозинофилами достоверно выше в группе пациентов с благоприятным прогнозом (</w:t>
      </w:r>
      <w:r w:rsidRPr="00B3045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75928">
        <w:rPr>
          <w:rFonts w:ascii="Times New Roman" w:hAnsi="Times New Roman" w:cs="Times New Roman"/>
          <w:sz w:val="28"/>
          <w:szCs w:val="28"/>
        </w:rPr>
        <w:t>&lt;0.0</w:t>
      </w:r>
      <w:r w:rsidRPr="00B30458">
        <w:rPr>
          <w:rFonts w:ascii="Times New Roman" w:hAnsi="Times New Roman" w:cs="Times New Roman"/>
          <w:sz w:val="28"/>
          <w:szCs w:val="28"/>
        </w:rPr>
        <w:t>5); имеется средней силы связь между временем до прогрессирования и уровнем нейтрофильной инфильт</w:t>
      </w:r>
      <w:r w:rsidR="00A475DD">
        <w:rPr>
          <w:rFonts w:ascii="Times New Roman" w:hAnsi="Times New Roman" w:cs="Times New Roman"/>
          <w:sz w:val="28"/>
          <w:szCs w:val="28"/>
        </w:rPr>
        <w:t>рации (</w:t>
      </w:r>
      <w:r w:rsidR="00A475D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F5CC7">
        <w:rPr>
          <w:rFonts w:ascii="Times New Roman" w:hAnsi="Times New Roman" w:cs="Times New Roman"/>
          <w:sz w:val="28"/>
          <w:szCs w:val="28"/>
        </w:rPr>
        <w:t>=0.58</w:t>
      </w:r>
      <w:r w:rsidRPr="00B30458">
        <w:rPr>
          <w:rFonts w:ascii="Times New Roman" w:hAnsi="Times New Roman" w:cs="Times New Roman"/>
          <w:sz w:val="28"/>
          <w:szCs w:val="28"/>
        </w:rPr>
        <w:t>)</w:t>
      </w:r>
      <w:r w:rsidR="00361D40">
        <w:rPr>
          <w:rFonts w:ascii="Times New Roman" w:hAnsi="Times New Roman" w:cs="Times New Roman"/>
          <w:sz w:val="28"/>
          <w:szCs w:val="28"/>
        </w:rPr>
        <w:t>;</w:t>
      </w:r>
    </w:p>
    <w:p w:rsidR="009D070B" w:rsidRPr="00B30458" w:rsidRDefault="009D070B" w:rsidP="00B30458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Не было выявлено статистически значимых различий экспрессии 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-67 в группах с благоприятным и неблагоприятным прогнозом </w:t>
      </w:r>
      <w:r w:rsidR="00361D40">
        <w:rPr>
          <w:rFonts w:ascii="Times New Roman" w:hAnsi="Times New Roman" w:cs="Times New Roman"/>
          <w:bCs/>
          <w:color w:val="auto"/>
          <w:sz w:val="28"/>
          <w:szCs w:val="28"/>
        </w:rPr>
        <w:t>;</w:t>
      </w:r>
    </w:p>
    <w:p w:rsidR="009D070B" w:rsidRPr="00B30458" w:rsidRDefault="009D070B" w:rsidP="00B30458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Связь  между экспрессией 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  <w:t>Ki</w:t>
      </w: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-67 и уровнем инфильтрированности опухоли нейтрофилами и эозинофилами не была установлена</w:t>
      </w:r>
      <w:r w:rsidR="00361D40">
        <w:rPr>
          <w:rFonts w:ascii="Times New Roman" w:hAnsi="Times New Roman" w:cs="Times New Roman"/>
          <w:bCs/>
          <w:color w:val="auto"/>
          <w:sz w:val="28"/>
          <w:szCs w:val="28"/>
        </w:rPr>
        <w:t>;</w:t>
      </w:r>
    </w:p>
    <w:p w:rsidR="009D070B" w:rsidRPr="00B30458" w:rsidRDefault="009D070B" w:rsidP="00B30458">
      <w:pPr>
        <w:widowControl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30458">
        <w:rPr>
          <w:rFonts w:ascii="Times New Roman" w:hAnsi="Times New Roman" w:cs="Times New Roman"/>
          <w:bCs/>
          <w:color w:val="auto"/>
          <w:sz w:val="28"/>
          <w:szCs w:val="28"/>
        </w:rPr>
        <w:t>Зависимость между локализацией опухоли и степенью инфильтрированности её эозинофилами и нефтрофилами не была выявлена</w:t>
      </w:r>
      <w:r w:rsidR="00361D40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9D070B" w:rsidRPr="00B30458" w:rsidRDefault="009D070B" w:rsidP="00B3045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19E6" w:rsidRPr="00BE12E8" w:rsidRDefault="009D070B" w:rsidP="00BE12E8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458">
        <w:rPr>
          <w:rFonts w:ascii="Times New Roman" w:hAnsi="Times New Roman" w:cs="Times New Roman"/>
          <w:sz w:val="28"/>
          <w:szCs w:val="28"/>
        </w:rPr>
        <w:br w:type="page"/>
      </w:r>
    </w:p>
    <w:p w:rsidR="00B17F28" w:rsidRDefault="00A80574" w:rsidP="00AF4C30">
      <w:pPr>
        <w:pStyle w:val="1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4" w:name="_Toc451122300"/>
      <w:r w:rsidRPr="00BE12E8">
        <w:rPr>
          <w:rFonts w:ascii="Times New Roman" w:hAnsi="Times New Roman" w:cs="Times New Roman"/>
          <w:bCs w:val="0"/>
          <w:color w:val="auto"/>
          <w:sz w:val="28"/>
          <w:szCs w:val="28"/>
          <w:lang w:val="en-US"/>
        </w:rPr>
        <w:lastRenderedPageBreak/>
        <w:t>C</w:t>
      </w:r>
      <w:r w:rsidRPr="00BE12E8">
        <w:rPr>
          <w:rFonts w:ascii="Times New Roman" w:hAnsi="Times New Roman" w:cs="Times New Roman"/>
          <w:bCs w:val="0"/>
          <w:color w:val="auto"/>
          <w:sz w:val="28"/>
          <w:szCs w:val="28"/>
        </w:rPr>
        <w:t>писок литературы:</w:t>
      </w:r>
      <w:bookmarkEnd w:id="24"/>
    </w:p>
    <w:p w:rsidR="00AF4C30" w:rsidRPr="00361D40" w:rsidRDefault="00AF4C30" w:rsidP="00361D40">
      <w:pPr>
        <w:pStyle w:val="1"/>
        <w:spacing w:line="360" w:lineRule="auto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61D40">
        <w:rPr>
          <w:rFonts w:ascii="Times New Roman" w:hAnsi="Times New Roman" w:cs="Times New Roman"/>
          <w:bCs/>
          <w:sz w:val="28"/>
          <w:szCs w:val="28"/>
        </w:rPr>
        <w:t>Давыдов М.И., Аксель Е.М. Смертность населения России и стран СНГ от злокачественных новообразований в 2008 г. [Текст] / М.И. Давыдов, Е.М. Аксель // Вестник РОНЦ им. Н.Н. Блохина РАМН</w:t>
      </w:r>
      <w:r w:rsidR="00E806CD">
        <w:rPr>
          <w:rFonts w:ascii="Times New Roman" w:hAnsi="Times New Roman" w:cs="Times New Roman"/>
          <w:bCs/>
          <w:sz w:val="28"/>
          <w:szCs w:val="28"/>
        </w:rPr>
        <w:t xml:space="preserve">. -  2010. - №2. – С: </w:t>
      </w:r>
      <w:r w:rsidRPr="00361D40">
        <w:rPr>
          <w:rFonts w:ascii="Times New Roman" w:hAnsi="Times New Roman" w:cs="Times New Roman"/>
          <w:bCs/>
          <w:sz w:val="28"/>
          <w:szCs w:val="28"/>
        </w:rPr>
        <w:t>87–135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61D40">
        <w:rPr>
          <w:rFonts w:ascii="Times New Roman" w:hAnsi="Times New Roman" w:cs="Times New Roman"/>
          <w:bCs/>
          <w:sz w:val="28"/>
          <w:szCs w:val="28"/>
        </w:rPr>
        <w:t>Мерабишвили В.М. Онкологическая служба в Санкт-Петербурге в 2007 г. (заболеваем</w:t>
      </w:r>
      <w:r w:rsidR="00E806CD">
        <w:rPr>
          <w:rFonts w:ascii="Times New Roman" w:hAnsi="Times New Roman" w:cs="Times New Roman"/>
          <w:bCs/>
          <w:sz w:val="28"/>
          <w:szCs w:val="28"/>
        </w:rPr>
        <w:t>ость, смертность, выживаемость)</w:t>
      </w:r>
      <w:r w:rsidRPr="00361D40">
        <w:rPr>
          <w:rFonts w:ascii="Times New Roman" w:hAnsi="Times New Roman" w:cs="Times New Roman"/>
          <w:bCs/>
          <w:sz w:val="28"/>
          <w:szCs w:val="28"/>
        </w:rPr>
        <w:t xml:space="preserve"> // В.М. Мерабишвили // Ежегодник Популяционного ракового регистра. - СПб.- 2008.-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361D40">
        <w:rPr>
          <w:rFonts w:ascii="Times New Roman" w:hAnsi="Times New Roman" w:cs="Times New Roman"/>
          <w:bCs/>
          <w:sz w:val="28"/>
          <w:szCs w:val="28"/>
        </w:rPr>
        <w:t>. 256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61D40">
        <w:rPr>
          <w:rFonts w:ascii="Times New Roman" w:hAnsi="Times New Roman" w:cs="Times New Roman"/>
          <w:bCs/>
          <w:sz w:val="28"/>
          <w:szCs w:val="28"/>
        </w:rPr>
        <w:t>Циммерман Я.С. Колоректальный рак: современное состояние проблемы [Текст] /Я.С. Циммерман // Рос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 w:rsidRPr="00361D40">
        <w:rPr>
          <w:rFonts w:ascii="Times New Roman" w:hAnsi="Times New Roman" w:cs="Times New Roman"/>
          <w:bCs/>
          <w:sz w:val="28"/>
          <w:szCs w:val="28"/>
        </w:rPr>
        <w:t>ийский журнал гастроэнтерологии, гепатологии, колопроктологии. – Москва., 2012. – Вып. 22. – С. 5–17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361D40">
        <w:rPr>
          <w:rFonts w:ascii="Times New Roman" w:hAnsi="Times New Roman" w:cs="Times New Roman"/>
          <w:bCs/>
          <w:sz w:val="28"/>
          <w:szCs w:val="28"/>
        </w:rPr>
        <w:t>Чиссов В. И. Онкология</w:t>
      </w:r>
      <w:r w:rsidR="00E806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806CD" w:rsidRPr="00361D40">
        <w:rPr>
          <w:rFonts w:ascii="Times New Roman" w:hAnsi="Times New Roman" w:cs="Times New Roman"/>
          <w:bCs/>
          <w:sz w:val="28"/>
          <w:szCs w:val="28"/>
        </w:rPr>
        <w:t>[Текст]</w:t>
      </w:r>
      <w:r w:rsidRPr="00361D40">
        <w:rPr>
          <w:rFonts w:ascii="Times New Roman" w:hAnsi="Times New Roman" w:cs="Times New Roman"/>
          <w:bCs/>
          <w:sz w:val="28"/>
          <w:szCs w:val="28"/>
        </w:rPr>
        <w:t>: национальное руководство / В.И. Чиссов — М.: ГЭОТАР-Медиа,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361D40">
        <w:rPr>
          <w:rFonts w:ascii="Times New Roman" w:hAnsi="Times New Roman" w:cs="Times New Roman"/>
          <w:bCs/>
          <w:sz w:val="28"/>
          <w:szCs w:val="28"/>
        </w:rPr>
        <w:t>2008. — 1060 с.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Bui M.H., Visapaa H., Seligson D., et al. Prognostic value of carbonic anhydrase IX and KI67 as predictors of survival for renal clear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cell carcinoma // J .Urol. 2004</w:t>
      </w:r>
      <w:r w:rsidR="00BD0696" w:rsidRP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Vol. 171(6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)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2461–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24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66. 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Busch O.R., Hop W.C., Hoynck van Pependrecht 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M.A., et al. Blood transfusions and 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prognosis in colorectal cancer //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N Engl J Med 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1993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. Vol. 328</w:t>
      </w:r>
      <w:r w:rsidR="00BD069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1372-1376.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Caruso R. A., Bellocco R., Pagano M., Bertoli G., Rigoli L., Inferrera C. Prognostic value of intratumoral neutrophils in advanced gastric carcinoma in a high-risk area in Northe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 Italy //  Modern Pathology. </w:t>
      </w:r>
      <w:r w:rsidR="00BD0696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2002.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Vol. 15 (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8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).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831–837, </w:t>
      </w:r>
    </w:p>
    <w:p w:rsidR="00BD0696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D0696">
        <w:rPr>
          <w:rFonts w:ascii="Times New Roman" w:hAnsi="Times New Roman" w:cs="Times New Roman"/>
          <w:bCs/>
          <w:sz w:val="28"/>
          <w:szCs w:val="28"/>
          <w:lang w:val="en-US"/>
        </w:rPr>
        <w:t>Cools-Lartigue J., Spicer J., McDonald B.et al. Neutrophil extracellular traps sequester circulating tumor cells and promote metastasis // Jo</w:t>
      </w:r>
      <w:r w:rsidR="00BD0696" w:rsidRPr="00BD0696">
        <w:rPr>
          <w:rFonts w:ascii="Times New Roman" w:hAnsi="Times New Roman" w:cs="Times New Roman"/>
          <w:bCs/>
          <w:sz w:val="28"/>
          <w:szCs w:val="28"/>
          <w:lang w:val="en-US"/>
        </w:rPr>
        <w:t>urnal of Clinical Investigation.</w:t>
      </w:r>
      <w:r w:rsidRP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D0696" w:rsidRPr="00BD0696">
        <w:rPr>
          <w:rFonts w:ascii="Times New Roman" w:hAnsi="Times New Roman" w:cs="Times New Roman"/>
          <w:bCs/>
          <w:sz w:val="28"/>
          <w:szCs w:val="28"/>
          <w:lang w:val="en-US"/>
        </w:rPr>
        <w:t>2013. V</w:t>
      </w:r>
      <w:r w:rsidRPr="00BD0696">
        <w:rPr>
          <w:rFonts w:ascii="Times New Roman" w:hAnsi="Times New Roman" w:cs="Times New Roman"/>
          <w:bCs/>
          <w:sz w:val="28"/>
          <w:szCs w:val="28"/>
          <w:lang w:val="en-US"/>
        </w:rPr>
        <w:t>ol. 123</w:t>
      </w:r>
      <w:r w:rsidR="00BD0696" w:rsidRPr="00BD0696">
        <w:rPr>
          <w:rFonts w:ascii="Times New Roman" w:hAnsi="Times New Roman" w:cs="Times New Roman"/>
          <w:bCs/>
          <w:sz w:val="28"/>
          <w:szCs w:val="28"/>
          <w:lang w:val="en-US"/>
        </w:rPr>
        <w:t>(</w:t>
      </w:r>
      <w:r w:rsidRPr="00BD0696">
        <w:rPr>
          <w:rFonts w:ascii="Times New Roman" w:hAnsi="Times New Roman" w:cs="Times New Roman"/>
          <w:bCs/>
          <w:sz w:val="28"/>
          <w:szCs w:val="28"/>
          <w:lang w:val="en-US"/>
        </w:rPr>
        <w:t>8</w:t>
      </w:r>
      <w:r w:rsidR="00BD0696" w:rsidRPr="00BD0696">
        <w:rPr>
          <w:rFonts w:ascii="Times New Roman" w:hAnsi="Times New Roman" w:cs="Times New Roman"/>
          <w:bCs/>
          <w:sz w:val="28"/>
          <w:szCs w:val="28"/>
          <w:lang w:val="en-US"/>
        </w:rPr>
        <w:t>). P.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3446–3458. </w:t>
      </w:r>
    </w:p>
    <w:p w:rsidR="00AF4C30" w:rsidRPr="00BD0696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BD0696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Cormier S. A., Taranova A. G., Bedient C., et al. Pivotal advance: eosinophil infiltration of solid tumors is an early and persistent inflammatory host response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//Journal of Leukocyte Biology.</w:t>
      </w:r>
      <w:r w:rsidRP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D0696" w:rsidRPr="00BD0696">
        <w:rPr>
          <w:rFonts w:ascii="Times New Roman" w:hAnsi="Times New Roman" w:cs="Times New Roman"/>
          <w:bCs/>
          <w:sz w:val="28"/>
          <w:szCs w:val="28"/>
          <w:lang w:val="en-US"/>
        </w:rPr>
        <w:t>2006. 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Vol. 79( 6)  P. 1131–1139.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Donskov F. Immunomonitoring and prognostic relevance of neutrophils in clinical trial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s // Seminars in Cancer Biology.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2013. Vol. 23 (3) P. 200–207.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Dorta R. G., Landman G., Kowalski L. P., Lauris J. R. P., Latorre M. R., Oliveira D. T. Tumour-associated tissue eosinophilia as a prognostic factor in oral squamous ce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ll carcinomas // Histopathology.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D0696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2002. 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41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(2)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BD0696">
        <w:rPr>
          <w:rFonts w:ascii="Times New Roman" w:hAnsi="Times New Roman" w:cs="Times New Roman"/>
          <w:bCs/>
          <w:sz w:val="28"/>
          <w:szCs w:val="28"/>
          <w:lang w:val="en-US"/>
        </w:rPr>
        <w:t>P. 152–157.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Early colon cancer: ESMO Clinical Practice Guidelines for diagnosis, treatment and follow-up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// Ann Oncol. 2013. Vol. 24 (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6)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Fluge O., Gravdal K., Carlsen E., et al. Expression of EZH2 and Ki-67 in colorectal cancer and associations with treatment response and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prognosis // Br J Cancer. 2009. Vol. 101.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1282–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>12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89.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Fossati G., Ricevuti G., Edwards S. W., Walker C., Dalton A., Rossi M. L. Neutrophil infiltration into human gl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iomas // Acta Neuropathologica. </w:t>
      </w:r>
      <w:r w:rsidR="00CA5242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1999.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Vol. 98( 4) P. 349–354.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Fridlender Z. G., Sun J., Kim S. et al. Polarization of tumor-associated neutrophil phenotype by TGF-β: “N1”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versus “N2” TAN // Cancer Cell.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CA5242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2009. 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16</w:t>
      </w:r>
      <w:r w:rsidR="00980C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>(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3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>) P. 183–194.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Fridlender Z.G.,  Albelda S.M. Tumor-associated neutrophils: friend or foe? // Carcinogenesis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2012. Vol. 33.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 949–955</w:t>
      </w:r>
      <w:r w:rsidR="00CA5242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Fridlender Z.G., et al. Polarization of tumor-associated neutrophil phenotype by TGF-beta: “N1” versus “N2” TAN // Cancer Cell</w:t>
      </w:r>
      <w:r w:rsidR="00980C89" w:rsidRP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 2009</w:t>
      </w:r>
      <w:r w:rsidR="00980C8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Vol. 16.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183-194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Gabrilovich D.I., et al. Myeloid-derived suppressor cells as regulators of the immune sy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stem // Nat. Rev. Immunol. 2009. Vol. 9.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162-174.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Garrity M.M., Burgart L.J., Mahoney M.R., et al. Prognostic value of proliferation, apoptosis, defective DNA mismatch repair and p53 overexpression in patients with resected Dukes' B2 or C colon cancer: a North Central Cancer Treatment G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roup Study //  Clin Oncol. 2004. Vol. 22.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1572–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15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82.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Gregory A.D., et al. Tumor-associated neutrophils: new targets for cancer t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herapy // Cancer Res. 2011. Vol. 71.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2411-2416.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Güngör N., Knaapen A. M., Munnia A. et al. Genotoxic effects of neutrophils and h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ypochlorous acid // Mutagenesis.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2010.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25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(2) P. 149–154.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Heifets L. Centennial of Metchnikoff's discovery // Reticuloendo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thel. Soc.1982 Vol. 31.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381-391.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Houghton A. M., Rzymkiewicz D. M., Ji H. et al. Neutrophil elastase-mediated degradation of IRS-1 accelerates lung t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umor growth // Nature Medicine.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2010.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16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(2). P. 219–223.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Jablonska J., Leschner S., Westphal K., Lienenklaus S., Weiss S. Neutrophils responsive to endogenous IFN-β regulate tumor angiogenesis and growth in a mouse tumor model // Jou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rnal of Clinical Investigation.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2010.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120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(4)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P. 1151–1164.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Jensen H. K., Donskov F., Marcussen N., Nordsmark M., Lundbeck F., Von Der Maase H. Presence of intratumoral neutrophils is an independent prognostic factor in localized renal cell carcinoma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// Journal of Clinical Oncology.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2009.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27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28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) P. 4709–4717.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Junttila M.R., de Sauvage F.J. Influence of tumour micro-environment heterogeneity on thera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peutic response // Nature. 2013. Vol. 501.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346–54.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Kimura T., Tanaka S., Haruma K., et al. Clinical significance of MUC1 and E-cadherin expression, cellular proliferation and angiogenesis at the deepest invasive portion of colorec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tal cancer // Int J Oncol. 2000. Vol. 16.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55–64.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Kirla R., Salminen E., Huhtala S., et al. Prognostic value of the expression of tumor suppressor genes p53, p21, p16 and prb and Ki-67 labelling in high grade astrocytomas treated with radiotherapy // J Neurooncol.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2000. Vol. 46.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71–80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Labianca R., Nordlinger B., Beretta G. D., Brouquet A., Cervantes A. Primary colon cancer: ESMO Clinical Practice Guidelines for diagnosis, adjuvant treatment and follow-up On behalf of the ESMO Guidelines Working Group // Annals of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Oncology 21 (Supplement 5).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2010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Vol.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7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7.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Liang J., Piao Y., Holmes L. et al. Neutrophils promote the malignant glioma phenotype through S10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0A4 // Clinical Cancer Research.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2014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.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20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(1)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P. 187–198.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Looi L. M. Tumor-associated tissue eosinophilia in nasopharyngeal carcinoma. A pathologic study of 422 primary and 13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8 metastatic tumors // Cancer.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1987. 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59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(3) P. 466–470.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Mantovani A., et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al. Macrophage polarization: tumor-associated macrophages as a paradigm for polarized M2 mononuclear phagocytes // Trends Immunol.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2002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Vol. 23.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549-555.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Mattes J., Hulett M., Xie W., et al. Immunotherapy of cytotoxic T cell-resistant tumors by T helper 2 cells: an eotaxin and STAT6-dependent process // Journal of Experimenta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l Medicine.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980C89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2003. 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197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(3).  P. 387–393.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Michael-Robinson J.M., Reid L.E., Purdie D.M., et al. Proliferation, apoptosis and survival in high-level microsatellite instability sporadic colorectal 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cancer // Clin Cancer Res. 2001. Vol. 7.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2347–</w:t>
      </w:r>
      <w:r w:rsidR="00980C89">
        <w:rPr>
          <w:rFonts w:ascii="Times New Roman" w:hAnsi="Times New Roman" w:cs="Times New Roman"/>
          <w:bCs/>
          <w:sz w:val="28"/>
          <w:szCs w:val="28"/>
          <w:lang w:val="en-US"/>
        </w:rPr>
        <w:t>23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56.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Mócsai A. Diverse novel functions of neutrophils in immunity, inflammation, and beyond //  The J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ournal of Experimental Medicine.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2013.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210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(7).  P. 1283.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6203BF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Movahedi K., et al. Identification of discrete tumor-induced myeloid-derived suppressor cell subpopulations with distinct T cell-suppressive activity // Blood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2008.  Vol.111.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4233-4244.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Nagaraj S, et al. Mechanism of T cell tolerance induced by myeloid-derived su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ppressor cells // Immunol. 2010. Vol. 184.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3106-3116.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Nielsen H. J., Hansen U., Christensen I. J., Reimert C. M., Brunner N., Moesgaard F.. Independent prognostic value of eosinophil and mast cell infiltration in colorectal cancer tissue // Journal of Pathology,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1999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. Vol. 189 (4). P. 487–495.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Nozawa H., Chiu C., Hanahan D. Infiltrating neutrophils mediate the initial angiogenic switch in a mouse model of multistage carcinogenesis // Proceedings of the National Academy of Sciences o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f the United States of America.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2006.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103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(33)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P. 12493–12498.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Ozdemir B.C., Pentcheva-Hoang T., Carstens J.L., Zheng X., Wu C.C., Simpson T.R., et al. Depletion of carcinoma-associated fibroblasts and fibrosis induces immunosuppression and accelerates pancreas cancer with reduce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 survival // Cancer Cell. 2014. Vol. 25.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719–34.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Pang Y., Gara S. K., Achyut B. R. et al. TGF-β signaling in myeloid cells is required for tumor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metastasis // Cancer Discovery.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2013.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3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(8)  P. 936–951.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Pivetta E., Danussi C., Wassermann B. et al. Neutrophil elastase-dependent cleavage compromises the tumor suppressor role of EMILIN1 //  Matri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x Biology.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2014.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Vol. 34. P. 22–32.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Pollack A., DeSilvio M., Khor L.Y., et al. Ki-67 staining is a strong predictor of distant metastasis and mortality for men with prostate cancer treated with radiotherapy plus androgen deprivation: Radiation Therapy Oncology Group Tri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al 92–02 //  J Clin Oncol. 2004. Vol. 22.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2133–40.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Queen M. M., Ryan R. E., Holzer R. G., Keller-Peck C. R., Jorcyk C. L. Breast cancer cells stimulate neutrophils to produce oncostatin M: potential implications for tumor progression // Cancer Res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earch.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2005.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65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(19)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8896–8904,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Queen M. M., Ryan R. E., Holzer R. G., Keller-Peck C. R., Jorcyk C. L. Breast cancer cells stimulate neutrophils to produce oncostatin M: potential implications for tumor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progression // Cancer Research.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2005. 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65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(19) P. 8896–8904.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Reid M. D., Basturk O., Thirabanjasak D. et al. Tumor-infiltrating neutrophils in pancreatic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neoplasia //  Modern Pathology.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2011. 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24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(12)  P. 1612–1619.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Rhim A.D., Oberstein P.E., Thomas D.H., Mirek E.T., Palermo C.F., Sastra S.A., et al. Stromal elements act to restrain, rather than support, pancreatic ductal aden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ocarcinoma // Cancer Cell. 2014. Vol. 25.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735–47.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Rothenberg M. E., Hogan S. P. The eosinophil // Annual Review of Immunology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2006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.  Vol. 24. P. 147–174.</w:t>
      </w:r>
    </w:p>
    <w:p w:rsidR="00AF4C30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Salminen E., Palmu S., Vahlberg T., et al. Increased proliferation activity measured by immunoreactive Ki67 is associated with survival improvement in rectal/recto sigmoid cancer // World J Gastroenterol.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2005. Vol. 11.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3245–49. 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Scherz-Shouval R., Santagata S., Mendillo M.L., Sholl L.M., Ben-Aharon I., Beck A.H., et al. The reprogramming of tumor stroma by HSF1 is a potent enab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ler of malignancy // Cell. 2014. Vol. 158.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564–78.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Scopa C.D., Tsamandas A.C., Zolota V., et al. Potential role of bcl-2 and ki-67 expression and apoptosis in colorectal carcinoma: a clinicopathol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ogic study // Dig Dis Sci. 2003. Vol. 48.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1990–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19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97.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Teruya-Feldstein J., Jaffe E. S., Burd P. R., Kingma D. W., Setsuda J. E., Tosato G. Differential chemokine expression in tissues involved by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Hodgkin's disease: direct correlation of eotaxin expression and tissue eosinophilia // Blood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1999. 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93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(8)  P. 2463–2470.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Trellakis K., Bruderek C. A. Dumitru et al. Polymorphonuclear granulocytes in human head and neck cancer: enhanced inflammatory activity, modulation by cancer cells and expansion in advanced disease //  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International Journal of Cancer.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2011.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129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(9)  P. 2183–2193.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Valencia T., Kim J.Y., Abu-Baker S., Moscat-Pardos J., Ahn C.S., Reina-Campos M., et al. Metabolic reprogramming of stromal fibroblasts through p62-mTORC1 signaling promotes inflammation and tum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origenesis // Cancer Cell. 2014. Vol. 26.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121–35.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Wang J., Jia Y., Wang N. et al. The clinical significance of tumor-infiltrating neutrophils and neutrophil-to-CD8+ lymphocyte ratio in patients with resectable esophageal squamous cell carcinoma // Jou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rnal of Translational Medicine.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2014. 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Vol. 12 (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1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). P. 7.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Wislez M., Rabbe N., Marchal J. et al. Hepatocyte growth factor production by neutrophils infiltrating bronchioloalveolar subtype pulmonary adenocarcinoma: role in tumor progression and death // Cancer Research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2003.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63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(6).  P. 1405–1412.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Wislez M., Rabbe N., Marchal J. et al. Hepatocyte growth factor production by neutrophils infiltrating bronchioloalveolar subtype pulmonary adenocarcinoma: role in tumor progressi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on and death // Cancer Research.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6203BF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2003. 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ol. 63</w:t>
      </w:r>
      <w:r w:rsidR="006203BF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(6) P. 1405–1412.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F4C30" w:rsidRPr="00361D40" w:rsidRDefault="00361D4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Youn J.I., et al. Subsets of myeloid-derived suppressor cells in tumo</w:t>
      </w:r>
      <w:r w:rsidR="00A475D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r-bearing mice // Immunol. 2008 Vol. 181. P. </w:t>
      </w:r>
      <w:r w:rsidR="00AF4C30" w:rsidRPr="00361D40">
        <w:rPr>
          <w:rFonts w:ascii="Times New Roman" w:hAnsi="Times New Roman" w:cs="Times New Roman"/>
          <w:bCs/>
          <w:sz w:val="28"/>
          <w:szCs w:val="28"/>
          <w:lang w:val="en-US"/>
        </w:rPr>
        <w:t>5791-5802. </w:t>
      </w:r>
    </w:p>
    <w:p w:rsidR="00B17F28" w:rsidRPr="00361D40" w:rsidRDefault="00AF4C30" w:rsidP="00361D40">
      <w:pPr>
        <w:pStyle w:val="af3"/>
        <w:numPr>
          <w:ilvl w:val="0"/>
          <w:numId w:val="21"/>
        </w:numPr>
        <w:shd w:val="clear" w:color="auto" w:fill="FFFFFF"/>
        <w:spacing w:before="120" w:after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361D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61D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Yunping L., et al. Targeting tumor-associated macrophages as a novel strategy against breas</w:t>
      </w:r>
      <w:r w:rsidR="00A475DD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t cancer //  Clin. Invest. 2006. Vol. 116. P. </w:t>
      </w:r>
      <w:r w:rsidRPr="00361D40">
        <w:rPr>
          <w:rFonts w:ascii="Times New Roman" w:hAnsi="Times New Roman" w:cs="Times New Roman"/>
          <w:bCs/>
          <w:sz w:val="28"/>
          <w:szCs w:val="28"/>
          <w:lang w:val="en-US"/>
        </w:rPr>
        <w:t>2132-2141.</w:t>
      </w:r>
    </w:p>
    <w:p w:rsidR="00B17F28" w:rsidRDefault="00B17F28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361D40" w:rsidRPr="00A475DD" w:rsidRDefault="00361D40" w:rsidP="00A475DD">
      <w:pPr>
        <w:widowControl/>
        <w:shd w:val="clear" w:color="auto" w:fill="FFFFFF"/>
        <w:spacing w:after="240" w:line="360" w:lineRule="auto"/>
        <w:jc w:val="both"/>
        <w:textAlignment w:val="baseline"/>
        <w:rPr>
          <w:rFonts w:ascii="Times New Roman" w:hAnsi="Times New Roman" w:cs="Times New Roman"/>
          <w:bCs/>
          <w:color w:val="auto"/>
          <w:sz w:val="28"/>
          <w:szCs w:val="28"/>
          <w:lang w:val="en-US"/>
        </w:rPr>
      </w:pPr>
    </w:p>
    <w:p w:rsidR="00B17F28" w:rsidRDefault="00B17F28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B17F2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Приложение</w:t>
      </w:r>
    </w:p>
    <w:p w:rsidR="009F114A" w:rsidRDefault="009F114A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F114A" w:rsidRDefault="009F114A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F114A" w:rsidRDefault="009F114A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F114A" w:rsidRDefault="009F114A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B796B" w:rsidRDefault="003B796B" w:rsidP="005930C5">
      <w:pPr>
        <w:widowControl/>
        <w:shd w:val="clear" w:color="auto" w:fill="FFFFFF"/>
        <w:spacing w:after="240" w:line="360" w:lineRule="auto"/>
        <w:ind w:left="720"/>
        <w:jc w:val="both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  <w:r w:rsidRPr="009F114A"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  <w:t>XIX Международная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  <w:r w:rsidRPr="009F114A"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  <w:t>медико-биологическая конференция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  <w:r w:rsidRPr="009F114A"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  <w:t>молодых исследователей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  <w:r w:rsidRPr="009F114A"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  <w:t>«Фундаментальная наука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  <w:r w:rsidRPr="009F114A"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  <w:t>и клиническая медицина —</w:t>
      </w:r>
    </w:p>
    <w:p w:rsid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  <w:r w:rsidRPr="009F114A"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  <w:t>человек и его здоровье»</w:t>
      </w:r>
    </w:p>
    <w:p w:rsid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Regular" w:hAnsi="MinionPro-Regular" w:cs="MinionPro-Regular"/>
          <w:color w:val="auto"/>
          <w:sz w:val="44"/>
          <w:szCs w:val="44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44"/>
          <w:szCs w:val="44"/>
          <w:lang w:bidi="ar-SA"/>
        </w:rPr>
        <w:t>23 апреля 2016 года</w:t>
      </w:r>
    </w:p>
    <w:p w:rsidR="003B796B" w:rsidRPr="009F114A" w:rsidRDefault="009F114A" w:rsidP="009F114A">
      <w:pPr>
        <w:widowControl/>
        <w:jc w:val="center"/>
        <w:rPr>
          <w:rFonts w:ascii="Times New Roman" w:hAnsi="Times New Roman" w:cs="Times New Roman"/>
          <w:b/>
          <w:bCs/>
          <w:color w:val="auto"/>
          <w:sz w:val="44"/>
          <w:szCs w:val="44"/>
        </w:rPr>
      </w:pPr>
      <w:r w:rsidRPr="009F114A">
        <w:rPr>
          <w:rFonts w:ascii="MinionPro-Regular" w:hAnsi="MinionPro-Regular" w:cs="MinionPro-Regular"/>
          <w:color w:val="auto"/>
          <w:sz w:val="44"/>
          <w:szCs w:val="44"/>
          <w:lang w:bidi="ar-SA"/>
        </w:rPr>
        <w:t>Санкт-Петербургский государственный университет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jc w:val="center"/>
        <w:rPr>
          <w:rFonts w:ascii="MinionPro-Bold" w:hAnsi="MinionPro-Bold" w:cs="MinionPro-Bold"/>
          <w:b/>
          <w:bCs/>
          <w:color w:val="auto"/>
          <w:sz w:val="44"/>
          <w:szCs w:val="44"/>
          <w:lang w:bidi="ar-SA"/>
        </w:rPr>
      </w:pPr>
    </w:p>
    <w:p w:rsidR="009F114A" w:rsidRDefault="009F114A" w:rsidP="009F114A">
      <w:pPr>
        <w:widowControl/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</w:pPr>
    </w:p>
    <w:p w:rsidR="009F114A" w:rsidRDefault="009F114A">
      <w:pPr>
        <w:widowControl/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</w:pPr>
      <w:r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  <w:br w:type="page"/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</w:pPr>
      <w:r w:rsidRPr="003B796B"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  <w:lastRenderedPageBreak/>
        <w:t>ПРОГНОСТИЧЕСКОЕ ЗНАЧЕНИЕ СТЕПЕНИ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</w:pPr>
      <w:r w:rsidRPr="003B796B"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  <w:t>ИНФИЛЬТРИРОВАННОСТИ ОПУХОЛИ ЭОЗИНОФИЛАМИ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</w:pPr>
      <w:r w:rsidRPr="003B796B"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  <w:t>И НЕЙТРОФИЛАМИ ПРИ АДЕНОКАРЦИНОМАХ ТОЛСТОЙ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</w:pPr>
      <w:r w:rsidRPr="003B796B">
        <w:rPr>
          <w:rFonts w:ascii="MinionPro-Bold" w:hAnsi="MinionPro-Bold" w:cs="MinionPro-Bold"/>
          <w:b/>
          <w:bCs/>
          <w:color w:val="auto"/>
          <w:sz w:val="28"/>
          <w:szCs w:val="28"/>
          <w:lang w:bidi="ar-SA"/>
        </w:rPr>
        <w:t>КИШКИ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BoldIt" w:hAnsi="MinionPro-BoldIt" w:cs="MinionPro-BoldIt"/>
          <w:b/>
          <w:bCs/>
          <w:i/>
          <w:iCs/>
          <w:color w:val="auto"/>
          <w:sz w:val="28"/>
          <w:szCs w:val="28"/>
          <w:lang w:bidi="ar-SA"/>
        </w:rPr>
      </w:pPr>
      <w:r w:rsidRPr="003B796B">
        <w:rPr>
          <w:rFonts w:ascii="MinionPro-BoldIt" w:hAnsi="MinionPro-BoldIt" w:cs="MinionPro-BoldIt"/>
          <w:b/>
          <w:bCs/>
          <w:i/>
          <w:iCs/>
          <w:color w:val="auto"/>
          <w:sz w:val="28"/>
          <w:szCs w:val="28"/>
          <w:lang w:bidi="ar-SA"/>
        </w:rPr>
        <w:t>П. С. Шило, студ., А. К. Иванова, врач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It" w:hAnsi="MinionPro-It" w:cs="MinionPro-It"/>
          <w:i/>
          <w:iCs/>
          <w:color w:val="auto"/>
          <w:sz w:val="28"/>
          <w:szCs w:val="28"/>
          <w:lang w:bidi="ar-SA"/>
        </w:rPr>
      </w:pPr>
      <w:r w:rsidRPr="003B796B">
        <w:rPr>
          <w:rFonts w:ascii="MinionPro-It" w:hAnsi="MinionPro-It" w:cs="MinionPro-It"/>
          <w:i/>
          <w:iCs/>
          <w:color w:val="auto"/>
          <w:sz w:val="28"/>
          <w:szCs w:val="28"/>
          <w:lang w:bidi="ar-SA"/>
        </w:rPr>
        <w:t>Санкт-Петербургский государственный университет, кафедра онкологии.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It" w:hAnsi="MinionPro-It" w:cs="MinionPro-It"/>
          <w:i/>
          <w:iCs/>
          <w:color w:val="auto"/>
          <w:sz w:val="28"/>
          <w:szCs w:val="28"/>
          <w:lang w:bidi="ar-SA"/>
        </w:rPr>
      </w:pPr>
      <w:r w:rsidRPr="003B796B">
        <w:rPr>
          <w:rFonts w:ascii="MinionPro-It" w:hAnsi="MinionPro-It" w:cs="MinionPro-It"/>
          <w:i/>
          <w:iCs/>
          <w:color w:val="auto"/>
          <w:sz w:val="28"/>
          <w:szCs w:val="28"/>
          <w:lang w:bidi="ar-SA"/>
        </w:rPr>
        <w:t>Городской клинический онкологический диспансер. Санкт-Петербург. Россия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Рак толстой кишки (РТК) — одна из наиболее часто встречающихся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злокачественных опухолей. В настоящее время имеется необходимость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в индивидуализации лечения, однако имеющиеся на сегодняшний день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критерии, по которым оценивается прогноз конкретного пациента, не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обеспечивают достаточной точности, в связи с чем необходим поиск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новых прогностических факторов.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Цель работы: Определение значения инфильтрированности опу-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холи нейтрофилами и эозинофилами как дополнительного фактора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прогноза у пациентов РТК и их сопоставление с уровнем экспрессии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хемокиновых рецепторов и с уже существующими прогностическими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факторами.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Материалы и методы: В исследование было включено 20 пациентов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РТК со стадией pT4N0M0. Пациенты были разделены на группы благо-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приятного и неблагоприятного прогнозов. Для обеих групп был про-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веден ретроспективный анализ данных историй болезни (пол, возраст,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данные о безрецидивной выживаемости, наличие KRAS мутации), ги-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стологических заключений (степень дифференцировки, Ki-67), данных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об экспрессии CXCR4-хемокиновых рецепторов, а также осуществлен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подсчёт количества нейтрофилов и эозинофилов, инфильтрирующих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опухоль в 8 наиболее показательных полях зрения. Статистическая об-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работка данных проводилась с использованием критерия Манна-Уитни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и коэффициента корреляции Спирмена.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Результаты: Уровень инфильтрированности опухоли нейтрофила-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ми достоверно выше в группе пациентов с неблагоприятным прогно-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зом (P&lt;0,001). Инфильтрация опухоли эозинофилами достоверно выше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в группе с благоприятным прогнозом (P&lt;0,005), однако статистически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значимого коэффициента корреляции количества эозинофилов и без-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рецидивной выживаемости получено не было. Имеется тенденция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к ассоциации более высоких уровней экспрессии CXCR4 с неблагопри-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ятным прогнозом (средние 56 % против 39 %). Связи между степенью</w:t>
      </w:r>
    </w:p>
    <w:p w:rsidR="003B796B" w:rsidRPr="003B796B" w:rsidRDefault="003B796B" w:rsidP="003B796B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экспрессии Ki-67, количеством клеток, экспрессирующихCXCR4 и про-</w:t>
      </w:r>
    </w:p>
    <w:p w:rsidR="009F114A" w:rsidRDefault="003B796B" w:rsidP="009F114A">
      <w:pPr>
        <w:widowControl/>
        <w:shd w:val="clear" w:color="auto" w:fill="FFFFFF"/>
        <w:spacing w:after="240" w:line="360" w:lineRule="auto"/>
        <w:jc w:val="both"/>
        <w:textAlignment w:val="baseline"/>
        <w:rPr>
          <w:rFonts w:ascii="MinionPro-Bold" w:hAnsi="MinionPro-Bold" w:cs="MinionPro-Bold"/>
          <w:color w:val="auto"/>
          <w:sz w:val="28"/>
          <w:szCs w:val="28"/>
          <w:lang w:bidi="ar-SA"/>
        </w:rPr>
      </w:pPr>
      <w:r w:rsidRPr="003B796B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гнозом обнаружено не было. Данных за наличие корреляции между</w:t>
      </w:r>
    </w:p>
    <w:p w:rsidR="009F114A" w:rsidRDefault="009F114A">
      <w:pPr>
        <w:widowControl/>
        <w:rPr>
          <w:rFonts w:ascii="MinionPro-Bold" w:hAnsi="MinionPro-Bold" w:cs="MinionPro-Bold"/>
          <w:color w:val="auto"/>
          <w:sz w:val="28"/>
          <w:szCs w:val="28"/>
          <w:lang w:bidi="ar-SA"/>
        </w:rPr>
      </w:pPr>
      <w:r>
        <w:rPr>
          <w:rFonts w:ascii="MinionPro-Bold" w:hAnsi="MinionPro-Bold" w:cs="MinionPro-Bold"/>
          <w:color w:val="auto"/>
          <w:sz w:val="28"/>
          <w:szCs w:val="28"/>
          <w:lang w:bidi="ar-SA"/>
        </w:rPr>
        <w:br w:type="page"/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lastRenderedPageBreak/>
        <w:t>количеством инфильтрирующих опухоль нейтрофилов, эозинофилов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и уровнем Ki-67 выявлено не было.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Выводы: Полученные данные свидетельствуют о возможности при-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менения оценки уровня инфильтрированности опухоли как дополни-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тельных факторов благоприятного (эозинофилы) и неблагоприятного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(нейтрофилы) прогнозов. Отсутствие значимости экспрессии Ki-67 для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прогнозирования подтверждает неперспективность применения дан-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color w:val="auto"/>
          <w:sz w:val="28"/>
          <w:szCs w:val="28"/>
          <w:lang w:bidi="ar-SA"/>
        </w:rPr>
        <w:t>ного маркера.</w:t>
      </w:r>
    </w:p>
    <w:p w:rsidR="009F114A" w:rsidRPr="009F114A" w:rsidRDefault="009F114A" w:rsidP="009F114A">
      <w:pPr>
        <w:widowControl/>
        <w:autoSpaceDE w:val="0"/>
        <w:autoSpaceDN w:val="0"/>
        <w:adjustRightInd w:val="0"/>
        <w:rPr>
          <w:rFonts w:ascii="MinionPro-Regular" w:hAnsi="MinionPro-Regular" w:cs="MinionPro-Regular"/>
          <w:i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i/>
          <w:color w:val="auto"/>
          <w:sz w:val="28"/>
          <w:szCs w:val="28"/>
          <w:lang w:bidi="ar-SA"/>
        </w:rPr>
        <w:t>Автор выражает благодарность научному руководителю д.м.н.,</w:t>
      </w:r>
    </w:p>
    <w:p w:rsidR="009F114A" w:rsidRDefault="009F114A" w:rsidP="009F114A">
      <w:pPr>
        <w:widowControl/>
        <w:shd w:val="clear" w:color="auto" w:fill="FFFFFF"/>
        <w:spacing w:after="240" w:line="360" w:lineRule="auto"/>
        <w:jc w:val="both"/>
        <w:textAlignment w:val="baseline"/>
        <w:rPr>
          <w:rFonts w:ascii="MinionPro-Regular" w:hAnsi="MinionPro-Regular" w:cs="MinionPro-Regular"/>
          <w:i/>
          <w:color w:val="auto"/>
          <w:sz w:val="28"/>
          <w:szCs w:val="28"/>
          <w:lang w:bidi="ar-SA"/>
        </w:rPr>
      </w:pPr>
      <w:r w:rsidRPr="009F114A">
        <w:rPr>
          <w:rFonts w:ascii="MinionPro-Regular" w:hAnsi="MinionPro-Regular" w:cs="MinionPro-Regular"/>
          <w:i/>
          <w:color w:val="auto"/>
          <w:sz w:val="28"/>
          <w:szCs w:val="28"/>
          <w:lang w:bidi="ar-SA"/>
        </w:rPr>
        <w:t>проф. Орловой Рашиде Вахидовне и к.м.н. Раскину Григорию Александровичу.</w:t>
      </w:r>
    </w:p>
    <w:p w:rsidR="009F114A" w:rsidRDefault="009F114A">
      <w:pPr>
        <w:widowControl/>
        <w:rPr>
          <w:rFonts w:ascii="MinionPro-Regular" w:hAnsi="MinionPro-Regular" w:cs="MinionPro-Regular"/>
          <w:i/>
          <w:color w:val="auto"/>
          <w:sz w:val="28"/>
          <w:szCs w:val="28"/>
          <w:lang w:bidi="ar-SA"/>
        </w:rPr>
      </w:pPr>
      <w:r>
        <w:rPr>
          <w:rFonts w:ascii="MinionPro-Regular" w:hAnsi="MinionPro-Regular" w:cs="MinionPro-Regular"/>
          <w:i/>
          <w:color w:val="auto"/>
          <w:sz w:val="28"/>
          <w:szCs w:val="28"/>
          <w:lang w:bidi="ar-SA"/>
        </w:rPr>
        <w:br w:type="page"/>
      </w:r>
    </w:p>
    <w:p w:rsidR="003B796B" w:rsidRPr="009F114A" w:rsidRDefault="00C16F77" w:rsidP="009F114A">
      <w:pPr>
        <w:widowControl/>
        <w:shd w:val="clear" w:color="auto" w:fill="FFFFFF"/>
        <w:spacing w:after="240" w:line="360" w:lineRule="auto"/>
        <w:jc w:val="both"/>
        <w:textAlignment w:val="baseline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082314" cy="8368475"/>
            <wp:effectExtent l="19050" t="0" r="0" b="0"/>
            <wp:docPr id="8" name="Рисунок 1" descr="https://pp.vk.me/c636231/v636231760/88af/S7ihuZU8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231/v636231760/88af/S7ihuZU8VS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5" cy="838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96B" w:rsidRPr="009F114A" w:rsidSect="006A69D0">
      <w:footerReference w:type="default" r:id="rId23"/>
      <w:pgSz w:w="11906" w:h="16838"/>
      <w:pgMar w:top="1134" w:right="1134" w:bottom="1134" w:left="1701" w:header="0" w:footer="0" w:gutter="0"/>
      <w:cols w:space="708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4EE" w:rsidRDefault="00E204EE" w:rsidP="002E46D4">
      <w:pPr>
        <w:rPr>
          <w:rFonts w:hint="eastAsia"/>
        </w:rPr>
      </w:pPr>
      <w:r>
        <w:separator/>
      </w:r>
    </w:p>
  </w:endnote>
  <w:endnote w:type="continuationSeparator" w:id="0">
    <w:p w:rsidR="00E204EE" w:rsidRDefault="00E204EE" w:rsidP="002E46D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iberation Mono">
    <w:altName w:val="Courier New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nionPro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BoldI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I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41180817"/>
      <w:docPartObj>
        <w:docPartGallery w:val="Page Numbers (Bottom of Page)"/>
        <w:docPartUnique/>
      </w:docPartObj>
    </w:sdtPr>
    <w:sdtContent>
      <w:p w:rsidR="00BD0696" w:rsidRDefault="00BD0696">
        <w:pPr>
          <w:pStyle w:val="af7"/>
          <w:jc w:val="right"/>
          <w:rPr>
            <w:rFonts w:hint="eastAsia"/>
          </w:rPr>
        </w:pPr>
        <w:fldSimple w:instr=" PAGE   \* MERGEFORMAT ">
          <w:r w:rsidR="00C16F77">
            <w:rPr>
              <w:rFonts w:hint="eastAsia"/>
              <w:noProof/>
            </w:rPr>
            <w:t>48</w:t>
          </w:r>
        </w:fldSimple>
      </w:p>
    </w:sdtContent>
  </w:sdt>
  <w:p w:rsidR="00BD0696" w:rsidRDefault="00BD0696">
    <w:pPr>
      <w:pStyle w:val="af7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4EE" w:rsidRDefault="00E204EE" w:rsidP="002E46D4">
      <w:pPr>
        <w:rPr>
          <w:rFonts w:hint="eastAsia"/>
        </w:rPr>
      </w:pPr>
      <w:r>
        <w:separator/>
      </w:r>
    </w:p>
  </w:footnote>
  <w:footnote w:type="continuationSeparator" w:id="0">
    <w:p w:rsidR="00E204EE" w:rsidRDefault="00E204EE" w:rsidP="002E46D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961CC"/>
    <w:multiLevelType w:val="multilevel"/>
    <w:tmpl w:val="17E87C8A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18E2502E"/>
    <w:multiLevelType w:val="hybridMultilevel"/>
    <w:tmpl w:val="19A09574"/>
    <w:lvl w:ilvl="0" w:tplc="0004F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195DD7"/>
    <w:multiLevelType w:val="multilevel"/>
    <w:tmpl w:val="809C4C14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8E34D1C"/>
    <w:multiLevelType w:val="multilevel"/>
    <w:tmpl w:val="C596A90A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297D6B27"/>
    <w:multiLevelType w:val="hybridMultilevel"/>
    <w:tmpl w:val="E912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852B2"/>
    <w:multiLevelType w:val="hybridMultilevel"/>
    <w:tmpl w:val="940C03F6"/>
    <w:lvl w:ilvl="0" w:tplc="3E2CA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A4B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B42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164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101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B47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E4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AB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04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E81E71"/>
    <w:multiLevelType w:val="hybridMultilevel"/>
    <w:tmpl w:val="003C6040"/>
    <w:lvl w:ilvl="0" w:tplc="E984F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98C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23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501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1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322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85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246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08C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ED57D8"/>
    <w:multiLevelType w:val="multilevel"/>
    <w:tmpl w:val="A6E2D94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32FF1910"/>
    <w:multiLevelType w:val="multilevel"/>
    <w:tmpl w:val="843425EA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354B3C68"/>
    <w:multiLevelType w:val="multilevel"/>
    <w:tmpl w:val="3C387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CB275D"/>
    <w:multiLevelType w:val="multilevel"/>
    <w:tmpl w:val="8AA8DCE0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1">
    <w:nsid w:val="39604AD6"/>
    <w:multiLevelType w:val="multilevel"/>
    <w:tmpl w:val="604CC044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2">
    <w:nsid w:val="3FF01EEA"/>
    <w:multiLevelType w:val="hybridMultilevel"/>
    <w:tmpl w:val="4C9E971A"/>
    <w:lvl w:ilvl="0" w:tplc="61BA9D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06B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63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E0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62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18A2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F2F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0C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E0A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0C86990"/>
    <w:multiLevelType w:val="hybridMultilevel"/>
    <w:tmpl w:val="303270B8"/>
    <w:lvl w:ilvl="0" w:tplc="A998B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70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6E1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66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204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06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D48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AAD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686E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0F81CF0"/>
    <w:multiLevelType w:val="hybridMultilevel"/>
    <w:tmpl w:val="B53C6BB2"/>
    <w:lvl w:ilvl="0" w:tplc="E5021A42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D6644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F45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C0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465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E6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A6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C0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96F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5DD7317"/>
    <w:multiLevelType w:val="multilevel"/>
    <w:tmpl w:val="0C5C646E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6">
    <w:nsid w:val="4D0037D4"/>
    <w:multiLevelType w:val="multilevel"/>
    <w:tmpl w:val="EC00492A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7">
    <w:nsid w:val="52990AAD"/>
    <w:multiLevelType w:val="hybridMultilevel"/>
    <w:tmpl w:val="9CACFE66"/>
    <w:lvl w:ilvl="0" w:tplc="22FC9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62F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D21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2C8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8E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5C6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02E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74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062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ED02723"/>
    <w:multiLevelType w:val="multilevel"/>
    <w:tmpl w:val="46C67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956024"/>
    <w:multiLevelType w:val="hybridMultilevel"/>
    <w:tmpl w:val="06B0F356"/>
    <w:lvl w:ilvl="0" w:tplc="BC7A3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24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C4F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22E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40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621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0A7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A4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2A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87324A1"/>
    <w:multiLevelType w:val="multilevel"/>
    <w:tmpl w:val="DD021F2E"/>
    <w:lvl w:ilvl="0">
      <w:start w:val="1"/>
      <w:numFmt w:val="decimal"/>
      <w:suff w:val="nothing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3"/>
  </w:num>
  <w:num w:numId="5">
    <w:abstractNumId w:val="8"/>
  </w:num>
  <w:num w:numId="6">
    <w:abstractNumId w:val="20"/>
  </w:num>
  <w:num w:numId="7">
    <w:abstractNumId w:val="11"/>
  </w:num>
  <w:num w:numId="8">
    <w:abstractNumId w:val="16"/>
  </w:num>
  <w:num w:numId="9">
    <w:abstractNumId w:val="7"/>
  </w:num>
  <w:num w:numId="10">
    <w:abstractNumId w:val="4"/>
  </w:num>
  <w:num w:numId="11">
    <w:abstractNumId w:val="14"/>
  </w:num>
  <w:num w:numId="12">
    <w:abstractNumId w:val="17"/>
  </w:num>
  <w:num w:numId="13">
    <w:abstractNumId w:val="5"/>
  </w:num>
  <w:num w:numId="14">
    <w:abstractNumId w:val="19"/>
  </w:num>
  <w:num w:numId="15">
    <w:abstractNumId w:val="13"/>
  </w:num>
  <w:num w:numId="16">
    <w:abstractNumId w:val="12"/>
  </w:num>
  <w:num w:numId="17">
    <w:abstractNumId w:val="6"/>
  </w:num>
  <w:num w:numId="18">
    <w:abstractNumId w:val="9"/>
  </w:num>
  <w:num w:numId="19">
    <w:abstractNumId w:val="18"/>
  </w:num>
  <w:num w:numId="20">
    <w:abstractNumId w:val="2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9"/>
  <w:drawingGridHorizontalSpacing w:val="1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12D2D"/>
    <w:rsid w:val="000021EA"/>
    <w:rsid w:val="000104D2"/>
    <w:rsid w:val="00041E89"/>
    <w:rsid w:val="00044390"/>
    <w:rsid w:val="00073306"/>
    <w:rsid w:val="0009609F"/>
    <w:rsid w:val="000A35D3"/>
    <w:rsid w:val="000B1A55"/>
    <w:rsid w:val="000F068E"/>
    <w:rsid w:val="000F1E45"/>
    <w:rsid w:val="0011204C"/>
    <w:rsid w:val="00137981"/>
    <w:rsid w:val="00185442"/>
    <w:rsid w:val="0018796A"/>
    <w:rsid w:val="00197BF6"/>
    <w:rsid w:val="00197E99"/>
    <w:rsid w:val="001C010F"/>
    <w:rsid w:val="001C2CD7"/>
    <w:rsid w:val="001C4EBD"/>
    <w:rsid w:val="001C5B0D"/>
    <w:rsid w:val="001D7283"/>
    <w:rsid w:val="001F5CC7"/>
    <w:rsid w:val="00200ABC"/>
    <w:rsid w:val="00213C65"/>
    <w:rsid w:val="002140C5"/>
    <w:rsid w:val="00214BF5"/>
    <w:rsid w:val="00236E74"/>
    <w:rsid w:val="00244462"/>
    <w:rsid w:val="0024746D"/>
    <w:rsid w:val="00251E3D"/>
    <w:rsid w:val="00253EBC"/>
    <w:rsid w:val="002D25B4"/>
    <w:rsid w:val="002E4334"/>
    <w:rsid w:val="002E46D4"/>
    <w:rsid w:val="00353E5E"/>
    <w:rsid w:val="00361D40"/>
    <w:rsid w:val="0036673C"/>
    <w:rsid w:val="003743EA"/>
    <w:rsid w:val="0037594A"/>
    <w:rsid w:val="003B1422"/>
    <w:rsid w:val="003B2E09"/>
    <w:rsid w:val="003B796B"/>
    <w:rsid w:val="003C1401"/>
    <w:rsid w:val="003C26AE"/>
    <w:rsid w:val="003D5BFD"/>
    <w:rsid w:val="003F3937"/>
    <w:rsid w:val="003F5802"/>
    <w:rsid w:val="0042070E"/>
    <w:rsid w:val="00425550"/>
    <w:rsid w:val="004369EC"/>
    <w:rsid w:val="004435D7"/>
    <w:rsid w:val="00453AA0"/>
    <w:rsid w:val="0046480B"/>
    <w:rsid w:val="004B1D00"/>
    <w:rsid w:val="004B48D3"/>
    <w:rsid w:val="004C259B"/>
    <w:rsid w:val="004C4C54"/>
    <w:rsid w:val="0050399E"/>
    <w:rsid w:val="0053735A"/>
    <w:rsid w:val="00537630"/>
    <w:rsid w:val="00540BB3"/>
    <w:rsid w:val="005478CC"/>
    <w:rsid w:val="00570C26"/>
    <w:rsid w:val="005850CB"/>
    <w:rsid w:val="005930C5"/>
    <w:rsid w:val="00595999"/>
    <w:rsid w:val="005C46DC"/>
    <w:rsid w:val="005C6009"/>
    <w:rsid w:val="005E67DF"/>
    <w:rsid w:val="006203BF"/>
    <w:rsid w:val="00621A18"/>
    <w:rsid w:val="006250C5"/>
    <w:rsid w:val="00675928"/>
    <w:rsid w:val="00683BCD"/>
    <w:rsid w:val="00691683"/>
    <w:rsid w:val="00697B73"/>
    <w:rsid w:val="006A2455"/>
    <w:rsid w:val="006A69D0"/>
    <w:rsid w:val="006B0442"/>
    <w:rsid w:val="006C6D37"/>
    <w:rsid w:val="006F28C5"/>
    <w:rsid w:val="006F2B76"/>
    <w:rsid w:val="00753440"/>
    <w:rsid w:val="00753752"/>
    <w:rsid w:val="00790647"/>
    <w:rsid w:val="007C185A"/>
    <w:rsid w:val="007C31E5"/>
    <w:rsid w:val="007C362B"/>
    <w:rsid w:val="007D6F2C"/>
    <w:rsid w:val="007E00F7"/>
    <w:rsid w:val="007E3301"/>
    <w:rsid w:val="007F7294"/>
    <w:rsid w:val="00822B75"/>
    <w:rsid w:val="00823A1A"/>
    <w:rsid w:val="00850FA6"/>
    <w:rsid w:val="008C18B2"/>
    <w:rsid w:val="008C2665"/>
    <w:rsid w:val="008D250E"/>
    <w:rsid w:val="00907C8C"/>
    <w:rsid w:val="0091733A"/>
    <w:rsid w:val="00922EC2"/>
    <w:rsid w:val="009361CC"/>
    <w:rsid w:val="00972CA0"/>
    <w:rsid w:val="00980C89"/>
    <w:rsid w:val="009957E9"/>
    <w:rsid w:val="009A0BF1"/>
    <w:rsid w:val="009A54DA"/>
    <w:rsid w:val="009A57E0"/>
    <w:rsid w:val="009D070B"/>
    <w:rsid w:val="009E22CA"/>
    <w:rsid w:val="009E547F"/>
    <w:rsid w:val="009F114A"/>
    <w:rsid w:val="009F3F37"/>
    <w:rsid w:val="00A214FD"/>
    <w:rsid w:val="00A40214"/>
    <w:rsid w:val="00A475DD"/>
    <w:rsid w:val="00A52361"/>
    <w:rsid w:val="00A5265F"/>
    <w:rsid w:val="00A54B3E"/>
    <w:rsid w:val="00A62F4F"/>
    <w:rsid w:val="00A71FEE"/>
    <w:rsid w:val="00A80574"/>
    <w:rsid w:val="00A81C8E"/>
    <w:rsid w:val="00A84F91"/>
    <w:rsid w:val="00A87DA6"/>
    <w:rsid w:val="00AA04B5"/>
    <w:rsid w:val="00AC03CA"/>
    <w:rsid w:val="00AC1753"/>
    <w:rsid w:val="00AF22A5"/>
    <w:rsid w:val="00AF4C30"/>
    <w:rsid w:val="00B17F28"/>
    <w:rsid w:val="00B21F19"/>
    <w:rsid w:val="00B30458"/>
    <w:rsid w:val="00B506D3"/>
    <w:rsid w:val="00B80477"/>
    <w:rsid w:val="00B9577F"/>
    <w:rsid w:val="00B95862"/>
    <w:rsid w:val="00BB1C9E"/>
    <w:rsid w:val="00BB433A"/>
    <w:rsid w:val="00BB64C0"/>
    <w:rsid w:val="00BC362E"/>
    <w:rsid w:val="00BC409D"/>
    <w:rsid w:val="00BC4D1C"/>
    <w:rsid w:val="00BD0696"/>
    <w:rsid w:val="00BE12E8"/>
    <w:rsid w:val="00C02779"/>
    <w:rsid w:val="00C07F7C"/>
    <w:rsid w:val="00C12D2D"/>
    <w:rsid w:val="00C16F77"/>
    <w:rsid w:val="00C25DB9"/>
    <w:rsid w:val="00C33F7E"/>
    <w:rsid w:val="00C3683F"/>
    <w:rsid w:val="00C40110"/>
    <w:rsid w:val="00C50F84"/>
    <w:rsid w:val="00C63A0A"/>
    <w:rsid w:val="00C671E0"/>
    <w:rsid w:val="00C67EF7"/>
    <w:rsid w:val="00C76435"/>
    <w:rsid w:val="00C77E75"/>
    <w:rsid w:val="00CA0563"/>
    <w:rsid w:val="00CA1D88"/>
    <w:rsid w:val="00CA3765"/>
    <w:rsid w:val="00CA5242"/>
    <w:rsid w:val="00CA53BC"/>
    <w:rsid w:val="00CB2F9D"/>
    <w:rsid w:val="00CE06EF"/>
    <w:rsid w:val="00CE2088"/>
    <w:rsid w:val="00CF2D98"/>
    <w:rsid w:val="00D0403A"/>
    <w:rsid w:val="00D11DB5"/>
    <w:rsid w:val="00D15CCA"/>
    <w:rsid w:val="00D21A37"/>
    <w:rsid w:val="00D300BF"/>
    <w:rsid w:val="00D352B1"/>
    <w:rsid w:val="00D73694"/>
    <w:rsid w:val="00D814B3"/>
    <w:rsid w:val="00D911C4"/>
    <w:rsid w:val="00DA2706"/>
    <w:rsid w:val="00DF2301"/>
    <w:rsid w:val="00E04272"/>
    <w:rsid w:val="00E15376"/>
    <w:rsid w:val="00E16479"/>
    <w:rsid w:val="00E204EE"/>
    <w:rsid w:val="00E23409"/>
    <w:rsid w:val="00E307D7"/>
    <w:rsid w:val="00E34842"/>
    <w:rsid w:val="00E35FE8"/>
    <w:rsid w:val="00E5623C"/>
    <w:rsid w:val="00E567C7"/>
    <w:rsid w:val="00E66DC7"/>
    <w:rsid w:val="00E806CD"/>
    <w:rsid w:val="00E81F17"/>
    <w:rsid w:val="00E82812"/>
    <w:rsid w:val="00E95BB0"/>
    <w:rsid w:val="00EA70BC"/>
    <w:rsid w:val="00EB02FC"/>
    <w:rsid w:val="00EC40C1"/>
    <w:rsid w:val="00EC47FF"/>
    <w:rsid w:val="00ED7CC9"/>
    <w:rsid w:val="00EE39DA"/>
    <w:rsid w:val="00EF4D03"/>
    <w:rsid w:val="00F009CA"/>
    <w:rsid w:val="00F016DC"/>
    <w:rsid w:val="00F11E6D"/>
    <w:rsid w:val="00F27C14"/>
    <w:rsid w:val="00F35AD0"/>
    <w:rsid w:val="00F47644"/>
    <w:rsid w:val="00F510D3"/>
    <w:rsid w:val="00F84279"/>
    <w:rsid w:val="00F87294"/>
    <w:rsid w:val="00F93201"/>
    <w:rsid w:val="00FA14F8"/>
    <w:rsid w:val="00FA19E6"/>
    <w:rsid w:val="00FE6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D2D"/>
    <w:pPr>
      <w:widowControl w:val="0"/>
    </w:pPr>
    <w:rPr>
      <w:color w:val="00000A"/>
      <w:sz w:val="24"/>
    </w:rPr>
  </w:style>
  <w:style w:type="paragraph" w:styleId="1">
    <w:name w:val="heading 1"/>
    <w:basedOn w:val="a0"/>
    <w:rsid w:val="00C12D2D"/>
    <w:pPr>
      <w:outlineLvl w:val="0"/>
    </w:pPr>
    <w:rPr>
      <w:b/>
      <w:bCs/>
      <w:sz w:val="36"/>
      <w:szCs w:val="36"/>
    </w:rPr>
  </w:style>
  <w:style w:type="paragraph" w:styleId="2">
    <w:name w:val="heading 2"/>
    <w:basedOn w:val="a0"/>
    <w:rsid w:val="00C12D2D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rsid w:val="00C12D2D"/>
    <w:pPr>
      <w:spacing w:before="14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Символ нумерации"/>
    <w:qFormat/>
    <w:rsid w:val="00C12D2D"/>
  </w:style>
  <w:style w:type="character" w:customStyle="1" w:styleId="10">
    <w:name w:val="Цитата1"/>
    <w:qFormat/>
    <w:rsid w:val="00C12D2D"/>
    <w:rPr>
      <w:i/>
      <w:iCs/>
    </w:rPr>
  </w:style>
  <w:style w:type="character" w:customStyle="1" w:styleId="-">
    <w:name w:val="Интернет-ссылка"/>
    <w:rsid w:val="00C12D2D"/>
    <w:rPr>
      <w:color w:val="000080"/>
      <w:u w:val="single"/>
    </w:rPr>
  </w:style>
  <w:style w:type="character" w:customStyle="1" w:styleId="a5">
    <w:name w:val="Посещённая гиперссылка"/>
    <w:rsid w:val="00C12D2D"/>
    <w:rPr>
      <w:color w:val="800000"/>
      <w:u w:val="single"/>
    </w:rPr>
  </w:style>
  <w:style w:type="character" w:styleId="a6">
    <w:name w:val="Emphasis"/>
    <w:uiPriority w:val="20"/>
    <w:qFormat/>
    <w:rsid w:val="00C12D2D"/>
    <w:rPr>
      <w:i/>
      <w:iCs/>
    </w:rPr>
  </w:style>
  <w:style w:type="paragraph" w:customStyle="1" w:styleId="a0">
    <w:name w:val="Заголовок"/>
    <w:basedOn w:val="a"/>
    <w:next w:val="a7"/>
    <w:qFormat/>
    <w:rsid w:val="00C12D2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7">
    <w:name w:val="Body Text"/>
    <w:basedOn w:val="a"/>
    <w:rsid w:val="00C12D2D"/>
    <w:pPr>
      <w:spacing w:after="140" w:line="288" w:lineRule="auto"/>
    </w:pPr>
  </w:style>
  <w:style w:type="paragraph" w:styleId="a8">
    <w:name w:val="List"/>
    <w:basedOn w:val="a7"/>
    <w:rsid w:val="00C12D2D"/>
  </w:style>
  <w:style w:type="paragraph" w:styleId="a9">
    <w:name w:val="Title"/>
    <w:basedOn w:val="a"/>
    <w:rsid w:val="00C12D2D"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rsid w:val="00C12D2D"/>
    <w:pPr>
      <w:suppressLineNumbers/>
    </w:pPr>
  </w:style>
  <w:style w:type="paragraph" w:customStyle="1" w:styleId="ab">
    <w:name w:val="Блочная цитата"/>
    <w:basedOn w:val="a"/>
    <w:qFormat/>
    <w:rsid w:val="00C12D2D"/>
    <w:pPr>
      <w:spacing w:after="283"/>
      <w:ind w:left="567" w:right="567"/>
    </w:pPr>
  </w:style>
  <w:style w:type="paragraph" w:customStyle="1" w:styleId="ac">
    <w:name w:val="Заглавие"/>
    <w:basedOn w:val="a0"/>
    <w:rsid w:val="00C12D2D"/>
    <w:pPr>
      <w:jc w:val="center"/>
    </w:pPr>
    <w:rPr>
      <w:b/>
      <w:bCs/>
      <w:sz w:val="56"/>
      <w:szCs w:val="56"/>
    </w:rPr>
  </w:style>
  <w:style w:type="paragraph" w:styleId="ad">
    <w:name w:val="Subtitle"/>
    <w:basedOn w:val="a0"/>
    <w:rsid w:val="00C12D2D"/>
    <w:pPr>
      <w:spacing w:before="60"/>
      <w:jc w:val="center"/>
    </w:pPr>
    <w:rPr>
      <w:sz w:val="36"/>
      <w:szCs w:val="36"/>
    </w:rPr>
  </w:style>
  <w:style w:type="paragraph" w:customStyle="1" w:styleId="ae">
    <w:name w:val="Текст в заданном формате"/>
    <w:basedOn w:val="a"/>
    <w:qFormat/>
    <w:rsid w:val="00C12D2D"/>
    <w:rPr>
      <w:rFonts w:ascii="Liberation Mono" w:eastAsia="NSimSun" w:hAnsi="Liberation Mono" w:cs="Liberation Mono"/>
      <w:sz w:val="20"/>
      <w:szCs w:val="20"/>
    </w:rPr>
  </w:style>
  <w:style w:type="character" w:styleId="af">
    <w:name w:val="endnote reference"/>
    <w:basedOn w:val="a1"/>
    <w:uiPriority w:val="99"/>
    <w:semiHidden/>
    <w:unhideWhenUsed/>
    <w:rsid w:val="00B8047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B804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eastAsia="ru-RU" w:bidi="ar-SA"/>
    </w:rPr>
  </w:style>
  <w:style w:type="character" w:customStyle="1" w:styleId="HTML0">
    <w:name w:val="Стандартный HTML Знак"/>
    <w:basedOn w:val="a1"/>
    <w:link w:val="HTML"/>
    <w:uiPriority w:val="99"/>
    <w:rsid w:val="00B80477"/>
    <w:rPr>
      <w:rFonts w:ascii="Courier New" w:eastAsia="Times New Roman" w:hAnsi="Courier New" w:cs="Courier New"/>
      <w:szCs w:val="20"/>
      <w:lang w:eastAsia="ru-RU" w:bidi="ar-SA"/>
    </w:rPr>
  </w:style>
  <w:style w:type="paragraph" w:styleId="af0">
    <w:name w:val="Balloon Text"/>
    <w:basedOn w:val="a"/>
    <w:link w:val="af1"/>
    <w:uiPriority w:val="99"/>
    <w:semiHidden/>
    <w:unhideWhenUsed/>
    <w:rsid w:val="009A54DA"/>
    <w:rPr>
      <w:rFonts w:ascii="Tahoma" w:hAnsi="Tahoma"/>
      <w:sz w:val="16"/>
      <w:szCs w:val="14"/>
    </w:rPr>
  </w:style>
  <w:style w:type="character" w:customStyle="1" w:styleId="af1">
    <w:name w:val="Текст выноски Знак"/>
    <w:basedOn w:val="a1"/>
    <w:link w:val="af0"/>
    <w:uiPriority w:val="99"/>
    <w:semiHidden/>
    <w:rsid w:val="009A54DA"/>
    <w:rPr>
      <w:rFonts w:ascii="Tahoma" w:hAnsi="Tahoma"/>
      <w:color w:val="00000A"/>
      <w:sz w:val="16"/>
      <w:szCs w:val="14"/>
    </w:rPr>
  </w:style>
  <w:style w:type="character" w:styleId="af2">
    <w:name w:val="Hyperlink"/>
    <w:basedOn w:val="a1"/>
    <w:uiPriority w:val="99"/>
    <w:unhideWhenUsed/>
    <w:rsid w:val="003D5BFD"/>
    <w:rPr>
      <w:color w:val="0000FF"/>
      <w:u w:val="single"/>
    </w:rPr>
  </w:style>
  <w:style w:type="character" w:customStyle="1" w:styleId="apple-converted-space">
    <w:name w:val="apple-converted-space"/>
    <w:basedOn w:val="a1"/>
    <w:rsid w:val="008C18B2"/>
  </w:style>
  <w:style w:type="paragraph" w:styleId="af3">
    <w:name w:val="List Paragraph"/>
    <w:basedOn w:val="a"/>
    <w:uiPriority w:val="34"/>
    <w:qFormat/>
    <w:rsid w:val="00A8057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fn">
    <w:name w:val="fn"/>
    <w:basedOn w:val="a1"/>
    <w:rsid w:val="00A80574"/>
  </w:style>
  <w:style w:type="character" w:customStyle="1" w:styleId="title">
    <w:name w:val="title"/>
    <w:basedOn w:val="a1"/>
    <w:rsid w:val="00A80574"/>
  </w:style>
  <w:style w:type="character" w:customStyle="1" w:styleId="source-title">
    <w:name w:val="source-title"/>
    <w:basedOn w:val="a1"/>
    <w:rsid w:val="00A80574"/>
  </w:style>
  <w:style w:type="character" w:customStyle="1" w:styleId="volume">
    <w:name w:val="volume"/>
    <w:basedOn w:val="a1"/>
    <w:rsid w:val="00A80574"/>
  </w:style>
  <w:style w:type="character" w:customStyle="1" w:styleId="start-page">
    <w:name w:val="start-page"/>
    <w:basedOn w:val="a1"/>
    <w:rsid w:val="00A80574"/>
  </w:style>
  <w:style w:type="character" w:customStyle="1" w:styleId="end-page">
    <w:name w:val="end-page"/>
    <w:basedOn w:val="a1"/>
    <w:rsid w:val="00A80574"/>
  </w:style>
  <w:style w:type="character" w:customStyle="1" w:styleId="year">
    <w:name w:val="year"/>
    <w:basedOn w:val="a1"/>
    <w:rsid w:val="00A80574"/>
  </w:style>
  <w:style w:type="character" w:customStyle="1" w:styleId="name">
    <w:name w:val="name"/>
    <w:basedOn w:val="a1"/>
    <w:rsid w:val="00A80574"/>
  </w:style>
  <w:style w:type="character" w:customStyle="1" w:styleId="nlmarticle-title">
    <w:name w:val="nlm_article-title"/>
    <w:basedOn w:val="a1"/>
    <w:rsid w:val="00A80574"/>
  </w:style>
  <w:style w:type="character" w:customStyle="1" w:styleId="citationsource-journal">
    <w:name w:val="citation_source-journal"/>
    <w:basedOn w:val="a1"/>
    <w:rsid w:val="00A80574"/>
  </w:style>
  <w:style w:type="character" w:customStyle="1" w:styleId="nlmfpage">
    <w:name w:val="nlm_fpage"/>
    <w:basedOn w:val="a1"/>
    <w:rsid w:val="00A80574"/>
  </w:style>
  <w:style w:type="character" w:customStyle="1" w:styleId="nlmlpage">
    <w:name w:val="nlm_lpage"/>
    <w:basedOn w:val="a1"/>
    <w:rsid w:val="00A80574"/>
  </w:style>
  <w:style w:type="character" w:customStyle="1" w:styleId="nlmyear">
    <w:name w:val="nlm_year"/>
    <w:basedOn w:val="a1"/>
    <w:rsid w:val="00A80574"/>
  </w:style>
  <w:style w:type="character" w:customStyle="1" w:styleId="cit-pub-date">
    <w:name w:val="cit-pub-date"/>
    <w:basedOn w:val="a1"/>
    <w:rsid w:val="00FA19E6"/>
  </w:style>
  <w:style w:type="table" w:styleId="af4">
    <w:name w:val="Table Grid"/>
    <w:basedOn w:val="a2"/>
    <w:uiPriority w:val="59"/>
    <w:rsid w:val="007D6F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semiHidden/>
    <w:unhideWhenUsed/>
    <w:rsid w:val="002E46D4"/>
    <w:pPr>
      <w:tabs>
        <w:tab w:val="center" w:pos="4677"/>
        <w:tab w:val="right" w:pos="9355"/>
      </w:tabs>
    </w:pPr>
    <w:rPr>
      <w:szCs w:val="21"/>
    </w:rPr>
  </w:style>
  <w:style w:type="character" w:customStyle="1" w:styleId="af6">
    <w:name w:val="Верхний колонтитул Знак"/>
    <w:basedOn w:val="a1"/>
    <w:link w:val="af5"/>
    <w:uiPriority w:val="99"/>
    <w:semiHidden/>
    <w:rsid w:val="002E46D4"/>
    <w:rPr>
      <w:color w:val="00000A"/>
      <w:sz w:val="24"/>
      <w:szCs w:val="21"/>
    </w:rPr>
  </w:style>
  <w:style w:type="paragraph" w:styleId="af7">
    <w:name w:val="footer"/>
    <w:basedOn w:val="a"/>
    <w:link w:val="af8"/>
    <w:uiPriority w:val="99"/>
    <w:unhideWhenUsed/>
    <w:rsid w:val="002E46D4"/>
    <w:pPr>
      <w:tabs>
        <w:tab w:val="center" w:pos="4677"/>
        <w:tab w:val="right" w:pos="9355"/>
      </w:tabs>
    </w:pPr>
    <w:rPr>
      <w:szCs w:val="21"/>
    </w:rPr>
  </w:style>
  <w:style w:type="character" w:customStyle="1" w:styleId="af8">
    <w:name w:val="Нижний колонтитул Знак"/>
    <w:basedOn w:val="a1"/>
    <w:link w:val="af7"/>
    <w:uiPriority w:val="99"/>
    <w:rsid w:val="002E46D4"/>
    <w:rPr>
      <w:color w:val="00000A"/>
      <w:sz w:val="24"/>
      <w:szCs w:val="21"/>
    </w:rPr>
  </w:style>
  <w:style w:type="paragraph" w:styleId="af9">
    <w:name w:val="Normal (Web)"/>
    <w:basedOn w:val="a"/>
    <w:uiPriority w:val="99"/>
    <w:semiHidden/>
    <w:unhideWhenUsed/>
    <w:rsid w:val="00A5265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 w:bidi="ar-SA"/>
    </w:rPr>
  </w:style>
  <w:style w:type="character" w:customStyle="1" w:styleId="cit-name-surname">
    <w:name w:val="cit-name-surname"/>
    <w:basedOn w:val="a1"/>
    <w:rsid w:val="00595999"/>
  </w:style>
  <w:style w:type="character" w:customStyle="1" w:styleId="cit-name-given-names">
    <w:name w:val="cit-name-given-names"/>
    <w:basedOn w:val="a1"/>
    <w:rsid w:val="00595999"/>
  </w:style>
  <w:style w:type="character" w:customStyle="1" w:styleId="cit-etal">
    <w:name w:val="cit-etal"/>
    <w:basedOn w:val="a1"/>
    <w:rsid w:val="00595999"/>
  </w:style>
  <w:style w:type="character" w:styleId="HTML1">
    <w:name w:val="HTML Cite"/>
    <w:basedOn w:val="a1"/>
    <w:uiPriority w:val="99"/>
    <w:semiHidden/>
    <w:unhideWhenUsed/>
    <w:rsid w:val="00595999"/>
    <w:rPr>
      <w:i/>
      <w:iCs/>
    </w:rPr>
  </w:style>
  <w:style w:type="character" w:customStyle="1" w:styleId="cit-article-title">
    <w:name w:val="cit-article-title"/>
    <w:basedOn w:val="a1"/>
    <w:rsid w:val="00595999"/>
  </w:style>
  <w:style w:type="character" w:customStyle="1" w:styleId="cit-vol">
    <w:name w:val="cit-vol"/>
    <w:basedOn w:val="a1"/>
    <w:rsid w:val="00595999"/>
  </w:style>
  <w:style w:type="character" w:customStyle="1" w:styleId="cit-fpage">
    <w:name w:val="cit-fpage"/>
    <w:basedOn w:val="a1"/>
    <w:rsid w:val="00595999"/>
  </w:style>
  <w:style w:type="character" w:customStyle="1" w:styleId="cit-lpage">
    <w:name w:val="cit-lpage"/>
    <w:basedOn w:val="a1"/>
    <w:rsid w:val="00595999"/>
  </w:style>
  <w:style w:type="character" w:customStyle="1" w:styleId="cit-reflinks-abstract">
    <w:name w:val="cit-reflinks-abstract"/>
    <w:basedOn w:val="a1"/>
    <w:rsid w:val="00595999"/>
  </w:style>
  <w:style w:type="character" w:customStyle="1" w:styleId="cit-sep">
    <w:name w:val="cit-sep"/>
    <w:basedOn w:val="a1"/>
    <w:rsid w:val="00595999"/>
  </w:style>
  <w:style w:type="character" w:customStyle="1" w:styleId="cit-reflinks-full-text">
    <w:name w:val="cit-reflinks-full-text"/>
    <w:basedOn w:val="a1"/>
    <w:rsid w:val="00595999"/>
  </w:style>
  <w:style w:type="character" w:customStyle="1" w:styleId="free-full-text">
    <w:name w:val="free-full-text"/>
    <w:basedOn w:val="a1"/>
    <w:rsid w:val="00595999"/>
  </w:style>
  <w:style w:type="character" w:customStyle="1" w:styleId="cit-issue">
    <w:name w:val="cit-issue"/>
    <w:basedOn w:val="a1"/>
    <w:rsid w:val="00595999"/>
  </w:style>
  <w:style w:type="character" w:customStyle="1" w:styleId="ref-journal">
    <w:name w:val="ref-journal"/>
    <w:basedOn w:val="a1"/>
    <w:rsid w:val="00EE39DA"/>
  </w:style>
  <w:style w:type="character" w:customStyle="1" w:styleId="ref-vol">
    <w:name w:val="ref-vol"/>
    <w:basedOn w:val="a1"/>
    <w:rsid w:val="00EE39DA"/>
  </w:style>
  <w:style w:type="character" w:customStyle="1" w:styleId="element-citation">
    <w:name w:val="element-citation"/>
    <w:basedOn w:val="a1"/>
    <w:rsid w:val="00EE39DA"/>
  </w:style>
  <w:style w:type="paragraph" w:styleId="afa">
    <w:name w:val="TOC Heading"/>
    <w:basedOn w:val="1"/>
    <w:next w:val="a"/>
    <w:uiPriority w:val="39"/>
    <w:semiHidden/>
    <w:unhideWhenUsed/>
    <w:qFormat/>
    <w:rsid w:val="004435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 w:bidi="ar-SA"/>
    </w:rPr>
  </w:style>
  <w:style w:type="paragraph" w:styleId="11">
    <w:name w:val="toc 1"/>
    <w:basedOn w:val="a"/>
    <w:next w:val="a"/>
    <w:autoRedefine/>
    <w:uiPriority w:val="39"/>
    <w:unhideWhenUsed/>
    <w:rsid w:val="008C2665"/>
    <w:pPr>
      <w:spacing w:after="100"/>
    </w:pPr>
    <w:rPr>
      <w:szCs w:val="21"/>
    </w:rPr>
  </w:style>
  <w:style w:type="paragraph" w:styleId="20">
    <w:name w:val="toc 2"/>
    <w:basedOn w:val="a"/>
    <w:next w:val="a"/>
    <w:autoRedefine/>
    <w:uiPriority w:val="39"/>
    <w:unhideWhenUsed/>
    <w:rsid w:val="008C2665"/>
    <w:pPr>
      <w:spacing w:after="100"/>
      <w:ind w:left="240"/>
    </w:pPr>
    <w:rPr>
      <w:szCs w:val="21"/>
    </w:rPr>
  </w:style>
  <w:style w:type="paragraph" w:styleId="30">
    <w:name w:val="toc 3"/>
    <w:basedOn w:val="a"/>
    <w:next w:val="a"/>
    <w:autoRedefine/>
    <w:uiPriority w:val="39"/>
    <w:unhideWhenUsed/>
    <w:rsid w:val="008C2665"/>
    <w:pPr>
      <w:spacing w:after="100"/>
      <w:ind w:left="480"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6244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59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5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14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65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52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30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68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31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6439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76052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6549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33267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73508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10777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8696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410696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31104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424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71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3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64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09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1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01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1945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9771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513752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7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991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30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7%D0%BB%D0%BE%D0%BA%D0%B0%D1%87%D0%B5%D1%81%D1%82%D0%B2%D0%B5%D0%BD%D0%BD%D0%B0%D1%8F_%D0%BE%D0%BF%D1%83%D1%85%D0%BE%D0%BB%D1%8C" TargetMode="External"/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&amp;P\AppData\Roaming\Microsoft\Excel\Tablitsa_diplom_apd_2%20(version%201).xlsb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&amp;P\AppData\Roaming\Microsoft\Excel\Tablitsa_diplom_apd_2%20(version%201).xlsb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&amp;P\Desktop\Tablitsa_diplom_apd_2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&amp;P\AppData\Roaming\Microsoft\Excel\Tablitsa_diplom_apd_2%20(version%201).xlsb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&amp;P\Desktop\Tablitsa_diplom_apd_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9882923725443609E-2"/>
          <c:y val="6.2500000000000139E-2"/>
          <c:w val="0.56240388133301522"/>
          <c:h val="0.907894736842105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Группа неблагоприятного прогноза</c:v>
                </c:pt>
                <c:pt idx="1">
                  <c:v>Группа благоприятного прогноза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0119685039370518"/>
          <c:y val="0.3294274071004315"/>
          <c:w val="0.37660574246401018"/>
          <c:h val="0.38308986047796967"/>
        </c:manualLayout>
      </c:layout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>
        <c:manualLayout>
          <c:layoutTarget val="inner"/>
          <c:xMode val="edge"/>
          <c:yMode val="edge"/>
          <c:x val="0.15934295207318741"/>
          <c:y val="3.7132172859663463E-2"/>
          <c:w val="0.50860042783669379"/>
          <c:h val="0.85232717983830619"/>
        </c:manualLayout>
      </c:layout>
      <c:barChart>
        <c:barDir val="col"/>
        <c:grouping val="clustered"/>
        <c:ser>
          <c:idx val="0"/>
          <c:order val="0"/>
          <c:tx>
            <c:v>Группа неблагоприятного прогноза</c:v>
          </c:tx>
          <c:val>
            <c:numRef>
              <c:f>Лист1!$M$24</c:f>
              <c:numCache>
                <c:formatCode>General</c:formatCode>
                <c:ptCount val="1"/>
                <c:pt idx="0">
                  <c:v>72.272727272727025</c:v>
                </c:pt>
              </c:numCache>
            </c:numRef>
          </c:val>
        </c:ser>
        <c:ser>
          <c:idx val="1"/>
          <c:order val="1"/>
          <c:tx>
            <c:v>Группа благоприятного прогноза</c:v>
          </c:tx>
          <c:val>
            <c:numRef>
              <c:f>Лист1!$M$26</c:f>
              <c:numCache>
                <c:formatCode>General</c:formatCode>
                <c:ptCount val="1"/>
                <c:pt idx="0">
                  <c:v>77.222222222222229</c:v>
                </c:pt>
              </c:numCache>
            </c:numRef>
          </c:val>
        </c:ser>
        <c:axId val="176695552"/>
        <c:axId val="176701440"/>
      </c:barChart>
      <c:catAx>
        <c:axId val="176695552"/>
        <c:scaling>
          <c:orientation val="minMax"/>
        </c:scaling>
        <c:axPos val="b"/>
        <c:tickLblPos val="nextTo"/>
        <c:crossAx val="176701440"/>
        <c:crosses val="autoZero"/>
        <c:auto val="1"/>
        <c:lblAlgn val="ctr"/>
        <c:lblOffset val="100"/>
      </c:catAx>
      <c:valAx>
        <c:axId val="176701440"/>
        <c:scaling>
          <c:orientation val="minMax"/>
          <c:min val="0"/>
        </c:scaling>
        <c:axPos val="l"/>
        <c:majorGridlines/>
        <c:numFmt formatCode="General" sourceLinked="1"/>
        <c:tickLblPos val="nextTo"/>
        <c:crossAx val="1766955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2">
                  <c:v>Поперечно-ободочная кишка</c:v>
                </c:pt>
                <c:pt idx="3">
                  <c:v>Восходящая ободочная</c:v>
                </c:pt>
                <c:pt idx="4">
                  <c:v>Нисходящая ободочная</c:v>
                </c:pt>
                <c:pt idx="5">
                  <c:v>Сигмовидная</c:v>
                </c:pt>
                <c:pt idx="6">
                  <c:v>Слепая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10</c:v>
                </c:pt>
                <c:pt idx="6">
                  <c:v>2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delete val="1"/>
      </c:legendEntry>
      <c:legendEntry>
        <c:idx val="1"/>
        <c:delete val="1"/>
      </c:legendEntry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Мужчины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Неблагоприятный прогноз (время до прогрессирования &lt;1 года</c:v>
                </c:pt>
                <c:pt idx="1">
                  <c:v>Благоприятный прогноз (время до прогресирования &gt;5 лет)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Женщины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Неблагоприятный прогноз (время до прогрессирования &lt;1 года</c:v>
                </c:pt>
                <c:pt idx="1">
                  <c:v>Благоприятный прогноз (время до прогресирования &gt;5 лет)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</c:ser>
        <c:axId val="258985984"/>
        <c:axId val="258987904"/>
      </c:barChart>
      <c:catAx>
        <c:axId val="258985984"/>
        <c:scaling>
          <c:orientation val="minMax"/>
        </c:scaling>
        <c:axPos val="b"/>
        <c:tickLblPos val="nextTo"/>
        <c:crossAx val="258987904"/>
        <c:crosses val="autoZero"/>
        <c:auto val="1"/>
        <c:lblAlgn val="ctr"/>
        <c:lblOffset val="100"/>
      </c:catAx>
      <c:valAx>
        <c:axId val="258987904"/>
        <c:scaling>
          <c:orientation val="minMax"/>
        </c:scaling>
        <c:axPos val="l"/>
        <c:majorGridlines/>
        <c:numFmt formatCode="General" sourceLinked="1"/>
        <c:tickLblPos val="nextTo"/>
        <c:crossAx val="258985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>
        <c:manualLayout>
          <c:layoutTarget val="inner"/>
          <c:xMode val="edge"/>
          <c:yMode val="edge"/>
          <c:x val="6.2969342373869766E-2"/>
          <c:y val="0.21021841019872586"/>
          <c:w val="0.46070592738407801"/>
          <c:h val="0.789781589801273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2">
                  <c:v>Поперечно-ободочная кишка</c:v>
                </c:pt>
                <c:pt idx="3">
                  <c:v>Восходящая ободочная</c:v>
                </c:pt>
                <c:pt idx="4">
                  <c:v>Нисходящая ободочная</c:v>
                </c:pt>
                <c:pt idx="5">
                  <c:v>Сигмовидная</c:v>
                </c:pt>
                <c:pt idx="6">
                  <c:v>Слепая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7</c:v>
                </c:pt>
                <c:pt idx="6">
                  <c:v>0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delete val="1"/>
      </c:legendEntry>
      <c:legendEntry>
        <c:idx val="1"/>
        <c:delete val="1"/>
      </c:legendEntry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Лист1!$A$2:$A$8</c:f>
              <c:strCache>
                <c:ptCount val="7"/>
                <c:pt idx="2">
                  <c:v>Поперечно-ободочная кишка</c:v>
                </c:pt>
                <c:pt idx="3">
                  <c:v>Восходящая ободочная</c:v>
                </c:pt>
                <c:pt idx="4">
                  <c:v>Нисходящая ободочная</c:v>
                </c:pt>
                <c:pt idx="5">
                  <c:v>Сигмовидная</c:v>
                </c:pt>
                <c:pt idx="6">
                  <c:v>Слепая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delete val="1"/>
      </c:legendEntry>
      <c:legendEntry>
        <c:idx val="1"/>
        <c:delete val="1"/>
      </c:legendEntry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>
        <c:manualLayout>
          <c:layoutTarget val="inner"/>
          <c:xMode val="edge"/>
          <c:yMode val="edge"/>
          <c:x val="0.13362988539244008"/>
          <c:y val="3.9251340024524808E-2"/>
          <c:w val="0.53540669361571713"/>
          <c:h val="0.8721821904442435"/>
        </c:manualLayout>
      </c:layout>
      <c:barChart>
        <c:barDir val="col"/>
        <c:grouping val="clustered"/>
        <c:ser>
          <c:idx val="1"/>
          <c:order val="0"/>
          <c:tx>
            <c:v>Группа неблагоприятного прогноза</c:v>
          </c:tx>
          <c:val>
            <c:numRef>
              <c:f>Лист1!$F$26</c:f>
              <c:numCache>
                <c:formatCode>General</c:formatCode>
                <c:ptCount val="1"/>
                <c:pt idx="0">
                  <c:v>254.63636363636323</c:v>
                </c:pt>
              </c:numCache>
            </c:numRef>
          </c:val>
        </c:ser>
        <c:ser>
          <c:idx val="0"/>
          <c:order val="1"/>
          <c:tx>
            <c:v>Группа благоприятного прогноза</c:v>
          </c:tx>
          <c:val>
            <c:numRef>
              <c:f>Лист1!$F$28</c:f>
              <c:numCache>
                <c:formatCode>General</c:formatCode>
                <c:ptCount val="1"/>
                <c:pt idx="0">
                  <c:v>104.88888888888849</c:v>
                </c:pt>
              </c:numCache>
            </c:numRef>
          </c:val>
        </c:ser>
        <c:axId val="257385984"/>
        <c:axId val="257387520"/>
      </c:barChart>
      <c:catAx>
        <c:axId val="257385984"/>
        <c:scaling>
          <c:orientation val="minMax"/>
        </c:scaling>
        <c:axPos val="b"/>
        <c:tickLblPos val="nextTo"/>
        <c:crossAx val="257387520"/>
        <c:crosses val="autoZero"/>
        <c:auto val="1"/>
        <c:lblAlgn val="ctr"/>
        <c:lblOffset val="100"/>
      </c:catAx>
      <c:valAx>
        <c:axId val="257387520"/>
        <c:scaling>
          <c:orientation val="minMax"/>
        </c:scaling>
        <c:axPos val="l"/>
        <c:majorGridlines/>
        <c:numFmt formatCode="General" sourceLinked="1"/>
        <c:tickLblPos val="nextTo"/>
        <c:crossAx val="257385984"/>
        <c:crosses val="autoZero"/>
        <c:crossBetween val="between"/>
      </c:valAx>
    </c:plotArea>
    <c:legend>
      <c:legendPos val="r"/>
    </c:legend>
    <c:plotVisOnly val="1"/>
  </c:chart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7112737812814433"/>
          <c:y val="3.8684737578534405E-2"/>
          <c:w val="0.7852559285892311"/>
          <c:h val="0.74510741035419403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trendline>
            <c:trendlineType val="exp"/>
          </c:trendline>
          <c:xVal>
            <c:numRef>
              <c:f>Лист1!$E$4:$E$23</c:f>
              <c:numCache>
                <c:formatCode>General</c:formatCode>
                <c:ptCount val="20"/>
                <c:pt idx="0">
                  <c:v>16</c:v>
                </c:pt>
                <c:pt idx="1">
                  <c:v>9</c:v>
                </c:pt>
                <c:pt idx="2">
                  <c:v>11</c:v>
                </c:pt>
                <c:pt idx="3">
                  <c:v>13</c:v>
                </c:pt>
                <c:pt idx="4">
                  <c:v>4</c:v>
                </c:pt>
                <c:pt idx="5">
                  <c:v>18</c:v>
                </c:pt>
                <c:pt idx="6">
                  <c:v>16</c:v>
                </c:pt>
                <c:pt idx="7">
                  <c:v>21</c:v>
                </c:pt>
                <c:pt idx="8">
                  <c:v>17</c:v>
                </c:pt>
                <c:pt idx="9">
                  <c:v>7</c:v>
                </c:pt>
                <c:pt idx="10">
                  <c:v>12</c:v>
                </c:pt>
                <c:pt idx="11">
                  <c:v>108</c:v>
                </c:pt>
                <c:pt idx="12">
                  <c:v>94</c:v>
                </c:pt>
                <c:pt idx="13">
                  <c:v>100</c:v>
                </c:pt>
                <c:pt idx="14">
                  <c:v>96</c:v>
                </c:pt>
                <c:pt idx="15">
                  <c:v>101</c:v>
                </c:pt>
                <c:pt idx="16">
                  <c:v>98</c:v>
                </c:pt>
                <c:pt idx="17">
                  <c:v>108</c:v>
                </c:pt>
                <c:pt idx="18">
                  <c:v>100</c:v>
                </c:pt>
                <c:pt idx="19">
                  <c:v>106</c:v>
                </c:pt>
              </c:numCache>
            </c:numRef>
          </c:xVal>
          <c:yVal>
            <c:numRef>
              <c:f>Лист1!$G$4:$G$23</c:f>
              <c:numCache>
                <c:formatCode>General</c:formatCode>
                <c:ptCount val="20"/>
                <c:pt idx="0">
                  <c:v>223</c:v>
                </c:pt>
                <c:pt idx="1">
                  <c:v>510</c:v>
                </c:pt>
                <c:pt idx="2">
                  <c:v>301</c:v>
                </c:pt>
                <c:pt idx="3">
                  <c:v>465</c:v>
                </c:pt>
                <c:pt idx="4">
                  <c:v>186</c:v>
                </c:pt>
                <c:pt idx="5">
                  <c:v>111</c:v>
                </c:pt>
                <c:pt idx="6">
                  <c:v>146</c:v>
                </c:pt>
                <c:pt idx="7">
                  <c:v>103</c:v>
                </c:pt>
                <c:pt idx="8">
                  <c:v>148</c:v>
                </c:pt>
                <c:pt idx="9">
                  <c:v>509</c:v>
                </c:pt>
                <c:pt idx="10">
                  <c:v>99</c:v>
                </c:pt>
                <c:pt idx="11">
                  <c:v>158</c:v>
                </c:pt>
                <c:pt idx="12">
                  <c:v>94</c:v>
                </c:pt>
                <c:pt idx="13">
                  <c:v>135</c:v>
                </c:pt>
                <c:pt idx="14">
                  <c:v>15</c:v>
                </c:pt>
                <c:pt idx="15">
                  <c:v>97</c:v>
                </c:pt>
                <c:pt idx="16">
                  <c:v>156</c:v>
                </c:pt>
                <c:pt idx="17">
                  <c:v>98</c:v>
                </c:pt>
                <c:pt idx="18">
                  <c:v>102</c:v>
                </c:pt>
                <c:pt idx="19">
                  <c:v>89</c:v>
                </c:pt>
              </c:numCache>
            </c:numRef>
          </c:yVal>
        </c:ser>
        <c:axId val="259379968"/>
        <c:axId val="259381504"/>
      </c:scatterChart>
      <c:valAx>
        <c:axId val="259379968"/>
        <c:scaling>
          <c:orientation val="minMax"/>
        </c:scaling>
        <c:axPos val="b"/>
        <c:numFmt formatCode="General" sourceLinked="1"/>
        <c:tickLblPos val="nextTo"/>
        <c:crossAx val="259381504"/>
        <c:crosses val="autoZero"/>
        <c:crossBetween val="midCat"/>
      </c:valAx>
      <c:valAx>
        <c:axId val="259381504"/>
        <c:scaling>
          <c:orientation val="minMax"/>
        </c:scaling>
        <c:axPos val="l"/>
        <c:majorGridlines/>
        <c:numFmt formatCode="General" sourceLinked="1"/>
        <c:tickLblPos val="nextTo"/>
        <c:crossAx val="259379968"/>
        <c:crosses val="autoZero"/>
        <c:crossBetween val="midCat"/>
      </c:valAx>
    </c:plotArea>
    <c:plotVisOnly val="1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>
        <c:manualLayout>
          <c:layoutTarget val="inner"/>
          <c:xMode val="edge"/>
          <c:yMode val="edge"/>
          <c:x val="0.13740157610450168"/>
          <c:y val="4.1120443277923573E-2"/>
          <c:w val="0.52766538281152153"/>
          <c:h val="0.86609565470982841"/>
        </c:manualLayout>
      </c:layout>
      <c:barChart>
        <c:barDir val="col"/>
        <c:grouping val="clustered"/>
        <c:ser>
          <c:idx val="1"/>
          <c:order val="0"/>
          <c:tx>
            <c:v>Группа неблагоприятного прогноза</c:v>
          </c:tx>
          <c:val>
            <c:numRef>
              <c:f>Лист1!$H$26</c:f>
              <c:numCache>
                <c:formatCode>General</c:formatCode>
                <c:ptCount val="1"/>
                <c:pt idx="0">
                  <c:v>5.2727272727272725</c:v>
                </c:pt>
              </c:numCache>
            </c:numRef>
          </c:val>
        </c:ser>
        <c:ser>
          <c:idx val="0"/>
          <c:order val="1"/>
          <c:tx>
            <c:v>Группа благоприятного прогноза</c:v>
          </c:tx>
          <c:val>
            <c:numRef>
              <c:f>Лист1!$H$28</c:f>
              <c:numCache>
                <c:formatCode>General</c:formatCode>
                <c:ptCount val="1"/>
                <c:pt idx="0">
                  <c:v>26.33333333333324</c:v>
                </c:pt>
              </c:numCache>
            </c:numRef>
          </c:val>
        </c:ser>
        <c:axId val="259397120"/>
        <c:axId val="259398656"/>
      </c:barChart>
      <c:catAx>
        <c:axId val="259397120"/>
        <c:scaling>
          <c:orientation val="minMax"/>
        </c:scaling>
        <c:axPos val="b"/>
        <c:tickLblPos val="nextTo"/>
        <c:crossAx val="259398656"/>
        <c:crosses val="autoZero"/>
        <c:auto val="1"/>
        <c:lblAlgn val="ctr"/>
        <c:lblOffset val="100"/>
      </c:catAx>
      <c:valAx>
        <c:axId val="259398656"/>
        <c:scaling>
          <c:orientation val="minMax"/>
        </c:scaling>
        <c:axPos val="l"/>
        <c:majorGridlines/>
        <c:numFmt formatCode="General" sourceLinked="1"/>
        <c:tickLblPos val="nextTo"/>
        <c:crossAx val="259397120"/>
        <c:crosses val="autoZero"/>
        <c:crossBetween val="between"/>
      </c:valAx>
    </c:plotArea>
    <c:legend>
      <c:legendPos val="r"/>
    </c:legend>
    <c:plotVisOnly val="1"/>
  </c:chart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566359509035106"/>
          <c:y val="4.1918894926577584E-2"/>
          <c:w val="0.6758216102643011"/>
          <c:h val="0.77456949322657398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trendline>
            <c:trendlineType val="exp"/>
          </c:trendline>
          <c:trendline>
            <c:trendlineType val="linear"/>
          </c:trendline>
          <c:xVal>
            <c:numRef>
              <c:f>Лист1!$E$4:$E$23</c:f>
              <c:numCache>
                <c:formatCode>General</c:formatCode>
                <c:ptCount val="20"/>
                <c:pt idx="0">
                  <c:v>16</c:v>
                </c:pt>
                <c:pt idx="1">
                  <c:v>9</c:v>
                </c:pt>
                <c:pt idx="2">
                  <c:v>11</c:v>
                </c:pt>
                <c:pt idx="3">
                  <c:v>13</c:v>
                </c:pt>
                <c:pt idx="4">
                  <c:v>4</c:v>
                </c:pt>
                <c:pt idx="5">
                  <c:v>18</c:v>
                </c:pt>
                <c:pt idx="6">
                  <c:v>16</c:v>
                </c:pt>
                <c:pt idx="7">
                  <c:v>21</c:v>
                </c:pt>
                <c:pt idx="8">
                  <c:v>17</c:v>
                </c:pt>
                <c:pt idx="9">
                  <c:v>7</c:v>
                </c:pt>
                <c:pt idx="10">
                  <c:v>12</c:v>
                </c:pt>
                <c:pt idx="11">
                  <c:v>108</c:v>
                </c:pt>
                <c:pt idx="12">
                  <c:v>94</c:v>
                </c:pt>
                <c:pt idx="13">
                  <c:v>100</c:v>
                </c:pt>
                <c:pt idx="14">
                  <c:v>96</c:v>
                </c:pt>
                <c:pt idx="15">
                  <c:v>101</c:v>
                </c:pt>
                <c:pt idx="16">
                  <c:v>98</c:v>
                </c:pt>
                <c:pt idx="17">
                  <c:v>108</c:v>
                </c:pt>
                <c:pt idx="18">
                  <c:v>100</c:v>
                </c:pt>
                <c:pt idx="19">
                  <c:v>106</c:v>
                </c:pt>
              </c:numCache>
            </c:numRef>
          </c:xVal>
          <c:yVal>
            <c:numRef>
              <c:f>Лист1!$I$4:$I$23</c:f>
              <c:numCache>
                <c:formatCode>General</c:formatCode>
                <c:ptCount val="20"/>
                <c:pt idx="0">
                  <c:v>4</c:v>
                </c:pt>
                <c:pt idx="1">
                  <c:v>6</c:v>
                </c:pt>
                <c:pt idx="2">
                  <c:v>0</c:v>
                </c:pt>
                <c:pt idx="3">
                  <c:v>2</c:v>
                </c:pt>
                <c:pt idx="4">
                  <c:v>11</c:v>
                </c:pt>
                <c:pt idx="5">
                  <c:v>5</c:v>
                </c:pt>
                <c:pt idx="6">
                  <c:v>7</c:v>
                </c:pt>
                <c:pt idx="7">
                  <c:v>7</c:v>
                </c:pt>
                <c:pt idx="8">
                  <c:v>3</c:v>
                </c:pt>
                <c:pt idx="9">
                  <c:v>4</c:v>
                </c:pt>
                <c:pt idx="10">
                  <c:v>9</c:v>
                </c:pt>
                <c:pt idx="11">
                  <c:v>13</c:v>
                </c:pt>
                <c:pt idx="12">
                  <c:v>22</c:v>
                </c:pt>
                <c:pt idx="13">
                  <c:v>15</c:v>
                </c:pt>
                <c:pt idx="14">
                  <c:v>30</c:v>
                </c:pt>
                <c:pt idx="15">
                  <c:v>73</c:v>
                </c:pt>
                <c:pt idx="16">
                  <c:v>48</c:v>
                </c:pt>
                <c:pt idx="17">
                  <c:v>16</c:v>
                </c:pt>
                <c:pt idx="18">
                  <c:v>9</c:v>
                </c:pt>
                <c:pt idx="19">
                  <c:v>11</c:v>
                </c:pt>
              </c:numCache>
            </c:numRef>
          </c:yVal>
        </c:ser>
        <c:axId val="259441024"/>
        <c:axId val="259442560"/>
      </c:scatterChart>
      <c:valAx>
        <c:axId val="259441024"/>
        <c:scaling>
          <c:orientation val="minMax"/>
        </c:scaling>
        <c:axPos val="b"/>
        <c:numFmt formatCode="General" sourceLinked="1"/>
        <c:tickLblPos val="nextTo"/>
        <c:crossAx val="259442560"/>
        <c:crosses val="autoZero"/>
        <c:crossBetween val="midCat"/>
      </c:valAx>
      <c:valAx>
        <c:axId val="259442560"/>
        <c:scaling>
          <c:orientation val="minMax"/>
        </c:scaling>
        <c:axPos val="l"/>
        <c:majorGridlines/>
        <c:numFmt formatCode="General" sourceLinked="1"/>
        <c:tickLblPos val="nextTo"/>
        <c:crossAx val="259441024"/>
        <c:crosses val="autoZero"/>
        <c:crossBetween val="midCat"/>
      </c:valAx>
    </c:plotArea>
    <c:plotVisOnly val="1"/>
  </c:chart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0.13636</cdr:y>
    </cdr:from>
    <cdr:to>
      <cdr:x>0.05408</cdr:x>
      <cdr:y>0.7697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988548" y="1478406"/>
          <a:ext cx="2275115" cy="298019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0.34567</cdr:x>
      <cdr:y>0.86909</cdr:y>
    </cdr:from>
    <cdr:to>
      <cdr:x>0.80489</cdr:x>
      <cdr:y>0.93767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872342" y="3167743"/>
          <a:ext cx="2487384" cy="24995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0.0407</cdr:x>
      <cdr:y>0.10752</cdr:y>
    </cdr:from>
    <cdr:to>
      <cdr:x>0.0879</cdr:x>
      <cdr:y>0.72574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778386" y="1390713"/>
          <a:ext cx="2253346" cy="25569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0.02608</cdr:x>
      <cdr:y>0.20952</cdr:y>
    </cdr:from>
    <cdr:to>
      <cdr:x>0.07198</cdr:x>
      <cdr:y>0.7589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674916" y="1535393"/>
          <a:ext cx="1883827" cy="249958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0.02906</cdr:x>
      <cdr:y>0.16181</cdr:y>
    </cdr:from>
    <cdr:to>
      <cdr:x>0.07392</cdr:x>
      <cdr:y>0.69903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614706" y="1321984"/>
          <a:ext cx="1807028" cy="2516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0.25036</cdr:x>
      <cdr:y>0.89215</cdr:y>
    </cdr:from>
    <cdr:to>
      <cdr:x>0.69383</cdr:x>
      <cdr:y>0.9623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1404257" y="3178629"/>
          <a:ext cx="2487384" cy="24995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7E616-2161-44BC-B408-83B1B1B64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48</Pages>
  <Words>8695</Words>
  <Characters>49563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Шило</dc:creator>
  <cp:lastModifiedBy>Полина Шило</cp:lastModifiedBy>
  <cp:revision>3</cp:revision>
  <dcterms:created xsi:type="dcterms:W3CDTF">2016-05-16T01:31:00Z</dcterms:created>
  <dcterms:modified xsi:type="dcterms:W3CDTF">2016-05-16T03:10:00Z</dcterms:modified>
  <dc:language>ru-RU</dc:language>
</cp:coreProperties>
</file>