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FE" w:rsidRPr="00477AFE" w:rsidRDefault="00477AFE" w:rsidP="00477AFE">
      <w:pPr>
        <w:spacing w:line="360" w:lineRule="auto"/>
        <w:jc w:val="center"/>
        <w:rPr>
          <w:rFonts w:ascii="Times New Roman" w:hAnsi="Times New Roman" w:cs="Times New Roman"/>
          <w:sz w:val="28"/>
          <w:szCs w:val="28"/>
          <w:lang w:val="ru-RU"/>
        </w:rPr>
      </w:pPr>
      <w:r w:rsidRPr="00477AFE">
        <w:rPr>
          <w:rFonts w:ascii="Times New Roman" w:hAnsi="Times New Roman" w:cs="Times New Roman"/>
          <w:sz w:val="28"/>
          <w:szCs w:val="28"/>
          <w:lang w:val="ru-RU"/>
        </w:rPr>
        <w:t>ФГБОУ ВО «Санкт-Петербургский государственный университет»</w:t>
      </w:r>
    </w:p>
    <w:p w:rsidR="00872B57" w:rsidRPr="00C67CC9" w:rsidRDefault="00872B57" w:rsidP="00BB6B0E">
      <w:pPr>
        <w:widowControl w:val="0"/>
        <w:autoSpaceDE w:val="0"/>
        <w:autoSpaceDN w:val="0"/>
        <w:adjustRightInd w:val="0"/>
        <w:spacing w:after="240" w:line="360" w:lineRule="auto"/>
        <w:jc w:val="center"/>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Кафедра акушерства, гинекологии и репродуктологии  </w:t>
      </w:r>
    </w:p>
    <w:p w:rsidR="00872B57" w:rsidRPr="00C67CC9" w:rsidRDefault="00872B57" w:rsidP="00BB6B0E">
      <w:pPr>
        <w:widowControl w:val="0"/>
        <w:autoSpaceDE w:val="0"/>
        <w:autoSpaceDN w:val="0"/>
        <w:adjustRightInd w:val="0"/>
        <w:spacing w:line="360" w:lineRule="auto"/>
        <w:rPr>
          <w:rFonts w:ascii="Times New Roman" w:hAnsi="Times New Roman" w:cs="Times New Roman"/>
          <w:sz w:val="28"/>
          <w:szCs w:val="28"/>
          <w:lang w:val="ru-RU"/>
        </w:rPr>
      </w:pPr>
    </w:p>
    <w:p w:rsidR="00872B57" w:rsidRPr="00C67CC9" w:rsidRDefault="00872B57" w:rsidP="00BB6B0E">
      <w:pPr>
        <w:widowControl w:val="0"/>
        <w:autoSpaceDE w:val="0"/>
        <w:autoSpaceDN w:val="0"/>
        <w:adjustRightInd w:val="0"/>
        <w:spacing w:after="240" w:line="360" w:lineRule="auto"/>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Допускается к защите </w:t>
      </w:r>
    </w:p>
    <w:p w:rsidR="00872B57" w:rsidRPr="00C67CC9" w:rsidRDefault="00872B57" w:rsidP="00BB6B0E">
      <w:pPr>
        <w:widowControl w:val="0"/>
        <w:autoSpaceDE w:val="0"/>
        <w:autoSpaceDN w:val="0"/>
        <w:adjustRightInd w:val="0"/>
        <w:spacing w:after="240" w:line="360" w:lineRule="auto"/>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Заведующий кафедрой: </w:t>
      </w:r>
    </w:p>
    <w:p w:rsidR="00872B57" w:rsidRPr="00C67CC9" w:rsidRDefault="00872B57" w:rsidP="00BB6B0E">
      <w:pPr>
        <w:widowControl w:val="0"/>
        <w:autoSpaceDE w:val="0"/>
        <w:autoSpaceDN w:val="0"/>
        <w:adjustRightInd w:val="0"/>
        <w:spacing w:after="240" w:line="360" w:lineRule="auto"/>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Д.м.н., профессор Ниаури Д. А.  </w:t>
      </w:r>
    </w:p>
    <w:p w:rsidR="00872B57" w:rsidRPr="00C67CC9" w:rsidRDefault="00872B57" w:rsidP="00BB6B0E">
      <w:pPr>
        <w:widowControl w:val="0"/>
        <w:autoSpaceDE w:val="0"/>
        <w:autoSpaceDN w:val="0"/>
        <w:adjustRightInd w:val="0"/>
        <w:spacing w:after="240" w:line="360" w:lineRule="auto"/>
        <w:rPr>
          <w:rFonts w:ascii="Times New Roman" w:hAnsi="Times New Roman" w:cs="Times New Roman"/>
          <w:sz w:val="28"/>
          <w:szCs w:val="28"/>
          <w:lang w:val="ru-RU"/>
        </w:rPr>
      </w:pPr>
      <w:r w:rsidRPr="00C67CC9">
        <w:rPr>
          <w:rFonts w:ascii="Times New Roman" w:hAnsi="Times New Roman" w:cs="Times New Roman"/>
          <w:i/>
          <w:iCs/>
          <w:sz w:val="28"/>
          <w:szCs w:val="28"/>
          <w:lang w:val="ru-RU"/>
        </w:rPr>
        <w:t xml:space="preserve">« </w:t>
      </w:r>
      <w:r w:rsidRPr="00C67CC9">
        <w:rPr>
          <w:rFonts w:ascii="Times New Roman" w:hAnsi="Times New Roman" w:cs="Times New Roman"/>
          <w:sz w:val="28"/>
          <w:szCs w:val="28"/>
          <w:lang w:val="ru-RU"/>
        </w:rPr>
        <w:t xml:space="preserve">   </w:t>
      </w:r>
      <w:r w:rsidRPr="00C67CC9">
        <w:rPr>
          <w:rFonts w:ascii="Times New Roman" w:hAnsi="Times New Roman" w:cs="Times New Roman"/>
          <w:i/>
          <w:iCs/>
          <w:sz w:val="28"/>
          <w:szCs w:val="28"/>
          <w:lang w:val="ru-RU"/>
        </w:rPr>
        <w:t>»________________</w:t>
      </w:r>
      <w:r w:rsidR="00477AFE">
        <w:rPr>
          <w:rFonts w:ascii="Times New Roman" w:hAnsi="Times New Roman" w:cs="Times New Roman"/>
          <w:i/>
          <w:iCs/>
          <w:sz w:val="28"/>
          <w:szCs w:val="28"/>
          <w:lang w:val="ru-RU"/>
        </w:rPr>
        <w:t>2016 г.</w:t>
      </w:r>
    </w:p>
    <w:p w:rsidR="00477AFE" w:rsidRPr="00477AFE" w:rsidRDefault="00477AFE" w:rsidP="00477AFE">
      <w:pPr>
        <w:spacing w:line="360" w:lineRule="auto"/>
        <w:jc w:val="center"/>
        <w:rPr>
          <w:rFonts w:ascii="Times New Roman" w:hAnsi="Times New Roman" w:cs="Times New Roman"/>
          <w:b/>
          <w:sz w:val="28"/>
          <w:szCs w:val="28"/>
          <w:lang w:val="ru-RU"/>
        </w:rPr>
      </w:pPr>
      <w:r w:rsidRPr="00477AFE">
        <w:rPr>
          <w:rFonts w:ascii="Times New Roman" w:hAnsi="Times New Roman" w:cs="Times New Roman"/>
          <w:b/>
          <w:sz w:val="28"/>
          <w:szCs w:val="28"/>
          <w:lang w:val="ru-RU"/>
        </w:rPr>
        <w:t>ВЫПУСКНАЯ КВАЛИФИКАЦИОННАЯ РАБОТА</w:t>
      </w:r>
    </w:p>
    <w:p w:rsidR="00477AFE" w:rsidRDefault="00477AFE" w:rsidP="00477AFE">
      <w:pPr>
        <w:widowControl w:val="0"/>
        <w:autoSpaceDE w:val="0"/>
        <w:autoSpaceDN w:val="0"/>
        <w:adjustRightInd w:val="0"/>
        <w:spacing w:after="240" w:line="360" w:lineRule="auto"/>
        <w:jc w:val="center"/>
        <w:rPr>
          <w:rFonts w:ascii="Times New Roman" w:hAnsi="Times New Roman" w:cs="Times New Roman"/>
          <w:sz w:val="28"/>
          <w:szCs w:val="28"/>
          <w:lang w:val="ru-RU"/>
        </w:rPr>
      </w:pPr>
      <w:r>
        <w:rPr>
          <w:rFonts w:ascii="Times New Roman" w:hAnsi="Times New Roman" w:cs="Times New Roman"/>
          <w:b/>
          <w:sz w:val="28"/>
          <w:szCs w:val="28"/>
          <w:lang w:val="ru-RU"/>
        </w:rPr>
        <w:t>на тему:</w:t>
      </w:r>
    </w:p>
    <w:p w:rsidR="00872B57" w:rsidRPr="00C67CC9" w:rsidRDefault="00872B57" w:rsidP="00BB6B0E">
      <w:pPr>
        <w:widowControl w:val="0"/>
        <w:autoSpaceDE w:val="0"/>
        <w:autoSpaceDN w:val="0"/>
        <w:adjustRightInd w:val="0"/>
        <w:spacing w:after="240" w:line="360" w:lineRule="auto"/>
        <w:rPr>
          <w:rFonts w:ascii="Times New Roman" w:hAnsi="Times New Roman" w:cs="Times New Roman"/>
          <w:sz w:val="28"/>
          <w:szCs w:val="28"/>
          <w:lang w:val="ru-RU"/>
        </w:rPr>
      </w:pPr>
      <w:r w:rsidRPr="00C67CC9">
        <w:rPr>
          <w:rFonts w:ascii="Times New Roman" w:hAnsi="Times New Roman" w:cs="Times New Roman"/>
          <w:sz w:val="28"/>
          <w:szCs w:val="28"/>
          <w:lang w:val="ru-RU"/>
        </w:rPr>
        <w:t>ЭФФЕКТИВНОСТЬ ЛЕЧЕНИЯ БЕСПЛОДИЯ МЕТОДАМИ ВСПОМОГАТЕЛЬНЫХ РЕПРОДУКТИВНЫХ ТЕХН</w:t>
      </w:r>
      <w:r w:rsidR="00112104">
        <w:rPr>
          <w:rFonts w:ascii="Times New Roman" w:hAnsi="Times New Roman" w:cs="Times New Roman"/>
          <w:sz w:val="28"/>
          <w:szCs w:val="28"/>
          <w:lang w:val="ru-RU"/>
        </w:rPr>
        <w:t>ОЛО</w:t>
      </w:r>
      <w:r w:rsidRPr="00C67CC9">
        <w:rPr>
          <w:rFonts w:ascii="Times New Roman" w:hAnsi="Times New Roman" w:cs="Times New Roman"/>
          <w:sz w:val="28"/>
          <w:szCs w:val="28"/>
          <w:lang w:val="ru-RU"/>
        </w:rPr>
        <w:t xml:space="preserve">ГИЙ </w:t>
      </w:r>
      <w:r w:rsidRPr="00C67CC9">
        <w:rPr>
          <w:rFonts w:ascii="Times New Roman" w:hAnsi="Times New Roman" w:cs="Times New Roman"/>
          <w:noProof/>
          <w:sz w:val="28"/>
          <w:szCs w:val="28"/>
          <w:lang w:val="ru-RU"/>
        </w:rPr>
        <w:t xml:space="preserve"> </w:t>
      </w:r>
      <w:r w:rsidRPr="00C67CC9">
        <w:rPr>
          <w:rFonts w:ascii="Times New Roman" w:hAnsi="Times New Roman" w:cs="Times New Roman"/>
          <w:sz w:val="28"/>
          <w:szCs w:val="28"/>
          <w:lang w:val="ru-RU"/>
        </w:rPr>
        <w:t xml:space="preserve"> У ЖЕНЩИН С СИНДРОМОМ ПОЛИКИСТОЗНЫХ ЯИЧНИКОВ. </w:t>
      </w:r>
    </w:p>
    <w:p w:rsidR="00872B57" w:rsidRPr="00C67CC9" w:rsidRDefault="00872B57" w:rsidP="00BB6B0E">
      <w:pPr>
        <w:widowControl w:val="0"/>
        <w:autoSpaceDE w:val="0"/>
        <w:autoSpaceDN w:val="0"/>
        <w:adjustRightInd w:val="0"/>
        <w:spacing w:after="240" w:line="360" w:lineRule="auto"/>
        <w:jc w:val="right"/>
        <w:rPr>
          <w:rFonts w:ascii="Times New Roman" w:hAnsi="Times New Roman" w:cs="Times New Roman"/>
          <w:sz w:val="28"/>
          <w:szCs w:val="28"/>
          <w:lang w:val="ru-RU"/>
        </w:rPr>
      </w:pPr>
      <w:r w:rsidRPr="00C67CC9">
        <w:rPr>
          <w:rFonts w:ascii="Times New Roman" w:hAnsi="Times New Roman" w:cs="Times New Roman"/>
          <w:sz w:val="28"/>
          <w:szCs w:val="28"/>
          <w:lang w:val="ru-RU"/>
        </w:rPr>
        <w:t>Выполнила</w:t>
      </w:r>
      <w:r w:rsidRPr="00C67CC9">
        <w:rPr>
          <w:rFonts w:ascii="MS Gothic" w:eastAsia="MS Gothic" w:hAnsi="MS Gothic" w:cs="MS Gothic" w:hint="eastAsia"/>
          <w:sz w:val="28"/>
          <w:szCs w:val="28"/>
          <w:lang w:val="ru-RU"/>
        </w:rPr>
        <w:t> </w:t>
      </w:r>
      <w:r w:rsidRPr="00C67CC9">
        <w:rPr>
          <w:rFonts w:ascii="Times New Roman" w:hAnsi="Times New Roman" w:cs="Times New Roman"/>
          <w:sz w:val="28"/>
          <w:szCs w:val="28"/>
          <w:lang w:val="ru-RU"/>
        </w:rPr>
        <w:t xml:space="preserve">студентка 604 группы </w:t>
      </w:r>
    </w:p>
    <w:p w:rsidR="00872B57" w:rsidRPr="00C67CC9" w:rsidRDefault="00872B57" w:rsidP="00BB6B0E">
      <w:pPr>
        <w:widowControl w:val="0"/>
        <w:autoSpaceDE w:val="0"/>
        <w:autoSpaceDN w:val="0"/>
        <w:adjustRightInd w:val="0"/>
        <w:spacing w:after="240" w:line="360" w:lineRule="auto"/>
        <w:jc w:val="right"/>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Бойко Анна Юрьевна </w:t>
      </w:r>
    </w:p>
    <w:p w:rsidR="00872B57" w:rsidRPr="00C67CC9" w:rsidRDefault="00872B57" w:rsidP="00BB6B0E">
      <w:pPr>
        <w:widowControl w:val="0"/>
        <w:autoSpaceDE w:val="0"/>
        <w:autoSpaceDN w:val="0"/>
        <w:adjustRightInd w:val="0"/>
        <w:spacing w:after="240" w:line="360" w:lineRule="auto"/>
        <w:jc w:val="right"/>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Научный руководитель </w:t>
      </w:r>
    </w:p>
    <w:p w:rsidR="00872B57" w:rsidRPr="00C67CC9" w:rsidRDefault="00872B57" w:rsidP="00BB6B0E">
      <w:pPr>
        <w:widowControl w:val="0"/>
        <w:autoSpaceDE w:val="0"/>
        <w:autoSpaceDN w:val="0"/>
        <w:adjustRightInd w:val="0"/>
        <w:spacing w:after="240" w:line="360" w:lineRule="auto"/>
        <w:jc w:val="right"/>
        <w:rPr>
          <w:rFonts w:ascii="Times New Roman" w:hAnsi="Times New Roman" w:cs="Times New Roman"/>
          <w:sz w:val="28"/>
          <w:szCs w:val="28"/>
          <w:lang w:val="ru-RU"/>
        </w:rPr>
      </w:pPr>
      <w:r w:rsidRPr="00C67CC9">
        <w:rPr>
          <w:rFonts w:ascii="Times New Roman" w:hAnsi="Times New Roman" w:cs="Times New Roman"/>
          <w:sz w:val="28"/>
          <w:szCs w:val="28"/>
          <w:lang w:val="ru-RU"/>
        </w:rPr>
        <w:t>д.м.н.</w:t>
      </w:r>
      <w:r w:rsidRPr="00C67CC9">
        <w:rPr>
          <w:rFonts w:ascii="MS Gothic" w:eastAsia="MS Gothic" w:hAnsi="MS Gothic" w:cs="MS Gothic" w:hint="eastAsia"/>
          <w:sz w:val="28"/>
          <w:szCs w:val="28"/>
          <w:lang w:val="ru-RU"/>
        </w:rPr>
        <w:t> </w:t>
      </w:r>
      <w:r w:rsidRPr="00C67CC9">
        <w:rPr>
          <w:rFonts w:ascii="Times New Roman" w:eastAsia="MS Gothic" w:hAnsi="Times New Roman" w:cs="Times New Roman"/>
          <w:sz w:val="28"/>
          <w:szCs w:val="28"/>
          <w:lang w:val="ru-RU"/>
        </w:rPr>
        <w:t xml:space="preserve">проф. </w:t>
      </w:r>
      <w:r w:rsidRPr="00C67CC9">
        <w:rPr>
          <w:rFonts w:ascii="Times New Roman" w:hAnsi="Times New Roman" w:cs="Times New Roman"/>
          <w:sz w:val="28"/>
          <w:szCs w:val="28"/>
          <w:lang w:val="ru-RU"/>
        </w:rPr>
        <w:t>Гзгзян Александр Мкртичевич</w:t>
      </w:r>
    </w:p>
    <w:p w:rsidR="00872B57" w:rsidRPr="00C67CC9" w:rsidRDefault="00872B57" w:rsidP="00BB6B0E">
      <w:pPr>
        <w:widowControl w:val="0"/>
        <w:autoSpaceDE w:val="0"/>
        <w:autoSpaceDN w:val="0"/>
        <w:adjustRightInd w:val="0"/>
        <w:spacing w:after="240" w:line="360" w:lineRule="auto"/>
        <w:jc w:val="right"/>
        <w:rPr>
          <w:rFonts w:ascii="Times New Roman" w:hAnsi="Times New Roman" w:cs="Times New Roman"/>
          <w:sz w:val="28"/>
          <w:szCs w:val="28"/>
          <w:lang w:val="ru-RU"/>
        </w:rPr>
      </w:pPr>
    </w:p>
    <w:p w:rsidR="00872B57" w:rsidRPr="00C67CC9" w:rsidRDefault="00872B57" w:rsidP="00BB6B0E">
      <w:pPr>
        <w:widowControl w:val="0"/>
        <w:autoSpaceDE w:val="0"/>
        <w:autoSpaceDN w:val="0"/>
        <w:adjustRightInd w:val="0"/>
        <w:spacing w:after="240" w:line="360" w:lineRule="auto"/>
        <w:jc w:val="center"/>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Санкт-Петербург </w:t>
      </w:r>
    </w:p>
    <w:p w:rsidR="00872B57" w:rsidRPr="00C67CC9" w:rsidRDefault="00872B57" w:rsidP="00BB6B0E">
      <w:pPr>
        <w:widowControl w:val="0"/>
        <w:autoSpaceDE w:val="0"/>
        <w:autoSpaceDN w:val="0"/>
        <w:adjustRightInd w:val="0"/>
        <w:spacing w:after="240" w:line="360" w:lineRule="auto"/>
        <w:jc w:val="center"/>
        <w:rPr>
          <w:rFonts w:ascii="Times New Roman" w:hAnsi="Times New Roman" w:cs="Times New Roman"/>
          <w:sz w:val="28"/>
          <w:szCs w:val="28"/>
          <w:lang w:val="ru-RU"/>
        </w:rPr>
      </w:pPr>
      <w:r w:rsidRPr="00C67CC9">
        <w:rPr>
          <w:rFonts w:ascii="Times New Roman" w:hAnsi="Times New Roman" w:cs="Times New Roman"/>
          <w:sz w:val="28"/>
          <w:szCs w:val="28"/>
          <w:lang w:val="ru-RU"/>
        </w:rPr>
        <w:t>2016</w:t>
      </w:r>
    </w:p>
    <w:p w:rsidR="00786161" w:rsidRPr="00C67CC9" w:rsidRDefault="00786161" w:rsidP="00BB6B0E">
      <w:pPr>
        <w:widowControl w:val="0"/>
        <w:autoSpaceDE w:val="0"/>
        <w:autoSpaceDN w:val="0"/>
        <w:adjustRightInd w:val="0"/>
        <w:spacing w:after="240" w:line="360" w:lineRule="auto"/>
        <w:rPr>
          <w:rFonts w:ascii="Times New Roman" w:hAnsi="Times New Roman" w:cs="Times New Roman"/>
          <w:b/>
          <w:sz w:val="28"/>
          <w:szCs w:val="28"/>
          <w:lang w:val="ru-RU"/>
        </w:rPr>
      </w:pPr>
      <w:r w:rsidRPr="00C67CC9">
        <w:rPr>
          <w:rFonts w:ascii="Times New Roman" w:hAnsi="Times New Roman" w:cs="Times New Roman"/>
          <w:b/>
          <w:sz w:val="28"/>
          <w:szCs w:val="28"/>
          <w:lang w:val="ru-RU"/>
        </w:rPr>
        <w:lastRenderedPageBreak/>
        <w:t xml:space="preserve">Оглавление. </w:t>
      </w:r>
    </w:p>
    <w:p w:rsidR="00C67CC9" w:rsidRPr="00C67CC9" w:rsidRDefault="00C67CC9" w:rsidP="00BB6B0E">
      <w:pPr>
        <w:widowControl w:val="0"/>
        <w:autoSpaceDE w:val="0"/>
        <w:autoSpaceDN w:val="0"/>
        <w:adjustRightInd w:val="0"/>
        <w:spacing w:after="240" w:line="360" w:lineRule="auto"/>
        <w:rPr>
          <w:rFonts w:ascii="Times New Roman" w:hAnsi="Times New Roman" w:cs="Times New Roman"/>
          <w:b/>
          <w:sz w:val="28"/>
          <w:szCs w:val="28"/>
          <w:lang w:val="ru-RU"/>
        </w:rPr>
      </w:pPr>
    </w:p>
    <w:p w:rsidR="00786161" w:rsidRPr="00B34548" w:rsidRDefault="00786161" w:rsidP="00BB6B0E">
      <w:pPr>
        <w:spacing w:line="360" w:lineRule="auto"/>
        <w:rPr>
          <w:rFonts w:ascii="Times New Roman" w:hAnsi="Times New Roman" w:cs="Times New Roman"/>
          <w:sz w:val="28"/>
          <w:szCs w:val="28"/>
          <w:lang w:val="ru-RU"/>
        </w:rPr>
      </w:pPr>
      <w:r w:rsidRPr="00B34548">
        <w:rPr>
          <w:rFonts w:ascii="Times New Roman" w:hAnsi="Times New Roman" w:cs="Times New Roman"/>
          <w:sz w:val="28"/>
          <w:szCs w:val="28"/>
          <w:lang w:val="ru-RU"/>
        </w:rPr>
        <w:t>Список сокращений……………………………………………………………….4</w:t>
      </w:r>
    </w:p>
    <w:p w:rsidR="00786161" w:rsidRPr="00BB6B0E" w:rsidRDefault="00786161" w:rsidP="00BB6B0E">
      <w:pPr>
        <w:pStyle w:val="NormalWeb"/>
        <w:spacing w:before="0" w:beforeAutospacing="0" w:after="0" w:afterAutospacing="0" w:line="360" w:lineRule="auto"/>
        <w:jc w:val="both"/>
        <w:rPr>
          <w:sz w:val="28"/>
          <w:szCs w:val="28"/>
          <w:lang w:val="ru-RU"/>
        </w:rPr>
      </w:pPr>
      <w:r w:rsidRPr="00BB6B0E">
        <w:rPr>
          <w:sz w:val="28"/>
          <w:szCs w:val="28"/>
          <w:lang w:val="ru-RU"/>
        </w:rPr>
        <w:t>Ведение…………………………………………………………………………….</w:t>
      </w:r>
      <w:r w:rsidR="00BB6B0E">
        <w:rPr>
          <w:sz w:val="28"/>
          <w:szCs w:val="28"/>
        </w:rPr>
        <w:t>5</w:t>
      </w:r>
      <w:r w:rsidRPr="00BB6B0E">
        <w:rPr>
          <w:sz w:val="28"/>
          <w:szCs w:val="28"/>
          <w:lang w:val="ru-RU"/>
        </w:rPr>
        <w:t xml:space="preserve">   </w:t>
      </w:r>
    </w:p>
    <w:p w:rsidR="00786161" w:rsidRPr="00BB6B0E" w:rsidRDefault="00786161" w:rsidP="00BB6B0E">
      <w:pPr>
        <w:pStyle w:val="NormalWeb"/>
        <w:numPr>
          <w:ilvl w:val="0"/>
          <w:numId w:val="15"/>
        </w:numPr>
        <w:spacing w:before="0" w:beforeAutospacing="0" w:after="0" w:afterAutospacing="0" w:line="360" w:lineRule="auto"/>
        <w:jc w:val="both"/>
        <w:rPr>
          <w:sz w:val="28"/>
          <w:szCs w:val="28"/>
          <w:lang w:val="ru-RU"/>
        </w:rPr>
      </w:pPr>
      <w:r w:rsidRPr="00BB6B0E">
        <w:rPr>
          <w:sz w:val="28"/>
          <w:szCs w:val="28"/>
          <w:lang w:val="ru-RU"/>
        </w:rPr>
        <w:t>Актуальность проблемы………………………………………….</w:t>
      </w:r>
      <w:r w:rsidR="00BB6B0E">
        <w:rPr>
          <w:sz w:val="28"/>
          <w:szCs w:val="28"/>
          <w:lang w:val="ru-RU"/>
        </w:rPr>
        <w:t>5</w:t>
      </w:r>
    </w:p>
    <w:p w:rsidR="00C67CC9" w:rsidRPr="00BB6B0E" w:rsidRDefault="00786161" w:rsidP="00BB6B0E">
      <w:pPr>
        <w:pStyle w:val="NormalWeb"/>
        <w:numPr>
          <w:ilvl w:val="0"/>
          <w:numId w:val="15"/>
        </w:numPr>
        <w:tabs>
          <w:tab w:val="left" w:pos="9214"/>
        </w:tabs>
        <w:spacing w:before="0" w:beforeAutospacing="0" w:after="0" w:afterAutospacing="0" w:line="360" w:lineRule="auto"/>
        <w:jc w:val="both"/>
        <w:rPr>
          <w:sz w:val="28"/>
          <w:szCs w:val="28"/>
          <w:lang w:val="ru-RU"/>
        </w:rPr>
      </w:pPr>
      <w:r w:rsidRPr="00BB6B0E">
        <w:rPr>
          <w:sz w:val="28"/>
          <w:szCs w:val="28"/>
          <w:lang w:val="ru-RU"/>
        </w:rPr>
        <w:t>Цели и задач</w:t>
      </w:r>
      <w:r w:rsidR="00BB6B0E">
        <w:rPr>
          <w:sz w:val="28"/>
          <w:szCs w:val="28"/>
          <w:lang w:val="ru-RU"/>
        </w:rPr>
        <w:t>и исследования……………………………………...6</w:t>
      </w:r>
    </w:p>
    <w:p w:rsidR="00786161" w:rsidRPr="00C67CC9" w:rsidRDefault="00786161" w:rsidP="00BB6B0E">
      <w:pPr>
        <w:pStyle w:val="NormalWeb"/>
        <w:spacing w:before="0" w:beforeAutospacing="0" w:after="0" w:afterAutospacing="0" w:line="360" w:lineRule="auto"/>
        <w:jc w:val="both"/>
        <w:rPr>
          <w:sz w:val="28"/>
          <w:szCs w:val="28"/>
        </w:rPr>
      </w:pPr>
      <w:r w:rsidRPr="00BB6B0E">
        <w:rPr>
          <w:sz w:val="28"/>
          <w:szCs w:val="28"/>
          <w:lang w:val="ru-RU"/>
        </w:rPr>
        <w:t>Глава 1. Обзор ли</w:t>
      </w:r>
      <w:r w:rsidR="00BB6B0E" w:rsidRPr="00BB6B0E">
        <w:rPr>
          <w:sz w:val="28"/>
          <w:szCs w:val="28"/>
          <w:lang w:val="ru-RU"/>
        </w:rPr>
        <w:t>тературы………………………………………………</w:t>
      </w:r>
      <w:r w:rsidR="00BB6B0E">
        <w:rPr>
          <w:sz w:val="28"/>
          <w:szCs w:val="28"/>
        </w:rPr>
        <w:t>………..8</w:t>
      </w:r>
    </w:p>
    <w:p w:rsidR="00786161" w:rsidRPr="00C67CC9" w:rsidRDefault="00786161" w:rsidP="00BB6B0E">
      <w:pPr>
        <w:pStyle w:val="1"/>
        <w:numPr>
          <w:ilvl w:val="0"/>
          <w:numId w:val="14"/>
        </w:numPr>
        <w:spacing w:line="360" w:lineRule="auto"/>
        <w:rPr>
          <w:color w:val="auto"/>
          <w:sz w:val="28"/>
          <w:szCs w:val="28"/>
          <w:lang w:eastAsia="ru-RU"/>
        </w:rPr>
      </w:pPr>
      <w:r w:rsidRPr="00C67CC9">
        <w:rPr>
          <w:color w:val="auto"/>
          <w:sz w:val="28"/>
          <w:szCs w:val="28"/>
          <w:lang w:eastAsia="ru-RU"/>
        </w:rPr>
        <w:t>1.1.Современные взгляд</w:t>
      </w:r>
      <w:r w:rsidR="00BB6B0E">
        <w:rPr>
          <w:color w:val="auto"/>
          <w:sz w:val="28"/>
          <w:szCs w:val="28"/>
          <w:lang w:eastAsia="ru-RU"/>
        </w:rPr>
        <w:t>ы диагностику СПКЯ…………………………...8</w:t>
      </w:r>
    </w:p>
    <w:p w:rsidR="00786161" w:rsidRPr="00C67CC9" w:rsidRDefault="00786161" w:rsidP="00BB6B0E">
      <w:pPr>
        <w:pStyle w:val="ListParagraph"/>
        <w:numPr>
          <w:ilvl w:val="0"/>
          <w:numId w:val="14"/>
        </w:numPr>
        <w:spacing w:line="360" w:lineRule="auto"/>
        <w:jc w:val="both"/>
        <w:rPr>
          <w:b/>
          <w:sz w:val="28"/>
          <w:szCs w:val="28"/>
          <w:lang w:val="ru-RU"/>
        </w:rPr>
      </w:pPr>
      <w:r w:rsidRPr="00C67CC9">
        <w:rPr>
          <w:sz w:val="28"/>
          <w:szCs w:val="28"/>
          <w:lang w:val="ru-RU"/>
        </w:rPr>
        <w:t>1.2. Консервативное лечение СПКЯ………..</w:t>
      </w:r>
      <w:r w:rsidR="00016125">
        <w:rPr>
          <w:sz w:val="28"/>
          <w:szCs w:val="28"/>
          <w:lang w:val="ru-RU" w:eastAsia="ru-RU"/>
        </w:rPr>
        <w:t>……………………………12</w:t>
      </w:r>
    </w:p>
    <w:p w:rsidR="00786161" w:rsidRPr="00C67CC9" w:rsidRDefault="00786161" w:rsidP="00BB6B0E">
      <w:pPr>
        <w:pStyle w:val="1"/>
        <w:numPr>
          <w:ilvl w:val="0"/>
          <w:numId w:val="14"/>
        </w:numPr>
        <w:spacing w:line="360" w:lineRule="auto"/>
        <w:rPr>
          <w:color w:val="auto"/>
          <w:sz w:val="28"/>
          <w:szCs w:val="28"/>
          <w:lang w:eastAsia="ru-RU"/>
        </w:rPr>
      </w:pPr>
      <w:r w:rsidRPr="00C67CC9">
        <w:rPr>
          <w:color w:val="auto"/>
          <w:sz w:val="28"/>
          <w:szCs w:val="28"/>
          <w:lang w:eastAsia="ru-RU"/>
        </w:rPr>
        <w:t xml:space="preserve">1.3. </w:t>
      </w:r>
      <w:r w:rsidR="00A4296C" w:rsidRPr="00C67CC9">
        <w:rPr>
          <w:color w:val="auto"/>
          <w:sz w:val="28"/>
          <w:szCs w:val="28"/>
          <w:lang w:eastAsia="ru-RU"/>
        </w:rPr>
        <w:t>Хирургическое лечение СПКЯ………………….</w:t>
      </w:r>
      <w:r w:rsidRPr="00C67CC9">
        <w:rPr>
          <w:color w:val="auto"/>
          <w:sz w:val="28"/>
          <w:szCs w:val="28"/>
          <w:lang w:eastAsia="ru-RU"/>
        </w:rPr>
        <w:t>…………………..</w:t>
      </w:r>
      <w:r w:rsidR="00BB6B0E">
        <w:rPr>
          <w:color w:val="auto"/>
          <w:sz w:val="28"/>
          <w:szCs w:val="28"/>
          <w:lang w:eastAsia="ru-RU"/>
        </w:rPr>
        <w:t>15</w:t>
      </w:r>
    </w:p>
    <w:p w:rsidR="00786161" w:rsidRPr="00C67CC9" w:rsidRDefault="00786161" w:rsidP="00BB6B0E">
      <w:pPr>
        <w:pStyle w:val="1"/>
        <w:numPr>
          <w:ilvl w:val="0"/>
          <w:numId w:val="14"/>
        </w:numPr>
        <w:spacing w:line="360" w:lineRule="auto"/>
        <w:rPr>
          <w:color w:val="auto"/>
          <w:sz w:val="28"/>
          <w:szCs w:val="28"/>
          <w:lang w:eastAsia="ru-RU"/>
        </w:rPr>
      </w:pPr>
      <w:r w:rsidRPr="00C67CC9">
        <w:rPr>
          <w:color w:val="auto"/>
          <w:sz w:val="28"/>
          <w:szCs w:val="28"/>
          <w:lang w:eastAsia="ru-RU"/>
        </w:rPr>
        <w:t xml:space="preserve">1.4. </w:t>
      </w:r>
      <w:r w:rsidR="00A4296C" w:rsidRPr="00C67CC9">
        <w:rPr>
          <w:color w:val="auto"/>
          <w:sz w:val="28"/>
          <w:szCs w:val="28"/>
          <w:lang w:eastAsia="ru-RU"/>
        </w:rPr>
        <w:t>Особенности ЭКО у женщин с СПКЯ</w:t>
      </w:r>
      <w:r w:rsidRPr="00C67CC9">
        <w:rPr>
          <w:color w:val="auto"/>
          <w:sz w:val="28"/>
          <w:szCs w:val="28"/>
          <w:lang w:eastAsia="ru-RU"/>
        </w:rPr>
        <w:t>………………………………</w:t>
      </w:r>
      <w:r w:rsidR="00016125">
        <w:rPr>
          <w:color w:val="auto"/>
          <w:sz w:val="28"/>
          <w:szCs w:val="28"/>
          <w:lang w:eastAsia="ru-RU"/>
        </w:rPr>
        <w:t>18</w:t>
      </w:r>
    </w:p>
    <w:p w:rsidR="00C67CC9" w:rsidRPr="00C67CC9" w:rsidRDefault="00C67CC9" w:rsidP="00BB6B0E">
      <w:pPr>
        <w:pStyle w:val="1"/>
        <w:numPr>
          <w:ilvl w:val="0"/>
          <w:numId w:val="14"/>
        </w:numPr>
        <w:spacing w:line="360" w:lineRule="auto"/>
        <w:rPr>
          <w:color w:val="auto"/>
          <w:sz w:val="28"/>
          <w:szCs w:val="28"/>
          <w:lang w:eastAsia="ru-RU"/>
        </w:rPr>
      </w:pPr>
    </w:p>
    <w:p w:rsidR="00A4296C" w:rsidRPr="00C67CC9" w:rsidRDefault="00786161" w:rsidP="00BB6B0E">
      <w:pPr>
        <w:widowControl w:val="0"/>
        <w:numPr>
          <w:ilvl w:val="0"/>
          <w:numId w:val="14"/>
        </w:numPr>
        <w:tabs>
          <w:tab w:val="left" w:pos="220"/>
          <w:tab w:val="left" w:pos="720"/>
        </w:tabs>
        <w:autoSpaceDE w:val="0"/>
        <w:autoSpaceDN w:val="0"/>
        <w:adjustRightInd w:val="0"/>
        <w:spacing w:after="240" w:line="360" w:lineRule="auto"/>
        <w:ind w:hanging="720"/>
        <w:rPr>
          <w:rFonts w:ascii="Times New Roman" w:hAnsi="Times New Roman" w:cs="Times New Roman"/>
          <w:sz w:val="28"/>
          <w:szCs w:val="28"/>
        </w:rPr>
      </w:pPr>
      <w:proofErr w:type="spellStart"/>
      <w:r w:rsidRPr="00C67CC9">
        <w:rPr>
          <w:rFonts w:ascii="Times New Roman" w:hAnsi="Times New Roman" w:cs="Times New Roman"/>
          <w:sz w:val="28"/>
          <w:szCs w:val="28"/>
        </w:rPr>
        <w:t>Глава</w:t>
      </w:r>
      <w:proofErr w:type="spellEnd"/>
      <w:r w:rsidRPr="00C67CC9">
        <w:rPr>
          <w:rFonts w:ascii="Times New Roman" w:hAnsi="Times New Roman" w:cs="Times New Roman"/>
          <w:sz w:val="28"/>
          <w:szCs w:val="28"/>
        </w:rPr>
        <w:t xml:space="preserve"> 2. </w:t>
      </w:r>
    </w:p>
    <w:p w:rsidR="00786161" w:rsidRPr="00C67CC9" w:rsidRDefault="00A4296C" w:rsidP="00BB6B0E">
      <w:pPr>
        <w:widowControl w:val="0"/>
        <w:numPr>
          <w:ilvl w:val="0"/>
          <w:numId w:val="14"/>
        </w:numPr>
        <w:tabs>
          <w:tab w:val="left" w:pos="220"/>
          <w:tab w:val="left" w:pos="720"/>
        </w:tabs>
        <w:autoSpaceDE w:val="0"/>
        <w:autoSpaceDN w:val="0"/>
        <w:adjustRightInd w:val="0"/>
        <w:spacing w:after="240" w:line="360" w:lineRule="auto"/>
        <w:ind w:hanging="720"/>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       2.1. Материалы и методы……………</w:t>
      </w:r>
      <w:r w:rsidR="00786161" w:rsidRPr="00C67CC9">
        <w:rPr>
          <w:rFonts w:ascii="Times New Roman" w:hAnsi="Times New Roman" w:cs="Times New Roman"/>
          <w:sz w:val="28"/>
          <w:szCs w:val="28"/>
          <w:lang w:val="ru-RU"/>
        </w:rPr>
        <w:t>………………………………...</w:t>
      </w:r>
      <w:r w:rsidR="00016125">
        <w:rPr>
          <w:rFonts w:ascii="Times New Roman" w:hAnsi="Times New Roman" w:cs="Times New Roman"/>
          <w:sz w:val="28"/>
          <w:szCs w:val="28"/>
          <w:lang w:val="ru-RU"/>
        </w:rPr>
        <w:t>....25</w:t>
      </w:r>
    </w:p>
    <w:p w:rsidR="00786161" w:rsidRPr="00C67CC9" w:rsidRDefault="00A4296C" w:rsidP="00BB6B0E">
      <w:pPr>
        <w:widowControl w:val="0"/>
        <w:tabs>
          <w:tab w:val="left" w:pos="940"/>
          <w:tab w:val="left" w:pos="1440"/>
        </w:tabs>
        <w:autoSpaceDE w:val="0"/>
        <w:autoSpaceDN w:val="0"/>
        <w:adjustRightInd w:val="0"/>
        <w:spacing w:after="240" w:line="360" w:lineRule="auto"/>
        <w:rPr>
          <w:rFonts w:ascii="Times New Roman" w:hAnsi="Times New Roman" w:cs="Times New Roman"/>
          <w:sz w:val="28"/>
          <w:szCs w:val="28"/>
          <w:lang w:val="ru-RU"/>
        </w:rPr>
      </w:pPr>
      <w:r w:rsidRPr="00C67CC9">
        <w:rPr>
          <w:rFonts w:ascii="Times New Roman" w:eastAsia="MS Gothic" w:hAnsi="Times New Roman" w:cs="Times New Roman"/>
          <w:sz w:val="28"/>
          <w:szCs w:val="28"/>
          <w:lang w:val="ru-RU"/>
        </w:rPr>
        <w:t xml:space="preserve">     </w:t>
      </w:r>
      <w:r w:rsidR="00016125">
        <w:rPr>
          <w:rFonts w:ascii="Times New Roman" w:eastAsia="MS Gothic" w:hAnsi="Times New Roman" w:cs="Times New Roman"/>
          <w:sz w:val="28"/>
          <w:szCs w:val="28"/>
        </w:rPr>
        <w:t xml:space="preserve">     </w:t>
      </w:r>
      <w:r w:rsidRPr="00C67CC9">
        <w:rPr>
          <w:rFonts w:ascii="Times New Roman" w:eastAsia="MS Gothic" w:hAnsi="Times New Roman" w:cs="Times New Roman"/>
          <w:sz w:val="28"/>
          <w:szCs w:val="28"/>
          <w:lang w:val="ru-RU"/>
        </w:rPr>
        <w:t>2.2</w:t>
      </w:r>
      <w:r w:rsidR="00016125">
        <w:rPr>
          <w:rFonts w:ascii="Times New Roman" w:hAnsi="Times New Roman" w:cs="Times New Roman"/>
          <w:sz w:val="28"/>
          <w:szCs w:val="28"/>
          <w:lang w:val="ru-RU"/>
        </w:rPr>
        <w:t xml:space="preserve"> Результат</w:t>
      </w:r>
      <w:bookmarkStart w:id="0" w:name="_GoBack"/>
      <w:bookmarkEnd w:id="0"/>
      <w:r w:rsidR="00016125">
        <w:rPr>
          <w:rFonts w:ascii="Times New Roman" w:hAnsi="Times New Roman" w:cs="Times New Roman"/>
          <w:sz w:val="28"/>
          <w:szCs w:val="28"/>
          <w:lang w:val="ru-RU"/>
        </w:rPr>
        <w:t>ы исследования</w:t>
      </w:r>
      <w:r w:rsidR="00786161" w:rsidRPr="00C67CC9">
        <w:rPr>
          <w:rFonts w:ascii="Times New Roman" w:hAnsi="Times New Roman" w:cs="Times New Roman"/>
          <w:sz w:val="28"/>
          <w:szCs w:val="28"/>
          <w:lang w:val="ru-RU"/>
        </w:rPr>
        <w:t>………………………………</w:t>
      </w:r>
      <w:r w:rsidR="00BB6B0E">
        <w:rPr>
          <w:rFonts w:ascii="Times New Roman" w:hAnsi="Times New Roman" w:cs="Times New Roman"/>
          <w:sz w:val="28"/>
          <w:szCs w:val="28"/>
          <w:lang w:val="ru-RU"/>
        </w:rPr>
        <w:t>………</w:t>
      </w:r>
      <w:r w:rsidR="00016125">
        <w:rPr>
          <w:rFonts w:ascii="Times New Roman" w:hAnsi="Times New Roman" w:cs="Times New Roman"/>
          <w:sz w:val="28"/>
          <w:szCs w:val="28"/>
          <w:lang w:val="ru-RU"/>
        </w:rPr>
        <w:t>……</w:t>
      </w:r>
      <w:r w:rsidR="00016125" w:rsidRPr="00016125">
        <w:rPr>
          <w:rFonts w:ascii="Times New Roman" w:hAnsi="Times New Roman" w:cs="Times New Roman"/>
          <w:sz w:val="28"/>
          <w:szCs w:val="28"/>
          <w:lang w:val="ru-RU"/>
        </w:rPr>
        <w:t>..</w:t>
      </w:r>
      <w:r w:rsidR="00016125">
        <w:rPr>
          <w:rFonts w:ascii="Times New Roman" w:hAnsi="Times New Roman" w:cs="Times New Roman"/>
          <w:sz w:val="28"/>
          <w:szCs w:val="28"/>
          <w:lang w:val="ru-RU"/>
        </w:rPr>
        <w:t>27</w:t>
      </w:r>
    </w:p>
    <w:p w:rsidR="00786161" w:rsidRPr="00C67CC9" w:rsidRDefault="00786161" w:rsidP="00BB6B0E">
      <w:pPr>
        <w:widowControl w:val="0"/>
        <w:tabs>
          <w:tab w:val="left" w:pos="940"/>
          <w:tab w:val="left" w:pos="1440"/>
        </w:tabs>
        <w:autoSpaceDE w:val="0"/>
        <w:autoSpaceDN w:val="0"/>
        <w:adjustRightInd w:val="0"/>
        <w:spacing w:after="240" w:line="360" w:lineRule="auto"/>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      </w:t>
      </w:r>
      <w:r w:rsidR="00A4296C" w:rsidRPr="00C67CC9">
        <w:rPr>
          <w:rFonts w:ascii="Times New Roman" w:hAnsi="Times New Roman" w:cs="Times New Roman"/>
          <w:sz w:val="28"/>
          <w:szCs w:val="28"/>
          <w:lang w:val="ru-RU"/>
        </w:rPr>
        <w:t xml:space="preserve">    2.2.1 </w:t>
      </w:r>
      <w:r w:rsidRPr="00C67CC9">
        <w:rPr>
          <w:rFonts w:ascii="Times New Roman" w:hAnsi="Times New Roman" w:cs="Times New Roman"/>
          <w:sz w:val="28"/>
          <w:szCs w:val="28"/>
          <w:lang w:val="ru-RU"/>
        </w:rPr>
        <w:t>Общая характеристика исследуемых женщин…………</w:t>
      </w:r>
      <w:r w:rsidR="00A4296C" w:rsidRPr="00C67CC9">
        <w:rPr>
          <w:rFonts w:ascii="Times New Roman" w:hAnsi="Times New Roman" w:cs="Times New Roman"/>
          <w:sz w:val="28"/>
          <w:szCs w:val="28"/>
          <w:lang w:val="ru-RU"/>
        </w:rPr>
        <w:t>….</w:t>
      </w:r>
      <w:r w:rsidRPr="00C67CC9">
        <w:rPr>
          <w:rFonts w:ascii="Times New Roman" w:hAnsi="Times New Roman" w:cs="Times New Roman"/>
          <w:sz w:val="28"/>
          <w:szCs w:val="28"/>
          <w:lang w:val="ru-RU"/>
        </w:rPr>
        <w:t>…</w:t>
      </w:r>
      <w:r w:rsidR="00A4296C" w:rsidRPr="00C67CC9">
        <w:rPr>
          <w:rFonts w:ascii="Times New Roman" w:hAnsi="Times New Roman" w:cs="Times New Roman"/>
          <w:sz w:val="28"/>
          <w:szCs w:val="28"/>
          <w:lang w:val="ru-RU"/>
        </w:rPr>
        <w:t>……22</w:t>
      </w:r>
    </w:p>
    <w:p w:rsidR="00A4296C" w:rsidRPr="00016125" w:rsidRDefault="00A4296C"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         </w:t>
      </w:r>
      <w:r w:rsidR="00C67CC9" w:rsidRPr="00C67CC9">
        <w:rPr>
          <w:rFonts w:ascii="Times New Roman" w:hAnsi="Times New Roman" w:cs="Times New Roman"/>
          <w:sz w:val="28"/>
          <w:szCs w:val="28"/>
          <w:lang w:val="ru-RU"/>
        </w:rPr>
        <w:t>2.2.2</w:t>
      </w:r>
      <w:r w:rsidRPr="00C67CC9">
        <w:rPr>
          <w:rFonts w:ascii="Times New Roman" w:hAnsi="Times New Roman" w:cs="Times New Roman"/>
          <w:sz w:val="28"/>
          <w:szCs w:val="28"/>
          <w:lang w:val="ru-RU"/>
        </w:rPr>
        <w:t>.Оценка показателей ЭКО у женщин с СПКЯ в двух группах……..</w:t>
      </w:r>
      <w:r w:rsidR="00016125" w:rsidRPr="00016125">
        <w:rPr>
          <w:rFonts w:ascii="Times New Roman" w:hAnsi="Times New Roman" w:cs="Times New Roman"/>
          <w:sz w:val="28"/>
          <w:szCs w:val="28"/>
          <w:lang w:val="ru-RU"/>
        </w:rPr>
        <w:t>30</w:t>
      </w:r>
    </w:p>
    <w:p w:rsidR="00C67CC9" w:rsidRPr="00C67CC9" w:rsidRDefault="00C67CC9" w:rsidP="00BB6B0E">
      <w:pPr>
        <w:spacing w:line="360" w:lineRule="auto"/>
        <w:ind w:firstLine="709"/>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2.2.3. Оценка эмбриол</w:t>
      </w:r>
      <w:r w:rsidR="00016125">
        <w:rPr>
          <w:rFonts w:ascii="Times New Roman" w:hAnsi="Times New Roman" w:cs="Times New Roman"/>
          <w:sz w:val="28"/>
          <w:szCs w:val="28"/>
          <w:lang w:val="ru-RU"/>
        </w:rPr>
        <w:t>огического этапа………………………………….32</w:t>
      </w:r>
      <w:r w:rsidRPr="00C67CC9">
        <w:rPr>
          <w:rFonts w:ascii="Times New Roman" w:hAnsi="Times New Roman" w:cs="Times New Roman"/>
          <w:sz w:val="28"/>
          <w:szCs w:val="28"/>
          <w:lang w:val="ru-RU"/>
        </w:rPr>
        <w:t xml:space="preserve"> </w:t>
      </w:r>
    </w:p>
    <w:p w:rsidR="00C67CC9" w:rsidRPr="00C67CC9" w:rsidRDefault="00C67CC9" w:rsidP="00BB6B0E">
      <w:pPr>
        <w:spacing w:line="360" w:lineRule="auto"/>
        <w:rPr>
          <w:rFonts w:ascii="Times New Roman" w:hAnsi="Times New Roman" w:cs="Times New Roman"/>
          <w:sz w:val="28"/>
          <w:szCs w:val="28"/>
          <w:lang w:val="ru-RU"/>
        </w:rPr>
      </w:pPr>
      <w:r w:rsidRPr="00C67CC9">
        <w:rPr>
          <w:rFonts w:ascii="Times New Roman" w:hAnsi="Times New Roman" w:cs="Times New Roman"/>
          <w:b/>
          <w:sz w:val="28"/>
          <w:szCs w:val="28"/>
          <w:lang w:val="ru-RU"/>
        </w:rPr>
        <w:t xml:space="preserve">         </w:t>
      </w:r>
      <w:r w:rsidRPr="00C67CC9">
        <w:rPr>
          <w:rFonts w:ascii="Times New Roman" w:hAnsi="Times New Roman" w:cs="Times New Roman"/>
          <w:sz w:val="28"/>
          <w:szCs w:val="28"/>
          <w:lang w:val="ru-RU"/>
        </w:rPr>
        <w:t>2.2.4. Сравнение  исходов программы ЭКО……………………………...32</w:t>
      </w:r>
    </w:p>
    <w:p w:rsidR="00C67CC9" w:rsidRPr="00C67CC9" w:rsidRDefault="00C67CC9"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         2.2.5. Оценка частоты во</w:t>
      </w:r>
      <w:r w:rsidR="00016125">
        <w:rPr>
          <w:rFonts w:ascii="Times New Roman" w:hAnsi="Times New Roman" w:cs="Times New Roman"/>
          <w:sz w:val="28"/>
          <w:szCs w:val="28"/>
          <w:lang w:val="ru-RU"/>
        </w:rPr>
        <w:t>зникающих осложнений……………………….33</w:t>
      </w:r>
      <w:r w:rsidRPr="00C67CC9">
        <w:rPr>
          <w:rFonts w:ascii="Times New Roman" w:hAnsi="Times New Roman" w:cs="Times New Roman"/>
          <w:sz w:val="28"/>
          <w:szCs w:val="28"/>
          <w:lang w:val="ru-RU"/>
        </w:rPr>
        <w:t xml:space="preserve"> </w:t>
      </w:r>
    </w:p>
    <w:p w:rsidR="00786161" w:rsidRPr="00C67CC9" w:rsidRDefault="00786161" w:rsidP="00BB6B0E">
      <w:pPr>
        <w:widowControl w:val="0"/>
        <w:tabs>
          <w:tab w:val="left" w:pos="940"/>
          <w:tab w:val="left" w:pos="1440"/>
        </w:tabs>
        <w:autoSpaceDE w:val="0"/>
        <w:autoSpaceDN w:val="0"/>
        <w:adjustRightInd w:val="0"/>
        <w:spacing w:after="240" w:line="360" w:lineRule="auto"/>
        <w:rPr>
          <w:rFonts w:ascii="Times New Roman" w:hAnsi="Times New Roman" w:cs="Times New Roman"/>
          <w:sz w:val="28"/>
          <w:szCs w:val="28"/>
          <w:lang w:val="ru-RU"/>
        </w:rPr>
      </w:pPr>
      <w:r w:rsidRPr="00C67CC9">
        <w:rPr>
          <w:rFonts w:ascii="Times New Roman" w:hAnsi="Times New Roman" w:cs="Times New Roman"/>
          <w:sz w:val="28"/>
          <w:szCs w:val="28"/>
          <w:lang w:val="ru-RU"/>
        </w:rPr>
        <w:t>Заключение ……………………………………………………………………...</w:t>
      </w:r>
      <w:r w:rsidR="00C67CC9" w:rsidRPr="00C67CC9">
        <w:rPr>
          <w:rFonts w:ascii="Times New Roman" w:hAnsi="Times New Roman" w:cs="Times New Roman"/>
          <w:sz w:val="28"/>
          <w:szCs w:val="28"/>
          <w:lang w:val="ru-RU"/>
        </w:rPr>
        <w:t>.34</w:t>
      </w:r>
    </w:p>
    <w:p w:rsidR="00786161" w:rsidRPr="00C67CC9" w:rsidRDefault="00786161" w:rsidP="00BB6B0E">
      <w:pPr>
        <w:widowControl w:val="0"/>
        <w:tabs>
          <w:tab w:val="left" w:pos="940"/>
          <w:tab w:val="left" w:pos="1440"/>
        </w:tabs>
        <w:autoSpaceDE w:val="0"/>
        <w:autoSpaceDN w:val="0"/>
        <w:adjustRightInd w:val="0"/>
        <w:spacing w:after="240" w:line="360" w:lineRule="auto"/>
        <w:rPr>
          <w:rFonts w:ascii="Times New Roman" w:hAnsi="Times New Roman" w:cs="Times New Roman"/>
          <w:sz w:val="28"/>
          <w:szCs w:val="28"/>
          <w:lang w:val="ru-RU"/>
        </w:rPr>
      </w:pPr>
      <w:r w:rsidRPr="00C67CC9">
        <w:rPr>
          <w:rFonts w:ascii="Times New Roman" w:hAnsi="Times New Roman" w:cs="Times New Roman"/>
          <w:sz w:val="28"/>
          <w:szCs w:val="28"/>
          <w:lang w:val="ru-RU"/>
        </w:rPr>
        <w:t>Выводы …………………………………………………………………………..</w:t>
      </w:r>
      <w:r w:rsidR="00016125">
        <w:rPr>
          <w:rFonts w:ascii="Times New Roman" w:hAnsi="Times New Roman" w:cs="Times New Roman"/>
          <w:sz w:val="28"/>
          <w:szCs w:val="28"/>
          <w:lang w:val="ru-RU"/>
        </w:rPr>
        <w:t>35</w:t>
      </w:r>
    </w:p>
    <w:p w:rsidR="00786161" w:rsidRPr="00C67CC9" w:rsidRDefault="00786161" w:rsidP="00BB6B0E">
      <w:pPr>
        <w:widowControl w:val="0"/>
        <w:tabs>
          <w:tab w:val="left" w:pos="940"/>
          <w:tab w:val="left" w:pos="1440"/>
        </w:tabs>
        <w:autoSpaceDE w:val="0"/>
        <w:autoSpaceDN w:val="0"/>
        <w:adjustRightInd w:val="0"/>
        <w:spacing w:after="240" w:line="360" w:lineRule="auto"/>
        <w:rPr>
          <w:rFonts w:ascii="Times New Roman" w:hAnsi="Times New Roman" w:cs="Times New Roman"/>
          <w:sz w:val="28"/>
          <w:szCs w:val="28"/>
          <w:lang w:val="ru-RU"/>
        </w:rPr>
      </w:pPr>
      <w:r w:rsidRPr="00C67CC9">
        <w:rPr>
          <w:rFonts w:ascii="Times New Roman" w:hAnsi="Times New Roman" w:cs="Times New Roman"/>
          <w:sz w:val="28"/>
          <w:szCs w:val="28"/>
          <w:lang w:val="ru-RU"/>
        </w:rPr>
        <w:lastRenderedPageBreak/>
        <w:t>Список литературы………………………………………………………………</w:t>
      </w:r>
      <w:r w:rsidR="00016125">
        <w:rPr>
          <w:rFonts w:ascii="Times New Roman" w:hAnsi="Times New Roman" w:cs="Times New Roman"/>
          <w:sz w:val="28"/>
          <w:szCs w:val="28"/>
          <w:lang w:val="ru-RU"/>
        </w:rPr>
        <w:t>37</w:t>
      </w:r>
    </w:p>
    <w:p w:rsidR="00786161" w:rsidRPr="00C67CC9" w:rsidRDefault="00786161" w:rsidP="00BB6B0E">
      <w:pPr>
        <w:widowControl w:val="0"/>
        <w:tabs>
          <w:tab w:val="left" w:pos="940"/>
          <w:tab w:val="left" w:pos="1440"/>
        </w:tabs>
        <w:autoSpaceDE w:val="0"/>
        <w:autoSpaceDN w:val="0"/>
        <w:adjustRightInd w:val="0"/>
        <w:spacing w:after="240" w:line="360" w:lineRule="auto"/>
        <w:rPr>
          <w:rFonts w:ascii="Times New Roman" w:hAnsi="Times New Roman" w:cs="Times New Roman"/>
          <w:sz w:val="28"/>
          <w:szCs w:val="28"/>
          <w:lang w:val="ru-RU"/>
        </w:rPr>
      </w:pPr>
    </w:p>
    <w:p w:rsidR="00786161" w:rsidRPr="00C67CC9" w:rsidRDefault="00786161" w:rsidP="00BB6B0E">
      <w:pPr>
        <w:widowControl w:val="0"/>
        <w:tabs>
          <w:tab w:val="left" w:pos="940"/>
          <w:tab w:val="left" w:pos="1440"/>
        </w:tabs>
        <w:autoSpaceDE w:val="0"/>
        <w:autoSpaceDN w:val="0"/>
        <w:adjustRightInd w:val="0"/>
        <w:spacing w:after="240" w:line="360" w:lineRule="auto"/>
        <w:rPr>
          <w:rFonts w:ascii="Times New Roman" w:hAnsi="Times New Roman" w:cs="Times New Roman"/>
          <w:sz w:val="28"/>
          <w:szCs w:val="28"/>
          <w:lang w:val="ru-RU"/>
        </w:rPr>
      </w:pPr>
    </w:p>
    <w:p w:rsidR="00786161" w:rsidRPr="00C67CC9" w:rsidRDefault="00786161" w:rsidP="00BB6B0E">
      <w:pPr>
        <w:widowControl w:val="0"/>
        <w:tabs>
          <w:tab w:val="left" w:pos="940"/>
          <w:tab w:val="left" w:pos="1440"/>
        </w:tabs>
        <w:autoSpaceDE w:val="0"/>
        <w:autoSpaceDN w:val="0"/>
        <w:adjustRightInd w:val="0"/>
        <w:spacing w:after="240" w:line="360" w:lineRule="auto"/>
        <w:rPr>
          <w:rFonts w:ascii="Times New Roman" w:hAnsi="Times New Roman" w:cs="Times New Roman"/>
          <w:sz w:val="28"/>
          <w:szCs w:val="28"/>
          <w:lang w:val="ru-RU"/>
        </w:rPr>
      </w:pPr>
    </w:p>
    <w:p w:rsidR="00786161" w:rsidRPr="00C67CC9" w:rsidRDefault="00786161" w:rsidP="00BB6B0E">
      <w:pPr>
        <w:widowControl w:val="0"/>
        <w:tabs>
          <w:tab w:val="left" w:pos="940"/>
          <w:tab w:val="left" w:pos="1440"/>
        </w:tabs>
        <w:autoSpaceDE w:val="0"/>
        <w:autoSpaceDN w:val="0"/>
        <w:adjustRightInd w:val="0"/>
        <w:spacing w:after="240" w:line="360" w:lineRule="auto"/>
        <w:rPr>
          <w:rFonts w:ascii="Times New Roman" w:hAnsi="Times New Roman" w:cs="Times New Roman"/>
          <w:sz w:val="28"/>
          <w:szCs w:val="28"/>
          <w:lang w:val="ru-RU"/>
        </w:rPr>
      </w:pPr>
    </w:p>
    <w:p w:rsidR="00C67CC9" w:rsidRPr="00C67CC9" w:rsidRDefault="00C67CC9" w:rsidP="00BB6B0E">
      <w:pPr>
        <w:widowControl w:val="0"/>
        <w:tabs>
          <w:tab w:val="left" w:pos="940"/>
          <w:tab w:val="left" w:pos="1440"/>
        </w:tabs>
        <w:autoSpaceDE w:val="0"/>
        <w:autoSpaceDN w:val="0"/>
        <w:adjustRightInd w:val="0"/>
        <w:spacing w:after="240" w:line="360" w:lineRule="auto"/>
        <w:rPr>
          <w:rFonts w:ascii="Times New Roman" w:hAnsi="Times New Roman" w:cs="Times New Roman"/>
          <w:sz w:val="28"/>
          <w:szCs w:val="28"/>
          <w:lang w:val="ru-RU"/>
        </w:rPr>
      </w:pPr>
    </w:p>
    <w:p w:rsidR="00C67CC9" w:rsidRPr="00C67CC9" w:rsidRDefault="00C67CC9" w:rsidP="00BB6B0E">
      <w:pPr>
        <w:widowControl w:val="0"/>
        <w:tabs>
          <w:tab w:val="left" w:pos="940"/>
          <w:tab w:val="left" w:pos="1440"/>
        </w:tabs>
        <w:autoSpaceDE w:val="0"/>
        <w:autoSpaceDN w:val="0"/>
        <w:adjustRightInd w:val="0"/>
        <w:spacing w:after="240" w:line="360" w:lineRule="auto"/>
        <w:rPr>
          <w:rFonts w:ascii="Times New Roman" w:hAnsi="Times New Roman" w:cs="Times New Roman"/>
          <w:sz w:val="28"/>
          <w:szCs w:val="28"/>
          <w:lang w:val="ru-RU"/>
        </w:rPr>
      </w:pPr>
    </w:p>
    <w:p w:rsidR="00786161" w:rsidRPr="00C67CC9" w:rsidRDefault="00786161" w:rsidP="00BB6B0E">
      <w:pPr>
        <w:widowControl w:val="0"/>
        <w:tabs>
          <w:tab w:val="left" w:pos="940"/>
          <w:tab w:val="left" w:pos="1440"/>
        </w:tabs>
        <w:autoSpaceDE w:val="0"/>
        <w:autoSpaceDN w:val="0"/>
        <w:adjustRightInd w:val="0"/>
        <w:spacing w:after="240" w:line="360" w:lineRule="auto"/>
        <w:rPr>
          <w:rFonts w:ascii="Times New Roman" w:hAnsi="Times New Roman" w:cs="Times New Roman"/>
          <w:sz w:val="28"/>
          <w:szCs w:val="28"/>
          <w:lang w:val="ru-RU"/>
        </w:rPr>
      </w:pPr>
    </w:p>
    <w:p w:rsidR="00786161" w:rsidRPr="00C67CC9" w:rsidRDefault="00786161" w:rsidP="00BB6B0E">
      <w:pPr>
        <w:widowControl w:val="0"/>
        <w:tabs>
          <w:tab w:val="left" w:pos="940"/>
          <w:tab w:val="left" w:pos="1440"/>
        </w:tabs>
        <w:autoSpaceDE w:val="0"/>
        <w:autoSpaceDN w:val="0"/>
        <w:adjustRightInd w:val="0"/>
        <w:spacing w:after="240" w:line="360" w:lineRule="auto"/>
        <w:rPr>
          <w:rFonts w:ascii="Times New Roman" w:hAnsi="Times New Roman" w:cs="Times New Roman"/>
          <w:sz w:val="28"/>
          <w:szCs w:val="28"/>
          <w:lang w:val="ru-RU"/>
        </w:rPr>
      </w:pPr>
    </w:p>
    <w:p w:rsidR="00C67CC9" w:rsidRPr="00C67CC9" w:rsidRDefault="00C67CC9" w:rsidP="00BB6B0E">
      <w:pPr>
        <w:widowControl w:val="0"/>
        <w:tabs>
          <w:tab w:val="left" w:pos="940"/>
          <w:tab w:val="left" w:pos="1440"/>
        </w:tabs>
        <w:autoSpaceDE w:val="0"/>
        <w:autoSpaceDN w:val="0"/>
        <w:adjustRightInd w:val="0"/>
        <w:spacing w:after="240" w:line="360" w:lineRule="auto"/>
        <w:rPr>
          <w:rFonts w:ascii="Times New Roman" w:hAnsi="Times New Roman" w:cs="Times New Roman"/>
          <w:b/>
          <w:sz w:val="28"/>
          <w:szCs w:val="28"/>
          <w:lang w:val="ru-RU"/>
        </w:rPr>
      </w:pPr>
    </w:p>
    <w:p w:rsidR="00C67CC9" w:rsidRPr="00C67CC9" w:rsidRDefault="00C67CC9" w:rsidP="00BB6B0E">
      <w:pPr>
        <w:widowControl w:val="0"/>
        <w:tabs>
          <w:tab w:val="left" w:pos="940"/>
          <w:tab w:val="left" w:pos="1440"/>
        </w:tabs>
        <w:autoSpaceDE w:val="0"/>
        <w:autoSpaceDN w:val="0"/>
        <w:adjustRightInd w:val="0"/>
        <w:spacing w:after="240" w:line="360" w:lineRule="auto"/>
        <w:rPr>
          <w:rFonts w:ascii="Times New Roman" w:hAnsi="Times New Roman" w:cs="Times New Roman"/>
          <w:b/>
          <w:sz w:val="28"/>
          <w:szCs w:val="28"/>
          <w:lang w:val="ru-RU"/>
        </w:rPr>
      </w:pPr>
    </w:p>
    <w:p w:rsidR="00C67CC9" w:rsidRPr="00C67CC9" w:rsidRDefault="00C67CC9" w:rsidP="00BB6B0E">
      <w:pPr>
        <w:widowControl w:val="0"/>
        <w:tabs>
          <w:tab w:val="left" w:pos="940"/>
          <w:tab w:val="left" w:pos="1440"/>
        </w:tabs>
        <w:autoSpaceDE w:val="0"/>
        <w:autoSpaceDN w:val="0"/>
        <w:adjustRightInd w:val="0"/>
        <w:spacing w:after="240" w:line="360" w:lineRule="auto"/>
        <w:rPr>
          <w:rFonts w:ascii="Times New Roman" w:hAnsi="Times New Roman" w:cs="Times New Roman"/>
          <w:b/>
          <w:sz w:val="28"/>
          <w:szCs w:val="28"/>
          <w:lang w:val="ru-RU"/>
        </w:rPr>
      </w:pPr>
    </w:p>
    <w:p w:rsidR="00C67CC9" w:rsidRPr="00C67CC9" w:rsidRDefault="00C67CC9" w:rsidP="00BB6B0E">
      <w:pPr>
        <w:widowControl w:val="0"/>
        <w:tabs>
          <w:tab w:val="left" w:pos="940"/>
          <w:tab w:val="left" w:pos="1440"/>
        </w:tabs>
        <w:autoSpaceDE w:val="0"/>
        <w:autoSpaceDN w:val="0"/>
        <w:adjustRightInd w:val="0"/>
        <w:spacing w:after="240" w:line="360" w:lineRule="auto"/>
        <w:rPr>
          <w:rFonts w:ascii="Times New Roman" w:hAnsi="Times New Roman" w:cs="Times New Roman"/>
          <w:b/>
          <w:sz w:val="28"/>
          <w:szCs w:val="28"/>
          <w:lang w:val="ru-RU"/>
        </w:rPr>
      </w:pPr>
    </w:p>
    <w:p w:rsidR="00C67CC9" w:rsidRPr="00C67CC9" w:rsidRDefault="00C67CC9" w:rsidP="00BB6B0E">
      <w:pPr>
        <w:widowControl w:val="0"/>
        <w:tabs>
          <w:tab w:val="left" w:pos="940"/>
          <w:tab w:val="left" w:pos="1440"/>
        </w:tabs>
        <w:autoSpaceDE w:val="0"/>
        <w:autoSpaceDN w:val="0"/>
        <w:adjustRightInd w:val="0"/>
        <w:spacing w:after="240" w:line="360" w:lineRule="auto"/>
        <w:rPr>
          <w:rFonts w:ascii="Times New Roman" w:hAnsi="Times New Roman" w:cs="Times New Roman"/>
          <w:b/>
          <w:sz w:val="28"/>
          <w:szCs w:val="28"/>
          <w:lang w:val="ru-RU"/>
        </w:rPr>
      </w:pPr>
    </w:p>
    <w:p w:rsidR="00C67CC9" w:rsidRPr="00C67CC9" w:rsidRDefault="00C67CC9" w:rsidP="00BB6B0E">
      <w:pPr>
        <w:widowControl w:val="0"/>
        <w:tabs>
          <w:tab w:val="left" w:pos="940"/>
          <w:tab w:val="left" w:pos="1440"/>
        </w:tabs>
        <w:autoSpaceDE w:val="0"/>
        <w:autoSpaceDN w:val="0"/>
        <w:adjustRightInd w:val="0"/>
        <w:spacing w:after="240" w:line="360" w:lineRule="auto"/>
        <w:rPr>
          <w:rFonts w:ascii="Times New Roman" w:hAnsi="Times New Roman" w:cs="Times New Roman"/>
          <w:b/>
          <w:sz w:val="28"/>
          <w:szCs w:val="28"/>
          <w:lang w:val="ru-RU"/>
        </w:rPr>
      </w:pPr>
    </w:p>
    <w:p w:rsidR="00C67CC9" w:rsidRPr="00C67CC9" w:rsidRDefault="00C67CC9" w:rsidP="00BB6B0E">
      <w:pPr>
        <w:widowControl w:val="0"/>
        <w:tabs>
          <w:tab w:val="left" w:pos="940"/>
          <w:tab w:val="left" w:pos="1440"/>
        </w:tabs>
        <w:autoSpaceDE w:val="0"/>
        <w:autoSpaceDN w:val="0"/>
        <w:adjustRightInd w:val="0"/>
        <w:spacing w:after="240" w:line="360" w:lineRule="auto"/>
        <w:rPr>
          <w:rFonts w:ascii="Times New Roman" w:hAnsi="Times New Roman" w:cs="Times New Roman"/>
          <w:b/>
          <w:sz w:val="28"/>
          <w:szCs w:val="28"/>
          <w:lang w:val="ru-RU"/>
        </w:rPr>
      </w:pPr>
    </w:p>
    <w:p w:rsidR="00BB6B0E" w:rsidRDefault="00BB6B0E" w:rsidP="00BB6B0E">
      <w:pPr>
        <w:widowControl w:val="0"/>
        <w:tabs>
          <w:tab w:val="left" w:pos="940"/>
          <w:tab w:val="left" w:pos="1440"/>
        </w:tabs>
        <w:autoSpaceDE w:val="0"/>
        <w:autoSpaceDN w:val="0"/>
        <w:adjustRightInd w:val="0"/>
        <w:spacing w:after="240" w:line="360" w:lineRule="auto"/>
        <w:rPr>
          <w:rFonts w:ascii="Times New Roman" w:hAnsi="Times New Roman" w:cs="Times New Roman"/>
          <w:b/>
          <w:sz w:val="28"/>
          <w:szCs w:val="28"/>
          <w:lang w:val="ru-RU"/>
        </w:rPr>
      </w:pPr>
    </w:p>
    <w:p w:rsidR="00BB6B0E" w:rsidRDefault="00BB6B0E" w:rsidP="00BB6B0E">
      <w:pPr>
        <w:widowControl w:val="0"/>
        <w:tabs>
          <w:tab w:val="left" w:pos="940"/>
          <w:tab w:val="left" w:pos="1440"/>
        </w:tabs>
        <w:autoSpaceDE w:val="0"/>
        <w:autoSpaceDN w:val="0"/>
        <w:adjustRightInd w:val="0"/>
        <w:spacing w:after="240" w:line="360" w:lineRule="auto"/>
        <w:rPr>
          <w:rFonts w:ascii="Times New Roman" w:hAnsi="Times New Roman" w:cs="Times New Roman"/>
          <w:b/>
          <w:sz w:val="28"/>
          <w:szCs w:val="28"/>
          <w:lang w:val="ru-RU"/>
        </w:rPr>
      </w:pPr>
    </w:p>
    <w:p w:rsidR="00872B57" w:rsidRPr="00C67CC9" w:rsidRDefault="00786161" w:rsidP="00BB6B0E">
      <w:pPr>
        <w:widowControl w:val="0"/>
        <w:tabs>
          <w:tab w:val="left" w:pos="940"/>
          <w:tab w:val="left" w:pos="1440"/>
        </w:tabs>
        <w:autoSpaceDE w:val="0"/>
        <w:autoSpaceDN w:val="0"/>
        <w:adjustRightInd w:val="0"/>
        <w:spacing w:after="240" w:line="360" w:lineRule="auto"/>
        <w:rPr>
          <w:rFonts w:ascii="Times New Roman" w:hAnsi="Times New Roman" w:cs="Times New Roman"/>
          <w:sz w:val="28"/>
          <w:szCs w:val="28"/>
          <w:lang w:val="ru-RU"/>
        </w:rPr>
      </w:pPr>
      <w:r w:rsidRPr="00C67CC9">
        <w:rPr>
          <w:rFonts w:ascii="Times New Roman" w:hAnsi="Times New Roman" w:cs="Times New Roman"/>
          <w:b/>
          <w:sz w:val="28"/>
          <w:szCs w:val="28"/>
          <w:lang w:val="ru-RU"/>
        </w:rPr>
        <w:lastRenderedPageBreak/>
        <w:t xml:space="preserve">Список сокращений. </w:t>
      </w:r>
    </w:p>
    <w:p w:rsidR="00872B57" w:rsidRPr="00C67CC9" w:rsidRDefault="00872B57" w:rsidP="00BB6B0E">
      <w:pPr>
        <w:pStyle w:val="a"/>
        <w:spacing w:after="200" w:line="360" w:lineRule="auto"/>
        <w:jc w:val="both"/>
        <w:rPr>
          <w:rFonts w:ascii="Times New Roman" w:eastAsia="Times New Roman" w:hAnsi="Times New Roman" w:cs="Times New Roman"/>
          <w:color w:val="auto"/>
          <w:sz w:val="28"/>
          <w:szCs w:val="28"/>
          <w:u w:color="000000"/>
        </w:rPr>
      </w:pPr>
      <w:r w:rsidRPr="00C67CC9">
        <w:rPr>
          <w:rFonts w:ascii="Times New Roman" w:eastAsia="Times New Roman" w:hAnsi="Times New Roman" w:cs="Times New Roman"/>
          <w:color w:val="auto"/>
          <w:sz w:val="28"/>
          <w:szCs w:val="28"/>
          <w:u w:color="000000"/>
        </w:rPr>
        <w:t>аГнРГ - агонисты гонадотропин-рилизинг гормона</w:t>
      </w:r>
    </w:p>
    <w:p w:rsidR="00872B57" w:rsidRPr="00C67CC9" w:rsidRDefault="00872B57" w:rsidP="00BB6B0E">
      <w:pPr>
        <w:pStyle w:val="a"/>
        <w:spacing w:after="200" w:line="360" w:lineRule="auto"/>
        <w:jc w:val="both"/>
        <w:rPr>
          <w:rFonts w:ascii="Times New Roman" w:eastAsia="Times New Roman" w:hAnsi="Times New Roman" w:cs="Times New Roman"/>
          <w:color w:val="auto"/>
          <w:sz w:val="28"/>
          <w:szCs w:val="28"/>
          <w:u w:color="000000"/>
        </w:rPr>
      </w:pPr>
      <w:r w:rsidRPr="00C67CC9">
        <w:rPr>
          <w:rFonts w:ascii="Times New Roman" w:hAnsi="Times New Roman" w:cs="Times New Roman"/>
          <w:color w:val="auto"/>
          <w:sz w:val="28"/>
          <w:szCs w:val="28"/>
        </w:rPr>
        <w:t xml:space="preserve">АМТ - </w:t>
      </w:r>
      <w:r w:rsidRPr="00C67CC9">
        <w:rPr>
          <w:rFonts w:ascii="Times New Roman" w:eastAsia="Times New Roman" w:hAnsi="Times New Roman" w:cs="Times New Roman"/>
          <w:color w:val="auto"/>
          <w:sz w:val="28"/>
          <w:szCs w:val="28"/>
          <w:u w:color="000000"/>
        </w:rPr>
        <w:t>антимюллеров гормон</w:t>
      </w:r>
    </w:p>
    <w:p w:rsidR="00872B57" w:rsidRPr="00C67CC9" w:rsidRDefault="00872B57" w:rsidP="00BB6B0E">
      <w:pPr>
        <w:pStyle w:val="a"/>
        <w:spacing w:after="200" w:line="360" w:lineRule="auto"/>
        <w:jc w:val="both"/>
        <w:rPr>
          <w:rFonts w:ascii="Times New Roman" w:eastAsia="Times New Roman" w:hAnsi="Times New Roman" w:cs="Times New Roman"/>
          <w:color w:val="auto"/>
          <w:sz w:val="28"/>
          <w:szCs w:val="28"/>
          <w:u w:color="000000"/>
        </w:rPr>
      </w:pPr>
      <w:r w:rsidRPr="00C67CC9">
        <w:rPr>
          <w:rFonts w:ascii="Times New Roman" w:eastAsia="Times New Roman" w:hAnsi="Times New Roman" w:cs="Times New Roman"/>
          <w:color w:val="auto"/>
          <w:sz w:val="28"/>
          <w:szCs w:val="28"/>
          <w:u w:color="000000"/>
        </w:rPr>
        <w:t>ВРТ - вспомогательные репродуктивные технологии</w:t>
      </w:r>
    </w:p>
    <w:p w:rsidR="00872B57" w:rsidRDefault="00872B57" w:rsidP="00BB6B0E">
      <w:pPr>
        <w:widowControl w:val="0"/>
        <w:autoSpaceDE w:val="0"/>
        <w:autoSpaceDN w:val="0"/>
        <w:adjustRightInd w:val="0"/>
        <w:spacing w:after="240" w:line="360" w:lineRule="auto"/>
        <w:jc w:val="both"/>
        <w:rPr>
          <w:rFonts w:ascii="MS Gothic" w:eastAsia="MS Gothic" w:hAnsi="MS Gothic" w:cs="MS Gothic"/>
          <w:sz w:val="28"/>
          <w:szCs w:val="28"/>
          <w:lang w:val="ru-RU"/>
        </w:rPr>
      </w:pPr>
      <w:r w:rsidRPr="00C67CC9">
        <w:rPr>
          <w:rFonts w:ascii="Times New Roman" w:hAnsi="Times New Roman" w:cs="Times New Roman"/>
          <w:sz w:val="28"/>
          <w:szCs w:val="28"/>
          <w:lang w:val="ru-RU"/>
        </w:rPr>
        <w:t>ГнРГ - гонадотропин релизинг гормон</w:t>
      </w:r>
      <w:r w:rsidRPr="00C67CC9">
        <w:rPr>
          <w:rFonts w:ascii="MS Gothic" w:eastAsia="MS Gothic" w:hAnsi="MS Gothic" w:cs="MS Gothic"/>
          <w:sz w:val="28"/>
          <w:szCs w:val="28"/>
          <w:lang w:val="ru-RU"/>
        </w:rPr>
        <w:t> </w:t>
      </w:r>
    </w:p>
    <w:p w:rsidR="007606ED" w:rsidRPr="007606ED" w:rsidRDefault="007606ED" w:rsidP="00BB6B0E">
      <w:pPr>
        <w:widowControl w:val="0"/>
        <w:autoSpaceDE w:val="0"/>
        <w:autoSpaceDN w:val="0"/>
        <w:adjustRightInd w:val="0"/>
        <w:spacing w:after="240" w:line="360" w:lineRule="auto"/>
        <w:jc w:val="both"/>
        <w:rPr>
          <w:rFonts w:ascii="Times New Roman" w:hAnsi="Times New Roman" w:cs="Times New Roman"/>
          <w:sz w:val="28"/>
          <w:szCs w:val="28"/>
          <w:lang w:val="ru-RU"/>
        </w:rPr>
      </w:pPr>
      <w:r w:rsidRPr="007606ED">
        <w:rPr>
          <w:rFonts w:ascii="Times New Roman" w:hAnsi="Times New Roman" w:cs="Times New Roman"/>
          <w:sz w:val="28"/>
          <w:szCs w:val="28"/>
          <w:lang w:val="ru-RU"/>
        </w:rPr>
        <w:t>ДГЭА-С - д</w:t>
      </w:r>
      <w:r w:rsidRPr="00E96ACC">
        <w:rPr>
          <w:rFonts w:ascii="Times New Roman" w:hAnsi="Times New Roman" w:cs="Times New Roman"/>
          <w:sz w:val="28"/>
          <w:szCs w:val="28"/>
          <w:lang w:val="ru-RU"/>
        </w:rPr>
        <w:t>егидроэпиандростендион-сульфат</w:t>
      </w:r>
    </w:p>
    <w:p w:rsidR="00872B57" w:rsidRPr="00C67CC9" w:rsidRDefault="00872B57" w:rsidP="00BB6B0E">
      <w:pPr>
        <w:widowControl w:val="0"/>
        <w:autoSpaceDE w:val="0"/>
        <w:autoSpaceDN w:val="0"/>
        <w:adjustRightInd w:val="0"/>
        <w:spacing w:after="240"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ИКСИ (</w:t>
      </w:r>
      <w:r w:rsidRPr="00C67CC9">
        <w:rPr>
          <w:rFonts w:ascii="Times New Roman" w:hAnsi="Times New Roman" w:cs="Times New Roman"/>
          <w:sz w:val="28"/>
          <w:szCs w:val="28"/>
        </w:rPr>
        <w:t>ICSI</w:t>
      </w:r>
      <w:r w:rsidRPr="00C67CC9">
        <w:rPr>
          <w:rFonts w:ascii="Times New Roman" w:hAnsi="Times New Roman" w:cs="Times New Roman"/>
          <w:sz w:val="28"/>
          <w:szCs w:val="28"/>
          <w:lang w:val="ru-RU"/>
        </w:rPr>
        <w:t xml:space="preserve">) - интрацитоплазматическая инъекция сперматозоида </w:t>
      </w:r>
    </w:p>
    <w:p w:rsidR="00872B57" w:rsidRPr="00C67CC9" w:rsidRDefault="00872B57" w:rsidP="00BB6B0E">
      <w:pPr>
        <w:widowControl w:val="0"/>
        <w:autoSpaceDE w:val="0"/>
        <w:autoSpaceDN w:val="0"/>
        <w:adjustRightInd w:val="0"/>
        <w:spacing w:after="240"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ИМТ - индекс массы тела</w:t>
      </w:r>
      <w:r w:rsidRPr="00C67CC9">
        <w:rPr>
          <w:rFonts w:ascii="MS Gothic" w:eastAsia="MS Gothic" w:hAnsi="MS Gothic" w:cs="MS Gothic"/>
          <w:sz w:val="28"/>
          <w:szCs w:val="28"/>
          <w:lang w:val="ru-RU"/>
        </w:rPr>
        <w:t> </w:t>
      </w:r>
    </w:p>
    <w:p w:rsidR="00872B57" w:rsidRPr="00C67CC9" w:rsidRDefault="00872B57" w:rsidP="00BB6B0E">
      <w:pPr>
        <w:widowControl w:val="0"/>
        <w:autoSpaceDE w:val="0"/>
        <w:autoSpaceDN w:val="0"/>
        <w:adjustRightInd w:val="0"/>
        <w:spacing w:after="240"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КОК – комбинированные оральные контрацептивы</w:t>
      </w:r>
    </w:p>
    <w:p w:rsidR="00872B57" w:rsidRPr="00C67CC9" w:rsidRDefault="00872B57" w:rsidP="00BB6B0E">
      <w:pPr>
        <w:widowControl w:val="0"/>
        <w:autoSpaceDE w:val="0"/>
        <w:autoSpaceDN w:val="0"/>
        <w:adjustRightInd w:val="0"/>
        <w:spacing w:after="240"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МЧГ - мочевые гонадотропины</w:t>
      </w:r>
    </w:p>
    <w:p w:rsidR="00872B57" w:rsidRPr="00C67CC9" w:rsidRDefault="00872B57" w:rsidP="00BB6B0E">
      <w:pPr>
        <w:widowControl w:val="0"/>
        <w:autoSpaceDE w:val="0"/>
        <w:autoSpaceDN w:val="0"/>
        <w:adjustRightInd w:val="0"/>
        <w:spacing w:after="240"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ЛГ- лютеинизирующий гормон</w:t>
      </w:r>
    </w:p>
    <w:p w:rsidR="00872B57" w:rsidRPr="00C67CC9" w:rsidRDefault="00872B57" w:rsidP="00BB6B0E">
      <w:pPr>
        <w:widowControl w:val="0"/>
        <w:autoSpaceDE w:val="0"/>
        <w:autoSpaceDN w:val="0"/>
        <w:adjustRightInd w:val="0"/>
        <w:spacing w:after="240"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рФСГ - рекомбинантный фолликуло-стимулирующий гормон</w:t>
      </w:r>
    </w:p>
    <w:p w:rsidR="00872B57" w:rsidRPr="00C67CC9" w:rsidRDefault="00872B57" w:rsidP="00BB6B0E">
      <w:pPr>
        <w:widowControl w:val="0"/>
        <w:autoSpaceDE w:val="0"/>
        <w:autoSpaceDN w:val="0"/>
        <w:adjustRightInd w:val="0"/>
        <w:spacing w:after="240"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СГЯ - синдром гиперстимуляции яичников</w:t>
      </w:r>
    </w:p>
    <w:p w:rsidR="00872B57" w:rsidRPr="00C67CC9" w:rsidRDefault="00872B57" w:rsidP="00BB6B0E">
      <w:pPr>
        <w:widowControl w:val="0"/>
        <w:autoSpaceDE w:val="0"/>
        <w:autoSpaceDN w:val="0"/>
        <w:adjustRightInd w:val="0"/>
        <w:spacing w:after="240"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СПКЯ – синдром поликистоз</w:t>
      </w:r>
      <w:r w:rsidR="00786161" w:rsidRPr="00C67CC9">
        <w:rPr>
          <w:rFonts w:ascii="Times New Roman" w:hAnsi="Times New Roman" w:cs="Times New Roman"/>
          <w:sz w:val="28"/>
          <w:szCs w:val="28"/>
          <w:lang w:val="ru-RU"/>
        </w:rPr>
        <w:t>ных</w:t>
      </w:r>
      <w:r w:rsidRPr="00C67CC9">
        <w:rPr>
          <w:rFonts w:ascii="Times New Roman" w:hAnsi="Times New Roman" w:cs="Times New Roman"/>
          <w:sz w:val="28"/>
          <w:szCs w:val="28"/>
          <w:lang w:val="ru-RU"/>
        </w:rPr>
        <w:t xml:space="preserve"> яичников</w:t>
      </w:r>
    </w:p>
    <w:p w:rsidR="00872B57" w:rsidRPr="00C67CC9" w:rsidRDefault="00872B57" w:rsidP="00BB6B0E">
      <w:pPr>
        <w:widowControl w:val="0"/>
        <w:autoSpaceDE w:val="0"/>
        <w:autoSpaceDN w:val="0"/>
        <w:adjustRightInd w:val="0"/>
        <w:spacing w:after="240"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УЗИ - ультразвуковое исследование</w:t>
      </w:r>
      <w:r w:rsidRPr="00C67CC9">
        <w:rPr>
          <w:rFonts w:ascii="MS Gothic" w:eastAsia="MS Gothic" w:hAnsi="MS Gothic" w:cs="MS Gothic"/>
          <w:sz w:val="28"/>
          <w:szCs w:val="28"/>
          <w:lang w:val="ru-RU"/>
        </w:rPr>
        <w:t> </w:t>
      </w:r>
    </w:p>
    <w:p w:rsidR="00872B57" w:rsidRPr="00C67CC9" w:rsidRDefault="00872B57" w:rsidP="00BB6B0E">
      <w:pPr>
        <w:widowControl w:val="0"/>
        <w:autoSpaceDE w:val="0"/>
        <w:autoSpaceDN w:val="0"/>
        <w:adjustRightInd w:val="0"/>
        <w:spacing w:after="240"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чМГ - человеческие менопаузальные гонадотропины</w:t>
      </w:r>
      <w:r w:rsidRPr="00C67CC9">
        <w:rPr>
          <w:rFonts w:ascii="MS Gothic" w:eastAsia="MS Gothic" w:hAnsi="MS Gothic" w:cs="MS Gothic"/>
          <w:sz w:val="28"/>
          <w:szCs w:val="28"/>
          <w:lang w:val="ru-RU"/>
        </w:rPr>
        <w:t> </w:t>
      </w:r>
    </w:p>
    <w:p w:rsidR="00872B57" w:rsidRPr="00C67CC9" w:rsidRDefault="00872B57" w:rsidP="00BB6B0E">
      <w:pPr>
        <w:widowControl w:val="0"/>
        <w:autoSpaceDE w:val="0"/>
        <w:autoSpaceDN w:val="0"/>
        <w:adjustRightInd w:val="0"/>
        <w:spacing w:after="240"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ЭКО - экстракорпоральное оплодотворение.</w:t>
      </w:r>
      <w:r w:rsidRPr="00C67CC9">
        <w:rPr>
          <w:rFonts w:ascii="MS Gothic" w:hAnsi="MS Gothic" w:cs="MS Gothic"/>
          <w:sz w:val="28"/>
          <w:szCs w:val="28"/>
          <w:lang w:val="ru-RU"/>
        </w:rPr>
        <w:t> </w:t>
      </w:r>
    </w:p>
    <w:p w:rsidR="00BB6B0E" w:rsidRDefault="00872B57" w:rsidP="00BB6B0E">
      <w:pPr>
        <w:widowControl w:val="0"/>
        <w:autoSpaceDE w:val="0"/>
        <w:autoSpaceDN w:val="0"/>
        <w:adjustRightInd w:val="0"/>
        <w:spacing w:after="240" w:line="360" w:lineRule="auto"/>
        <w:jc w:val="both"/>
        <w:rPr>
          <w:rFonts w:ascii="Times New Roman" w:hAnsi="Times New Roman" w:cs="Times New Roman"/>
          <w:sz w:val="28"/>
          <w:szCs w:val="28"/>
          <w:lang w:val="ru-RU"/>
        </w:rPr>
      </w:pPr>
      <w:proofErr w:type="gramStart"/>
      <w:r w:rsidRPr="00C67CC9">
        <w:rPr>
          <w:rFonts w:ascii="Times New Roman" w:hAnsi="Times New Roman" w:cs="Times New Roman"/>
          <w:i/>
          <w:iCs/>
          <w:sz w:val="28"/>
          <w:szCs w:val="28"/>
        </w:rPr>
        <w:t>β</w:t>
      </w:r>
      <w:r w:rsidRPr="00C67CC9">
        <w:rPr>
          <w:rFonts w:ascii="Times New Roman" w:hAnsi="Times New Roman" w:cs="Times New Roman"/>
          <w:sz w:val="28"/>
          <w:szCs w:val="28"/>
          <w:lang w:val="ru-RU"/>
        </w:rPr>
        <w:t>-ХГЧ</w:t>
      </w:r>
      <w:proofErr w:type="gramEnd"/>
      <w:r w:rsidRPr="00C67CC9">
        <w:rPr>
          <w:rFonts w:ascii="Times New Roman" w:hAnsi="Times New Roman" w:cs="Times New Roman"/>
          <w:sz w:val="28"/>
          <w:szCs w:val="28"/>
          <w:lang w:val="ru-RU"/>
        </w:rPr>
        <w:t xml:space="preserve"> - бета субъединица хорионического гонадотропина</w:t>
      </w:r>
    </w:p>
    <w:p w:rsidR="001F2F2B" w:rsidRPr="00C67CC9" w:rsidRDefault="001F2F2B" w:rsidP="00BB6B0E">
      <w:pPr>
        <w:widowControl w:val="0"/>
        <w:autoSpaceDE w:val="0"/>
        <w:autoSpaceDN w:val="0"/>
        <w:adjustRightInd w:val="0"/>
        <w:spacing w:after="240" w:line="360" w:lineRule="auto"/>
        <w:jc w:val="both"/>
        <w:rPr>
          <w:rFonts w:ascii="Times New Roman" w:hAnsi="Times New Roman" w:cs="Times New Roman"/>
          <w:b/>
          <w:sz w:val="28"/>
          <w:szCs w:val="28"/>
          <w:lang w:val="ru-RU"/>
        </w:rPr>
      </w:pPr>
      <w:r w:rsidRPr="00C67CC9">
        <w:rPr>
          <w:rFonts w:ascii="Times New Roman" w:hAnsi="Times New Roman" w:cs="Times New Roman"/>
          <w:b/>
          <w:sz w:val="28"/>
          <w:szCs w:val="28"/>
          <w:lang w:val="ru-RU"/>
        </w:rPr>
        <w:lastRenderedPageBreak/>
        <w:t>Введение.</w:t>
      </w:r>
    </w:p>
    <w:p w:rsidR="00786161" w:rsidRPr="00C67CC9" w:rsidRDefault="00786161" w:rsidP="00BB6B0E">
      <w:pPr>
        <w:pStyle w:val="NormalWeb"/>
        <w:spacing w:line="360" w:lineRule="auto"/>
        <w:jc w:val="both"/>
        <w:rPr>
          <w:sz w:val="28"/>
          <w:szCs w:val="28"/>
          <w:lang w:val="ru-RU"/>
        </w:rPr>
      </w:pPr>
      <w:r w:rsidRPr="00C67CC9">
        <w:rPr>
          <w:b/>
          <w:sz w:val="28"/>
          <w:szCs w:val="28"/>
          <w:lang w:val="ru-RU"/>
        </w:rPr>
        <w:t>Актуальность работы</w:t>
      </w:r>
      <w:r w:rsidRPr="00C67CC9">
        <w:rPr>
          <w:sz w:val="28"/>
          <w:szCs w:val="28"/>
          <w:lang w:val="ru-RU"/>
        </w:rPr>
        <w:t xml:space="preserve">. </w:t>
      </w:r>
    </w:p>
    <w:p w:rsidR="00D37569" w:rsidRPr="00C67CC9" w:rsidRDefault="001F2F2B" w:rsidP="00BB6B0E">
      <w:pPr>
        <w:pStyle w:val="NormalWeb"/>
        <w:spacing w:line="360" w:lineRule="auto"/>
        <w:jc w:val="both"/>
        <w:rPr>
          <w:sz w:val="28"/>
          <w:szCs w:val="28"/>
          <w:lang w:val="ru-RU"/>
        </w:rPr>
      </w:pPr>
      <w:r w:rsidRPr="00C67CC9">
        <w:rPr>
          <w:sz w:val="28"/>
          <w:szCs w:val="28"/>
          <w:lang w:val="ru-RU"/>
        </w:rPr>
        <w:t xml:space="preserve">Синдром поликистозных яичников (СПКЯ) является одним из наиболее частых эндокринных расстройств у женщин репродуктивного возраста. </w:t>
      </w:r>
      <w:r w:rsidR="00421D08" w:rsidRPr="00C67CC9">
        <w:rPr>
          <w:sz w:val="28"/>
          <w:szCs w:val="28"/>
          <w:lang w:val="ru-RU"/>
        </w:rPr>
        <w:t xml:space="preserve">В последние годы становится все более очевидным, что синдром поликистозных яичников (СПКЯ) является более широкой проблемой, чем просто репродуктивное расстройство. СПКЯ включает в себя огромный спектр симптомов, которые начинают проявляться в препубертате и продолжаются в постменопаузальном периоде. Большую роль играют метаболические нарушения, которые могут влиять на пациентов в течение всей жизни. Также немаловажной остается проблема бесплодия для женщин с СПКЯ как в медицинском, так и в психологическом аспекте. </w:t>
      </w:r>
      <w:r w:rsidRPr="00C67CC9">
        <w:rPr>
          <w:sz w:val="28"/>
          <w:szCs w:val="28"/>
          <w:lang w:val="ru-RU"/>
        </w:rPr>
        <w:t xml:space="preserve">Показатели распространенности СПКЯ </w:t>
      </w:r>
      <w:r w:rsidR="00C54378" w:rsidRPr="00C67CC9">
        <w:rPr>
          <w:sz w:val="28"/>
          <w:szCs w:val="28"/>
          <w:lang w:val="ru-RU"/>
        </w:rPr>
        <w:t>сильно</w:t>
      </w:r>
      <w:r w:rsidRPr="00C67CC9">
        <w:rPr>
          <w:sz w:val="28"/>
          <w:szCs w:val="28"/>
          <w:lang w:val="ru-RU"/>
        </w:rPr>
        <w:t xml:space="preserve"> варьируют в зависимости от используемых критериев диагностики и особенностей популяционной выборки. Считается, что общей популяции женщин репродуктивного возраста распространенность синдрома составляет от 6-9% до 19,9% (1,2,3,4,5,6). Среди женщин, имеющих нарушения менструального цикла, частота выявления СПКЯ по данным различных исследований колеблется от 17,4% до 46,4%. У пациенток с клиническими проявлениями </w:t>
      </w:r>
      <w:r w:rsidR="00C67CC9" w:rsidRPr="00C67CC9">
        <w:rPr>
          <w:sz w:val="28"/>
          <w:szCs w:val="28"/>
          <w:lang w:val="ru-RU"/>
        </w:rPr>
        <w:t>гиперандрогении</w:t>
      </w:r>
      <w:r w:rsidRPr="00C67CC9">
        <w:rPr>
          <w:sz w:val="28"/>
          <w:szCs w:val="28"/>
          <w:lang w:val="ru-RU"/>
        </w:rPr>
        <w:t xml:space="preserve"> СПКЯ занимает ведущее место, достигая при использовании различных критериев 72,1 %-82%, а у женщин с ановуляторным бесплодием СПКЯ выявляется в 55-91 % случаев (7,8,9,10). </w:t>
      </w:r>
      <w:r w:rsidR="00C54378" w:rsidRPr="00C67CC9">
        <w:rPr>
          <w:sz w:val="28"/>
          <w:szCs w:val="28"/>
          <w:lang w:val="ru-RU"/>
        </w:rPr>
        <w:t xml:space="preserve">В структуре бесплодных браков синдром поликистозных яичников составляет до 35-85 % (Е.Н. Андреева, А.Ф. Веснина, 2010 г.) </w:t>
      </w:r>
      <w:r w:rsidRPr="00C67CC9">
        <w:rPr>
          <w:sz w:val="28"/>
          <w:szCs w:val="28"/>
          <w:lang w:val="ru-RU"/>
        </w:rPr>
        <w:t>Из данных статистики можно сделать вывод, что диагностика и лечение СПКЯ является актуальной проблемой для современной медицины</w:t>
      </w:r>
      <w:r w:rsidR="00D37569" w:rsidRPr="00C67CC9">
        <w:rPr>
          <w:sz w:val="28"/>
          <w:szCs w:val="28"/>
          <w:lang w:val="ru-RU"/>
        </w:rPr>
        <w:t xml:space="preserve"> как с точки зрения соматического, так и репродуктивного здоровья пациентов</w:t>
      </w:r>
      <w:r w:rsidRPr="00C67CC9">
        <w:rPr>
          <w:sz w:val="28"/>
          <w:szCs w:val="28"/>
          <w:lang w:val="ru-RU"/>
        </w:rPr>
        <w:t xml:space="preserve">. </w:t>
      </w:r>
      <w:r w:rsidR="00421D08" w:rsidRPr="00C67CC9">
        <w:rPr>
          <w:sz w:val="28"/>
          <w:szCs w:val="28"/>
          <w:lang w:val="ru-RU"/>
        </w:rPr>
        <w:t xml:space="preserve">Таким образом, </w:t>
      </w:r>
      <w:r w:rsidR="001568DF">
        <w:rPr>
          <w:sz w:val="28"/>
          <w:szCs w:val="28"/>
          <w:lang w:val="ru-RU"/>
        </w:rPr>
        <w:lastRenderedPageBreak/>
        <w:t>можно</w:t>
      </w:r>
      <w:r w:rsidR="00421D08" w:rsidRPr="00C67CC9">
        <w:rPr>
          <w:sz w:val="28"/>
          <w:szCs w:val="28"/>
          <w:lang w:val="ru-RU"/>
        </w:rPr>
        <w:t xml:space="preserve"> сказать, что на сегодняшний день СПКЯ является </w:t>
      </w:r>
      <w:r w:rsidR="001568DF">
        <w:rPr>
          <w:sz w:val="28"/>
          <w:szCs w:val="28"/>
          <w:lang w:val="ru-RU"/>
        </w:rPr>
        <w:t>очень распространённым</w:t>
      </w:r>
      <w:r w:rsidR="00421D08" w:rsidRPr="00C67CC9">
        <w:rPr>
          <w:sz w:val="28"/>
          <w:szCs w:val="28"/>
          <w:lang w:val="ru-RU"/>
        </w:rPr>
        <w:t xml:space="preserve"> заболеванием, которое </w:t>
      </w:r>
      <w:r w:rsidR="001568DF">
        <w:rPr>
          <w:sz w:val="28"/>
          <w:szCs w:val="28"/>
          <w:lang w:val="ru-RU"/>
        </w:rPr>
        <w:t>является одной из причин эндокринного бесплодия</w:t>
      </w:r>
      <w:r w:rsidR="00421D08" w:rsidRPr="00C67CC9">
        <w:rPr>
          <w:sz w:val="28"/>
          <w:szCs w:val="28"/>
          <w:lang w:val="ru-RU"/>
        </w:rPr>
        <w:t xml:space="preserve">. Несмотря на высокую частоту данного заболевания и многолетнюю историю его изучения, лечение бесплодных женщин с СПКЯ до сих пор остается </w:t>
      </w:r>
      <w:r w:rsidR="001568DF">
        <w:rPr>
          <w:sz w:val="28"/>
          <w:szCs w:val="28"/>
          <w:lang w:val="ru-RU"/>
        </w:rPr>
        <w:t>одной из нерешенных проблем современной медицины</w:t>
      </w:r>
      <w:r w:rsidR="00421D08" w:rsidRPr="00C67CC9">
        <w:rPr>
          <w:sz w:val="28"/>
          <w:szCs w:val="28"/>
          <w:lang w:val="ru-RU"/>
        </w:rPr>
        <w:t xml:space="preserve">. </w:t>
      </w:r>
      <w:r w:rsidR="00D37569" w:rsidRPr="00C67CC9">
        <w:rPr>
          <w:sz w:val="28"/>
          <w:szCs w:val="28"/>
          <w:lang w:val="ru-RU"/>
        </w:rPr>
        <w:t>Но методы ВРТ, на которые с</w:t>
      </w:r>
      <w:r w:rsidR="001568DF">
        <w:rPr>
          <w:sz w:val="28"/>
          <w:szCs w:val="28"/>
          <w:lang w:val="ru-RU"/>
        </w:rPr>
        <w:t>делан акцент в данной работе,</w:t>
      </w:r>
      <w:r w:rsidR="00D37569" w:rsidRPr="00C67CC9">
        <w:rPr>
          <w:sz w:val="28"/>
          <w:szCs w:val="28"/>
          <w:lang w:val="ru-RU"/>
        </w:rPr>
        <w:t xml:space="preserve"> является основным способом преодоления бесплодия у женщин в СПКЯ. Показаниями для использования ВРТ являются:</w:t>
      </w:r>
    </w:p>
    <w:p w:rsidR="00D37569" w:rsidRPr="00C67CC9" w:rsidRDefault="00D37569" w:rsidP="00BB6B0E">
      <w:pPr>
        <w:pStyle w:val="NormalWeb"/>
        <w:spacing w:line="360" w:lineRule="auto"/>
        <w:jc w:val="both"/>
        <w:rPr>
          <w:sz w:val="28"/>
          <w:szCs w:val="28"/>
          <w:lang w:val="ru-RU"/>
        </w:rPr>
      </w:pPr>
      <w:r w:rsidRPr="00C67CC9">
        <w:rPr>
          <w:rFonts w:eastAsiaTheme="minorEastAsia"/>
          <w:kern w:val="24"/>
          <w:sz w:val="28"/>
          <w:szCs w:val="28"/>
          <w:lang w:val="ru-RU"/>
        </w:rPr>
        <w:t xml:space="preserve">1. Неэффективность стимуляции овуляции и хирургических методов лечения; </w:t>
      </w:r>
    </w:p>
    <w:p w:rsidR="00D37569" w:rsidRPr="00C67CC9" w:rsidRDefault="00D37569" w:rsidP="00BB6B0E">
      <w:pPr>
        <w:pStyle w:val="NormalWeb"/>
        <w:spacing w:before="200" w:beforeAutospacing="0" w:after="0" w:afterAutospacing="0" w:line="360" w:lineRule="auto"/>
        <w:jc w:val="both"/>
        <w:rPr>
          <w:sz w:val="28"/>
          <w:szCs w:val="28"/>
          <w:lang w:val="ru-RU"/>
        </w:rPr>
      </w:pPr>
      <w:r w:rsidRPr="00C67CC9">
        <w:rPr>
          <w:rFonts w:eastAsiaTheme="minorEastAsia"/>
          <w:kern w:val="24"/>
          <w:sz w:val="28"/>
          <w:szCs w:val="28"/>
          <w:lang w:val="ru-RU"/>
        </w:rPr>
        <w:t>2. Наличие сопутствующей патологии (трубно-перитонеальный фактор бесплодия, эндометриоз, мужской фактор)</w:t>
      </w:r>
    </w:p>
    <w:p w:rsidR="00D37569" w:rsidRPr="00C67CC9" w:rsidRDefault="00D37569" w:rsidP="00BB6B0E">
      <w:pPr>
        <w:pStyle w:val="NormalWeb"/>
        <w:spacing w:before="200" w:beforeAutospacing="0" w:after="0" w:afterAutospacing="0" w:line="360" w:lineRule="auto"/>
        <w:jc w:val="both"/>
        <w:rPr>
          <w:sz w:val="28"/>
          <w:szCs w:val="28"/>
        </w:rPr>
      </w:pPr>
      <w:r w:rsidRPr="00C67CC9">
        <w:rPr>
          <w:rFonts w:eastAsiaTheme="minorEastAsia"/>
          <w:kern w:val="24"/>
          <w:sz w:val="28"/>
          <w:szCs w:val="28"/>
        </w:rPr>
        <w:t xml:space="preserve">3. </w:t>
      </w:r>
      <w:r w:rsidRPr="00C67CC9">
        <w:rPr>
          <w:rFonts w:eastAsiaTheme="minorEastAsia"/>
          <w:kern w:val="24"/>
          <w:sz w:val="28"/>
          <w:szCs w:val="28"/>
          <w:lang w:val="ru-RU"/>
        </w:rPr>
        <w:t>Необходимость</w:t>
      </w:r>
      <w:r w:rsidRPr="00C67CC9">
        <w:rPr>
          <w:rFonts w:eastAsiaTheme="minorEastAsia"/>
          <w:kern w:val="24"/>
          <w:sz w:val="28"/>
          <w:szCs w:val="28"/>
        </w:rPr>
        <w:t xml:space="preserve"> </w:t>
      </w:r>
      <w:r w:rsidRPr="00C67CC9">
        <w:rPr>
          <w:rFonts w:eastAsiaTheme="minorEastAsia"/>
          <w:kern w:val="24"/>
          <w:sz w:val="28"/>
          <w:szCs w:val="28"/>
          <w:lang w:val="ru-RU"/>
        </w:rPr>
        <w:t>предимплантационной</w:t>
      </w:r>
      <w:r w:rsidRPr="00C67CC9">
        <w:rPr>
          <w:rFonts w:eastAsiaTheme="minorEastAsia"/>
          <w:kern w:val="24"/>
          <w:sz w:val="28"/>
          <w:szCs w:val="28"/>
        </w:rPr>
        <w:t xml:space="preserve"> </w:t>
      </w:r>
      <w:r w:rsidRPr="00C67CC9">
        <w:rPr>
          <w:rFonts w:eastAsiaTheme="minorEastAsia"/>
          <w:kern w:val="24"/>
          <w:sz w:val="28"/>
          <w:szCs w:val="28"/>
          <w:lang w:val="ru-RU"/>
        </w:rPr>
        <w:t>диагностики</w:t>
      </w:r>
      <w:r w:rsidRPr="00C67CC9">
        <w:rPr>
          <w:rFonts w:eastAsiaTheme="minorEastAsia"/>
          <w:kern w:val="24"/>
          <w:sz w:val="28"/>
          <w:szCs w:val="28"/>
        </w:rPr>
        <w:t xml:space="preserve">. </w:t>
      </w:r>
    </w:p>
    <w:p w:rsidR="00D37569" w:rsidRPr="00C67CC9" w:rsidRDefault="00D37569" w:rsidP="00BB6B0E">
      <w:pPr>
        <w:pStyle w:val="NormalWeb"/>
        <w:spacing w:before="200" w:beforeAutospacing="0" w:after="0" w:afterAutospacing="0" w:line="360" w:lineRule="auto"/>
        <w:jc w:val="both"/>
        <w:rPr>
          <w:rFonts w:eastAsiaTheme="minorEastAsia"/>
          <w:kern w:val="24"/>
          <w:sz w:val="28"/>
          <w:szCs w:val="28"/>
        </w:rPr>
      </w:pPr>
      <w:r w:rsidRPr="00C67CC9">
        <w:rPr>
          <w:rFonts w:eastAsiaTheme="minorEastAsia"/>
          <w:kern w:val="24"/>
          <w:sz w:val="28"/>
          <w:szCs w:val="28"/>
        </w:rPr>
        <w:t xml:space="preserve">(Consensus on infertility treatment related to polycystic ovary syndrome 2008 </w:t>
      </w:r>
      <w:r w:rsidRPr="00C67CC9">
        <w:rPr>
          <w:rFonts w:eastAsiaTheme="minorEastAsia"/>
          <w:kern w:val="24"/>
          <w:sz w:val="28"/>
          <w:szCs w:val="28"/>
          <w:lang w:val="ru-RU"/>
        </w:rPr>
        <w:t>г</w:t>
      </w:r>
      <w:r w:rsidRPr="00C67CC9">
        <w:rPr>
          <w:rFonts w:eastAsiaTheme="minorEastAsia"/>
          <w:kern w:val="24"/>
          <w:sz w:val="28"/>
          <w:szCs w:val="28"/>
        </w:rPr>
        <w:t>.)</w:t>
      </w:r>
    </w:p>
    <w:p w:rsidR="00786161" w:rsidRPr="00C67CC9" w:rsidRDefault="00786161" w:rsidP="00BB6B0E">
      <w:pPr>
        <w:pStyle w:val="NormalWeb"/>
        <w:spacing w:before="200" w:beforeAutospacing="0" w:after="0" w:afterAutospacing="0" w:line="360" w:lineRule="auto"/>
        <w:jc w:val="both"/>
        <w:rPr>
          <w:b/>
          <w:sz w:val="28"/>
          <w:szCs w:val="28"/>
          <w:lang w:val="ru-RU"/>
        </w:rPr>
      </w:pPr>
      <w:r w:rsidRPr="00C67CC9">
        <w:rPr>
          <w:rFonts w:eastAsiaTheme="minorEastAsia"/>
          <w:b/>
          <w:kern w:val="24"/>
          <w:sz w:val="28"/>
          <w:szCs w:val="28"/>
          <w:lang w:val="ru-RU"/>
        </w:rPr>
        <w:t xml:space="preserve">Цели и задачи исследования. </w:t>
      </w:r>
    </w:p>
    <w:p w:rsidR="001568DF" w:rsidRDefault="00D37569"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Целью исследования является оценка эффективности</w:t>
      </w:r>
      <w:r w:rsidR="00C54378" w:rsidRPr="00C67CC9">
        <w:rPr>
          <w:rFonts w:ascii="Times New Roman" w:hAnsi="Times New Roman" w:cs="Times New Roman"/>
          <w:sz w:val="28"/>
          <w:szCs w:val="28"/>
          <w:lang w:val="ru-RU"/>
        </w:rPr>
        <w:t xml:space="preserve"> лечения бесплодия методами ВРТ у женщин с СПКЯ</w:t>
      </w:r>
      <w:r w:rsidRPr="00C67CC9">
        <w:rPr>
          <w:rFonts w:ascii="Times New Roman" w:hAnsi="Times New Roman" w:cs="Times New Roman"/>
          <w:sz w:val="28"/>
          <w:szCs w:val="28"/>
          <w:lang w:val="ru-RU"/>
        </w:rPr>
        <w:t xml:space="preserve">. </w:t>
      </w:r>
    </w:p>
    <w:p w:rsidR="001568DF" w:rsidRDefault="00B75B78"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Задачами исследования являются: </w:t>
      </w:r>
    </w:p>
    <w:p w:rsidR="001568DF" w:rsidRDefault="00B53EE1" w:rsidP="00BB6B0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 О</w:t>
      </w:r>
      <w:r w:rsidR="00B75B78" w:rsidRPr="00C67CC9">
        <w:rPr>
          <w:rFonts w:ascii="Times New Roman" w:hAnsi="Times New Roman" w:cs="Times New Roman"/>
          <w:sz w:val="28"/>
          <w:szCs w:val="28"/>
          <w:lang w:val="ru-RU"/>
        </w:rPr>
        <w:t>пределение</w:t>
      </w:r>
      <w:r w:rsidR="000C6A92" w:rsidRPr="00C67CC9">
        <w:rPr>
          <w:rFonts w:ascii="Times New Roman" w:hAnsi="Times New Roman" w:cs="Times New Roman"/>
          <w:sz w:val="28"/>
          <w:szCs w:val="28"/>
          <w:lang w:val="ru-RU"/>
        </w:rPr>
        <w:t xml:space="preserve"> клиническ</w:t>
      </w:r>
      <w:r w:rsidR="00B75B78" w:rsidRPr="00C67CC9">
        <w:rPr>
          <w:rFonts w:ascii="Times New Roman" w:hAnsi="Times New Roman" w:cs="Times New Roman"/>
          <w:sz w:val="28"/>
          <w:szCs w:val="28"/>
          <w:lang w:val="ru-RU"/>
        </w:rPr>
        <w:t xml:space="preserve">ой </w:t>
      </w:r>
      <w:r w:rsidR="000C6A92" w:rsidRPr="00C67CC9">
        <w:rPr>
          <w:rFonts w:ascii="Times New Roman" w:hAnsi="Times New Roman" w:cs="Times New Roman"/>
          <w:sz w:val="28"/>
          <w:szCs w:val="28"/>
          <w:lang w:val="ru-RU"/>
        </w:rPr>
        <w:t>характеристик</w:t>
      </w:r>
      <w:r w:rsidR="00B75B78" w:rsidRPr="00C67CC9">
        <w:rPr>
          <w:rFonts w:ascii="Times New Roman" w:hAnsi="Times New Roman" w:cs="Times New Roman"/>
          <w:sz w:val="28"/>
          <w:szCs w:val="28"/>
          <w:lang w:val="ru-RU"/>
        </w:rPr>
        <w:t>и</w:t>
      </w:r>
      <w:r w:rsidR="000C6A92" w:rsidRPr="00C67CC9">
        <w:rPr>
          <w:rFonts w:ascii="Times New Roman" w:hAnsi="Times New Roman" w:cs="Times New Roman"/>
          <w:sz w:val="28"/>
          <w:szCs w:val="28"/>
          <w:lang w:val="ru-RU"/>
        </w:rPr>
        <w:t xml:space="preserve"> обследуемы</w:t>
      </w:r>
      <w:r w:rsidR="00B75B78" w:rsidRPr="00C67CC9">
        <w:rPr>
          <w:rFonts w:ascii="Times New Roman" w:hAnsi="Times New Roman" w:cs="Times New Roman"/>
          <w:sz w:val="28"/>
          <w:szCs w:val="28"/>
          <w:lang w:val="ru-RU"/>
        </w:rPr>
        <w:t xml:space="preserve">х </w:t>
      </w:r>
      <w:r w:rsidR="00C67CC9" w:rsidRPr="00C67CC9">
        <w:rPr>
          <w:rFonts w:ascii="Times New Roman" w:hAnsi="Times New Roman" w:cs="Times New Roman"/>
          <w:sz w:val="28"/>
          <w:szCs w:val="28"/>
          <w:lang w:val="ru-RU"/>
        </w:rPr>
        <w:t>пациенток</w:t>
      </w:r>
      <w:r w:rsidR="00B75B78" w:rsidRPr="00C67CC9">
        <w:rPr>
          <w:rFonts w:ascii="Times New Roman" w:hAnsi="Times New Roman" w:cs="Times New Roman"/>
          <w:sz w:val="28"/>
          <w:szCs w:val="28"/>
          <w:lang w:val="ru-RU"/>
        </w:rPr>
        <w:t xml:space="preserve">, </w:t>
      </w:r>
    </w:p>
    <w:p w:rsidR="00B53EE1" w:rsidRDefault="00B53EE1" w:rsidP="00BB6B0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 О</w:t>
      </w:r>
      <w:r w:rsidR="000C6A92" w:rsidRPr="00C67CC9">
        <w:rPr>
          <w:rFonts w:ascii="Times New Roman" w:hAnsi="Times New Roman" w:cs="Times New Roman"/>
          <w:sz w:val="28"/>
          <w:szCs w:val="28"/>
          <w:lang w:val="ru-RU"/>
        </w:rPr>
        <w:t>цен</w:t>
      </w:r>
      <w:r w:rsidR="00B75B78" w:rsidRPr="00C67CC9">
        <w:rPr>
          <w:rFonts w:ascii="Times New Roman" w:hAnsi="Times New Roman" w:cs="Times New Roman"/>
          <w:sz w:val="28"/>
          <w:szCs w:val="28"/>
          <w:lang w:val="ru-RU"/>
        </w:rPr>
        <w:t xml:space="preserve">ка </w:t>
      </w:r>
      <w:r w:rsidR="000C6A92" w:rsidRPr="00C67CC9">
        <w:rPr>
          <w:rFonts w:ascii="Times New Roman" w:hAnsi="Times New Roman" w:cs="Times New Roman"/>
          <w:sz w:val="28"/>
          <w:szCs w:val="28"/>
          <w:lang w:val="ru-RU"/>
        </w:rPr>
        <w:t>результативност</w:t>
      </w:r>
      <w:r w:rsidR="00B75B78" w:rsidRPr="00C67CC9">
        <w:rPr>
          <w:rFonts w:ascii="Times New Roman" w:hAnsi="Times New Roman" w:cs="Times New Roman"/>
          <w:sz w:val="28"/>
          <w:szCs w:val="28"/>
          <w:lang w:val="ru-RU"/>
        </w:rPr>
        <w:t>и</w:t>
      </w:r>
      <w:r w:rsidR="000C6A92" w:rsidRPr="00C67CC9">
        <w:rPr>
          <w:rFonts w:ascii="Times New Roman" w:hAnsi="Times New Roman" w:cs="Times New Roman"/>
          <w:sz w:val="28"/>
          <w:szCs w:val="28"/>
          <w:lang w:val="ru-RU"/>
        </w:rPr>
        <w:t xml:space="preserve"> протоколов ЭКО у женщин с СПКЯ в группах пациентов с каутери</w:t>
      </w:r>
      <w:r>
        <w:rPr>
          <w:rFonts w:ascii="Times New Roman" w:hAnsi="Times New Roman" w:cs="Times New Roman"/>
          <w:sz w:val="28"/>
          <w:szCs w:val="28"/>
          <w:lang w:val="ru-RU"/>
        </w:rPr>
        <w:t>зацией яичников в анамнезе и не подвергавшихся оперативному лечению.</w:t>
      </w:r>
    </w:p>
    <w:p w:rsidR="001568DF" w:rsidRDefault="00B53EE1" w:rsidP="00BB6B0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 О</w:t>
      </w:r>
      <w:r w:rsidR="00B75B78" w:rsidRPr="00C67CC9">
        <w:rPr>
          <w:rFonts w:ascii="Times New Roman" w:hAnsi="Times New Roman" w:cs="Times New Roman"/>
          <w:sz w:val="28"/>
          <w:szCs w:val="28"/>
          <w:lang w:val="ru-RU"/>
        </w:rPr>
        <w:t>ценка суммарных</w:t>
      </w:r>
      <w:r w:rsidR="007606ED">
        <w:rPr>
          <w:rFonts w:ascii="Times New Roman" w:hAnsi="Times New Roman" w:cs="Times New Roman"/>
          <w:sz w:val="28"/>
          <w:szCs w:val="28"/>
          <w:lang w:val="ru-RU"/>
        </w:rPr>
        <w:t xml:space="preserve"> доз</w:t>
      </w:r>
      <w:r w:rsidR="000C6A92" w:rsidRPr="00C67CC9">
        <w:rPr>
          <w:rFonts w:ascii="Times New Roman" w:hAnsi="Times New Roman" w:cs="Times New Roman"/>
          <w:sz w:val="28"/>
          <w:szCs w:val="28"/>
          <w:lang w:val="ru-RU"/>
        </w:rPr>
        <w:t xml:space="preserve"> </w:t>
      </w:r>
      <w:r w:rsidR="007606ED">
        <w:rPr>
          <w:rFonts w:ascii="Times New Roman" w:hAnsi="Times New Roman" w:cs="Times New Roman"/>
          <w:sz w:val="28"/>
          <w:szCs w:val="28"/>
          <w:lang w:val="ru-RU"/>
        </w:rPr>
        <w:t>препаратов</w:t>
      </w:r>
      <w:r w:rsidR="006F610D" w:rsidRPr="00C67CC9">
        <w:rPr>
          <w:rFonts w:ascii="Times New Roman" w:hAnsi="Times New Roman" w:cs="Times New Roman"/>
          <w:sz w:val="28"/>
          <w:szCs w:val="28"/>
          <w:lang w:val="ru-RU"/>
        </w:rPr>
        <w:t xml:space="preserve"> гонадотроп</w:t>
      </w:r>
      <w:r w:rsidR="007606ED">
        <w:rPr>
          <w:rFonts w:ascii="Times New Roman" w:hAnsi="Times New Roman" w:cs="Times New Roman"/>
          <w:sz w:val="28"/>
          <w:szCs w:val="28"/>
          <w:lang w:val="ru-RU"/>
        </w:rPr>
        <w:t>ных гормонов</w:t>
      </w:r>
      <w:r w:rsidR="006F610D" w:rsidRPr="00C67CC9">
        <w:rPr>
          <w:rFonts w:ascii="Times New Roman" w:hAnsi="Times New Roman" w:cs="Times New Roman"/>
          <w:sz w:val="28"/>
          <w:szCs w:val="28"/>
          <w:lang w:val="ru-RU"/>
        </w:rPr>
        <w:t xml:space="preserve"> в </w:t>
      </w:r>
      <w:r w:rsidR="001568DF">
        <w:rPr>
          <w:rFonts w:ascii="Times New Roman" w:hAnsi="Times New Roman" w:cs="Times New Roman"/>
          <w:sz w:val="28"/>
          <w:szCs w:val="28"/>
          <w:lang w:val="ru-RU"/>
        </w:rPr>
        <w:t>группах сравнения</w:t>
      </w:r>
      <w:r w:rsidR="006F610D" w:rsidRPr="00C67CC9">
        <w:rPr>
          <w:rFonts w:ascii="Times New Roman" w:hAnsi="Times New Roman" w:cs="Times New Roman"/>
          <w:sz w:val="28"/>
          <w:szCs w:val="28"/>
          <w:lang w:val="ru-RU"/>
        </w:rPr>
        <w:t xml:space="preserve">, </w:t>
      </w:r>
    </w:p>
    <w:p w:rsidR="001568DF" w:rsidRDefault="00B53EE1" w:rsidP="00BB6B0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 И</w:t>
      </w:r>
      <w:r w:rsidR="000C6A92" w:rsidRPr="00C67CC9">
        <w:rPr>
          <w:rFonts w:ascii="Times New Roman" w:hAnsi="Times New Roman" w:cs="Times New Roman"/>
          <w:sz w:val="28"/>
          <w:szCs w:val="28"/>
          <w:lang w:val="ru-RU"/>
        </w:rPr>
        <w:t>зуч</w:t>
      </w:r>
      <w:r w:rsidR="006F610D" w:rsidRPr="00C67CC9">
        <w:rPr>
          <w:rFonts w:ascii="Times New Roman" w:hAnsi="Times New Roman" w:cs="Times New Roman"/>
          <w:sz w:val="28"/>
          <w:szCs w:val="28"/>
          <w:lang w:val="ru-RU"/>
        </w:rPr>
        <w:t>ение эффективности</w:t>
      </w:r>
      <w:r w:rsidR="000C6A92" w:rsidRPr="00C67CC9">
        <w:rPr>
          <w:rFonts w:ascii="Times New Roman" w:hAnsi="Times New Roman" w:cs="Times New Roman"/>
          <w:sz w:val="28"/>
          <w:szCs w:val="28"/>
          <w:lang w:val="ru-RU"/>
        </w:rPr>
        <w:t xml:space="preserve"> эмбриологического этапа ЭКО: оцен</w:t>
      </w:r>
      <w:r w:rsidR="006F610D" w:rsidRPr="00C67CC9">
        <w:rPr>
          <w:rFonts w:ascii="Times New Roman" w:hAnsi="Times New Roman" w:cs="Times New Roman"/>
          <w:sz w:val="28"/>
          <w:szCs w:val="28"/>
          <w:lang w:val="ru-RU"/>
        </w:rPr>
        <w:t>ка количества</w:t>
      </w:r>
      <w:r w:rsidR="000C6A92" w:rsidRPr="00C67CC9">
        <w:rPr>
          <w:rFonts w:ascii="Times New Roman" w:hAnsi="Times New Roman" w:cs="Times New Roman"/>
          <w:sz w:val="28"/>
          <w:szCs w:val="28"/>
          <w:lang w:val="ru-RU"/>
        </w:rPr>
        <w:t xml:space="preserve"> по</w:t>
      </w:r>
      <w:r w:rsidR="006F610D" w:rsidRPr="00C67CC9">
        <w:rPr>
          <w:rFonts w:ascii="Times New Roman" w:hAnsi="Times New Roman" w:cs="Times New Roman"/>
          <w:sz w:val="28"/>
          <w:szCs w:val="28"/>
          <w:lang w:val="ru-RU"/>
        </w:rPr>
        <w:t>лученных</w:t>
      </w:r>
      <w:r w:rsidR="007606ED">
        <w:rPr>
          <w:rFonts w:ascii="Times New Roman" w:hAnsi="Times New Roman" w:cs="Times New Roman"/>
          <w:sz w:val="28"/>
          <w:szCs w:val="28"/>
          <w:lang w:val="ru-RU"/>
        </w:rPr>
        <w:t xml:space="preserve"> ооцитов, эмбрионов и их качества в</w:t>
      </w:r>
      <w:r w:rsidR="006F610D" w:rsidRPr="00C67CC9">
        <w:rPr>
          <w:rFonts w:ascii="Times New Roman" w:hAnsi="Times New Roman" w:cs="Times New Roman"/>
          <w:sz w:val="28"/>
          <w:szCs w:val="28"/>
          <w:lang w:val="ru-RU"/>
        </w:rPr>
        <w:t xml:space="preserve"> группах</w:t>
      </w:r>
      <w:r w:rsidR="007606ED">
        <w:rPr>
          <w:rFonts w:ascii="Times New Roman" w:hAnsi="Times New Roman" w:cs="Times New Roman"/>
          <w:sz w:val="28"/>
          <w:szCs w:val="28"/>
          <w:lang w:val="ru-RU"/>
        </w:rPr>
        <w:t xml:space="preserve"> сравнения.</w:t>
      </w:r>
      <w:r w:rsidR="006F610D" w:rsidRPr="00C67CC9">
        <w:rPr>
          <w:rFonts w:ascii="Times New Roman" w:hAnsi="Times New Roman" w:cs="Times New Roman"/>
          <w:sz w:val="28"/>
          <w:szCs w:val="28"/>
          <w:lang w:val="ru-RU"/>
        </w:rPr>
        <w:t xml:space="preserve"> </w:t>
      </w:r>
    </w:p>
    <w:p w:rsidR="00694917" w:rsidRPr="00C67CC9" w:rsidRDefault="00B53EE1" w:rsidP="00BB6B0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 О</w:t>
      </w:r>
      <w:r w:rsidR="006F610D" w:rsidRPr="00C67CC9">
        <w:rPr>
          <w:rFonts w:ascii="Times New Roman" w:hAnsi="Times New Roman" w:cs="Times New Roman"/>
          <w:sz w:val="28"/>
          <w:szCs w:val="28"/>
          <w:lang w:val="ru-RU"/>
        </w:rPr>
        <w:t>ценка частоты</w:t>
      </w:r>
      <w:r w:rsidR="000C6A92" w:rsidRPr="00C67CC9">
        <w:rPr>
          <w:rFonts w:ascii="Times New Roman" w:hAnsi="Times New Roman" w:cs="Times New Roman"/>
          <w:sz w:val="28"/>
          <w:szCs w:val="28"/>
          <w:lang w:val="ru-RU"/>
        </w:rPr>
        <w:t xml:space="preserve"> возникающих осложнений </w:t>
      </w:r>
      <w:r>
        <w:rPr>
          <w:rFonts w:ascii="Times New Roman" w:hAnsi="Times New Roman" w:cs="Times New Roman"/>
          <w:sz w:val="28"/>
          <w:szCs w:val="28"/>
          <w:lang w:val="ru-RU"/>
        </w:rPr>
        <w:t xml:space="preserve">(синдрома гиперстимуляции яичников) </w:t>
      </w:r>
      <w:r w:rsidR="000C6A92" w:rsidRPr="00C67CC9">
        <w:rPr>
          <w:rFonts w:ascii="Times New Roman" w:hAnsi="Times New Roman" w:cs="Times New Roman"/>
          <w:sz w:val="28"/>
          <w:szCs w:val="28"/>
          <w:lang w:val="ru-RU"/>
        </w:rPr>
        <w:t xml:space="preserve">в обеих группах. </w:t>
      </w:r>
    </w:p>
    <w:p w:rsidR="00D37569" w:rsidRPr="00C67CC9" w:rsidRDefault="00C54378" w:rsidP="00BB6B0E">
      <w:pPr>
        <w:spacing w:line="360" w:lineRule="auto"/>
        <w:jc w:val="both"/>
        <w:rPr>
          <w:rFonts w:ascii="Times New Roman" w:hAnsi="Times New Roman" w:cs="Times New Roman"/>
          <w:b/>
          <w:sz w:val="28"/>
          <w:szCs w:val="28"/>
          <w:lang w:val="ru-RU"/>
        </w:rPr>
      </w:pPr>
      <w:r w:rsidRPr="00C67CC9">
        <w:rPr>
          <w:rFonts w:ascii="Times New Roman" w:hAnsi="Times New Roman" w:cs="Times New Roman"/>
          <w:sz w:val="28"/>
          <w:szCs w:val="28"/>
          <w:lang w:val="ru-RU"/>
        </w:rPr>
        <w:t>Результаты п</w:t>
      </w:r>
      <w:r w:rsidR="001B456A" w:rsidRPr="00C67CC9">
        <w:rPr>
          <w:rFonts w:ascii="Times New Roman" w:hAnsi="Times New Roman" w:cs="Times New Roman"/>
          <w:sz w:val="28"/>
          <w:szCs w:val="28"/>
          <w:lang w:val="ru-RU"/>
        </w:rPr>
        <w:t>редставленн</w:t>
      </w:r>
      <w:r w:rsidRPr="00C67CC9">
        <w:rPr>
          <w:rFonts w:ascii="Times New Roman" w:hAnsi="Times New Roman" w:cs="Times New Roman"/>
          <w:sz w:val="28"/>
          <w:szCs w:val="28"/>
          <w:lang w:val="ru-RU"/>
        </w:rPr>
        <w:t>ой работы позволя</w:t>
      </w:r>
      <w:r w:rsidR="001B456A" w:rsidRPr="00C67CC9">
        <w:rPr>
          <w:rFonts w:ascii="Times New Roman" w:hAnsi="Times New Roman" w:cs="Times New Roman"/>
          <w:sz w:val="28"/>
          <w:szCs w:val="28"/>
          <w:lang w:val="ru-RU"/>
        </w:rPr>
        <w:t xml:space="preserve">т </w:t>
      </w:r>
      <w:r w:rsidRPr="00C67CC9">
        <w:rPr>
          <w:rFonts w:ascii="Times New Roman" w:hAnsi="Times New Roman" w:cs="Times New Roman"/>
          <w:sz w:val="28"/>
          <w:szCs w:val="28"/>
          <w:lang w:val="ru-RU"/>
        </w:rPr>
        <w:t xml:space="preserve">выбрать оптимальную тактику ведения больных с СПКЯ и </w:t>
      </w:r>
      <w:r w:rsidR="001B456A" w:rsidRPr="00C67CC9">
        <w:rPr>
          <w:rFonts w:ascii="Times New Roman" w:hAnsi="Times New Roman" w:cs="Times New Roman"/>
          <w:sz w:val="28"/>
          <w:szCs w:val="28"/>
          <w:lang w:val="ru-RU"/>
        </w:rPr>
        <w:t>улучшить результаты восстановления нарушенной репродуктивной функции и профилактики отдаленных осложнений</w:t>
      </w:r>
      <w:r w:rsidRPr="00C67CC9">
        <w:rPr>
          <w:rFonts w:ascii="Times New Roman" w:hAnsi="Times New Roman" w:cs="Times New Roman"/>
          <w:sz w:val="28"/>
          <w:szCs w:val="28"/>
          <w:lang w:val="ru-RU"/>
        </w:rPr>
        <w:t xml:space="preserve">. </w:t>
      </w: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D37569" w:rsidRPr="00C67CC9" w:rsidRDefault="00213415" w:rsidP="00BB6B0E">
      <w:pPr>
        <w:spacing w:line="360" w:lineRule="auto"/>
        <w:jc w:val="both"/>
        <w:rPr>
          <w:rFonts w:ascii="Times New Roman" w:hAnsi="Times New Roman" w:cs="Times New Roman"/>
          <w:b/>
          <w:sz w:val="28"/>
          <w:szCs w:val="28"/>
          <w:lang w:val="ru-RU"/>
        </w:rPr>
      </w:pPr>
      <w:r w:rsidRPr="00C67CC9">
        <w:rPr>
          <w:rFonts w:ascii="Times New Roman" w:hAnsi="Times New Roman" w:cs="Times New Roman"/>
          <w:b/>
          <w:sz w:val="28"/>
          <w:szCs w:val="28"/>
          <w:lang w:val="ru-RU"/>
        </w:rPr>
        <w:t xml:space="preserve">Глава 1. </w:t>
      </w:r>
    </w:p>
    <w:p w:rsidR="00786161" w:rsidRPr="00C67CC9" w:rsidRDefault="00786161" w:rsidP="00BB6B0E">
      <w:pPr>
        <w:spacing w:line="360" w:lineRule="auto"/>
        <w:jc w:val="both"/>
        <w:rPr>
          <w:rFonts w:ascii="Times New Roman" w:hAnsi="Times New Roman" w:cs="Times New Roman"/>
          <w:b/>
          <w:sz w:val="28"/>
          <w:szCs w:val="28"/>
          <w:lang w:val="ru-RU"/>
        </w:rPr>
      </w:pPr>
      <w:r w:rsidRPr="00C67CC9">
        <w:rPr>
          <w:rFonts w:ascii="Times New Roman" w:hAnsi="Times New Roman" w:cs="Times New Roman"/>
          <w:b/>
          <w:sz w:val="28"/>
          <w:szCs w:val="28"/>
          <w:lang w:val="ru-RU" w:eastAsia="ru-RU"/>
        </w:rPr>
        <w:t>1.1.Современные взгляды на диагностику СПКЯ.</w:t>
      </w:r>
    </w:p>
    <w:p w:rsidR="00213415" w:rsidRPr="00C67CC9" w:rsidRDefault="001F2F2B"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СПКЯ - полигенное эндокринное расстройство. Ведущими приз</w:t>
      </w:r>
      <w:r w:rsidR="00213415" w:rsidRPr="00C67CC9">
        <w:rPr>
          <w:rFonts w:ascii="Times New Roman" w:hAnsi="Times New Roman" w:cs="Times New Roman"/>
          <w:sz w:val="28"/>
          <w:szCs w:val="28"/>
          <w:lang w:val="ru-RU"/>
        </w:rPr>
        <w:t>наками СПКЯ являются: гиперандро</w:t>
      </w:r>
      <w:r w:rsidRPr="00C67CC9">
        <w:rPr>
          <w:rFonts w:ascii="Times New Roman" w:hAnsi="Times New Roman" w:cs="Times New Roman"/>
          <w:sz w:val="28"/>
          <w:szCs w:val="28"/>
          <w:lang w:val="ru-RU"/>
        </w:rPr>
        <w:t xml:space="preserve">гения, менструальная </w:t>
      </w:r>
      <w:r w:rsidR="00213415" w:rsidRPr="00C67CC9">
        <w:rPr>
          <w:rFonts w:ascii="Times New Roman" w:hAnsi="Times New Roman" w:cs="Times New Roman"/>
          <w:sz w:val="28"/>
          <w:szCs w:val="28"/>
          <w:lang w:val="ru-RU"/>
        </w:rPr>
        <w:t xml:space="preserve">дисфункция, </w:t>
      </w:r>
      <w:r w:rsidRPr="00C67CC9">
        <w:rPr>
          <w:rFonts w:ascii="Times New Roman" w:hAnsi="Times New Roman" w:cs="Times New Roman"/>
          <w:sz w:val="28"/>
          <w:szCs w:val="28"/>
          <w:lang w:val="ru-RU"/>
        </w:rPr>
        <w:t xml:space="preserve">овуляторная дисфункция и поликистозная морфология яичников. </w:t>
      </w:r>
    </w:p>
    <w:p w:rsidR="007F7DEB" w:rsidRPr="00C67CC9" w:rsidRDefault="001F2F2B" w:rsidP="00BB6B0E">
      <w:pPr>
        <w:spacing w:line="360" w:lineRule="auto"/>
        <w:rPr>
          <w:rFonts w:ascii="Times New Roman" w:hAnsi="Times New Roman" w:cs="Times New Roman"/>
          <w:sz w:val="28"/>
          <w:szCs w:val="28"/>
          <w:lang w:val="ru-RU"/>
        </w:rPr>
      </w:pPr>
      <w:r w:rsidRPr="00C67CC9">
        <w:rPr>
          <w:rFonts w:ascii="Times New Roman" w:hAnsi="Times New Roman" w:cs="Times New Roman"/>
          <w:sz w:val="28"/>
          <w:szCs w:val="28"/>
          <w:lang w:val="ru-RU"/>
        </w:rPr>
        <w:t>Диагностика СПКЯ основана на регистрации клинических и</w:t>
      </w:r>
      <w:r w:rsidR="00C67CC9">
        <w:rPr>
          <w:rFonts w:ascii="Times New Roman" w:hAnsi="Times New Roman" w:cs="Times New Roman"/>
          <w:sz w:val="28"/>
          <w:szCs w:val="28"/>
          <w:lang w:val="ru-RU"/>
        </w:rPr>
        <w:t xml:space="preserve"> лабораторных проявлений гиперан</w:t>
      </w:r>
      <w:r w:rsidRPr="00C67CC9">
        <w:rPr>
          <w:rFonts w:ascii="Times New Roman" w:hAnsi="Times New Roman" w:cs="Times New Roman"/>
          <w:sz w:val="28"/>
          <w:szCs w:val="28"/>
          <w:lang w:val="ru-RU"/>
        </w:rPr>
        <w:t xml:space="preserve">дрогении, оценке менструальной, овуляторной функции, а также морфологии яичников с помощью </w:t>
      </w:r>
      <w:r w:rsidR="00213415" w:rsidRPr="00C67CC9">
        <w:rPr>
          <w:rFonts w:ascii="Times New Roman" w:hAnsi="Times New Roman" w:cs="Times New Roman"/>
          <w:sz w:val="28"/>
          <w:szCs w:val="28"/>
          <w:lang w:val="ru-RU"/>
        </w:rPr>
        <w:t xml:space="preserve">УЗИ. </w:t>
      </w:r>
      <w:r w:rsidRPr="00C67CC9">
        <w:rPr>
          <w:rFonts w:ascii="Times New Roman" w:hAnsi="Times New Roman" w:cs="Times New Roman"/>
          <w:sz w:val="28"/>
          <w:szCs w:val="28"/>
          <w:lang w:val="ru-RU"/>
        </w:rPr>
        <w:t>В настоящее время для диагностики СПКЯ используются критерии Национального института здоровья США (</w:t>
      </w:r>
      <w:r w:rsidRPr="00C67CC9">
        <w:rPr>
          <w:rFonts w:ascii="Times New Roman" w:hAnsi="Times New Roman" w:cs="Times New Roman"/>
          <w:sz w:val="28"/>
          <w:szCs w:val="28"/>
        </w:rPr>
        <w:t>NIH</w:t>
      </w:r>
      <w:r w:rsidR="001568DF">
        <w:rPr>
          <w:rFonts w:ascii="Times New Roman" w:hAnsi="Times New Roman" w:cs="Times New Roman"/>
          <w:sz w:val="28"/>
          <w:szCs w:val="28"/>
          <w:lang w:val="ru-RU"/>
        </w:rPr>
        <w:t>) (1990) [16</w:t>
      </w:r>
      <w:r w:rsidR="001568DF" w:rsidRPr="001568DF">
        <w:rPr>
          <w:rFonts w:ascii="Times New Roman" w:hAnsi="Times New Roman" w:cs="Times New Roman"/>
          <w:sz w:val="28"/>
          <w:szCs w:val="28"/>
          <w:lang w:val="ru-RU"/>
        </w:rPr>
        <w:t>]</w:t>
      </w:r>
      <w:r w:rsidRPr="00C67CC9">
        <w:rPr>
          <w:rFonts w:ascii="Times New Roman" w:hAnsi="Times New Roman" w:cs="Times New Roman"/>
          <w:sz w:val="28"/>
          <w:szCs w:val="28"/>
          <w:lang w:val="ru-RU"/>
        </w:rPr>
        <w:t>, пересмотренные в 2012 году</w:t>
      </w:r>
      <w:r w:rsidR="001568DF">
        <w:rPr>
          <w:rFonts w:ascii="Times New Roman" w:hAnsi="Times New Roman" w:cs="Times New Roman"/>
          <w:sz w:val="28"/>
          <w:szCs w:val="28"/>
          <w:lang w:val="ru-RU"/>
        </w:rPr>
        <w:t xml:space="preserve"> [1</w:t>
      </w:r>
      <w:r w:rsidRPr="00C67CC9">
        <w:rPr>
          <w:rFonts w:ascii="Times New Roman" w:hAnsi="Times New Roman" w:cs="Times New Roman"/>
          <w:sz w:val="28"/>
          <w:szCs w:val="28"/>
          <w:lang w:val="ru-RU"/>
        </w:rPr>
        <w:t>9</w:t>
      </w:r>
      <w:r w:rsidR="001568DF" w:rsidRPr="001568DF">
        <w:rPr>
          <w:rFonts w:ascii="Times New Roman" w:hAnsi="Times New Roman" w:cs="Times New Roman"/>
          <w:sz w:val="28"/>
          <w:szCs w:val="28"/>
          <w:lang w:val="ru-RU"/>
        </w:rPr>
        <w:t>]</w:t>
      </w:r>
      <w:r w:rsidRPr="00C67CC9">
        <w:rPr>
          <w:rFonts w:ascii="Times New Roman" w:hAnsi="Times New Roman" w:cs="Times New Roman"/>
          <w:sz w:val="28"/>
          <w:szCs w:val="28"/>
          <w:lang w:val="ru-RU"/>
        </w:rPr>
        <w:t>; согласованные критерии Европейского общества репродукции и эмбриологии человека и Американского общества репродуктивной медицины (</w:t>
      </w:r>
      <w:r w:rsidRPr="00C67CC9">
        <w:rPr>
          <w:rFonts w:ascii="Times New Roman" w:hAnsi="Times New Roman" w:cs="Times New Roman"/>
          <w:sz w:val="28"/>
          <w:szCs w:val="28"/>
        </w:rPr>
        <w:t>ASRM</w:t>
      </w:r>
      <w:r w:rsidRPr="00C67CC9">
        <w:rPr>
          <w:rFonts w:ascii="Times New Roman" w:hAnsi="Times New Roman" w:cs="Times New Roman"/>
          <w:sz w:val="28"/>
          <w:szCs w:val="28"/>
          <w:lang w:val="ru-RU"/>
        </w:rPr>
        <w:t>/</w:t>
      </w:r>
      <w:r w:rsidRPr="00C67CC9">
        <w:rPr>
          <w:rFonts w:ascii="Times New Roman" w:hAnsi="Times New Roman" w:cs="Times New Roman"/>
          <w:sz w:val="28"/>
          <w:szCs w:val="28"/>
        </w:rPr>
        <w:t>ESHRE</w:t>
      </w:r>
      <w:r w:rsidRPr="00C67CC9">
        <w:rPr>
          <w:rFonts w:ascii="Times New Roman" w:hAnsi="Times New Roman" w:cs="Times New Roman"/>
          <w:sz w:val="28"/>
          <w:szCs w:val="28"/>
          <w:lang w:val="ru-RU"/>
        </w:rPr>
        <w:t>)</w:t>
      </w:r>
      <w:r w:rsidR="001568DF">
        <w:rPr>
          <w:rFonts w:ascii="Times New Roman" w:hAnsi="Times New Roman" w:cs="Times New Roman"/>
          <w:sz w:val="28"/>
          <w:szCs w:val="28"/>
          <w:lang w:val="ru-RU"/>
        </w:rPr>
        <w:t>, принятые в Роттердаме (2003) [</w:t>
      </w:r>
      <w:r w:rsidRPr="00C67CC9">
        <w:rPr>
          <w:rFonts w:ascii="Times New Roman" w:hAnsi="Times New Roman" w:cs="Times New Roman"/>
          <w:sz w:val="28"/>
          <w:szCs w:val="28"/>
          <w:lang w:val="ru-RU"/>
        </w:rPr>
        <w:t>17</w:t>
      </w:r>
      <w:r w:rsidR="001568DF" w:rsidRPr="001568DF">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и критерии Общества по гиперандрогениям и СПКЯ (</w:t>
      </w:r>
      <w:r w:rsidRPr="00C67CC9">
        <w:rPr>
          <w:rFonts w:ascii="Times New Roman" w:hAnsi="Times New Roman" w:cs="Times New Roman"/>
          <w:sz w:val="28"/>
          <w:szCs w:val="28"/>
        </w:rPr>
        <w:t>AE</w:t>
      </w:r>
      <w:r w:rsidRPr="00C67CC9">
        <w:rPr>
          <w:rFonts w:ascii="Times New Roman" w:hAnsi="Times New Roman" w:cs="Times New Roman"/>
          <w:sz w:val="28"/>
          <w:szCs w:val="28"/>
          <w:lang w:val="ru-RU"/>
        </w:rPr>
        <w:t>-</w:t>
      </w:r>
      <w:r w:rsidRPr="00C67CC9">
        <w:rPr>
          <w:rFonts w:ascii="Times New Roman" w:hAnsi="Times New Roman" w:cs="Times New Roman"/>
          <w:sz w:val="28"/>
          <w:szCs w:val="28"/>
        </w:rPr>
        <w:t>PCOS</w:t>
      </w:r>
      <w:r w:rsidRPr="00C67CC9">
        <w:rPr>
          <w:rFonts w:ascii="Times New Roman" w:hAnsi="Times New Roman" w:cs="Times New Roman"/>
          <w:sz w:val="28"/>
          <w:szCs w:val="28"/>
          <w:lang w:val="ru-RU"/>
        </w:rPr>
        <w:t xml:space="preserve"> </w:t>
      </w:r>
      <w:r w:rsidRPr="00C67CC9">
        <w:rPr>
          <w:rFonts w:ascii="Times New Roman" w:hAnsi="Times New Roman" w:cs="Times New Roman"/>
          <w:sz w:val="28"/>
          <w:szCs w:val="28"/>
        </w:rPr>
        <w:t>Society</w:t>
      </w:r>
      <w:r w:rsidRPr="00C67CC9">
        <w:rPr>
          <w:rFonts w:ascii="Times New Roman" w:hAnsi="Times New Roman" w:cs="Times New Roman"/>
          <w:sz w:val="28"/>
          <w:szCs w:val="28"/>
          <w:lang w:val="ru-RU"/>
        </w:rPr>
        <w:t xml:space="preserve">) (2006) </w:t>
      </w:r>
      <w:r w:rsidR="001568DF">
        <w:rPr>
          <w:rFonts w:ascii="Times New Roman" w:hAnsi="Times New Roman" w:cs="Times New Roman"/>
          <w:sz w:val="28"/>
          <w:szCs w:val="28"/>
          <w:lang w:val="ru-RU"/>
        </w:rPr>
        <w:t>[</w:t>
      </w:r>
      <w:r w:rsidRPr="00C67CC9">
        <w:rPr>
          <w:rFonts w:ascii="Times New Roman" w:hAnsi="Times New Roman" w:cs="Times New Roman"/>
          <w:sz w:val="28"/>
          <w:szCs w:val="28"/>
          <w:lang w:val="ru-RU"/>
        </w:rPr>
        <w:t>18</w:t>
      </w:r>
      <w:r w:rsidR="001568DF" w:rsidRPr="001568DF">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В соответствии с критериями </w:t>
      </w:r>
      <w:r w:rsidRPr="00C67CC9">
        <w:rPr>
          <w:rFonts w:ascii="Times New Roman" w:hAnsi="Times New Roman" w:cs="Times New Roman"/>
          <w:sz w:val="28"/>
          <w:szCs w:val="28"/>
        </w:rPr>
        <w:t>NIH</w:t>
      </w:r>
      <w:r w:rsidRPr="00C67CC9">
        <w:rPr>
          <w:rFonts w:ascii="Times New Roman" w:hAnsi="Times New Roman" w:cs="Times New Roman"/>
          <w:sz w:val="28"/>
          <w:szCs w:val="28"/>
          <w:lang w:val="ru-RU"/>
        </w:rPr>
        <w:t xml:space="preserve"> (1990) для диагностики СПКЯ необходимо обязательное наличие олигоановуляции, гиперандрогенемии и/или гирсутизма. Данный подход позволяет диагностировать так </w:t>
      </w:r>
      <w:r w:rsidR="001568DF">
        <w:rPr>
          <w:rFonts w:ascii="Times New Roman" w:hAnsi="Times New Roman" w:cs="Times New Roman"/>
          <w:sz w:val="28"/>
          <w:szCs w:val="28"/>
          <w:lang w:val="ru-RU"/>
        </w:rPr>
        <w:t>называемый «классический СПКЯ» [</w:t>
      </w:r>
      <w:r w:rsidRPr="00C67CC9">
        <w:rPr>
          <w:rFonts w:ascii="Times New Roman" w:hAnsi="Times New Roman" w:cs="Times New Roman"/>
          <w:sz w:val="28"/>
          <w:szCs w:val="28"/>
          <w:lang w:val="ru-RU"/>
        </w:rPr>
        <w:t>16</w:t>
      </w:r>
      <w:r w:rsidR="001568DF" w:rsidRPr="001568DF">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Согласованные критерии </w:t>
      </w:r>
      <w:r w:rsidRPr="00C67CC9">
        <w:rPr>
          <w:rFonts w:ascii="Times New Roman" w:hAnsi="Times New Roman" w:cs="Times New Roman"/>
          <w:sz w:val="28"/>
          <w:szCs w:val="28"/>
        </w:rPr>
        <w:t>ASRM</w:t>
      </w:r>
      <w:r w:rsidRPr="00C67CC9">
        <w:rPr>
          <w:rFonts w:ascii="Times New Roman" w:hAnsi="Times New Roman" w:cs="Times New Roman"/>
          <w:sz w:val="28"/>
          <w:szCs w:val="28"/>
          <w:lang w:val="ru-RU"/>
        </w:rPr>
        <w:t>/</w:t>
      </w:r>
      <w:r w:rsidRPr="00C67CC9">
        <w:rPr>
          <w:rFonts w:ascii="Times New Roman" w:hAnsi="Times New Roman" w:cs="Times New Roman"/>
          <w:sz w:val="28"/>
          <w:szCs w:val="28"/>
        </w:rPr>
        <w:t>ESHRE</w:t>
      </w:r>
      <w:r w:rsidRPr="00C67CC9">
        <w:rPr>
          <w:rFonts w:ascii="Times New Roman" w:hAnsi="Times New Roman" w:cs="Times New Roman"/>
          <w:sz w:val="28"/>
          <w:szCs w:val="28"/>
          <w:lang w:val="ru-RU"/>
        </w:rPr>
        <w:t xml:space="preserve"> (2003) расширяют круг пациенток, у которых можно диагностировать СПКЯ, так как предполагают наличие любых 2-х из 3-х признаков: олигоановуляция, гиперандрогенемия и/или гирсутизм, поликистозная морфология яичников </w:t>
      </w:r>
      <w:r w:rsidR="001568DF">
        <w:rPr>
          <w:rFonts w:ascii="Times New Roman" w:hAnsi="Times New Roman" w:cs="Times New Roman"/>
          <w:sz w:val="28"/>
          <w:szCs w:val="28"/>
          <w:lang w:val="ru-RU"/>
        </w:rPr>
        <w:t>по УЗИ [</w:t>
      </w:r>
      <w:r w:rsidRPr="00C67CC9">
        <w:rPr>
          <w:rFonts w:ascii="Times New Roman" w:hAnsi="Times New Roman" w:cs="Times New Roman"/>
          <w:sz w:val="28"/>
          <w:szCs w:val="28"/>
          <w:lang w:val="ru-RU"/>
        </w:rPr>
        <w:t>17</w:t>
      </w:r>
      <w:r w:rsidR="001568DF" w:rsidRPr="001568DF">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Критерии </w:t>
      </w:r>
      <w:r w:rsidRPr="00C67CC9">
        <w:rPr>
          <w:rFonts w:ascii="Times New Roman" w:hAnsi="Times New Roman" w:cs="Times New Roman"/>
          <w:sz w:val="28"/>
          <w:szCs w:val="28"/>
        </w:rPr>
        <w:t>AE</w:t>
      </w:r>
      <w:r w:rsidRPr="00C67CC9">
        <w:rPr>
          <w:rFonts w:ascii="Times New Roman" w:hAnsi="Times New Roman" w:cs="Times New Roman"/>
          <w:sz w:val="28"/>
          <w:szCs w:val="28"/>
          <w:lang w:val="ru-RU"/>
        </w:rPr>
        <w:t>-</w:t>
      </w:r>
      <w:r w:rsidRPr="00C67CC9">
        <w:rPr>
          <w:rFonts w:ascii="Times New Roman" w:hAnsi="Times New Roman" w:cs="Times New Roman"/>
          <w:sz w:val="28"/>
          <w:szCs w:val="28"/>
        </w:rPr>
        <w:t>PCOS</w:t>
      </w:r>
      <w:r w:rsidRPr="00C67CC9">
        <w:rPr>
          <w:rFonts w:ascii="Times New Roman" w:hAnsi="Times New Roman" w:cs="Times New Roman"/>
          <w:sz w:val="28"/>
          <w:szCs w:val="28"/>
          <w:lang w:val="ru-RU"/>
        </w:rPr>
        <w:t xml:space="preserve"> </w:t>
      </w:r>
      <w:r w:rsidRPr="00C67CC9">
        <w:rPr>
          <w:rFonts w:ascii="Times New Roman" w:hAnsi="Times New Roman" w:cs="Times New Roman"/>
          <w:sz w:val="28"/>
          <w:szCs w:val="28"/>
        </w:rPr>
        <w:t>Society</w:t>
      </w:r>
      <w:r w:rsidRPr="00C67CC9">
        <w:rPr>
          <w:rFonts w:ascii="Times New Roman" w:hAnsi="Times New Roman" w:cs="Times New Roman"/>
          <w:sz w:val="28"/>
          <w:szCs w:val="28"/>
          <w:lang w:val="ru-RU"/>
        </w:rPr>
        <w:t xml:space="preserve"> (2006) предусматривают обязательное наличие 2-х из 2-х признаков: гирсутизм и/или </w:t>
      </w:r>
      <w:r w:rsidRPr="00C67CC9">
        <w:rPr>
          <w:rFonts w:ascii="Times New Roman" w:hAnsi="Times New Roman" w:cs="Times New Roman"/>
          <w:sz w:val="28"/>
          <w:szCs w:val="28"/>
          <w:lang w:val="ru-RU"/>
        </w:rPr>
        <w:lastRenderedPageBreak/>
        <w:t xml:space="preserve">гиперандрогенемия; </w:t>
      </w:r>
      <w:r w:rsidR="00C67CC9" w:rsidRPr="00C67CC9">
        <w:rPr>
          <w:rFonts w:ascii="Times New Roman" w:hAnsi="Times New Roman" w:cs="Times New Roman"/>
          <w:sz w:val="28"/>
          <w:szCs w:val="28"/>
          <w:lang w:val="ru-RU"/>
        </w:rPr>
        <w:t>олигоановуляция</w:t>
      </w:r>
      <w:r w:rsidRPr="00C67CC9">
        <w:rPr>
          <w:rFonts w:ascii="Times New Roman" w:hAnsi="Times New Roman" w:cs="Times New Roman"/>
          <w:sz w:val="28"/>
          <w:szCs w:val="28"/>
          <w:lang w:val="ru-RU"/>
        </w:rPr>
        <w:t xml:space="preserve"> </w:t>
      </w:r>
      <w:r w:rsidR="001568DF">
        <w:rPr>
          <w:rFonts w:ascii="Times New Roman" w:hAnsi="Times New Roman" w:cs="Times New Roman"/>
          <w:sz w:val="28"/>
          <w:szCs w:val="28"/>
          <w:lang w:val="ru-RU"/>
        </w:rPr>
        <w:t>и/или поликистозная морфология [</w:t>
      </w:r>
      <w:r w:rsidRPr="00C67CC9">
        <w:rPr>
          <w:rFonts w:ascii="Times New Roman" w:hAnsi="Times New Roman" w:cs="Times New Roman"/>
          <w:sz w:val="28"/>
          <w:szCs w:val="28"/>
          <w:lang w:val="ru-RU"/>
        </w:rPr>
        <w:t>18</w:t>
      </w:r>
      <w:r w:rsidR="001568DF" w:rsidRPr="001568DF">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w:t>
      </w:r>
      <w:r w:rsidR="00213415" w:rsidRPr="00C67CC9">
        <w:rPr>
          <w:rFonts w:ascii="Times New Roman" w:hAnsi="Times New Roman" w:cs="Times New Roman"/>
          <w:sz w:val="28"/>
          <w:szCs w:val="28"/>
          <w:lang w:val="ru-RU"/>
        </w:rPr>
        <w:t xml:space="preserve"> </w:t>
      </w:r>
      <w:r w:rsidRPr="00C67CC9">
        <w:rPr>
          <w:rFonts w:ascii="Times New Roman" w:hAnsi="Times New Roman" w:cs="Times New Roman"/>
          <w:sz w:val="28"/>
          <w:szCs w:val="28"/>
          <w:lang w:val="ru-RU"/>
        </w:rPr>
        <w:t xml:space="preserve">После пересмотра критериев </w:t>
      </w:r>
      <w:r w:rsidRPr="00C67CC9">
        <w:rPr>
          <w:rFonts w:ascii="Times New Roman" w:hAnsi="Times New Roman" w:cs="Times New Roman"/>
          <w:sz w:val="28"/>
          <w:szCs w:val="28"/>
        </w:rPr>
        <w:t>N</w:t>
      </w:r>
      <w:r w:rsidRPr="00C67CC9">
        <w:rPr>
          <w:rFonts w:ascii="Times New Roman" w:hAnsi="Times New Roman" w:cs="Times New Roman"/>
          <w:sz w:val="28"/>
          <w:szCs w:val="28"/>
          <w:lang w:val="ru-RU"/>
        </w:rPr>
        <w:t>1</w:t>
      </w:r>
      <w:r w:rsidRPr="00C67CC9">
        <w:rPr>
          <w:rFonts w:ascii="Times New Roman" w:hAnsi="Times New Roman" w:cs="Times New Roman"/>
          <w:sz w:val="28"/>
          <w:szCs w:val="28"/>
        </w:rPr>
        <w:t>H</w:t>
      </w:r>
      <w:r w:rsidRPr="00C67CC9">
        <w:rPr>
          <w:rFonts w:ascii="Times New Roman" w:hAnsi="Times New Roman" w:cs="Times New Roman"/>
          <w:sz w:val="28"/>
          <w:szCs w:val="28"/>
          <w:lang w:val="ru-RU"/>
        </w:rPr>
        <w:t xml:space="preserve"> (1990) в 2012 году было принято решение о предпочтительном использовании для постановки диагноза СПКЯ согласованных критериев </w:t>
      </w:r>
      <w:r w:rsidRPr="00C67CC9">
        <w:rPr>
          <w:rFonts w:ascii="Times New Roman" w:hAnsi="Times New Roman" w:cs="Times New Roman"/>
          <w:sz w:val="28"/>
          <w:szCs w:val="28"/>
        </w:rPr>
        <w:t>ASRM</w:t>
      </w:r>
      <w:r w:rsidRPr="00C67CC9">
        <w:rPr>
          <w:rFonts w:ascii="Times New Roman" w:hAnsi="Times New Roman" w:cs="Times New Roman"/>
          <w:sz w:val="28"/>
          <w:szCs w:val="28"/>
          <w:lang w:val="ru-RU"/>
        </w:rPr>
        <w:t>/</w:t>
      </w:r>
      <w:r w:rsidRPr="00C67CC9">
        <w:rPr>
          <w:rFonts w:ascii="Times New Roman" w:hAnsi="Times New Roman" w:cs="Times New Roman"/>
          <w:sz w:val="28"/>
          <w:szCs w:val="28"/>
        </w:rPr>
        <w:t>ESHRE</w:t>
      </w:r>
      <w:r w:rsidRPr="00C67CC9">
        <w:rPr>
          <w:rFonts w:ascii="Times New Roman" w:hAnsi="Times New Roman" w:cs="Times New Roman"/>
          <w:sz w:val="28"/>
          <w:szCs w:val="28"/>
          <w:lang w:val="ru-RU"/>
        </w:rPr>
        <w:t xml:space="preserve"> (2003) с обязательным у</w:t>
      </w:r>
      <w:r w:rsidR="001568DF">
        <w:rPr>
          <w:rFonts w:ascii="Times New Roman" w:hAnsi="Times New Roman" w:cs="Times New Roman"/>
          <w:sz w:val="28"/>
          <w:szCs w:val="28"/>
          <w:lang w:val="ru-RU"/>
        </w:rPr>
        <w:t>казанием клинических вариантов [</w:t>
      </w:r>
      <w:r w:rsidRPr="00C67CC9">
        <w:rPr>
          <w:rFonts w:ascii="Times New Roman" w:hAnsi="Times New Roman" w:cs="Times New Roman"/>
          <w:sz w:val="28"/>
          <w:szCs w:val="28"/>
          <w:lang w:val="ru-RU"/>
        </w:rPr>
        <w:t>19</w:t>
      </w:r>
      <w:r w:rsidR="001568DF" w:rsidRPr="001568DF">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Данный подход к диагностике СПКЯ поддерживается и </w:t>
      </w:r>
      <w:r w:rsidRPr="00C67CC9">
        <w:rPr>
          <w:rFonts w:ascii="Times New Roman" w:hAnsi="Times New Roman" w:cs="Times New Roman"/>
          <w:sz w:val="28"/>
          <w:szCs w:val="28"/>
        </w:rPr>
        <w:t>Endocrine</w:t>
      </w:r>
      <w:r w:rsidRPr="00C67CC9">
        <w:rPr>
          <w:rFonts w:ascii="Times New Roman" w:hAnsi="Times New Roman" w:cs="Times New Roman"/>
          <w:sz w:val="28"/>
          <w:szCs w:val="28"/>
          <w:lang w:val="ru-RU"/>
        </w:rPr>
        <w:t xml:space="preserve"> </w:t>
      </w:r>
      <w:r w:rsidRPr="00C67CC9">
        <w:rPr>
          <w:rFonts w:ascii="Times New Roman" w:hAnsi="Times New Roman" w:cs="Times New Roman"/>
          <w:sz w:val="28"/>
          <w:szCs w:val="28"/>
        </w:rPr>
        <w:t>Society</w:t>
      </w:r>
      <w:r w:rsidRPr="00C67CC9">
        <w:rPr>
          <w:rFonts w:ascii="Times New Roman" w:hAnsi="Times New Roman" w:cs="Times New Roman"/>
          <w:sz w:val="28"/>
          <w:szCs w:val="28"/>
          <w:lang w:val="ru-RU"/>
        </w:rPr>
        <w:t xml:space="preserve"> (США</w:t>
      </w:r>
      <w:r w:rsidR="001568DF">
        <w:rPr>
          <w:rFonts w:ascii="Times New Roman" w:hAnsi="Times New Roman" w:cs="Times New Roman"/>
          <w:sz w:val="28"/>
          <w:szCs w:val="28"/>
          <w:lang w:val="ru-RU"/>
        </w:rPr>
        <w:t>)[</w:t>
      </w:r>
      <w:r w:rsidRPr="00C67CC9">
        <w:rPr>
          <w:rFonts w:ascii="Times New Roman" w:hAnsi="Times New Roman" w:cs="Times New Roman"/>
          <w:sz w:val="28"/>
          <w:szCs w:val="28"/>
          <w:lang w:val="ru-RU"/>
        </w:rPr>
        <w:t>21</w:t>
      </w:r>
      <w:r w:rsidR="001568DF" w:rsidRPr="001568DF">
        <w:rPr>
          <w:rFonts w:ascii="Times New Roman" w:hAnsi="Times New Roman" w:cs="Times New Roman"/>
          <w:sz w:val="28"/>
          <w:szCs w:val="28"/>
          <w:lang w:val="ru-RU"/>
        </w:rPr>
        <w:t>]</w:t>
      </w:r>
      <w:r w:rsidRPr="00C67CC9">
        <w:rPr>
          <w:rFonts w:ascii="Times New Roman" w:hAnsi="Times New Roman" w:cs="Times New Roman"/>
          <w:sz w:val="28"/>
          <w:szCs w:val="28"/>
          <w:lang w:val="ru-RU"/>
        </w:rPr>
        <w:t>. Д</w:t>
      </w:r>
      <w:r w:rsidR="00213415" w:rsidRPr="00C67CC9">
        <w:rPr>
          <w:rFonts w:ascii="Times New Roman" w:hAnsi="Times New Roman" w:cs="Times New Roman"/>
          <w:sz w:val="28"/>
          <w:szCs w:val="28"/>
          <w:lang w:val="ru-RU"/>
        </w:rPr>
        <w:t>иагностика клинической гиперан</w:t>
      </w:r>
      <w:r w:rsidRPr="00C67CC9">
        <w:rPr>
          <w:rFonts w:ascii="Times New Roman" w:hAnsi="Times New Roman" w:cs="Times New Roman"/>
          <w:sz w:val="28"/>
          <w:szCs w:val="28"/>
          <w:lang w:val="ru-RU"/>
        </w:rPr>
        <w:t xml:space="preserve">дрогении. </w:t>
      </w:r>
      <w:r w:rsidR="00213415" w:rsidRPr="00C67CC9">
        <w:rPr>
          <w:rFonts w:ascii="Times New Roman" w:hAnsi="Times New Roman" w:cs="Times New Roman"/>
          <w:sz w:val="28"/>
          <w:szCs w:val="28"/>
          <w:lang w:val="ru-RU"/>
        </w:rPr>
        <w:t>Используется</w:t>
      </w:r>
      <w:r w:rsidRPr="00C67CC9">
        <w:rPr>
          <w:rFonts w:ascii="Times New Roman" w:hAnsi="Times New Roman" w:cs="Times New Roman"/>
          <w:sz w:val="28"/>
          <w:szCs w:val="28"/>
          <w:lang w:val="ru-RU"/>
        </w:rPr>
        <w:t xml:space="preserve"> оценка гирсутизма но шкале Ферримана-Галлвея. Распространенность гирсутизма при классическом СПКЯ достигает 75%. У представительниц европеоидной и негроидной рас патогномоничным является повышение значения суммы баллов по указанной шкале &gt; 8 баллов, хотя по некоторым данным о гирсутизме сви</w:t>
      </w:r>
      <w:r w:rsidR="001568DF">
        <w:rPr>
          <w:rFonts w:ascii="Times New Roman" w:hAnsi="Times New Roman" w:cs="Times New Roman"/>
          <w:sz w:val="28"/>
          <w:szCs w:val="28"/>
          <w:lang w:val="ru-RU"/>
        </w:rPr>
        <w:t>детельствует его повышение &gt; 6 [</w:t>
      </w:r>
      <w:r w:rsidRPr="00C67CC9">
        <w:rPr>
          <w:rFonts w:ascii="Times New Roman" w:hAnsi="Times New Roman" w:cs="Times New Roman"/>
          <w:sz w:val="28"/>
          <w:szCs w:val="28"/>
          <w:lang w:val="ru-RU"/>
        </w:rPr>
        <w:t>8, 20,21,37</w:t>
      </w:r>
      <w:r w:rsidR="001568DF" w:rsidRPr="001568DF">
        <w:rPr>
          <w:rFonts w:ascii="Times New Roman" w:hAnsi="Times New Roman" w:cs="Times New Roman"/>
          <w:sz w:val="28"/>
          <w:szCs w:val="28"/>
          <w:lang w:val="ru-RU"/>
        </w:rPr>
        <w:t>]</w:t>
      </w:r>
      <w:r w:rsidRPr="00C67CC9">
        <w:rPr>
          <w:rFonts w:ascii="Times New Roman" w:hAnsi="Times New Roman" w:cs="Times New Roman"/>
          <w:sz w:val="28"/>
          <w:szCs w:val="28"/>
          <w:lang w:val="ru-RU"/>
        </w:rPr>
        <w:t>. У представительниц Юго-Восточной Азии диагностически значимо повышение с</w:t>
      </w:r>
      <w:r w:rsidR="00213415" w:rsidRPr="00C67CC9">
        <w:rPr>
          <w:rFonts w:ascii="Times New Roman" w:hAnsi="Times New Roman" w:cs="Times New Roman"/>
          <w:sz w:val="28"/>
          <w:szCs w:val="28"/>
          <w:lang w:val="ru-RU"/>
        </w:rPr>
        <w:t>уммы баллов по шкале Ф-Г &gt; 3</w:t>
      </w:r>
      <w:r w:rsidR="001568DF">
        <w:rPr>
          <w:rFonts w:ascii="Times New Roman" w:hAnsi="Times New Roman" w:cs="Times New Roman"/>
          <w:sz w:val="28"/>
          <w:szCs w:val="28"/>
          <w:lang w:val="ru-RU"/>
        </w:rPr>
        <w:t xml:space="preserve"> [</w:t>
      </w:r>
      <w:r w:rsidRPr="00C67CC9">
        <w:rPr>
          <w:rFonts w:ascii="Times New Roman" w:hAnsi="Times New Roman" w:cs="Times New Roman"/>
          <w:sz w:val="28"/>
          <w:szCs w:val="28"/>
          <w:lang w:val="ru-RU"/>
        </w:rPr>
        <w:t>22</w:t>
      </w:r>
      <w:r w:rsidR="001568DF" w:rsidRPr="001568DF">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Диагностическое значение при СПКЯ имеет повышение в сыворотке крови уровней общего тестостерона и свободного тестостерона, при этом наиболее информативным является повышение свободного тестостерона, </w:t>
      </w:r>
      <w:r w:rsidR="00213415" w:rsidRPr="00C67CC9">
        <w:rPr>
          <w:rFonts w:ascii="Times New Roman" w:hAnsi="Times New Roman" w:cs="Times New Roman"/>
          <w:sz w:val="28"/>
          <w:szCs w:val="28"/>
          <w:lang w:val="ru-RU"/>
        </w:rPr>
        <w:t xml:space="preserve">тогда как </w:t>
      </w:r>
      <w:r w:rsidRPr="00C67CC9">
        <w:rPr>
          <w:rFonts w:ascii="Times New Roman" w:hAnsi="Times New Roman" w:cs="Times New Roman"/>
          <w:sz w:val="28"/>
          <w:szCs w:val="28"/>
          <w:lang w:val="ru-RU"/>
        </w:rPr>
        <w:t xml:space="preserve">ДЭАС и андростендион являются вспомогательными маркерами биохимической </w:t>
      </w:r>
      <w:r w:rsidR="00C67CC9" w:rsidRPr="00C67CC9">
        <w:rPr>
          <w:rFonts w:ascii="Times New Roman" w:hAnsi="Times New Roman" w:cs="Times New Roman"/>
          <w:sz w:val="28"/>
          <w:szCs w:val="28"/>
          <w:lang w:val="ru-RU"/>
        </w:rPr>
        <w:t>гиперандрогении</w:t>
      </w:r>
      <w:r w:rsidR="00213415" w:rsidRPr="00C67CC9">
        <w:rPr>
          <w:rFonts w:ascii="Times New Roman" w:hAnsi="Times New Roman" w:cs="Times New Roman"/>
          <w:sz w:val="28"/>
          <w:szCs w:val="28"/>
          <w:lang w:val="ru-RU"/>
        </w:rPr>
        <w:t xml:space="preserve"> при СПКЯ</w:t>
      </w:r>
      <w:r w:rsidR="001568DF">
        <w:rPr>
          <w:rFonts w:ascii="Times New Roman" w:hAnsi="Times New Roman" w:cs="Times New Roman"/>
          <w:sz w:val="28"/>
          <w:szCs w:val="28"/>
          <w:lang w:val="ru-RU"/>
        </w:rPr>
        <w:t xml:space="preserve"> [</w:t>
      </w:r>
      <w:r w:rsidRPr="00C67CC9">
        <w:rPr>
          <w:rFonts w:ascii="Times New Roman" w:hAnsi="Times New Roman" w:cs="Times New Roman"/>
          <w:sz w:val="28"/>
          <w:szCs w:val="28"/>
          <w:lang w:val="ru-RU"/>
        </w:rPr>
        <w:t>8, 17, 21</w:t>
      </w:r>
      <w:r w:rsidR="001568DF" w:rsidRPr="001568DF">
        <w:rPr>
          <w:rFonts w:ascii="Times New Roman" w:hAnsi="Times New Roman" w:cs="Times New Roman"/>
          <w:sz w:val="28"/>
          <w:szCs w:val="28"/>
          <w:lang w:val="ru-RU"/>
        </w:rPr>
        <w:t>]</w:t>
      </w:r>
      <w:r w:rsidRPr="00C67CC9">
        <w:rPr>
          <w:rFonts w:ascii="Times New Roman" w:hAnsi="Times New Roman" w:cs="Times New Roman"/>
          <w:sz w:val="28"/>
          <w:szCs w:val="28"/>
          <w:lang w:val="ru-RU"/>
        </w:rPr>
        <w:t>. Наиболее эффективно: исследование концентраций общего тестостерона с помощью жидкостной хроматографии с масс-спектрометрией (</w:t>
      </w:r>
      <w:r w:rsidRPr="00C67CC9">
        <w:rPr>
          <w:rFonts w:ascii="Times New Roman" w:hAnsi="Times New Roman" w:cs="Times New Roman"/>
          <w:sz w:val="28"/>
          <w:szCs w:val="28"/>
        </w:rPr>
        <w:t>LC</w:t>
      </w:r>
      <w:r w:rsidRPr="00C67CC9">
        <w:rPr>
          <w:rFonts w:ascii="Times New Roman" w:hAnsi="Times New Roman" w:cs="Times New Roman"/>
          <w:sz w:val="28"/>
          <w:szCs w:val="28"/>
          <w:lang w:val="ru-RU"/>
        </w:rPr>
        <w:t>-</w:t>
      </w:r>
      <w:r w:rsidRPr="00C67CC9">
        <w:rPr>
          <w:rFonts w:ascii="Times New Roman" w:hAnsi="Times New Roman" w:cs="Times New Roman"/>
          <w:sz w:val="28"/>
          <w:szCs w:val="28"/>
        </w:rPr>
        <w:t>MS</w:t>
      </w:r>
      <w:r w:rsidRPr="00C67CC9">
        <w:rPr>
          <w:rFonts w:ascii="Times New Roman" w:hAnsi="Times New Roman" w:cs="Times New Roman"/>
          <w:sz w:val="28"/>
          <w:szCs w:val="28"/>
          <w:lang w:val="ru-RU"/>
        </w:rPr>
        <w:t>), газовой хроматографии с масс-спектрометрией (</w:t>
      </w:r>
      <w:r w:rsidRPr="00C67CC9">
        <w:rPr>
          <w:rFonts w:ascii="Times New Roman" w:hAnsi="Times New Roman" w:cs="Times New Roman"/>
          <w:sz w:val="28"/>
          <w:szCs w:val="28"/>
        </w:rPr>
        <w:t>GC</w:t>
      </w:r>
      <w:r w:rsidRPr="00C67CC9">
        <w:rPr>
          <w:rFonts w:ascii="Times New Roman" w:hAnsi="Times New Roman" w:cs="Times New Roman"/>
          <w:sz w:val="28"/>
          <w:szCs w:val="28"/>
          <w:lang w:val="ru-RU"/>
        </w:rPr>
        <w:t>-</w:t>
      </w:r>
      <w:r w:rsidRPr="00C67CC9">
        <w:rPr>
          <w:rFonts w:ascii="Times New Roman" w:hAnsi="Times New Roman" w:cs="Times New Roman"/>
          <w:sz w:val="28"/>
          <w:szCs w:val="28"/>
        </w:rPr>
        <w:t>MS</w:t>
      </w:r>
      <w:r w:rsidRPr="00C67CC9">
        <w:rPr>
          <w:rFonts w:ascii="Times New Roman" w:hAnsi="Times New Roman" w:cs="Times New Roman"/>
          <w:sz w:val="28"/>
          <w:szCs w:val="28"/>
          <w:lang w:val="ru-RU"/>
        </w:rPr>
        <w:t>), а также - РИА с экстракцией органическими растворителям</w:t>
      </w:r>
      <w:r w:rsidR="001568DF">
        <w:rPr>
          <w:rFonts w:ascii="Times New Roman" w:hAnsi="Times New Roman" w:cs="Times New Roman"/>
          <w:sz w:val="28"/>
          <w:szCs w:val="28"/>
          <w:lang w:val="ru-RU"/>
        </w:rPr>
        <w:t>и с последующей хромотографией [</w:t>
      </w:r>
      <w:r w:rsidRPr="00C67CC9">
        <w:rPr>
          <w:rFonts w:ascii="Times New Roman" w:hAnsi="Times New Roman" w:cs="Times New Roman"/>
          <w:sz w:val="28"/>
          <w:szCs w:val="28"/>
          <w:lang w:val="ru-RU"/>
        </w:rPr>
        <w:t>8,26</w:t>
      </w:r>
      <w:r w:rsidR="001568DF" w:rsidRPr="001568DF">
        <w:rPr>
          <w:rFonts w:ascii="Times New Roman" w:hAnsi="Times New Roman" w:cs="Times New Roman"/>
          <w:sz w:val="28"/>
          <w:szCs w:val="28"/>
          <w:lang w:val="ru-RU"/>
        </w:rPr>
        <w:t>]</w:t>
      </w:r>
      <w:r w:rsidRPr="00C67CC9">
        <w:rPr>
          <w:rFonts w:ascii="Times New Roman" w:hAnsi="Times New Roman" w:cs="Times New Roman"/>
          <w:sz w:val="28"/>
          <w:szCs w:val="28"/>
          <w:lang w:val="ru-RU"/>
        </w:rPr>
        <w:t>. Наиболее полезным для диагностики гиперандрогенемии и последующего наблюдения пациентов является вычисление свободной фракции тестостерона на основании тестостерона, определенного с помощью высококачественных методов, и секс-</w:t>
      </w:r>
      <w:r w:rsidR="001568DF">
        <w:rPr>
          <w:rFonts w:ascii="Times New Roman" w:hAnsi="Times New Roman" w:cs="Times New Roman"/>
          <w:sz w:val="28"/>
          <w:szCs w:val="28"/>
          <w:lang w:val="ru-RU"/>
        </w:rPr>
        <w:t>стероид-связывающего глобулина [</w:t>
      </w:r>
      <w:r w:rsidRPr="00C67CC9">
        <w:rPr>
          <w:rFonts w:ascii="Times New Roman" w:hAnsi="Times New Roman" w:cs="Times New Roman"/>
          <w:sz w:val="28"/>
          <w:szCs w:val="28"/>
          <w:lang w:val="ru-RU"/>
        </w:rPr>
        <w:t>17,25</w:t>
      </w:r>
      <w:r w:rsidR="001568DF" w:rsidRPr="001568DF">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Критериями диагностики овуляторной дисфункции являются: нарушения менструального цикла </w:t>
      </w:r>
      <w:r w:rsidRPr="00C67CC9">
        <w:rPr>
          <w:rFonts w:ascii="Times New Roman" w:hAnsi="Times New Roman" w:cs="Times New Roman"/>
          <w:sz w:val="28"/>
          <w:szCs w:val="28"/>
          <w:lang w:val="ru-RU"/>
        </w:rPr>
        <w:lastRenderedPageBreak/>
        <w:t>(НМЦ): продолжительность цикла менее 21 дня, или более 35 дней. НМЦ встречаются в сре</w:t>
      </w:r>
      <w:r w:rsidR="001568DF">
        <w:rPr>
          <w:rFonts w:ascii="Times New Roman" w:hAnsi="Times New Roman" w:cs="Times New Roman"/>
          <w:sz w:val="28"/>
          <w:szCs w:val="28"/>
          <w:lang w:val="ru-RU"/>
        </w:rPr>
        <w:t>днем у 75-85% пациенток с СПКЯ [8, 21]</w:t>
      </w:r>
      <w:r w:rsidRPr="00C67CC9">
        <w:rPr>
          <w:rFonts w:ascii="Times New Roman" w:hAnsi="Times New Roman" w:cs="Times New Roman"/>
          <w:sz w:val="28"/>
          <w:szCs w:val="28"/>
          <w:lang w:val="ru-RU"/>
        </w:rPr>
        <w:t>; при сохранном менструальном цикле необходимо измерение прогестерона в сыворотке крови на 20-24 дни цикла и при снижении уровня прогестерона ниже 3-4 нг/мл цикл считается ановуляторным. О наличии хронической овуляторной дисфункции свидетельствует отсутстви</w:t>
      </w:r>
      <w:r w:rsidR="001568DF">
        <w:rPr>
          <w:rFonts w:ascii="Times New Roman" w:hAnsi="Times New Roman" w:cs="Times New Roman"/>
          <w:sz w:val="28"/>
          <w:szCs w:val="28"/>
          <w:lang w:val="ru-RU"/>
        </w:rPr>
        <w:t>е овуляции в 2-х циклах из 3-х [8,18]</w:t>
      </w:r>
      <w:r w:rsidRPr="00C67CC9">
        <w:rPr>
          <w:rFonts w:ascii="Times New Roman" w:hAnsi="Times New Roman" w:cs="Times New Roman"/>
          <w:sz w:val="28"/>
          <w:szCs w:val="28"/>
          <w:lang w:val="ru-RU"/>
        </w:rPr>
        <w:t xml:space="preserve">. В соответствии с согласованными критериями </w:t>
      </w:r>
      <w:r w:rsidRPr="00C67CC9">
        <w:rPr>
          <w:rFonts w:ascii="Times New Roman" w:hAnsi="Times New Roman" w:cs="Times New Roman"/>
          <w:sz w:val="28"/>
          <w:szCs w:val="28"/>
        </w:rPr>
        <w:t>ASRM</w:t>
      </w:r>
      <w:r w:rsidRPr="00C67CC9">
        <w:rPr>
          <w:rFonts w:ascii="Times New Roman" w:hAnsi="Times New Roman" w:cs="Times New Roman"/>
          <w:sz w:val="28"/>
          <w:szCs w:val="28"/>
          <w:lang w:val="ru-RU"/>
        </w:rPr>
        <w:t>/</w:t>
      </w:r>
      <w:r w:rsidRPr="00C67CC9">
        <w:rPr>
          <w:rFonts w:ascii="Times New Roman" w:hAnsi="Times New Roman" w:cs="Times New Roman"/>
          <w:sz w:val="28"/>
          <w:szCs w:val="28"/>
        </w:rPr>
        <w:t>ESHRE</w:t>
      </w:r>
      <w:r w:rsidRPr="00C67CC9">
        <w:rPr>
          <w:rFonts w:ascii="Times New Roman" w:hAnsi="Times New Roman" w:cs="Times New Roman"/>
          <w:sz w:val="28"/>
          <w:szCs w:val="28"/>
          <w:lang w:val="ru-RU"/>
        </w:rPr>
        <w:t>, принятыми в Роттердаме (2003), для диагностики поликистозных яичников при ультрасонографии необходимо наличие в яичнике 12 и более фолликулов, имеющих диаметр 2-9 мм, и/или увеличение о</w:t>
      </w:r>
      <w:r w:rsidR="001568DF">
        <w:rPr>
          <w:rFonts w:ascii="Times New Roman" w:hAnsi="Times New Roman" w:cs="Times New Roman"/>
          <w:sz w:val="28"/>
          <w:szCs w:val="28"/>
          <w:lang w:val="ru-RU"/>
        </w:rPr>
        <w:t>вариального объема более 10 мл [17]</w:t>
      </w:r>
      <w:r w:rsidRPr="00C67CC9">
        <w:rPr>
          <w:rFonts w:ascii="Times New Roman" w:hAnsi="Times New Roman" w:cs="Times New Roman"/>
          <w:sz w:val="28"/>
          <w:szCs w:val="28"/>
          <w:lang w:val="ru-RU"/>
        </w:rPr>
        <w:t xml:space="preserve">. Предпочтительно использование трансвагинального доступа, при регулярных менструациях - в ранней фолликулярной фазе, а при олиго/аменорее - либо в любое время, либо на 3-5 дни после менструации, индуцированной прогестероном.  Для диагностики поликистозных яичников достаточно, если данным критериям отвечает хотя бы один яичник. </w:t>
      </w:r>
      <w:r w:rsidR="00105D64" w:rsidRPr="00C67CC9">
        <w:rPr>
          <w:rFonts w:ascii="Times New Roman" w:hAnsi="Times New Roman" w:cs="Times New Roman"/>
          <w:sz w:val="28"/>
          <w:szCs w:val="28"/>
          <w:shd w:val="clear" w:color="auto" w:fill="FFFFFF"/>
          <w:lang w:val="ru-RU"/>
        </w:rPr>
        <w:t>В спорных случаях при дифференциальной диагностике МФЯ и СПКЯ в качестве диагностического критерия следует использовать пульсационный индекс (ПИ) в стромальных артериях яичника, определяемый методом допплерометрии в импульсном режиме: ПИ ниже 1,2 с большой вероятностью свидетельствует о наличии СПКЯ</w:t>
      </w:r>
      <w:r w:rsidR="006C421E" w:rsidRPr="00C67CC9">
        <w:rPr>
          <w:rFonts w:ascii="Times New Roman" w:hAnsi="Times New Roman" w:cs="Times New Roman"/>
          <w:sz w:val="28"/>
          <w:szCs w:val="28"/>
          <w:shd w:val="clear" w:color="auto" w:fill="FFFFFF"/>
          <w:lang w:val="ru-RU"/>
        </w:rPr>
        <w:t xml:space="preserve"> </w:t>
      </w:r>
      <w:r w:rsidR="00E7002F">
        <w:rPr>
          <w:rFonts w:ascii="Times New Roman" w:hAnsi="Times New Roman" w:cs="Times New Roman"/>
          <w:sz w:val="28"/>
          <w:szCs w:val="28"/>
          <w:shd w:val="clear" w:color="auto" w:fill="FFFFFF"/>
          <w:lang w:val="ru-RU"/>
        </w:rPr>
        <w:t>[3]</w:t>
      </w:r>
      <w:r w:rsidR="00105D64" w:rsidRPr="00C67CC9">
        <w:rPr>
          <w:rFonts w:ascii="Times New Roman" w:hAnsi="Times New Roman" w:cs="Times New Roman"/>
          <w:sz w:val="28"/>
          <w:szCs w:val="28"/>
          <w:shd w:val="clear" w:color="auto" w:fill="FFFFFF"/>
          <w:lang w:val="ru-RU"/>
        </w:rPr>
        <w:t>.</w:t>
      </w:r>
      <w:r w:rsidR="00105D64" w:rsidRPr="00C67CC9">
        <w:rPr>
          <w:rFonts w:ascii="Times New Roman" w:hAnsi="Times New Roman" w:cs="Times New Roman"/>
          <w:sz w:val="28"/>
          <w:szCs w:val="28"/>
          <w:lang w:val="ru-RU"/>
        </w:rPr>
        <w:br/>
      </w:r>
      <w:r w:rsidR="00213415" w:rsidRPr="00C67CC9">
        <w:rPr>
          <w:rFonts w:ascii="Times New Roman" w:hAnsi="Times New Roman" w:cs="Times New Roman"/>
          <w:sz w:val="28"/>
          <w:szCs w:val="28"/>
          <w:lang w:val="ru-RU"/>
        </w:rPr>
        <w:t>СПКЯ является диагнозом –исключением</w:t>
      </w:r>
      <w:r w:rsidR="00647140" w:rsidRPr="00C67CC9">
        <w:rPr>
          <w:rFonts w:ascii="Times New Roman" w:hAnsi="Times New Roman" w:cs="Times New Roman"/>
          <w:sz w:val="28"/>
          <w:szCs w:val="28"/>
          <w:lang w:val="ru-RU"/>
        </w:rPr>
        <w:t xml:space="preserve">, поэтому необходимо проводить тщательный дифференциальный диагноз. </w:t>
      </w:r>
      <w:r w:rsidRPr="00C67CC9">
        <w:rPr>
          <w:rFonts w:ascii="Times New Roman" w:hAnsi="Times New Roman" w:cs="Times New Roman"/>
          <w:sz w:val="28"/>
          <w:szCs w:val="28"/>
          <w:lang w:val="ru-RU"/>
        </w:rPr>
        <w:t>Дифференциальная диагностика СПКЯ прежде всего предполагает исключение заболеваний щитовидной железы, гиперпролактинемии и неклассической формы врожденной д</w:t>
      </w:r>
      <w:r w:rsidR="00647140" w:rsidRPr="00C67CC9">
        <w:rPr>
          <w:rFonts w:ascii="Times New Roman" w:hAnsi="Times New Roman" w:cs="Times New Roman"/>
          <w:sz w:val="28"/>
          <w:szCs w:val="28"/>
          <w:lang w:val="ru-RU"/>
        </w:rPr>
        <w:t>исфункции коры надпочечников</w:t>
      </w:r>
      <w:r w:rsidR="001568DF">
        <w:rPr>
          <w:rFonts w:ascii="Times New Roman" w:hAnsi="Times New Roman" w:cs="Times New Roman"/>
          <w:sz w:val="28"/>
          <w:szCs w:val="28"/>
          <w:lang w:val="ru-RU"/>
        </w:rPr>
        <w:t xml:space="preserve"> [</w:t>
      </w:r>
      <w:r w:rsidRPr="00C67CC9">
        <w:rPr>
          <w:rFonts w:ascii="Times New Roman" w:hAnsi="Times New Roman" w:cs="Times New Roman"/>
          <w:sz w:val="28"/>
          <w:szCs w:val="28"/>
          <w:lang w:val="ru-RU"/>
        </w:rPr>
        <w:t>21</w:t>
      </w:r>
      <w:r w:rsidR="001568DF" w:rsidRPr="001568DF">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w:t>
      </w:r>
    </w:p>
    <w:p w:rsidR="0028461A" w:rsidRPr="00B53EE1" w:rsidRDefault="00394914" w:rsidP="00BB6B0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клинике СПКЯ зачастую можно диагностировать явление инсулинорезистентности. </w:t>
      </w:r>
      <w:r w:rsidR="001F2F2B" w:rsidRPr="00C67CC9">
        <w:rPr>
          <w:rFonts w:ascii="Times New Roman" w:hAnsi="Times New Roman" w:cs="Times New Roman"/>
          <w:sz w:val="28"/>
          <w:szCs w:val="28"/>
          <w:lang w:val="ru-RU"/>
        </w:rPr>
        <w:t>В качестве скрининга на нар</w:t>
      </w:r>
      <w:r w:rsidR="00647140" w:rsidRPr="00C67CC9">
        <w:rPr>
          <w:rFonts w:ascii="Times New Roman" w:hAnsi="Times New Roman" w:cs="Times New Roman"/>
          <w:sz w:val="28"/>
          <w:szCs w:val="28"/>
          <w:lang w:val="ru-RU"/>
        </w:rPr>
        <w:t xml:space="preserve">ушение толерантности к глюкозе </w:t>
      </w:r>
      <w:r w:rsidR="001F2F2B" w:rsidRPr="00C67CC9">
        <w:rPr>
          <w:rFonts w:ascii="Times New Roman" w:hAnsi="Times New Roman" w:cs="Times New Roman"/>
          <w:sz w:val="28"/>
          <w:szCs w:val="28"/>
          <w:lang w:val="ru-RU"/>
        </w:rPr>
        <w:t xml:space="preserve"> и сахарного диабета 2 типа (СД 2) у пациенток с СПКЯ рекомендовано проведение </w:t>
      </w:r>
      <w:r w:rsidR="00647140" w:rsidRPr="00C67CC9">
        <w:rPr>
          <w:rFonts w:ascii="Times New Roman" w:hAnsi="Times New Roman" w:cs="Times New Roman"/>
          <w:sz w:val="28"/>
          <w:szCs w:val="28"/>
          <w:lang w:val="ru-RU"/>
        </w:rPr>
        <w:t>2-часового перорального глюкозо</w:t>
      </w:r>
      <w:r w:rsidR="001F2F2B" w:rsidRPr="00C67CC9">
        <w:rPr>
          <w:rFonts w:ascii="Times New Roman" w:hAnsi="Times New Roman" w:cs="Times New Roman"/>
          <w:sz w:val="28"/>
          <w:szCs w:val="28"/>
          <w:lang w:val="ru-RU"/>
        </w:rPr>
        <w:t>толерантно</w:t>
      </w:r>
      <w:r>
        <w:rPr>
          <w:rFonts w:ascii="Times New Roman" w:hAnsi="Times New Roman" w:cs="Times New Roman"/>
          <w:sz w:val="28"/>
          <w:szCs w:val="28"/>
          <w:lang w:val="ru-RU"/>
        </w:rPr>
        <w:t xml:space="preserve">го теста с 75 г глюкозы (ПГТТ) </w:t>
      </w:r>
      <w:r w:rsidRPr="00394914">
        <w:rPr>
          <w:rFonts w:ascii="Times New Roman" w:hAnsi="Times New Roman" w:cs="Times New Roman"/>
          <w:sz w:val="28"/>
          <w:szCs w:val="28"/>
          <w:lang w:val="ru-RU"/>
        </w:rPr>
        <w:t>[</w:t>
      </w:r>
      <w:r w:rsidR="001F2F2B" w:rsidRPr="00C67CC9">
        <w:rPr>
          <w:rFonts w:ascii="Times New Roman" w:hAnsi="Times New Roman" w:cs="Times New Roman"/>
          <w:sz w:val="28"/>
          <w:szCs w:val="28"/>
          <w:lang w:val="ru-RU"/>
        </w:rPr>
        <w:t>21</w:t>
      </w:r>
      <w:r w:rsidRPr="00394914">
        <w:rPr>
          <w:rFonts w:ascii="Times New Roman" w:hAnsi="Times New Roman" w:cs="Times New Roman"/>
          <w:sz w:val="28"/>
          <w:szCs w:val="28"/>
          <w:lang w:val="ru-RU"/>
        </w:rPr>
        <w:t>]</w:t>
      </w:r>
      <w:r w:rsidR="001F2F2B" w:rsidRPr="00C67CC9">
        <w:rPr>
          <w:rFonts w:ascii="Times New Roman" w:hAnsi="Times New Roman" w:cs="Times New Roman"/>
          <w:sz w:val="28"/>
          <w:szCs w:val="28"/>
          <w:lang w:val="ru-RU"/>
        </w:rPr>
        <w:t>. В практической деятельности на первом этапе обследования рекомендуется исследовать уровень глюкозы на</w:t>
      </w:r>
      <w:r>
        <w:rPr>
          <w:rFonts w:ascii="Times New Roman" w:hAnsi="Times New Roman" w:cs="Times New Roman"/>
          <w:sz w:val="28"/>
          <w:szCs w:val="28"/>
          <w:lang w:val="ru-RU"/>
        </w:rPr>
        <w:t>тощак, а затем проводить П.ГТТ [</w:t>
      </w:r>
      <w:r w:rsidR="001F2F2B" w:rsidRPr="00C67CC9">
        <w:rPr>
          <w:rFonts w:ascii="Times New Roman" w:hAnsi="Times New Roman" w:cs="Times New Roman"/>
          <w:sz w:val="28"/>
          <w:szCs w:val="28"/>
          <w:lang w:val="ru-RU"/>
        </w:rPr>
        <w:t>33</w:t>
      </w:r>
      <w:r w:rsidRPr="00394914">
        <w:rPr>
          <w:rFonts w:ascii="Times New Roman" w:hAnsi="Times New Roman" w:cs="Times New Roman"/>
          <w:sz w:val="28"/>
          <w:szCs w:val="28"/>
          <w:lang w:val="ru-RU"/>
        </w:rPr>
        <w:t>]</w:t>
      </w:r>
      <w:r w:rsidR="001F2F2B" w:rsidRPr="00C67CC9">
        <w:rPr>
          <w:rFonts w:ascii="Times New Roman" w:hAnsi="Times New Roman" w:cs="Times New Roman"/>
          <w:sz w:val="28"/>
          <w:szCs w:val="28"/>
          <w:lang w:val="ru-RU"/>
        </w:rPr>
        <w:t>. Если нет возможности проведения ПГТТ, для скрининга нарушений углеводного обмена у женщин с СПКЯ рекомендуется определение гли</w:t>
      </w:r>
      <w:r w:rsidR="007F7DEB" w:rsidRPr="00C67CC9">
        <w:rPr>
          <w:rFonts w:ascii="Times New Roman" w:hAnsi="Times New Roman" w:cs="Times New Roman"/>
          <w:sz w:val="28"/>
          <w:szCs w:val="28"/>
          <w:lang w:val="ru-RU"/>
        </w:rPr>
        <w:t xml:space="preserve">козилированного гемоглобина </w:t>
      </w:r>
      <w:r w:rsidRPr="00394914">
        <w:rPr>
          <w:rFonts w:ascii="Times New Roman" w:hAnsi="Times New Roman" w:cs="Times New Roman"/>
          <w:sz w:val="28"/>
          <w:szCs w:val="28"/>
          <w:lang w:val="ru-RU"/>
        </w:rPr>
        <w:t>[</w:t>
      </w:r>
      <w:r w:rsidR="001F2F2B" w:rsidRPr="00C67CC9">
        <w:rPr>
          <w:rFonts w:ascii="Times New Roman" w:hAnsi="Times New Roman" w:cs="Times New Roman"/>
          <w:sz w:val="28"/>
          <w:szCs w:val="28"/>
          <w:lang w:val="ru-RU"/>
        </w:rPr>
        <w:t>21</w:t>
      </w:r>
      <w:r w:rsidRPr="00394914">
        <w:rPr>
          <w:rFonts w:ascii="Times New Roman" w:hAnsi="Times New Roman" w:cs="Times New Roman"/>
          <w:sz w:val="28"/>
          <w:szCs w:val="28"/>
          <w:lang w:val="ru-RU"/>
        </w:rPr>
        <w:t>]</w:t>
      </w:r>
      <w:r w:rsidR="001F2F2B" w:rsidRPr="00C67CC9">
        <w:rPr>
          <w:rFonts w:ascii="Times New Roman" w:hAnsi="Times New Roman" w:cs="Times New Roman"/>
          <w:sz w:val="28"/>
          <w:szCs w:val="28"/>
          <w:lang w:val="ru-RU"/>
        </w:rPr>
        <w:t>. Повторное проведение ПГТТ рекомендуется каждые 3-5 года или чаще, если имеется центральное ожирение, существенная прибавка веса и/или</w:t>
      </w:r>
      <w:r>
        <w:rPr>
          <w:rFonts w:ascii="Times New Roman" w:hAnsi="Times New Roman" w:cs="Times New Roman"/>
          <w:sz w:val="28"/>
          <w:szCs w:val="28"/>
          <w:lang w:val="ru-RU"/>
        </w:rPr>
        <w:t xml:space="preserve"> симптомы развития диабета [</w:t>
      </w:r>
      <w:r w:rsidR="001F2F2B" w:rsidRPr="00C67CC9">
        <w:rPr>
          <w:rFonts w:ascii="Times New Roman" w:hAnsi="Times New Roman" w:cs="Times New Roman"/>
          <w:sz w:val="28"/>
          <w:szCs w:val="28"/>
          <w:lang w:val="ru-RU"/>
        </w:rPr>
        <w:t>21</w:t>
      </w:r>
      <w:r w:rsidRPr="00394914">
        <w:rPr>
          <w:rFonts w:ascii="Times New Roman" w:hAnsi="Times New Roman" w:cs="Times New Roman"/>
          <w:sz w:val="28"/>
          <w:szCs w:val="28"/>
          <w:lang w:val="ru-RU"/>
        </w:rPr>
        <w:t>]</w:t>
      </w:r>
      <w:r w:rsidR="001F2F2B" w:rsidRPr="00C67CC9">
        <w:rPr>
          <w:rFonts w:ascii="Times New Roman" w:hAnsi="Times New Roman" w:cs="Times New Roman"/>
          <w:sz w:val="28"/>
          <w:szCs w:val="28"/>
          <w:lang w:val="ru-RU"/>
        </w:rPr>
        <w:t>. «Золотым стандартом» диагностики инсулинорезистентн</w:t>
      </w:r>
      <w:r w:rsidR="00AD7EA7">
        <w:rPr>
          <w:rFonts w:ascii="Times New Roman" w:hAnsi="Times New Roman" w:cs="Times New Roman"/>
          <w:sz w:val="28"/>
          <w:szCs w:val="28"/>
          <w:lang w:val="ru-RU"/>
        </w:rPr>
        <w:t>ости</w:t>
      </w:r>
      <w:r w:rsidR="001F2F2B" w:rsidRPr="00C67CC9">
        <w:rPr>
          <w:rFonts w:ascii="Times New Roman" w:hAnsi="Times New Roman" w:cs="Times New Roman"/>
          <w:sz w:val="28"/>
          <w:szCs w:val="28"/>
          <w:lang w:val="ru-RU"/>
        </w:rPr>
        <w:t xml:space="preserve"> (ИР) является эугликемический гиперинсулинемический клэмп-тест с внутривенным введением инсулина и одновременной инфузией глюкозы для поддержания стабильного уровня гликемии. Упрощенной моделью 7 клэмп-теста является внутривенный глюкозотолерантный тест (ВГ'ГТ), основанный на многократном определ</w:t>
      </w:r>
      <w:r>
        <w:rPr>
          <w:rFonts w:ascii="Times New Roman" w:hAnsi="Times New Roman" w:cs="Times New Roman"/>
          <w:sz w:val="28"/>
          <w:szCs w:val="28"/>
          <w:lang w:val="ru-RU"/>
        </w:rPr>
        <w:t>ении гликемии и инсулина крови [8]</w:t>
      </w:r>
      <w:r w:rsidR="001F2F2B" w:rsidRPr="00C67CC9">
        <w:rPr>
          <w:rFonts w:ascii="Times New Roman" w:hAnsi="Times New Roman" w:cs="Times New Roman"/>
          <w:sz w:val="28"/>
          <w:szCs w:val="28"/>
          <w:lang w:val="ru-RU"/>
        </w:rPr>
        <w:t xml:space="preserve">. К методам непрямой оценки ИР относятся индексы НОМА и </w:t>
      </w:r>
      <w:r w:rsidR="001F2F2B" w:rsidRPr="00C67CC9">
        <w:rPr>
          <w:rFonts w:ascii="Times New Roman" w:hAnsi="Times New Roman" w:cs="Times New Roman"/>
          <w:sz w:val="28"/>
          <w:szCs w:val="28"/>
        </w:rPr>
        <w:t>QUICKI</w:t>
      </w:r>
      <w:r w:rsidR="001F2F2B" w:rsidRPr="00C67CC9">
        <w:rPr>
          <w:rFonts w:ascii="Times New Roman" w:hAnsi="Times New Roman" w:cs="Times New Roman"/>
          <w:sz w:val="28"/>
          <w:szCs w:val="28"/>
          <w:lang w:val="ru-RU"/>
        </w:rPr>
        <w:t>, которые могут использоваться в клинической практике</w:t>
      </w:r>
      <w:r w:rsidR="0028461A" w:rsidRPr="00C67CC9">
        <w:rPr>
          <w:rFonts w:ascii="Times New Roman" w:hAnsi="Times New Roman" w:cs="Times New Roman"/>
          <w:sz w:val="28"/>
          <w:szCs w:val="28"/>
          <w:lang w:val="ru-RU"/>
        </w:rPr>
        <w:t>.</w:t>
      </w:r>
      <w:r w:rsidR="001F2F2B" w:rsidRPr="00C67CC9">
        <w:rPr>
          <w:rFonts w:ascii="Times New Roman" w:hAnsi="Times New Roman" w:cs="Times New Roman"/>
          <w:sz w:val="28"/>
          <w:szCs w:val="28"/>
          <w:lang w:val="ru-RU"/>
        </w:rPr>
        <w:t xml:space="preserve"> К клиническим маркерам инсулинорезистентности у пациенток с СПКЯ относится нигроидный акантоз (папиллярно-пигментная дистрофия кожи в виде локализованных участков бурой гиперпигментации в области кожных складок, чаще шеи, подмышечных впадин, паховой области, которые гистологически характеризуются гиперкератозом и папилломатозом). При СПКЯ рекомендуется физикальное исследование с оценко</w:t>
      </w:r>
      <w:r w:rsidR="0028461A" w:rsidRPr="00C67CC9">
        <w:rPr>
          <w:rFonts w:ascii="Times New Roman" w:hAnsi="Times New Roman" w:cs="Times New Roman"/>
          <w:sz w:val="28"/>
          <w:szCs w:val="28"/>
          <w:lang w:val="ru-RU"/>
        </w:rPr>
        <w:t xml:space="preserve">й наличия нигроидного акантоза </w:t>
      </w:r>
      <w:r>
        <w:rPr>
          <w:rFonts w:ascii="Times New Roman" w:hAnsi="Times New Roman" w:cs="Times New Roman"/>
          <w:sz w:val="28"/>
          <w:szCs w:val="28"/>
          <w:lang w:val="ru-RU"/>
        </w:rPr>
        <w:t>[21]</w:t>
      </w:r>
      <w:r w:rsidR="001F2F2B" w:rsidRPr="00C67CC9">
        <w:rPr>
          <w:rFonts w:ascii="Times New Roman" w:hAnsi="Times New Roman" w:cs="Times New Roman"/>
          <w:sz w:val="28"/>
          <w:szCs w:val="28"/>
          <w:lang w:val="ru-RU"/>
        </w:rPr>
        <w:t xml:space="preserve">. </w:t>
      </w:r>
    </w:p>
    <w:p w:rsidR="00786161" w:rsidRPr="00C67CC9" w:rsidRDefault="00786161" w:rsidP="00BB6B0E">
      <w:pPr>
        <w:spacing w:line="360" w:lineRule="auto"/>
        <w:jc w:val="both"/>
        <w:rPr>
          <w:rFonts w:ascii="Times New Roman" w:hAnsi="Times New Roman" w:cs="Times New Roman"/>
          <w:b/>
          <w:sz w:val="28"/>
          <w:szCs w:val="28"/>
          <w:lang w:val="ru-RU"/>
        </w:rPr>
      </w:pPr>
      <w:r w:rsidRPr="00C67CC9">
        <w:rPr>
          <w:rFonts w:ascii="Times New Roman" w:hAnsi="Times New Roman" w:cs="Times New Roman"/>
          <w:b/>
          <w:sz w:val="28"/>
          <w:szCs w:val="28"/>
          <w:lang w:val="ru-RU"/>
        </w:rPr>
        <w:t>1.2. Консервативное лечение СПКЯ.</w:t>
      </w:r>
    </w:p>
    <w:p w:rsidR="002F587B" w:rsidRPr="00C67CC9" w:rsidRDefault="001F2F2B"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lastRenderedPageBreak/>
        <w:t xml:space="preserve"> Индивидуальный план ведения пациентки составляется с учетом основных жалоб, репродуктивных установок, наличия риска сердечно-сосудистых</w:t>
      </w:r>
      <w:r w:rsidR="0028461A" w:rsidRPr="00C67CC9">
        <w:rPr>
          <w:rFonts w:ascii="Times New Roman" w:hAnsi="Times New Roman" w:cs="Times New Roman"/>
          <w:sz w:val="28"/>
          <w:szCs w:val="28"/>
          <w:lang w:val="ru-RU"/>
        </w:rPr>
        <w:t xml:space="preserve"> заболеваний и прочих факторов </w:t>
      </w:r>
      <w:r w:rsidR="00394914">
        <w:rPr>
          <w:rFonts w:ascii="Times New Roman" w:hAnsi="Times New Roman" w:cs="Times New Roman"/>
          <w:sz w:val="28"/>
          <w:szCs w:val="28"/>
          <w:lang w:val="ru-RU"/>
        </w:rPr>
        <w:t>[</w:t>
      </w:r>
      <w:r w:rsidR="002F587B" w:rsidRPr="00C67CC9">
        <w:rPr>
          <w:rFonts w:ascii="Times New Roman" w:hAnsi="Times New Roman" w:cs="Times New Roman"/>
          <w:sz w:val="28"/>
          <w:szCs w:val="28"/>
          <w:lang w:val="ru-RU"/>
        </w:rPr>
        <w:t>27</w:t>
      </w:r>
      <w:r w:rsidR="00394914" w:rsidRPr="00394914">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w:t>
      </w:r>
      <w:r w:rsidR="0028461A" w:rsidRPr="00C67CC9">
        <w:rPr>
          <w:rFonts w:ascii="Times New Roman" w:hAnsi="Times New Roman" w:cs="Times New Roman"/>
          <w:sz w:val="28"/>
          <w:szCs w:val="28"/>
          <w:lang w:val="ru-RU"/>
        </w:rPr>
        <w:t>В данном разделе рассмотрим только л</w:t>
      </w:r>
      <w:r w:rsidRPr="00C67CC9">
        <w:rPr>
          <w:rFonts w:ascii="Times New Roman" w:hAnsi="Times New Roman" w:cs="Times New Roman"/>
          <w:sz w:val="28"/>
          <w:szCs w:val="28"/>
          <w:lang w:val="ru-RU"/>
        </w:rPr>
        <w:t>ечение бесплодия при СПКЯ. Поскольку при СПКЯ высок риск ановуляторного бесплодия, у женщин, заинтересованных в беременности, рекомендуется оценивать менстру</w:t>
      </w:r>
      <w:r w:rsidR="0028461A" w:rsidRPr="00C67CC9">
        <w:rPr>
          <w:rFonts w:ascii="Times New Roman" w:hAnsi="Times New Roman" w:cs="Times New Roman"/>
          <w:sz w:val="28"/>
          <w:szCs w:val="28"/>
          <w:lang w:val="ru-RU"/>
        </w:rPr>
        <w:t>альную и овуляторную функцию</w:t>
      </w:r>
      <w:r w:rsidR="00394914">
        <w:rPr>
          <w:rFonts w:ascii="Times New Roman" w:hAnsi="Times New Roman" w:cs="Times New Roman"/>
          <w:sz w:val="28"/>
          <w:szCs w:val="28"/>
          <w:lang w:val="ru-RU"/>
        </w:rPr>
        <w:t xml:space="preserve"> [</w:t>
      </w:r>
      <w:r w:rsidRPr="00C67CC9">
        <w:rPr>
          <w:rFonts w:ascii="Times New Roman" w:hAnsi="Times New Roman" w:cs="Times New Roman"/>
          <w:sz w:val="28"/>
          <w:szCs w:val="28"/>
          <w:lang w:val="ru-RU"/>
        </w:rPr>
        <w:t>21</w:t>
      </w:r>
      <w:r w:rsidR="00394914" w:rsidRPr="00332877">
        <w:rPr>
          <w:rFonts w:ascii="Times New Roman" w:hAnsi="Times New Roman" w:cs="Times New Roman"/>
          <w:sz w:val="28"/>
          <w:szCs w:val="28"/>
          <w:lang w:val="ru-RU"/>
        </w:rPr>
        <w:t>]</w:t>
      </w:r>
      <w:r w:rsidRPr="00C67CC9">
        <w:rPr>
          <w:rFonts w:ascii="Times New Roman" w:hAnsi="Times New Roman" w:cs="Times New Roman"/>
          <w:sz w:val="28"/>
          <w:szCs w:val="28"/>
          <w:lang w:val="ru-RU"/>
        </w:rPr>
        <w:t>. Цель лечения - восстановление овуляторных менструальных циклов. При этом должны быть исключены другие причины бесплодия в паре (трубно-пери</w:t>
      </w:r>
      <w:r w:rsidR="0028461A" w:rsidRPr="00C67CC9">
        <w:rPr>
          <w:rFonts w:ascii="Times New Roman" w:hAnsi="Times New Roman" w:cs="Times New Roman"/>
          <w:sz w:val="28"/>
          <w:szCs w:val="28"/>
          <w:lang w:val="ru-RU"/>
        </w:rPr>
        <w:t>тонеальный, мужской факторы)</w:t>
      </w:r>
      <w:r w:rsidR="00394914">
        <w:rPr>
          <w:rFonts w:ascii="Times New Roman" w:hAnsi="Times New Roman" w:cs="Times New Roman"/>
          <w:sz w:val="28"/>
          <w:szCs w:val="28"/>
          <w:lang w:val="ru-RU"/>
        </w:rPr>
        <w:t xml:space="preserve"> [</w:t>
      </w:r>
      <w:r w:rsidRPr="00C67CC9">
        <w:rPr>
          <w:rFonts w:ascii="Times New Roman" w:hAnsi="Times New Roman" w:cs="Times New Roman"/>
          <w:sz w:val="28"/>
          <w:szCs w:val="28"/>
          <w:lang w:val="ru-RU"/>
        </w:rPr>
        <w:t>21</w:t>
      </w:r>
      <w:r w:rsidR="00394914" w:rsidRPr="00394914">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w:t>
      </w:r>
    </w:p>
    <w:p w:rsidR="00591BDA" w:rsidRPr="00C67CC9" w:rsidRDefault="00591BDA"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В большинстве случаев, проблемы фертильности у женщин с СПКЯ результатом отсутствия овуляции (ановуляция), но ановуляции  может не быть единственной причиной этих проблем. Перед началом лечения бесплодия, возможно, связанного с СПКЯ, следует убедиться, что исключены друге причины[34].</w:t>
      </w:r>
    </w:p>
    <w:p w:rsidR="00591BDA" w:rsidRPr="00C67CC9" w:rsidRDefault="00591BDA"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Изменения в образе жизни, такие как </w:t>
      </w:r>
      <w:r w:rsidR="007606ED">
        <w:rPr>
          <w:rFonts w:ascii="Times New Roman" w:hAnsi="Times New Roman" w:cs="Times New Roman"/>
          <w:sz w:val="28"/>
          <w:szCs w:val="28"/>
          <w:lang w:val="ru-RU"/>
        </w:rPr>
        <w:t>снижение массы тела</w:t>
      </w:r>
      <w:r w:rsidRPr="00C67CC9">
        <w:rPr>
          <w:rFonts w:ascii="Times New Roman" w:hAnsi="Times New Roman" w:cs="Times New Roman"/>
          <w:sz w:val="28"/>
          <w:szCs w:val="28"/>
          <w:lang w:val="ru-RU"/>
        </w:rPr>
        <w:t>, мо</w:t>
      </w:r>
      <w:r w:rsidR="007606ED">
        <w:rPr>
          <w:rFonts w:ascii="Times New Roman" w:hAnsi="Times New Roman" w:cs="Times New Roman"/>
          <w:sz w:val="28"/>
          <w:szCs w:val="28"/>
          <w:lang w:val="ru-RU"/>
        </w:rPr>
        <w:t>гут</w:t>
      </w:r>
      <w:r w:rsidRPr="00C67CC9">
        <w:rPr>
          <w:rFonts w:ascii="Times New Roman" w:hAnsi="Times New Roman" w:cs="Times New Roman"/>
          <w:sz w:val="28"/>
          <w:szCs w:val="28"/>
          <w:lang w:val="ru-RU"/>
        </w:rPr>
        <w:t xml:space="preserve"> вызвать изменения </w:t>
      </w:r>
      <w:r w:rsidR="007606ED">
        <w:rPr>
          <w:rFonts w:ascii="Times New Roman" w:hAnsi="Times New Roman" w:cs="Times New Roman"/>
          <w:sz w:val="28"/>
          <w:szCs w:val="28"/>
          <w:lang w:val="ru-RU"/>
        </w:rPr>
        <w:t>взаимоотношений в гипоталамо-гипофизарно-овариальной системе</w:t>
      </w:r>
      <w:r w:rsidRPr="00C67CC9">
        <w:rPr>
          <w:rFonts w:ascii="Times New Roman" w:hAnsi="Times New Roman" w:cs="Times New Roman"/>
          <w:sz w:val="28"/>
          <w:szCs w:val="28"/>
          <w:lang w:val="ru-RU"/>
        </w:rPr>
        <w:t xml:space="preserve">, которые </w:t>
      </w:r>
      <w:r w:rsidR="007606ED">
        <w:rPr>
          <w:rFonts w:ascii="Times New Roman" w:hAnsi="Times New Roman" w:cs="Times New Roman"/>
          <w:sz w:val="28"/>
          <w:szCs w:val="28"/>
          <w:lang w:val="ru-RU"/>
        </w:rPr>
        <w:t>позволят наступить</w:t>
      </w:r>
      <w:r w:rsidRPr="00C67CC9">
        <w:rPr>
          <w:rFonts w:ascii="Times New Roman" w:hAnsi="Times New Roman" w:cs="Times New Roman"/>
          <w:sz w:val="28"/>
          <w:szCs w:val="28"/>
          <w:lang w:val="ru-RU"/>
        </w:rPr>
        <w:t xml:space="preserve"> зачатию у женщин с СПКЯ[35,36]. Исследования показывают, что изменения образа жизни могут помочь восстановить овуляцию и улучшить показатели частоты наступления беременности среди женщин с СПКЯ[36,</w:t>
      </w:r>
      <w:r w:rsidR="007606ED">
        <w:rPr>
          <w:rFonts w:ascii="Times New Roman" w:hAnsi="Times New Roman" w:cs="Times New Roman"/>
          <w:sz w:val="28"/>
          <w:szCs w:val="28"/>
          <w:lang w:val="ru-RU"/>
        </w:rPr>
        <w:t>37]. П</w:t>
      </w:r>
      <w:r w:rsidRPr="00C67CC9">
        <w:rPr>
          <w:rFonts w:ascii="Times New Roman" w:hAnsi="Times New Roman" w:cs="Times New Roman"/>
          <w:sz w:val="28"/>
          <w:szCs w:val="28"/>
          <w:lang w:val="ru-RU"/>
        </w:rPr>
        <w:t xml:space="preserve">роводилось </w:t>
      </w:r>
      <w:r w:rsidR="00AD7EA7" w:rsidRPr="00C67CC9">
        <w:rPr>
          <w:rFonts w:ascii="Times New Roman" w:hAnsi="Times New Roman" w:cs="Times New Roman"/>
          <w:sz w:val="28"/>
          <w:szCs w:val="28"/>
          <w:lang w:val="ru-RU"/>
        </w:rPr>
        <w:t>исследование</w:t>
      </w:r>
      <w:r w:rsidR="007606ED">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в </w:t>
      </w:r>
      <w:r w:rsidR="007606ED">
        <w:rPr>
          <w:rFonts w:ascii="Times New Roman" w:hAnsi="Times New Roman" w:cs="Times New Roman"/>
          <w:sz w:val="28"/>
          <w:szCs w:val="28"/>
          <w:lang w:val="ru-RU"/>
        </w:rPr>
        <w:t xml:space="preserve">ходе которого </w:t>
      </w:r>
      <w:r w:rsidRPr="00C67CC9">
        <w:rPr>
          <w:rFonts w:ascii="Times New Roman" w:hAnsi="Times New Roman" w:cs="Times New Roman"/>
          <w:sz w:val="28"/>
          <w:szCs w:val="28"/>
          <w:lang w:val="ru-RU"/>
        </w:rPr>
        <w:t xml:space="preserve">1112 женщин с СПКЯ, </w:t>
      </w:r>
      <w:r w:rsidR="007606ED">
        <w:rPr>
          <w:rFonts w:ascii="Times New Roman" w:hAnsi="Times New Roman" w:cs="Times New Roman"/>
          <w:sz w:val="28"/>
          <w:szCs w:val="28"/>
          <w:lang w:val="ru-RU"/>
        </w:rPr>
        <w:t>имевшие симптомы</w:t>
      </w:r>
      <w:r w:rsidRPr="00C67CC9">
        <w:rPr>
          <w:rFonts w:ascii="Times New Roman" w:hAnsi="Times New Roman" w:cs="Times New Roman"/>
          <w:sz w:val="28"/>
          <w:szCs w:val="28"/>
          <w:lang w:val="ru-RU"/>
        </w:rPr>
        <w:t xml:space="preserve"> менструальн</w:t>
      </w:r>
      <w:r w:rsidR="007606ED">
        <w:rPr>
          <w:rFonts w:ascii="Times New Roman" w:hAnsi="Times New Roman" w:cs="Times New Roman"/>
          <w:sz w:val="28"/>
          <w:szCs w:val="28"/>
          <w:lang w:val="ru-RU"/>
        </w:rPr>
        <w:t>ой дисфункции</w:t>
      </w:r>
      <w:r w:rsidRPr="00C67CC9">
        <w:rPr>
          <w:rFonts w:ascii="Times New Roman" w:hAnsi="Times New Roman" w:cs="Times New Roman"/>
          <w:sz w:val="28"/>
          <w:szCs w:val="28"/>
          <w:lang w:val="ru-RU"/>
        </w:rPr>
        <w:t>, потеряли боле</w:t>
      </w:r>
      <w:r w:rsidR="007606ED">
        <w:rPr>
          <w:rFonts w:ascii="Times New Roman" w:hAnsi="Times New Roman" w:cs="Times New Roman"/>
          <w:sz w:val="28"/>
          <w:szCs w:val="28"/>
          <w:lang w:val="ru-RU"/>
        </w:rPr>
        <w:t>е 5% от их первоначального веса. Из них</w:t>
      </w:r>
      <w:r w:rsidRPr="00C67CC9">
        <w:rPr>
          <w:rFonts w:ascii="Times New Roman" w:hAnsi="Times New Roman" w:cs="Times New Roman"/>
          <w:sz w:val="28"/>
          <w:szCs w:val="28"/>
          <w:lang w:val="ru-RU"/>
        </w:rPr>
        <w:t xml:space="preserve"> 953 забеременели </w:t>
      </w:r>
      <w:r w:rsidR="00B34548">
        <w:rPr>
          <w:rFonts w:ascii="Times New Roman" w:hAnsi="Times New Roman" w:cs="Times New Roman"/>
          <w:sz w:val="28"/>
          <w:szCs w:val="28"/>
          <w:lang w:val="ru-RU"/>
        </w:rPr>
        <w:t xml:space="preserve">и получили хороший клинический эффект (регулярный менструальный цикл) </w:t>
      </w:r>
      <w:r w:rsidRPr="00C67CC9">
        <w:rPr>
          <w:rFonts w:ascii="Times New Roman" w:hAnsi="Times New Roman" w:cs="Times New Roman"/>
          <w:sz w:val="28"/>
          <w:szCs w:val="28"/>
          <w:lang w:val="ru-RU"/>
        </w:rPr>
        <w:t>[38].</w:t>
      </w:r>
    </w:p>
    <w:p w:rsidR="00591BDA" w:rsidRPr="00C67CC9" w:rsidRDefault="00394914" w:rsidP="00BB6B0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путем снижения массы тела эффект не был достигнут. Необходимо перейти к лекарственной индукции овуляции. С этой целью наиболее часто </w:t>
      </w:r>
      <w:r>
        <w:rPr>
          <w:rFonts w:ascii="Times New Roman" w:hAnsi="Times New Roman" w:cs="Times New Roman"/>
          <w:sz w:val="28"/>
          <w:szCs w:val="28"/>
          <w:lang w:val="ru-RU"/>
        </w:rPr>
        <w:lastRenderedPageBreak/>
        <w:t xml:space="preserve">используется кломифен цитрат. </w:t>
      </w:r>
      <w:r w:rsidR="00591BDA" w:rsidRPr="00C67CC9">
        <w:rPr>
          <w:rFonts w:ascii="Times New Roman" w:hAnsi="Times New Roman" w:cs="Times New Roman"/>
          <w:sz w:val="28"/>
          <w:szCs w:val="28"/>
          <w:lang w:val="ru-RU"/>
        </w:rPr>
        <w:t>Это является наиболее распространенным методом лечения бесплодия у женщин с СПКЯ. Американский колледж акушеров и гинекологов (</w:t>
      </w:r>
      <w:r w:rsidR="00591BDA" w:rsidRPr="00C67CC9">
        <w:rPr>
          <w:rFonts w:ascii="Times New Roman" w:hAnsi="Times New Roman" w:cs="Times New Roman"/>
          <w:sz w:val="28"/>
          <w:szCs w:val="28"/>
        </w:rPr>
        <w:t>ACOG</w:t>
      </w:r>
      <w:r w:rsidR="00591BDA" w:rsidRPr="00C67CC9">
        <w:rPr>
          <w:rFonts w:ascii="Times New Roman" w:hAnsi="Times New Roman" w:cs="Times New Roman"/>
          <w:sz w:val="28"/>
          <w:szCs w:val="28"/>
          <w:lang w:val="ru-RU"/>
        </w:rPr>
        <w:t>) рекомендует кломифен</w:t>
      </w:r>
      <w:r w:rsidR="007606ED">
        <w:rPr>
          <w:rFonts w:ascii="Times New Roman" w:hAnsi="Times New Roman" w:cs="Times New Roman"/>
          <w:sz w:val="28"/>
          <w:szCs w:val="28"/>
          <w:lang w:val="ru-RU"/>
        </w:rPr>
        <w:t>а цитрат</w:t>
      </w:r>
      <w:r w:rsidR="00591BDA" w:rsidRPr="00C67CC9">
        <w:rPr>
          <w:rFonts w:ascii="Times New Roman" w:hAnsi="Times New Roman" w:cs="Times New Roman"/>
          <w:sz w:val="28"/>
          <w:szCs w:val="28"/>
          <w:lang w:val="ru-RU"/>
        </w:rPr>
        <w:t xml:space="preserve"> в </w:t>
      </w:r>
      <w:r w:rsidR="00AD7EA7" w:rsidRPr="00C67CC9">
        <w:rPr>
          <w:rFonts w:ascii="Times New Roman" w:hAnsi="Times New Roman" w:cs="Times New Roman"/>
          <w:sz w:val="28"/>
          <w:szCs w:val="28"/>
          <w:lang w:val="ru-RU"/>
        </w:rPr>
        <w:t>качестве</w:t>
      </w:r>
      <w:r w:rsidR="00591BDA" w:rsidRPr="00C67CC9">
        <w:rPr>
          <w:rFonts w:ascii="Times New Roman" w:hAnsi="Times New Roman" w:cs="Times New Roman"/>
          <w:sz w:val="28"/>
          <w:szCs w:val="28"/>
          <w:lang w:val="ru-RU"/>
        </w:rPr>
        <w:t xml:space="preserve"> препарата выбора  для пациентов с СПКЯ с бесплодием.</w:t>
      </w:r>
    </w:p>
    <w:p w:rsidR="00591BDA" w:rsidRPr="00C67CC9" w:rsidRDefault="00591BDA"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Женщины, получающие кломифен, более вероятно, будут иметь </w:t>
      </w:r>
      <w:r w:rsidR="00B34548">
        <w:rPr>
          <w:rFonts w:ascii="Times New Roman" w:hAnsi="Times New Roman" w:cs="Times New Roman"/>
          <w:sz w:val="28"/>
          <w:szCs w:val="28"/>
          <w:lang w:val="ru-RU"/>
        </w:rPr>
        <w:t xml:space="preserve">осложнение в виде </w:t>
      </w:r>
      <w:r w:rsidRPr="00C67CC9">
        <w:rPr>
          <w:rFonts w:ascii="Times New Roman" w:hAnsi="Times New Roman" w:cs="Times New Roman"/>
          <w:sz w:val="28"/>
          <w:szCs w:val="28"/>
          <w:lang w:val="ru-RU"/>
        </w:rPr>
        <w:t>многоплодн</w:t>
      </w:r>
      <w:r w:rsidR="00B34548">
        <w:rPr>
          <w:rFonts w:ascii="Times New Roman" w:hAnsi="Times New Roman" w:cs="Times New Roman"/>
          <w:sz w:val="28"/>
          <w:szCs w:val="28"/>
          <w:lang w:val="ru-RU"/>
        </w:rPr>
        <w:t>ой беременности</w:t>
      </w:r>
      <w:r w:rsidRPr="00C67CC9">
        <w:rPr>
          <w:rFonts w:ascii="Times New Roman" w:hAnsi="Times New Roman" w:cs="Times New Roman"/>
          <w:sz w:val="28"/>
          <w:szCs w:val="28"/>
          <w:lang w:val="ru-RU"/>
        </w:rPr>
        <w:t xml:space="preserve">, чем женщины, которые </w:t>
      </w:r>
      <w:r w:rsidR="007606ED">
        <w:rPr>
          <w:rFonts w:ascii="Times New Roman" w:hAnsi="Times New Roman" w:cs="Times New Roman"/>
          <w:sz w:val="28"/>
          <w:szCs w:val="28"/>
          <w:lang w:val="ru-RU"/>
        </w:rPr>
        <w:t>достигают беременности е</w:t>
      </w:r>
      <w:r w:rsidRPr="00C67CC9">
        <w:rPr>
          <w:rFonts w:ascii="Times New Roman" w:hAnsi="Times New Roman" w:cs="Times New Roman"/>
          <w:sz w:val="28"/>
          <w:szCs w:val="28"/>
          <w:lang w:val="ru-RU"/>
        </w:rPr>
        <w:t xml:space="preserve">стественным путем. </w:t>
      </w:r>
      <w:r w:rsidR="007606ED">
        <w:rPr>
          <w:rFonts w:ascii="Times New Roman" w:hAnsi="Times New Roman" w:cs="Times New Roman"/>
          <w:sz w:val="28"/>
          <w:szCs w:val="28"/>
          <w:lang w:val="ru-RU"/>
        </w:rPr>
        <w:t>У каждой десятой</w:t>
      </w:r>
      <w:r w:rsidR="007606ED" w:rsidRPr="00C67CC9">
        <w:rPr>
          <w:rFonts w:ascii="Times New Roman" w:hAnsi="Times New Roman" w:cs="Times New Roman"/>
          <w:sz w:val="28"/>
          <w:szCs w:val="28"/>
          <w:lang w:val="ru-RU"/>
        </w:rPr>
        <w:t xml:space="preserve"> женщин</w:t>
      </w:r>
      <w:r w:rsidR="007606ED">
        <w:rPr>
          <w:rFonts w:ascii="Times New Roman" w:hAnsi="Times New Roman" w:cs="Times New Roman"/>
          <w:sz w:val="28"/>
          <w:szCs w:val="28"/>
          <w:lang w:val="ru-RU"/>
        </w:rPr>
        <w:t>ы с</w:t>
      </w:r>
      <w:r w:rsidR="007606ED" w:rsidRPr="00C67CC9">
        <w:rPr>
          <w:rFonts w:ascii="Times New Roman" w:hAnsi="Times New Roman" w:cs="Times New Roman"/>
          <w:sz w:val="28"/>
          <w:szCs w:val="28"/>
          <w:lang w:val="ru-RU"/>
        </w:rPr>
        <w:t xml:space="preserve"> беремен</w:t>
      </w:r>
      <w:r w:rsidR="007606ED">
        <w:rPr>
          <w:rFonts w:ascii="Times New Roman" w:hAnsi="Times New Roman" w:cs="Times New Roman"/>
          <w:sz w:val="28"/>
          <w:szCs w:val="28"/>
          <w:lang w:val="ru-RU"/>
        </w:rPr>
        <w:t>ностью, наступившей</w:t>
      </w:r>
      <w:r w:rsidR="007606ED" w:rsidRPr="00C67CC9">
        <w:rPr>
          <w:rFonts w:ascii="Times New Roman" w:hAnsi="Times New Roman" w:cs="Times New Roman"/>
          <w:sz w:val="28"/>
          <w:szCs w:val="28"/>
          <w:lang w:val="ru-RU"/>
        </w:rPr>
        <w:t xml:space="preserve"> </w:t>
      </w:r>
      <w:r w:rsidR="007606ED">
        <w:rPr>
          <w:rFonts w:ascii="Times New Roman" w:hAnsi="Times New Roman" w:cs="Times New Roman"/>
          <w:sz w:val="28"/>
          <w:szCs w:val="28"/>
          <w:lang w:val="ru-RU"/>
        </w:rPr>
        <w:t>в результате применения</w:t>
      </w:r>
      <w:r w:rsidR="007606ED" w:rsidRPr="00C67CC9">
        <w:rPr>
          <w:rFonts w:ascii="Times New Roman" w:hAnsi="Times New Roman" w:cs="Times New Roman"/>
          <w:sz w:val="28"/>
          <w:szCs w:val="28"/>
          <w:lang w:val="ru-RU"/>
        </w:rPr>
        <w:t xml:space="preserve"> кломифена</w:t>
      </w:r>
      <w:r w:rsidR="007606ED">
        <w:rPr>
          <w:rFonts w:ascii="Times New Roman" w:hAnsi="Times New Roman" w:cs="Times New Roman"/>
          <w:sz w:val="28"/>
          <w:szCs w:val="28"/>
          <w:lang w:val="ru-RU"/>
        </w:rPr>
        <w:t xml:space="preserve"> цитрата</w:t>
      </w:r>
      <w:r w:rsidR="007606ED" w:rsidRPr="00C67CC9">
        <w:rPr>
          <w:rFonts w:ascii="Times New Roman" w:hAnsi="Times New Roman" w:cs="Times New Roman"/>
          <w:sz w:val="28"/>
          <w:szCs w:val="28"/>
          <w:lang w:val="ru-RU"/>
        </w:rPr>
        <w:t xml:space="preserve">, </w:t>
      </w:r>
      <w:r w:rsidR="007606ED">
        <w:rPr>
          <w:rFonts w:ascii="Times New Roman" w:hAnsi="Times New Roman" w:cs="Times New Roman"/>
          <w:sz w:val="28"/>
          <w:szCs w:val="28"/>
          <w:lang w:val="ru-RU"/>
        </w:rPr>
        <w:t>имеет место многоплодие</w:t>
      </w:r>
      <w:r w:rsidR="007606ED" w:rsidRPr="00C67CC9">
        <w:rPr>
          <w:rFonts w:ascii="Times New Roman" w:hAnsi="Times New Roman" w:cs="Times New Roman"/>
          <w:sz w:val="28"/>
          <w:szCs w:val="28"/>
          <w:lang w:val="ru-RU"/>
        </w:rPr>
        <w:t>.</w:t>
      </w:r>
      <w:r w:rsidRPr="00C67CC9">
        <w:rPr>
          <w:rFonts w:ascii="Times New Roman" w:hAnsi="Times New Roman" w:cs="Times New Roman"/>
          <w:sz w:val="28"/>
          <w:szCs w:val="28"/>
          <w:lang w:val="ru-RU"/>
        </w:rPr>
        <w:t>[40]</w:t>
      </w:r>
    </w:p>
    <w:p w:rsidR="00591BDA" w:rsidRPr="00C67CC9" w:rsidRDefault="001F2F2B"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Рекомендуется использование кломифена цитрата (КЦ) в качестве терапии первой линии для лечения анову</w:t>
      </w:r>
      <w:r w:rsidR="0028461A" w:rsidRPr="00C67CC9">
        <w:rPr>
          <w:rFonts w:ascii="Times New Roman" w:hAnsi="Times New Roman" w:cs="Times New Roman"/>
          <w:sz w:val="28"/>
          <w:szCs w:val="28"/>
          <w:lang w:val="ru-RU"/>
        </w:rPr>
        <w:t>ляторного бесплодия при СПКЯ</w:t>
      </w:r>
      <w:r w:rsidR="00591BDA" w:rsidRPr="00C67CC9">
        <w:rPr>
          <w:rFonts w:ascii="Times New Roman" w:hAnsi="Times New Roman" w:cs="Times New Roman"/>
          <w:sz w:val="28"/>
          <w:szCs w:val="28"/>
          <w:lang w:val="ru-RU"/>
        </w:rPr>
        <w:t xml:space="preserve"> [21, 2]</w:t>
      </w:r>
      <w:r w:rsidRPr="00C67CC9">
        <w:rPr>
          <w:rFonts w:ascii="Times New Roman" w:hAnsi="Times New Roman" w:cs="Times New Roman"/>
          <w:sz w:val="28"/>
          <w:szCs w:val="28"/>
          <w:lang w:val="ru-RU"/>
        </w:rPr>
        <w:t>. При отборе пациенток для применения КЦ рекомендуется принимать во внимание ИМТ, возраст пациентки, налич</w:t>
      </w:r>
      <w:r w:rsidR="00591BDA" w:rsidRPr="00C67CC9">
        <w:rPr>
          <w:rFonts w:ascii="Times New Roman" w:hAnsi="Times New Roman" w:cs="Times New Roman"/>
          <w:sz w:val="28"/>
          <w:szCs w:val="28"/>
          <w:lang w:val="ru-RU"/>
        </w:rPr>
        <w:t>ие прочих факторов бесплодия [</w:t>
      </w:r>
      <w:r w:rsidR="002F587B" w:rsidRPr="00C67CC9">
        <w:rPr>
          <w:rFonts w:ascii="Times New Roman" w:hAnsi="Times New Roman" w:cs="Times New Roman"/>
          <w:sz w:val="28"/>
          <w:szCs w:val="28"/>
          <w:lang w:val="ru-RU"/>
        </w:rPr>
        <w:t>28</w:t>
      </w:r>
      <w:r w:rsidR="00591BDA" w:rsidRPr="00C67CC9">
        <w:rPr>
          <w:rFonts w:ascii="Times New Roman" w:hAnsi="Times New Roman" w:cs="Times New Roman"/>
          <w:sz w:val="28"/>
          <w:szCs w:val="28"/>
          <w:lang w:val="ru-RU"/>
        </w:rPr>
        <w:t>]</w:t>
      </w:r>
      <w:r w:rsidRPr="00C67CC9">
        <w:rPr>
          <w:rFonts w:ascii="Times New Roman" w:hAnsi="Times New Roman" w:cs="Times New Roman"/>
          <w:sz w:val="28"/>
          <w:szCs w:val="28"/>
          <w:lang w:val="ru-RU"/>
        </w:rPr>
        <w:t>. Кломифен цитрат назначается в среднем по 50-100 мг в день, в течение 5 дней, начиная со 2-5 дня спонтанного или индуцированного менструального цикла. Стартовая доза составляет, как правило, 50 мг в день, максимальная суточная доза - 150 мг. Эффективность стимуляции овуляции достигает 70-80%, частота зачатия - 22% на цикл. Повышенный индекс свободного тестостерона, ИМТ, наличие аменореи, увеличенный объем яичников являются предикторам</w:t>
      </w:r>
      <w:r w:rsidR="009A60A1" w:rsidRPr="00C67CC9">
        <w:rPr>
          <w:rFonts w:ascii="Times New Roman" w:hAnsi="Times New Roman" w:cs="Times New Roman"/>
          <w:sz w:val="28"/>
          <w:szCs w:val="28"/>
          <w:lang w:val="ru-RU"/>
        </w:rPr>
        <w:t xml:space="preserve">и неэффективного применения КЦ </w:t>
      </w:r>
      <w:r w:rsidR="00591BDA" w:rsidRPr="00C67CC9">
        <w:rPr>
          <w:rFonts w:ascii="Times New Roman" w:hAnsi="Times New Roman" w:cs="Times New Roman"/>
          <w:sz w:val="28"/>
          <w:szCs w:val="28"/>
          <w:lang w:val="ru-RU"/>
        </w:rPr>
        <w:t>[</w:t>
      </w:r>
      <w:r w:rsidR="002F587B" w:rsidRPr="00C67CC9">
        <w:rPr>
          <w:rFonts w:ascii="Times New Roman" w:hAnsi="Times New Roman" w:cs="Times New Roman"/>
          <w:sz w:val="28"/>
          <w:szCs w:val="28"/>
          <w:lang w:val="ru-RU"/>
        </w:rPr>
        <w:t>29</w:t>
      </w:r>
      <w:r w:rsidR="00591BDA" w:rsidRPr="00C67CC9">
        <w:rPr>
          <w:rFonts w:ascii="Times New Roman" w:hAnsi="Times New Roman" w:cs="Times New Roman"/>
          <w:sz w:val="28"/>
          <w:szCs w:val="28"/>
          <w:lang w:val="ru-RU"/>
        </w:rPr>
        <w:t>]</w:t>
      </w:r>
      <w:r w:rsidRPr="00C67CC9">
        <w:rPr>
          <w:rFonts w:ascii="Times New Roman" w:hAnsi="Times New Roman" w:cs="Times New Roman"/>
          <w:sz w:val="28"/>
          <w:szCs w:val="28"/>
          <w:lang w:val="ru-RU"/>
        </w:rPr>
        <w:t>. Синдром гиперстимуляции яичников (СГЯ) при применении КЦ развивается редко, частота многоплодной бе</w:t>
      </w:r>
      <w:r w:rsidR="00591BDA" w:rsidRPr="00C67CC9">
        <w:rPr>
          <w:rFonts w:ascii="Times New Roman" w:hAnsi="Times New Roman" w:cs="Times New Roman"/>
          <w:sz w:val="28"/>
          <w:szCs w:val="28"/>
          <w:lang w:val="ru-RU"/>
        </w:rPr>
        <w:t>ременности не превышает 10 % [</w:t>
      </w:r>
      <w:r w:rsidR="002F587B" w:rsidRPr="00C67CC9">
        <w:rPr>
          <w:rFonts w:ascii="Times New Roman" w:hAnsi="Times New Roman" w:cs="Times New Roman"/>
          <w:sz w:val="28"/>
          <w:szCs w:val="28"/>
          <w:lang w:val="ru-RU"/>
        </w:rPr>
        <w:t>28</w:t>
      </w:r>
      <w:r w:rsidR="00591BDA" w:rsidRPr="00C67CC9">
        <w:rPr>
          <w:rFonts w:ascii="Times New Roman" w:hAnsi="Times New Roman" w:cs="Times New Roman"/>
          <w:sz w:val="28"/>
          <w:szCs w:val="28"/>
          <w:lang w:val="ru-RU"/>
        </w:rPr>
        <w:t>]</w:t>
      </w:r>
      <w:r w:rsidRPr="00C67CC9">
        <w:rPr>
          <w:rFonts w:ascii="Times New Roman" w:hAnsi="Times New Roman" w:cs="Times New Roman"/>
          <w:sz w:val="28"/>
          <w:szCs w:val="28"/>
          <w:lang w:val="ru-RU"/>
        </w:rPr>
        <w:t>.</w:t>
      </w:r>
    </w:p>
    <w:p w:rsidR="00591BDA" w:rsidRPr="00C67CC9" w:rsidRDefault="001F2F2B"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 Наряду с КЦ в качестве терапии первой линии для лечения бесплодия при СПКЯ рекомендуется применение индукции </w:t>
      </w:r>
      <w:r w:rsidR="009A60A1" w:rsidRPr="00C67CC9">
        <w:rPr>
          <w:rFonts w:ascii="Times New Roman" w:hAnsi="Times New Roman" w:cs="Times New Roman"/>
          <w:sz w:val="28"/>
          <w:szCs w:val="28"/>
          <w:lang w:val="ru-RU"/>
        </w:rPr>
        <w:t xml:space="preserve">овуляции с помощью летрозола </w:t>
      </w:r>
      <w:r w:rsidR="00591BDA" w:rsidRPr="00C67CC9">
        <w:rPr>
          <w:rFonts w:ascii="Times New Roman" w:hAnsi="Times New Roman" w:cs="Times New Roman"/>
          <w:sz w:val="28"/>
          <w:szCs w:val="28"/>
          <w:lang w:val="ru-RU"/>
        </w:rPr>
        <w:t>[</w:t>
      </w:r>
      <w:r w:rsidR="002F587B" w:rsidRPr="00C67CC9">
        <w:rPr>
          <w:rFonts w:ascii="Times New Roman" w:hAnsi="Times New Roman" w:cs="Times New Roman"/>
          <w:sz w:val="28"/>
          <w:szCs w:val="28"/>
          <w:lang w:val="ru-RU"/>
        </w:rPr>
        <w:t>21, 30</w:t>
      </w:r>
      <w:r w:rsidR="00591BDA" w:rsidRPr="00C67CC9">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w:t>
      </w:r>
      <w:r w:rsidR="00591BDA" w:rsidRPr="00C67CC9">
        <w:rPr>
          <w:rFonts w:ascii="Times New Roman" w:hAnsi="Times New Roman" w:cs="Times New Roman"/>
          <w:sz w:val="28"/>
          <w:szCs w:val="28"/>
          <w:lang w:val="ru-RU"/>
        </w:rPr>
        <w:t xml:space="preserve">Летрозол является столь же эффективным, что и кломифен.  </w:t>
      </w:r>
    </w:p>
    <w:p w:rsidR="00591BDA" w:rsidRPr="00C67CC9" w:rsidRDefault="00591BDA"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rPr>
        <w:lastRenderedPageBreak/>
        <w:t>NICHD</w:t>
      </w:r>
      <w:r w:rsidRPr="00C67CC9">
        <w:rPr>
          <w:rFonts w:ascii="Times New Roman" w:hAnsi="Times New Roman" w:cs="Times New Roman"/>
          <w:sz w:val="28"/>
          <w:szCs w:val="28"/>
          <w:lang w:val="ru-RU"/>
        </w:rPr>
        <w:t xml:space="preserve"> в настоящее время проводит исследования с целью сравнить безопасность и эффективность летрозола с кломифеном для лечения бесплодия, связанные с СПКЯ.</w:t>
      </w:r>
    </w:p>
    <w:p w:rsidR="00591BDA" w:rsidRPr="00C67CC9" w:rsidRDefault="00394914" w:rsidP="00BB6B0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При возникновении резистентности к терапии кломифен</w:t>
      </w:r>
      <w:r w:rsidR="009D492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цитратом, рекомендуется его использование в сочетании с метформином. </w:t>
      </w:r>
      <w:r w:rsidR="00591BDA" w:rsidRPr="00C67CC9">
        <w:rPr>
          <w:rFonts w:ascii="Times New Roman" w:hAnsi="Times New Roman" w:cs="Times New Roman"/>
          <w:sz w:val="28"/>
          <w:szCs w:val="28"/>
          <w:lang w:val="ru-RU"/>
        </w:rPr>
        <w:t>Хотя этот препарат как правило, используется для лечения диабета, оно также может быть использовано в качестве вспомогательного средства для регулирования овуляции у женщин с синдромом поликистозных яичников.</w:t>
      </w:r>
    </w:p>
    <w:p w:rsidR="00591BDA" w:rsidRPr="00C67CC9" w:rsidRDefault="009D492F" w:rsidP="00BB6B0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Было доказано, что м</w:t>
      </w:r>
      <w:r w:rsidR="00591BDA" w:rsidRPr="00C67CC9">
        <w:rPr>
          <w:rFonts w:ascii="Times New Roman" w:hAnsi="Times New Roman" w:cs="Times New Roman"/>
          <w:sz w:val="28"/>
          <w:szCs w:val="28"/>
          <w:lang w:val="ru-RU"/>
        </w:rPr>
        <w:t xml:space="preserve">етформин может быть использован в </w:t>
      </w:r>
      <w:r w:rsidR="00AD7EA7" w:rsidRPr="00C67CC9">
        <w:rPr>
          <w:rFonts w:ascii="Times New Roman" w:hAnsi="Times New Roman" w:cs="Times New Roman"/>
          <w:sz w:val="28"/>
          <w:szCs w:val="28"/>
          <w:lang w:val="ru-RU"/>
        </w:rPr>
        <w:t>качестве</w:t>
      </w:r>
      <w:r w:rsidR="00591BDA" w:rsidRPr="00C67CC9">
        <w:rPr>
          <w:rFonts w:ascii="Times New Roman" w:hAnsi="Times New Roman" w:cs="Times New Roman"/>
          <w:sz w:val="28"/>
          <w:szCs w:val="28"/>
          <w:lang w:val="ru-RU"/>
        </w:rPr>
        <w:t xml:space="preserve"> монотерапии или вместе с кломифеном, когда последний оказывается неэффективным[35,39].</w:t>
      </w:r>
    </w:p>
    <w:p w:rsidR="00591BDA" w:rsidRPr="00C67CC9" w:rsidRDefault="00591BDA"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Данные показывают, что метформин-как самостоятельно, так и в комбинации с кломифеном увеличивает количество овуляции, но это не приводит к увеличению частоты беременностей.[42].</w:t>
      </w:r>
    </w:p>
    <w:p w:rsidR="002F587B" w:rsidRPr="00C67CC9" w:rsidRDefault="001F2F2B"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Использование метформина у пациенток с СПКЯ и бесплодием рекомендуется только при н</w:t>
      </w:r>
      <w:r w:rsidR="009A60A1" w:rsidRPr="00C67CC9">
        <w:rPr>
          <w:rFonts w:ascii="Times New Roman" w:hAnsi="Times New Roman" w:cs="Times New Roman"/>
          <w:sz w:val="28"/>
          <w:szCs w:val="28"/>
          <w:lang w:val="ru-RU"/>
        </w:rPr>
        <w:t>арушениях углеводного обмена</w:t>
      </w:r>
      <w:r w:rsidRPr="00C67CC9">
        <w:rPr>
          <w:rFonts w:ascii="Times New Roman" w:hAnsi="Times New Roman" w:cs="Times New Roman"/>
          <w:sz w:val="28"/>
          <w:szCs w:val="28"/>
          <w:lang w:val="ru-RU"/>
        </w:rPr>
        <w:t xml:space="preserve"> или для профилактики синдрома гиперстимуляции яичников у женщин </w:t>
      </w:r>
      <w:r w:rsidR="009A60A1" w:rsidRPr="00C67CC9">
        <w:rPr>
          <w:rFonts w:ascii="Times New Roman" w:hAnsi="Times New Roman" w:cs="Times New Roman"/>
          <w:sz w:val="28"/>
          <w:szCs w:val="28"/>
          <w:lang w:val="ru-RU"/>
        </w:rPr>
        <w:t>с СПКЯ при использовании ВРТ</w:t>
      </w:r>
      <w:r w:rsidR="00591BDA" w:rsidRPr="00C67CC9">
        <w:rPr>
          <w:rFonts w:ascii="Times New Roman" w:hAnsi="Times New Roman" w:cs="Times New Roman"/>
          <w:sz w:val="28"/>
          <w:szCs w:val="28"/>
          <w:lang w:val="ru-RU"/>
        </w:rPr>
        <w:t xml:space="preserve"> [</w:t>
      </w:r>
      <w:r w:rsidRPr="00C67CC9">
        <w:rPr>
          <w:rFonts w:ascii="Times New Roman" w:hAnsi="Times New Roman" w:cs="Times New Roman"/>
          <w:sz w:val="28"/>
          <w:szCs w:val="28"/>
          <w:lang w:val="ru-RU"/>
        </w:rPr>
        <w:t>21</w:t>
      </w:r>
      <w:r w:rsidR="00591BDA" w:rsidRPr="00C67CC9">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w:t>
      </w:r>
      <w:r w:rsidR="00591BDA" w:rsidRPr="00C67CC9">
        <w:rPr>
          <w:rFonts w:ascii="Times New Roman" w:hAnsi="Times New Roman" w:cs="Times New Roman"/>
          <w:sz w:val="28"/>
          <w:szCs w:val="28"/>
          <w:lang w:val="ru-RU"/>
        </w:rPr>
        <w:t xml:space="preserve">Метформин не одобрен </w:t>
      </w:r>
      <w:r w:rsidR="00591BDA" w:rsidRPr="00C67CC9">
        <w:rPr>
          <w:rFonts w:ascii="Times New Roman" w:hAnsi="Times New Roman" w:cs="Times New Roman"/>
          <w:sz w:val="28"/>
          <w:szCs w:val="28"/>
        </w:rPr>
        <w:t>FDA</w:t>
      </w:r>
      <w:r w:rsidR="00591BDA" w:rsidRPr="00C67CC9">
        <w:rPr>
          <w:rFonts w:ascii="Times New Roman" w:hAnsi="Times New Roman" w:cs="Times New Roman"/>
          <w:sz w:val="28"/>
          <w:szCs w:val="28"/>
          <w:lang w:val="ru-RU"/>
        </w:rPr>
        <w:t xml:space="preserve"> для лечения СПКЯ связанных с бесплодием.</w:t>
      </w:r>
    </w:p>
    <w:p w:rsidR="00591BDA" w:rsidRPr="00C67CC9" w:rsidRDefault="002F587B"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В ка</w:t>
      </w:r>
      <w:r w:rsidR="001F2F2B" w:rsidRPr="00C67CC9">
        <w:rPr>
          <w:rFonts w:ascii="Times New Roman" w:hAnsi="Times New Roman" w:cs="Times New Roman"/>
          <w:sz w:val="28"/>
          <w:szCs w:val="28"/>
          <w:lang w:val="ru-RU"/>
        </w:rPr>
        <w:t>честве 2-й линии те</w:t>
      </w:r>
      <w:r w:rsidR="009A60A1" w:rsidRPr="00C67CC9">
        <w:rPr>
          <w:rFonts w:ascii="Times New Roman" w:hAnsi="Times New Roman" w:cs="Times New Roman"/>
          <w:sz w:val="28"/>
          <w:szCs w:val="28"/>
          <w:lang w:val="ru-RU"/>
        </w:rPr>
        <w:t>рапии, при неэффективности кломи</w:t>
      </w:r>
      <w:r w:rsidR="001F2F2B" w:rsidRPr="00C67CC9">
        <w:rPr>
          <w:rFonts w:ascii="Times New Roman" w:hAnsi="Times New Roman" w:cs="Times New Roman"/>
          <w:sz w:val="28"/>
          <w:szCs w:val="28"/>
          <w:lang w:val="ru-RU"/>
        </w:rPr>
        <w:t>фен цитрата или отсутствии условий для его применения проводится стимуляция овуляции гона</w:t>
      </w:r>
      <w:r w:rsidR="009A60A1" w:rsidRPr="00C67CC9">
        <w:rPr>
          <w:rFonts w:ascii="Times New Roman" w:hAnsi="Times New Roman" w:cs="Times New Roman"/>
          <w:sz w:val="28"/>
          <w:szCs w:val="28"/>
          <w:lang w:val="ru-RU"/>
        </w:rPr>
        <w:t>дотропинами или лапароскопия</w:t>
      </w:r>
      <w:r w:rsidR="00591BDA" w:rsidRPr="00C67CC9">
        <w:rPr>
          <w:rFonts w:ascii="Times New Roman" w:hAnsi="Times New Roman" w:cs="Times New Roman"/>
          <w:sz w:val="28"/>
          <w:szCs w:val="28"/>
          <w:lang w:val="ru-RU"/>
        </w:rPr>
        <w:t xml:space="preserve"> [</w:t>
      </w:r>
      <w:r w:rsidRPr="00C67CC9">
        <w:rPr>
          <w:rFonts w:ascii="Times New Roman" w:hAnsi="Times New Roman" w:cs="Times New Roman"/>
          <w:sz w:val="28"/>
          <w:szCs w:val="28"/>
          <w:lang w:val="ru-RU"/>
        </w:rPr>
        <w:t>28</w:t>
      </w:r>
      <w:r w:rsidR="00591BDA" w:rsidRPr="00C67CC9">
        <w:rPr>
          <w:rFonts w:ascii="Times New Roman" w:hAnsi="Times New Roman" w:cs="Times New Roman"/>
          <w:sz w:val="28"/>
          <w:szCs w:val="28"/>
          <w:lang w:val="ru-RU"/>
        </w:rPr>
        <w:t>]</w:t>
      </w:r>
      <w:r w:rsidR="001F2F2B" w:rsidRPr="00C67CC9">
        <w:rPr>
          <w:rFonts w:ascii="Times New Roman" w:hAnsi="Times New Roman" w:cs="Times New Roman"/>
          <w:sz w:val="28"/>
          <w:szCs w:val="28"/>
          <w:lang w:val="ru-RU"/>
        </w:rPr>
        <w:t xml:space="preserve">. При СПКЯ предпочтителен режим использования препарата ФСГ с постепенным увеличением дозировки гонадотропина (так называемый </w:t>
      </w:r>
      <w:r w:rsidR="001F2F2B" w:rsidRPr="00C67CC9">
        <w:rPr>
          <w:rFonts w:ascii="Times New Roman" w:hAnsi="Times New Roman" w:cs="Times New Roman"/>
          <w:sz w:val="28"/>
          <w:szCs w:val="28"/>
        </w:rPr>
        <w:t>Step</w:t>
      </w:r>
      <w:r w:rsidR="001F2F2B" w:rsidRPr="00C67CC9">
        <w:rPr>
          <w:rFonts w:ascii="Times New Roman" w:hAnsi="Times New Roman" w:cs="Times New Roman"/>
          <w:sz w:val="28"/>
          <w:szCs w:val="28"/>
          <w:lang w:val="ru-RU"/>
        </w:rPr>
        <w:t>-</w:t>
      </w:r>
      <w:r w:rsidR="001F2F2B" w:rsidRPr="00C67CC9">
        <w:rPr>
          <w:rFonts w:ascii="Times New Roman" w:hAnsi="Times New Roman" w:cs="Times New Roman"/>
          <w:sz w:val="28"/>
          <w:szCs w:val="28"/>
        </w:rPr>
        <w:t>up</w:t>
      </w:r>
      <w:r w:rsidR="001F2F2B" w:rsidRPr="00C67CC9">
        <w:rPr>
          <w:rFonts w:ascii="Times New Roman" w:hAnsi="Times New Roman" w:cs="Times New Roman"/>
          <w:sz w:val="28"/>
          <w:szCs w:val="28"/>
          <w:lang w:val="ru-RU"/>
        </w:rPr>
        <w:t xml:space="preserve"> режим). Стартовая доза препарата ФСГ составляет 37,5-50 </w:t>
      </w:r>
      <w:r w:rsidR="001F2F2B" w:rsidRPr="00C67CC9">
        <w:rPr>
          <w:rFonts w:ascii="Times New Roman" w:hAnsi="Times New Roman" w:cs="Times New Roman"/>
          <w:sz w:val="28"/>
          <w:szCs w:val="28"/>
        </w:rPr>
        <w:t>ME</w:t>
      </w:r>
      <w:r w:rsidR="001F2F2B" w:rsidRPr="00C67CC9">
        <w:rPr>
          <w:rFonts w:ascii="Times New Roman" w:hAnsi="Times New Roman" w:cs="Times New Roman"/>
          <w:sz w:val="28"/>
          <w:szCs w:val="28"/>
          <w:lang w:val="ru-RU"/>
        </w:rPr>
        <w:t xml:space="preserve"> в день, при отсутствии роста фолликулов через неделю стимуляции доза ФСГ увеличивается на 50%. При адекватном росте </w:t>
      </w:r>
      <w:r w:rsidR="00AD7EA7" w:rsidRPr="00C67CC9">
        <w:rPr>
          <w:rFonts w:ascii="Times New Roman" w:hAnsi="Times New Roman" w:cs="Times New Roman"/>
          <w:sz w:val="28"/>
          <w:szCs w:val="28"/>
          <w:lang w:val="ru-RU"/>
        </w:rPr>
        <w:lastRenderedPageBreak/>
        <w:t>фолликулов</w:t>
      </w:r>
      <w:r w:rsidR="001F2F2B" w:rsidRPr="00C67CC9">
        <w:rPr>
          <w:rFonts w:ascii="Times New Roman" w:hAnsi="Times New Roman" w:cs="Times New Roman"/>
          <w:sz w:val="28"/>
          <w:szCs w:val="28"/>
          <w:lang w:val="ru-RU"/>
        </w:rPr>
        <w:t xml:space="preserve"> дозировка ФСГ остается прежней. </w:t>
      </w:r>
      <w:r w:rsidR="001F2F2B" w:rsidRPr="00C67CC9">
        <w:rPr>
          <w:rFonts w:ascii="Times New Roman" w:hAnsi="Times New Roman" w:cs="Times New Roman"/>
          <w:sz w:val="28"/>
          <w:szCs w:val="28"/>
        </w:rPr>
        <w:t>Step</w:t>
      </w:r>
      <w:r w:rsidR="001F2F2B" w:rsidRPr="00C67CC9">
        <w:rPr>
          <w:rFonts w:ascii="Times New Roman" w:hAnsi="Times New Roman" w:cs="Times New Roman"/>
          <w:sz w:val="28"/>
          <w:szCs w:val="28"/>
          <w:lang w:val="ru-RU"/>
        </w:rPr>
        <w:t>-</w:t>
      </w:r>
      <w:r w:rsidR="001F2F2B" w:rsidRPr="00C67CC9">
        <w:rPr>
          <w:rFonts w:ascii="Times New Roman" w:hAnsi="Times New Roman" w:cs="Times New Roman"/>
          <w:sz w:val="28"/>
          <w:szCs w:val="28"/>
        </w:rPr>
        <w:t>down</w:t>
      </w:r>
      <w:r w:rsidR="001F2F2B" w:rsidRPr="00C67CC9">
        <w:rPr>
          <w:rFonts w:ascii="Times New Roman" w:hAnsi="Times New Roman" w:cs="Times New Roman"/>
          <w:sz w:val="28"/>
          <w:szCs w:val="28"/>
          <w:lang w:val="ru-RU"/>
        </w:rPr>
        <w:t xml:space="preserve"> режим предполагает использование высоких начальных доз ФСГ - 100-150 </w:t>
      </w:r>
      <w:r w:rsidR="001F2F2B" w:rsidRPr="00C67CC9">
        <w:rPr>
          <w:rFonts w:ascii="Times New Roman" w:hAnsi="Times New Roman" w:cs="Times New Roman"/>
          <w:sz w:val="28"/>
          <w:szCs w:val="28"/>
        </w:rPr>
        <w:t>ME</w:t>
      </w:r>
      <w:r w:rsidR="001F2F2B" w:rsidRPr="00C67CC9">
        <w:rPr>
          <w:rFonts w:ascii="Times New Roman" w:hAnsi="Times New Roman" w:cs="Times New Roman"/>
          <w:sz w:val="28"/>
          <w:szCs w:val="28"/>
          <w:lang w:val="ru-RU"/>
        </w:rPr>
        <w:t xml:space="preserve"> в день с последующим снижением дозы, однако для использования данного протокола требуется больший клинический опыт</w:t>
      </w:r>
      <w:r w:rsidRPr="00C67CC9">
        <w:rPr>
          <w:rFonts w:ascii="Times New Roman" w:hAnsi="Times New Roman" w:cs="Times New Roman"/>
          <w:sz w:val="28"/>
          <w:szCs w:val="28"/>
          <w:lang w:val="ru-RU"/>
        </w:rPr>
        <w:t xml:space="preserve"> и его применение ограничено (28</w:t>
      </w:r>
      <w:r w:rsidR="001F2F2B" w:rsidRPr="00C67CC9">
        <w:rPr>
          <w:rFonts w:ascii="Times New Roman" w:hAnsi="Times New Roman" w:cs="Times New Roman"/>
          <w:sz w:val="28"/>
          <w:szCs w:val="28"/>
          <w:lang w:val="ru-RU"/>
        </w:rPr>
        <w:t xml:space="preserve">). Продолжительность использования гонадотропинов не должна превышать 6 циклов. </w:t>
      </w:r>
    </w:p>
    <w:p w:rsidR="002F587B" w:rsidRPr="00C67CC9" w:rsidRDefault="00591BDA"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Это лечение является дорогостоящим и имеет более высокий риск многоплодной беременности, чем лечение с</w:t>
      </w:r>
      <w:r w:rsidR="00A4296C" w:rsidRPr="00C67CC9">
        <w:rPr>
          <w:rFonts w:ascii="Times New Roman" w:hAnsi="Times New Roman" w:cs="Times New Roman"/>
          <w:sz w:val="28"/>
          <w:szCs w:val="28"/>
          <w:lang w:val="ru-RU"/>
        </w:rPr>
        <w:t xml:space="preserve"> </w:t>
      </w:r>
      <w:r w:rsidRPr="00C67CC9">
        <w:rPr>
          <w:rFonts w:ascii="Times New Roman" w:hAnsi="Times New Roman" w:cs="Times New Roman"/>
          <w:sz w:val="28"/>
          <w:szCs w:val="28"/>
          <w:lang w:val="ru-RU"/>
        </w:rPr>
        <w:t>кломифеном [37]. Врач вынужден использовать частые лабораторные анализы и УЗИ, чтобы наблюдать, как организм реагирует на терапию [37]: п</w:t>
      </w:r>
      <w:r w:rsidR="001F2F2B" w:rsidRPr="00C67CC9">
        <w:rPr>
          <w:rFonts w:ascii="Times New Roman" w:hAnsi="Times New Roman" w:cs="Times New Roman"/>
          <w:sz w:val="28"/>
          <w:szCs w:val="28"/>
          <w:lang w:val="ru-RU"/>
        </w:rPr>
        <w:t>ри проведении стимуляции гонадотропинами рекомендуется мони</w:t>
      </w:r>
      <w:r w:rsidRPr="00C67CC9">
        <w:rPr>
          <w:rFonts w:ascii="Times New Roman" w:hAnsi="Times New Roman" w:cs="Times New Roman"/>
          <w:sz w:val="28"/>
          <w:szCs w:val="28"/>
          <w:lang w:val="ru-RU"/>
        </w:rPr>
        <w:t>торировать овариальный ответ [</w:t>
      </w:r>
      <w:r w:rsidR="002F587B" w:rsidRPr="00C67CC9">
        <w:rPr>
          <w:rFonts w:ascii="Times New Roman" w:hAnsi="Times New Roman" w:cs="Times New Roman"/>
          <w:sz w:val="28"/>
          <w:szCs w:val="28"/>
          <w:lang w:val="ru-RU"/>
        </w:rPr>
        <w:t>28</w:t>
      </w:r>
      <w:r w:rsidRPr="00C67CC9">
        <w:rPr>
          <w:rFonts w:ascii="Times New Roman" w:hAnsi="Times New Roman" w:cs="Times New Roman"/>
          <w:sz w:val="28"/>
          <w:szCs w:val="28"/>
          <w:lang w:val="ru-RU"/>
        </w:rPr>
        <w:t>]</w:t>
      </w:r>
      <w:r w:rsidR="001F2F2B" w:rsidRPr="00C67CC9">
        <w:rPr>
          <w:rFonts w:ascii="Times New Roman" w:hAnsi="Times New Roman" w:cs="Times New Roman"/>
          <w:sz w:val="28"/>
          <w:szCs w:val="28"/>
          <w:lang w:val="ru-RU"/>
        </w:rPr>
        <w:t>.</w:t>
      </w:r>
    </w:p>
    <w:p w:rsidR="00A4296C" w:rsidRPr="00C67CC9" w:rsidRDefault="001F2F2B" w:rsidP="00BB6B0E">
      <w:pPr>
        <w:spacing w:line="360" w:lineRule="auto"/>
        <w:jc w:val="both"/>
        <w:rPr>
          <w:rFonts w:ascii="Times New Roman" w:hAnsi="Times New Roman" w:cs="Times New Roman"/>
          <w:b/>
          <w:sz w:val="28"/>
          <w:szCs w:val="28"/>
          <w:lang w:val="ru-RU"/>
        </w:rPr>
      </w:pPr>
      <w:r w:rsidRPr="00C67CC9">
        <w:rPr>
          <w:rFonts w:ascii="Times New Roman" w:hAnsi="Times New Roman" w:cs="Times New Roman"/>
          <w:sz w:val="28"/>
          <w:szCs w:val="28"/>
          <w:lang w:val="ru-RU"/>
        </w:rPr>
        <w:t xml:space="preserve"> </w:t>
      </w:r>
      <w:r w:rsidR="00A4296C" w:rsidRPr="00C67CC9">
        <w:rPr>
          <w:rFonts w:ascii="Times New Roman" w:hAnsi="Times New Roman" w:cs="Times New Roman"/>
          <w:b/>
          <w:sz w:val="28"/>
          <w:szCs w:val="28"/>
          <w:lang w:val="ru-RU"/>
        </w:rPr>
        <w:t>1.3. Хирургическое лечение СПКЯ.</w:t>
      </w:r>
    </w:p>
    <w:p w:rsidR="00591BDA" w:rsidRPr="00C67CC9" w:rsidRDefault="001F2F2B"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Основные показания к лапароскопии </w:t>
      </w:r>
      <w:r w:rsidR="00591BDA" w:rsidRPr="00C67CC9">
        <w:rPr>
          <w:rFonts w:ascii="Times New Roman" w:hAnsi="Times New Roman" w:cs="Times New Roman"/>
          <w:sz w:val="28"/>
          <w:szCs w:val="28"/>
          <w:lang w:val="ru-RU"/>
        </w:rPr>
        <w:t>у женщин с СПКЯ и бесплодием [</w:t>
      </w:r>
      <w:r w:rsidR="002F587B" w:rsidRPr="00C67CC9">
        <w:rPr>
          <w:rFonts w:ascii="Times New Roman" w:hAnsi="Times New Roman" w:cs="Times New Roman"/>
          <w:sz w:val="28"/>
          <w:szCs w:val="28"/>
          <w:lang w:val="ru-RU"/>
        </w:rPr>
        <w:t>28</w:t>
      </w:r>
      <w:r w:rsidR="00591BDA" w:rsidRPr="00C67CC9">
        <w:rPr>
          <w:rFonts w:ascii="Times New Roman" w:hAnsi="Times New Roman" w:cs="Times New Roman"/>
          <w:sz w:val="28"/>
          <w:szCs w:val="28"/>
          <w:lang w:val="ru-RU"/>
        </w:rPr>
        <w:t>]</w:t>
      </w:r>
      <w:r w:rsidRPr="00C67CC9">
        <w:rPr>
          <w:rFonts w:ascii="Times New Roman" w:hAnsi="Times New Roman" w:cs="Times New Roman"/>
          <w:sz w:val="28"/>
          <w:szCs w:val="28"/>
          <w:lang w:val="ru-RU"/>
        </w:rPr>
        <w:t>: резистентность к кломифенцитрату, высокий уровень ЛГ, прочие показания</w:t>
      </w:r>
      <w:r w:rsidR="009A60A1" w:rsidRPr="00C67CC9">
        <w:rPr>
          <w:rFonts w:ascii="Times New Roman" w:hAnsi="Times New Roman" w:cs="Times New Roman"/>
          <w:sz w:val="28"/>
          <w:szCs w:val="28"/>
          <w:lang w:val="ru-RU"/>
        </w:rPr>
        <w:t xml:space="preserve"> к лапароскопической операции у</w:t>
      </w:r>
      <w:r w:rsidRPr="00C67CC9">
        <w:rPr>
          <w:rFonts w:ascii="Times New Roman" w:hAnsi="Times New Roman" w:cs="Times New Roman"/>
          <w:sz w:val="28"/>
          <w:szCs w:val="28"/>
          <w:lang w:val="ru-RU"/>
        </w:rPr>
        <w:t xml:space="preserve"> пациенток с СПКЯ (эндометриоз, трубно-перитонеальный фактор бесплодия), невозможность мониторинга при использовании гонадотропинов. Эффективность </w:t>
      </w:r>
      <w:r w:rsidR="009A60A1" w:rsidRPr="00C67CC9">
        <w:rPr>
          <w:rFonts w:ascii="Times New Roman" w:hAnsi="Times New Roman" w:cs="Times New Roman"/>
          <w:sz w:val="28"/>
          <w:szCs w:val="28"/>
          <w:lang w:val="ru-RU"/>
        </w:rPr>
        <w:t>электрокаутеризации</w:t>
      </w:r>
      <w:r w:rsidRPr="00C67CC9">
        <w:rPr>
          <w:rFonts w:ascii="Times New Roman" w:hAnsi="Times New Roman" w:cs="Times New Roman"/>
          <w:sz w:val="28"/>
          <w:szCs w:val="28"/>
          <w:lang w:val="ru-RU"/>
        </w:rPr>
        <w:t xml:space="preserve"> и примене</w:t>
      </w:r>
      <w:r w:rsidR="009A60A1" w:rsidRPr="00C67CC9">
        <w:rPr>
          <w:rFonts w:ascii="Times New Roman" w:hAnsi="Times New Roman" w:cs="Times New Roman"/>
          <w:sz w:val="28"/>
          <w:szCs w:val="28"/>
          <w:lang w:val="ru-RU"/>
        </w:rPr>
        <w:t xml:space="preserve">ния гонадотропинов сопоставимы </w:t>
      </w:r>
      <w:r w:rsidR="00591BDA" w:rsidRPr="00C67CC9">
        <w:rPr>
          <w:rFonts w:ascii="Times New Roman" w:hAnsi="Times New Roman" w:cs="Times New Roman"/>
          <w:sz w:val="28"/>
          <w:szCs w:val="28"/>
          <w:lang w:val="ru-RU"/>
        </w:rPr>
        <w:t>[</w:t>
      </w:r>
      <w:r w:rsidR="002F587B" w:rsidRPr="00C67CC9">
        <w:rPr>
          <w:rFonts w:ascii="Times New Roman" w:hAnsi="Times New Roman" w:cs="Times New Roman"/>
          <w:sz w:val="28"/>
          <w:szCs w:val="28"/>
          <w:lang w:val="ru-RU"/>
        </w:rPr>
        <w:t>31</w:t>
      </w:r>
      <w:r w:rsidRPr="00C67CC9">
        <w:rPr>
          <w:rFonts w:ascii="Times New Roman" w:hAnsi="Times New Roman" w:cs="Times New Roman"/>
          <w:sz w:val="28"/>
          <w:szCs w:val="28"/>
          <w:lang w:val="ru-RU"/>
        </w:rPr>
        <w:t>,</w:t>
      </w:r>
      <w:r w:rsidR="002F587B" w:rsidRPr="00C67CC9">
        <w:rPr>
          <w:rFonts w:ascii="Times New Roman" w:hAnsi="Times New Roman" w:cs="Times New Roman"/>
          <w:sz w:val="28"/>
          <w:szCs w:val="28"/>
          <w:lang w:val="ru-RU"/>
        </w:rPr>
        <w:t>32</w:t>
      </w:r>
      <w:r w:rsidR="00591BDA" w:rsidRPr="00C67CC9">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w:t>
      </w:r>
      <w:r w:rsidR="00591BDA" w:rsidRPr="00C67CC9">
        <w:rPr>
          <w:rFonts w:ascii="Times New Roman" w:hAnsi="Times New Roman" w:cs="Times New Roman"/>
          <w:sz w:val="28"/>
          <w:szCs w:val="28"/>
          <w:lang w:val="ru-RU"/>
        </w:rPr>
        <w:t xml:space="preserve">Эта операция достоверно может увеличить вероятность овуляции и могут быть рассмотрена, если консервативная терапия оказалась неэффективной. </w:t>
      </w:r>
    </w:p>
    <w:p w:rsidR="00591BDA" w:rsidRPr="00C67CC9" w:rsidRDefault="00591BDA"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В электрокаутеризации яичников хирург делает небольшой лапаратомный (лапароскопический) разрез, затем использует иглу с электрическим током, чтобы проколоть и уничтожить небольшую часть</w:t>
      </w:r>
      <w:r w:rsidR="009D492F">
        <w:rPr>
          <w:rFonts w:ascii="Times New Roman" w:hAnsi="Times New Roman" w:cs="Times New Roman"/>
          <w:sz w:val="28"/>
          <w:szCs w:val="28"/>
          <w:lang w:val="ru-RU"/>
        </w:rPr>
        <w:t xml:space="preserve"> паренхимы</w:t>
      </w:r>
      <w:r w:rsidRPr="00C67CC9">
        <w:rPr>
          <w:rFonts w:ascii="Times New Roman" w:hAnsi="Times New Roman" w:cs="Times New Roman"/>
          <w:sz w:val="28"/>
          <w:szCs w:val="28"/>
          <w:lang w:val="ru-RU"/>
        </w:rPr>
        <w:t xml:space="preserve"> яичника. Операция приводит к снижению уровня андрогенов, которые тормозят овуляцию.</w:t>
      </w:r>
    </w:p>
    <w:p w:rsidR="002F587B" w:rsidRPr="00C67CC9" w:rsidRDefault="001F2F2B" w:rsidP="00BB6B0E">
      <w:pPr>
        <w:pStyle w:val="NormalWeb"/>
        <w:spacing w:before="168" w:beforeAutospacing="0" w:after="168" w:afterAutospacing="0" w:line="360" w:lineRule="auto"/>
        <w:ind w:firstLine="750"/>
        <w:jc w:val="both"/>
        <w:rPr>
          <w:sz w:val="28"/>
          <w:szCs w:val="28"/>
          <w:lang w:val="ru-RU"/>
        </w:rPr>
      </w:pPr>
      <w:r w:rsidRPr="00C67CC9">
        <w:rPr>
          <w:sz w:val="28"/>
          <w:szCs w:val="28"/>
          <w:lang w:val="ru-RU"/>
        </w:rPr>
        <w:lastRenderedPageBreak/>
        <w:t>Для достижения эффекта при СПКЯ достаточно 4-х пункций яичника, с большим их числом ассоциировано возрастание риска преждевременной</w:t>
      </w:r>
      <w:r w:rsidR="00591BDA" w:rsidRPr="00C67CC9">
        <w:rPr>
          <w:sz w:val="28"/>
          <w:szCs w:val="28"/>
          <w:lang w:val="ru-RU"/>
        </w:rPr>
        <w:t xml:space="preserve"> овариальной недостаточности [</w:t>
      </w:r>
      <w:r w:rsidR="002F587B" w:rsidRPr="00C67CC9">
        <w:rPr>
          <w:sz w:val="28"/>
          <w:szCs w:val="28"/>
          <w:lang w:val="ru-RU"/>
        </w:rPr>
        <w:t>28</w:t>
      </w:r>
      <w:r w:rsidR="00591BDA" w:rsidRPr="00C67CC9">
        <w:rPr>
          <w:sz w:val="28"/>
          <w:szCs w:val="28"/>
          <w:lang w:val="ru-RU"/>
        </w:rPr>
        <w:t>]</w:t>
      </w:r>
      <w:r w:rsidRPr="00C67CC9">
        <w:rPr>
          <w:sz w:val="28"/>
          <w:szCs w:val="28"/>
          <w:lang w:val="ru-RU"/>
        </w:rPr>
        <w:t xml:space="preserve">. </w:t>
      </w:r>
      <w:r w:rsidR="00EF5691" w:rsidRPr="00C67CC9">
        <w:rPr>
          <w:sz w:val="28"/>
          <w:szCs w:val="28"/>
          <w:lang w:val="ru-RU"/>
        </w:rPr>
        <w:t>Р</w:t>
      </w:r>
      <w:r w:rsidR="00AD7EA7">
        <w:rPr>
          <w:sz w:val="28"/>
          <w:szCs w:val="28"/>
          <w:lang w:val="ru-RU"/>
        </w:rPr>
        <w:t>езультаты проведенного проспек</w:t>
      </w:r>
      <w:r w:rsidR="00EF5691" w:rsidRPr="00C67CC9">
        <w:rPr>
          <w:sz w:val="28"/>
          <w:szCs w:val="28"/>
          <w:lang w:val="ru-RU"/>
        </w:rPr>
        <w:t xml:space="preserve">тивного когортного исследования </w:t>
      </w:r>
      <w:r w:rsidR="00EF5691" w:rsidRPr="00C67CC9">
        <w:rPr>
          <w:sz w:val="28"/>
          <w:szCs w:val="28"/>
        </w:rPr>
        <w:t>H</w:t>
      </w:r>
      <w:r w:rsidR="00EF5691" w:rsidRPr="00C67CC9">
        <w:rPr>
          <w:sz w:val="28"/>
          <w:szCs w:val="28"/>
          <w:lang w:val="ru-RU"/>
        </w:rPr>
        <w:t xml:space="preserve">. </w:t>
      </w:r>
      <w:proofErr w:type="spellStart"/>
      <w:r w:rsidR="00EF5691" w:rsidRPr="00C67CC9">
        <w:rPr>
          <w:sz w:val="28"/>
          <w:szCs w:val="28"/>
        </w:rPr>
        <w:t>Gjonnaess</w:t>
      </w:r>
      <w:proofErr w:type="spellEnd"/>
      <w:r w:rsidR="00EF5691" w:rsidRPr="00C67CC9">
        <w:rPr>
          <w:sz w:val="28"/>
          <w:szCs w:val="28"/>
          <w:lang w:val="ru-RU"/>
        </w:rPr>
        <w:t xml:space="preserve"> (2010</w:t>
      </w:r>
      <w:r w:rsidR="006F13E9" w:rsidRPr="00C67CC9">
        <w:rPr>
          <w:sz w:val="28"/>
          <w:szCs w:val="28"/>
          <w:lang w:val="ru-RU"/>
        </w:rPr>
        <w:t xml:space="preserve"> </w:t>
      </w:r>
      <w:r w:rsidR="00EF5691" w:rsidRPr="00C67CC9">
        <w:rPr>
          <w:sz w:val="28"/>
          <w:szCs w:val="28"/>
          <w:lang w:val="ru-RU"/>
        </w:rPr>
        <w:t xml:space="preserve">г.) показали, что у женщин с СПКЯ после электрокаутеризации яичников овуляторные менструальные циклы наблюдаются в 92%, а беременность наступает в 59% случаев. </w:t>
      </w:r>
      <w:r w:rsidR="00EF5691" w:rsidRPr="00C67CC9">
        <w:rPr>
          <w:sz w:val="28"/>
          <w:szCs w:val="28"/>
        </w:rPr>
        <w:t>E</w:t>
      </w:r>
      <w:r w:rsidR="00EF5691" w:rsidRPr="00C67CC9">
        <w:rPr>
          <w:sz w:val="28"/>
          <w:szCs w:val="28"/>
          <w:lang w:val="ru-RU"/>
        </w:rPr>
        <w:t xml:space="preserve">. </w:t>
      </w:r>
      <w:r w:rsidR="00EF5691" w:rsidRPr="00C67CC9">
        <w:rPr>
          <w:sz w:val="28"/>
          <w:szCs w:val="28"/>
        </w:rPr>
        <w:t>Mohammed</w:t>
      </w:r>
      <w:r w:rsidR="00EF5691" w:rsidRPr="00C67CC9">
        <w:rPr>
          <w:sz w:val="28"/>
          <w:szCs w:val="28"/>
          <w:lang w:val="ru-RU"/>
        </w:rPr>
        <w:t xml:space="preserve"> (2007 г.)  провел рандомизированное контролируемое исследование, где было проведено сравнительное изучение лапароскопической каутеризации яичников и диагностической лапароскопии. В результате было показано, что у пациенток после каутеризации яичников в 55,6% случаев отмечает</w:t>
      </w:r>
      <w:r w:rsidR="006F13E9" w:rsidRPr="00C67CC9">
        <w:rPr>
          <w:sz w:val="28"/>
          <w:szCs w:val="28"/>
          <w:lang w:val="ru-RU"/>
        </w:rPr>
        <w:t>ся снижение уровней ЛГ и андро</w:t>
      </w:r>
      <w:r w:rsidR="00EF5691" w:rsidRPr="00C67CC9">
        <w:rPr>
          <w:sz w:val="28"/>
          <w:szCs w:val="28"/>
          <w:lang w:val="ru-RU"/>
        </w:rPr>
        <w:t>генов по сравнению с таковым на 10% в контрольной группе. Кроме того, по</w:t>
      </w:r>
      <w:r w:rsidR="006F13E9" w:rsidRPr="00C67CC9">
        <w:rPr>
          <w:sz w:val="28"/>
          <w:szCs w:val="28"/>
          <w:lang w:val="ru-RU"/>
        </w:rPr>
        <w:t>сле каутеризации яичников повы</w:t>
      </w:r>
      <w:r w:rsidR="00EF5691" w:rsidRPr="00C67CC9">
        <w:rPr>
          <w:sz w:val="28"/>
          <w:szCs w:val="28"/>
          <w:lang w:val="ru-RU"/>
        </w:rPr>
        <w:t>шение уровня пролактина в течение 6—10 нед</w:t>
      </w:r>
      <w:r w:rsidR="006F13E9" w:rsidRPr="00C67CC9">
        <w:rPr>
          <w:sz w:val="28"/>
          <w:szCs w:val="28"/>
          <w:lang w:val="ru-RU"/>
        </w:rPr>
        <w:t>ель после опе</w:t>
      </w:r>
      <w:r w:rsidR="00EF5691" w:rsidRPr="00C67CC9">
        <w:rPr>
          <w:sz w:val="28"/>
          <w:szCs w:val="28"/>
          <w:lang w:val="ru-RU"/>
        </w:rPr>
        <w:t>рации наблюдается знач</w:t>
      </w:r>
      <w:r w:rsidR="006F13E9" w:rsidRPr="00C67CC9">
        <w:rPr>
          <w:sz w:val="28"/>
          <w:szCs w:val="28"/>
          <w:lang w:val="ru-RU"/>
        </w:rPr>
        <w:t>ительно чаще — в 27,8% по срав</w:t>
      </w:r>
      <w:r w:rsidR="00EF5691" w:rsidRPr="00C67CC9">
        <w:rPr>
          <w:sz w:val="28"/>
          <w:szCs w:val="28"/>
          <w:lang w:val="ru-RU"/>
        </w:rPr>
        <w:t>нению</w:t>
      </w:r>
      <w:r w:rsidR="006F13E9" w:rsidRPr="00C67CC9">
        <w:rPr>
          <w:sz w:val="28"/>
          <w:szCs w:val="28"/>
          <w:lang w:val="ru-RU"/>
        </w:rPr>
        <w:t xml:space="preserve"> с 6,7% в контрольной группе [33</w:t>
      </w:r>
      <w:r w:rsidR="00EF5691" w:rsidRPr="00C67CC9">
        <w:rPr>
          <w:sz w:val="28"/>
          <w:szCs w:val="28"/>
          <w:lang w:val="ru-RU"/>
        </w:rPr>
        <w:t>]. Повышение уровня пролактина после оперативного вмешательства на яичниках может наруш</w:t>
      </w:r>
      <w:r w:rsidR="006F13E9" w:rsidRPr="00C67CC9">
        <w:rPr>
          <w:sz w:val="28"/>
          <w:szCs w:val="28"/>
          <w:lang w:val="ru-RU"/>
        </w:rPr>
        <w:t>ать процесс восстановления фер</w:t>
      </w:r>
      <w:r w:rsidR="00EF5691" w:rsidRPr="00C67CC9">
        <w:rPr>
          <w:sz w:val="28"/>
          <w:szCs w:val="28"/>
          <w:lang w:val="ru-RU"/>
        </w:rPr>
        <w:t>тильности у больных с СПКЯ, спос</w:t>
      </w:r>
      <w:r w:rsidR="006F13E9" w:rsidRPr="00C67CC9">
        <w:rPr>
          <w:sz w:val="28"/>
          <w:szCs w:val="28"/>
          <w:lang w:val="ru-RU"/>
        </w:rPr>
        <w:t>обствовать формированию НЛФ [33</w:t>
      </w:r>
      <w:r w:rsidR="00EF5691" w:rsidRPr="00C67CC9">
        <w:rPr>
          <w:sz w:val="28"/>
          <w:szCs w:val="28"/>
          <w:lang w:val="ru-RU"/>
        </w:rPr>
        <w:t>].</w:t>
      </w:r>
      <w:r w:rsidR="006F13E9" w:rsidRPr="00C67CC9">
        <w:rPr>
          <w:sz w:val="28"/>
          <w:szCs w:val="28"/>
          <w:lang w:val="ru-RU"/>
        </w:rPr>
        <w:t xml:space="preserve"> </w:t>
      </w:r>
      <w:r w:rsidR="002F587B" w:rsidRPr="00C67CC9">
        <w:rPr>
          <w:sz w:val="28"/>
          <w:szCs w:val="28"/>
          <w:lang w:val="ru-RU"/>
        </w:rPr>
        <w:t>Но известно, что любое оперативное вмешательство обусловливает уменьшение фолликулярного аппарата, выраженность редуцирующего влияния на фолликулярный резерв находится в прямой зависимости от объема выполняемой операции. Кроме того, у отдельных больных реакции даже на небольшую хирургическую травму яичников могут носить гиперергический характер, что связанно с индивидуальными особенностями течения репаративных процессов, которые невозможно предвидеть заранее.</w:t>
      </w:r>
    </w:p>
    <w:p w:rsidR="002F587B" w:rsidRPr="00C67CC9" w:rsidRDefault="002F587B" w:rsidP="00BB6B0E">
      <w:pPr>
        <w:pStyle w:val="NormalWeb"/>
        <w:spacing w:before="168" w:beforeAutospacing="0" w:after="168" w:afterAutospacing="0" w:line="360" w:lineRule="auto"/>
        <w:ind w:firstLine="750"/>
        <w:jc w:val="both"/>
        <w:rPr>
          <w:sz w:val="28"/>
          <w:szCs w:val="28"/>
          <w:lang w:val="ru-RU"/>
        </w:rPr>
      </w:pPr>
      <w:r w:rsidRPr="00C67CC9">
        <w:rPr>
          <w:sz w:val="28"/>
          <w:szCs w:val="28"/>
          <w:lang w:val="ru-RU"/>
        </w:rPr>
        <w:lastRenderedPageBreak/>
        <w:t>Это может приводить к замещению значительной части функциональной ткани яичников на соединительную, т.е. к её чрезмерному склерозированию.</w:t>
      </w:r>
      <w:r w:rsidR="00591BDA" w:rsidRPr="00C67CC9">
        <w:rPr>
          <w:sz w:val="28"/>
          <w:szCs w:val="28"/>
          <w:lang w:val="ru-RU"/>
        </w:rPr>
        <w:t xml:space="preserve"> </w:t>
      </w:r>
    </w:p>
    <w:p w:rsidR="002F587B" w:rsidRPr="00C67CC9" w:rsidRDefault="002F587B" w:rsidP="00BB6B0E">
      <w:pPr>
        <w:pStyle w:val="NormalWeb"/>
        <w:spacing w:before="168" w:beforeAutospacing="0" w:after="168" w:afterAutospacing="0" w:line="360" w:lineRule="auto"/>
        <w:ind w:firstLine="750"/>
        <w:jc w:val="both"/>
        <w:rPr>
          <w:sz w:val="28"/>
          <w:szCs w:val="28"/>
          <w:lang w:val="ru-RU"/>
        </w:rPr>
      </w:pPr>
      <w:r w:rsidRPr="00C67CC9">
        <w:rPr>
          <w:sz w:val="28"/>
          <w:szCs w:val="28"/>
          <w:lang w:val="ru-RU"/>
        </w:rPr>
        <w:t>Таким образом, после операции можно ожидать значительного подавления исходно высокой андрогенсекретирующей функции яичников, т.е. падения общего тестостерона до аномально низких значений. Последнее можно рассматривать как возможный фактор риска для бедного ответа на гонадотропины в программах ЭКО, поскольку тестостерон в физиологических концентрациях потенцирует чувствительность рецепторов растущих фолликулов к стимулирующему эффекту ФСГ. Также существует риск необратимого повреждения яичников и развития их истощения, когда достижение беременности становится возможным только при при</w:t>
      </w:r>
      <w:r w:rsidR="00591BDA" w:rsidRPr="00C67CC9">
        <w:rPr>
          <w:sz w:val="28"/>
          <w:szCs w:val="28"/>
          <w:lang w:val="ru-RU"/>
        </w:rPr>
        <w:t>менении донорских программ. [48,50</w:t>
      </w:r>
      <w:r w:rsidRPr="00C67CC9">
        <w:rPr>
          <w:sz w:val="28"/>
          <w:szCs w:val="28"/>
          <w:lang w:val="ru-RU"/>
        </w:rPr>
        <w:t>,</w:t>
      </w:r>
      <w:r w:rsidR="00591BDA" w:rsidRPr="00C67CC9">
        <w:rPr>
          <w:sz w:val="28"/>
          <w:szCs w:val="28"/>
          <w:lang w:val="ru-RU"/>
        </w:rPr>
        <w:t>51</w:t>
      </w:r>
      <w:r w:rsidRPr="00C67CC9">
        <w:rPr>
          <w:sz w:val="28"/>
          <w:szCs w:val="28"/>
          <w:lang w:val="ru-RU"/>
        </w:rPr>
        <w:t>].</w:t>
      </w:r>
    </w:p>
    <w:p w:rsidR="002F587B" w:rsidRPr="00C67CC9" w:rsidRDefault="002F587B" w:rsidP="00BB6B0E">
      <w:pPr>
        <w:pStyle w:val="NormalWeb"/>
        <w:spacing w:before="168" w:beforeAutospacing="0" w:after="168" w:afterAutospacing="0" w:line="360" w:lineRule="auto"/>
        <w:ind w:firstLine="750"/>
        <w:jc w:val="both"/>
        <w:rPr>
          <w:sz w:val="28"/>
          <w:szCs w:val="28"/>
          <w:lang w:val="ru-RU"/>
        </w:rPr>
      </w:pPr>
      <w:r w:rsidRPr="00C67CC9">
        <w:rPr>
          <w:sz w:val="28"/>
          <w:szCs w:val="28"/>
          <w:lang w:val="ru-RU"/>
        </w:rPr>
        <w:t xml:space="preserve">В последние годы появлялись сообщения о том, что при хирургическом лечении бесплодия при СПКЯ целесообразно выполнять операции только на одном яичнике. По мнению авторов, одностороннее вмешательство на яичниках по критерию восстановления естественной фертильности не уступает двусторонней операции, но при этом не возникает проблем с последующим использованием ЭКО. Однако в этих работах не сопоставлялось влияние одно- и двусторонних вмешательств на яичниках на степень падения общего тестостерона в послеоперационном периоде, и не уточнялась связь уровня яичниковых андрогенов с эффективностью хирургического лечения и с результатами ЭКО, а так же не проводилось изучение целесообразности дополнительного использования препаратов экзогенного тестостерона на этапе индукции овуляции в программах ЭКО у лиц с гормонально </w:t>
      </w:r>
      <w:r w:rsidRPr="00C67CC9">
        <w:rPr>
          <w:sz w:val="28"/>
          <w:szCs w:val="28"/>
          <w:lang w:val="ru-RU"/>
        </w:rPr>
        <w:lastRenderedPageBreak/>
        <w:t xml:space="preserve">подтвержденным ослаблением андрогенсекретирующей функции яичников. </w:t>
      </w:r>
      <w:r w:rsidR="00591BDA" w:rsidRPr="00C67CC9">
        <w:rPr>
          <w:sz w:val="28"/>
          <w:szCs w:val="28"/>
          <w:lang w:val="ru-RU"/>
        </w:rPr>
        <w:t>[46,47,49</w:t>
      </w:r>
      <w:r w:rsidRPr="00C67CC9">
        <w:rPr>
          <w:sz w:val="28"/>
          <w:szCs w:val="28"/>
          <w:lang w:val="ru-RU"/>
        </w:rPr>
        <w:t>].</w:t>
      </w:r>
    </w:p>
    <w:p w:rsidR="00591BDA" w:rsidRPr="00C67CC9" w:rsidRDefault="001F2F2B"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У 50% пациентов после лапароскопии требуется индукция овуляции. Использование КЦ рекомендуется, если через 12 недель после лапароскопии овуляция отсутствует. После 6 месяцев </w:t>
      </w:r>
      <w:r w:rsidR="00AD7EA7" w:rsidRPr="00C67CC9">
        <w:rPr>
          <w:rFonts w:ascii="Times New Roman" w:hAnsi="Times New Roman" w:cs="Times New Roman"/>
          <w:sz w:val="28"/>
          <w:szCs w:val="28"/>
          <w:lang w:val="ru-RU"/>
        </w:rPr>
        <w:t>применения</w:t>
      </w:r>
      <w:r w:rsidRPr="00C67CC9">
        <w:rPr>
          <w:rFonts w:ascii="Times New Roman" w:hAnsi="Times New Roman" w:cs="Times New Roman"/>
          <w:sz w:val="28"/>
          <w:szCs w:val="28"/>
          <w:lang w:val="ru-RU"/>
        </w:rPr>
        <w:t xml:space="preserve"> кломифен</w:t>
      </w:r>
      <w:r w:rsidR="00AD7EA7">
        <w:rPr>
          <w:rFonts w:ascii="Times New Roman" w:hAnsi="Times New Roman" w:cs="Times New Roman"/>
          <w:sz w:val="28"/>
          <w:szCs w:val="28"/>
          <w:lang w:val="ru-RU"/>
        </w:rPr>
        <w:t xml:space="preserve"> </w:t>
      </w:r>
      <w:r w:rsidRPr="00C67CC9">
        <w:rPr>
          <w:rFonts w:ascii="Times New Roman" w:hAnsi="Times New Roman" w:cs="Times New Roman"/>
          <w:sz w:val="28"/>
          <w:szCs w:val="28"/>
          <w:lang w:val="ru-RU"/>
        </w:rPr>
        <w:t>цитрата</w:t>
      </w:r>
      <w:r w:rsidR="009D492F">
        <w:rPr>
          <w:rFonts w:ascii="Times New Roman" w:hAnsi="Times New Roman" w:cs="Times New Roman"/>
          <w:sz w:val="28"/>
          <w:szCs w:val="28"/>
          <w:lang w:val="ru-RU"/>
        </w:rPr>
        <w:t xml:space="preserve"> соответственно</w:t>
      </w:r>
      <w:r w:rsidRPr="00C67CC9">
        <w:rPr>
          <w:rFonts w:ascii="Times New Roman" w:hAnsi="Times New Roman" w:cs="Times New Roman"/>
          <w:sz w:val="28"/>
          <w:szCs w:val="28"/>
          <w:lang w:val="ru-RU"/>
        </w:rPr>
        <w:t xml:space="preserve"> возможно </w:t>
      </w:r>
      <w:r w:rsidR="00591BDA" w:rsidRPr="00C67CC9">
        <w:rPr>
          <w:rFonts w:ascii="Times New Roman" w:hAnsi="Times New Roman" w:cs="Times New Roman"/>
          <w:sz w:val="28"/>
          <w:szCs w:val="28"/>
          <w:lang w:val="ru-RU"/>
        </w:rPr>
        <w:t>использование гонадотропинов [</w:t>
      </w:r>
      <w:r w:rsidR="002F587B" w:rsidRPr="00C67CC9">
        <w:rPr>
          <w:rFonts w:ascii="Times New Roman" w:hAnsi="Times New Roman" w:cs="Times New Roman"/>
          <w:sz w:val="28"/>
          <w:szCs w:val="28"/>
          <w:lang w:val="ru-RU"/>
        </w:rPr>
        <w:t>28</w:t>
      </w:r>
      <w:r w:rsidR="00591BDA" w:rsidRPr="00C67CC9">
        <w:rPr>
          <w:rFonts w:ascii="Times New Roman" w:hAnsi="Times New Roman" w:cs="Times New Roman"/>
          <w:sz w:val="28"/>
          <w:szCs w:val="28"/>
          <w:lang w:val="ru-RU"/>
        </w:rPr>
        <w:t>]</w:t>
      </w:r>
      <w:r w:rsidRPr="00C67CC9">
        <w:rPr>
          <w:rFonts w:ascii="Times New Roman" w:hAnsi="Times New Roman" w:cs="Times New Roman"/>
          <w:sz w:val="28"/>
          <w:szCs w:val="28"/>
          <w:lang w:val="ru-RU"/>
        </w:rPr>
        <w:t>.</w:t>
      </w:r>
      <w:r w:rsidR="00591BDA" w:rsidRPr="00C67CC9">
        <w:rPr>
          <w:rFonts w:ascii="Times New Roman" w:hAnsi="Times New Roman" w:cs="Times New Roman"/>
          <w:sz w:val="28"/>
          <w:szCs w:val="28"/>
          <w:lang w:val="ru-RU"/>
        </w:rPr>
        <w:t xml:space="preserve"> </w:t>
      </w:r>
    </w:p>
    <w:p w:rsidR="00A4296C" w:rsidRPr="00C67CC9" w:rsidRDefault="00A4296C" w:rsidP="00BB6B0E">
      <w:pPr>
        <w:spacing w:line="360" w:lineRule="auto"/>
        <w:jc w:val="both"/>
        <w:rPr>
          <w:rFonts w:ascii="Times New Roman" w:hAnsi="Times New Roman" w:cs="Times New Roman"/>
          <w:b/>
          <w:sz w:val="28"/>
          <w:szCs w:val="28"/>
          <w:lang w:val="ru-RU"/>
        </w:rPr>
      </w:pPr>
      <w:r w:rsidRPr="00C67CC9">
        <w:rPr>
          <w:rFonts w:ascii="Times New Roman" w:hAnsi="Times New Roman" w:cs="Times New Roman"/>
          <w:b/>
          <w:sz w:val="28"/>
          <w:szCs w:val="28"/>
          <w:lang w:val="ru-RU" w:eastAsia="ru-RU"/>
        </w:rPr>
        <w:t>1.4. Особенности ЭКО у женщин с СПКЯ.</w:t>
      </w:r>
      <w:r w:rsidRPr="00C67CC9">
        <w:rPr>
          <w:rFonts w:ascii="Times New Roman" w:hAnsi="Times New Roman" w:cs="Times New Roman"/>
          <w:b/>
          <w:sz w:val="28"/>
          <w:szCs w:val="28"/>
          <w:lang w:val="ru-RU"/>
        </w:rPr>
        <w:t xml:space="preserve"> </w:t>
      </w:r>
    </w:p>
    <w:p w:rsidR="00D51EE4" w:rsidRPr="00C67CC9" w:rsidRDefault="00B75B78"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Применение в клинической практике методов вспомогательных репродуктивных технологий показало, что эффективность экстракорпорального оплодотворения (ЭКО) </w:t>
      </w:r>
      <w:r w:rsidR="006F610D" w:rsidRPr="00C67CC9">
        <w:rPr>
          <w:rFonts w:ascii="Times New Roman" w:hAnsi="Times New Roman" w:cs="Times New Roman"/>
          <w:sz w:val="28"/>
          <w:szCs w:val="28"/>
          <w:lang w:val="ru-RU"/>
        </w:rPr>
        <w:t>и переноса эмбриона (ПЭ) при СПК</w:t>
      </w:r>
      <w:r w:rsidRPr="00C67CC9">
        <w:rPr>
          <w:rFonts w:ascii="Times New Roman" w:hAnsi="Times New Roman" w:cs="Times New Roman"/>
          <w:sz w:val="28"/>
          <w:szCs w:val="28"/>
          <w:lang w:val="ru-RU"/>
        </w:rPr>
        <w:t xml:space="preserve">Я значительно ниже, чем при других формах женского бесплодия, при этом очень высок риск развития синдрома гиперстимуляции яичников [50,52]. </w:t>
      </w:r>
      <w:r w:rsidR="00421D08" w:rsidRPr="00C67CC9">
        <w:rPr>
          <w:rFonts w:ascii="Times New Roman" w:hAnsi="Times New Roman" w:cs="Times New Roman"/>
          <w:sz w:val="28"/>
          <w:szCs w:val="28"/>
          <w:lang w:val="ru-RU"/>
        </w:rPr>
        <w:t xml:space="preserve">Как </w:t>
      </w:r>
      <w:r w:rsidR="006F610D" w:rsidRPr="00C67CC9">
        <w:rPr>
          <w:rFonts w:ascii="Times New Roman" w:hAnsi="Times New Roman" w:cs="Times New Roman"/>
          <w:sz w:val="28"/>
          <w:szCs w:val="28"/>
          <w:lang w:val="ru-RU"/>
        </w:rPr>
        <w:t>правило, эффективность стимуля</w:t>
      </w:r>
      <w:r w:rsidR="00421D08" w:rsidRPr="00C67CC9">
        <w:rPr>
          <w:rFonts w:ascii="Times New Roman" w:hAnsi="Times New Roman" w:cs="Times New Roman"/>
          <w:sz w:val="28"/>
          <w:szCs w:val="28"/>
          <w:lang w:val="ru-RU"/>
        </w:rPr>
        <w:t>ции моно</w:t>
      </w:r>
      <w:r w:rsidR="00AD7EA7">
        <w:rPr>
          <w:rFonts w:ascii="Times New Roman" w:hAnsi="Times New Roman" w:cs="Times New Roman"/>
          <w:sz w:val="28"/>
          <w:szCs w:val="28"/>
          <w:lang w:val="ru-RU"/>
        </w:rPr>
        <w:t>о</w:t>
      </w:r>
      <w:r w:rsidR="00421D08" w:rsidRPr="00C67CC9">
        <w:rPr>
          <w:rFonts w:ascii="Times New Roman" w:hAnsi="Times New Roman" w:cs="Times New Roman"/>
          <w:sz w:val="28"/>
          <w:szCs w:val="28"/>
          <w:lang w:val="ru-RU"/>
        </w:rPr>
        <w:t>ву</w:t>
      </w:r>
      <w:r w:rsidR="006F610D" w:rsidRPr="00C67CC9">
        <w:rPr>
          <w:rFonts w:ascii="Times New Roman" w:hAnsi="Times New Roman" w:cs="Times New Roman"/>
          <w:sz w:val="28"/>
          <w:szCs w:val="28"/>
          <w:lang w:val="ru-RU"/>
        </w:rPr>
        <w:t>ляции у пациенток с СПКЯ, ассо</w:t>
      </w:r>
      <w:r w:rsidR="00421D08" w:rsidRPr="00C67CC9">
        <w:rPr>
          <w:rFonts w:ascii="Times New Roman" w:hAnsi="Times New Roman" w:cs="Times New Roman"/>
          <w:sz w:val="28"/>
          <w:szCs w:val="28"/>
          <w:lang w:val="ru-RU"/>
        </w:rPr>
        <w:t>циированным с бесплодием, выше в молодом возрасте (до 35 лет). У женщин старше 35 лет эффективность стимуляции заметно снижена. По-видимом</w:t>
      </w:r>
      <w:r w:rsidR="006F610D" w:rsidRPr="00C67CC9">
        <w:rPr>
          <w:rFonts w:ascii="Times New Roman" w:hAnsi="Times New Roman" w:cs="Times New Roman"/>
          <w:sz w:val="28"/>
          <w:szCs w:val="28"/>
          <w:lang w:val="ru-RU"/>
        </w:rPr>
        <w:t>у, это связано с ухудшением ка</w:t>
      </w:r>
      <w:r w:rsidR="00421D08" w:rsidRPr="00C67CC9">
        <w:rPr>
          <w:rFonts w:ascii="Times New Roman" w:hAnsi="Times New Roman" w:cs="Times New Roman"/>
          <w:sz w:val="28"/>
          <w:szCs w:val="28"/>
          <w:lang w:val="ru-RU"/>
        </w:rPr>
        <w:t>чества ооцит</w:t>
      </w:r>
      <w:r w:rsidR="006F610D" w:rsidRPr="00C67CC9">
        <w:rPr>
          <w:rFonts w:ascii="Times New Roman" w:hAnsi="Times New Roman" w:cs="Times New Roman"/>
          <w:sz w:val="28"/>
          <w:szCs w:val="28"/>
          <w:lang w:val="ru-RU"/>
        </w:rPr>
        <w:t>ов, с синдромом «пустого фолли</w:t>
      </w:r>
      <w:r w:rsidR="00421D08" w:rsidRPr="00C67CC9">
        <w:rPr>
          <w:rFonts w:ascii="Times New Roman" w:hAnsi="Times New Roman" w:cs="Times New Roman"/>
          <w:sz w:val="28"/>
          <w:szCs w:val="28"/>
          <w:lang w:val="ru-RU"/>
        </w:rPr>
        <w:t xml:space="preserve">кула» и с присоединением других факторов, таких как </w:t>
      </w:r>
      <w:r w:rsidR="006F610D" w:rsidRPr="00C67CC9">
        <w:rPr>
          <w:rFonts w:ascii="Times New Roman" w:hAnsi="Times New Roman" w:cs="Times New Roman"/>
          <w:sz w:val="28"/>
          <w:szCs w:val="28"/>
          <w:lang w:val="ru-RU"/>
        </w:rPr>
        <w:t>хронический воспалительный про</w:t>
      </w:r>
      <w:r w:rsidR="00421D08" w:rsidRPr="00C67CC9">
        <w:rPr>
          <w:rFonts w:ascii="Times New Roman" w:hAnsi="Times New Roman" w:cs="Times New Roman"/>
          <w:sz w:val="28"/>
          <w:szCs w:val="28"/>
          <w:lang w:val="ru-RU"/>
        </w:rPr>
        <w:t>цесс, хро</w:t>
      </w:r>
      <w:r w:rsidR="006F610D" w:rsidRPr="00C67CC9">
        <w:rPr>
          <w:rFonts w:ascii="Times New Roman" w:hAnsi="Times New Roman" w:cs="Times New Roman"/>
          <w:sz w:val="28"/>
          <w:szCs w:val="28"/>
          <w:lang w:val="ru-RU"/>
        </w:rPr>
        <w:t>нический эндометрит, резистент</w:t>
      </w:r>
      <w:r w:rsidR="00421D08" w:rsidRPr="00C67CC9">
        <w:rPr>
          <w:rFonts w:ascii="Times New Roman" w:hAnsi="Times New Roman" w:cs="Times New Roman"/>
          <w:sz w:val="28"/>
          <w:szCs w:val="28"/>
          <w:lang w:val="ru-RU"/>
        </w:rPr>
        <w:t>ность к инду</w:t>
      </w:r>
      <w:r w:rsidR="006F610D" w:rsidRPr="00C67CC9">
        <w:rPr>
          <w:rFonts w:ascii="Times New Roman" w:hAnsi="Times New Roman" w:cs="Times New Roman"/>
          <w:sz w:val="28"/>
          <w:szCs w:val="28"/>
          <w:lang w:val="ru-RU"/>
        </w:rPr>
        <w:t xml:space="preserve">кторам овуляции </w:t>
      </w:r>
      <w:r w:rsidR="00E7002F">
        <w:rPr>
          <w:rFonts w:ascii="Times New Roman" w:hAnsi="Times New Roman" w:cs="Times New Roman"/>
          <w:sz w:val="28"/>
          <w:szCs w:val="28"/>
          <w:lang w:val="ru-RU"/>
        </w:rPr>
        <w:t>[2]</w:t>
      </w:r>
      <w:r w:rsidR="006F610D" w:rsidRPr="00C67CC9">
        <w:rPr>
          <w:rFonts w:ascii="Times New Roman" w:hAnsi="Times New Roman" w:cs="Times New Roman"/>
          <w:sz w:val="28"/>
          <w:szCs w:val="28"/>
          <w:lang w:val="ru-RU"/>
        </w:rPr>
        <w:t xml:space="preserve">. </w:t>
      </w:r>
      <w:r w:rsidR="009D492F">
        <w:rPr>
          <w:rFonts w:ascii="Times New Roman" w:hAnsi="Times New Roman" w:cs="Times New Roman"/>
          <w:sz w:val="28"/>
          <w:szCs w:val="28"/>
          <w:lang w:val="ru-RU"/>
        </w:rPr>
        <w:t>Но тем не менее, в</w:t>
      </w:r>
      <w:r w:rsidR="00D51EE4" w:rsidRPr="00C67CC9">
        <w:rPr>
          <w:rFonts w:ascii="Times New Roman" w:hAnsi="Times New Roman" w:cs="Times New Roman"/>
          <w:sz w:val="28"/>
          <w:szCs w:val="28"/>
          <w:lang w:val="ru-RU"/>
        </w:rPr>
        <w:t xml:space="preserve">ыявлена высокая эффективность метода ЭКО: частота наступления беременности составляет до 85% </w:t>
      </w:r>
      <w:r w:rsidR="00E7002F">
        <w:rPr>
          <w:rFonts w:ascii="Times New Roman" w:hAnsi="Times New Roman" w:cs="Times New Roman"/>
          <w:sz w:val="28"/>
          <w:szCs w:val="28"/>
          <w:lang w:val="ru-RU"/>
        </w:rPr>
        <w:t>[2]</w:t>
      </w:r>
      <w:r w:rsidR="00D51EE4" w:rsidRPr="00C67CC9">
        <w:rPr>
          <w:rFonts w:ascii="Times New Roman" w:hAnsi="Times New Roman" w:cs="Times New Roman"/>
          <w:sz w:val="28"/>
          <w:szCs w:val="28"/>
          <w:lang w:val="ru-RU"/>
        </w:rPr>
        <w:t xml:space="preserve">.  </w:t>
      </w:r>
    </w:p>
    <w:p w:rsidR="009A60A1" w:rsidRPr="00C67CC9" w:rsidRDefault="003839B6"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Оперативное вмешательство на яичниках при эндометриоидных кистах яичника, яичниковой форме СПКЯ в анамнезе прогностически неблагоприятно для успешного применения ЭКО </w:t>
      </w:r>
      <w:r w:rsidR="00E7002F">
        <w:rPr>
          <w:rFonts w:ascii="Times New Roman" w:hAnsi="Times New Roman" w:cs="Times New Roman"/>
          <w:sz w:val="28"/>
          <w:szCs w:val="28"/>
          <w:lang w:val="ru-RU"/>
        </w:rPr>
        <w:t>[1]</w:t>
      </w:r>
      <w:r w:rsidR="006F610D" w:rsidRPr="00C67CC9">
        <w:rPr>
          <w:rFonts w:ascii="Times New Roman" w:hAnsi="Times New Roman" w:cs="Times New Roman"/>
          <w:sz w:val="28"/>
          <w:szCs w:val="28"/>
          <w:lang w:val="ru-RU"/>
        </w:rPr>
        <w:t xml:space="preserve">. </w:t>
      </w:r>
    </w:p>
    <w:p w:rsidR="008C7140" w:rsidRPr="00C67CC9" w:rsidRDefault="003839B6"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Успех программы ЭКО у пациенток с СПКЯ завис</w:t>
      </w:r>
      <w:r w:rsidR="006F610D" w:rsidRPr="00C67CC9">
        <w:rPr>
          <w:rFonts w:ascii="Times New Roman" w:hAnsi="Times New Roman" w:cs="Times New Roman"/>
          <w:sz w:val="28"/>
          <w:szCs w:val="28"/>
          <w:lang w:val="ru-RU"/>
        </w:rPr>
        <w:t>ит</w:t>
      </w:r>
      <w:r w:rsidRPr="00C67CC9">
        <w:rPr>
          <w:rFonts w:ascii="Times New Roman" w:hAnsi="Times New Roman" w:cs="Times New Roman"/>
          <w:sz w:val="28"/>
          <w:szCs w:val="28"/>
          <w:lang w:val="ru-RU"/>
        </w:rPr>
        <w:t xml:space="preserve"> от длительности предварительного консервативного лечения</w:t>
      </w:r>
      <w:r w:rsidR="006F610D" w:rsidRPr="00C67CC9">
        <w:rPr>
          <w:rFonts w:ascii="Times New Roman" w:hAnsi="Times New Roman" w:cs="Times New Roman"/>
          <w:sz w:val="28"/>
          <w:szCs w:val="28"/>
          <w:lang w:val="ru-RU"/>
        </w:rPr>
        <w:t xml:space="preserve"> </w:t>
      </w:r>
      <w:r w:rsidR="00E7002F">
        <w:rPr>
          <w:rFonts w:ascii="Times New Roman" w:hAnsi="Times New Roman" w:cs="Times New Roman"/>
          <w:sz w:val="28"/>
          <w:szCs w:val="28"/>
          <w:lang w:val="ru-RU"/>
        </w:rPr>
        <w:t>[1]</w:t>
      </w:r>
      <w:r w:rsidRPr="00C67CC9">
        <w:rPr>
          <w:rFonts w:ascii="Times New Roman" w:hAnsi="Times New Roman" w:cs="Times New Roman"/>
          <w:sz w:val="28"/>
          <w:szCs w:val="28"/>
          <w:lang w:val="ru-RU"/>
        </w:rPr>
        <w:t xml:space="preserve">. У пациенток с СПКЯ с </w:t>
      </w:r>
      <w:r w:rsidRPr="00C67CC9">
        <w:rPr>
          <w:rFonts w:ascii="Times New Roman" w:hAnsi="Times New Roman" w:cs="Times New Roman"/>
          <w:sz w:val="28"/>
          <w:szCs w:val="28"/>
          <w:lang w:val="ru-RU"/>
        </w:rPr>
        <w:lastRenderedPageBreak/>
        <w:t>предварительным консервативным лечением свыше одного года отмечается достоверное снижение эффективности протоколов стимуляции агонистами ГнРГ в сочетании с гонадотропинами по сравнению с пацие</w:t>
      </w:r>
      <w:r w:rsidR="006F610D" w:rsidRPr="00C67CC9">
        <w:rPr>
          <w:rFonts w:ascii="Times New Roman" w:hAnsi="Times New Roman" w:cs="Times New Roman"/>
          <w:sz w:val="28"/>
          <w:szCs w:val="28"/>
          <w:lang w:val="ru-RU"/>
        </w:rPr>
        <w:t>нт</w:t>
      </w:r>
      <w:r w:rsidRPr="00C67CC9">
        <w:rPr>
          <w:rFonts w:ascii="Times New Roman" w:hAnsi="Times New Roman" w:cs="Times New Roman"/>
          <w:sz w:val="28"/>
          <w:szCs w:val="28"/>
          <w:lang w:val="ru-RU"/>
        </w:rPr>
        <w:t>ами с длительностью консервативного лечения до года</w:t>
      </w:r>
      <w:r w:rsidR="006F610D" w:rsidRPr="00C67CC9">
        <w:rPr>
          <w:rFonts w:ascii="Times New Roman" w:hAnsi="Times New Roman" w:cs="Times New Roman"/>
          <w:sz w:val="28"/>
          <w:szCs w:val="28"/>
          <w:lang w:val="ru-RU"/>
        </w:rPr>
        <w:t xml:space="preserve"> </w:t>
      </w:r>
      <w:r w:rsidR="00E7002F">
        <w:rPr>
          <w:rFonts w:ascii="Times New Roman" w:hAnsi="Times New Roman" w:cs="Times New Roman"/>
          <w:sz w:val="28"/>
          <w:szCs w:val="28"/>
          <w:lang w:val="ru-RU"/>
        </w:rPr>
        <w:t>[1]</w:t>
      </w:r>
      <w:r w:rsidR="006F610D" w:rsidRPr="00C67CC9">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Важен тот факт, что эффективность применения протокола стимуляции суперовуляции с использованием агонистов ГнРГ и рекомбинантного ФСГ у пациенток с СПКЯ с длительностью предварительного консервативного лечения до одного года сопоставима с таковыми показателями при длительности консервативного лечения более года</w:t>
      </w:r>
      <w:r w:rsidR="006F610D" w:rsidRPr="00C67CC9">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Таким образом, чем длительнее период неэффективного консервативного лечения, тем ниже вероятность наступления маточной беременности при ЭКО у пациенток с СПКЯ</w:t>
      </w:r>
      <w:r w:rsidR="006F610D" w:rsidRPr="00C67CC9">
        <w:rPr>
          <w:rFonts w:ascii="Times New Roman" w:hAnsi="Times New Roman" w:cs="Times New Roman"/>
          <w:sz w:val="28"/>
          <w:szCs w:val="28"/>
          <w:lang w:val="ru-RU"/>
        </w:rPr>
        <w:t xml:space="preserve"> </w:t>
      </w:r>
      <w:r w:rsidR="00E7002F">
        <w:rPr>
          <w:rFonts w:ascii="Times New Roman" w:hAnsi="Times New Roman" w:cs="Times New Roman"/>
          <w:sz w:val="28"/>
          <w:szCs w:val="28"/>
          <w:lang w:val="ru-RU"/>
        </w:rPr>
        <w:t>[1]</w:t>
      </w:r>
      <w:r w:rsidRPr="00C67CC9">
        <w:rPr>
          <w:rFonts w:ascii="Times New Roman" w:hAnsi="Times New Roman" w:cs="Times New Roman"/>
          <w:sz w:val="28"/>
          <w:szCs w:val="28"/>
          <w:lang w:val="ru-RU"/>
        </w:rPr>
        <w:t>. Оценка эффективности ЭКО у пациенток с СПКЯ в зависимости от характера оперативного вмешательства показала, что из 287 пациенток клиновидная резекция была выполнена у 190, у остальных 97 проведены эндокоагуляция, диатермокоагуляция, электрокаутеризация гонад. 19 пациенток (10%) после клиновидной резекции яичников у которых была начата стимуляция суперовуляции, не дошли до этапа пункции фолликулов, поскольку отсутствовал ответ на стимуляцию. Очевидно, это было связано с уменьшением объема яичников после операции и снижением их резервных возможностей</w:t>
      </w:r>
      <w:r w:rsidR="006F610D" w:rsidRPr="00C67CC9">
        <w:rPr>
          <w:rFonts w:ascii="Times New Roman" w:hAnsi="Times New Roman" w:cs="Times New Roman"/>
          <w:sz w:val="28"/>
          <w:szCs w:val="28"/>
          <w:lang w:val="ru-RU"/>
        </w:rPr>
        <w:t xml:space="preserve"> </w:t>
      </w:r>
      <w:r w:rsidR="00E7002F">
        <w:rPr>
          <w:rFonts w:ascii="Times New Roman" w:hAnsi="Times New Roman" w:cs="Times New Roman"/>
          <w:sz w:val="28"/>
          <w:szCs w:val="28"/>
          <w:lang w:val="ru-RU"/>
        </w:rPr>
        <w:t>[1]</w:t>
      </w:r>
      <w:r w:rsidRPr="00C67CC9">
        <w:rPr>
          <w:rFonts w:ascii="Times New Roman" w:hAnsi="Times New Roman" w:cs="Times New Roman"/>
          <w:sz w:val="28"/>
          <w:szCs w:val="28"/>
          <w:lang w:val="ru-RU"/>
        </w:rPr>
        <w:t>. Анализ частоты наступления беременности в зависимости от схемы стимуляции суперовуляции показал, что в той или иной степени удовлетворительные результаты были получены при использовании протоколов с агонис</w:t>
      </w:r>
      <w:r w:rsidR="006F610D" w:rsidRPr="00C67CC9">
        <w:rPr>
          <w:rFonts w:ascii="Times New Roman" w:hAnsi="Times New Roman" w:cs="Times New Roman"/>
          <w:sz w:val="28"/>
          <w:szCs w:val="28"/>
          <w:lang w:val="ru-RU"/>
        </w:rPr>
        <w:t xml:space="preserve">тами ГнРГ и рекомбинантным ФСГ </w:t>
      </w:r>
      <w:r w:rsidRPr="00C67CC9">
        <w:rPr>
          <w:rFonts w:ascii="Times New Roman" w:hAnsi="Times New Roman" w:cs="Times New Roman"/>
          <w:sz w:val="28"/>
          <w:szCs w:val="28"/>
          <w:lang w:val="ru-RU"/>
        </w:rPr>
        <w:t>в среднем 19,5%</w:t>
      </w:r>
      <w:r w:rsidR="006F610D" w:rsidRPr="00C67CC9">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При использовании схемы стимуляции с агонистами ГнРГ и чМГ эффективность ЭКО была ниже, составив в среднем 11,4%</w:t>
      </w:r>
      <w:r w:rsidR="00E7002F">
        <w:rPr>
          <w:rFonts w:ascii="Times New Roman" w:hAnsi="Times New Roman" w:cs="Times New Roman"/>
          <w:sz w:val="28"/>
          <w:szCs w:val="28"/>
          <w:lang w:val="ru-RU"/>
        </w:rPr>
        <w:t>[1]</w:t>
      </w:r>
      <w:r w:rsidR="006F610D" w:rsidRPr="00C67CC9">
        <w:rPr>
          <w:rFonts w:ascii="Times New Roman" w:hAnsi="Times New Roman" w:cs="Times New Roman"/>
          <w:sz w:val="28"/>
          <w:szCs w:val="28"/>
          <w:lang w:val="ru-RU"/>
        </w:rPr>
        <w:t xml:space="preserve">. </w:t>
      </w:r>
      <w:r w:rsidRPr="00C67CC9">
        <w:rPr>
          <w:rFonts w:ascii="Times New Roman" w:hAnsi="Times New Roman" w:cs="Times New Roman"/>
          <w:sz w:val="28"/>
          <w:szCs w:val="28"/>
          <w:lang w:val="ru-RU"/>
        </w:rPr>
        <w:t xml:space="preserve">Анализ эффективности ЭКО у больных после клиновидной резекции яичников показал, что если после клиновидной резекции яичников путем лапаротомии частота наступления маточной беременности на цикл стимуляции составила </w:t>
      </w:r>
      <w:r w:rsidRPr="00C67CC9">
        <w:rPr>
          <w:rFonts w:ascii="Times New Roman" w:hAnsi="Times New Roman" w:cs="Times New Roman"/>
          <w:sz w:val="28"/>
          <w:szCs w:val="28"/>
          <w:lang w:val="ru-RU"/>
        </w:rPr>
        <w:lastRenderedPageBreak/>
        <w:t>6,3%, то после лапароскопии - 10,7%.</w:t>
      </w:r>
      <w:r w:rsidR="006F610D" w:rsidRPr="00C67CC9">
        <w:rPr>
          <w:rFonts w:ascii="Times New Roman" w:hAnsi="Times New Roman" w:cs="Times New Roman"/>
          <w:sz w:val="28"/>
          <w:szCs w:val="28"/>
          <w:lang w:val="ru-RU"/>
        </w:rPr>
        <w:t xml:space="preserve"> </w:t>
      </w:r>
      <w:r w:rsidR="00E7002F">
        <w:rPr>
          <w:rFonts w:ascii="Times New Roman" w:hAnsi="Times New Roman" w:cs="Times New Roman"/>
          <w:sz w:val="28"/>
          <w:szCs w:val="28"/>
          <w:lang w:val="ru-RU"/>
        </w:rPr>
        <w:t>[1]</w:t>
      </w:r>
      <w:r w:rsidR="006F610D" w:rsidRPr="00C67CC9">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При СПКЯ </w:t>
      </w:r>
      <w:r w:rsidR="008C7140" w:rsidRPr="00C67CC9">
        <w:rPr>
          <w:rFonts w:ascii="Times New Roman" w:hAnsi="Times New Roman" w:cs="Times New Roman"/>
          <w:sz w:val="28"/>
          <w:szCs w:val="28"/>
          <w:lang w:val="ru-RU"/>
        </w:rPr>
        <w:t>по данным литературы маточную беременность удается</w:t>
      </w:r>
      <w:r w:rsidRPr="00C67CC9">
        <w:rPr>
          <w:rFonts w:ascii="Times New Roman" w:hAnsi="Times New Roman" w:cs="Times New Roman"/>
          <w:sz w:val="28"/>
          <w:szCs w:val="28"/>
          <w:lang w:val="ru-RU"/>
        </w:rPr>
        <w:t xml:space="preserve"> получить у 20,3% пациенток </w:t>
      </w:r>
      <w:r w:rsidR="00E7002F">
        <w:rPr>
          <w:rFonts w:ascii="Times New Roman" w:hAnsi="Times New Roman" w:cs="Times New Roman"/>
          <w:sz w:val="28"/>
          <w:szCs w:val="28"/>
          <w:lang w:val="ru-RU"/>
        </w:rPr>
        <w:t>[1]</w:t>
      </w:r>
      <w:r w:rsidR="008C7140" w:rsidRPr="00C67CC9">
        <w:rPr>
          <w:rFonts w:ascii="Times New Roman" w:hAnsi="Times New Roman" w:cs="Times New Roman"/>
          <w:sz w:val="28"/>
          <w:szCs w:val="28"/>
          <w:lang w:val="ru-RU"/>
        </w:rPr>
        <w:t>. В исследовании Калининой С.В. (2015 г.) н</w:t>
      </w:r>
      <w:r w:rsidRPr="00C67CC9">
        <w:rPr>
          <w:rFonts w:ascii="Times New Roman" w:hAnsi="Times New Roman" w:cs="Times New Roman"/>
          <w:sz w:val="28"/>
          <w:szCs w:val="28"/>
          <w:lang w:val="ru-RU"/>
        </w:rPr>
        <w:t xml:space="preserve">аименее эффективной в </w:t>
      </w:r>
      <w:r w:rsidR="008C7140" w:rsidRPr="00C67CC9">
        <w:rPr>
          <w:rFonts w:ascii="Times New Roman" w:hAnsi="Times New Roman" w:cs="Times New Roman"/>
          <w:sz w:val="28"/>
          <w:szCs w:val="28"/>
          <w:lang w:val="ru-RU"/>
        </w:rPr>
        <w:t>исследовании з 321 человек</w:t>
      </w:r>
      <w:r w:rsidRPr="00C67CC9">
        <w:rPr>
          <w:rFonts w:ascii="Times New Roman" w:hAnsi="Times New Roman" w:cs="Times New Roman"/>
          <w:sz w:val="28"/>
          <w:szCs w:val="28"/>
          <w:lang w:val="ru-RU"/>
        </w:rPr>
        <w:t xml:space="preserve"> оказалась схема с применением протокола с агонистами ГнРГ и чМГ (17,7%), а наиболее эффективным оказался протокол с агонистами ГнРГ и рекомбинантным ФСГ (22,9%) Следует отметить, что у больных с СПКЯ овуляция может возникнуть спонтанно под действием эндогенного пика ЛГ, даже без введения овуляторной дозы препаратов хорионического гонадотропина, в связи с чем у этих пациенток оправданно применение «длинных» протоколов с агонистами ГнРГ, так как сопровождается подавлением выс</w:t>
      </w:r>
      <w:r w:rsidR="008C7140" w:rsidRPr="00C67CC9">
        <w:rPr>
          <w:rFonts w:ascii="Times New Roman" w:hAnsi="Times New Roman" w:cs="Times New Roman"/>
          <w:sz w:val="28"/>
          <w:szCs w:val="28"/>
          <w:lang w:val="ru-RU"/>
        </w:rPr>
        <w:t xml:space="preserve">окого уровня собственного ЛГ. </w:t>
      </w:r>
      <w:r w:rsidR="00D51EE4" w:rsidRPr="00C67CC9">
        <w:rPr>
          <w:rFonts w:ascii="Times New Roman" w:hAnsi="Times New Roman" w:cs="Times New Roman"/>
          <w:sz w:val="28"/>
          <w:szCs w:val="28"/>
          <w:lang w:val="ru-RU"/>
        </w:rPr>
        <w:t xml:space="preserve">В Минске в 2015 году было проведено исследование, включающее 463 пациентки,  целью которого было определение оптимального протокола ЭКО для женщин с СПКЯ. В исследуемой группе 1 группе(длинный протокол) в 2,4 раза выше процент осложнений по сравнению со 2 группой(короткий протокол ) ( соответственно 15,8% и 6,7%).  В исследуемой группе 1 группе процент пустых фолликулов 2 раза ниже по сравнению со 2 группой (8,0% и 16,5%) 6. В исследуемой группе 1 группе ниже показатели наступления беременности по сравнению со 2 группой (42,8% и 61,5% соответственно). В исследуемой группе 1 группе частота родов составила 83%, что в 1,5 раз выше, чем во 2 группе- 56,25% </w:t>
      </w:r>
      <w:r w:rsidR="00E7002F">
        <w:rPr>
          <w:rFonts w:ascii="Times New Roman" w:hAnsi="Times New Roman" w:cs="Times New Roman"/>
          <w:sz w:val="28"/>
          <w:szCs w:val="28"/>
          <w:lang w:val="ru-RU"/>
        </w:rPr>
        <w:t>[2]</w:t>
      </w:r>
      <w:r w:rsidR="00D51EE4" w:rsidRPr="00C67CC9">
        <w:rPr>
          <w:rFonts w:ascii="Times New Roman" w:hAnsi="Times New Roman" w:cs="Times New Roman"/>
          <w:sz w:val="28"/>
          <w:szCs w:val="28"/>
          <w:lang w:val="ru-RU"/>
        </w:rPr>
        <w:t>. Выбор протокола стимуляции суперовуляции должен быть индивидуален и строго обоснован в каждом конкретном случае. Более традиционным является применение длинных протоколов стимуляции суперовуляции. Но современные тенденции репродуктивных технологий направлены в сторону все более широкого использования коротких протоколов, с целью снижения таких тяжелых осложнений, как СГЯ 2-3 степени тяжести.</w:t>
      </w:r>
    </w:p>
    <w:p w:rsidR="003839B6" w:rsidRPr="00C67CC9" w:rsidRDefault="003839B6" w:rsidP="00BB6B0E">
      <w:pPr>
        <w:pStyle w:val="NormalWeb"/>
        <w:spacing w:line="360" w:lineRule="auto"/>
        <w:jc w:val="both"/>
        <w:rPr>
          <w:sz w:val="28"/>
          <w:szCs w:val="28"/>
          <w:lang w:val="ru-RU"/>
        </w:rPr>
      </w:pPr>
      <w:r w:rsidRPr="00C67CC9">
        <w:rPr>
          <w:sz w:val="28"/>
          <w:szCs w:val="28"/>
          <w:lang w:val="ru-RU"/>
        </w:rPr>
        <w:lastRenderedPageBreak/>
        <w:t xml:space="preserve">Поскольку </w:t>
      </w:r>
      <w:r w:rsidR="00154F84">
        <w:rPr>
          <w:sz w:val="28"/>
          <w:szCs w:val="28"/>
          <w:lang w:val="ru-RU"/>
        </w:rPr>
        <w:t xml:space="preserve">у </w:t>
      </w:r>
      <w:r w:rsidRPr="00C67CC9">
        <w:rPr>
          <w:sz w:val="28"/>
          <w:szCs w:val="28"/>
          <w:lang w:val="ru-RU"/>
        </w:rPr>
        <w:t>пациент</w:t>
      </w:r>
      <w:r w:rsidR="00154F84">
        <w:rPr>
          <w:sz w:val="28"/>
          <w:szCs w:val="28"/>
          <w:lang w:val="ru-RU"/>
        </w:rPr>
        <w:t xml:space="preserve">ок </w:t>
      </w:r>
      <w:r w:rsidRPr="00C67CC9">
        <w:rPr>
          <w:sz w:val="28"/>
          <w:szCs w:val="28"/>
          <w:lang w:val="ru-RU"/>
        </w:rPr>
        <w:t>СПКЯ при проведении стимуляции суп</w:t>
      </w:r>
      <w:r w:rsidR="00154F84">
        <w:rPr>
          <w:sz w:val="28"/>
          <w:szCs w:val="28"/>
          <w:lang w:val="ru-RU"/>
        </w:rPr>
        <w:t>еровуляции в программе ЭКО являе</w:t>
      </w:r>
      <w:r w:rsidRPr="00C67CC9">
        <w:rPr>
          <w:sz w:val="28"/>
          <w:szCs w:val="28"/>
          <w:lang w:val="ru-RU"/>
        </w:rPr>
        <w:t xml:space="preserve">тся </w:t>
      </w:r>
      <w:r w:rsidR="008C7140" w:rsidRPr="00C67CC9">
        <w:rPr>
          <w:sz w:val="28"/>
          <w:szCs w:val="28"/>
          <w:lang w:val="ru-RU"/>
        </w:rPr>
        <w:t>факторами</w:t>
      </w:r>
      <w:r w:rsidRPr="00C67CC9">
        <w:rPr>
          <w:sz w:val="28"/>
          <w:szCs w:val="28"/>
          <w:lang w:val="ru-RU"/>
        </w:rPr>
        <w:t xml:space="preserve"> повышенного риска </w:t>
      </w:r>
      <w:r w:rsidR="00D51EE4" w:rsidRPr="00C67CC9">
        <w:rPr>
          <w:sz w:val="28"/>
          <w:szCs w:val="28"/>
          <w:lang w:val="ru-RU"/>
        </w:rPr>
        <w:t>развития</w:t>
      </w:r>
      <w:r w:rsidRPr="00C67CC9">
        <w:rPr>
          <w:sz w:val="28"/>
          <w:szCs w:val="28"/>
          <w:lang w:val="ru-RU"/>
        </w:rPr>
        <w:t xml:space="preserve"> синдрома гиперстимуляции яичников (СГЯ), </w:t>
      </w:r>
      <w:r w:rsidR="008C7140" w:rsidRPr="00C67CC9">
        <w:rPr>
          <w:sz w:val="28"/>
          <w:szCs w:val="28"/>
          <w:lang w:val="ru-RU"/>
        </w:rPr>
        <w:t xml:space="preserve">была </w:t>
      </w:r>
      <w:r w:rsidRPr="00C67CC9">
        <w:rPr>
          <w:sz w:val="28"/>
          <w:szCs w:val="28"/>
          <w:lang w:val="ru-RU"/>
        </w:rPr>
        <w:t xml:space="preserve"> проанализирова</w:t>
      </w:r>
      <w:r w:rsidR="008C7140" w:rsidRPr="00C67CC9">
        <w:rPr>
          <w:sz w:val="28"/>
          <w:szCs w:val="28"/>
          <w:lang w:val="ru-RU"/>
        </w:rPr>
        <w:t>на</w:t>
      </w:r>
      <w:r w:rsidRPr="00C67CC9">
        <w:rPr>
          <w:sz w:val="28"/>
          <w:szCs w:val="28"/>
          <w:lang w:val="ru-RU"/>
        </w:rPr>
        <w:t xml:space="preserve"> зависимость частоты развития СГЯ от вида применяемого протокола. При использовании протоколов с агонистами ГнРГ и рФСГ количество созревающих фолликулов составило 12,4, а при применении протокола с агонистами ГнРГ и чМГ - 12,5, то есть число было одинаковым</w:t>
      </w:r>
      <w:r w:rsidR="008C7140" w:rsidRPr="00C67CC9">
        <w:rPr>
          <w:sz w:val="28"/>
          <w:szCs w:val="28"/>
          <w:lang w:val="ru-RU"/>
        </w:rPr>
        <w:t>.</w:t>
      </w:r>
      <w:r w:rsidRPr="00C67CC9">
        <w:rPr>
          <w:sz w:val="28"/>
          <w:szCs w:val="28"/>
          <w:lang w:val="ru-RU"/>
        </w:rPr>
        <w:t xml:space="preserve"> Частота оплодотворения полученных ооцитов также не различалась и составила 69% и 68% соответственно Однако при применении протоколов с агонистами ГнРГ и чМГ значительно увеличивается риск развития гиперстимуляции</w:t>
      </w:r>
      <w:r w:rsidR="008C7140" w:rsidRPr="00C67CC9">
        <w:rPr>
          <w:sz w:val="28"/>
          <w:szCs w:val="28"/>
          <w:lang w:val="ru-RU"/>
        </w:rPr>
        <w:t xml:space="preserve"> </w:t>
      </w:r>
      <w:r w:rsidR="00E7002F">
        <w:rPr>
          <w:sz w:val="28"/>
          <w:szCs w:val="28"/>
          <w:lang w:val="ru-RU"/>
        </w:rPr>
        <w:t>[1]</w:t>
      </w:r>
      <w:r w:rsidR="008C7140" w:rsidRPr="00C67CC9">
        <w:rPr>
          <w:sz w:val="28"/>
          <w:szCs w:val="28"/>
          <w:lang w:val="ru-RU"/>
        </w:rPr>
        <w:t xml:space="preserve">. </w:t>
      </w:r>
      <w:r w:rsidR="00154F84">
        <w:rPr>
          <w:sz w:val="28"/>
          <w:szCs w:val="28"/>
          <w:lang w:val="ru-RU"/>
        </w:rPr>
        <w:t xml:space="preserve"> Так, СГ</w:t>
      </w:r>
      <w:r w:rsidRPr="00C67CC9">
        <w:rPr>
          <w:sz w:val="28"/>
          <w:szCs w:val="28"/>
          <w:lang w:val="ru-RU"/>
        </w:rPr>
        <w:t xml:space="preserve">Я легкой степени в случае использования схемы с агонистами ГнРГ и чМГ развивался несколько чаще, чем при стимуляции агонистами ГнРГ и рФСГ (соответственно 13,8 и 7,6%), хотя статистически значимых различий не выявлено СГЯ средней тяжести при использовании схемы с агонистами ГнРГ и чМГ составил 28,3%, при стимуляции агонистами ГнРГ и рФСГ он диагностирован достоверно реже </w:t>
      </w:r>
      <w:r w:rsidR="008C7140" w:rsidRPr="00C67CC9">
        <w:rPr>
          <w:sz w:val="28"/>
          <w:szCs w:val="28"/>
          <w:lang w:val="ru-RU"/>
        </w:rPr>
        <w:t>- в 9,8% случаев</w:t>
      </w:r>
      <w:r w:rsidR="00154F84">
        <w:rPr>
          <w:sz w:val="28"/>
          <w:szCs w:val="28"/>
          <w:lang w:val="ru-RU"/>
        </w:rPr>
        <w:t>.</w:t>
      </w:r>
      <w:r w:rsidR="008C7140" w:rsidRPr="00C67CC9">
        <w:rPr>
          <w:sz w:val="28"/>
          <w:szCs w:val="28"/>
          <w:lang w:val="ru-RU"/>
        </w:rPr>
        <w:t xml:space="preserve"> Тяжелый СГ</w:t>
      </w:r>
      <w:r w:rsidRPr="00C67CC9">
        <w:rPr>
          <w:sz w:val="28"/>
          <w:szCs w:val="28"/>
          <w:lang w:val="ru-RU"/>
        </w:rPr>
        <w:t>Я развивался только при применении агонистов ГнРГ, поскольку в этих протоколах для созревания фолликулов требовалось большее количество гонадотропинов</w:t>
      </w:r>
      <w:r w:rsidR="008C7140" w:rsidRPr="00C67CC9">
        <w:rPr>
          <w:sz w:val="28"/>
          <w:szCs w:val="28"/>
          <w:lang w:val="ru-RU"/>
        </w:rPr>
        <w:t>.</w:t>
      </w:r>
      <w:r w:rsidRPr="00C67CC9">
        <w:rPr>
          <w:sz w:val="28"/>
          <w:szCs w:val="28"/>
          <w:lang w:val="ru-RU"/>
        </w:rPr>
        <w:t xml:space="preserve"> Кроме того, </w:t>
      </w:r>
      <w:r w:rsidR="008C7140" w:rsidRPr="00C67CC9">
        <w:rPr>
          <w:sz w:val="28"/>
          <w:szCs w:val="28"/>
          <w:lang w:val="ru-RU"/>
        </w:rPr>
        <w:t>был</w:t>
      </w:r>
      <w:r w:rsidRPr="00C67CC9">
        <w:rPr>
          <w:sz w:val="28"/>
          <w:szCs w:val="28"/>
          <w:lang w:val="ru-RU"/>
        </w:rPr>
        <w:t xml:space="preserve"> проведен сравнительный анализ гиперстимуляций в зависимости от состава гонадотропного препарата</w:t>
      </w:r>
      <w:r w:rsidR="008C7140" w:rsidRPr="00C67CC9">
        <w:rPr>
          <w:sz w:val="28"/>
          <w:szCs w:val="28"/>
          <w:lang w:val="ru-RU"/>
        </w:rPr>
        <w:t>.</w:t>
      </w:r>
      <w:r w:rsidRPr="00C67CC9">
        <w:rPr>
          <w:sz w:val="28"/>
          <w:szCs w:val="28"/>
          <w:lang w:val="ru-RU"/>
        </w:rPr>
        <w:t xml:space="preserve"> Достоверно чаще маточная беременность наступала при использовании протоколов с рФСГ - 46,9%, и именно в этой подгруппе наблюдалось достоверно меньшее число гиперстимуляций - менее 10%</w:t>
      </w:r>
      <w:r w:rsidR="008C7140" w:rsidRPr="00C67CC9">
        <w:rPr>
          <w:sz w:val="28"/>
          <w:szCs w:val="28"/>
          <w:lang w:val="ru-RU"/>
        </w:rPr>
        <w:t xml:space="preserve"> </w:t>
      </w:r>
      <w:r w:rsidR="00E7002F">
        <w:rPr>
          <w:sz w:val="28"/>
          <w:szCs w:val="28"/>
          <w:lang w:val="ru-RU"/>
        </w:rPr>
        <w:t>[1]</w:t>
      </w:r>
      <w:r w:rsidR="008C7140" w:rsidRPr="00C67CC9">
        <w:rPr>
          <w:sz w:val="28"/>
          <w:szCs w:val="28"/>
          <w:lang w:val="ru-RU"/>
        </w:rPr>
        <w:t xml:space="preserve">. </w:t>
      </w:r>
      <w:r w:rsidRPr="00C67CC9">
        <w:rPr>
          <w:sz w:val="28"/>
          <w:szCs w:val="28"/>
          <w:lang w:val="ru-RU"/>
        </w:rPr>
        <w:t xml:space="preserve"> Иная картина наблюдалась при применении чМГ (75 ЕД ФСГ и 75 </w:t>
      </w:r>
      <w:r w:rsidR="008C7140" w:rsidRPr="00C67CC9">
        <w:rPr>
          <w:sz w:val="28"/>
          <w:szCs w:val="28"/>
          <w:lang w:val="ru-RU"/>
        </w:rPr>
        <w:t xml:space="preserve">ЕД ЛГ), когда достоверно чаще </w:t>
      </w:r>
      <w:r w:rsidRPr="00C67CC9">
        <w:rPr>
          <w:sz w:val="28"/>
          <w:szCs w:val="28"/>
          <w:lang w:val="ru-RU"/>
        </w:rPr>
        <w:t xml:space="preserve"> встречались гиперстимуляции - в 39</w:t>
      </w:r>
      <w:r w:rsidR="008C7140" w:rsidRPr="00C67CC9">
        <w:rPr>
          <w:sz w:val="28"/>
          <w:szCs w:val="28"/>
          <w:lang w:val="ru-RU"/>
        </w:rPr>
        <w:t xml:space="preserve">,8% случаев, и достоверно реже </w:t>
      </w:r>
      <w:r w:rsidRPr="00C67CC9">
        <w:rPr>
          <w:sz w:val="28"/>
          <w:szCs w:val="28"/>
          <w:lang w:val="ru-RU"/>
        </w:rPr>
        <w:t>диагностировались беременности - 28,4%. Показатели наступления беременности в ходе применения мочевого ФСГ (метродин) приближались к таковым при и</w:t>
      </w:r>
      <w:r w:rsidR="008C7140" w:rsidRPr="00C67CC9">
        <w:rPr>
          <w:sz w:val="28"/>
          <w:szCs w:val="28"/>
          <w:lang w:val="ru-RU"/>
        </w:rPr>
        <w:t xml:space="preserve">спользовании рекомбинантных </w:t>
      </w:r>
      <w:r w:rsidR="008C7140" w:rsidRPr="00C67CC9">
        <w:rPr>
          <w:sz w:val="28"/>
          <w:szCs w:val="28"/>
          <w:lang w:val="ru-RU"/>
        </w:rPr>
        <w:lastRenderedPageBreak/>
        <w:t>ФСГ</w:t>
      </w:r>
      <w:r w:rsidRPr="00C67CC9">
        <w:rPr>
          <w:sz w:val="28"/>
          <w:szCs w:val="28"/>
          <w:lang w:val="ru-RU"/>
        </w:rPr>
        <w:t>, но частота СГЯ была достоверно выше и встречалась у каждой пятой пациентки. Таким образ</w:t>
      </w:r>
      <w:r w:rsidR="008C7140" w:rsidRPr="00C67CC9">
        <w:rPr>
          <w:sz w:val="28"/>
          <w:szCs w:val="28"/>
          <w:lang w:val="ru-RU"/>
        </w:rPr>
        <w:t>ом, у пациенток с СПК</w:t>
      </w:r>
      <w:r w:rsidRPr="00C67CC9">
        <w:rPr>
          <w:sz w:val="28"/>
          <w:szCs w:val="28"/>
          <w:lang w:val="ru-RU"/>
        </w:rPr>
        <w:t>Я применение рекомбинантного ФСГ способствует снижению частоты СГЯ.</w:t>
      </w:r>
      <w:r w:rsidR="00105D64" w:rsidRPr="00C67CC9">
        <w:rPr>
          <w:sz w:val="28"/>
          <w:szCs w:val="28"/>
          <w:lang w:val="ru-RU"/>
        </w:rPr>
        <w:t xml:space="preserve"> </w:t>
      </w:r>
    </w:p>
    <w:p w:rsidR="00105D64" w:rsidRPr="00C67CC9" w:rsidRDefault="00BB6DEB" w:rsidP="00BB6B0E">
      <w:pPr>
        <w:pStyle w:val="NormalWeb"/>
        <w:spacing w:line="360" w:lineRule="auto"/>
        <w:jc w:val="both"/>
        <w:rPr>
          <w:sz w:val="28"/>
          <w:szCs w:val="28"/>
          <w:shd w:val="clear" w:color="auto" w:fill="FFFFFF"/>
          <w:lang w:val="ru-RU"/>
        </w:rPr>
      </w:pPr>
      <w:r w:rsidRPr="00C67CC9">
        <w:rPr>
          <w:sz w:val="28"/>
          <w:szCs w:val="28"/>
          <w:shd w:val="clear" w:color="auto" w:fill="FFFFFF"/>
          <w:lang w:val="ru-RU"/>
        </w:rPr>
        <w:t xml:space="preserve">При СПКЯ, как правило, отмечается увеличение базального уровня гонадотропинов (больше за счет ЛГ), сенсибилизация рецепторов яичников к воздействию гонадотропинов, повышение кровотока в строме органа. </w:t>
      </w:r>
      <w:r w:rsidR="00105D64" w:rsidRPr="00C67CC9">
        <w:rPr>
          <w:sz w:val="28"/>
          <w:szCs w:val="28"/>
          <w:lang w:val="ru-RU"/>
        </w:rPr>
        <w:t xml:space="preserve">Стартовую дозу гонадотропинов следует подбирать в соответствии с индексом массы тела пациентки: женщинам с ИМТ менее 23 кг/м2 не рекомендуется назначать более 150 </w:t>
      </w:r>
      <w:r w:rsidR="00105D64" w:rsidRPr="00C67CC9">
        <w:rPr>
          <w:sz w:val="28"/>
          <w:szCs w:val="28"/>
        </w:rPr>
        <w:t>ME</w:t>
      </w:r>
      <w:r w:rsidR="00105D64" w:rsidRPr="00C67CC9">
        <w:rPr>
          <w:sz w:val="28"/>
          <w:szCs w:val="28"/>
          <w:lang w:val="ru-RU"/>
        </w:rPr>
        <w:t xml:space="preserve"> ФСГ в сутки </w:t>
      </w:r>
      <w:r w:rsidR="00E7002F">
        <w:rPr>
          <w:sz w:val="28"/>
          <w:szCs w:val="28"/>
          <w:lang w:val="ru-RU"/>
        </w:rPr>
        <w:t>[3]</w:t>
      </w:r>
      <w:r w:rsidR="00105D64" w:rsidRPr="00C67CC9">
        <w:rPr>
          <w:sz w:val="28"/>
          <w:szCs w:val="28"/>
          <w:lang w:val="ru-RU"/>
        </w:rPr>
        <w:t>.</w:t>
      </w:r>
      <w:r w:rsidRPr="00C67CC9">
        <w:rPr>
          <w:sz w:val="28"/>
          <w:szCs w:val="28"/>
          <w:lang w:val="ru-RU"/>
        </w:rPr>
        <w:t xml:space="preserve"> </w:t>
      </w:r>
      <w:r w:rsidRPr="00C67CC9">
        <w:rPr>
          <w:sz w:val="28"/>
          <w:szCs w:val="28"/>
          <w:shd w:val="clear" w:color="auto" w:fill="FFFFFF"/>
          <w:lang w:val="ru-RU"/>
        </w:rPr>
        <w:t xml:space="preserve">Поэтому, учитывая совокупность всех факторов, определяющих при СПЯ гиперчувствительность к проводимой стимуляции, у пациенток с СПЯ было предложено проводить ВРТ со стимуляцией овуляции «одним фолликулом», для </w:t>
      </w:r>
      <w:r w:rsidR="00154F84">
        <w:rPr>
          <w:sz w:val="28"/>
          <w:szCs w:val="28"/>
          <w:shd w:val="clear" w:color="auto" w:fill="FFFFFF"/>
          <w:lang w:val="ru-RU"/>
        </w:rPr>
        <w:t>чего была разработана следующая</w:t>
      </w:r>
      <w:r w:rsidRPr="00C67CC9">
        <w:rPr>
          <w:sz w:val="28"/>
          <w:szCs w:val="28"/>
          <w:shd w:val="clear" w:color="auto" w:fill="FFFFFF"/>
          <w:lang w:val="ru-RU"/>
        </w:rPr>
        <w:t>схема:</w:t>
      </w:r>
      <w:r w:rsidRPr="00C67CC9">
        <w:rPr>
          <w:sz w:val="28"/>
          <w:szCs w:val="28"/>
          <w:lang w:val="ru-RU"/>
        </w:rPr>
        <w:br/>
      </w:r>
      <w:r w:rsidR="00154F84">
        <w:rPr>
          <w:sz w:val="28"/>
          <w:szCs w:val="28"/>
          <w:shd w:val="clear" w:color="auto" w:fill="FFFFFF"/>
          <w:lang w:val="ru-RU"/>
        </w:rPr>
        <w:t xml:space="preserve">1. </w:t>
      </w:r>
      <w:r w:rsidRPr="00C67CC9">
        <w:rPr>
          <w:sz w:val="28"/>
          <w:szCs w:val="28"/>
          <w:shd w:val="clear" w:color="auto" w:fill="FFFFFF"/>
          <w:lang w:val="ru-RU"/>
        </w:rPr>
        <w:t>Для развития одного доминантного фолликула начинать протокол с введения только части (1/2-2/3) ампулы 35-45 МЕ гонадотропинов.</w:t>
      </w:r>
      <w:r w:rsidRPr="00C67CC9">
        <w:rPr>
          <w:sz w:val="28"/>
          <w:szCs w:val="28"/>
          <w:lang w:val="ru-RU"/>
        </w:rPr>
        <w:br/>
      </w:r>
      <w:r w:rsidRPr="00C67CC9">
        <w:rPr>
          <w:sz w:val="28"/>
          <w:szCs w:val="28"/>
          <w:shd w:val="clear" w:color="auto" w:fill="FFFFFF"/>
          <w:lang w:val="ru-RU"/>
        </w:rPr>
        <w:t xml:space="preserve">2. </w:t>
      </w:r>
      <w:r w:rsidR="00154F84">
        <w:rPr>
          <w:sz w:val="28"/>
          <w:szCs w:val="28"/>
          <w:shd w:val="clear" w:color="auto" w:fill="FFFFFF"/>
          <w:lang w:val="ru-RU"/>
        </w:rPr>
        <w:t xml:space="preserve"> </w:t>
      </w:r>
      <w:r w:rsidRPr="00C67CC9">
        <w:rPr>
          <w:sz w:val="28"/>
          <w:szCs w:val="28"/>
          <w:shd w:val="clear" w:color="auto" w:fill="FFFFFF"/>
          <w:lang w:val="ru-RU"/>
        </w:rPr>
        <w:t xml:space="preserve">Повышать эту дозу на 1/2 ампулы (35 МЕ) каждые 7 дней </w:t>
      </w:r>
      <w:r w:rsidR="00E7002F">
        <w:rPr>
          <w:sz w:val="28"/>
          <w:szCs w:val="28"/>
          <w:shd w:val="clear" w:color="auto" w:fill="FFFFFF"/>
          <w:lang w:val="ru-RU"/>
        </w:rPr>
        <w:t>[4]</w:t>
      </w:r>
      <w:r w:rsidRPr="00C67CC9">
        <w:rPr>
          <w:sz w:val="28"/>
          <w:szCs w:val="28"/>
          <w:shd w:val="clear" w:color="auto" w:fill="FFFFFF"/>
          <w:lang w:val="ru-RU"/>
        </w:rPr>
        <w:t>.</w:t>
      </w:r>
    </w:p>
    <w:p w:rsidR="00BB6DEB" w:rsidRPr="00C67CC9" w:rsidRDefault="00BB6DEB" w:rsidP="00BB6B0E">
      <w:pPr>
        <w:pStyle w:val="NormalWeb"/>
        <w:spacing w:line="360" w:lineRule="auto"/>
        <w:jc w:val="both"/>
        <w:rPr>
          <w:sz w:val="28"/>
          <w:szCs w:val="28"/>
          <w:lang w:val="ru-RU"/>
        </w:rPr>
      </w:pPr>
      <w:r w:rsidRPr="00C67CC9">
        <w:rPr>
          <w:sz w:val="28"/>
          <w:szCs w:val="28"/>
          <w:shd w:val="clear" w:color="auto" w:fill="FFFFFF"/>
          <w:lang w:val="ru-RU"/>
        </w:rPr>
        <w:t>Была предложена и другая схема – в обратном порядке, согласно которой инициацию развития фолликулов начинают с введения ежедневно в течение 3-4 дней 150-225 МЕ (2-3 ампулы) гонадотропинов, после достижения доминантным фолликулом размеров 9-10 мм дозу снижают до 75 МЕ (1 ампула) в день для поддержания развития фолликула.</w:t>
      </w:r>
      <w:r w:rsidRPr="00C67CC9">
        <w:rPr>
          <w:sz w:val="28"/>
          <w:szCs w:val="28"/>
          <w:lang w:val="ru-RU"/>
        </w:rPr>
        <w:br/>
      </w:r>
      <w:r w:rsidRPr="00C67CC9">
        <w:rPr>
          <w:sz w:val="28"/>
          <w:szCs w:val="28"/>
          <w:shd w:val="clear" w:color="auto" w:fill="FFFFFF"/>
          <w:lang w:val="ru-RU"/>
        </w:rPr>
        <w:t xml:space="preserve">Другими исследователями была предложена модификация удлиненного протокола индукции овуляции, при которой изначально ФСГ назначается также в более низких дозах – 2/3 ампулы (52,5 МЕ). Результаты лечения в исследуемой группе тоже оказались лучше в сравнении со стандартным протоколом индукции, что говорит в пользу применения гонадотропинов в </w:t>
      </w:r>
      <w:r w:rsidRPr="00C67CC9">
        <w:rPr>
          <w:sz w:val="28"/>
          <w:szCs w:val="28"/>
          <w:shd w:val="clear" w:color="auto" w:fill="FFFFFF"/>
          <w:lang w:val="ru-RU"/>
        </w:rPr>
        <w:lastRenderedPageBreak/>
        <w:t xml:space="preserve">низких дозах и в удлиненном режиме при индукции овуляции у ановуляторных пациенток с СПЯ </w:t>
      </w:r>
      <w:r w:rsidR="00E7002F">
        <w:rPr>
          <w:sz w:val="28"/>
          <w:szCs w:val="28"/>
          <w:shd w:val="clear" w:color="auto" w:fill="FFFFFF"/>
          <w:lang w:val="ru-RU"/>
        </w:rPr>
        <w:t>[4]</w:t>
      </w:r>
      <w:r w:rsidRPr="00C67CC9">
        <w:rPr>
          <w:sz w:val="28"/>
          <w:szCs w:val="28"/>
          <w:shd w:val="clear" w:color="auto" w:fill="FFFFFF"/>
          <w:lang w:val="ru-RU"/>
        </w:rPr>
        <w:t>.</w:t>
      </w:r>
    </w:p>
    <w:p w:rsidR="00105D64" w:rsidRPr="00C67CC9" w:rsidRDefault="00105D64" w:rsidP="00BB6B0E">
      <w:pPr>
        <w:pStyle w:val="NormalWeb"/>
        <w:spacing w:line="360" w:lineRule="auto"/>
        <w:jc w:val="both"/>
        <w:rPr>
          <w:sz w:val="28"/>
          <w:szCs w:val="28"/>
          <w:lang w:val="ru-RU"/>
        </w:rPr>
      </w:pPr>
      <w:r w:rsidRPr="00C67CC9">
        <w:rPr>
          <w:sz w:val="28"/>
          <w:szCs w:val="28"/>
          <w:lang w:val="ru-RU"/>
        </w:rPr>
        <w:t xml:space="preserve">В процессе индукции овуляции необходимо обращать внимание не только на диаметр и число лидирующих фолликулов, но и на объем яичника на 6-7 день введения гонадотропинов, поскольку объем яичника на 6-7 день стимуляции более 20 см3 является фактором риска развития синдрома гиперстимуляции яичников </w:t>
      </w:r>
      <w:r w:rsidR="00E7002F">
        <w:rPr>
          <w:sz w:val="28"/>
          <w:szCs w:val="28"/>
          <w:lang w:val="ru-RU"/>
        </w:rPr>
        <w:t>[3]</w:t>
      </w:r>
      <w:r w:rsidRPr="00C67CC9">
        <w:rPr>
          <w:sz w:val="28"/>
          <w:szCs w:val="28"/>
          <w:lang w:val="ru-RU"/>
        </w:rPr>
        <w:t>.</w:t>
      </w:r>
      <w:r w:rsidR="00E97BB6" w:rsidRPr="00C67CC9">
        <w:rPr>
          <w:sz w:val="28"/>
          <w:szCs w:val="28"/>
          <w:lang w:val="ru-RU"/>
        </w:rPr>
        <w:t xml:space="preserve"> </w:t>
      </w:r>
    </w:p>
    <w:p w:rsidR="00E97BB6" w:rsidRPr="00C67CC9" w:rsidRDefault="00E97BB6" w:rsidP="00BB6B0E">
      <w:pPr>
        <w:pStyle w:val="NormalWeb"/>
        <w:spacing w:line="360" w:lineRule="auto"/>
        <w:jc w:val="both"/>
        <w:rPr>
          <w:sz w:val="28"/>
          <w:szCs w:val="28"/>
          <w:lang w:val="ru-RU"/>
        </w:rPr>
      </w:pPr>
      <w:r w:rsidRPr="00C67CC9">
        <w:rPr>
          <w:sz w:val="28"/>
          <w:szCs w:val="28"/>
          <w:lang w:val="ru-RU"/>
        </w:rPr>
        <w:t xml:space="preserve">Но, следует учитывать, что по мнению некоторых авторов применение длинного протокола и протокола с ант-ГнРГ у женщин с СПКЯ ассоциировано с получением достоверно большего числа эмбрионов хорошего качества по сравнению с группой пациенток, стимулированных в коротком протоколе с агонистами (39,2%, 38,7%, 29,2%). Отсутствие беременностей в этой группе позволяет предположить нецелесообразность применения данного протокола для лечения бесплодия у пациенток с СПКЯ </w:t>
      </w:r>
      <w:r w:rsidR="00E7002F">
        <w:rPr>
          <w:sz w:val="28"/>
          <w:szCs w:val="28"/>
          <w:lang w:val="ru-RU"/>
        </w:rPr>
        <w:t>[5]</w:t>
      </w:r>
      <w:r w:rsidRPr="00C67CC9">
        <w:rPr>
          <w:sz w:val="28"/>
          <w:szCs w:val="28"/>
          <w:lang w:val="ru-RU"/>
        </w:rPr>
        <w:t xml:space="preserve">. Поэтому применение антагонистов ГнРГ в программах ЭКО у пациенток с СПКЯ должно осуществляться сообразно критериям включения больных в данные протоколы: уровень ЛГ&lt; 15 МЕ/л, объем яичников &lt; 15 см3 , с количеством фолликулов менее 15 в каждом яичнике, оперативные вмешательства на яичниках, предполагающих возможность «бедного» ответа </w:t>
      </w:r>
      <w:r w:rsidR="00E7002F">
        <w:rPr>
          <w:sz w:val="28"/>
          <w:szCs w:val="28"/>
          <w:lang w:val="ru-RU"/>
        </w:rPr>
        <w:t>[5]</w:t>
      </w:r>
      <w:r w:rsidRPr="00C67CC9">
        <w:rPr>
          <w:sz w:val="28"/>
          <w:szCs w:val="28"/>
          <w:lang w:val="ru-RU"/>
        </w:rPr>
        <w:t xml:space="preserve">. </w:t>
      </w:r>
    </w:p>
    <w:p w:rsidR="00A4296C" w:rsidRPr="00C67CC9" w:rsidRDefault="006C421E" w:rsidP="00BB6B0E">
      <w:pPr>
        <w:pStyle w:val="NormalWeb"/>
        <w:spacing w:line="360" w:lineRule="auto"/>
        <w:jc w:val="both"/>
        <w:rPr>
          <w:sz w:val="28"/>
          <w:szCs w:val="28"/>
          <w:lang w:val="ru-RU"/>
        </w:rPr>
      </w:pPr>
      <w:r w:rsidRPr="00C67CC9">
        <w:rPr>
          <w:sz w:val="28"/>
          <w:szCs w:val="28"/>
          <w:lang w:val="ru-RU"/>
        </w:rPr>
        <w:t>Что касается эмбриологического этапа ЭКО, достоверно доказано влияние гиперандрогенемии при СПКЯ на качество эмбрионов. Если сравнивать женщин и СПКЯ и без, то можно обнаружить, что в</w:t>
      </w:r>
      <w:r w:rsidR="00E97BB6" w:rsidRPr="00C67CC9">
        <w:rPr>
          <w:sz w:val="28"/>
          <w:szCs w:val="28"/>
          <w:lang w:val="ru-RU"/>
        </w:rPr>
        <w:t xml:space="preserve"> фолликулярной жидкости преовуляторных фолликулов женщин с исходно</w:t>
      </w:r>
      <w:r w:rsidRPr="00C67CC9">
        <w:rPr>
          <w:sz w:val="28"/>
          <w:szCs w:val="28"/>
          <w:lang w:val="ru-RU"/>
        </w:rPr>
        <w:t>й гиперандрогенией уровень тес</w:t>
      </w:r>
      <w:r w:rsidR="00E97BB6" w:rsidRPr="00C67CC9">
        <w:rPr>
          <w:sz w:val="28"/>
          <w:szCs w:val="28"/>
          <w:lang w:val="ru-RU"/>
        </w:rPr>
        <w:t>тостерона и индекс свободных андрогенов достоверн</w:t>
      </w:r>
      <w:r w:rsidRPr="00C67CC9">
        <w:rPr>
          <w:sz w:val="28"/>
          <w:szCs w:val="28"/>
          <w:lang w:val="ru-RU"/>
        </w:rPr>
        <w:t>о увеличены, а оксидантно/анти</w:t>
      </w:r>
      <w:r w:rsidR="00E97BB6" w:rsidRPr="00C67CC9">
        <w:rPr>
          <w:sz w:val="28"/>
          <w:szCs w:val="28"/>
          <w:lang w:val="ru-RU"/>
        </w:rPr>
        <w:t xml:space="preserve">оксидантное равновесие сдвинуто в сторону увеличения </w:t>
      </w:r>
      <w:r w:rsidR="00E97BB6" w:rsidRPr="00C67CC9">
        <w:rPr>
          <w:sz w:val="28"/>
          <w:szCs w:val="28"/>
          <w:lang w:val="ru-RU"/>
        </w:rPr>
        <w:lastRenderedPageBreak/>
        <w:t>о</w:t>
      </w:r>
      <w:r w:rsidRPr="00C67CC9">
        <w:rPr>
          <w:sz w:val="28"/>
          <w:szCs w:val="28"/>
          <w:lang w:val="ru-RU"/>
        </w:rPr>
        <w:t>бщей оксидантной активности. У пациенток с исходной гиперан</w:t>
      </w:r>
      <w:r w:rsidR="00E97BB6" w:rsidRPr="00C67CC9">
        <w:rPr>
          <w:sz w:val="28"/>
          <w:szCs w:val="28"/>
          <w:lang w:val="ru-RU"/>
        </w:rPr>
        <w:t>дрогенией уровни лептина и глобулина, связывающ</w:t>
      </w:r>
      <w:r w:rsidRPr="00C67CC9">
        <w:rPr>
          <w:sz w:val="28"/>
          <w:szCs w:val="28"/>
          <w:lang w:val="ru-RU"/>
        </w:rPr>
        <w:t>его половые гормоны, в фоллику</w:t>
      </w:r>
      <w:r w:rsidR="00E97BB6" w:rsidRPr="00C67CC9">
        <w:rPr>
          <w:sz w:val="28"/>
          <w:szCs w:val="28"/>
          <w:lang w:val="ru-RU"/>
        </w:rPr>
        <w:t>лярной ж</w:t>
      </w:r>
      <w:r w:rsidRPr="00C67CC9">
        <w:rPr>
          <w:sz w:val="28"/>
          <w:szCs w:val="28"/>
          <w:lang w:val="ru-RU"/>
        </w:rPr>
        <w:t>идкости имеют существенное зна</w:t>
      </w:r>
      <w:r w:rsidR="00E97BB6" w:rsidRPr="00C67CC9">
        <w:rPr>
          <w:sz w:val="28"/>
          <w:szCs w:val="28"/>
          <w:lang w:val="ru-RU"/>
        </w:rPr>
        <w:t xml:space="preserve">чение для получения ооцитов и эмбрионов высокого </w:t>
      </w:r>
      <w:r w:rsidRPr="00C67CC9">
        <w:rPr>
          <w:sz w:val="28"/>
          <w:szCs w:val="28"/>
          <w:lang w:val="ru-RU"/>
        </w:rPr>
        <w:t>качества, и достижения беремен</w:t>
      </w:r>
      <w:r w:rsidR="00E97BB6" w:rsidRPr="00C67CC9">
        <w:rPr>
          <w:sz w:val="28"/>
          <w:szCs w:val="28"/>
          <w:lang w:val="ru-RU"/>
        </w:rPr>
        <w:t>ности в результате экстрак</w:t>
      </w:r>
      <w:r w:rsidRPr="00C67CC9">
        <w:rPr>
          <w:sz w:val="28"/>
          <w:szCs w:val="28"/>
          <w:lang w:val="ru-RU"/>
        </w:rPr>
        <w:t xml:space="preserve">орпорального оплодотворения. </w:t>
      </w:r>
      <w:r w:rsidR="00E97BB6" w:rsidRPr="00C67CC9">
        <w:rPr>
          <w:sz w:val="28"/>
          <w:szCs w:val="28"/>
          <w:lang w:val="ru-RU"/>
        </w:rPr>
        <w:t>Вероятность наступления беременности в случае из</w:t>
      </w:r>
      <w:r w:rsidRPr="00C67CC9">
        <w:rPr>
          <w:sz w:val="28"/>
          <w:szCs w:val="28"/>
          <w:lang w:val="ru-RU"/>
        </w:rPr>
        <w:t>бытка андрогенов выше при пере</w:t>
      </w:r>
      <w:r w:rsidR="00E97BB6" w:rsidRPr="00C67CC9">
        <w:rPr>
          <w:sz w:val="28"/>
          <w:szCs w:val="28"/>
          <w:lang w:val="ru-RU"/>
        </w:rPr>
        <w:t xml:space="preserve">носе в полость матки женщин эмбрионов, у которых больший объем бластомеров и более тонкая </w:t>
      </w:r>
      <w:r w:rsidR="00E97BB6" w:rsidRPr="00C67CC9">
        <w:rPr>
          <w:sz w:val="28"/>
          <w:szCs w:val="28"/>
        </w:rPr>
        <w:t>zona</w:t>
      </w:r>
      <w:r w:rsidR="00E97BB6" w:rsidRPr="00C67CC9">
        <w:rPr>
          <w:sz w:val="28"/>
          <w:szCs w:val="28"/>
          <w:lang w:val="ru-RU"/>
        </w:rPr>
        <w:t xml:space="preserve"> </w:t>
      </w:r>
      <w:r w:rsidR="00E97BB6" w:rsidRPr="00C67CC9">
        <w:rPr>
          <w:sz w:val="28"/>
          <w:szCs w:val="28"/>
        </w:rPr>
        <w:t>pellucida</w:t>
      </w:r>
      <w:r w:rsidRPr="00C67CC9">
        <w:rPr>
          <w:sz w:val="28"/>
          <w:szCs w:val="28"/>
          <w:lang w:val="ru-RU"/>
        </w:rPr>
        <w:t xml:space="preserve"> </w:t>
      </w:r>
      <w:r w:rsidR="00E7002F">
        <w:rPr>
          <w:sz w:val="28"/>
          <w:szCs w:val="28"/>
          <w:lang w:val="ru-RU"/>
        </w:rPr>
        <w:t>[6]</w:t>
      </w:r>
      <w:r w:rsidR="00E97BB6" w:rsidRPr="00C67CC9">
        <w:rPr>
          <w:sz w:val="28"/>
          <w:szCs w:val="28"/>
          <w:lang w:val="ru-RU"/>
        </w:rPr>
        <w:t>.</w:t>
      </w: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BB6B0E" w:rsidRDefault="00BB6B0E" w:rsidP="00BB6B0E">
      <w:pPr>
        <w:spacing w:line="360" w:lineRule="auto"/>
        <w:jc w:val="both"/>
        <w:rPr>
          <w:rFonts w:ascii="Times New Roman" w:hAnsi="Times New Roman" w:cs="Times New Roman"/>
          <w:b/>
          <w:sz w:val="28"/>
          <w:szCs w:val="28"/>
          <w:lang w:val="ru-RU"/>
        </w:rPr>
      </w:pPr>
    </w:p>
    <w:p w:rsidR="00016125" w:rsidRDefault="00016125" w:rsidP="00BB6B0E">
      <w:pPr>
        <w:spacing w:line="360" w:lineRule="auto"/>
        <w:jc w:val="both"/>
        <w:rPr>
          <w:rFonts w:ascii="Times New Roman" w:hAnsi="Times New Roman" w:cs="Times New Roman"/>
          <w:b/>
          <w:sz w:val="28"/>
          <w:szCs w:val="28"/>
          <w:lang w:val="ru-RU"/>
        </w:rPr>
      </w:pPr>
    </w:p>
    <w:p w:rsidR="00016125" w:rsidRDefault="00016125" w:rsidP="00BB6B0E">
      <w:pPr>
        <w:spacing w:line="360" w:lineRule="auto"/>
        <w:jc w:val="both"/>
        <w:rPr>
          <w:rFonts w:ascii="Times New Roman" w:hAnsi="Times New Roman" w:cs="Times New Roman"/>
          <w:b/>
          <w:sz w:val="28"/>
          <w:szCs w:val="28"/>
          <w:lang w:val="ru-RU"/>
        </w:rPr>
      </w:pPr>
    </w:p>
    <w:p w:rsidR="00016125" w:rsidRDefault="00016125" w:rsidP="00BB6B0E">
      <w:pPr>
        <w:spacing w:line="360" w:lineRule="auto"/>
        <w:jc w:val="both"/>
        <w:rPr>
          <w:rFonts w:ascii="Times New Roman" w:hAnsi="Times New Roman" w:cs="Times New Roman"/>
          <w:b/>
          <w:sz w:val="28"/>
          <w:szCs w:val="28"/>
          <w:lang w:val="ru-RU"/>
        </w:rPr>
      </w:pPr>
    </w:p>
    <w:p w:rsidR="00016125" w:rsidRDefault="00016125" w:rsidP="00BB6B0E">
      <w:pPr>
        <w:spacing w:line="360" w:lineRule="auto"/>
        <w:jc w:val="both"/>
        <w:rPr>
          <w:rFonts w:ascii="Times New Roman" w:hAnsi="Times New Roman" w:cs="Times New Roman"/>
          <w:b/>
          <w:sz w:val="28"/>
          <w:szCs w:val="28"/>
          <w:lang w:val="ru-RU"/>
        </w:rPr>
      </w:pPr>
    </w:p>
    <w:p w:rsidR="00016125" w:rsidRDefault="00016125" w:rsidP="00BB6B0E">
      <w:pPr>
        <w:spacing w:line="360" w:lineRule="auto"/>
        <w:jc w:val="both"/>
        <w:rPr>
          <w:rFonts w:ascii="Times New Roman" w:hAnsi="Times New Roman" w:cs="Times New Roman"/>
          <w:b/>
          <w:sz w:val="28"/>
          <w:szCs w:val="28"/>
          <w:lang w:val="ru-RU"/>
        </w:rPr>
      </w:pPr>
    </w:p>
    <w:p w:rsidR="009A60A1" w:rsidRPr="00112104" w:rsidRDefault="0005464E" w:rsidP="00BB6B0E">
      <w:pPr>
        <w:spacing w:line="360" w:lineRule="auto"/>
        <w:jc w:val="both"/>
        <w:rPr>
          <w:rFonts w:ascii="Times New Roman" w:hAnsi="Times New Roman" w:cs="Times New Roman"/>
          <w:b/>
          <w:sz w:val="28"/>
          <w:szCs w:val="28"/>
          <w:lang w:val="ru-RU"/>
        </w:rPr>
      </w:pPr>
      <w:r w:rsidRPr="00112104">
        <w:rPr>
          <w:rFonts w:ascii="Times New Roman" w:hAnsi="Times New Roman" w:cs="Times New Roman"/>
          <w:b/>
          <w:sz w:val="28"/>
          <w:szCs w:val="28"/>
          <w:lang w:val="ru-RU"/>
        </w:rPr>
        <w:lastRenderedPageBreak/>
        <w:t xml:space="preserve">Глава 2. </w:t>
      </w:r>
    </w:p>
    <w:p w:rsidR="0005464E" w:rsidRPr="00C67CC9" w:rsidRDefault="00A4296C" w:rsidP="00BB6B0E">
      <w:pPr>
        <w:spacing w:line="360" w:lineRule="auto"/>
        <w:jc w:val="both"/>
        <w:rPr>
          <w:rFonts w:ascii="Times New Roman" w:hAnsi="Times New Roman" w:cs="Times New Roman"/>
          <w:b/>
          <w:sz w:val="28"/>
          <w:szCs w:val="28"/>
          <w:lang w:val="ru-RU"/>
        </w:rPr>
      </w:pPr>
      <w:r w:rsidRPr="00C67CC9">
        <w:rPr>
          <w:rFonts w:ascii="Times New Roman" w:hAnsi="Times New Roman" w:cs="Times New Roman"/>
          <w:b/>
          <w:sz w:val="28"/>
          <w:szCs w:val="28"/>
          <w:lang w:val="ru-RU"/>
        </w:rPr>
        <w:t xml:space="preserve">2.1 </w:t>
      </w:r>
      <w:r w:rsidR="0005464E" w:rsidRPr="00C67CC9">
        <w:rPr>
          <w:rFonts w:ascii="Times New Roman" w:hAnsi="Times New Roman" w:cs="Times New Roman"/>
          <w:b/>
          <w:sz w:val="28"/>
          <w:szCs w:val="28"/>
          <w:lang w:val="ru-RU"/>
        </w:rPr>
        <w:t xml:space="preserve">Материалы и методы исследования. </w:t>
      </w:r>
    </w:p>
    <w:p w:rsidR="00A8665B" w:rsidRDefault="00A8665B"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На базе ФГБ</w:t>
      </w:r>
      <w:r>
        <w:rPr>
          <w:rFonts w:ascii="Times New Roman" w:hAnsi="Times New Roman" w:cs="Times New Roman"/>
          <w:sz w:val="28"/>
          <w:szCs w:val="28"/>
          <w:lang w:val="ru-RU"/>
        </w:rPr>
        <w:t>Н</w:t>
      </w:r>
      <w:r w:rsidRPr="00C67CC9">
        <w:rPr>
          <w:rFonts w:ascii="Times New Roman" w:hAnsi="Times New Roman" w:cs="Times New Roman"/>
          <w:sz w:val="28"/>
          <w:szCs w:val="28"/>
          <w:lang w:val="ru-RU"/>
        </w:rPr>
        <w:t>У НИИ Акушерства</w:t>
      </w:r>
      <w:r>
        <w:rPr>
          <w:rFonts w:ascii="Times New Roman" w:hAnsi="Times New Roman" w:cs="Times New Roman"/>
          <w:sz w:val="28"/>
          <w:szCs w:val="28"/>
          <w:lang w:val="ru-RU"/>
        </w:rPr>
        <w:t>, г</w:t>
      </w:r>
      <w:r w:rsidRPr="00C67CC9">
        <w:rPr>
          <w:rFonts w:ascii="Times New Roman" w:hAnsi="Times New Roman" w:cs="Times New Roman"/>
          <w:sz w:val="28"/>
          <w:szCs w:val="28"/>
          <w:lang w:val="ru-RU"/>
        </w:rPr>
        <w:t xml:space="preserve">инекологии </w:t>
      </w:r>
      <w:r>
        <w:rPr>
          <w:rFonts w:ascii="Times New Roman" w:hAnsi="Times New Roman" w:cs="Times New Roman"/>
          <w:sz w:val="28"/>
          <w:szCs w:val="28"/>
          <w:lang w:val="ru-RU"/>
        </w:rPr>
        <w:t xml:space="preserve">и репродуктологии </w:t>
      </w:r>
    </w:p>
    <w:p w:rsidR="0005464E" w:rsidRPr="00C67CC9" w:rsidRDefault="00A8665B"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им.</w:t>
      </w:r>
      <w:r w:rsidR="0005464E" w:rsidRPr="00C67CC9">
        <w:rPr>
          <w:rFonts w:ascii="Times New Roman" w:hAnsi="Times New Roman" w:cs="Times New Roman"/>
          <w:sz w:val="28"/>
          <w:szCs w:val="28"/>
          <w:lang w:val="ru-RU"/>
        </w:rPr>
        <w:t xml:space="preserve"> Д.О.Отта был проведен ретроспективный анализ историй болезней 65 женщин с ановуляторным бесплодием и синдромом поликистозных яичников в анамнезе.</w:t>
      </w:r>
    </w:p>
    <w:p w:rsidR="0005464E" w:rsidRPr="00C67CC9" w:rsidRDefault="0005464E"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1-я группа: 37 пациентки с электрокаутеризацией яичников в анамнезе с целью лечения СПКЯ. </w:t>
      </w:r>
    </w:p>
    <w:p w:rsidR="0005464E" w:rsidRPr="00C67CC9" w:rsidRDefault="0005464E"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2-я группа: 28 пациенток без операций на яичниках в анамнезе. </w:t>
      </w:r>
    </w:p>
    <w:p w:rsidR="0002264F" w:rsidRPr="00C67CC9" w:rsidRDefault="0005464E" w:rsidP="00BB6B0E">
      <w:pPr>
        <w:keepNext/>
        <w:widowControl w:val="0"/>
        <w:autoSpaceDE w:val="0"/>
        <w:autoSpaceDN w:val="0"/>
        <w:adjustRightInd w:val="0"/>
        <w:spacing w:after="240"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У всех пациенток использовался протокол с антагонистом гонадотропин релизинг фактора (АнтГтР). В качестве индуктора овуляции использовался препарат рекомбинантного ФСГ </w:t>
      </w:r>
      <w:r w:rsidR="00A8665B" w:rsidRPr="00C67CC9">
        <w:rPr>
          <w:rFonts w:ascii="Times New Roman" w:hAnsi="Times New Roman" w:cs="Times New Roman"/>
          <w:sz w:val="28"/>
          <w:szCs w:val="28"/>
          <w:lang w:val="ru-RU"/>
        </w:rPr>
        <w:t>(</w:t>
      </w:r>
      <w:r w:rsidR="00A8665B">
        <w:rPr>
          <w:rFonts w:ascii="Times New Roman" w:hAnsi="Times New Roman" w:cs="Times New Roman"/>
          <w:sz w:val="28"/>
          <w:szCs w:val="28"/>
          <w:lang w:val="ru-RU"/>
        </w:rPr>
        <w:t>Гонал-Ф</w:t>
      </w:r>
      <w:r w:rsidR="00A8665B" w:rsidRPr="00A8665B">
        <w:rPr>
          <w:rFonts w:ascii="Times New Roman" w:hAnsi="Times New Roman" w:cs="Times New Roman"/>
          <w:sz w:val="28"/>
          <w:szCs w:val="28"/>
          <w:lang w:val="ru-RU"/>
        </w:rPr>
        <w:t xml:space="preserve"> </w:t>
      </w:r>
      <w:proofErr w:type="spellStart"/>
      <w:r w:rsidR="00A8665B">
        <w:rPr>
          <w:rFonts w:ascii="Times New Roman" w:hAnsi="Times New Roman" w:cs="Times New Roman"/>
          <w:sz w:val="28"/>
          <w:szCs w:val="28"/>
        </w:rPr>
        <w:t>Merk</w:t>
      </w:r>
      <w:proofErr w:type="spellEnd"/>
      <w:r w:rsidR="00A8665B" w:rsidRPr="00A8665B">
        <w:rPr>
          <w:rFonts w:ascii="Times New Roman" w:hAnsi="Times New Roman" w:cs="Times New Roman"/>
          <w:sz w:val="28"/>
          <w:szCs w:val="28"/>
          <w:lang w:val="ru-RU"/>
        </w:rPr>
        <w:t xml:space="preserve"> </w:t>
      </w:r>
      <w:proofErr w:type="spellStart"/>
      <w:r w:rsidR="00A8665B">
        <w:rPr>
          <w:rFonts w:ascii="Times New Roman" w:hAnsi="Times New Roman" w:cs="Times New Roman"/>
          <w:sz w:val="28"/>
          <w:szCs w:val="28"/>
        </w:rPr>
        <w:t>Serono</w:t>
      </w:r>
      <w:proofErr w:type="spellEnd"/>
      <w:r w:rsidR="00A8665B">
        <w:rPr>
          <w:rFonts w:ascii="Times New Roman" w:hAnsi="Times New Roman" w:cs="Times New Roman"/>
          <w:sz w:val="28"/>
          <w:szCs w:val="28"/>
          <w:lang w:val="ru-RU"/>
        </w:rPr>
        <w:t xml:space="preserve">, </w:t>
      </w:r>
      <w:r w:rsidR="00A8665B" w:rsidRPr="00C67CC9">
        <w:rPr>
          <w:rFonts w:ascii="Times New Roman" w:hAnsi="Times New Roman" w:cs="Times New Roman"/>
          <w:sz w:val="28"/>
          <w:szCs w:val="28"/>
          <w:lang w:val="ru-RU"/>
        </w:rPr>
        <w:t>Пурегон</w:t>
      </w:r>
      <w:r w:rsidR="00A8665B">
        <w:rPr>
          <w:rFonts w:ascii="Times New Roman" w:hAnsi="Times New Roman" w:cs="Times New Roman"/>
          <w:sz w:val="28"/>
          <w:szCs w:val="28"/>
          <w:lang w:val="ru-RU"/>
        </w:rPr>
        <w:t>, MSD</w:t>
      </w:r>
      <w:r w:rsidR="00A8665B" w:rsidRPr="00C67CC9">
        <w:rPr>
          <w:rFonts w:ascii="Times New Roman" w:hAnsi="Times New Roman" w:cs="Times New Roman"/>
          <w:sz w:val="28"/>
          <w:szCs w:val="28"/>
          <w:lang w:val="ru-RU"/>
        </w:rPr>
        <w:t xml:space="preserve">) </w:t>
      </w:r>
      <w:r w:rsidRPr="00C67CC9">
        <w:rPr>
          <w:rFonts w:ascii="Times New Roman" w:hAnsi="Times New Roman" w:cs="Times New Roman"/>
          <w:sz w:val="28"/>
          <w:szCs w:val="28"/>
          <w:lang w:val="ru-RU"/>
        </w:rPr>
        <w:t xml:space="preserve">в дозе 75-150 единиц со 2-3-го дня менструального цикла. Стартовая доза подбиралась индивидуально в зависимости от возраста и веса пациентки. Стимуляция проводилась под УЗ- контролем. </w:t>
      </w:r>
      <w:r w:rsidR="00B53EE1">
        <w:rPr>
          <w:rFonts w:ascii="Times New Roman" w:hAnsi="Times New Roman" w:cs="Times New Roman"/>
          <w:iCs/>
          <w:sz w:val="28"/>
          <w:szCs w:val="28"/>
          <w:lang w:val="ru-RU"/>
        </w:rPr>
        <w:t xml:space="preserve">Рекомбинантный ХГЧ </w:t>
      </w:r>
      <w:r w:rsidR="00A8665B">
        <w:rPr>
          <w:rFonts w:ascii="Times New Roman" w:hAnsi="Times New Roman" w:cs="Times New Roman"/>
          <w:iCs/>
          <w:sz w:val="28"/>
          <w:szCs w:val="28"/>
          <w:lang w:val="ru-RU"/>
        </w:rPr>
        <w:t>(</w:t>
      </w:r>
      <w:r w:rsidR="00A8665B" w:rsidRPr="00C67CC9">
        <w:rPr>
          <w:rFonts w:ascii="Times New Roman" w:hAnsi="Times New Roman" w:cs="Times New Roman"/>
          <w:iCs/>
          <w:sz w:val="28"/>
          <w:szCs w:val="28"/>
          <w:lang w:val="ru-RU"/>
        </w:rPr>
        <w:t>Овитрель</w:t>
      </w:r>
      <w:r w:rsidR="00A8665B" w:rsidRPr="00A8665B">
        <w:rPr>
          <w:rFonts w:ascii="Times New Roman" w:hAnsi="Times New Roman" w:cs="Times New Roman"/>
          <w:sz w:val="28"/>
          <w:szCs w:val="28"/>
          <w:lang w:val="ru-RU"/>
        </w:rPr>
        <w:t xml:space="preserve"> </w:t>
      </w:r>
      <w:proofErr w:type="spellStart"/>
      <w:r w:rsidR="00A8665B">
        <w:rPr>
          <w:rFonts w:ascii="Times New Roman" w:hAnsi="Times New Roman" w:cs="Times New Roman"/>
          <w:sz w:val="28"/>
          <w:szCs w:val="28"/>
        </w:rPr>
        <w:t>Merk</w:t>
      </w:r>
      <w:proofErr w:type="spellEnd"/>
      <w:r w:rsidR="00A8665B" w:rsidRPr="00A8665B">
        <w:rPr>
          <w:rFonts w:ascii="Times New Roman" w:hAnsi="Times New Roman" w:cs="Times New Roman"/>
          <w:sz w:val="28"/>
          <w:szCs w:val="28"/>
          <w:lang w:val="ru-RU"/>
        </w:rPr>
        <w:t xml:space="preserve"> </w:t>
      </w:r>
      <w:proofErr w:type="spellStart"/>
      <w:r w:rsidR="00A8665B">
        <w:rPr>
          <w:rFonts w:ascii="Times New Roman" w:hAnsi="Times New Roman" w:cs="Times New Roman"/>
          <w:sz w:val="28"/>
          <w:szCs w:val="28"/>
        </w:rPr>
        <w:t>Serono</w:t>
      </w:r>
      <w:proofErr w:type="spellEnd"/>
      <w:r w:rsidR="00A8665B" w:rsidRPr="00C67CC9">
        <w:rPr>
          <w:rFonts w:ascii="Times New Roman" w:hAnsi="Times New Roman" w:cs="Times New Roman"/>
          <w:iCs/>
          <w:sz w:val="28"/>
          <w:szCs w:val="28"/>
          <w:lang w:val="ru-RU"/>
        </w:rPr>
        <w:t>)</w:t>
      </w:r>
      <w:r w:rsidR="00A8665B">
        <w:rPr>
          <w:rFonts w:ascii="Times New Roman" w:hAnsi="Times New Roman" w:cs="Times New Roman"/>
          <w:iCs/>
          <w:sz w:val="28"/>
          <w:szCs w:val="28"/>
          <w:lang w:val="ru-RU"/>
        </w:rPr>
        <w:t xml:space="preserve"> </w:t>
      </w:r>
      <w:r w:rsidR="0002264F" w:rsidRPr="00C67CC9">
        <w:rPr>
          <w:rFonts w:ascii="Times New Roman" w:hAnsi="Times New Roman" w:cs="Times New Roman"/>
          <w:iCs/>
          <w:sz w:val="28"/>
          <w:szCs w:val="28"/>
          <w:lang w:val="ru-RU"/>
        </w:rPr>
        <w:t xml:space="preserve">использовался в качестве триггера овуляции, когда два фолликула достигали диаметра 17 -18 мм. Пункция фолликулов проводилась трансвагинально через 34-36 часов после введения ХГЧ. </w:t>
      </w:r>
      <w:r w:rsidRPr="00C67CC9">
        <w:rPr>
          <w:rFonts w:ascii="Times New Roman" w:hAnsi="Times New Roman" w:cs="Times New Roman"/>
          <w:sz w:val="28"/>
          <w:szCs w:val="28"/>
          <w:lang w:val="ru-RU"/>
        </w:rPr>
        <w:t>Перенос эмбрионов (не более 2-х) осуществлялся на 5-е сутки развития</w:t>
      </w:r>
      <w:r w:rsidR="0002264F" w:rsidRPr="00C67CC9">
        <w:rPr>
          <w:rFonts w:ascii="Times New Roman" w:hAnsi="Times New Roman" w:cs="Times New Roman"/>
          <w:sz w:val="28"/>
          <w:szCs w:val="28"/>
          <w:lang w:val="ru-RU"/>
        </w:rPr>
        <w:t xml:space="preserve"> (среднее время культивирования составило 4 дня)</w:t>
      </w:r>
      <w:r w:rsidRPr="00C67CC9">
        <w:rPr>
          <w:rFonts w:ascii="Times New Roman" w:hAnsi="Times New Roman" w:cs="Times New Roman"/>
          <w:sz w:val="28"/>
          <w:szCs w:val="28"/>
          <w:lang w:val="ru-RU"/>
        </w:rPr>
        <w:t xml:space="preserve">. </w:t>
      </w:r>
      <w:r w:rsidR="0002264F" w:rsidRPr="00C67CC9">
        <w:rPr>
          <w:rFonts w:ascii="Times New Roman" w:hAnsi="Times New Roman" w:cs="Times New Roman"/>
          <w:sz w:val="28"/>
          <w:szCs w:val="28"/>
          <w:lang w:val="ru-RU"/>
        </w:rPr>
        <w:t xml:space="preserve">В некоторых случаях, также, производилась криоконсервация эмбрионов для последующего возможного использования в криоциклах. </w:t>
      </w:r>
    </w:p>
    <w:p w:rsidR="00296CF9" w:rsidRDefault="00296CF9" w:rsidP="00BB6B0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ходе исследования были оценены следующие параметры: возраст пациенток, возраст менархе, длительность бесплодия, уровни половых </w:t>
      </w:r>
      <w:r>
        <w:rPr>
          <w:rFonts w:ascii="Times New Roman" w:hAnsi="Times New Roman" w:cs="Times New Roman"/>
          <w:sz w:val="28"/>
          <w:szCs w:val="28"/>
          <w:lang w:val="ru-RU"/>
        </w:rPr>
        <w:lastRenderedPageBreak/>
        <w:t xml:space="preserve">гормонов в обеих группах (ФСГ, ЛГ, эстроген, прогестерон, пролактин, тестостерон, АМГ), суммарная доза препаратов гонадотропных гормонов, количество полученных ооцитов, эффективная доза, качество полученных эмбрионов, частота наступления беременности в цикле ЭКО, частота возникновения синдрома гиперстимуляции яичников. </w:t>
      </w:r>
    </w:p>
    <w:p w:rsidR="00296CF9" w:rsidRDefault="00296CF9" w:rsidP="00BB6B0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Э</w:t>
      </w:r>
      <w:r w:rsidRPr="00C67CC9">
        <w:rPr>
          <w:rFonts w:ascii="Times New Roman" w:hAnsi="Times New Roman" w:cs="Times New Roman"/>
          <w:sz w:val="28"/>
          <w:szCs w:val="28"/>
          <w:lang w:val="ru-RU"/>
        </w:rPr>
        <w:t xml:space="preserve">ффективная доза – это отношение суммарной дозы гонадотропинов к количеству полученных зрелых ооцитов. Этот показатель условно отражает </w:t>
      </w:r>
      <w:r>
        <w:rPr>
          <w:rFonts w:ascii="Times New Roman" w:hAnsi="Times New Roman" w:cs="Times New Roman"/>
          <w:sz w:val="28"/>
          <w:szCs w:val="28"/>
          <w:lang w:val="ru-RU"/>
        </w:rPr>
        <w:t>ту дозу препаратов</w:t>
      </w:r>
      <w:r w:rsidRPr="00C67CC9">
        <w:rPr>
          <w:rFonts w:ascii="Times New Roman" w:hAnsi="Times New Roman" w:cs="Times New Roman"/>
          <w:sz w:val="28"/>
          <w:szCs w:val="28"/>
          <w:lang w:val="ru-RU"/>
        </w:rPr>
        <w:t xml:space="preserve"> гонадотропинов, которое необходимо для созревания одного ооцита. Следовательно, чем выше эффективная доза, тем ниже ответ яичников на стимуляцию</w:t>
      </w:r>
      <w:r>
        <w:rPr>
          <w:rFonts w:ascii="Times New Roman" w:hAnsi="Times New Roman" w:cs="Times New Roman"/>
          <w:sz w:val="28"/>
          <w:szCs w:val="28"/>
          <w:lang w:val="ru-RU"/>
        </w:rPr>
        <w:t>.</w:t>
      </w:r>
    </w:p>
    <w:p w:rsidR="00296CF9" w:rsidRPr="008E5366" w:rsidRDefault="00296CF9" w:rsidP="00BB6B0E">
      <w:pPr>
        <w:spacing w:line="360" w:lineRule="auto"/>
        <w:jc w:val="both"/>
        <w:rPr>
          <w:rFonts w:ascii="Times New Roman" w:hAnsi="Times New Roman" w:cs="Times New Roman"/>
          <w:sz w:val="28"/>
          <w:szCs w:val="28"/>
          <w:lang w:val="ru-RU"/>
        </w:rPr>
      </w:pPr>
      <w:r w:rsidRPr="008E5366">
        <w:rPr>
          <w:rFonts w:ascii="Times New Roman" w:hAnsi="Times New Roman" w:cs="Times New Roman"/>
          <w:sz w:val="28"/>
          <w:szCs w:val="28"/>
          <w:lang w:val="ru-RU"/>
        </w:rPr>
        <w:t>Успешность протокола ЭКО оценивалась на основании следующих показателей:</w:t>
      </w:r>
    </w:p>
    <w:p w:rsidR="00060A2D" w:rsidRPr="00C67CC9" w:rsidRDefault="00060A2D" w:rsidP="00BB6B0E">
      <w:pPr>
        <w:pStyle w:val="ListParagraph"/>
        <w:numPr>
          <w:ilvl w:val="0"/>
          <w:numId w:val="12"/>
        </w:numPr>
        <w:spacing w:line="360" w:lineRule="auto"/>
        <w:jc w:val="both"/>
        <w:rPr>
          <w:sz w:val="28"/>
          <w:szCs w:val="28"/>
          <w:lang w:val="ru-RU"/>
        </w:rPr>
      </w:pPr>
      <w:r w:rsidRPr="00C67CC9">
        <w:rPr>
          <w:sz w:val="28"/>
          <w:szCs w:val="28"/>
          <w:lang w:val="ru-RU"/>
        </w:rPr>
        <w:t xml:space="preserve">анализ </w:t>
      </w:r>
      <m:oMath>
        <m:r>
          <w:rPr>
            <w:rFonts w:ascii="Cambria Math" w:hAnsi="Cambria Math"/>
            <w:sz w:val="28"/>
            <w:szCs w:val="28"/>
          </w:rPr>
          <m:t>β</m:t>
        </m:r>
      </m:oMath>
      <w:r w:rsidRPr="00C67CC9">
        <w:rPr>
          <w:sz w:val="28"/>
          <w:szCs w:val="28"/>
          <w:lang w:val="ru-RU"/>
        </w:rPr>
        <w:t>-ХГЧ на 14 день переноса эмбрионов (биохимическая беременность);</w:t>
      </w:r>
    </w:p>
    <w:p w:rsidR="00060A2D" w:rsidRPr="00B53EE1" w:rsidRDefault="00060A2D" w:rsidP="00BB6B0E">
      <w:pPr>
        <w:pStyle w:val="ListParagraph"/>
        <w:numPr>
          <w:ilvl w:val="0"/>
          <w:numId w:val="12"/>
        </w:numPr>
        <w:spacing w:line="360" w:lineRule="auto"/>
        <w:jc w:val="both"/>
        <w:rPr>
          <w:sz w:val="28"/>
          <w:szCs w:val="28"/>
          <w:lang w:val="ru-RU"/>
        </w:rPr>
      </w:pPr>
      <w:r w:rsidRPr="00C67CC9">
        <w:rPr>
          <w:sz w:val="28"/>
          <w:szCs w:val="28"/>
          <w:lang w:val="ru-RU"/>
        </w:rPr>
        <w:t xml:space="preserve">наличие плодного яйца в полости матки через 7-10 после анализа на </w:t>
      </w:r>
      <m:oMath>
        <m:r>
          <w:rPr>
            <w:rFonts w:ascii="Cambria Math" w:hAnsi="Cambria Math"/>
            <w:sz w:val="28"/>
            <w:szCs w:val="28"/>
          </w:rPr>
          <m:t>β</m:t>
        </m:r>
      </m:oMath>
      <w:r w:rsidRPr="00C67CC9">
        <w:rPr>
          <w:sz w:val="28"/>
          <w:szCs w:val="28"/>
          <w:lang w:val="ru-RU"/>
        </w:rPr>
        <w:t>-ХГЧ ( беременность по УЗИ).</w:t>
      </w:r>
    </w:p>
    <w:p w:rsidR="00B53EE1" w:rsidRDefault="00B53EE1"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Для обработки результатов исследования использовали пакет компьютерных программ «Statistica -5». Описание полученного материала производилось с помощью характеристики положения (меры центральной тенденции) и характеристики рассеяния. В качестве характеристики положения и рассеяния для количественных данных использовались среднее арифметическое и стандартное отклонение (М±</w:t>
      </w:r>
      <w:r w:rsidRPr="00C67CC9">
        <w:rPr>
          <w:rFonts w:ascii="Times New Roman" w:hAnsi="Times New Roman" w:cs="Times New Roman"/>
          <w:sz w:val="28"/>
          <w:szCs w:val="28"/>
        </w:rPr>
        <w:t>σ</w:t>
      </w:r>
      <w:r>
        <w:rPr>
          <w:rFonts w:ascii="Times New Roman" w:hAnsi="Times New Roman" w:cs="Times New Roman"/>
          <w:sz w:val="28"/>
          <w:szCs w:val="28"/>
          <w:lang w:val="ru-RU"/>
        </w:rPr>
        <w:t xml:space="preserve">), использовались медиана. </w:t>
      </w:r>
    </w:p>
    <w:p w:rsidR="00296CF9" w:rsidRPr="00C67CC9" w:rsidRDefault="00296CF9" w:rsidP="00BB6B0E">
      <w:pPr>
        <w:shd w:val="clear" w:color="auto" w:fill="FFFFFF"/>
        <w:spacing w:before="100" w:beforeAutospacing="1" w:after="24"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Статистическую значимость различий между количественными критериями оценивали с помощью коэффициента Стьюдента, для оценки </w:t>
      </w:r>
      <w:r>
        <w:rPr>
          <w:rFonts w:ascii="Times New Roman" w:hAnsi="Times New Roman" w:cs="Times New Roman"/>
          <w:sz w:val="28"/>
          <w:szCs w:val="28"/>
          <w:lang w:val="ru-RU"/>
        </w:rPr>
        <w:t>корреляции</w:t>
      </w:r>
      <w:r w:rsidRPr="00C67CC9">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признаков</w:t>
      </w:r>
      <w:r w:rsidRPr="00C67CC9">
        <w:rPr>
          <w:rFonts w:ascii="Times New Roman" w:hAnsi="Times New Roman" w:cs="Times New Roman"/>
          <w:sz w:val="28"/>
          <w:szCs w:val="28"/>
          <w:lang w:val="ru-RU"/>
        </w:rPr>
        <w:t xml:space="preserve"> использован критерий Пирсона</w:t>
      </w:r>
      <w:r w:rsidRPr="00C67CC9">
        <w:rPr>
          <w:rStyle w:val="apple-converted-space"/>
          <w:rFonts w:ascii="Times New Roman" w:hAnsi="Times New Roman" w:cs="Times New Roman"/>
          <w:iCs/>
          <w:sz w:val="28"/>
          <w:szCs w:val="28"/>
        </w:rPr>
        <w:t> </w:t>
      </w:r>
      <w:r w:rsidRPr="00C67CC9">
        <w:rPr>
          <w:rStyle w:val="apple-converted-space"/>
          <w:rFonts w:ascii="Times New Roman" w:hAnsi="Times New Roman" w:cs="Times New Roman"/>
          <w:iCs/>
          <w:sz w:val="28"/>
          <w:szCs w:val="28"/>
          <w:lang w:val="ru-RU"/>
        </w:rPr>
        <w:t>с поправкой Йейтса</w:t>
      </w:r>
      <w:r>
        <w:rPr>
          <w:rStyle w:val="apple-converted-space"/>
          <w:rFonts w:ascii="Times New Roman" w:hAnsi="Times New Roman" w:cs="Times New Roman"/>
          <w:iCs/>
          <w:sz w:val="28"/>
          <w:szCs w:val="28"/>
          <w:lang w:val="ru-RU"/>
        </w:rPr>
        <w:t>,</w:t>
      </w:r>
      <w:r w:rsidRPr="00B34548">
        <w:rPr>
          <w:rFonts w:ascii="Times New Roman" w:hAnsi="Times New Roman" w:cs="Times New Roman"/>
          <w:sz w:val="28"/>
          <w:szCs w:val="28"/>
          <w:lang w:val="ru-RU"/>
        </w:rPr>
        <w:t xml:space="preserve"> </w:t>
      </w:r>
      <w:r>
        <w:rPr>
          <w:rFonts w:ascii="Times New Roman" w:hAnsi="Times New Roman" w:cs="Times New Roman"/>
          <w:sz w:val="28"/>
          <w:szCs w:val="28"/>
          <w:lang w:val="ru-RU"/>
        </w:rPr>
        <w:t>или критерий хи квадрат для качественных признаков</w:t>
      </w:r>
      <w:r w:rsidRPr="00C67CC9">
        <w:rPr>
          <w:rStyle w:val="apple-converted-space"/>
          <w:rFonts w:ascii="Times New Roman" w:hAnsi="Times New Roman" w:cs="Times New Roman"/>
          <w:iCs/>
          <w:sz w:val="28"/>
          <w:szCs w:val="28"/>
          <w:lang w:val="ru-RU"/>
        </w:rPr>
        <w:t>.</w:t>
      </w:r>
      <w:r w:rsidRPr="00C67CC9">
        <w:rPr>
          <w:rStyle w:val="apple-converted-space"/>
          <w:rFonts w:ascii="Times New Roman" w:hAnsi="Times New Roman" w:cs="Times New Roman"/>
          <w:i/>
          <w:iCs/>
          <w:sz w:val="28"/>
          <w:szCs w:val="28"/>
          <w:lang w:val="ru-RU"/>
        </w:rPr>
        <w:t xml:space="preserve"> </w:t>
      </w:r>
    </w:p>
    <w:p w:rsidR="00A8665B" w:rsidRPr="00C67CC9" w:rsidRDefault="00B34548" w:rsidP="00BB6B0E">
      <w:pPr>
        <w:spacing w:line="36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Кри</w:t>
      </w:r>
      <w:r w:rsidR="00A8665B" w:rsidRPr="00C67CC9">
        <w:rPr>
          <w:rFonts w:ascii="Times New Roman" w:hAnsi="Times New Roman" w:cs="Times New Roman"/>
          <w:b/>
          <w:sz w:val="28"/>
          <w:szCs w:val="28"/>
          <w:lang w:val="ru-RU"/>
        </w:rPr>
        <w:t>терии включения:</w:t>
      </w:r>
      <w:r w:rsidR="00A8665B" w:rsidRPr="00C67CC9">
        <w:rPr>
          <w:rFonts w:ascii="Times New Roman" w:hAnsi="Times New Roman" w:cs="Times New Roman"/>
          <w:sz w:val="28"/>
          <w:szCs w:val="28"/>
          <w:lang w:val="ru-RU"/>
        </w:rPr>
        <w:t xml:space="preserve"> женщины с СПКЯ, планирующие беременность возраст пациенток от 30 до 42 лет, АМГ</w:t>
      </w:r>
      <w:r w:rsidR="00A8665B" w:rsidRPr="00C67CC9">
        <w:rPr>
          <w:rFonts w:ascii="Times New Roman" w:hAnsi="Times New Roman" w:cs="Times New Roman"/>
          <w:sz w:val="28"/>
          <w:szCs w:val="28"/>
        </w:rPr>
        <w:t> </w:t>
      </w:r>
      <w:r w:rsidR="00A8665B" w:rsidRPr="00C67CC9">
        <w:rPr>
          <w:rFonts w:ascii="Times New Roman" w:hAnsi="Times New Roman" w:cs="Times New Roman"/>
          <w:sz w:val="28"/>
          <w:szCs w:val="28"/>
          <w:lang w:val="ru-RU"/>
        </w:rPr>
        <w:t>&gt; 3,</w:t>
      </w:r>
      <w:r w:rsidR="00A8665B">
        <w:rPr>
          <w:rFonts w:ascii="Times New Roman" w:hAnsi="Times New Roman" w:cs="Times New Roman"/>
          <w:sz w:val="28"/>
          <w:szCs w:val="28"/>
          <w:lang w:val="ru-RU"/>
        </w:rPr>
        <w:t>0 нг/мл</w:t>
      </w:r>
      <w:r w:rsidR="00A8665B" w:rsidRPr="00C67CC9">
        <w:rPr>
          <w:rFonts w:ascii="Times New Roman" w:hAnsi="Times New Roman" w:cs="Times New Roman"/>
          <w:sz w:val="28"/>
          <w:szCs w:val="28"/>
          <w:lang w:val="ru-RU"/>
        </w:rPr>
        <w:t>, опсомен</w:t>
      </w:r>
      <w:r w:rsidR="00A8665B">
        <w:rPr>
          <w:rFonts w:ascii="Times New Roman" w:hAnsi="Times New Roman" w:cs="Times New Roman"/>
          <w:sz w:val="28"/>
          <w:szCs w:val="28"/>
          <w:lang w:val="ru-RU"/>
        </w:rPr>
        <w:t>орея, на УЗИ &gt; 12 фолликулов в яичниках</w:t>
      </w:r>
      <w:r w:rsidR="00A8665B" w:rsidRPr="00C67CC9">
        <w:rPr>
          <w:rFonts w:ascii="Times New Roman" w:hAnsi="Times New Roman" w:cs="Times New Roman"/>
          <w:sz w:val="28"/>
          <w:szCs w:val="28"/>
          <w:lang w:val="ru-RU"/>
        </w:rPr>
        <w:t xml:space="preserve">. </w:t>
      </w:r>
    </w:p>
    <w:p w:rsidR="000C6A92" w:rsidRPr="00C67CC9" w:rsidRDefault="00A8665B"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b/>
          <w:sz w:val="28"/>
          <w:szCs w:val="28"/>
          <w:lang w:val="ru-RU"/>
        </w:rPr>
        <w:t>Критерии исключения</w:t>
      </w:r>
      <w:r w:rsidRPr="00C67CC9">
        <w:rPr>
          <w:rFonts w:ascii="Times New Roman" w:hAnsi="Times New Roman" w:cs="Times New Roman"/>
          <w:sz w:val="28"/>
          <w:szCs w:val="28"/>
          <w:lang w:val="ru-RU"/>
        </w:rPr>
        <w:t>: пациентки</w:t>
      </w:r>
      <w:r w:rsidRPr="00A8665B">
        <w:rPr>
          <w:rFonts w:ascii="Times New Roman" w:hAnsi="Times New Roman" w:cs="Times New Roman"/>
          <w:sz w:val="28"/>
          <w:szCs w:val="28"/>
          <w:lang w:val="ru-RU"/>
        </w:rPr>
        <w:t xml:space="preserve"> с</w:t>
      </w:r>
      <w:r w:rsidRPr="00C67CC9">
        <w:rPr>
          <w:rFonts w:ascii="Times New Roman" w:hAnsi="Times New Roman" w:cs="Times New Roman"/>
          <w:sz w:val="28"/>
          <w:szCs w:val="28"/>
          <w:lang w:val="ru-RU"/>
        </w:rPr>
        <w:t xml:space="preserve"> миомой </w:t>
      </w:r>
      <w:r w:rsidR="000C6A92" w:rsidRPr="00C67CC9">
        <w:rPr>
          <w:rFonts w:ascii="Times New Roman" w:hAnsi="Times New Roman" w:cs="Times New Roman"/>
          <w:sz w:val="28"/>
          <w:szCs w:val="28"/>
          <w:lang w:val="ru-RU"/>
        </w:rPr>
        <w:t>матки, эндометриозом, гиперпролактинемией, нарушениями функции щитовидной железы, надпочечниковой гиперандрогенией, гонадотропной недостаточностью гипофиза и первичной яичниковой недостаточностью, пациентки с противопоказаниями для вынашивания беременности</w:t>
      </w:r>
      <w:r>
        <w:rPr>
          <w:rFonts w:ascii="Times New Roman" w:hAnsi="Times New Roman" w:cs="Times New Roman"/>
          <w:sz w:val="28"/>
          <w:szCs w:val="28"/>
          <w:lang w:val="ru-RU"/>
        </w:rPr>
        <w:t>.</w:t>
      </w:r>
    </w:p>
    <w:p w:rsidR="000C6A92" w:rsidRPr="00C67CC9" w:rsidRDefault="000C6A92"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b/>
          <w:sz w:val="28"/>
          <w:szCs w:val="28"/>
          <w:lang w:val="ru-RU"/>
        </w:rPr>
        <w:t>Конечные точки исследования</w:t>
      </w:r>
      <w:r w:rsidRPr="00C67CC9">
        <w:rPr>
          <w:rFonts w:ascii="Times New Roman" w:hAnsi="Times New Roman" w:cs="Times New Roman"/>
          <w:sz w:val="28"/>
          <w:szCs w:val="28"/>
          <w:lang w:val="ru-RU"/>
        </w:rPr>
        <w:t>: уровень ХГЧ более 100 международных единиц на 14- й день после предполагаемой овуляции, визуализация плодного яйца в полости матки на 21-й день после овуляции по УЗИ.</w:t>
      </w:r>
    </w:p>
    <w:p w:rsidR="0005464E" w:rsidRPr="00C67CC9" w:rsidRDefault="00A4296C" w:rsidP="00BB6B0E">
      <w:pPr>
        <w:spacing w:line="360" w:lineRule="auto"/>
        <w:jc w:val="both"/>
        <w:rPr>
          <w:rFonts w:ascii="Times New Roman" w:hAnsi="Times New Roman" w:cs="Times New Roman"/>
          <w:b/>
          <w:sz w:val="28"/>
          <w:szCs w:val="28"/>
          <w:lang w:val="ru-RU"/>
        </w:rPr>
      </w:pPr>
      <w:r w:rsidRPr="00C67CC9">
        <w:rPr>
          <w:rFonts w:ascii="Times New Roman" w:hAnsi="Times New Roman" w:cs="Times New Roman"/>
          <w:b/>
          <w:sz w:val="28"/>
          <w:szCs w:val="28"/>
          <w:lang w:val="ru-RU"/>
        </w:rPr>
        <w:t xml:space="preserve">2.2 </w:t>
      </w:r>
      <w:r w:rsidR="000C6A92" w:rsidRPr="00C67CC9">
        <w:rPr>
          <w:rFonts w:ascii="Times New Roman" w:hAnsi="Times New Roman" w:cs="Times New Roman"/>
          <w:b/>
          <w:sz w:val="28"/>
          <w:szCs w:val="28"/>
          <w:lang w:val="ru-RU"/>
        </w:rPr>
        <w:t xml:space="preserve">Результаты исследования. </w:t>
      </w:r>
    </w:p>
    <w:p w:rsidR="003B287C" w:rsidRPr="00C67CC9" w:rsidRDefault="00A4296C" w:rsidP="00BB6B0E">
      <w:pPr>
        <w:spacing w:line="360" w:lineRule="auto"/>
        <w:rPr>
          <w:rFonts w:ascii="Times New Roman" w:hAnsi="Times New Roman" w:cs="Times New Roman"/>
          <w:b/>
          <w:sz w:val="28"/>
          <w:szCs w:val="28"/>
          <w:lang w:val="ru-RU"/>
        </w:rPr>
      </w:pPr>
      <w:r w:rsidRPr="00C67CC9">
        <w:rPr>
          <w:rFonts w:ascii="Times New Roman" w:hAnsi="Times New Roman" w:cs="Times New Roman"/>
          <w:b/>
          <w:sz w:val="28"/>
          <w:szCs w:val="28"/>
          <w:lang w:val="ru-RU"/>
        </w:rPr>
        <w:t>2.2</w:t>
      </w:r>
      <w:r w:rsidR="003B287C" w:rsidRPr="00C67CC9">
        <w:rPr>
          <w:rFonts w:ascii="Times New Roman" w:hAnsi="Times New Roman" w:cs="Times New Roman"/>
          <w:b/>
          <w:sz w:val="28"/>
          <w:szCs w:val="28"/>
          <w:lang w:val="ru-RU"/>
        </w:rPr>
        <w:t>.1. Общая характеристика исследуемых женщин</w:t>
      </w:r>
    </w:p>
    <w:p w:rsidR="003B287C" w:rsidRPr="00C67CC9" w:rsidRDefault="003B287C"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Данные, полученные в ходе исследования позволили сформировать следующие две группы сравнения:</w:t>
      </w:r>
    </w:p>
    <w:p w:rsidR="00A8665B" w:rsidRPr="00C67CC9" w:rsidRDefault="00A8665B" w:rsidP="00BB6B0E">
      <w:pPr>
        <w:pStyle w:val="ListParagraph"/>
        <w:numPr>
          <w:ilvl w:val="0"/>
          <w:numId w:val="11"/>
        </w:numPr>
        <w:spacing w:line="360" w:lineRule="auto"/>
        <w:jc w:val="both"/>
        <w:rPr>
          <w:sz w:val="28"/>
          <w:szCs w:val="28"/>
          <w:lang w:val="ru-RU"/>
        </w:rPr>
      </w:pPr>
      <w:r w:rsidRPr="00C67CC9">
        <w:rPr>
          <w:sz w:val="28"/>
          <w:szCs w:val="28"/>
          <w:lang w:val="ru-RU"/>
        </w:rPr>
        <w:t xml:space="preserve">1 группа – женщины с диагнозом СПКЯ, у которых была </w:t>
      </w:r>
      <w:r w:rsidRPr="00A8665B">
        <w:rPr>
          <w:sz w:val="28"/>
          <w:szCs w:val="28"/>
          <w:lang w:val="ru-RU"/>
        </w:rPr>
        <w:t xml:space="preserve">проведена </w:t>
      </w:r>
      <w:r w:rsidRPr="00C67CC9">
        <w:rPr>
          <w:sz w:val="28"/>
          <w:szCs w:val="28"/>
          <w:lang w:val="ru-RU"/>
        </w:rPr>
        <w:t xml:space="preserve">операция электрокаутеризации яичников в анамнезе. </w:t>
      </w:r>
      <w:r w:rsidRPr="00C67CC9">
        <w:rPr>
          <w:sz w:val="28"/>
          <w:szCs w:val="28"/>
        </w:rPr>
        <w:t>n</w:t>
      </w:r>
      <w:r w:rsidRPr="00C67CC9">
        <w:rPr>
          <w:sz w:val="28"/>
          <w:szCs w:val="28"/>
          <w:lang w:val="ru-RU"/>
        </w:rPr>
        <w:t>=37.</w:t>
      </w:r>
    </w:p>
    <w:p w:rsidR="00A8665B" w:rsidRPr="00C67CC9" w:rsidRDefault="00A8665B" w:rsidP="00BB6B0E">
      <w:pPr>
        <w:pStyle w:val="ListParagraph"/>
        <w:numPr>
          <w:ilvl w:val="0"/>
          <w:numId w:val="11"/>
        </w:numPr>
        <w:spacing w:line="360" w:lineRule="auto"/>
        <w:jc w:val="both"/>
        <w:rPr>
          <w:sz w:val="28"/>
          <w:szCs w:val="28"/>
          <w:lang w:val="ru-RU"/>
        </w:rPr>
      </w:pPr>
      <w:r w:rsidRPr="00C67CC9">
        <w:rPr>
          <w:sz w:val="28"/>
          <w:szCs w:val="28"/>
          <w:lang w:val="ru-RU"/>
        </w:rPr>
        <w:t xml:space="preserve">2 группа – женщины с диагнозом СПКЯ, </w:t>
      </w:r>
      <w:r>
        <w:rPr>
          <w:sz w:val="28"/>
          <w:szCs w:val="28"/>
          <w:lang w:val="ru-RU"/>
        </w:rPr>
        <w:t xml:space="preserve">у которых </w:t>
      </w:r>
      <w:r w:rsidRPr="00C67CC9">
        <w:rPr>
          <w:sz w:val="28"/>
          <w:szCs w:val="28"/>
          <w:lang w:val="ru-RU"/>
        </w:rPr>
        <w:t xml:space="preserve">не было операций на яичниках. </w:t>
      </w:r>
      <w:r w:rsidRPr="00C67CC9">
        <w:rPr>
          <w:sz w:val="28"/>
          <w:szCs w:val="28"/>
        </w:rPr>
        <w:t>n</w:t>
      </w:r>
      <w:r w:rsidRPr="00C67CC9">
        <w:rPr>
          <w:sz w:val="28"/>
          <w:szCs w:val="28"/>
          <w:lang w:val="ru-RU"/>
        </w:rPr>
        <w:t>=28.</w:t>
      </w:r>
    </w:p>
    <w:p w:rsidR="00A8665B" w:rsidRDefault="00A8665B"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Статистически значимых</w:t>
      </w:r>
      <w:r>
        <w:rPr>
          <w:rFonts w:ascii="Times New Roman" w:hAnsi="Times New Roman" w:cs="Times New Roman"/>
          <w:sz w:val="28"/>
          <w:szCs w:val="28"/>
          <w:lang w:val="ru-RU"/>
        </w:rPr>
        <w:t xml:space="preserve"> различий между двумя группами </w:t>
      </w:r>
      <w:r w:rsidRPr="00C67CC9">
        <w:rPr>
          <w:rFonts w:ascii="Times New Roman" w:hAnsi="Times New Roman" w:cs="Times New Roman"/>
          <w:sz w:val="28"/>
          <w:szCs w:val="28"/>
          <w:lang w:val="ru-RU"/>
        </w:rPr>
        <w:t>по возрасту менархе не обнаружено. Однако статистически значимые различия выявлены между двумя группами по возрасту</w:t>
      </w:r>
      <w:r>
        <w:rPr>
          <w:rFonts w:ascii="Times New Roman" w:hAnsi="Times New Roman" w:cs="Times New Roman"/>
          <w:sz w:val="28"/>
          <w:szCs w:val="28"/>
          <w:lang w:val="ru-RU"/>
        </w:rPr>
        <w:t xml:space="preserve"> пациенток</w:t>
      </w:r>
      <w:r w:rsidRPr="00C67CC9">
        <w:rPr>
          <w:rFonts w:ascii="Times New Roman" w:hAnsi="Times New Roman" w:cs="Times New Roman"/>
          <w:sz w:val="28"/>
          <w:szCs w:val="28"/>
          <w:lang w:val="ru-RU"/>
        </w:rPr>
        <w:t>, показателям длительност</w:t>
      </w:r>
      <w:r>
        <w:rPr>
          <w:rFonts w:ascii="Times New Roman" w:hAnsi="Times New Roman" w:cs="Times New Roman"/>
          <w:sz w:val="28"/>
          <w:szCs w:val="28"/>
          <w:lang w:val="ru-RU"/>
        </w:rPr>
        <w:t>и</w:t>
      </w:r>
      <w:r w:rsidRPr="00C67CC9">
        <w:rPr>
          <w:rFonts w:ascii="Times New Roman" w:hAnsi="Times New Roman" w:cs="Times New Roman"/>
          <w:sz w:val="28"/>
          <w:szCs w:val="28"/>
          <w:lang w:val="ru-RU"/>
        </w:rPr>
        <w:t xml:space="preserve"> </w:t>
      </w:r>
      <w:r w:rsidRPr="00C67CC9">
        <w:rPr>
          <w:rFonts w:ascii="Times New Roman" w:hAnsi="Times New Roman" w:cs="Times New Roman"/>
          <w:sz w:val="28"/>
          <w:szCs w:val="28"/>
          <w:lang w:val="ru-RU"/>
        </w:rPr>
        <w:lastRenderedPageBreak/>
        <w:t xml:space="preserve">бесплодия и </w:t>
      </w:r>
      <w:r>
        <w:rPr>
          <w:rFonts w:ascii="Times New Roman" w:hAnsi="Times New Roman" w:cs="Times New Roman"/>
          <w:sz w:val="28"/>
          <w:szCs w:val="28"/>
          <w:lang w:val="ru-RU"/>
        </w:rPr>
        <w:t xml:space="preserve">частоте </w:t>
      </w:r>
      <w:r w:rsidRPr="00C67CC9">
        <w:rPr>
          <w:rFonts w:ascii="Times New Roman" w:hAnsi="Times New Roman" w:cs="Times New Roman"/>
          <w:sz w:val="28"/>
          <w:szCs w:val="28"/>
          <w:lang w:val="ru-RU"/>
        </w:rPr>
        <w:t xml:space="preserve">первичного бесплодия. </w:t>
      </w:r>
      <w:r>
        <w:rPr>
          <w:rFonts w:ascii="Times New Roman" w:hAnsi="Times New Roman" w:cs="Times New Roman"/>
          <w:sz w:val="28"/>
          <w:szCs w:val="28"/>
          <w:lang w:val="ru-RU"/>
        </w:rPr>
        <w:t xml:space="preserve">Эти данные представлены в таблице 1. </w:t>
      </w:r>
    </w:p>
    <w:p w:rsidR="00AA490B" w:rsidRPr="00C67CC9" w:rsidRDefault="00AA490B"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Таблица 1. Клинико-анамнестическая характеристика пациенток</w:t>
      </w:r>
      <w:r w:rsidR="00296CF9">
        <w:rPr>
          <w:rFonts w:ascii="Times New Roman" w:hAnsi="Times New Roman" w:cs="Times New Roman"/>
          <w:sz w:val="28"/>
          <w:szCs w:val="28"/>
          <w:lang w:val="ru-RU"/>
        </w:rPr>
        <w:t xml:space="preserve"> в группах больных с хирургическим лечением C</w:t>
      </w:r>
      <w:r w:rsidR="00296CF9" w:rsidRPr="00D228A5">
        <w:rPr>
          <w:rFonts w:ascii="Times New Roman" w:hAnsi="Times New Roman" w:cs="Times New Roman"/>
          <w:sz w:val="28"/>
          <w:szCs w:val="28"/>
          <w:lang w:val="ru-RU"/>
        </w:rPr>
        <w:t>ПКЯ</w:t>
      </w:r>
      <w:r w:rsidR="00296CF9">
        <w:rPr>
          <w:rFonts w:ascii="Times New Roman" w:hAnsi="Times New Roman" w:cs="Times New Roman"/>
          <w:sz w:val="28"/>
          <w:szCs w:val="28"/>
          <w:lang w:val="ru-RU"/>
        </w:rPr>
        <w:t xml:space="preserve"> в анамнезе (группа1) и без операции на яичниках (группа2).</w:t>
      </w:r>
      <w:r w:rsidRPr="00C67CC9">
        <w:rPr>
          <w:rFonts w:ascii="Times New Roman" w:hAnsi="Times New Roman" w:cs="Times New Roman"/>
          <w:sz w:val="28"/>
          <w:szCs w:val="28"/>
          <w:lang w:val="ru-RU"/>
        </w:rPr>
        <w:t xml:space="preserve"> </w:t>
      </w:r>
    </w:p>
    <w:tbl>
      <w:tblPr>
        <w:tblStyle w:val="TableGrid"/>
        <w:tblW w:w="0" w:type="auto"/>
        <w:tblInd w:w="108" w:type="dxa"/>
        <w:tblLook w:val="04A0" w:firstRow="1" w:lastRow="0" w:firstColumn="1" w:lastColumn="0" w:noHBand="0" w:noVBand="1"/>
      </w:tblPr>
      <w:tblGrid>
        <w:gridCol w:w="1975"/>
        <w:gridCol w:w="1539"/>
        <w:gridCol w:w="1635"/>
        <w:gridCol w:w="996"/>
      </w:tblGrid>
      <w:tr w:rsidR="00AA490B" w:rsidRPr="00C67CC9" w:rsidTr="00BB6B0E">
        <w:tc>
          <w:tcPr>
            <w:tcW w:w="1975" w:type="dxa"/>
          </w:tcPr>
          <w:p w:rsidR="00AA490B" w:rsidRPr="00C67CC9" w:rsidRDefault="00AA490B" w:rsidP="00AA490B">
            <w:pPr>
              <w:spacing w:line="360" w:lineRule="auto"/>
              <w:jc w:val="both"/>
              <w:rPr>
                <w:rFonts w:ascii="Times New Roman" w:hAnsi="Times New Roman" w:cs="Times New Roman"/>
                <w:sz w:val="28"/>
                <w:szCs w:val="28"/>
              </w:rPr>
            </w:pPr>
          </w:p>
        </w:tc>
        <w:tc>
          <w:tcPr>
            <w:tcW w:w="1539" w:type="dxa"/>
          </w:tcPr>
          <w:p w:rsidR="00AA490B" w:rsidRPr="00C67CC9" w:rsidRDefault="00AA490B" w:rsidP="00AA490B">
            <w:pPr>
              <w:spacing w:line="360" w:lineRule="auto"/>
              <w:jc w:val="center"/>
              <w:rPr>
                <w:rFonts w:ascii="Times New Roman" w:hAnsi="Times New Roman" w:cs="Times New Roman"/>
                <w:sz w:val="28"/>
                <w:szCs w:val="28"/>
                <w:lang w:val="en-US"/>
              </w:rPr>
            </w:pPr>
            <w:r w:rsidRPr="00C67CC9">
              <w:rPr>
                <w:rFonts w:ascii="Times New Roman" w:hAnsi="Times New Roman" w:cs="Times New Roman"/>
                <w:sz w:val="28"/>
                <w:szCs w:val="28"/>
              </w:rPr>
              <w:t>1 группа (</w:t>
            </w:r>
            <w:r w:rsidRPr="00C67CC9">
              <w:rPr>
                <w:rFonts w:ascii="Times New Roman" w:hAnsi="Times New Roman" w:cs="Times New Roman"/>
                <w:sz w:val="28"/>
                <w:szCs w:val="28"/>
                <w:lang w:val="en-US"/>
              </w:rPr>
              <w:t>n</w:t>
            </w:r>
            <w:r w:rsidRPr="00AA490B">
              <w:rPr>
                <w:rFonts w:ascii="Times New Roman" w:hAnsi="Times New Roman" w:cs="Times New Roman"/>
                <w:sz w:val="28"/>
                <w:szCs w:val="28"/>
              </w:rPr>
              <w:t>=</w:t>
            </w:r>
            <w:r w:rsidRPr="00C67CC9">
              <w:rPr>
                <w:rFonts w:ascii="Times New Roman" w:hAnsi="Times New Roman" w:cs="Times New Roman"/>
                <w:sz w:val="28"/>
                <w:szCs w:val="28"/>
                <w:lang w:val="en-US"/>
              </w:rPr>
              <w:t>37)</w:t>
            </w:r>
          </w:p>
        </w:tc>
        <w:tc>
          <w:tcPr>
            <w:tcW w:w="1635" w:type="dxa"/>
          </w:tcPr>
          <w:p w:rsidR="00AA490B" w:rsidRPr="00C67CC9" w:rsidRDefault="00AA490B" w:rsidP="00AA490B">
            <w:pPr>
              <w:spacing w:line="360" w:lineRule="auto"/>
              <w:jc w:val="center"/>
              <w:rPr>
                <w:rFonts w:ascii="Times New Roman" w:hAnsi="Times New Roman" w:cs="Times New Roman"/>
                <w:sz w:val="28"/>
                <w:szCs w:val="28"/>
              </w:rPr>
            </w:pPr>
            <w:r w:rsidRPr="00C67CC9">
              <w:rPr>
                <w:rFonts w:ascii="Times New Roman" w:hAnsi="Times New Roman" w:cs="Times New Roman"/>
                <w:sz w:val="28"/>
                <w:szCs w:val="28"/>
              </w:rPr>
              <w:t>2 группа</w:t>
            </w:r>
          </w:p>
          <w:p w:rsidR="00AA490B" w:rsidRPr="00C67CC9" w:rsidRDefault="00AA490B" w:rsidP="00AA490B">
            <w:pPr>
              <w:spacing w:line="360" w:lineRule="auto"/>
              <w:jc w:val="center"/>
              <w:rPr>
                <w:rFonts w:ascii="Times New Roman" w:hAnsi="Times New Roman" w:cs="Times New Roman"/>
                <w:sz w:val="28"/>
                <w:szCs w:val="28"/>
                <w:lang w:val="en-US"/>
              </w:rPr>
            </w:pPr>
            <w:r w:rsidRPr="00C67CC9">
              <w:rPr>
                <w:rFonts w:ascii="Times New Roman" w:hAnsi="Times New Roman" w:cs="Times New Roman"/>
                <w:sz w:val="28"/>
                <w:szCs w:val="28"/>
              </w:rPr>
              <w:t>(</w:t>
            </w:r>
            <w:r w:rsidRPr="00C67CC9">
              <w:rPr>
                <w:rFonts w:ascii="Times New Roman" w:hAnsi="Times New Roman" w:cs="Times New Roman"/>
                <w:sz w:val="28"/>
                <w:szCs w:val="28"/>
                <w:lang w:val="en-US"/>
              </w:rPr>
              <w:t>n=28)</w:t>
            </w:r>
          </w:p>
        </w:tc>
        <w:tc>
          <w:tcPr>
            <w:tcW w:w="996" w:type="dxa"/>
            <w:shd w:val="clear" w:color="auto" w:fill="auto"/>
          </w:tcPr>
          <w:p w:rsidR="00AA490B" w:rsidRPr="00C67CC9" w:rsidRDefault="00AA490B" w:rsidP="00AA490B">
            <w:pPr>
              <w:spacing w:line="360" w:lineRule="auto"/>
              <w:jc w:val="center"/>
              <w:rPr>
                <w:rFonts w:ascii="Times New Roman" w:hAnsi="Times New Roman" w:cs="Times New Roman"/>
                <w:sz w:val="28"/>
                <w:szCs w:val="28"/>
              </w:rPr>
            </w:pPr>
            <w:r w:rsidRPr="00C67CC9">
              <w:rPr>
                <w:rFonts w:ascii="Times New Roman" w:hAnsi="Times New Roman" w:cs="Times New Roman"/>
                <w:sz w:val="28"/>
                <w:szCs w:val="28"/>
              </w:rPr>
              <w:t>Р</w:t>
            </w:r>
          </w:p>
        </w:tc>
      </w:tr>
      <w:tr w:rsidR="00AA490B" w:rsidRPr="00C67CC9" w:rsidTr="00BB6B0E">
        <w:tc>
          <w:tcPr>
            <w:tcW w:w="1975" w:type="dxa"/>
          </w:tcPr>
          <w:p w:rsidR="00AA490B" w:rsidRPr="00C67CC9" w:rsidRDefault="00AA490B" w:rsidP="00AA490B">
            <w:pPr>
              <w:spacing w:line="360" w:lineRule="auto"/>
              <w:jc w:val="both"/>
              <w:rPr>
                <w:rFonts w:ascii="Times New Roman" w:hAnsi="Times New Roman" w:cs="Times New Roman"/>
                <w:sz w:val="28"/>
                <w:szCs w:val="28"/>
              </w:rPr>
            </w:pPr>
            <w:r w:rsidRPr="00C67CC9">
              <w:rPr>
                <w:rFonts w:ascii="Times New Roman" w:hAnsi="Times New Roman" w:cs="Times New Roman"/>
                <w:sz w:val="28"/>
                <w:szCs w:val="28"/>
              </w:rPr>
              <w:t>Возраст, лет</w:t>
            </w:r>
          </w:p>
        </w:tc>
        <w:tc>
          <w:tcPr>
            <w:tcW w:w="1539" w:type="dxa"/>
          </w:tcPr>
          <w:p w:rsidR="00AA490B" w:rsidRPr="00C67CC9" w:rsidRDefault="00AA490B" w:rsidP="00AA490B">
            <w:pPr>
              <w:spacing w:line="360" w:lineRule="auto"/>
              <w:jc w:val="center"/>
              <w:rPr>
                <w:rFonts w:ascii="Times New Roman" w:hAnsi="Times New Roman" w:cs="Times New Roman"/>
                <w:sz w:val="28"/>
                <w:szCs w:val="28"/>
              </w:rPr>
            </w:pPr>
            <w:r w:rsidRPr="00C67CC9">
              <w:rPr>
                <w:rFonts w:ascii="Times New Roman" w:hAnsi="Times New Roman" w:cs="Times New Roman"/>
                <w:sz w:val="28"/>
                <w:szCs w:val="28"/>
              </w:rPr>
              <w:t xml:space="preserve">32,4 </w:t>
            </w:r>
            <w:r w:rsidRPr="00C67CC9">
              <w:rPr>
                <w:rFonts w:ascii="Times New Roman" w:hAnsi="Times New Roman" w:cs="Times New Roman"/>
                <w:sz w:val="28"/>
                <w:szCs w:val="28"/>
                <w:lang w:val="en-US"/>
              </w:rPr>
              <w:t>±</w:t>
            </w:r>
            <w:r w:rsidRPr="00C67CC9">
              <w:rPr>
                <w:rFonts w:ascii="Times New Roman" w:hAnsi="Times New Roman" w:cs="Times New Roman"/>
                <w:sz w:val="28"/>
                <w:szCs w:val="28"/>
              </w:rPr>
              <w:t>0,54</w:t>
            </w:r>
          </w:p>
        </w:tc>
        <w:tc>
          <w:tcPr>
            <w:tcW w:w="1635" w:type="dxa"/>
          </w:tcPr>
          <w:p w:rsidR="00AA490B" w:rsidRPr="00C67CC9" w:rsidRDefault="00AA490B" w:rsidP="00AA490B">
            <w:pPr>
              <w:spacing w:line="360" w:lineRule="auto"/>
              <w:jc w:val="center"/>
              <w:rPr>
                <w:rFonts w:ascii="Times New Roman" w:hAnsi="Times New Roman" w:cs="Times New Roman"/>
                <w:sz w:val="28"/>
                <w:szCs w:val="28"/>
              </w:rPr>
            </w:pPr>
            <w:r w:rsidRPr="00C67CC9">
              <w:rPr>
                <w:rFonts w:ascii="Times New Roman" w:hAnsi="Times New Roman" w:cs="Times New Roman"/>
                <w:sz w:val="28"/>
                <w:szCs w:val="28"/>
              </w:rPr>
              <w:t>35.1±0,6</w:t>
            </w:r>
          </w:p>
        </w:tc>
        <w:tc>
          <w:tcPr>
            <w:tcW w:w="996" w:type="dxa"/>
            <w:shd w:val="clear" w:color="auto" w:fill="auto"/>
          </w:tcPr>
          <w:p w:rsidR="00AA490B" w:rsidRPr="00C67CC9" w:rsidRDefault="00AA490B" w:rsidP="00AA490B">
            <w:pPr>
              <w:spacing w:line="360" w:lineRule="auto"/>
              <w:rPr>
                <w:rFonts w:ascii="Times New Roman" w:hAnsi="Times New Roman" w:cs="Times New Roman"/>
                <w:sz w:val="28"/>
                <w:szCs w:val="28"/>
              </w:rPr>
            </w:pPr>
            <w:r w:rsidRPr="00C67CC9">
              <w:rPr>
                <w:rFonts w:ascii="Times New Roman" w:hAnsi="Times New Roman" w:cs="Times New Roman"/>
                <w:sz w:val="28"/>
                <w:szCs w:val="28"/>
              </w:rPr>
              <w:t>0,006</w:t>
            </w:r>
          </w:p>
        </w:tc>
      </w:tr>
      <w:tr w:rsidR="00AA490B" w:rsidRPr="00C67CC9" w:rsidTr="00BB6B0E">
        <w:tc>
          <w:tcPr>
            <w:tcW w:w="1975" w:type="dxa"/>
          </w:tcPr>
          <w:p w:rsidR="00AA490B" w:rsidRPr="00C67CC9" w:rsidRDefault="00AA490B" w:rsidP="00AA490B">
            <w:pPr>
              <w:spacing w:line="360" w:lineRule="auto"/>
              <w:jc w:val="both"/>
              <w:rPr>
                <w:rFonts w:ascii="Times New Roman" w:hAnsi="Times New Roman" w:cs="Times New Roman"/>
                <w:sz w:val="28"/>
                <w:szCs w:val="28"/>
              </w:rPr>
            </w:pPr>
            <w:r w:rsidRPr="00C67CC9">
              <w:rPr>
                <w:rFonts w:ascii="Times New Roman" w:hAnsi="Times New Roman" w:cs="Times New Roman"/>
                <w:sz w:val="28"/>
                <w:szCs w:val="28"/>
              </w:rPr>
              <w:t>Возраст менархе, лет</w:t>
            </w:r>
          </w:p>
        </w:tc>
        <w:tc>
          <w:tcPr>
            <w:tcW w:w="1539" w:type="dxa"/>
          </w:tcPr>
          <w:p w:rsidR="00AA490B" w:rsidRPr="00C67CC9" w:rsidRDefault="00AA490B" w:rsidP="00AA490B">
            <w:pPr>
              <w:spacing w:line="360" w:lineRule="auto"/>
              <w:jc w:val="center"/>
              <w:rPr>
                <w:rFonts w:ascii="Times New Roman" w:hAnsi="Times New Roman" w:cs="Times New Roman"/>
                <w:sz w:val="28"/>
                <w:szCs w:val="28"/>
              </w:rPr>
            </w:pPr>
            <w:r w:rsidRPr="00C67CC9">
              <w:rPr>
                <w:rFonts w:ascii="Times New Roman" w:hAnsi="Times New Roman" w:cs="Times New Roman"/>
                <w:sz w:val="28"/>
                <w:szCs w:val="28"/>
              </w:rPr>
              <w:t>13,48 (</w:t>
            </w:r>
            <m:oMath>
              <m:r>
                <w:rPr>
                  <w:rFonts w:ascii="Cambria Math" w:hAnsi="Cambria Math" w:cs="Times New Roman"/>
                  <w:sz w:val="28"/>
                  <w:szCs w:val="28"/>
                </w:rPr>
                <m:t>±</m:t>
              </m:r>
            </m:oMath>
            <w:r w:rsidRPr="00C67CC9">
              <w:rPr>
                <w:rFonts w:ascii="Times New Roman" w:hAnsi="Times New Roman" w:cs="Times New Roman"/>
                <w:sz w:val="28"/>
                <w:szCs w:val="28"/>
              </w:rPr>
              <w:t>1,23)</w:t>
            </w:r>
          </w:p>
        </w:tc>
        <w:tc>
          <w:tcPr>
            <w:tcW w:w="1635" w:type="dxa"/>
          </w:tcPr>
          <w:p w:rsidR="00AA490B" w:rsidRPr="00C67CC9" w:rsidRDefault="00AA490B" w:rsidP="00AA490B">
            <w:pPr>
              <w:spacing w:line="360" w:lineRule="auto"/>
              <w:jc w:val="center"/>
              <w:rPr>
                <w:rFonts w:ascii="Times New Roman" w:hAnsi="Times New Roman" w:cs="Times New Roman"/>
                <w:sz w:val="28"/>
                <w:szCs w:val="28"/>
              </w:rPr>
            </w:pPr>
            <w:r w:rsidRPr="00C67CC9">
              <w:rPr>
                <w:rFonts w:ascii="Times New Roman" w:hAnsi="Times New Roman" w:cs="Times New Roman"/>
                <w:sz w:val="28"/>
                <w:szCs w:val="28"/>
              </w:rPr>
              <w:t>13,43 (</w:t>
            </w:r>
            <m:oMath>
              <m:r>
                <w:rPr>
                  <w:rFonts w:ascii="Cambria Math" w:hAnsi="Cambria Math" w:cs="Times New Roman"/>
                  <w:sz w:val="28"/>
                  <w:szCs w:val="28"/>
                </w:rPr>
                <m:t>±</m:t>
              </m:r>
            </m:oMath>
            <w:r w:rsidRPr="00C67CC9">
              <w:rPr>
                <w:rFonts w:ascii="Times New Roman" w:hAnsi="Times New Roman" w:cs="Times New Roman"/>
                <w:sz w:val="28"/>
                <w:szCs w:val="28"/>
              </w:rPr>
              <w:t>1,07)</w:t>
            </w:r>
          </w:p>
        </w:tc>
        <w:tc>
          <w:tcPr>
            <w:tcW w:w="996" w:type="dxa"/>
            <w:shd w:val="clear" w:color="auto" w:fill="auto"/>
          </w:tcPr>
          <w:p w:rsidR="00AA490B" w:rsidRPr="00C67CC9" w:rsidRDefault="00AA490B" w:rsidP="00AA490B">
            <w:pPr>
              <w:spacing w:line="360" w:lineRule="auto"/>
              <w:rPr>
                <w:rFonts w:ascii="Times New Roman" w:hAnsi="Times New Roman" w:cs="Times New Roman"/>
                <w:sz w:val="28"/>
                <w:szCs w:val="28"/>
              </w:rPr>
            </w:pPr>
            <w:r w:rsidRPr="00C67CC9">
              <w:rPr>
                <w:rFonts w:ascii="Times New Roman" w:hAnsi="Times New Roman" w:cs="Times New Roman"/>
                <w:sz w:val="28"/>
                <w:szCs w:val="28"/>
              </w:rPr>
              <w:t>0,994</w:t>
            </w:r>
          </w:p>
        </w:tc>
      </w:tr>
      <w:tr w:rsidR="00AA490B" w:rsidRPr="00C67CC9" w:rsidTr="00BB6B0E">
        <w:tc>
          <w:tcPr>
            <w:tcW w:w="1975" w:type="dxa"/>
          </w:tcPr>
          <w:p w:rsidR="00AA490B" w:rsidRPr="00C67CC9" w:rsidRDefault="00AA490B" w:rsidP="00AA490B">
            <w:pPr>
              <w:spacing w:line="360" w:lineRule="auto"/>
              <w:jc w:val="both"/>
              <w:rPr>
                <w:rFonts w:ascii="Times New Roman" w:hAnsi="Times New Roman" w:cs="Times New Roman"/>
                <w:sz w:val="28"/>
                <w:szCs w:val="28"/>
              </w:rPr>
            </w:pPr>
            <w:r w:rsidRPr="00C67CC9">
              <w:rPr>
                <w:rFonts w:ascii="Times New Roman" w:hAnsi="Times New Roman" w:cs="Times New Roman"/>
                <w:sz w:val="28"/>
                <w:szCs w:val="28"/>
              </w:rPr>
              <w:t xml:space="preserve">Длительность </w:t>
            </w:r>
          </w:p>
          <w:p w:rsidR="00AA490B" w:rsidRPr="00C67CC9" w:rsidRDefault="00AA490B" w:rsidP="00AA490B">
            <w:pPr>
              <w:spacing w:line="360" w:lineRule="auto"/>
              <w:jc w:val="both"/>
              <w:rPr>
                <w:rFonts w:ascii="Times New Roman" w:hAnsi="Times New Roman" w:cs="Times New Roman"/>
                <w:sz w:val="28"/>
                <w:szCs w:val="28"/>
              </w:rPr>
            </w:pPr>
            <w:r w:rsidRPr="00C67CC9">
              <w:rPr>
                <w:rFonts w:ascii="Times New Roman" w:hAnsi="Times New Roman" w:cs="Times New Roman"/>
                <w:sz w:val="28"/>
                <w:szCs w:val="28"/>
              </w:rPr>
              <w:t>бесплодия, лет</w:t>
            </w:r>
          </w:p>
        </w:tc>
        <w:tc>
          <w:tcPr>
            <w:tcW w:w="1539" w:type="dxa"/>
          </w:tcPr>
          <w:p w:rsidR="00AA490B" w:rsidRPr="00C67CC9" w:rsidRDefault="00AA490B" w:rsidP="00AA490B">
            <w:pPr>
              <w:spacing w:line="360" w:lineRule="auto"/>
              <w:jc w:val="center"/>
              <w:rPr>
                <w:rFonts w:ascii="Times New Roman" w:hAnsi="Times New Roman" w:cs="Times New Roman"/>
                <w:i/>
                <w:sz w:val="28"/>
                <w:szCs w:val="28"/>
              </w:rPr>
            </w:pPr>
            <w:r w:rsidRPr="00C67CC9">
              <w:rPr>
                <w:rFonts w:ascii="Times New Roman" w:hAnsi="Times New Roman" w:cs="Times New Roman"/>
                <w:sz w:val="28"/>
                <w:szCs w:val="28"/>
              </w:rPr>
              <w:t>7,002</w:t>
            </w:r>
            <w:r w:rsidRPr="00C67CC9">
              <w:rPr>
                <w:rFonts w:ascii="Times New Roman" w:hAnsi="Times New Roman" w:cs="Times New Roman"/>
                <w:sz w:val="28"/>
                <w:szCs w:val="28"/>
                <w:lang w:val="en-US"/>
              </w:rPr>
              <w:t>±</w:t>
            </w:r>
            <w:r w:rsidRPr="00C67CC9">
              <w:rPr>
                <w:rFonts w:ascii="Times New Roman" w:hAnsi="Times New Roman" w:cs="Times New Roman"/>
                <w:sz w:val="28"/>
                <w:szCs w:val="28"/>
              </w:rPr>
              <w:t>0,63</w:t>
            </w:r>
          </w:p>
        </w:tc>
        <w:tc>
          <w:tcPr>
            <w:tcW w:w="1635" w:type="dxa"/>
          </w:tcPr>
          <w:p w:rsidR="00AA490B" w:rsidRPr="00C67CC9" w:rsidRDefault="00AA490B" w:rsidP="00AA490B">
            <w:pPr>
              <w:spacing w:line="360" w:lineRule="auto"/>
              <w:jc w:val="center"/>
              <w:rPr>
                <w:rFonts w:ascii="Times New Roman" w:hAnsi="Times New Roman" w:cs="Times New Roman"/>
                <w:sz w:val="28"/>
                <w:szCs w:val="28"/>
              </w:rPr>
            </w:pPr>
            <w:r w:rsidRPr="00C67CC9">
              <w:rPr>
                <w:rFonts w:ascii="Times New Roman" w:hAnsi="Times New Roman" w:cs="Times New Roman"/>
                <w:sz w:val="28"/>
                <w:szCs w:val="28"/>
              </w:rPr>
              <w:t>4,3</w:t>
            </w:r>
            <w:r w:rsidRPr="00C67CC9">
              <w:rPr>
                <w:rFonts w:ascii="Times New Roman" w:hAnsi="Times New Roman" w:cs="Times New Roman"/>
                <w:sz w:val="28"/>
                <w:szCs w:val="28"/>
                <w:lang w:val="en-US"/>
              </w:rPr>
              <w:t>±</w:t>
            </w:r>
            <w:r w:rsidRPr="00C67CC9">
              <w:rPr>
                <w:rFonts w:ascii="Times New Roman" w:hAnsi="Times New Roman" w:cs="Times New Roman"/>
                <w:sz w:val="28"/>
                <w:szCs w:val="28"/>
              </w:rPr>
              <w:t>0,5</w:t>
            </w:r>
          </w:p>
        </w:tc>
        <w:tc>
          <w:tcPr>
            <w:tcW w:w="996" w:type="dxa"/>
            <w:shd w:val="clear" w:color="auto" w:fill="auto"/>
          </w:tcPr>
          <w:p w:rsidR="00AA490B" w:rsidRPr="00C67CC9" w:rsidRDefault="00AA490B" w:rsidP="00AA490B">
            <w:pPr>
              <w:spacing w:line="360" w:lineRule="auto"/>
              <w:rPr>
                <w:rFonts w:ascii="Times New Roman" w:hAnsi="Times New Roman" w:cs="Times New Roman"/>
                <w:sz w:val="28"/>
                <w:szCs w:val="28"/>
              </w:rPr>
            </w:pPr>
            <w:r w:rsidRPr="00C67CC9">
              <w:rPr>
                <w:rFonts w:ascii="Times New Roman" w:hAnsi="Times New Roman" w:cs="Times New Roman"/>
                <w:sz w:val="28"/>
                <w:szCs w:val="28"/>
              </w:rPr>
              <w:t>0,0079</w:t>
            </w:r>
          </w:p>
        </w:tc>
      </w:tr>
      <w:tr w:rsidR="00AA490B" w:rsidRPr="00C67CC9" w:rsidTr="00BB6B0E">
        <w:tc>
          <w:tcPr>
            <w:tcW w:w="1975" w:type="dxa"/>
          </w:tcPr>
          <w:p w:rsidR="00AA490B" w:rsidRPr="00C67CC9" w:rsidRDefault="00AA490B" w:rsidP="00AA490B">
            <w:pPr>
              <w:spacing w:line="360" w:lineRule="auto"/>
              <w:jc w:val="both"/>
              <w:rPr>
                <w:rFonts w:ascii="Times New Roman" w:hAnsi="Times New Roman" w:cs="Times New Roman"/>
                <w:sz w:val="28"/>
                <w:szCs w:val="28"/>
              </w:rPr>
            </w:pPr>
            <w:r w:rsidRPr="00C67CC9">
              <w:rPr>
                <w:rFonts w:ascii="Times New Roman" w:hAnsi="Times New Roman" w:cs="Times New Roman"/>
                <w:sz w:val="28"/>
                <w:szCs w:val="28"/>
              </w:rPr>
              <w:t>Процент первичного бесплодия, %</w:t>
            </w:r>
          </w:p>
        </w:tc>
        <w:tc>
          <w:tcPr>
            <w:tcW w:w="1539" w:type="dxa"/>
          </w:tcPr>
          <w:p w:rsidR="00AA490B" w:rsidRPr="00C67CC9" w:rsidRDefault="00AA490B" w:rsidP="00AA490B">
            <w:pPr>
              <w:spacing w:line="360" w:lineRule="auto"/>
              <w:jc w:val="both"/>
              <w:rPr>
                <w:rFonts w:ascii="Times New Roman" w:hAnsi="Times New Roman" w:cs="Times New Roman"/>
                <w:sz w:val="28"/>
                <w:szCs w:val="28"/>
                <w:lang w:val="en-US"/>
              </w:rPr>
            </w:pPr>
            <w:r w:rsidRPr="00C67CC9">
              <w:rPr>
                <w:rFonts w:ascii="Times New Roman" w:hAnsi="Times New Roman" w:cs="Times New Roman"/>
                <w:sz w:val="28"/>
                <w:szCs w:val="28"/>
                <w:lang w:val="en-US"/>
              </w:rPr>
              <w:t>62,16</w:t>
            </w:r>
            <w:r w:rsidRPr="00C67CC9">
              <w:rPr>
                <w:rFonts w:ascii="Times New Roman" w:hAnsi="Times New Roman" w:cs="Times New Roman"/>
                <w:sz w:val="28"/>
                <w:szCs w:val="28"/>
              </w:rPr>
              <w:t>%</w:t>
            </w:r>
          </w:p>
        </w:tc>
        <w:tc>
          <w:tcPr>
            <w:tcW w:w="1635" w:type="dxa"/>
          </w:tcPr>
          <w:p w:rsidR="00AA490B" w:rsidRPr="00C67CC9" w:rsidRDefault="00AA490B" w:rsidP="00AA490B">
            <w:pPr>
              <w:spacing w:line="360" w:lineRule="auto"/>
              <w:jc w:val="both"/>
              <w:rPr>
                <w:rFonts w:ascii="Times New Roman" w:hAnsi="Times New Roman" w:cs="Times New Roman"/>
                <w:sz w:val="28"/>
                <w:szCs w:val="28"/>
                <w:lang w:val="en-US"/>
              </w:rPr>
            </w:pPr>
            <w:r w:rsidRPr="00C67CC9">
              <w:rPr>
                <w:rFonts w:ascii="Times New Roman" w:hAnsi="Times New Roman" w:cs="Times New Roman"/>
                <w:sz w:val="28"/>
                <w:szCs w:val="28"/>
              </w:rPr>
              <w:t>77,7</w:t>
            </w:r>
            <w:r w:rsidRPr="00C67CC9">
              <w:rPr>
                <w:rFonts w:ascii="Times New Roman" w:hAnsi="Times New Roman" w:cs="Times New Roman"/>
                <w:sz w:val="28"/>
                <w:szCs w:val="28"/>
                <w:lang w:val="en-US"/>
              </w:rPr>
              <w:t xml:space="preserve"> </w:t>
            </w:r>
            <w:r w:rsidRPr="00C67CC9">
              <w:rPr>
                <w:rFonts w:ascii="Times New Roman" w:hAnsi="Times New Roman" w:cs="Times New Roman"/>
                <w:sz w:val="28"/>
                <w:szCs w:val="28"/>
              </w:rPr>
              <w:t>%</w:t>
            </w:r>
          </w:p>
        </w:tc>
        <w:tc>
          <w:tcPr>
            <w:tcW w:w="996" w:type="dxa"/>
          </w:tcPr>
          <w:p w:rsidR="00AA490B" w:rsidRPr="00C67CC9" w:rsidRDefault="00AA490B" w:rsidP="00AA490B">
            <w:pPr>
              <w:spacing w:line="360" w:lineRule="auto"/>
              <w:rPr>
                <w:rFonts w:ascii="Times New Roman" w:hAnsi="Times New Roman" w:cs="Times New Roman"/>
                <w:sz w:val="28"/>
                <w:szCs w:val="28"/>
              </w:rPr>
            </w:pPr>
            <w:r w:rsidRPr="00C67CC9">
              <w:rPr>
                <w:rFonts w:ascii="Times New Roman" w:hAnsi="Times New Roman" w:cs="Times New Roman"/>
                <w:sz w:val="28"/>
                <w:szCs w:val="28"/>
              </w:rPr>
              <w:t>0.006</w:t>
            </w:r>
          </w:p>
        </w:tc>
      </w:tr>
    </w:tbl>
    <w:p w:rsidR="00AA490B" w:rsidRDefault="00AA490B" w:rsidP="00BB6B0E">
      <w:pPr>
        <w:spacing w:line="360" w:lineRule="auto"/>
        <w:ind w:firstLine="709"/>
        <w:jc w:val="both"/>
        <w:rPr>
          <w:rFonts w:ascii="Times New Roman" w:hAnsi="Times New Roman" w:cs="Times New Roman"/>
          <w:sz w:val="28"/>
          <w:szCs w:val="28"/>
          <w:lang w:val="ru-RU"/>
        </w:rPr>
      </w:pPr>
    </w:p>
    <w:p w:rsidR="003B287C" w:rsidRDefault="00581840" w:rsidP="00BB6B0E">
      <w:pPr>
        <w:spacing w:line="360" w:lineRule="auto"/>
        <w:ind w:firstLine="709"/>
        <w:jc w:val="both"/>
        <w:rPr>
          <w:rFonts w:ascii="Times New Roman" w:hAnsi="Times New Roman" w:cs="Times New Roman"/>
          <w:kern w:val="24"/>
          <w:sz w:val="28"/>
          <w:szCs w:val="28"/>
          <w:lang w:val="ru-RU"/>
        </w:rPr>
      </w:pPr>
      <w:r w:rsidRPr="00C67CC9">
        <w:rPr>
          <w:rFonts w:ascii="Times New Roman" w:eastAsia="Arial Unicode MS" w:hAnsi="Times New Roman" w:cs="Times New Roman"/>
          <w:sz w:val="28"/>
          <w:szCs w:val="28"/>
          <w:lang w:val="ru-RU"/>
        </w:rPr>
        <w:t xml:space="preserve">Так же были выявлены различия в показателях АМГ, что характеризует сохранность овариального резерва. В 1 группе уровень АМГ </w:t>
      </w:r>
      <w:r w:rsidR="00154F84">
        <w:rPr>
          <w:rFonts w:ascii="Times New Roman" w:eastAsia="Arial Unicode MS" w:hAnsi="Times New Roman" w:cs="Times New Roman"/>
          <w:sz w:val="28"/>
          <w:szCs w:val="28"/>
          <w:lang w:val="ru-RU"/>
        </w:rPr>
        <w:t>оказался ниже, чем во второй, что говорит о большей сохранности овариального резерва и о потенциально лучшем ответе на терапию</w:t>
      </w:r>
      <w:r w:rsidRPr="00C67CC9">
        <w:rPr>
          <w:rFonts w:ascii="Times New Roman" w:hAnsi="Times New Roman" w:cs="Times New Roman"/>
          <w:sz w:val="28"/>
          <w:szCs w:val="28"/>
          <w:lang w:val="ru-RU"/>
        </w:rPr>
        <w:t xml:space="preserve"> </w:t>
      </w:r>
      <w:r w:rsidR="00154F84">
        <w:rPr>
          <w:rFonts w:ascii="Times New Roman" w:hAnsi="Times New Roman" w:cs="Times New Roman"/>
          <w:sz w:val="28"/>
          <w:szCs w:val="28"/>
          <w:lang w:val="ru-RU"/>
        </w:rPr>
        <w:t>в ходе ЭКО в группе женщин без операции на яичниках в анамнезе</w:t>
      </w:r>
      <w:r w:rsidRPr="00C67CC9">
        <w:rPr>
          <w:rFonts w:ascii="Times New Roman" w:hAnsi="Times New Roman" w:cs="Times New Roman"/>
          <w:kern w:val="24"/>
          <w:sz w:val="28"/>
          <w:szCs w:val="28"/>
          <w:lang w:val="ru-RU"/>
        </w:rPr>
        <w:t>.</w:t>
      </w:r>
      <w:r w:rsidR="00750F6F" w:rsidRPr="00C67CC9">
        <w:rPr>
          <w:rFonts w:ascii="Times New Roman" w:hAnsi="Times New Roman" w:cs="Times New Roman"/>
          <w:kern w:val="24"/>
          <w:sz w:val="28"/>
          <w:szCs w:val="28"/>
          <w:lang w:val="ru-RU"/>
        </w:rPr>
        <w:t xml:space="preserve"> Наглядно эти различия представлены на </w:t>
      </w:r>
      <w:r w:rsidR="00A8665B">
        <w:rPr>
          <w:rFonts w:ascii="Times New Roman" w:hAnsi="Times New Roman" w:cs="Times New Roman"/>
          <w:kern w:val="24"/>
          <w:sz w:val="28"/>
          <w:szCs w:val="28"/>
          <w:lang w:val="ru-RU"/>
        </w:rPr>
        <w:t>рисунке</w:t>
      </w:r>
      <w:r w:rsidR="00750F6F" w:rsidRPr="00C67CC9">
        <w:rPr>
          <w:rFonts w:ascii="Times New Roman" w:hAnsi="Times New Roman" w:cs="Times New Roman"/>
          <w:kern w:val="24"/>
          <w:sz w:val="28"/>
          <w:szCs w:val="28"/>
          <w:lang w:val="ru-RU"/>
        </w:rPr>
        <w:t xml:space="preserve"> 1. </w:t>
      </w:r>
    </w:p>
    <w:p w:rsidR="00750F6F" w:rsidRPr="00C67CC9" w:rsidRDefault="00750F6F" w:rsidP="00BB6B0E">
      <w:pPr>
        <w:spacing w:line="360" w:lineRule="auto"/>
        <w:ind w:firstLine="709"/>
        <w:jc w:val="both"/>
        <w:rPr>
          <w:rFonts w:ascii="Times New Roman" w:hAnsi="Times New Roman" w:cs="Times New Roman"/>
          <w:sz w:val="28"/>
          <w:szCs w:val="28"/>
          <w:lang w:val="ru-RU"/>
        </w:rPr>
      </w:pPr>
      <w:r w:rsidRPr="00C67CC9">
        <w:rPr>
          <w:rFonts w:ascii="Times New Roman" w:hAnsi="Times New Roman" w:cs="Times New Roman"/>
          <w:noProof/>
          <w:sz w:val="28"/>
          <w:szCs w:val="28"/>
        </w:rPr>
        <w:lastRenderedPageBreak/>
        <w:drawing>
          <wp:inline distT="0" distB="0" distL="0" distR="0" wp14:anchorId="6E3C3F2E" wp14:editId="1850A7FF">
            <wp:extent cx="5562600" cy="24574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1840" w:rsidRPr="00296CF9" w:rsidRDefault="000349B1" w:rsidP="00BB6B0E">
      <w:pPr>
        <w:spacing w:line="360" w:lineRule="auto"/>
        <w:jc w:val="both"/>
        <w:rPr>
          <w:rFonts w:ascii="Times New Roman" w:hAnsi="Times New Roman" w:cs="Times New Roman"/>
          <w:sz w:val="28"/>
          <w:szCs w:val="28"/>
          <w:lang w:val="ru-RU"/>
        </w:rPr>
      </w:pPr>
      <w:r w:rsidRPr="000349B1">
        <w:rPr>
          <w:rFonts w:ascii="Times New Roman" w:hAnsi="Times New Roman" w:cs="Times New Roman"/>
          <w:kern w:val="24"/>
          <w:sz w:val="28"/>
          <w:szCs w:val="28"/>
          <w:lang w:val="ru-RU"/>
        </w:rPr>
        <w:t>Ри</w:t>
      </w:r>
      <w:r w:rsidR="00296CF9">
        <w:rPr>
          <w:rFonts w:ascii="Times New Roman" w:hAnsi="Times New Roman" w:cs="Times New Roman"/>
          <w:kern w:val="24"/>
          <w:sz w:val="28"/>
          <w:szCs w:val="28"/>
          <w:lang w:val="ru-RU"/>
        </w:rPr>
        <w:t>сунок 1. Различие уровней АМГ в</w:t>
      </w:r>
      <w:r w:rsidR="00296CF9">
        <w:rPr>
          <w:rFonts w:ascii="Times New Roman" w:hAnsi="Times New Roman" w:cs="Times New Roman"/>
          <w:sz w:val="28"/>
          <w:szCs w:val="28"/>
          <w:lang w:val="ru-RU"/>
        </w:rPr>
        <w:t xml:space="preserve"> группах больных с хирургическим лечением C</w:t>
      </w:r>
      <w:r w:rsidR="00296CF9" w:rsidRPr="00D228A5">
        <w:rPr>
          <w:rFonts w:ascii="Times New Roman" w:hAnsi="Times New Roman" w:cs="Times New Roman"/>
          <w:sz w:val="28"/>
          <w:szCs w:val="28"/>
          <w:lang w:val="ru-RU"/>
        </w:rPr>
        <w:t>ПКЯ</w:t>
      </w:r>
      <w:r w:rsidR="00296CF9">
        <w:rPr>
          <w:rFonts w:ascii="Times New Roman" w:hAnsi="Times New Roman" w:cs="Times New Roman"/>
          <w:sz w:val="28"/>
          <w:szCs w:val="28"/>
          <w:lang w:val="ru-RU"/>
        </w:rPr>
        <w:t xml:space="preserve"> в анамнезе (группа1) и без операции на яичниках (группа2)</w:t>
      </w:r>
      <w:r w:rsidR="00296CF9" w:rsidRPr="00C67CC9">
        <w:rPr>
          <w:rFonts w:ascii="Times New Roman" w:hAnsi="Times New Roman" w:cs="Times New Roman"/>
          <w:sz w:val="28"/>
          <w:szCs w:val="28"/>
          <w:lang w:val="ru-RU"/>
        </w:rPr>
        <w:t xml:space="preserve">. </w:t>
      </w:r>
      <w:r w:rsidRPr="000349B1">
        <w:rPr>
          <w:rFonts w:ascii="Times New Roman" w:hAnsi="Times New Roman" w:cs="Times New Roman"/>
          <w:kern w:val="24"/>
          <w:sz w:val="28"/>
          <w:szCs w:val="28"/>
          <w:lang w:val="ru-RU"/>
        </w:rPr>
        <w:t>(р=</w:t>
      </w:r>
      <w:r w:rsidRPr="000349B1">
        <w:rPr>
          <w:rFonts w:ascii="Times New Roman" w:hAnsi="Times New Roman" w:cs="Times New Roman"/>
          <w:sz w:val="28"/>
          <w:szCs w:val="28"/>
          <w:lang w:val="ru-RU"/>
        </w:rPr>
        <w:t>0,0397).</w:t>
      </w:r>
    </w:p>
    <w:p w:rsidR="00A8665B" w:rsidRPr="00C67CC9" w:rsidRDefault="00A8665B" w:rsidP="00BB6B0E">
      <w:pPr>
        <w:spacing w:line="360" w:lineRule="auto"/>
        <w:ind w:firstLine="709"/>
        <w:jc w:val="both"/>
        <w:rPr>
          <w:rFonts w:ascii="Times New Roman" w:eastAsia="Arial Unicode MS" w:hAnsi="Times New Roman" w:cs="Times New Roman"/>
          <w:sz w:val="28"/>
          <w:szCs w:val="28"/>
          <w:lang w:val="ru-RU"/>
        </w:rPr>
      </w:pPr>
      <w:r w:rsidRPr="00C67CC9">
        <w:rPr>
          <w:rFonts w:ascii="Times New Roman" w:eastAsia="Arial Unicode MS" w:hAnsi="Times New Roman" w:cs="Times New Roman"/>
          <w:sz w:val="28"/>
          <w:szCs w:val="28"/>
          <w:lang w:val="ru-RU"/>
        </w:rPr>
        <w:t>Если рассматривать показатели уровн</w:t>
      </w:r>
      <w:r>
        <w:rPr>
          <w:rFonts w:ascii="Times New Roman" w:eastAsia="Arial Unicode MS" w:hAnsi="Times New Roman" w:cs="Times New Roman"/>
          <w:sz w:val="28"/>
          <w:szCs w:val="28"/>
          <w:lang w:val="ru-RU"/>
        </w:rPr>
        <w:t>ей</w:t>
      </w:r>
      <w:r w:rsidRPr="00C67CC9">
        <w:rPr>
          <w:rFonts w:ascii="Times New Roman" w:eastAsia="Arial Unicode MS" w:hAnsi="Times New Roman" w:cs="Times New Roman"/>
          <w:sz w:val="28"/>
          <w:szCs w:val="28"/>
          <w:lang w:val="ru-RU"/>
        </w:rPr>
        <w:t xml:space="preserve"> гормонов, то статистически достоверных различий выявлено не было (табл</w:t>
      </w:r>
      <w:r>
        <w:rPr>
          <w:rFonts w:ascii="Times New Roman" w:eastAsia="Arial Unicode MS" w:hAnsi="Times New Roman" w:cs="Times New Roman"/>
          <w:sz w:val="28"/>
          <w:szCs w:val="28"/>
          <w:lang w:val="ru-RU"/>
        </w:rPr>
        <w:t>.</w:t>
      </w:r>
      <w:r w:rsidRPr="00C67CC9">
        <w:rPr>
          <w:rFonts w:ascii="Times New Roman" w:eastAsia="Arial Unicode MS" w:hAnsi="Times New Roman" w:cs="Times New Roman"/>
          <w:sz w:val="28"/>
          <w:szCs w:val="28"/>
          <w:lang w:val="ru-RU"/>
        </w:rPr>
        <w:t xml:space="preserve"> 2), за исключением уровня тестостерона</w:t>
      </w:r>
      <w:r>
        <w:rPr>
          <w:rFonts w:ascii="Times New Roman" w:eastAsia="Arial Unicode MS" w:hAnsi="Times New Roman" w:cs="Times New Roman"/>
          <w:sz w:val="28"/>
          <w:szCs w:val="28"/>
          <w:lang w:val="ru-RU"/>
        </w:rPr>
        <w:t>,</w:t>
      </w:r>
      <w:r w:rsidRPr="00C67CC9">
        <w:rPr>
          <w:rFonts w:ascii="Times New Roman" w:eastAsia="Arial Unicode MS" w:hAnsi="Times New Roman" w:cs="Times New Roman"/>
          <w:sz w:val="28"/>
          <w:szCs w:val="28"/>
          <w:lang w:val="ru-RU"/>
        </w:rPr>
        <w:t xml:space="preserve"> который в 1 группе </w:t>
      </w:r>
      <w:r>
        <w:rPr>
          <w:rFonts w:ascii="Times New Roman" w:eastAsia="Arial Unicode MS" w:hAnsi="Times New Roman" w:cs="Times New Roman"/>
          <w:sz w:val="28"/>
          <w:szCs w:val="28"/>
          <w:lang w:val="ru-RU"/>
        </w:rPr>
        <w:t>оказался ниже, чем во 2</w:t>
      </w:r>
      <w:r w:rsidRPr="00C67CC9">
        <w:rPr>
          <w:rFonts w:ascii="Times New Roman" w:eastAsia="Arial Unicode MS" w:hAnsi="Times New Roman" w:cs="Times New Roman"/>
          <w:sz w:val="28"/>
          <w:szCs w:val="28"/>
          <w:lang w:val="ru-RU"/>
        </w:rPr>
        <w:t xml:space="preserve">. </w:t>
      </w:r>
    </w:p>
    <w:p w:rsidR="00296CF9" w:rsidRPr="00C67CC9" w:rsidRDefault="00296CF9" w:rsidP="00BB6B0E">
      <w:pPr>
        <w:spacing w:line="360" w:lineRule="auto"/>
        <w:jc w:val="both"/>
        <w:rPr>
          <w:rFonts w:ascii="Times New Roman" w:hAnsi="Times New Roman" w:cs="Times New Roman"/>
          <w:sz w:val="28"/>
          <w:szCs w:val="28"/>
          <w:lang w:val="ru-RU"/>
        </w:rPr>
      </w:pPr>
      <w:r w:rsidRPr="00296CF9">
        <w:rPr>
          <w:rFonts w:ascii="Times New Roman" w:hAnsi="Times New Roman" w:cs="Times New Roman"/>
          <w:sz w:val="28"/>
          <w:szCs w:val="28"/>
          <w:lang w:val="ru-RU"/>
        </w:rPr>
        <w:t xml:space="preserve"> </w:t>
      </w:r>
      <w:r w:rsidRPr="00C67CC9">
        <w:rPr>
          <w:rFonts w:ascii="Times New Roman" w:hAnsi="Times New Roman" w:cs="Times New Roman"/>
          <w:sz w:val="28"/>
          <w:szCs w:val="28"/>
          <w:lang w:val="ru-RU"/>
        </w:rPr>
        <w:t xml:space="preserve">Таблица 2. Уровни </w:t>
      </w:r>
      <w:r>
        <w:rPr>
          <w:rFonts w:ascii="Times New Roman" w:hAnsi="Times New Roman" w:cs="Times New Roman"/>
          <w:sz w:val="28"/>
          <w:szCs w:val="28"/>
          <w:lang w:val="ru-RU"/>
        </w:rPr>
        <w:t xml:space="preserve">гонадотропинов, пролактина и </w:t>
      </w:r>
      <w:r w:rsidRPr="00C67CC9">
        <w:rPr>
          <w:rFonts w:ascii="Times New Roman" w:hAnsi="Times New Roman" w:cs="Times New Roman"/>
          <w:sz w:val="28"/>
          <w:szCs w:val="28"/>
          <w:lang w:val="ru-RU"/>
        </w:rPr>
        <w:t xml:space="preserve">половых гормонов </w:t>
      </w:r>
      <w:r>
        <w:rPr>
          <w:rFonts w:ascii="Times New Roman" w:hAnsi="Times New Roman" w:cs="Times New Roman"/>
          <w:sz w:val="28"/>
          <w:szCs w:val="28"/>
          <w:lang w:val="ru-RU"/>
        </w:rPr>
        <w:t>в крови в группах больных с хирургическим лечением C</w:t>
      </w:r>
      <w:r w:rsidRPr="00D228A5">
        <w:rPr>
          <w:rFonts w:ascii="Times New Roman" w:hAnsi="Times New Roman" w:cs="Times New Roman"/>
          <w:sz w:val="28"/>
          <w:szCs w:val="28"/>
          <w:lang w:val="ru-RU"/>
        </w:rPr>
        <w:t>ПКЯ</w:t>
      </w:r>
      <w:r>
        <w:rPr>
          <w:rFonts w:ascii="Times New Roman" w:hAnsi="Times New Roman" w:cs="Times New Roman"/>
          <w:sz w:val="28"/>
          <w:szCs w:val="28"/>
          <w:lang w:val="ru-RU"/>
        </w:rPr>
        <w:t xml:space="preserve"> в анамнезе (группа1) и без операции на яичниках (группа2)</w:t>
      </w:r>
      <w:r w:rsidRPr="00C67CC9">
        <w:rPr>
          <w:rFonts w:ascii="Times New Roman" w:hAnsi="Times New Roman" w:cs="Times New Roman"/>
          <w:sz w:val="28"/>
          <w:szCs w:val="28"/>
          <w:lang w:val="ru-RU"/>
        </w:rPr>
        <w:t xml:space="preserve">. </w:t>
      </w:r>
    </w:p>
    <w:p w:rsidR="00296CF9" w:rsidRPr="00C67CC9" w:rsidRDefault="00296CF9" w:rsidP="00BB6B0E">
      <w:pPr>
        <w:spacing w:line="360" w:lineRule="auto"/>
        <w:ind w:firstLine="709"/>
        <w:jc w:val="both"/>
        <w:rPr>
          <w:rFonts w:ascii="Times New Roman" w:eastAsia="Arial Unicode MS" w:hAnsi="Times New Roman" w:cs="Times New Roman"/>
          <w:sz w:val="28"/>
          <w:szCs w:val="28"/>
          <w:lang w:val="ru-RU"/>
        </w:rPr>
      </w:pPr>
    </w:p>
    <w:tbl>
      <w:tblPr>
        <w:tblStyle w:val="TableGrid"/>
        <w:tblW w:w="0" w:type="auto"/>
        <w:tblInd w:w="108" w:type="dxa"/>
        <w:tblLook w:val="04A0" w:firstRow="1" w:lastRow="0" w:firstColumn="1" w:lastColumn="0" w:noHBand="0" w:noVBand="1"/>
      </w:tblPr>
      <w:tblGrid>
        <w:gridCol w:w="2518"/>
        <w:gridCol w:w="2339"/>
        <w:gridCol w:w="2199"/>
        <w:gridCol w:w="996"/>
      </w:tblGrid>
      <w:tr w:rsidR="00581840" w:rsidRPr="00C67CC9" w:rsidTr="00BB6B0E">
        <w:tc>
          <w:tcPr>
            <w:tcW w:w="2518" w:type="dxa"/>
          </w:tcPr>
          <w:p w:rsidR="00581840" w:rsidRPr="00C67CC9" w:rsidRDefault="00581840" w:rsidP="00C67CC9">
            <w:pPr>
              <w:spacing w:line="360" w:lineRule="auto"/>
              <w:jc w:val="both"/>
              <w:rPr>
                <w:rFonts w:ascii="Times New Roman" w:hAnsi="Times New Roman" w:cs="Times New Roman"/>
                <w:sz w:val="28"/>
                <w:szCs w:val="28"/>
              </w:rPr>
            </w:pPr>
          </w:p>
        </w:tc>
        <w:tc>
          <w:tcPr>
            <w:tcW w:w="2339" w:type="dxa"/>
          </w:tcPr>
          <w:p w:rsidR="00581840" w:rsidRPr="00C67CC9" w:rsidRDefault="00581840" w:rsidP="00C67CC9">
            <w:pPr>
              <w:spacing w:line="360" w:lineRule="auto"/>
              <w:jc w:val="center"/>
              <w:rPr>
                <w:rFonts w:ascii="Times New Roman" w:hAnsi="Times New Roman" w:cs="Times New Roman"/>
                <w:sz w:val="28"/>
                <w:szCs w:val="28"/>
                <w:lang w:val="en-US"/>
              </w:rPr>
            </w:pPr>
            <w:r w:rsidRPr="00C67CC9">
              <w:rPr>
                <w:rFonts w:ascii="Times New Roman" w:hAnsi="Times New Roman" w:cs="Times New Roman"/>
                <w:sz w:val="28"/>
                <w:szCs w:val="28"/>
              </w:rPr>
              <w:t>1 группа (</w:t>
            </w:r>
            <w:r w:rsidRPr="00C67CC9">
              <w:rPr>
                <w:rFonts w:ascii="Times New Roman" w:hAnsi="Times New Roman" w:cs="Times New Roman"/>
                <w:sz w:val="28"/>
                <w:szCs w:val="28"/>
                <w:lang w:val="en-US"/>
              </w:rPr>
              <w:t>n=37)</w:t>
            </w:r>
          </w:p>
        </w:tc>
        <w:tc>
          <w:tcPr>
            <w:tcW w:w="2199" w:type="dxa"/>
          </w:tcPr>
          <w:p w:rsidR="00581840" w:rsidRPr="00C67CC9" w:rsidRDefault="00581840" w:rsidP="00C67CC9">
            <w:pPr>
              <w:spacing w:line="360" w:lineRule="auto"/>
              <w:jc w:val="center"/>
              <w:rPr>
                <w:rFonts w:ascii="Times New Roman" w:hAnsi="Times New Roman" w:cs="Times New Roman"/>
                <w:sz w:val="28"/>
                <w:szCs w:val="28"/>
              </w:rPr>
            </w:pPr>
            <w:r w:rsidRPr="00C67CC9">
              <w:rPr>
                <w:rFonts w:ascii="Times New Roman" w:hAnsi="Times New Roman" w:cs="Times New Roman"/>
                <w:sz w:val="28"/>
                <w:szCs w:val="28"/>
              </w:rPr>
              <w:t>2 группа</w:t>
            </w:r>
          </w:p>
          <w:p w:rsidR="00581840" w:rsidRPr="00C67CC9" w:rsidRDefault="00581840" w:rsidP="00C67CC9">
            <w:pPr>
              <w:spacing w:line="360" w:lineRule="auto"/>
              <w:jc w:val="center"/>
              <w:rPr>
                <w:rFonts w:ascii="Times New Roman" w:hAnsi="Times New Roman" w:cs="Times New Roman"/>
                <w:sz w:val="28"/>
                <w:szCs w:val="28"/>
                <w:lang w:val="en-US"/>
              </w:rPr>
            </w:pPr>
            <w:r w:rsidRPr="00C67CC9">
              <w:rPr>
                <w:rFonts w:ascii="Times New Roman" w:hAnsi="Times New Roman" w:cs="Times New Roman"/>
                <w:sz w:val="28"/>
                <w:szCs w:val="28"/>
              </w:rPr>
              <w:t>(</w:t>
            </w:r>
            <w:r w:rsidRPr="00C67CC9">
              <w:rPr>
                <w:rFonts w:ascii="Times New Roman" w:hAnsi="Times New Roman" w:cs="Times New Roman"/>
                <w:sz w:val="28"/>
                <w:szCs w:val="28"/>
                <w:lang w:val="en-US"/>
              </w:rPr>
              <w:t>n=28)</w:t>
            </w:r>
          </w:p>
        </w:tc>
        <w:tc>
          <w:tcPr>
            <w:tcW w:w="996" w:type="dxa"/>
            <w:shd w:val="clear" w:color="auto" w:fill="auto"/>
          </w:tcPr>
          <w:p w:rsidR="00581840" w:rsidRPr="00C67CC9" w:rsidRDefault="00581840" w:rsidP="00C67CC9">
            <w:pPr>
              <w:spacing w:line="360" w:lineRule="auto"/>
              <w:jc w:val="center"/>
              <w:rPr>
                <w:rFonts w:ascii="Times New Roman" w:hAnsi="Times New Roman" w:cs="Times New Roman"/>
                <w:sz w:val="28"/>
                <w:szCs w:val="28"/>
              </w:rPr>
            </w:pPr>
            <w:r w:rsidRPr="00C67CC9">
              <w:rPr>
                <w:rFonts w:ascii="Times New Roman" w:hAnsi="Times New Roman" w:cs="Times New Roman"/>
                <w:sz w:val="28"/>
                <w:szCs w:val="28"/>
              </w:rPr>
              <w:t>Р</w:t>
            </w:r>
          </w:p>
        </w:tc>
      </w:tr>
      <w:tr w:rsidR="00581840" w:rsidRPr="00C67CC9" w:rsidTr="00BB6B0E">
        <w:tc>
          <w:tcPr>
            <w:tcW w:w="2518" w:type="dxa"/>
            <w:vAlign w:val="center"/>
          </w:tcPr>
          <w:p w:rsidR="00581840" w:rsidRPr="00C67CC9" w:rsidRDefault="00581840" w:rsidP="00C67CC9">
            <w:pPr>
              <w:spacing w:line="360" w:lineRule="auto"/>
              <w:ind w:firstLine="709"/>
              <w:jc w:val="both"/>
              <w:rPr>
                <w:rFonts w:ascii="Times New Roman" w:eastAsia="Arial Unicode MS" w:hAnsi="Times New Roman" w:cs="Times New Roman"/>
                <w:sz w:val="28"/>
                <w:szCs w:val="28"/>
                <w:lang w:val="en-US"/>
              </w:rPr>
            </w:pPr>
            <w:r w:rsidRPr="00C67CC9">
              <w:rPr>
                <w:rFonts w:ascii="Times New Roman" w:eastAsia="Arial Unicode MS" w:hAnsi="Times New Roman" w:cs="Times New Roman"/>
                <w:sz w:val="28"/>
                <w:szCs w:val="28"/>
              </w:rPr>
              <w:t xml:space="preserve">ФСГ, МЕ/л </w:t>
            </w:r>
          </w:p>
        </w:tc>
        <w:tc>
          <w:tcPr>
            <w:tcW w:w="2339" w:type="dxa"/>
            <w:vAlign w:val="center"/>
          </w:tcPr>
          <w:p w:rsidR="00581840" w:rsidRPr="00C67CC9" w:rsidRDefault="00581840" w:rsidP="00C67CC9">
            <w:pPr>
              <w:spacing w:line="360" w:lineRule="auto"/>
              <w:ind w:firstLine="709"/>
              <w:jc w:val="both"/>
              <w:rPr>
                <w:rFonts w:ascii="Times New Roman" w:eastAsia="Arial Unicode MS" w:hAnsi="Times New Roman" w:cs="Times New Roman"/>
                <w:sz w:val="28"/>
                <w:szCs w:val="28"/>
                <w:lang w:val="en-US"/>
              </w:rPr>
            </w:pPr>
            <w:r w:rsidRPr="00C67CC9">
              <w:rPr>
                <w:rFonts w:ascii="Times New Roman" w:eastAsia="Arial Unicode MS" w:hAnsi="Times New Roman" w:cs="Times New Roman"/>
                <w:sz w:val="28"/>
                <w:szCs w:val="28"/>
              </w:rPr>
              <w:t>6,28</w:t>
            </w:r>
            <w:r w:rsidRPr="00C67CC9">
              <w:rPr>
                <w:rFonts w:ascii="Times New Roman" w:eastAsia="Arial Unicode MS" w:hAnsi="Times New Roman" w:cs="Times New Roman"/>
                <w:sz w:val="28"/>
                <w:szCs w:val="28"/>
                <w:lang w:val="en-US"/>
              </w:rPr>
              <w:t>±</w:t>
            </w:r>
            <w:r w:rsidRPr="00C67CC9">
              <w:rPr>
                <w:rFonts w:ascii="Times New Roman" w:eastAsia="Arial Unicode MS" w:hAnsi="Times New Roman" w:cs="Times New Roman"/>
                <w:sz w:val="28"/>
                <w:szCs w:val="28"/>
              </w:rPr>
              <w:t>0,37</w:t>
            </w:r>
          </w:p>
        </w:tc>
        <w:tc>
          <w:tcPr>
            <w:tcW w:w="2199" w:type="dxa"/>
            <w:vAlign w:val="center"/>
          </w:tcPr>
          <w:p w:rsidR="00581840" w:rsidRPr="00C67CC9" w:rsidRDefault="00581840" w:rsidP="00C67CC9">
            <w:pPr>
              <w:spacing w:line="360" w:lineRule="auto"/>
              <w:ind w:firstLine="709"/>
              <w:jc w:val="both"/>
              <w:rPr>
                <w:rFonts w:ascii="Times New Roman" w:eastAsia="Arial Unicode MS" w:hAnsi="Times New Roman" w:cs="Times New Roman"/>
                <w:sz w:val="28"/>
                <w:szCs w:val="28"/>
                <w:lang w:val="en-US"/>
              </w:rPr>
            </w:pPr>
            <w:r w:rsidRPr="00C67CC9">
              <w:rPr>
                <w:rFonts w:ascii="Times New Roman" w:eastAsia="Arial Unicode MS" w:hAnsi="Times New Roman" w:cs="Times New Roman"/>
                <w:sz w:val="28"/>
                <w:szCs w:val="28"/>
              </w:rPr>
              <w:t>4,9</w:t>
            </w:r>
            <w:r w:rsidRPr="00C67CC9">
              <w:rPr>
                <w:rFonts w:ascii="Times New Roman" w:eastAsia="Arial Unicode MS" w:hAnsi="Times New Roman" w:cs="Times New Roman"/>
                <w:sz w:val="28"/>
                <w:szCs w:val="28"/>
                <w:lang w:val="en-US"/>
              </w:rPr>
              <w:t>±</w:t>
            </w:r>
            <w:r w:rsidRPr="00C67CC9">
              <w:rPr>
                <w:rFonts w:ascii="Times New Roman" w:eastAsia="Arial Unicode MS" w:hAnsi="Times New Roman" w:cs="Times New Roman"/>
                <w:sz w:val="28"/>
                <w:szCs w:val="28"/>
              </w:rPr>
              <w:t>0,27</w:t>
            </w:r>
          </w:p>
        </w:tc>
        <w:tc>
          <w:tcPr>
            <w:tcW w:w="996" w:type="dxa"/>
            <w:shd w:val="clear" w:color="auto" w:fill="auto"/>
          </w:tcPr>
          <w:p w:rsidR="00581840" w:rsidRPr="00C67CC9" w:rsidRDefault="00581840" w:rsidP="00C67CC9">
            <w:pPr>
              <w:spacing w:line="360" w:lineRule="auto"/>
              <w:rPr>
                <w:rFonts w:ascii="Times New Roman" w:hAnsi="Times New Roman" w:cs="Times New Roman"/>
                <w:sz w:val="28"/>
                <w:szCs w:val="28"/>
              </w:rPr>
            </w:pPr>
            <w:r w:rsidRPr="00C67CC9">
              <w:rPr>
                <w:rFonts w:ascii="Times New Roman" w:hAnsi="Times New Roman" w:cs="Times New Roman"/>
                <w:sz w:val="28"/>
                <w:szCs w:val="28"/>
              </w:rPr>
              <w:t>0,0506</w:t>
            </w:r>
          </w:p>
        </w:tc>
      </w:tr>
      <w:tr w:rsidR="00581840" w:rsidRPr="00C67CC9" w:rsidTr="00BB6B0E">
        <w:tc>
          <w:tcPr>
            <w:tcW w:w="2518" w:type="dxa"/>
            <w:vAlign w:val="center"/>
          </w:tcPr>
          <w:p w:rsidR="00581840" w:rsidRPr="00C67CC9" w:rsidRDefault="00581840" w:rsidP="00C67CC9">
            <w:pPr>
              <w:spacing w:line="360" w:lineRule="auto"/>
              <w:ind w:firstLine="709"/>
              <w:jc w:val="both"/>
              <w:rPr>
                <w:rFonts w:ascii="Times New Roman" w:eastAsia="Arial Unicode MS" w:hAnsi="Times New Roman" w:cs="Times New Roman"/>
                <w:sz w:val="28"/>
                <w:szCs w:val="28"/>
                <w:lang w:val="en-US"/>
              </w:rPr>
            </w:pPr>
            <w:r w:rsidRPr="00C67CC9">
              <w:rPr>
                <w:rFonts w:ascii="Times New Roman" w:eastAsia="Arial Unicode MS" w:hAnsi="Times New Roman" w:cs="Times New Roman"/>
                <w:sz w:val="28"/>
                <w:szCs w:val="28"/>
              </w:rPr>
              <w:t>ЛГ, МЕ/л</w:t>
            </w:r>
          </w:p>
        </w:tc>
        <w:tc>
          <w:tcPr>
            <w:tcW w:w="2339" w:type="dxa"/>
            <w:vAlign w:val="center"/>
          </w:tcPr>
          <w:p w:rsidR="00581840" w:rsidRPr="00C67CC9" w:rsidRDefault="00581840" w:rsidP="00C67CC9">
            <w:pPr>
              <w:spacing w:line="360" w:lineRule="auto"/>
              <w:ind w:firstLine="709"/>
              <w:jc w:val="both"/>
              <w:rPr>
                <w:rFonts w:ascii="Times New Roman" w:eastAsia="Arial Unicode MS" w:hAnsi="Times New Roman" w:cs="Times New Roman"/>
                <w:sz w:val="28"/>
                <w:szCs w:val="28"/>
                <w:lang w:val="en-US"/>
              </w:rPr>
            </w:pPr>
            <w:r w:rsidRPr="00C67CC9">
              <w:rPr>
                <w:rFonts w:ascii="Times New Roman" w:eastAsia="Arial Unicode MS" w:hAnsi="Times New Roman" w:cs="Times New Roman"/>
                <w:sz w:val="28"/>
                <w:szCs w:val="28"/>
              </w:rPr>
              <w:t>6,4</w:t>
            </w:r>
            <w:r w:rsidRPr="00C67CC9">
              <w:rPr>
                <w:rFonts w:ascii="Times New Roman" w:eastAsia="Arial Unicode MS" w:hAnsi="Times New Roman" w:cs="Times New Roman"/>
                <w:sz w:val="28"/>
                <w:szCs w:val="28"/>
                <w:lang w:val="en-US"/>
              </w:rPr>
              <w:t>±</w:t>
            </w:r>
            <w:r w:rsidRPr="00C67CC9">
              <w:rPr>
                <w:rFonts w:ascii="Times New Roman" w:eastAsia="Arial Unicode MS" w:hAnsi="Times New Roman" w:cs="Times New Roman"/>
                <w:sz w:val="28"/>
                <w:szCs w:val="28"/>
              </w:rPr>
              <w:t>0,93</w:t>
            </w:r>
          </w:p>
        </w:tc>
        <w:tc>
          <w:tcPr>
            <w:tcW w:w="2199" w:type="dxa"/>
            <w:vAlign w:val="center"/>
          </w:tcPr>
          <w:p w:rsidR="00581840" w:rsidRPr="00C67CC9" w:rsidRDefault="00581840" w:rsidP="00C67CC9">
            <w:pPr>
              <w:spacing w:line="360" w:lineRule="auto"/>
              <w:ind w:firstLine="709"/>
              <w:jc w:val="both"/>
              <w:rPr>
                <w:rFonts w:ascii="Times New Roman" w:eastAsia="Arial Unicode MS" w:hAnsi="Times New Roman" w:cs="Times New Roman"/>
                <w:sz w:val="28"/>
                <w:szCs w:val="28"/>
                <w:lang w:val="en-US"/>
              </w:rPr>
            </w:pPr>
            <w:r w:rsidRPr="00C67CC9">
              <w:rPr>
                <w:rFonts w:ascii="Times New Roman" w:eastAsia="Arial Unicode MS" w:hAnsi="Times New Roman" w:cs="Times New Roman"/>
                <w:sz w:val="28"/>
                <w:szCs w:val="28"/>
              </w:rPr>
              <w:t>7,08</w:t>
            </w:r>
            <w:r w:rsidRPr="00C67CC9">
              <w:rPr>
                <w:rFonts w:ascii="Times New Roman" w:eastAsia="Arial Unicode MS" w:hAnsi="Times New Roman" w:cs="Times New Roman"/>
                <w:sz w:val="28"/>
                <w:szCs w:val="28"/>
                <w:lang w:val="en-US"/>
              </w:rPr>
              <w:t>±</w:t>
            </w:r>
            <w:r w:rsidRPr="00C67CC9">
              <w:rPr>
                <w:rFonts w:ascii="Times New Roman" w:eastAsia="Arial Unicode MS" w:hAnsi="Times New Roman" w:cs="Times New Roman"/>
                <w:sz w:val="28"/>
                <w:szCs w:val="28"/>
              </w:rPr>
              <w:t>0,87</w:t>
            </w:r>
          </w:p>
        </w:tc>
        <w:tc>
          <w:tcPr>
            <w:tcW w:w="996" w:type="dxa"/>
            <w:shd w:val="clear" w:color="auto" w:fill="auto"/>
          </w:tcPr>
          <w:p w:rsidR="00581840" w:rsidRPr="00C67CC9" w:rsidRDefault="00581840" w:rsidP="00C67CC9">
            <w:pPr>
              <w:spacing w:line="360" w:lineRule="auto"/>
              <w:rPr>
                <w:rFonts w:ascii="Times New Roman" w:hAnsi="Times New Roman" w:cs="Times New Roman"/>
                <w:sz w:val="28"/>
                <w:szCs w:val="28"/>
              </w:rPr>
            </w:pPr>
            <w:r w:rsidRPr="00C67CC9">
              <w:rPr>
                <w:rFonts w:ascii="Times New Roman" w:hAnsi="Times New Roman" w:cs="Times New Roman"/>
                <w:sz w:val="28"/>
                <w:szCs w:val="28"/>
              </w:rPr>
              <w:t>0,0694</w:t>
            </w:r>
          </w:p>
        </w:tc>
      </w:tr>
      <w:tr w:rsidR="00581840" w:rsidRPr="00C67CC9" w:rsidTr="00BB6B0E">
        <w:tc>
          <w:tcPr>
            <w:tcW w:w="2518" w:type="dxa"/>
            <w:vAlign w:val="center"/>
          </w:tcPr>
          <w:p w:rsidR="00581840" w:rsidRPr="00C67CC9" w:rsidRDefault="00581840" w:rsidP="00C67CC9">
            <w:pPr>
              <w:spacing w:line="360" w:lineRule="auto"/>
              <w:ind w:firstLine="709"/>
              <w:jc w:val="both"/>
              <w:rPr>
                <w:rFonts w:ascii="Times New Roman" w:eastAsia="Arial Unicode MS" w:hAnsi="Times New Roman" w:cs="Times New Roman"/>
                <w:sz w:val="28"/>
                <w:szCs w:val="28"/>
                <w:lang w:val="en-US"/>
              </w:rPr>
            </w:pPr>
            <w:r w:rsidRPr="00C67CC9">
              <w:rPr>
                <w:rFonts w:ascii="Times New Roman" w:eastAsia="Arial Unicode MS" w:hAnsi="Times New Roman" w:cs="Times New Roman"/>
                <w:sz w:val="28"/>
                <w:szCs w:val="28"/>
              </w:rPr>
              <w:t>Е</w:t>
            </w:r>
            <w:r w:rsidRPr="00C67CC9">
              <w:rPr>
                <w:rFonts w:ascii="Times New Roman" w:eastAsia="Arial Unicode MS" w:hAnsi="Times New Roman" w:cs="Times New Roman"/>
                <w:sz w:val="28"/>
                <w:szCs w:val="28"/>
                <w:vertAlign w:val="subscript"/>
              </w:rPr>
              <w:t>2</w:t>
            </w:r>
            <w:r w:rsidR="00AD7EA7">
              <w:rPr>
                <w:rFonts w:ascii="Times New Roman" w:eastAsia="Arial Unicode MS" w:hAnsi="Times New Roman" w:cs="Times New Roman"/>
                <w:sz w:val="28"/>
                <w:szCs w:val="28"/>
              </w:rPr>
              <w:t>, н</w:t>
            </w:r>
            <w:r w:rsidRPr="00C67CC9">
              <w:rPr>
                <w:rFonts w:ascii="Times New Roman" w:eastAsia="Arial Unicode MS" w:hAnsi="Times New Roman" w:cs="Times New Roman"/>
                <w:sz w:val="28"/>
                <w:szCs w:val="28"/>
              </w:rPr>
              <w:t>моль/л</w:t>
            </w:r>
          </w:p>
        </w:tc>
        <w:tc>
          <w:tcPr>
            <w:tcW w:w="2339" w:type="dxa"/>
            <w:vAlign w:val="center"/>
          </w:tcPr>
          <w:p w:rsidR="00581840" w:rsidRPr="00C67CC9" w:rsidRDefault="00581840" w:rsidP="00C67CC9">
            <w:pPr>
              <w:spacing w:line="360" w:lineRule="auto"/>
              <w:ind w:firstLine="709"/>
              <w:jc w:val="both"/>
              <w:rPr>
                <w:rFonts w:ascii="Times New Roman" w:eastAsia="Arial Unicode MS" w:hAnsi="Times New Roman" w:cs="Times New Roman"/>
                <w:sz w:val="28"/>
                <w:szCs w:val="28"/>
                <w:lang w:val="en-US"/>
              </w:rPr>
            </w:pPr>
            <w:r w:rsidRPr="00C67CC9">
              <w:rPr>
                <w:rFonts w:ascii="Times New Roman" w:eastAsia="Arial Unicode MS" w:hAnsi="Times New Roman" w:cs="Times New Roman"/>
                <w:sz w:val="28"/>
                <w:szCs w:val="28"/>
              </w:rPr>
              <w:t>191,1</w:t>
            </w:r>
            <w:r w:rsidRPr="00C67CC9">
              <w:rPr>
                <w:rFonts w:ascii="Times New Roman" w:eastAsia="Arial Unicode MS" w:hAnsi="Times New Roman" w:cs="Times New Roman"/>
                <w:sz w:val="28"/>
                <w:szCs w:val="28"/>
                <w:lang w:val="en-US"/>
              </w:rPr>
              <w:t>±</w:t>
            </w:r>
            <w:r w:rsidRPr="00C67CC9">
              <w:rPr>
                <w:rFonts w:ascii="Times New Roman" w:eastAsia="Arial Unicode MS" w:hAnsi="Times New Roman" w:cs="Times New Roman"/>
                <w:sz w:val="28"/>
                <w:szCs w:val="28"/>
              </w:rPr>
              <w:t>75,42</w:t>
            </w:r>
          </w:p>
        </w:tc>
        <w:tc>
          <w:tcPr>
            <w:tcW w:w="2199" w:type="dxa"/>
            <w:vAlign w:val="center"/>
          </w:tcPr>
          <w:p w:rsidR="00581840" w:rsidRPr="00C67CC9" w:rsidRDefault="00581840" w:rsidP="00C67CC9">
            <w:pPr>
              <w:spacing w:line="360" w:lineRule="auto"/>
              <w:ind w:firstLine="709"/>
              <w:jc w:val="both"/>
              <w:rPr>
                <w:rFonts w:ascii="Times New Roman" w:eastAsia="Arial Unicode MS" w:hAnsi="Times New Roman" w:cs="Times New Roman"/>
                <w:sz w:val="28"/>
                <w:szCs w:val="28"/>
                <w:lang w:val="en-US"/>
              </w:rPr>
            </w:pPr>
            <w:r w:rsidRPr="00C67CC9">
              <w:rPr>
                <w:rFonts w:ascii="Times New Roman" w:eastAsia="Arial Unicode MS" w:hAnsi="Times New Roman" w:cs="Times New Roman"/>
                <w:sz w:val="28"/>
                <w:szCs w:val="28"/>
              </w:rPr>
              <w:t>175,6</w:t>
            </w:r>
            <w:r w:rsidRPr="00C67CC9">
              <w:rPr>
                <w:rFonts w:ascii="Times New Roman" w:eastAsia="Arial Unicode MS" w:hAnsi="Times New Roman" w:cs="Times New Roman"/>
                <w:sz w:val="28"/>
                <w:szCs w:val="28"/>
                <w:lang w:val="en-US"/>
              </w:rPr>
              <w:t>±</w:t>
            </w:r>
            <w:r w:rsidRPr="00C67CC9">
              <w:rPr>
                <w:rFonts w:ascii="Times New Roman" w:eastAsia="Arial Unicode MS" w:hAnsi="Times New Roman" w:cs="Times New Roman"/>
                <w:sz w:val="28"/>
                <w:szCs w:val="28"/>
              </w:rPr>
              <w:t>67,8</w:t>
            </w:r>
          </w:p>
        </w:tc>
        <w:tc>
          <w:tcPr>
            <w:tcW w:w="996" w:type="dxa"/>
            <w:shd w:val="clear" w:color="auto" w:fill="auto"/>
          </w:tcPr>
          <w:p w:rsidR="00581840" w:rsidRPr="00C67CC9" w:rsidRDefault="00581840" w:rsidP="00C67CC9">
            <w:pPr>
              <w:spacing w:line="360" w:lineRule="auto"/>
              <w:rPr>
                <w:rFonts w:ascii="Times New Roman" w:hAnsi="Times New Roman" w:cs="Times New Roman"/>
                <w:sz w:val="28"/>
                <w:szCs w:val="28"/>
              </w:rPr>
            </w:pPr>
            <w:r w:rsidRPr="00C67CC9">
              <w:rPr>
                <w:rFonts w:ascii="Times New Roman" w:hAnsi="Times New Roman" w:cs="Times New Roman"/>
                <w:sz w:val="28"/>
                <w:szCs w:val="28"/>
              </w:rPr>
              <w:t>0,0579</w:t>
            </w:r>
          </w:p>
        </w:tc>
      </w:tr>
      <w:tr w:rsidR="00581840" w:rsidRPr="00C67CC9" w:rsidTr="00BB6B0E">
        <w:tc>
          <w:tcPr>
            <w:tcW w:w="2518" w:type="dxa"/>
            <w:vAlign w:val="center"/>
          </w:tcPr>
          <w:p w:rsidR="00581840" w:rsidRPr="00C67CC9" w:rsidRDefault="00581840" w:rsidP="00C67CC9">
            <w:pPr>
              <w:spacing w:line="360" w:lineRule="auto"/>
              <w:ind w:firstLine="709"/>
              <w:jc w:val="both"/>
              <w:rPr>
                <w:rFonts w:ascii="Times New Roman" w:eastAsia="Arial Unicode MS" w:hAnsi="Times New Roman" w:cs="Times New Roman"/>
                <w:sz w:val="28"/>
                <w:szCs w:val="28"/>
                <w:lang w:val="en-US"/>
              </w:rPr>
            </w:pPr>
            <w:r w:rsidRPr="00C67CC9">
              <w:rPr>
                <w:rFonts w:ascii="Times New Roman" w:eastAsia="Arial Unicode MS" w:hAnsi="Times New Roman" w:cs="Times New Roman"/>
                <w:sz w:val="28"/>
                <w:szCs w:val="28"/>
              </w:rPr>
              <w:lastRenderedPageBreak/>
              <w:t>Прогестерон, нмоль/л</w:t>
            </w:r>
          </w:p>
        </w:tc>
        <w:tc>
          <w:tcPr>
            <w:tcW w:w="2339" w:type="dxa"/>
            <w:vAlign w:val="center"/>
          </w:tcPr>
          <w:p w:rsidR="00581840" w:rsidRPr="00C67CC9" w:rsidRDefault="00581840" w:rsidP="00C67CC9">
            <w:pPr>
              <w:spacing w:line="360" w:lineRule="auto"/>
              <w:ind w:firstLine="709"/>
              <w:jc w:val="both"/>
              <w:rPr>
                <w:rFonts w:ascii="Times New Roman" w:eastAsia="Arial Unicode MS" w:hAnsi="Times New Roman" w:cs="Times New Roman"/>
                <w:sz w:val="28"/>
                <w:szCs w:val="28"/>
                <w:lang w:val="en-US"/>
              </w:rPr>
            </w:pPr>
            <w:r w:rsidRPr="00C67CC9">
              <w:rPr>
                <w:rFonts w:ascii="Times New Roman" w:eastAsia="Arial Unicode MS" w:hAnsi="Times New Roman" w:cs="Times New Roman"/>
                <w:sz w:val="28"/>
                <w:szCs w:val="28"/>
              </w:rPr>
              <w:t>19,12</w:t>
            </w:r>
            <w:r w:rsidRPr="00C67CC9">
              <w:rPr>
                <w:rFonts w:ascii="Times New Roman" w:eastAsia="Arial Unicode MS" w:hAnsi="Times New Roman" w:cs="Times New Roman"/>
                <w:sz w:val="28"/>
                <w:szCs w:val="28"/>
                <w:lang w:val="en-US"/>
              </w:rPr>
              <w:t>±</w:t>
            </w:r>
            <w:r w:rsidRPr="00C67CC9">
              <w:rPr>
                <w:rFonts w:ascii="Times New Roman" w:eastAsia="Arial Unicode MS" w:hAnsi="Times New Roman" w:cs="Times New Roman"/>
                <w:sz w:val="28"/>
                <w:szCs w:val="28"/>
              </w:rPr>
              <w:t>5,36</w:t>
            </w:r>
          </w:p>
        </w:tc>
        <w:tc>
          <w:tcPr>
            <w:tcW w:w="2199" w:type="dxa"/>
            <w:vAlign w:val="center"/>
          </w:tcPr>
          <w:p w:rsidR="00581840" w:rsidRPr="00C67CC9" w:rsidRDefault="00581840" w:rsidP="00C67CC9">
            <w:pPr>
              <w:spacing w:line="360" w:lineRule="auto"/>
              <w:ind w:firstLine="709"/>
              <w:jc w:val="both"/>
              <w:rPr>
                <w:rFonts w:ascii="Times New Roman" w:eastAsia="Arial Unicode MS" w:hAnsi="Times New Roman" w:cs="Times New Roman"/>
                <w:sz w:val="28"/>
                <w:szCs w:val="28"/>
                <w:lang w:val="en-US"/>
              </w:rPr>
            </w:pPr>
            <w:r w:rsidRPr="00C67CC9">
              <w:rPr>
                <w:rFonts w:ascii="Times New Roman" w:eastAsia="Arial Unicode MS" w:hAnsi="Times New Roman" w:cs="Times New Roman"/>
                <w:sz w:val="28"/>
                <w:szCs w:val="28"/>
              </w:rPr>
              <w:t>30,3</w:t>
            </w:r>
            <w:r w:rsidRPr="00C67CC9">
              <w:rPr>
                <w:rFonts w:ascii="Times New Roman" w:eastAsia="Arial Unicode MS" w:hAnsi="Times New Roman" w:cs="Times New Roman"/>
                <w:sz w:val="28"/>
                <w:szCs w:val="28"/>
                <w:lang w:val="en-US"/>
              </w:rPr>
              <w:t>±</w:t>
            </w:r>
            <w:r w:rsidRPr="00C67CC9">
              <w:rPr>
                <w:rFonts w:ascii="Times New Roman" w:eastAsia="Arial Unicode MS" w:hAnsi="Times New Roman" w:cs="Times New Roman"/>
                <w:sz w:val="28"/>
                <w:szCs w:val="28"/>
              </w:rPr>
              <w:t>8,5</w:t>
            </w:r>
          </w:p>
        </w:tc>
        <w:tc>
          <w:tcPr>
            <w:tcW w:w="996" w:type="dxa"/>
            <w:shd w:val="clear" w:color="auto" w:fill="auto"/>
          </w:tcPr>
          <w:p w:rsidR="00581840" w:rsidRPr="00C67CC9" w:rsidRDefault="00581840" w:rsidP="00C67CC9">
            <w:pPr>
              <w:spacing w:line="360" w:lineRule="auto"/>
              <w:rPr>
                <w:rFonts w:ascii="Times New Roman" w:hAnsi="Times New Roman" w:cs="Times New Roman"/>
                <w:sz w:val="28"/>
                <w:szCs w:val="28"/>
              </w:rPr>
            </w:pPr>
            <w:r w:rsidRPr="00C67CC9">
              <w:rPr>
                <w:rFonts w:ascii="Times New Roman" w:hAnsi="Times New Roman" w:cs="Times New Roman"/>
                <w:sz w:val="28"/>
                <w:szCs w:val="28"/>
              </w:rPr>
              <w:t>0.056</w:t>
            </w:r>
          </w:p>
        </w:tc>
      </w:tr>
      <w:tr w:rsidR="00581840" w:rsidRPr="00C67CC9" w:rsidTr="00BB6B0E">
        <w:tc>
          <w:tcPr>
            <w:tcW w:w="2518" w:type="dxa"/>
            <w:vAlign w:val="center"/>
          </w:tcPr>
          <w:p w:rsidR="00581840" w:rsidRPr="00C67CC9" w:rsidRDefault="00581840" w:rsidP="00C67CC9">
            <w:pPr>
              <w:spacing w:line="360" w:lineRule="auto"/>
              <w:ind w:firstLine="709"/>
              <w:jc w:val="both"/>
              <w:rPr>
                <w:rFonts w:ascii="Times New Roman" w:eastAsia="Arial Unicode MS" w:hAnsi="Times New Roman" w:cs="Times New Roman"/>
                <w:sz w:val="28"/>
                <w:szCs w:val="28"/>
                <w:lang w:val="en-US"/>
              </w:rPr>
            </w:pPr>
            <w:r w:rsidRPr="00C67CC9">
              <w:rPr>
                <w:rFonts w:ascii="Times New Roman" w:eastAsia="Arial Unicode MS" w:hAnsi="Times New Roman" w:cs="Times New Roman"/>
                <w:sz w:val="28"/>
                <w:szCs w:val="28"/>
              </w:rPr>
              <w:t>Пролактин нмоль/л</w:t>
            </w:r>
          </w:p>
        </w:tc>
        <w:tc>
          <w:tcPr>
            <w:tcW w:w="2339" w:type="dxa"/>
            <w:vAlign w:val="center"/>
          </w:tcPr>
          <w:p w:rsidR="00581840" w:rsidRPr="00C67CC9" w:rsidRDefault="00581840" w:rsidP="00C67CC9">
            <w:pPr>
              <w:spacing w:line="360" w:lineRule="auto"/>
              <w:ind w:firstLine="709"/>
              <w:jc w:val="both"/>
              <w:rPr>
                <w:rFonts w:ascii="Times New Roman" w:eastAsia="Arial Unicode MS" w:hAnsi="Times New Roman" w:cs="Times New Roman"/>
                <w:sz w:val="28"/>
                <w:szCs w:val="28"/>
                <w:lang w:val="en-US"/>
              </w:rPr>
            </w:pPr>
            <w:r w:rsidRPr="00C67CC9">
              <w:rPr>
                <w:rFonts w:ascii="Times New Roman" w:eastAsia="Arial Unicode MS" w:hAnsi="Times New Roman" w:cs="Times New Roman"/>
                <w:sz w:val="28"/>
                <w:szCs w:val="28"/>
              </w:rPr>
              <w:t>299,36</w:t>
            </w:r>
            <w:r w:rsidRPr="00C67CC9">
              <w:rPr>
                <w:rFonts w:ascii="Times New Roman" w:eastAsia="Arial Unicode MS" w:hAnsi="Times New Roman" w:cs="Times New Roman"/>
                <w:sz w:val="28"/>
                <w:szCs w:val="28"/>
                <w:lang w:val="en-US"/>
              </w:rPr>
              <w:t>±</w:t>
            </w:r>
            <w:r w:rsidRPr="00C67CC9">
              <w:rPr>
                <w:rFonts w:ascii="Times New Roman" w:eastAsia="Arial Unicode MS" w:hAnsi="Times New Roman" w:cs="Times New Roman"/>
                <w:sz w:val="28"/>
                <w:szCs w:val="28"/>
              </w:rPr>
              <w:t>49,6</w:t>
            </w:r>
          </w:p>
        </w:tc>
        <w:tc>
          <w:tcPr>
            <w:tcW w:w="2199" w:type="dxa"/>
            <w:vAlign w:val="center"/>
          </w:tcPr>
          <w:p w:rsidR="00581840" w:rsidRPr="00C67CC9" w:rsidRDefault="00581840" w:rsidP="00C67CC9">
            <w:pPr>
              <w:spacing w:line="360" w:lineRule="auto"/>
              <w:ind w:firstLine="709"/>
              <w:jc w:val="both"/>
              <w:rPr>
                <w:rFonts w:ascii="Times New Roman" w:eastAsia="Arial Unicode MS" w:hAnsi="Times New Roman" w:cs="Times New Roman"/>
                <w:sz w:val="28"/>
                <w:szCs w:val="28"/>
                <w:lang w:val="en-US"/>
              </w:rPr>
            </w:pPr>
            <w:r w:rsidRPr="00C67CC9">
              <w:rPr>
                <w:rFonts w:ascii="Times New Roman" w:eastAsia="Arial Unicode MS" w:hAnsi="Times New Roman" w:cs="Times New Roman"/>
                <w:sz w:val="28"/>
                <w:szCs w:val="28"/>
              </w:rPr>
              <w:t>378,2</w:t>
            </w:r>
            <w:r w:rsidRPr="00C67CC9">
              <w:rPr>
                <w:rFonts w:ascii="Times New Roman" w:eastAsia="Arial Unicode MS" w:hAnsi="Times New Roman" w:cs="Times New Roman"/>
                <w:sz w:val="28"/>
                <w:szCs w:val="28"/>
                <w:lang w:val="en-US"/>
              </w:rPr>
              <w:t>±</w:t>
            </w:r>
            <w:r w:rsidRPr="00C67CC9">
              <w:rPr>
                <w:rFonts w:ascii="Times New Roman" w:eastAsia="Arial Unicode MS" w:hAnsi="Times New Roman" w:cs="Times New Roman"/>
                <w:sz w:val="28"/>
                <w:szCs w:val="28"/>
              </w:rPr>
              <w:t>69,5</w:t>
            </w:r>
          </w:p>
        </w:tc>
        <w:tc>
          <w:tcPr>
            <w:tcW w:w="996" w:type="dxa"/>
            <w:shd w:val="clear" w:color="auto" w:fill="auto"/>
          </w:tcPr>
          <w:p w:rsidR="00581840" w:rsidRPr="00C67CC9" w:rsidRDefault="00750F6F" w:rsidP="00C67CC9">
            <w:pPr>
              <w:spacing w:line="360" w:lineRule="auto"/>
              <w:rPr>
                <w:rFonts w:ascii="Times New Roman" w:hAnsi="Times New Roman" w:cs="Times New Roman"/>
                <w:sz w:val="28"/>
                <w:szCs w:val="28"/>
              </w:rPr>
            </w:pPr>
            <w:r w:rsidRPr="00C67CC9">
              <w:rPr>
                <w:rFonts w:ascii="Times New Roman" w:hAnsi="Times New Roman" w:cs="Times New Roman"/>
                <w:sz w:val="28"/>
                <w:szCs w:val="28"/>
              </w:rPr>
              <w:t>0,05</w:t>
            </w:r>
            <w:r w:rsidR="00581840" w:rsidRPr="00C67CC9">
              <w:rPr>
                <w:rFonts w:ascii="Times New Roman" w:hAnsi="Times New Roman" w:cs="Times New Roman"/>
                <w:sz w:val="28"/>
                <w:szCs w:val="28"/>
              </w:rPr>
              <w:t>97</w:t>
            </w:r>
          </w:p>
        </w:tc>
      </w:tr>
      <w:tr w:rsidR="00750F6F" w:rsidRPr="00C67CC9" w:rsidTr="00BB6B0E">
        <w:tc>
          <w:tcPr>
            <w:tcW w:w="2518" w:type="dxa"/>
            <w:vAlign w:val="center"/>
          </w:tcPr>
          <w:p w:rsidR="00750F6F" w:rsidRPr="00C67CC9" w:rsidRDefault="00750F6F" w:rsidP="00C67CC9">
            <w:pPr>
              <w:spacing w:line="360" w:lineRule="auto"/>
              <w:ind w:firstLine="709"/>
              <w:jc w:val="both"/>
              <w:rPr>
                <w:rFonts w:ascii="Times New Roman" w:eastAsia="Arial Unicode MS" w:hAnsi="Times New Roman" w:cs="Times New Roman"/>
                <w:sz w:val="28"/>
                <w:szCs w:val="28"/>
              </w:rPr>
            </w:pPr>
            <w:r w:rsidRPr="00C67CC9">
              <w:rPr>
                <w:rFonts w:ascii="Times New Roman" w:eastAsia="Arial Unicode MS" w:hAnsi="Times New Roman" w:cs="Times New Roman"/>
                <w:sz w:val="28"/>
                <w:szCs w:val="28"/>
              </w:rPr>
              <w:t>Тестостерон, нмоль/л</w:t>
            </w:r>
          </w:p>
        </w:tc>
        <w:tc>
          <w:tcPr>
            <w:tcW w:w="2339" w:type="dxa"/>
            <w:vAlign w:val="center"/>
          </w:tcPr>
          <w:p w:rsidR="00750F6F" w:rsidRPr="00C67CC9" w:rsidRDefault="00750F6F" w:rsidP="00C67CC9">
            <w:pPr>
              <w:spacing w:line="360" w:lineRule="auto"/>
              <w:ind w:firstLine="709"/>
              <w:jc w:val="both"/>
              <w:rPr>
                <w:rFonts w:ascii="Times New Roman" w:eastAsia="Arial Unicode MS" w:hAnsi="Times New Roman" w:cs="Times New Roman"/>
                <w:sz w:val="28"/>
                <w:szCs w:val="28"/>
              </w:rPr>
            </w:pPr>
            <w:r w:rsidRPr="00C67CC9">
              <w:rPr>
                <w:rFonts w:ascii="Times New Roman" w:eastAsia="Arial Unicode MS" w:hAnsi="Times New Roman" w:cs="Times New Roman"/>
                <w:sz w:val="28"/>
                <w:szCs w:val="28"/>
              </w:rPr>
              <w:t>2,14±0,7</w:t>
            </w:r>
          </w:p>
        </w:tc>
        <w:tc>
          <w:tcPr>
            <w:tcW w:w="2199" w:type="dxa"/>
            <w:vAlign w:val="center"/>
          </w:tcPr>
          <w:p w:rsidR="00750F6F" w:rsidRPr="00C67CC9" w:rsidRDefault="00750F6F" w:rsidP="00C67CC9">
            <w:pPr>
              <w:spacing w:line="360" w:lineRule="auto"/>
              <w:ind w:firstLine="709"/>
              <w:jc w:val="both"/>
              <w:rPr>
                <w:rFonts w:ascii="Times New Roman" w:eastAsia="Arial Unicode MS" w:hAnsi="Times New Roman" w:cs="Times New Roman"/>
                <w:sz w:val="28"/>
                <w:szCs w:val="28"/>
              </w:rPr>
            </w:pPr>
            <w:r w:rsidRPr="00C67CC9">
              <w:rPr>
                <w:rFonts w:ascii="Times New Roman" w:eastAsia="Arial Unicode MS" w:hAnsi="Times New Roman" w:cs="Times New Roman"/>
                <w:sz w:val="28"/>
                <w:szCs w:val="28"/>
              </w:rPr>
              <w:t>4,75±2,1</w:t>
            </w:r>
          </w:p>
        </w:tc>
        <w:tc>
          <w:tcPr>
            <w:tcW w:w="996" w:type="dxa"/>
            <w:shd w:val="clear" w:color="auto" w:fill="auto"/>
          </w:tcPr>
          <w:p w:rsidR="00750F6F" w:rsidRPr="00C67CC9" w:rsidRDefault="00750F6F" w:rsidP="00C67CC9">
            <w:pPr>
              <w:spacing w:line="360" w:lineRule="auto"/>
              <w:rPr>
                <w:rFonts w:ascii="Times New Roman" w:hAnsi="Times New Roman" w:cs="Times New Roman"/>
                <w:sz w:val="28"/>
                <w:szCs w:val="28"/>
              </w:rPr>
            </w:pPr>
            <w:r w:rsidRPr="00C67CC9">
              <w:rPr>
                <w:rFonts w:ascii="Times New Roman" w:hAnsi="Times New Roman" w:cs="Times New Roman"/>
                <w:sz w:val="28"/>
                <w:szCs w:val="28"/>
              </w:rPr>
              <w:t>0.034</w:t>
            </w:r>
          </w:p>
        </w:tc>
      </w:tr>
    </w:tbl>
    <w:p w:rsidR="003B287C" w:rsidRPr="00C67CC9" w:rsidRDefault="003B287C" w:rsidP="00BB6B0E">
      <w:pPr>
        <w:spacing w:line="360" w:lineRule="auto"/>
        <w:jc w:val="both"/>
        <w:rPr>
          <w:rFonts w:ascii="Times New Roman" w:hAnsi="Times New Roman" w:cs="Times New Roman"/>
          <w:sz w:val="28"/>
          <w:szCs w:val="28"/>
          <w:lang w:val="ru-RU"/>
        </w:rPr>
      </w:pPr>
    </w:p>
    <w:p w:rsidR="00CC532B" w:rsidRPr="00C67CC9" w:rsidRDefault="00A4296C" w:rsidP="00BB6B0E">
      <w:pPr>
        <w:spacing w:line="360" w:lineRule="auto"/>
        <w:jc w:val="both"/>
        <w:rPr>
          <w:rFonts w:ascii="Times New Roman" w:hAnsi="Times New Roman" w:cs="Times New Roman"/>
          <w:b/>
          <w:sz w:val="28"/>
          <w:szCs w:val="28"/>
          <w:lang w:val="ru-RU"/>
        </w:rPr>
      </w:pPr>
      <w:r w:rsidRPr="00C67CC9">
        <w:rPr>
          <w:rFonts w:ascii="Times New Roman" w:hAnsi="Times New Roman" w:cs="Times New Roman"/>
          <w:b/>
          <w:sz w:val="28"/>
          <w:szCs w:val="28"/>
          <w:lang w:val="ru-RU"/>
        </w:rPr>
        <w:t>2.2.1.</w:t>
      </w:r>
      <w:r w:rsidR="00CC532B" w:rsidRPr="00C67CC9">
        <w:rPr>
          <w:rFonts w:ascii="Times New Roman" w:hAnsi="Times New Roman" w:cs="Times New Roman"/>
          <w:b/>
          <w:sz w:val="28"/>
          <w:szCs w:val="28"/>
          <w:lang w:val="ru-RU"/>
        </w:rPr>
        <w:t>Оценка показателей ЭКО</w:t>
      </w:r>
      <w:r w:rsidRPr="00C67CC9">
        <w:rPr>
          <w:rFonts w:ascii="Times New Roman" w:hAnsi="Times New Roman" w:cs="Times New Roman"/>
          <w:b/>
          <w:sz w:val="28"/>
          <w:szCs w:val="28"/>
          <w:lang w:val="ru-RU"/>
        </w:rPr>
        <w:t xml:space="preserve"> у женщин с СПКЯ в двух группах</w:t>
      </w:r>
      <w:r w:rsidR="00CC532B" w:rsidRPr="00C67CC9">
        <w:rPr>
          <w:rFonts w:ascii="Times New Roman" w:hAnsi="Times New Roman" w:cs="Times New Roman"/>
          <w:b/>
          <w:sz w:val="28"/>
          <w:szCs w:val="28"/>
          <w:lang w:val="ru-RU"/>
        </w:rPr>
        <w:t>.</w:t>
      </w:r>
    </w:p>
    <w:p w:rsidR="00A8665B" w:rsidRPr="00C67CC9" w:rsidRDefault="00A8665B"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При изучени</w:t>
      </w:r>
      <w:r>
        <w:rPr>
          <w:rFonts w:ascii="Times New Roman" w:hAnsi="Times New Roman" w:cs="Times New Roman"/>
          <w:sz w:val="28"/>
          <w:szCs w:val="28"/>
          <w:lang w:val="ru-RU"/>
        </w:rPr>
        <w:t>и</w:t>
      </w:r>
      <w:r w:rsidRPr="00C67CC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основных параметров </w:t>
      </w:r>
      <w:r w:rsidRPr="00C67CC9">
        <w:rPr>
          <w:rFonts w:ascii="Times New Roman" w:hAnsi="Times New Roman" w:cs="Times New Roman"/>
          <w:sz w:val="28"/>
          <w:szCs w:val="28"/>
          <w:lang w:val="ru-RU"/>
        </w:rPr>
        <w:t xml:space="preserve">процедуры ЭКО  </w:t>
      </w:r>
      <w:r>
        <w:rPr>
          <w:rFonts w:ascii="Times New Roman" w:hAnsi="Times New Roman" w:cs="Times New Roman"/>
          <w:sz w:val="28"/>
          <w:szCs w:val="28"/>
          <w:lang w:val="ru-RU"/>
        </w:rPr>
        <w:t xml:space="preserve">были </w:t>
      </w:r>
      <w:r w:rsidRPr="00C67CC9">
        <w:rPr>
          <w:rFonts w:ascii="Times New Roman" w:hAnsi="Times New Roman" w:cs="Times New Roman"/>
          <w:sz w:val="28"/>
          <w:szCs w:val="28"/>
          <w:lang w:val="ru-RU"/>
        </w:rPr>
        <w:t xml:space="preserve"> получ</w:t>
      </w:r>
      <w:r>
        <w:rPr>
          <w:rFonts w:ascii="Times New Roman" w:hAnsi="Times New Roman" w:cs="Times New Roman"/>
          <w:sz w:val="28"/>
          <w:szCs w:val="28"/>
          <w:lang w:val="ru-RU"/>
        </w:rPr>
        <w:t>ены</w:t>
      </w:r>
      <w:r w:rsidRPr="00C67CC9">
        <w:rPr>
          <w:rFonts w:ascii="Times New Roman" w:hAnsi="Times New Roman" w:cs="Times New Roman"/>
          <w:sz w:val="28"/>
          <w:szCs w:val="28"/>
          <w:lang w:val="ru-RU"/>
        </w:rPr>
        <w:t xml:space="preserve"> следующие </w:t>
      </w:r>
      <w:r>
        <w:rPr>
          <w:rFonts w:ascii="Times New Roman" w:hAnsi="Times New Roman" w:cs="Times New Roman"/>
          <w:sz w:val="28"/>
          <w:szCs w:val="28"/>
          <w:lang w:val="ru-RU"/>
        </w:rPr>
        <w:t>результаты</w:t>
      </w:r>
      <w:r w:rsidRPr="00C67CC9">
        <w:rPr>
          <w:rFonts w:ascii="Times New Roman" w:hAnsi="Times New Roman" w:cs="Times New Roman"/>
          <w:sz w:val="28"/>
          <w:szCs w:val="28"/>
          <w:lang w:val="ru-RU"/>
        </w:rPr>
        <w:t>:</w:t>
      </w:r>
    </w:p>
    <w:p w:rsidR="003B287C" w:rsidRPr="00C67CC9" w:rsidRDefault="003B287C"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Таблица 3. </w:t>
      </w:r>
      <w:r w:rsidR="00296CF9" w:rsidRPr="00C67CC9">
        <w:rPr>
          <w:rFonts w:ascii="Times New Roman" w:hAnsi="Times New Roman" w:cs="Times New Roman"/>
          <w:sz w:val="28"/>
          <w:szCs w:val="28"/>
          <w:lang w:val="ru-RU"/>
        </w:rPr>
        <w:t xml:space="preserve">Сравнение </w:t>
      </w:r>
      <w:r w:rsidR="00296CF9">
        <w:rPr>
          <w:rFonts w:ascii="Times New Roman" w:hAnsi="Times New Roman" w:cs="Times New Roman"/>
          <w:sz w:val="28"/>
          <w:szCs w:val="28"/>
          <w:lang w:val="ru-RU"/>
        </w:rPr>
        <w:t xml:space="preserve">основных </w:t>
      </w:r>
      <w:r w:rsidR="00296CF9" w:rsidRPr="00C67CC9">
        <w:rPr>
          <w:rFonts w:ascii="Times New Roman" w:hAnsi="Times New Roman" w:cs="Times New Roman"/>
          <w:sz w:val="28"/>
          <w:szCs w:val="28"/>
          <w:lang w:val="ru-RU"/>
        </w:rPr>
        <w:t xml:space="preserve">параметров процедуры ЭКО </w:t>
      </w:r>
      <w:r w:rsidR="00296CF9">
        <w:rPr>
          <w:rFonts w:ascii="Times New Roman" w:hAnsi="Times New Roman" w:cs="Times New Roman"/>
          <w:sz w:val="28"/>
          <w:szCs w:val="28"/>
          <w:lang w:val="ru-RU"/>
        </w:rPr>
        <w:t>в группах больных с хирургическим лечением C</w:t>
      </w:r>
      <w:r w:rsidR="00296CF9" w:rsidRPr="00D228A5">
        <w:rPr>
          <w:rFonts w:ascii="Times New Roman" w:hAnsi="Times New Roman" w:cs="Times New Roman"/>
          <w:sz w:val="28"/>
          <w:szCs w:val="28"/>
          <w:lang w:val="ru-RU"/>
        </w:rPr>
        <w:t>ПКЯ</w:t>
      </w:r>
      <w:r w:rsidR="00296CF9">
        <w:rPr>
          <w:rFonts w:ascii="Times New Roman" w:hAnsi="Times New Roman" w:cs="Times New Roman"/>
          <w:sz w:val="28"/>
          <w:szCs w:val="28"/>
          <w:lang w:val="ru-RU"/>
        </w:rPr>
        <w:t xml:space="preserve"> в анамнезе (группа1) и без операции на яичниках (группа2)</w:t>
      </w:r>
      <w:r w:rsidR="00296CF9" w:rsidRPr="00C67CC9">
        <w:rPr>
          <w:rFonts w:ascii="Times New Roman" w:hAnsi="Times New Roman" w:cs="Times New Roman"/>
          <w:sz w:val="28"/>
          <w:szCs w:val="28"/>
          <w:lang w:val="ru-RU"/>
        </w:rPr>
        <w:t xml:space="preserve">. </w:t>
      </w:r>
    </w:p>
    <w:tbl>
      <w:tblPr>
        <w:tblStyle w:val="TableGrid"/>
        <w:tblW w:w="7089" w:type="dxa"/>
        <w:tblInd w:w="108" w:type="dxa"/>
        <w:tblLook w:val="04A0" w:firstRow="1" w:lastRow="0" w:firstColumn="1" w:lastColumn="0" w:noHBand="0" w:noVBand="1"/>
      </w:tblPr>
      <w:tblGrid>
        <w:gridCol w:w="2545"/>
        <w:gridCol w:w="1700"/>
        <w:gridCol w:w="1700"/>
        <w:gridCol w:w="1144"/>
      </w:tblGrid>
      <w:tr w:rsidR="00B405F7" w:rsidRPr="00C67CC9" w:rsidTr="00BB6B0E">
        <w:tc>
          <w:tcPr>
            <w:tcW w:w="2545" w:type="dxa"/>
          </w:tcPr>
          <w:p w:rsidR="00B405F7" w:rsidRPr="00C67CC9" w:rsidRDefault="00B405F7" w:rsidP="00C67CC9">
            <w:pPr>
              <w:spacing w:line="360" w:lineRule="auto"/>
              <w:jc w:val="both"/>
              <w:rPr>
                <w:rFonts w:ascii="Times New Roman" w:hAnsi="Times New Roman" w:cs="Times New Roman"/>
                <w:sz w:val="28"/>
                <w:szCs w:val="28"/>
              </w:rPr>
            </w:pPr>
          </w:p>
        </w:tc>
        <w:tc>
          <w:tcPr>
            <w:tcW w:w="1700" w:type="dxa"/>
          </w:tcPr>
          <w:p w:rsidR="00B405F7" w:rsidRPr="00C67CC9" w:rsidRDefault="00B405F7" w:rsidP="00C67CC9">
            <w:pPr>
              <w:spacing w:line="360" w:lineRule="auto"/>
              <w:jc w:val="center"/>
              <w:rPr>
                <w:rFonts w:ascii="Times New Roman" w:hAnsi="Times New Roman" w:cs="Times New Roman"/>
                <w:sz w:val="28"/>
                <w:szCs w:val="28"/>
              </w:rPr>
            </w:pPr>
            <w:r w:rsidRPr="00C67CC9">
              <w:rPr>
                <w:rFonts w:ascii="Times New Roman" w:hAnsi="Times New Roman" w:cs="Times New Roman"/>
                <w:sz w:val="28"/>
                <w:szCs w:val="28"/>
              </w:rPr>
              <w:t>1 группа</w:t>
            </w:r>
          </w:p>
          <w:p w:rsidR="00B405F7" w:rsidRPr="00C67CC9" w:rsidRDefault="00B405F7" w:rsidP="00C67CC9">
            <w:pPr>
              <w:spacing w:line="360" w:lineRule="auto"/>
              <w:jc w:val="center"/>
              <w:rPr>
                <w:rFonts w:ascii="Times New Roman" w:hAnsi="Times New Roman" w:cs="Times New Roman"/>
                <w:sz w:val="28"/>
                <w:szCs w:val="28"/>
                <w:lang w:val="en-US"/>
              </w:rPr>
            </w:pPr>
            <w:r w:rsidRPr="00C67CC9">
              <w:rPr>
                <w:rFonts w:ascii="Times New Roman" w:hAnsi="Times New Roman" w:cs="Times New Roman"/>
                <w:sz w:val="28"/>
                <w:szCs w:val="28"/>
              </w:rPr>
              <w:t>(</w:t>
            </w:r>
            <w:r w:rsidRPr="00C67CC9">
              <w:rPr>
                <w:rFonts w:ascii="Times New Roman" w:hAnsi="Times New Roman" w:cs="Times New Roman"/>
                <w:sz w:val="28"/>
                <w:szCs w:val="28"/>
                <w:lang w:val="en-US"/>
              </w:rPr>
              <w:t>n=3</w:t>
            </w:r>
            <w:r w:rsidRPr="00C67CC9">
              <w:rPr>
                <w:rFonts w:ascii="Times New Roman" w:hAnsi="Times New Roman" w:cs="Times New Roman"/>
                <w:sz w:val="28"/>
                <w:szCs w:val="28"/>
              </w:rPr>
              <w:t>8</w:t>
            </w:r>
            <w:r w:rsidRPr="00C67CC9">
              <w:rPr>
                <w:rFonts w:ascii="Times New Roman" w:hAnsi="Times New Roman" w:cs="Times New Roman"/>
                <w:sz w:val="28"/>
                <w:szCs w:val="28"/>
                <w:lang w:val="en-US"/>
              </w:rPr>
              <w:t>)</w:t>
            </w:r>
          </w:p>
        </w:tc>
        <w:tc>
          <w:tcPr>
            <w:tcW w:w="1700" w:type="dxa"/>
          </w:tcPr>
          <w:p w:rsidR="00B405F7" w:rsidRPr="00C67CC9" w:rsidRDefault="00B405F7" w:rsidP="00C67CC9">
            <w:pPr>
              <w:spacing w:line="360" w:lineRule="auto"/>
              <w:jc w:val="center"/>
              <w:rPr>
                <w:rFonts w:ascii="Times New Roman" w:hAnsi="Times New Roman" w:cs="Times New Roman"/>
                <w:sz w:val="28"/>
                <w:szCs w:val="28"/>
              </w:rPr>
            </w:pPr>
            <w:r w:rsidRPr="00C67CC9">
              <w:rPr>
                <w:rFonts w:ascii="Times New Roman" w:hAnsi="Times New Roman" w:cs="Times New Roman"/>
                <w:sz w:val="28"/>
                <w:szCs w:val="28"/>
              </w:rPr>
              <w:t>2 группа</w:t>
            </w:r>
          </w:p>
          <w:p w:rsidR="00B405F7" w:rsidRPr="00C67CC9" w:rsidRDefault="00B405F7" w:rsidP="00C67CC9">
            <w:pPr>
              <w:spacing w:line="360" w:lineRule="auto"/>
              <w:jc w:val="center"/>
              <w:rPr>
                <w:rFonts w:ascii="Times New Roman" w:hAnsi="Times New Roman" w:cs="Times New Roman"/>
                <w:sz w:val="28"/>
                <w:szCs w:val="28"/>
              </w:rPr>
            </w:pPr>
            <w:r w:rsidRPr="00C67CC9">
              <w:rPr>
                <w:rFonts w:ascii="Times New Roman" w:hAnsi="Times New Roman" w:cs="Times New Roman"/>
                <w:sz w:val="28"/>
                <w:szCs w:val="28"/>
              </w:rPr>
              <w:t>(</w:t>
            </w:r>
            <w:r w:rsidRPr="00C67CC9">
              <w:rPr>
                <w:rFonts w:ascii="Times New Roman" w:hAnsi="Times New Roman" w:cs="Times New Roman"/>
                <w:sz w:val="28"/>
                <w:szCs w:val="28"/>
                <w:lang w:val="en-US"/>
              </w:rPr>
              <w:t>n=</w:t>
            </w:r>
            <w:r w:rsidRPr="00C67CC9">
              <w:rPr>
                <w:rFonts w:ascii="Times New Roman" w:hAnsi="Times New Roman" w:cs="Times New Roman"/>
                <w:sz w:val="28"/>
                <w:szCs w:val="28"/>
              </w:rPr>
              <w:t>27</w:t>
            </w:r>
            <w:r w:rsidRPr="00C67CC9">
              <w:rPr>
                <w:rFonts w:ascii="Times New Roman" w:hAnsi="Times New Roman" w:cs="Times New Roman"/>
                <w:sz w:val="28"/>
                <w:szCs w:val="28"/>
                <w:lang w:val="en-US"/>
              </w:rPr>
              <w:t>)</w:t>
            </w:r>
          </w:p>
        </w:tc>
        <w:tc>
          <w:tcPr>
            <w:tcW w:w="1144" w:type="dxa"/>
            <w:shd w:val="clear" w:color="auto" w:fill="auto"/>
          </w:tcPr>
          <w:p w:rsidR="00B405F7" w:rsidRPr="00C67CC9" w:rsidRDefault="00B405F7" w:rsidP="00C67CC9">
            <w:pPr>
              <w:spacing w:line="360" w:lineRule="auto"/>
              <w:jc w:val="center"/>
              <w:rPr>
                <w:rFonts w:ascii="Times New Roman" w:hAnsi="Times New Roman" w:cs="Times New Roman"/>
                <w:sz w:val="28"/>
                <w:szCs w:val="28"/>
              </w:rPr>
            </w:pPr>
            <w:r w:rsidRPr="00C67CC9">
              <w:rPr>
                <w:rFonts w:ascii="Times New Roman" w:hAnsi="Times New Roman" w:cs="Times New Roman"/>
                <w:sz w:val="28"/>
                <w:szCs w:val="28"/>
              </w:rPr>
              <w:t>Р</w:t>
            </w:r>
          </w:p>
        </w:tc>
      </w:tr>
      <w:tr w:rsidR="008603CC" w:rsidRPr="00C67CC9" w:rsidTr="00BB6B0E">
        <w:tc>
          <w:tcPr>
            <w:tcW w:w="2545" w:type="dxa"/>
          </w:tcPr>
          <w:p w:rsidR="00B405F7" w:rsidRPr="00C67CC9" w:rsidRDefault="00B405F7" w:rsidP="00C67CC9">
            <w:pPr>
              <w:spacing w:line="360" w:lineRule="auto"/>
              <w:rPr>
                <w:rFonts w:ascii="Times New Roman" w:hAnsi="Times New Roman" w:cs="Times New Roman"/>
                <w:sz w:val="28"/>
                <w:szCs w:val="28"/>
              </w:rPr>
            </w:pPr>
            <w:r w:rsidRPr="00C67CC9">
              <w:rPr>
                <w:rFonts w:ascii="Times New Roman" w:hAnsi="Times New Roman" w:cs="Times New Roman"/>
                <w:sz w:val="28"/>
                <w:szCs w:val="28"/>
              </w:rPr>
              <w:t>Суммарная доза гонадотропинов, МЕ</w:t>
            </w:r>
          </w:p>
        </w:tc>
        <w:tc>
          <w:tcPr>
            <w:tcW w:w="1700" w:type="dxa"/>
            <w:vAlign w:val="center"/>
          </w:tcPr>
          <w:p w:rsidR="00B405F7" w:rsidRPr="00C67CC9" w:rsidRDefault="00B405F7" w:rsidP="00C67CC9">
            <w:pPr>
              <w:pStyle w:val="NormalWeb"/>
              <w:spacing w:before="0" w:beforeAutospacing="0" w:after="160" w:afterAutospacing="0" w:line="360" w:lineRule="auto"/>
              <w:rPr>
                <w:sz w:val="28"/>
                <w:szCs w:val="28"/>
              </w:rPr>
            </w:pPr>
            <w:r w:rsidRPr="00C67CC9">
              <w:rPr>
                <w:rFonts w:eastAsia="Calibri"/>
                <w:bCs/>
                <w:kern w:val="24"/>
                <w:sz w:val="28"/>
                <w:szCs w:val="28"/>
              </w:rPr>
              <w:t>2268±148,18</w:t>
            </w:r>
          </w:p>
        </w:tc>
        <w:tc>
          <w:tcPr>
            <w:tcW w:w="1700" w:type="dxa"/>
            <w:vAlign w:val="center"/>
          </w:tcPr>
          <w:p w:rsidR="00B405F7" w:rsidRPr="00C67CC9" w:rsidRDefault="00B405F7" w:rsidP="00C67CC9">
            <w:pPr>
              <w:pStyle w:val="NormalWeb"/>
              <w:spacing w:before="0" w:beforeAutospacing="0" w:after="160" w:afterAutospacing="0" w:line="360" w:lineRule="auto"/>
              <w:rPr>
                <w:sz w:val="28"/>
                <w:szCs w:val="28"/>
              </w:rPr>
            </w:pPr>
            <w:r w:rsidRPr="00C67CC9">
              <w:rPr>
                <w:rFonts w:eastAsia="Calibri"/>
                <w:bCs/>
                <w:kern w:val="24"/>
                <w:sz w:val="28"/>
                <w:szCs w:val="28"/>
              </w:rPr>
              <w:t>1308±102,12</w:t>
            </w:r>
          </w:p>
        </w:tc>
        <w:tc>
          <w:tcPr>
            <w:tcW w:w="1144" w:type="dxa"/>
            <w:shd w:val="clear" w:color="auto" w:fill="auto"/>
          </w:tcPr>
          <w:p w:rsidR="00B405F7" w:rsidRPr="00C67CC9" w:rsidRDefault="00B405F7" w:rsidP="00C67CC9">
            <w:pPr>
              <w:spacing w:line="360" w:lineRule="auto"/>
              <w:rPr>
                <w:rFonts w:ascii="Times New Roman" w:hAnsi="Times New Roman" w:cs="Times New Roman"/>
                <w:sz w:val="28"/>
                <w:szCs w:val="28"/>
              </w:rPr>
            </w:pPr>
            <w:r w:rsidRPr="00C67CC9">
              <w:rPr>
                <w:rFonts w:ascii="Times New Roman" w:hAnsi="Times New Roman" w:cs="Times New Roman"/>
                <w:sz w:val="28"/>
                <w:szCs w:val="28"/>
              </w:rPr>
              <w:t>0,00</w:t>
            </w:r>
            <w:r w:rsidR="00285A04">
              <w:rPr>
                <w:rFonts w:ascii="Times New Roman" w:hAnsi="Times New Roman" w:cs="Times New Roman"/>
                <w:sz w:val="28"/>
                <w:szCs w:val="28"/>
              </w:rPr>
              <w:t>2</w:t>
            </w:r>
            <w:r w:rsidRPr="00C67CC9">
              <w:rPr>
                <w:rFonts w:ascii="Times New Roman" w:hAnsi="Times New Roman" w:cs="Times New Roman"/>
                <w:sz w:val="28"/>
                <w:szCs w:val="28"/>
              </w:rPr>
              <w:t>1</w:t>
            </w:r>
          </w:p>
        </w:tc>
      </w:tr>
      <w:tr w:rsidR="008603CC" w:rsidRPr="00C67CC9" w:rsidTr="00BB6B0E">
        <w:tc>
          <w:tcPr>
            <w:tcW w:w="2545" w:type="dxa"/>
          </w:tcPr>
          <w:p w:rsidR="00B405F7" w:rsidRPr="00C67CC9" w:rsidRDefault="00B405F7" w:rsidP="00C67CC9">
            <w:pPr>
              <w:spacing w:line="360" w:lineRule="auto"/>
              <w:rPr>
                <w:rFonts w:ascii="Times New Roman" w:hAnsi="Times New Roman" w:cs="Times New Roman"/>
                <w:sz w:val="28"/>
                <w:szCs w:val="28"/>
              </w:rPr>
            </w:pPr>
            <w:r w:rsidRPr="00C67CC9">
              <w:rPr>
                <w:rFonts w:ascii="Times New Roman" w:hAnsi="Times New Roman" w:cs="Times New Roman"/>
                <w:sz w:val="28"/>
                <w:szCs w:val="28"/>
              </w:rPr>
              <w:t>Количество полученных фолликулов</w:t>
            </w:r>
          </w:p>
        </w:tc>
        <w:tc>
          <w:tcPr>
            <w:tcW w:w="1700" w:type="dxa"/>
            <w:vAlign w:val="center"/>
          </w:tcPr>
          <w:p w:rsidR="00B405F7" w:rsidRPr="00C67CC9" w:rsidRDefault="00B405F7" w:rsidP="00C67CC9">
            <w:pPr>
              <w:pStyle w:val="NormalWeb"/>
              <w:spacing w:before="0" w:beforeAutospacing="0" w:after="160" w:afterAutospacing="0" w:line="360" w:lineRule="auto"/>
              <w:rPr>
                <w:sz w:val="28"/>
                <w:szCs w:val="28"/>
              </w:rPr>
            </w:pPr>
            <w:r w:rsidRPr="00C67CC9">
              <w:rPr>
                <w:rFonts w:eastAsia="Calibri"/>
                <w:bCs/>
                <w:kern w:val="24"/>
                <w:sz w:val="28"/>
                <w:szCs w:val="28"/>
              </w:rPr>
              <w:t>11,2±1,11</w:t>
            </w:r>
          </w:p>
        </w:tc>
        <w:tc>
          <w:tcPr>
            <w:tcW w:w="1700" w:type="dxa"/>
            <w:vAlign w:val="center"/>
          </w:tcPr>
          <w:p w:rsidR="00B405F7" w:rsidRPr="00C67CC9" w:rsidRDefault="00B405F7" w:rsidP="00C67CC9">
            <w:pPr>
              <w:pStyle w:val="NormalWeb"/>
              <w:spacing w:before="0" w:beforeAutospacing="0" w:after="160" w:afterAutospacing="0" w:line="360" w:lineRule="auto"/>
              <w:rPr>
                <w:sz w:val="28"/>
                <w:szCs w:val="28"/>
              </w:rPr>
            </w:pPr>
            <w:r w:rsidRPr="00C67CC9">
              <w:rPr>
                <w:rFonts w:eastAsia="Calibri"/>
                <w:bCs/>
                <w:kern w:val="24"/>
                <w:sz w:val="28"/>
                <w:szCs w:val="28"/>
              </w:rPr>
              <w:t>18,1±1,12</w:t>
            </w:r>
          </w:p>
        </w:tc>
        <w:tc>
          <w:tcPr>
            <w:tcW w:w="1144" w:type="dxa"/>
            <w:shd w:val="clear" w:color="auto" w:fill="auto"/>
          </w:tcPr>
          <w:p w:rsidR="00B405F7" w:rsidRPr="00C67CC9" w:rsidRDefault="00B405F7" w:rsidP="00C67CC9">
            <w:pPr>
              <w:spacing w:line="360" w:lineRule="auto"/>
              <w:rPr>
                <w:rFonts w:ascii="Times New Roman" w:hAnsi="Times New Roman" w:cs="Times New Roman"/>
                <w:sz w:val="28"/>
                <w:szCs w:val="28"/>
              </w:rPr>
            </w:pPr>
            <w:r w:rsidRPr="00C67CC9">
              <w:rPr>
                <w:rFonts w:ascii="Times New Roman" w:hAnsi="Times New Roman" w:cs="Times New Roman"/>
                <w:sz w:val="28"/>
                <w:szCs w:val="28"/>
              </w:rPr>
              <w:t>0,001</w:t>
            </w:r>
            <w:r w:rsidR="00285A04">
              <w:rPr>
                <w:rFonts w:ascii="Times New Roman" w:hAnsi="Times New Roman" w:cs="Times New Roman"/>
                <w:sz w:val="28"/>
                <w:szCs w:val="28"/>
              </w:rPr>
              <w:t>3</w:t>
            </w:r>
          </w:p>
        </w:tc>
      </w:tr>
      <w:tr w:rsidR="008603CC" w:rsidRPr="00C67CC9" w:rsidTr="00BB6B0E">
        <w:tc>
          <w:tcPr>
            <w:tcW w:w="2545" w:type="dxa"/>
          </w:tcPr>
          <w:p w:rsidR="00B405F7" w:rsidRPr="00C67CC9" w:rsidRDefault="00B405F7" w:rsidP="00C67CC9">
            <w:pPr>
              <w:spacing w:line="360" w:lineRule="auto"/>
              <w:rPr>
                <w:rFonts w:ascii="Times New Roman" w:hAnsi="Times New Roman" w:cs="Times New Roman"/>
                <w:sz w:val="28"/>
                <w:szCs w:val="28"/>
              </w:rPr>
            </w:pPr>
            <w:r w:rsidRPr="00C67CC9">
              <w:rPr>
                <w:rFonts w:ascii="Times New Roman" w:hAnsi="Times New Roman" w:cs="Times New Roman"/>
                <w:sz w:val="28"/>
                <w:szCs w:val="28"/>
              </w:rPr>
              <w:t>Количество переносимых эмбрионов</w:t>
            </w:r>
          </w:p>
        </w:tc>
        <w:tc>
          <w:tcPr>
            <w:tcW w:w="1700" w:type="dxa"/>
          </w:tcPr>
          <w:p w:rsidR="00B405F7" w:rsidRPr="00C67CC9" w:rsidRDefault="00B405F7" w:rsidP="00C67CC9">
            <w:pPr>
              <w:spacing w:line="360" w:lineRule="auto"/>
              <w:jc w:val="center"/>
              <w:rPr>
                <w:rFonts w:ascii="Times New Roman" w:hAnsi="Times New Roman" w:cs="Times New Roman"/>
                <w:sz w:val="28"/>
                <w:szCs w:val="28"/>
              </w:rPr>
            </w:pPr>
            <w:r w:rsidRPr="00C67CC9">
              <w:rPr>
                <w:rFonts w:ascii="Times New Roman" w:hAnsi="Times New Roman" w:cs="Times New Roman"/>
                <w:sz w:val="28"/>
                <w:szCs w:val="28"/>
              </w:rPr>
              <w:t>1,94 (</w:t>
            </w:r>
            <m:oMath>
              <m:r>
                <w:rPr>
                  <w:rFonts w:ascii="Cambria Math" w:hAnsi="Cambria Math" w:cs="Times New Roman"/>
                  <w:sz w:val="28"/>
                  <w:szCs w:val="28"/>
                </w:rPr>
                <m:t>±</m:t>
              </m:r>
            </m:oMath>
            <w:r w:rsidRPr="00C67CC9">
              <w:rPr>
                <w:rFonts w:ascii="Times New Roman" w:hAnsi="Times New Roman" w:cs="Times New Roman"/>
                <w:sz w:val="28"/>
                <w:szCs w:val="28"/>
              </w:rPr>
              <w:t>1,06)</w:t>
            </w:r>
          </w:p>
        </w:tc>
        <w:tc>
          <w:tcPr>
            <w:tcW w:w="1700" w:type="dxa"/>
          </w:tcPr>
          <w:p w:rsidR="00B405F7" w:rsidRPr="00C67CC9" w:rsidRDefault="00B405F7" w:rsidP="00C67CC9">
            <w:pPr>
              <w:spacing w:line="360" w:lineRule="auto"/>
              <w:jc w:val="center"/>
              <w:rPr>
                <w:rFonts w:ascii="Times New Roman" w:hAnsi="Times New Roman" w:cs="Times New Roman"/>
                <w:sz w:val="28"/>
                <w:szCs w:val="28"/>
              </w:rPr>
            </w:pPr>
            <w:r w:rsidRPr="00C67CC9">
              <w:rPr>
                <w:rFonts w:ascii="Times New Roman" w:hAnsi="Times New Roman" w:cs="Times New Roman"/>
                <w:sz w:val="28"/>
                <w:szCs w:val="28"/>
              </w:rPr>
              <w:t>1,61 (</w:t>
            </w:r>
            <m:oMath>
              <m:r>
                <w:rPr>
                  <w:rFonts w:ascii="Cambria Math" w:hAnsi="Cambria Math" w:cs="Times New Roman"/>
                  <w:sz w:val="28"/>
                  <w:szCs w:val="28"/>
                </w:rPr>
                <m:t>±</m:t>
              </m:r>
            </m:oMath>
            <w:r w:rsidRPr="00C67CC9">
              <w:rPr>
                <w:rFonts w:ascii="Times New Roman" w:hAnsi="Times New Roman" w:cs="Times New Roman"/>
                <w:sz w:val="28"/>
                <w:szCs w:val="28"/>
              </w:rPr>
              <w:t>0,67)</w:t>
            </w:r>
          </w:p>
        </w:tc>
        <w:tc>
          <w:tcPr>
            <w:tcW w:w="1144" w:type="dxa"/>
            <w:shd w:val="clear" w:color="auto" w:fill="auto"/>
          </w:tcPr>
          <w:p w:rsidR="00B405F7" w:rsidRPr="00C67CC9" w:rsidRDefault="00B405F7" w:rsidP="00C67CC9">
            <w:pPr>
              <w:spacing w:line="360" w:lineRule="auto"/>
              <w:rPr>
                <w:rFonts w:ascii="Times New Roman" w:hAnsi="Times New Roman" w:cs="Times New Roman"/>
                <w:sz w:val="28"/>
                <w:szCs w:val="28"/>
              </w:rPr>
            </w:pPr>
            <w:r w:rsidRPr="00C67CC9">
              <w:rPr>
                <w:rFonts w:ascii="Times New Roman" w:hAnsi="Times New Roman" w:cs="Times New Roman"/>
                <w:sz w:val="28"/>
                <w:szCs w:val="28"/>
              </w:rPr>
              <w:t>0,646</w:t>
            </w:r>
          </w:p>
        </w:tc>
      </w:tr>
    </w:tbl>
    <w:p w:rsidR="003B287C" w:rsidRPr="00C67CC9" w:rsidRDefault="003B287C" w:rsidP="00BB6B0E">
      <w:pPr>
        <w:spacing w:line="360" w:lineRule="auto"/>
        <w:jc w:val="both"/>
        <w:rPr>
          <w:rFonts w:ascii="Times New Roman" w:hAnsi="Times New Roman" w:cs="Times New Roman"/>
          <w:sz w:val="28"/>
          <w:szCs w:val="28"/>
        </w:rPr>
      </w:pPr>
    </w:p>
    <w:p w:rsidR="00AA490B" w:rsidRPr="00AA490B" w:rsidRDefault="003B287C" w:rsidP="00BB6B0E">
      <w:pPr>
        <w:spacing w:line="360" w:lineRule="auto"/>
        <w:ind w:firstLine="709"/>
        <w:jc w:val="both"/>
        <w:rPr>
          <w:rFonts w:ascii="Times New Roman" w:hAnsi="Times New Roman" w:cs="Times New Roman"/>
          <w:noProof/>
          <w:sz w:val="28"/>
          <w:szCs w:val="28"/>
          <w:lang w:val="ru-RU"/>
        </w:rPr>
      </w:pPr>
      <w:r w:rsidRPr="00C67CC9">
        <w:rPr>
          <w:rFonts w:ascii="Times New Roman" w:hAnsi="Times New Roman" w:cs="Times New Roman"/>
          <w:sz w:val="28"/>
          <w:szCs w:val="28"/>
          <w:lang w:val="ru-RU"/>
        </w:rPr>
        <w:lastRenderedPageBreak/>
        <w:t xml:space="preserve">При  сравнении исследуемых групп по суммарной дозе гонадотропинов были выявлены значимые различия между  первой  и </w:t>
      </w:r>
      <w:r w:rsidR="00B405F7" w:rsidRPr="00C67CC9">
        <w:rPr>
          <w:rFonts w:ascii="Times New Roman" w:hAnsi="Times New Roman" w:cs="Times New Roman"/>
          <w:sz w:val="28"/>
          <w:szCs w:val="28"/>
          <w:lang w:val="ru-RU"/>
        </w:rPr>
        <w:t>второй</w:t>
      </w:r>
      <w:r w:rsidRPr="00C67CC9">
        <w:rPr>
          <w:rFonts w:ascii="Times New Roman" w:hAnsi="Times New Roman" w:cs="Times New Roman"/>
          <w:sz w:val="28"/>
          <w:szCs w:val="28"/>
          <w:lang w:val="ru-RU"/>
        </w:rPr>
        <w:t xml:space="preserve"> группами</w:t>
      </w:r>
      <w:r w:rsidR="00AA490B">
        <w:rPr>
          <w:rFonts w:ascii="Times New Roman" w:hAnsi="Times New Roman" w:cs="Times New Roman"/>
          <w:sz w:val="28"/>
          <w:szCs w:val="28"/>
          <w:lang w:val="ru-RU"/>
        </w:rPr>
        <w:t>: в первой она оказалась достоверно выше, чем во второй</w:t>
      </w:r>
      <w:r w:rsidR="00B405F7" w:rsidRPr="00C67CC9">
        <w:rPr>
          <w:rFonts w:ascii="Times New Roman" w:eastAsia="Calibri" w:hAnsi="Times New Roman" w:cs="Times New Roman"/>
          <w:bCs/>
          <w:kern w:val="24"/>
          <w:sz w:val="28"/>
          <w:szCs w:val="28"/>
          <w:lang w:val="ru-RU"/>
        </w:rPr>
        <w:t xml:space="preserve"> </w:t>
      </w:r>
      <w:r w:rsidR="00B405F7" w:rsidRPr="00C67CC9">
        <w:rPr>
          <w:rFonts w:ascii="Times New Roman" w:hAnsi="Times New Roman" w:cs="Times New Roman"/>
          <w:sz w:val="28"/>
          <w:szCs w:val="28"/>
          <w:lang w:val="ru-RU"/>
        </w:rPr>
        <w:t>(р ≤ 0,05)</w:t>
      </w:r>
      <w:r w:rsidR="00B405F7" w:rsidRPr="00C67CC9">
        <w:rPr>
          <w:rFonts w:ascii="Times New Roman" w:eastAsia="Arial Unicode MS" w:hAnsi="Times New Roman" w:cs="Times New Roman"/>
          <w:sz w:val="28"/>
          <w:szCs w:val="28"/>
          <w:lang w:val="ru-RU"/>
        </w:rPr>
        <w:t xml:space="preserve">. </w:t>
      </w:r>
    </w:p>
    <w:p w:rsidR="00AA490B" w:rsidRDefault="00B405F7" w:rsidP="00BB6B0E">
      <w:pPr>
        <w:spacing w:line="360" w:lineRule="auto"/>
        <w:ind w:firstLine="709"/>
        <w:jc w:val="both"/>
        <w:rPr>
          <w:rFonts w:ascii="Times New Roman" w:hAnsi="Times New Roman" w:cs="Times New Roman"/>
          <w:sz w:val="28"/>
          <w:szCs w:val="28"/>
          <w:lang w:val="ru-RU"/>
        </w:rPr>
      </w:pPr>
      <w:r w:rsidRPr="00C67CC9">
        <w:rPr>
          <w:rFonts w:ascii="Times New Roman" w:eastAsia="Arial Unicode MS" w:hAnsi="Times New Roman" w:cs="Times New Roman"/>
          <w:sz w:val="28"/>
          <w:szCs w:val="28"/>
          <w:lang w:val="ru-RU"/>
        </w:rPr>
        <w:t>Отличились и кол</w:t>
      </w:r>
      <w:r w:rsidR="00AA490B">
        <w:rPr>
          <w:rFonts w:ascii="Times New Roman" w:eastAsia="Arial Unicode MS" w:hAnsi="Times New Roman" w:cs="Times New Roman"/>
          <w:sz w:val="28"/>
          <w:szCs w:val="28"/>
          <w:lang w:val="ru-RU"/>
        </w:rPr>
        <w:t>ичества полученных ооцитов в обеих</w:t>
      </w:r>
      <w:r w:rsidRPr="00C67CC9">
        <w:rPr>
          <w:rFonts w:ascii="Times New Roman" w:eastAsia="Arial Unicode MS" w:hAnsi="Times New Roman" w:cs="Times New Roman"/>
          <w:sz w:val="28"/>
          <w:szCs w:val="28"/>
          <w:lang w:val="ru-RU"/>
        </w:rPr>
        <w:t xml:space="preserve"> группах</w:t>
      </w:r>
      <w:r w:rsidR="00AA490B">
        <w:rPr>
          <w:rFonts w:ascii="Times New Roman" w:eastAsia="Arial Unicode MS" w:hAnsi="Times New Roman" w:cs="Times New Roman"/>
          <w:sz w:val="28"/>
          <w:szCs w:val="28"/>
          <w:lang w:val="ru-RU"/>
        </w:rPr>
        <w:t>: во второй оно достоверно выше</w:t>
      </w:r>
      <w:r w:rsidR="00285A04">
        <w:rPr>
          <w:rFonts w:ascii="Times New Roman" w:eastAsia="Arial Unicode MS" w:hAnsi="Times New Roman" w:cs="Times New Roman"/>
          <w:sz w:val="28"/>
          <w:szCs w:val="28"/>
          <w:lang w:val="ru-RU"/>
        </w:rPr>
        <w:t>,</w:t>
      </w:r>
      <w:r w:rsidR="00AA490B">
        <w:rPr>
          <w:rFonts w:ascii="Times New Roman" w:eastAsia="Arial Unicode MS" w:hAnsi="Times New Roman" w:cs="Times New Roman"/>
          <w:sz w:val="28"/>
          <w:szCs w:val="28"/>
          <w:lang w:val="ru-RU"/>
        </w:rPr>
        <w:t xml:space="preserve"> чем в первой</w:t>
      </w:r>
      <w:r w:rsidRPr="00C67CC9">
        <w:rPr>
          <w:rFonts w:ascii="Times New Roman" w:eastAsia="Calibri" w:hAnsi="Times New Roman" w:cs="Times New Roman"/>
          <w:bCs/>
          <w:kern w:val="24"/>
          <w:sz w:val="28"/>
          <w:szCs w:val="28"/>
          <w:lang w:val="ru-RU"/>
        </w:rPr>
        <w:t xml:space="preserve"> </w:t>
      </w:r>
      <w:r w:rsidRPr="00C67CC9">
        <w:rPr>
          <w:rFonts w:ascii="Times New Roman" w:hAnsi="Times New Roman" w:cs="Times New Roman"/>
          <w:sz w:val="28"/>
          <w:szCs w:val="28"/>
          <w:lang w:val="ru-RU"/>
        </w:rPr>
        <w:t xml:space="preserve">(р ≤ 0,05). </w:t>
      </w:r>
    </w:p>
    <w:p w:rsidR="00285A04" w:rsidRPr="00AA490B" w:rsidRDefault="00285A04" w:rsidP="00BB6B0E">
      <w:pPr>
        <w:spacing w:line="360" w:lineRule="auto"/>
        <w:ind w:firstLine="709"/>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Анализируя данные таблицы 3, можно сделать вывод о том, что статистически значимых различий между </w:t>
      </w:r>
      <w:r>
        <w:rPr>
          <w:rFonts w:ascii="Times New Roman" w:hAnsi="Times New Roman" w:cs="Times New Roman"/>
          <w:sz w:val="28"/>
          <w:szCs w:val="28"/>
          <w:lang w:val="ru-RU"/>
        </w:rPr>
        <w:t>двумя</w:t>
      </w:r>
      <w:r w:rsidRPr="00C67CC9">
        <w:rPr>
          <w:rFonts w:ascii="Times New Roman" w:hAnsi="Times New Roman" w:cs="Times New Roman"/>
          <w:sz w:val="28"/>
          <w:szCs w:val="28"/>
          <w:lang w:val="ru-RU"/>
        </w:rPr>
        <w:t xml:space="preserve"> группами по количеству перенесенных эмбрионов не обнаружено. </w:t>
      </w:r>
    </w:p>
    <w:p w:rsidR="00A8665B" w:rsidRDefault="00A8665B" w:rsidP="00BB6B0E">
      <w:pPr>
        <w:spacing w:line="360" w:lineRule="auto"/>
        <w:ind w:firstLine="709"/>
        <w:jc w:val="both"/>
        <w:rPr>
          <w:rFonts w:ascii="Times New Roman" w:eastAsia="Calibri" w:hAnsi="Times New Roman" w:cs="Times New Roman"/>
          <w:bCs/>
          <w:kern w:val="24"/>
          <w:sz w:val="28"/>
          <w:szCs w:val="28"/>
          <w:lang w:val="ru-RU"/>
        </w:rPr>
      </w:pPr>
      <w:r>
        <w:rPr>
          <w:rFonts w:ascii="Times New Roman" w:hAnsi="Times New Roman" w:cs="Times New Roman"/>
          <w:sz w:val="28"/>
          <w:szCs w:val="28"/>
          <w:lang w:val="ru-RU"/>
        </w:rPr>
        <w:t>О</w:t>
      </w:r>
      <w:r w:rsidRPr="00C67CC9">
        <w:rPr>
          <w:rFonts w:ascii="Times New Roman" w:hAnsi="Times New Roman" w:cs="Times New Roman"/>
          <w:sz w:val="28"/>
          <w:szCs w:val="28"/>
          <w:lang w:val="ru-RU"/>
        </w:rPr>
        <w:t xml:space="preserve">жидаемо были получены </w:t>
      </w:r>
      <w:r>
        <w:rPr>
          <w:rFonts w:ascii="Times New Roman" w:hAnsi="Times New Roman" w:cs="Times New Roman"/>
          <w:sz w:val="28"/>
          <w:szCs w:val="28"/>
          <w:lang w:val="ru-RU"/>
        </w:rPr>
        <w:t xml:space="preserve">достоверно </w:t>
      </w:r>
      <w:r w:rsidRPr="00C67CC9">
        <w:rPr>
          <w:rFonts w:ascii="Times New Roman" w:hAnsi="Times New Roman" w:cs="Times New Roman"/>
          <w:sz w:val="28"/>
          <w:szCs w:val="28"/>
          <w:lang w:val="ru-RU"/>
        </w:rPr>
        <w:t>различные средние эффективные дозы</w:t>
      </w:r>
      <w:r>
        <w:rPr>
          <w:rFonts w:ascii="Times New Roman" w:hAnsi="Times New Roman" w:cs="Times New Roman"/>
          <w:sz w:val="28"/>
          <w:szCs w:val="28"/>
          <w:lang w:val="ru-RU"/>
        </w:rPr>
        <w:t>:</w:t>
      </w:r>
      <w:r w:rsidRPr="00C67CC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первой они были выше, чем во второй </w:t>
      </w:r>
      <w:r w:rsidRPr="00C67CC9">
        <w:rPr>
          <w:rFonts w:ascii="Times New Roman" w:hAnsi="Times New Roman" w:cs="Times New Roman"/>
          <w:sz w:val="28"/>
          <w:szCs w:val="28"/>
          <w:lang w:val="ru-RU"/>
        </w:rPr>
        <w:t>(р ≤ 0,05)</w:t>
      </w:r>
      <w:r>
        <w:rPr>
          <w:rFonts w:ascii="Times New Roman" w:eastAsia="Calibri" w:hAnsi="Times New Roman" w:cs="Times New Roman"/>
          <w:bCs/>
          <w:kern w:val="24"/>
          <w:sz w:val="28"/>
          <w:szCs w:val="28"/>
          <w:lang w:val="ru-RU"/>
        </w:rPr>
        <w:t xml:space="preserve">, наглядно это продемонстрировано на рисунке 2. </w:t>
      </w:r>
    </w:p>
    <w:p w:rsidR="00AA490B" w:rsidRDefault="00AA490B" w:rsidP="00BB6B0E">
      <w:pPr>
        <w:spacing w:line="360" w:lineRule="auto"/>
        <w:ind w:firstLine="709"/>
        <w:jc w:val="both"/>
        <w:rPr>
          <w:rFonts w:ascii="Times New Roman" w:eastAsia="Calibri" w:hAnsi="Times New Roman" w:cs="Times New Roman"/>
          <w:bCs/>
          <w:kern w:val="24"/>
          <w:sz w:val="28"/>
          <w:szCs w:val="28"/>
          <w:lang w:val="ru-RU"/>
        </w:rPr>
      </w:pPr>
      <w:r w:rsidRPr="00C67CC9">
        <w:rPr>
          <w:rFonts w:ascii="Times New Roman" w:hAnsi="Times New Roman" w:cs="Times New Roman"/>
          <w:b/>
          <w:noProof/>
          <w:sz w:val="28"/>
          <w:szCs w:val="28"/>
        </w:rPr>
        <w:drawing>
          <wp:inline distT="0" distB="0" distL="0" distR="0" wp14:anchorId="532881B6" wp14:editId="54050DF7">
            <wp:extent cx="5943600" cy="2683510"/>
            <wp:effectExtent l="0" t="0" r="0" b="25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49B1" w:rsidRPr="00296CF9" w:rsidRDefault="000349B1" w:rsidP="00BB6B0E">
      <w:pPr>
        <w:spacing w:line="360" w:lineRule="auto"/>
        <w:jc w:val="both"/>
        <w:rPr>
          <w:rFonts w:ascii="Times New Roman" w:hAnsi="Times New Roman" w:cs="Times New Roman"/>
          <w:sz w:val="28"/>
          <w:szCs w:val="28"/>
          <w:lang w:val="ru-RU"/>
        </w:rPr>
      </w:pPr>
      <w:r>
        <w:rPr>
          <w:rFonts w:ascii="Times New Roman" w:eastAsia="Calibri" w:hAnsi="Times New Roman" w:cs="Times New Roman"/>
          <w:bCs/>
          <w:kern w:val="24"/>
          <w:sz w:val="28"/>
          <w:szCs w:val="28"/>
          <w:lang w:val="ru-RU"/>
        </w:rPr>
        <w:t xml:space="preserve">Рисунок 2. Различия показателей средней эффективной дозы </w:t>
      </w:r>
      <w:r w:rsidR="00296CF9">
        <w:rPr>
          <w:rFonts w:ascii="Times New Roman" w:hAnsi="Times New Roman" w:cs="Times New Roman"/>
          <w:sz w:val="28"/>
          <w:szCs w:val="28"/>
          <w:lang w:val="ru-RU"/>
        </w:rPr>
        <w:t>в группах больных с хирургическим лечением C</w:t>
      </w:r>
      <w:r w:rsidR="00296CF9" w:rsidRPr="00D228A5">
        <w:rPr>
          <w:rFonts w:ascii="Times New Roman" w:hAnsi="Times New Roman" w:cs="Times New Roman"/>
          <w:sz w:val="28"/>
          <w:szCs w:val="28"/>
          <w:lang w:val="ru-RU"/>
        </w:rPr>
        <w:t>ПКЯ</w:t>
      </w:r>
      <w:r w:rsidR="00296CF9">
        <w:rPr>
          <w:rFonts w:ascii="Times New Roman" w:hAnsi="Times New Roman" w:cs="Times New Roman"/>
          <w:sz w:val="28"/>
          <w:szCs w:val="28"/>
          <w:lang w:val="ru-RU"/>
        </w:rPr>
        <w:t xml:space="preserve"> в анамнезе (группа1) и без операции на яичниках (группа2) </w:t>
      </w:r>
      <w:r>
        <w:rPr>
          <w:rFonts w:ascii="Times New Roman" w:eastAsia="Calibri" w:hAnsi="Times New Roman" w:cs="Times New Roman"/>
          <w:bCs/>
          <w:kern w:val="24"/>
          <w:sz w:val="28"/>
          <w:szCs w:val="28"/>
          <w:lang w:val="ru-RU"/>
        </w:rPr>
        <w:t>(</w:t>
      </w:r>
      <w:r>
        <w:rPr>
          <w:rFonts w:ascii="Times New Roman" w:hAnsi="Times New Roman" w:cs="Times New Roman"/>
          <w:sz w:val="28"/>
          <w:szCs w:val="28"/>
          <w:lang w:val="ru-RU"/>
        </w:rPr>
        <w:t>р=</w:t>
      </w:r>
      <w:r w:rsidRPr="00285A04">
        <w:rPr>
          <w:rFonts w:ascii="Times New Roman" w:hAnsi="Times New Roman" w:cs="Times New Roman"/>
          <w:sz w:val="28"/>
          <w:szCs w:val="28"/>
          <w:lang w:val="ru-RU"/>
        </w:rPr>
        <w:t>0,001</w:t>
      </w:r>
      <w:r>
        <w:rPr>
          <w:rFonts w:ascii="Times New Roman" w:hAnsi="Times New Roman" w:cs="Times New Roman"/>
          <w:sz w:val="28"/>
          <w:szCs w:val="28"/>
          <w:lang w:val="ru-RU"/>
        </w:rPr>
        <w:t>)</w:t>
      </w:r>
      <w:r>
        <w:rPr>
          <w:rFonts w:ascii="Times New Roman" w:eastAsia="Calibri" w:hAnsi="Times New Roman" w:cs="Times New Roman"/>
          <w:bCs/>
          <w:kern w:val="24"/>
          <w:sz w:val="28"/>
          <w:szCs w:val="28"/>
          <w:lang w:val="ru-RU"/>
        </w:rPr>
        <w:t xml:space="preserve">. </w:t>
      </w:r>
    </w:p>
    <w:p w:rsidR="00BB6B0E" w:rsidRDefault="00BB6B0E" w:rsidP="00BB6B0E">
      <w:pPr>
        <w:spacing w:line="360" w:lineRule="auto"/>
        <w:ind w:firstLine="709"/>
        <w:jc w:val="both"/>
        <w:rPr>
          <w:rFonts w:ascii="Times New Roman" w:eastAsia="Calibri" w:hAnsi="Times New Roman" w:cs="Times New Roman"/>
          <w:bCs/>
          <w:kern w:val="24"/>
          <w:sz w:val="28"/>
          <w:szCs w:val="28"/>
          <w:lang w:val="ru-RU"/>
        </w:rPr>
      </w:pPr>
      <w:r w:rsidRPr="00C67CC9">
        <w:rPr>
          <w:rFonts w:ascii="Times New Roman" w:eastAsia="Calibri" w:hAnsi="Times New Roman" w:cs="Times New Roman"/>
          <w:bCs/>
          <w:kern w:val="24"/>
          <w:sz w:val="28"/>
          <w:szCs w:val="28"/>
          <w:lang w:val="ru-RU"/>
        </w:rPr>
        <w:lastRenderedPageBreak/>
        <w:t xml:space="preserve">Таким образом, наглядно показано, что на стимуляцию ооцита в яичниках, подвергшихся операции, требуется большая доза </w:t>
      </w:r>
      <w:r>
        <w:rPr>
          <w:rFonts w:ascii="Times New Roman" w:eastAsia="Calibri" w:hAnsi="Times New Roman" w:cs="Times New Roman"/>
          <w:bCs/>
          <w:kern w:val="24"/>
          <w:sz w:val="28"/>
          <w:szCs w:val="28"/>
          <w:lang w:val="ru-RU"/>
        </w:rPr>
        <w:t xml:space="preserve">препаратов </w:t>
      </w:r>
      <w:r w:rsidRPr="00C67CC9">
        <w:rPr>
          <w:rFonts w:ascii="Times New Roman" w:eastAsia="Calibri" w:hAnsi="Times New Roman" w:cs="Times New Roman"/>
          <w:bCs/>
          <w:kern w:val="24"/>
          <w:sz w:val="28"/>
          <w:szCs w:val="28"/>
          <w:lang w:val="ru-RU"/>
        </w:rPr>
        <w:t>гонадотроп</w:t>
      </w:r>
      <w:r>
        <w:rPr>
          <w:rFonts w:ascii="Times New Roman" w:eastAsia="Calibri" w:hAnsi="Times New Roman" w:cs="Times New Roman"/>
          <w:bCs/>
          <w:kern w:val="24"/>
          <w:sz w:val="28"/>
          <w:szCs w:val="28"/>
          <w:lang w:val="ru-RU"/>
        </w:rPr>
        <w:t>ных гормонов</w:t>
      </w:r>
      <w:r w:rsidRPr="00C67CC9">
        <w:rPr>
          <w:rFonts w:ascii="Times New Roman" w:eastAsia="Calibri" w:hAnsi="Times New Roman" w:cs="Times New Roman"/>
          <w:bCs/>
          <w:kern w:val="24"/>
          <w:sz w:val="28"/>
          <w:szCs w:val="28"/>
          <w:lang w:val="ru-RU"/>
        </w:rPr>
        <w:t>.</w:t>
      </w:r>
    </w:p>
    <w:p w:rsidR="00BB6B0E" w:rsidRPr="00C67CC9" w:rsidRDefault="00BB6B0E" w:rsidP="00BB6B0E">
      <w:pPr>
        <w:spacing w:line="360" w:lineRule="auto"/>
        <w:ind w:firstLine="709"/>
        <w:jc w:val="both"/>
        <w:rPr>
          <w:rFonts w:ascii="Times New Roman" w:hAnsi="Times New Roman" w:cs="Times New Roman"/>
          <w:b/>
          <w:sz w:val="28"/>
          <w:szCs w:val="28"/>
          <w:lang w:val="ru-RU"/>
        </w:rPr>
      </w:pPr>
      <w:r w:rsidRPr="00C67CC9">
        <w:rPr>
          <w:rFonts w:ascii="Times New Roman" w:hAnsi="Times New Roman" w:cs="Times New Roman"/>
          <w:b/>
          <w:sz w:val="28"/>
          <w:szCs w:val="28"/>
          <w:lang w:val="ru-RU"/>
        </w:rPr>
        <w:t xml:space="preserve">2.2.3. Оценка эмбриологического этапа. </w:t>
      </w:r>
    </w:p>
    <w:p w:rsidR="00BB6B0E" w:rsidRPr="00D304D6" w:rsidRDefault="00BB6B0E" w:rsidP="00BB6B0E">
      <w:pPr>
        <w:spacing w:line="360" w:lineRule="auto"/>
        <w:rPr>
          <w:rFonts w:ascii="Times New Roman" w:hAnsi="Times New Roman" w:cs="Times New Roman"/>
          <w:sz w:val="28"/>
          <w:szCs w:val="28"/>
          <w:lang w:val="ru-RU"/>
        </w:rPr>
      </w:pPr>
      <w:r w:rsidRPr="00D304D6">
        <w:rPr>
          <w:rFonts w:ascii="Times New Roman" w:hAnsi="Times New Roman" w:cs="Times New Roman"/>
          <w:sz w:val="28"/>
          <w:szCs w:val="28"/>
          <w:lang w:val="ru-RU"/>
        </w:rPr>
        <w:t xml:space="preserve">При оценке эмбриологического этапа не было выявлено достоверных различий между показателями в обеих группах. </w:t>
      </w:r>
      <w:r>
        <w:rPr>
          <w:rFonts w:ascii="Times New Roman" w:hAnsi="Times New Roman" w:cs="Times New Roman"/>
          <w:sz w:val="28"/>
          <w:szCs w:val="28"/>
          <w:lang w:val="ru-RU"/>
        </w:rPr>
        <w:t xml:space="preserve">Количество эмбрионов хорошего качества, соответствующих </w:t>
      </w:r>
      <w:r w:rsidRPr="00D304D6">
        <w:rPr>
          <w:rFonts w:ascii="Times New Roman" w:hAnsi="Times New Roman" w:cs="Times New Roman"/>
          <w:sz w:val="28"/>
          <w:szCs w:val="28"/>
          <w:lang w:val="ru-RU"/>
        </w:rPr>
        <w:t>тип</w:t>
      </w:r>
      <w:r>
        <w:rPr>
          <w:rFonts w:ascii="Times New Roman" w:hAnsi="Times New Roman" w:cs="Times New Roman"/>
          <w:sz w:val="28"/>
          <w:szCs w:val="28"/>
          <w:lang w:val="ru-RU"/>
        </w:rPr>
        <w:t>у</w:t>
      </w:r>
      <w:r w:rsidRPr="00D304D6">
        <w:rPr>
          <w:rFonts w:ascii="Times New Roman" w:hAnsi="Times New Roman" w:cs="Times New Roman"/>
          <w:sz w:val="28"/>
          <w:szCs w:val="28"/>
          <w:lang w:val="ru-RU"/>
        </w:rPr>
        <w:t xml:space="preserve"> А</w:t>
      </w:r>
      <w:r>
        <w:rPr>
          <w:rFonts w:ascii="Times New Roman" w:hAnsi="Times New Roman" w:cs="Times New Roman"/>
          <w:sz w:val="28"/>
          <w:szCs w:val="28"/>
          <w:lang w:val="ru-RU"/>
        </w:rPr>
        <w:t xml:space="preserve"> и </w:t>
      </w:r>
      <w:r w:rsidRPr="00D304D6">
        <w:rPr>
          <w:rFonts w:ascii="Times New Roman" w:hAnsi="Times New Roman" w:cs="Times New Roman"/>
          <w:sz w:val="28"/>
          <w:szCs w:val="28"/>
          <w:lang w:val="ru-RU"/>
        </w:rPr>
        <w:t xml:space="preserve">В </w:t>
      </w:r>
      <w:r>
        <w:rPr>
          <w:rFonts w:ascii="Times New Roman" w:hAnsi="Times New Roman" w:cs="Times New Roman"/>
          <w:sz w:val="28"/>
          <w:szCs w:val="28"/>
          <w:lang w:val="ru-RU"/>
        </w:rPr>
        <w:t>(</w:t>
      </w:r>
      <w:r w:rsidRPr="00D304D6">
        <w:rPr>
          <w:rFonts w:ascii="Times New Roman" w:hAnsi="Times New Roman" w:cs="Times New Roman"/>
          <w:sz w:val="28"/>
          <w:szCs w:val="28"/>
          <w:lang w:val="ru-RU"/>
        </w:rPr>
        <w:t xml:space="preserve">по  </w:t>
      </w:r>
      <w:r w:rsidRPr="00D304D6">
        <w:rPr>
          <w:rFonts w:ascii="Times New Roman" w:hAnsi="Times New Roman" w:cs="Times New Roman"/>
          <w:sz w:val="28"/>
          <w:szCs w:val="28"/>
        </w:rPr>
        <w:t>A</w:t>
      </w:r>
      <w:r w:rsidRPr="00D304D6">
        <w:rPr>
          <w:rFonts w:ascii="Times New Roman" w:hAnsi="Times New Roman" w:cs="Times New Roman"/>
          <w:sz w:val="28"/>
          <w:szCs w:val="28"/>
          <w:lang w:val="ru-RU"/>
        </w:rPr>
        <w:t>.</w:t>
      </w:r>
      <w:r w:rsidRPr="00D304D6">
        <w:rPr>
          <w:rFonts w:ascii="Times New Roman" w:hAnsi="Times New Roman" w:cs="Times New Roman"/>
          <w:sz w:val="28"/>
          <w:szCs w:val="28"/>
        </w:rPr>
        <w:t> Van</w:t>
      </w:r>
      <w:r w:rsidRPr="00D304D6">
        <w:rPr>
          <w:rFonts w:ascii="Times New Roman" w:hAnsi="Times New Roman" w:cs="Times New Roman"/>
          <w:sz w:val="28"/>
          <w:szCs w:val="28"/>
          <w:lang w:val="ru-RU"/>
        </w:rPr>
        <w:t xml:space="preserve"> </w:t>
      </w:r>
      <w:proofErr w:type="spellStart"/>
      <w:r w:rsidRPr="00D304D6">
        <w:rPr>
          <w:rFonts w:ascii="Times New Roman" w:hAnsi="Times New Roman" w:cs="Times New Roman"/>
          <w:sz w:val="28"/>
          <w:szCs w:val="28"/>
        </w:rPr>
        <w:t>Steiterghem</w:t>
      </w:r>
      <w:proofErr w:type="spellEnd"/>
      <w:r w:rsidRPr="00D304D6">
        <w:rPr>
          <w:rFonts w:ascii="Times New Roman" w:hAnsi="Times New Roman" w:cs="Times New Roman"/>
          <w:sz w:val="28"/>
          <w:szCs w:val="28"/>
          <w:lang w:val="ru-RU"/>
        </w:rPr>
        <w:t xml:space="preserve"> </w:t>
      </w:r>
      <w:r w:rsidRPr="00D304D6">
        <w:rPr>
          <w:rFonts w:ascii="Times New Roman" w:hAnsi="Times New Roman" w:cs="Times New Roman"/>
          <w:sz w:val="28"/>
          <w:szCs w:val="28"/>
        </w:rPr>
        <w:t>et al</w:t>
      </w:r>
      <w:r w:rsidRPr="00D304D6">
        <w:rPr>
          <w:rFonts w:ascii="Times New Roman" w:hAnsi="Times New Roman" w:cs="Times New Roman"/>
          <w:sz w:val="28"/>
          <w:szCs w:val="28"/>
          <w:lang w:val="ru-RU"/>
        </w:rPr>
        <w:t xml:space="preserve">., 1995) </w:t>
      </w:r>
      <w:r>
        <w:rPr>
          <w:rFonts w:ascii="Times New Roman" w:hAnsi="Times New Roman" w:cs="Times New Roman"/>
          <w:sz w:val="28"/>
          <w:szCs w:val="28"/>
          <w:lang w:val="ru-RU"/>
        </w:rPr>
        <w:t>у пациенток, перенесших операцию на яичниках в анамнезе</w:t>
      </w:r>
      <w:r w:rsidRPr="00D304D6">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D304D6">
        <w:rPr>
          <w:rFonts w:ascii="Times New Roman" w:eastAsia="Arial Unicode MS" w:hAnsi="Times New Roman" w:cs="Times New Roman"/>
          <w:sz w:val="28"/>
          <w:szCs w:val="28"/>
          <w:lang w:val="ru-RU"/>
        </w:rPr>
        <w:t>5,7</w:t>
      </w:r>
      <w:r>
        <w:rPr>
          <w:rFonts w:ascii="Times New Roman" w:eastAsia="Arial Unicode MS" w:hAnsi="Times New Roman" w:cs="Times New Roman"/>
          <w:sz w:val="28"/>
          <w:szCs w:val="28"/>
          <w:lang w:val="ru-RU"/>
        </w:rPr>
        <w:t>±</w:t>
      </w:r>
      <w:r w:rsidRPr="00D304D6">
        <w:rPr>
          <w:rFonts w:ascii="Times New Roman" w:eastAsia="Arial Unicode MS" w:hAnsi="Times New Roman" w:cs="Times New Roman"/>
          <w:sz w:val="28"/>
          <w:szCs w:val="28"/>
          <w:lang w:val="ru-RU"/>
        </w:rPr>
        <w:t>0,6</w:t>
      </w:r>
      <w:r>
        <w:rPr>
          <w:rFonts w:ascii="Times New Roman" w:eastAsia="Arial Unicode MS" w:hAnsi="Times New Roman" w:cs="Times New Roman"/>
          <w:sz w:val="28"/>
          <w:szCs w:val="28"/>
          <w:lang w:val="ru-RU"/>
        </w:rPr>
        <w:t>)</w:t>
      </w:r>
      <w:r w:rsidRPr="00D304D6">
        <w:rPr>
          <w:rFonts w:ascii="Times New Roman" w:hAnsi="Times New Roman" w:cs="Times New Roman"/>
          <w:sz w:val="28"/>
          <w:szCs w:val="28"/>
          <w:lang w:val="ru-RU"/>
        </w:rPr>
        <w:t xml:space="preserve">, </w:t>
      </w:r>
      <w:r>
        <w:rPr>
          <w:rFonts w:ascii="Times New Roman" w:hAnsi="Times New Roman" w:cs="Times New Roman"/>
          <w:sz w:val="28"/>
          <w:szCs w:val="28"/>
          <w:lang w:val="ru-RU"/>
        </w:rPr>
        <w:t>достоверно не отличалось от показателя в группе больных без хирургического лечения (</w:t>
      </w:r>
      <w:r w:rsidRPr="00D304D6">
        <w:rPr>
          <w:rFonts w:ascii="Times New Roman" w:eastAsia="Arial Unicode MS" w:hAnsi="Times New Roman" w:cs="Times New Roman"/>
          <w:sz w:val="28"/>
          <w:szCs w:val="28"/>
          <w:lang w:val="ru-RU"/>
        </w:rPr>
        <w:t>6,8+0,5</w:t>
      </w:r>
      <w:r>
        <w:rPr>
          <w:rFonts w:ascii="Times New Roman" w:eastAsia="Arial Unicode MS" w:hAnsi="Times New Roman" w:cs="Times New Roman"/>
          <w:sz w:val="28"/>
          <w:szCs w:val="28"/>
          <w:lang w:val="ru-RU"/>
        </w:rPr>
        <w:t>)</w:t>
      </w:r>
      <w:r w:rsidRPr="00D304D6">
        <w:rPr>
          <w:rFonts w:ascii="Times New Roman" w:hAnsi="Times New Roman" w:cs="Times New Roman"/>
          <w:sz w:val="28"/>
          <w:szCs w:val="28"/>
          <w:lang w:val="ru-RU"/>
        </w:rPr>
        <w:t xml:space="preserve"> (р= 0,0506).</w:t>
      </w:r>
      <w:r>
        <w:rPr>
          <w:rFonts w:ascii="Times New Roman" w:hAnsi="Times New Roman" w:cs="Times New Roman"/>
          <w:sz w:val="28"/>
          <w:szCs w:val="28"/>
          <w:lang w:val="ru-RU"/>
        </w:rPr>
        <w:t xml:space="preserve"> Однако, учитывая представленное значение р,  можно говорить о тенденции к  получению большего количества качественных эмбрионов во второй группе больных.</w:t>
      </w:r>
    </w:p>
    <w:p w:rsidR="00CC532B" w:rsidRPr="00C67CC9" w:rsidRDefault="00A4296C" w:rsidP="00BB6B0E">
      <w:pPr>
        <w:spacing w:line="360" w:lineRule="auto"/>
        <w:rPr>
          <w:rFonts w:ascii="Times New Roman" w:hAnsi="Times New Roman" w:cs="Times New Roman"/>
          <w:b/>
          <w:sz w:val="28"/>
          <w:szCs w:val="28"/>
          <w:lang w:val="ru-RU"/>
        </w:rPr>
      </w:pPr>
      <w:r w:rsidRPr="00C67CC9">
        <w:rPr>
          <w:rFonts w:ascii="Times New Roman" w:hAnsi="Times New Roman" w:cs="Times New Roman"/>
          <w:b/>
          <w:sz w:val="28"/>
          <w:szCs w:val="28"/>
          <w:lang w:val="ru-RU"/>
        </w:rPr>
        <w:t>2.2</w:t>
      </w:r>
      <w:r w:rsidR="00C67CC9" w:rsidRPr="00C67CC9">
        <w:rPr>
          <w:rFonts w:ascii="Times New Roman" w:hAnsi="Times New Roman" w:cs="Times New Roman"/>
          <w:b/>
          <w:sz w:val="28"/>
          <w:szCs w:val="28"/>
          <w:lang w:val="ru-RU"/>
        </w:rPr>
        <w:t>.4</w:t>
      </w:r>
      <w:r w:rsidR="00CC532B" w:rsidRPr="00C67CC9">
        <w:rPr>
          <w:rFonts w:ascii="Times New Roman" w:hAnsi="Times New Roman" w:cs="Times New Roman"/>
          <w:b/>
          <w:sz w:val="28"/>
          <w:szCs w:val="28"/>
          <w:lang w:val="ru-RU"/>
        </w:rPr>
        <w:t xml:space="preserve">. </w:t>
      </w:r>
      <w:r w:rsidR="00F13885" w:rsidRPr="00C67CC9">
        <w:rPr>
          <w:rFonts w:ascii="Times New Roman" w:hAnsi="Times New Roman" w:cs="Times New Roman"/>
          <w:b/>
          <w:sz w:val="28"/>
          <w:szCs w:val="28"/>
          <w:lang w:val="ru-RU"/>
        </w:rPr>
        <w:t>Сравнение исходов</w:t>
      </w:r>
      <w:r w:rsidR="00CC532B" w:rsidRPr="00C67CC9">
        <w:rPr>
          <w:rFonts w:ascii="Times New Roman" w:hAnsi="Times New Roman" w:cs="Times New Roman"/>
          <w:b/>
          <w:sz w:val="28"/>
          <w:szCs w:val="28"/>
          <w:lang w:val="ru-RU"/>
        </w:rPr>
        <w:t xml:space="preserve"> программы ЭКО. </w:t>
      </w:r>
    </w:p>
    <w:p w:rsidR="00D304D6" w:rsidRPr="00C67CC9" w:rsidRDefault="00D304D6"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 xml:space="preserve">При изучении двух групп по частоте наступления беременности (биохимические показатели/ УЗИ данные) в ходе процедуры ЭКО были обнаружены статистически значимые различия между 2 группами. </w:t>
      </w:r>
    </w:p>
    <w:p w:rsidR="009A60A1" w:rsidRDefault="00D304D6" w:rsidP="00BB6B0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Pr="00C67CC9">
        <w:rPr>
          <w:rFonts w:ascii="Times New Roman" w:hAnsi="Times New Roman" w:cs="Times New Roman"/>
          <w:sz w:val="28"/>
          <w:szCs w:val="28"/>
          <w:lang w:val="ru-RU"/>
        </w:rPr>
        <w:t>сследование показало, что частота наступления беременности гораздо выше у женщин без операций на яичниках в анамнезе</w:t>
      </w:r>
      <w:r>
        <w:rPr>
          <w:rFonts w:ascii="Times New Roman" w:hAnsi="Times New Roman" w:cs="Times New Roman"/>
          <w:sz w:val="28"/>
          <w:szCs w:val="28"/>
          <w:lang w:val="ru-RU"/>
        </w:rPr>
        <w:t xml:space="preserve"> </w:t>
      </w:r>
      <w:r w:rsidRPr="00E96ACC">
        <w:rPr>
          <w:rFonts w:ascii="Times New Roman" w:hAnsi="Times New Roman" w:cs="Times New Roman"/>
          <w:sz w:val="28"/>
          <w:szCs w:val="28"/>
          <w:lang w:val="ru-RU"/>
        </w:rPr>
        <w:t>(</w:t>
      </w:r>
      <w:r w:rsidRPr="00E96ACC">
        <w:rPr>
          <w:rFonts w:ascii="Times New Roman" w:hAnsi="Times New Roman" w:cs="Times New Roman"/>
          <w:sz w:val="28"/>
          <w:szCs w:val="28"/>
          <w:shd w:val="clear" w:color="auto" w:fill="FFFFFF"/>
        </w:rPr>
        <w:t>χ</w:t>
      </w:r>
      <w:r w:rsidRPr="00E96ACC">
        <w:rPr>
          <w:rFonts w:ascii="Times New Roman" w:hAnsi="Times New Roman" w:cs="Times New Roman"/>
          <w:sz w:val="28"/>
          <w:szCs w:val="28"/>
          <w:shd w:val="clear" w:color="auto" w:fill="FFFFFF"/>
          <w:vertAlign w:val="superscript"/>
          <w:lang w:val="ru-RU"/>
        </w:rPr>
        <w:t>2</w:t>
      </w:r>
      <w:r w:rsidRPr="00E96ACC">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 xml:space="preserve">= 7.12, при </w:t>
      </w:r>
      <w:r w:rsidRPr="00E96ACC">
        <w:rPr>
          <w:rFonts w:ascii="Times New Roman" w:hAnsi="Times New Roman" w:cs="Times New Roman"/>
          <w:sz w:val="28"/>
          <w:szCs w:val="28"/>
          <w:lang w:val="ru-RU"/>
        </w:rPr>
        <w:t>р =0,01)</w:t>
      </w:r>
      <w:r>
        <w:rPr>
          <w:rFonts w:ascii="Times New Roman" w:hAnsi="Times New Roman" w:cs="Times New Roman"/>
          <w:sz w:val="28"/>
          <w:szCs w:val="28"/>
          <w:lang w:val="ru-RU"/>
        </w:rPr>
        <w:t xml:space="preserve">. </w:t>
      </w:r>
      <w:r w:rsidRPr="00C67CC9">
        <w:rPr>
          <w:rFonts w:ascii="Times New Roman" w:hAnsi="Times New Roman" w:cs="Times New Roman"/>
          <w:sz w:val="28"/>
          <w:szCs w:val="28"/>
          <w:lang w:val="ru-RU"/>
        </w:rPr>
        <w:t>Наглядно это</w:t>
      </w:r>
      <w:r>
        <w:rPr>
          <w:rFonts w:ascii="Times New Roman" w:hAnsi="Times New Roman" w:cs="Times New Roman"/>
          <w:sz w:val="28"/>
          <w:szCs w:val="28"/>
          <w:lang w:val="ru-RU"/>
        </w:rPr>
        <w:t xml:space="preserve"> продемонстрировано на рисунке 3</w:t>
      </w:r>
      <w:r w:rsidRPr="00C67CC9">
        <w:rPr>
          <w:rFonts w:ascii="Times New Roman" w:hAnsi="Times New Roman" w:cs="Times New Roman"/>
          <w:sz w:val="28"/>
          <w:szCs w:val="28"/>
          <w:lang w:val="ru-RU"/>
        </w:rPr>
        <w:t xml:space="preserve">. </w:t>
      </w:r>
      <w:r w:rsidRPr="0047400C">
        <w:rPr>
          <w:rFonts w:ascii="Times New Roman" w:hAnsi="Times New Roman" w:cs="Times New Roman"/>
          <w:sz w:val="28"/>
          <w:szCs w:val="28"/>
          <w:lang w:val="ru-RU"/>
        </w:rPr>
        <w:t>Полученные данные отражают представление о том, что операция на яичниках снижает эффективность последующего лечения бесплодия методами ВРТ.</w:t>
      </w:r>
    </w:p>
    <w:p w:rsidR="009A60A1" w:rsidRPr="00C67CC9" w:rsidRDefault="005C5E63"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noProof/>
          <w:sz w:val="28"/>
          <w:szCs w:val="28"/>
        </w:rPr>
        <w:lastRenderedPageBreak/>
        <w:drawing>
          <wp:inline distT="0" distB="0" distL="0" distR="0" wp14:anchorId="73F30E67" wp14:editId="4E7C6A6C">
            <wp:extent cx="5943600" cy="2683510"/>
            <wp:effectExtent l="0" t="0" r="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2E50" w:rsidRPr="00E96ACC" w:rsidRDefault="000349B1" w:rsidP="00BB6B0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3. </w:t>
      </w:r>
      <w:r w:rsidR="008E5366">
        <w:rPr>
          <w:rFonts w:ascii="Times New Roman" w:hAnsi="Times New Roman" w:cs="Times New Roman"/>
          <w:sz w:val="28"/>
          <w:szCs w:val="28"/>
          <w:lang w:val="ru-RU"/>
        </w:rPr>
        <w:t>Частота</w:t>
      </w:r>
      <w:r>
        <w:rPr>
          <w:rFonts w:ascii="Times New Roman" w:hAnsi="Times New Roman" w:cs="Times New Roman"/>
          <w:sz w:val="28"/>
          <w:szCs w:val="28"/>
          <w:lang w:val="ru-RU"/>
        </w:rPr>
        <w:t xml:space="preserve"> наступления беременности </w:t>
      </w:r>
      <w:r w:rsidR="00296CF9">
        <w:rPr>
          <w:rFonts w:ascii="Times New Roman" w:hAnsi="Times New Roman" w:cs="Times New Roman"/>
          <w:sz w:val="28"/>
          <w:szCs w:val="28"/>
          <w:lang w:val="ru-RU"/>
        </w:rPr>
        <w:t>в группах больных с хирургическим лечением C</w:t>
      </w:r>
      <w:r w:rsidR="00296CF9" w:rsidRPr="00D228A5">
        <w:rPr>
          <w:rFonts w:ascii="Times New Roman" w:hAnsi="Times New Roman" w:cs="Times New Roman"/>
          <w:sz w:val="28"/>
          <w:szCs w:val="28"/>
          <w:lang w:val="ru-RU"/>
        </w:rPr>
        <w:t>ПКЯ</w:t>
      </w:r>
      <w:r w:rsidR="00296CF9">
        <w:rPr>
          <w:rFonts w:ascii="Times New Roman" w:hAnsi="Times New Roman" w:cs="Times New Roman"/>
          <w:sz w:val="28"/>
          <w:szCs w:val="28"/>
          <w:lang w:val="ru-RU"/>
        </w:rPr>
        <w:t xml:space="preserve"> в анамнезе (группа1) и без операции на яичниках (группа2)</w:t>
      </w:r>
      <w:r w:rsidRPr="00E96ACC">
        <w:rPr>
          <w:rFonts w:ascii="Times New Roman" w:hAnsi="Times New Roman" w:cs="Times New Roman"/>
          <w:sz w:val="28"/>
          <w:szCs w:val="28"/>
          <w:lang w:val="ru-RU"/>
        </w:rPr>
        <w:t xml:space="preserve">. </w:t>
      </w:r>
    </w:p>
    <w:p w:rsidR="004D0C3D" w:rsidRPr="00C67CC9" w:rsidRDefault="00C67CC9" w:rsidP="00BB6B0E">
      <w:pPr>
        <w:spacing w:line="360" w:lineRule="auto"/>
        <w:jc w:val="both"/>
        <w:rPr>
          <w:rFonts w:ascii="Times New Roman" w:hAnsi="Times New Roman" w:cs="Times New Roman"/>
          <w:b/>
          <w:sz w:val="28"/>
          <w:szCs w:val="28"/>
          <w:lang w:val="ru-RU"/>
        </w:rPr>
      </w:pPr>
      <w:r w:rsidRPr="00C67CC9">
        <w:rPr>
          <w:rFonts w:ascii="Times New Roman" w:hAnsi="Times New Roman" w:cs="Times New Roman"/>
          <w:b/>
          <w:sz w:val="28"/>
          <w:szCs w:val="28"/>
          <w:lang w:val="ru-RU"/>
        </w:rPr>
        <w:t xml:space="preserve">2.2.5. </w:t>
      </w:r>
      <w:r w:rsidR="005C5E63" w:rsidRPr="00C67CC9">
        <w:rPr>
          <w:rFonts w:ascii="Times New Roman" w:hAnsi="Times New Roman" w:cs="Times New Roman"/>
          <w:b/>
          <w:sz w:val="28"/>
          <w:szCs w:val="28"/>
          <w:lang w:val="ru-RU"/>
        </w:rPr>
        <w:t>Оценка</w:t>
      </w:r>
      <w:r w:rsidR="004D0C3D" w:rsidRPr="00C67CC9">
        <w:rPr>
          <w:rFonts w:ascii="Times New Roman" w:hAnsi="Times New Roman" w:cs="Times New Roman"/>
          <w:b/>
          <w:sz w:val="28"/>
          <w:szCs w:val="28"/>
          <w:lang w:val="ru-RU"/>
        </w:rPr>
        <w:t xml:space="preserve"> частоты возникающих осложнений.</w:t>
      </w:r>
    </w:p>
    <w:p w:rsidR="005C5E63" w:rsidRPr="00C67CC9" w:rsidRDefault="004D0C3D"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При оценке частоты возникновения осложнений было выявлено,</w:t>
      </w:r>
      <w:r w:rsidR="00F13885">
        <w:rPr>
          <w:rFonts w:ascii="Times New Roman" w:hAnsi="Times New Roman" w:cs="Times New Roman"/>
          <w:sz w:val="28"/>
          <w:szCs w:val="28"/>
          <w:lang w:val="ru-RU"/>
        </w:rPr>
        <w:t xml:space="preserve"> что СГЯ в  группе </w:t>
      </w:r>
      <w:r w:rsidR="00D304D6">
        <w:rPr>
          <w:rFonts w:ascii="Times New Roman" w:hAnsi="Times New Roman" w:cs="Times New Roman"/>
          <w:sz w:val="28"/>
          <w:szCs w:val="28"/>
          <w:lang w:val="ru-RU"/>
        </w:rPr>
        <w:t>пациенток с оперативным лечением СПКЯ в анамнезе возникал</w:t>
      </w:r>
      <w:r w:rsidR="00F13885">
        <w:rPr>
          <w:rFonts w:ascii="Times New Roman" w:hAnsi="Times New Roman" w:cs="Times New Roman"/>
          <w:sz w:val="28"/>
          <w:szCs w:val="28"/>
          <w:lang w:val="ru-RU"/>
        </w:rPr>
        <w:t xml:space="preserve"> намного реже</w:t>
      </w:r>
      <w:r w:rsidR="00872E50">
        <w:rPr>
          <w:rFonts w:ascii="Times New Roman" w:hAnsi="Times New Roman" w:cs="Times New Roman"/>
          <w:sz w:val="28"/>
          <w:szCs w:val="28"/>
          <w:lang w:val="ru-RU"/>
        </w:rPr>
        <w:t>,</w:t>
      </w:r>
      <w:r w:rsidR="004C0324">
        <w:rPr>
          <w:rFonts w:ascii="Times New Roman" w:hAnsi="Times New Roman" w:cs="Times New Roman"/>
          <w:sz w:val="28"/>
          <w:szCs w:val="28"/>
          <w:lang w:val="ru-RU"/>
        </w:rPr>
        <w:t xml:space="preserve"> чем в</w:t>
      </w:r>
      <w:r w:rsidR="00D304D6">
        <w:rPr>
          <w:rFonts w:ascii="Times New Roman" w:hAnsi="Times New Roman" w:cs="Times New Roman"/>
          <w:sz w:val="28"/>
          <w:szCs w:val="28"/>
          <w:lang w:val="ru-RU"/>
        </w:rPr>
        <w:t xml:space="preserve"> группе, где оперативное лечение не применялось </w:t>
      </w:r>
      <w:r w:rsidR="00D304D6" w:rsidRPr="00E96ACC">
        <w:rPr>
          <w:rFonts w:ascii="Times New Roman" w:hAnsi="Times New Roman" w:cs="Times New Roman"/>
          <w:sz w:val="28"/>
          <w:szCs w:val="28"/>
          <w:lang w:val="ru-RU"/>
        </w:rPr>
        <w:t>(</w:t>
      </w:r>
      <w:r w:rsidR="00D304D6" w:rsidRPr="00E96ACC">
        <w:rPr>
          <w:rFonts w:ascii="Times New Roman" w:hAnsi="Times New Roman" w:cs="Times New Roman"/>
          <w:sz w:val="28"/>
          <w:szCs w:val="28"/>
          <w:shd w:val="clear" w:color="auto" w:fill="FFFFFF"/>
        </w:rPr>
        <w:t>χ</w:t>
      </w:r>
      <w:r w:rsidR="00D304D6" w:rsidRPr="00E96ACC">
        <w:rPr>
          <w:rFonts w:ascii="Times New Roman" w:hAnsi="Times New Roman" w:cs="Times New Roman"/>
          <w:sz w:val="28"/>
          <w:szCs w:val="28"/>
          <w:shd w:val="clear" w:color="auto" w:fill="FFFFFF"/>
          <w:vertAlign w:val="superscript"/>
          <w:lang w:val="ru-RU"/>
        </w:rPr>
        <w:t>2</w:t>
      </w:r>
      <w:r w:rsidR="00D304D6" w:rsidRPr="00E96ACC">
        <w:rPr>
          <w:rStyle w:val="apple-converted-space"/>
          <w:rFonts w:ascii="Times New Roman" w:hAnsi="Times New Roman" w:cs="Times New Roman"/>
          <w:sz w:val="28"/>
          <w:szCs w:val="28"/>
          <w:shd w:val="clear" w:color="auto" w:fill="FFFFFF"/>
        </w:rPr>
        <w:t> </w:t>
      </w:r>
      <w:r w:rsidR="00D304D6">
        <w:rPr>
          <w:rFonts w:ascii="Times New Roman" w:hAnsi="Times New Roman" w:cs="Times New Roman"/>
          <w:sz w:val="28"/>
          <w:szCs w:val="28"/>
          <w:shd w:val="clear" w:color="auto" w:fill="FFFFFF"/>
          <w:lang w:val="ru-RU"/>
        </w:rPr>
        <w:t xml:space="preserve">= 8.32, при </w:t>
      </w:r>
      <w:r w:rsidR="00D304D6" w:rsidRPr="00C67CC9">
        <w:rPr>
          <w:rFonts w:ascii="Times New Roman" w:hAnsi="Times New Roman" w:cs="Times New Roman"/>
          <w:sz w:val="28"/>
          <w:szCs w:val="28"/>
          <w:lang w:val="ru-RU"/>
        </w:rPr>
        <w:t xml:space="preserve">р </w:t>
      </w:r>
      <w:r w:rsidR="00D304D6">
        <w:rPr>
          <w:rFonts w:ascii="Times New Roman" w:hAnsi="Times New Roman" w:cs="Times New Roman"/>
          <w:sz w:val="28"/>
          <w:szCs w:val="28"/>
          <w:lang w:val="ru-RU"/>
        </w:rPr>
        <w:t>=0,01</w:t>
      </w:r>
      <w:r w:rsidR="00D304D6" w:rsidRPr="00C67CC9">
        <w:rPr>
          <w:rFonts w:ascii="Times New Roman" w:hAnsi="Times New Roman" w:cs="Times New Roman"/>
          <w:sz w:val="28"/>
          <w:szCs w:val="28"/>
          <w:lang w:val="ru-RU"/>
        </w:rPr>
        <w:t>)</w:t>
      </w:r>
      <w:r w:rsidR="00D304D6">
        <w:rPr>
          <w:rFonts w:ascii="Times New Roman" w:hAnsi="Times New Roman" w:cs="Times New Roman"/>
          <w:sz w:val="28"/>
          <w:szCs w:val="28"/>
          <w:lang w:val="ru-RU"/>
        </w:rPr>
        <w:t>.</w:t>
      </w:r>
      <w:r w:rsidR="00D304D6" w:rsidRPr="00C67CC9">
        <w:rPr>
          <w:rFonts w:ascii="Times New Roman" w:hAnsi="Times New Roman" w:cs="Times New Roman"/>
          <w:sz w:val="28"/>
          <w:szCs w:val="28"/>
          <w:lang w:val="ru-RU"/>
        </w:rPr>
        <w:t xml:space="preserve"> </w:t>
      </w:r>
      <w:r w:rsidR="00D304D6">
        <w:rPr>
          <w:rFonts w:ascii="Times New Roman" w:hAnsi="Times New Roman" w:cs="Times New Roman"/>
          <w:sz w:val="28"/>
          <w:szCs w:val="28"/>
          <w:lang w:val="ru-RU"/>
        </w:rPr>
        <w:t>См.</w:t>
      </w:r>
      <w:r w:rsidR="00D304D6" w:rsidRPr="00C67CC9">
        <w:rPr>
          <w:rFonts w:ascii="Times New Roman" w:hAnsi="Times New Roman" w:cs="Times New Roman"/>
          <w:sz w:val="28"/>
          <w:szCs w:val="28"/>
          <w:lang w:val="ru-RU"/>
        </w:rPr>
        <w:t xml:space="preserve"> </w:t>
      </w:r>
      <w:r w:rsidR="00D304D6">
        <w:rPr>
          <w:rFonts w:ascii="Times New Roman" w:hAnsi="Times New Roman" w:cs="Times New Roman"/>
          <w:sz w:val="28"/>
          <w:szCs w:val="28"/>
          <w:lang w:val="ru-RU"/>
        </w:rPr>
        <w:t>рис. 4</w:t>
      </w:r>
      <w:r w:rsidR="00D304D6" w:rsidRPr="00C67CC9">
        <w:rPr>
          <w:rFonts w:ascii="Times New Roman" w:hAnsi="Times New Roman" w:cs="Times New Roman"/>
          <w:sz w:val="28"/>
          <w:szCs w:val="28"/>
          <w:lang w:val="ru-RU"/>
        </w:rPr>
        <w:t xml:space="preserve">. </w:t>
      </w:r>
      <w:r w:rsidR="00D304D6">
        <w:rPr>
          <w:rFonts w:ascii="Times New Roman" w:hAnsi="Times New Roman" w:cs="Times New Roman"/>
          <w:sz w:val="28"/>
          <w:szCs w:val="28"/>
          <w:lang w:val="ru-RU"/>
        </w:rPr>
        <w:t xml:space="preserve">Полученные данные отражают повышенную реактивность яичников на стимулирующее действие гонадотропинов и диктуют необходимость применения протоколов стимуляции суперовуляции, позволяющих профилактировать развитие этого серьезного осложнения. К мерам такой профилактики прежде всего относятся: применение протоколов с антагонистами гонадотропин релизинг гормона, позволяющие заменять триггер овуляция с ХГЧ на агонист </w:t>
      </w:r>
      <w:r w:rsidR="00D304D6" w:rsidRPr="00D66C11">
        <w:rPr>
          <w:rFonts w:ascii="Times New Roman" w:hAnsi="Times New Roman" w:cs="Times New Roman"/>
          <w:sz w:val="28"/>
          <w:szCs w:val="28"/>
          <w:lang w:val="ru-RU"/>
        </w:rPr>
        <w:t xml:space="preserve">ГНРГ, </w:t>
      </w:r>
      <w:r w:rsidR="00D304D6">
        <w:rPr>
          <w:rFonts w:ascii="Times New Roman" w:hAnsi="Times New Roman" w:cs="Times New Roman"/>
          <w:sz w:val="28"/>
          <w:szCs w:val="28"/>
          <w:lang w:val="ru-RU"/>
        </w:rPr>
        <w:t xml:space="preserve">отменять перенос эмбрионов в полость матки, прибегая к технологии криоконсервации всех эмбрионов </w:t>
      </w:r>
      <w:r w:rsidR="00D304D6">
        <w:rPr>
          <w:rFonts w:ascii="Times New Roman" w:hAnsi="Times New Roman" w:cs="Times New Roman"/>
          <w:sz w:val="28"/>
          <w:szCs w:val="28"/>
          <w:lang w:val="ru-RU"/>
        </w:rPr>
        <w:lastRenderedPageBreak/>
        <w:t>хорошего качества для дальнейшего использования в криопротоколах.</w:t>
      </w:r>
      <w:r w:rsidR="004C0324">
        <w:rPr>
          <w:rFonts w:ascii="Times New Roman" w:hAnsi="Times New Roman" w:cs="Times New Roman"/>
          <w:noProof/>
          <w:sz w:val="28"/>
          <w:szCs w:val="28"/>
        </w:rPr>
        <w:drawing>
          <wp:inline distT="0" distB="0" distL="0" distR="0">
            <wp:extent cx="5157216" cy="2450592"/>
            <wp:effectExtent l="0" t="0" r="5715"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49B1" w:rsidRPr="000349B1" w:rsidRDefault="00D304D6" w:rsidP="00BB6B0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w:t>
      </w:r>
      <w:r w:rsidR="000349B1">
        <w:rPr>
          <w:rFonts w:ascii="Times New Roman" w:hAnsi="Times New Roman" w:cs="Times New Roman"/>
          <w:sz w:val="28"/>
          <w:szCs w:val="28"/>
          <w:lang w:val="ru-RU"/>
        </w:rPr>
        <w:t xml:space="preserve">4. Сравнение частоты возникновения синдрома гиперстимуляции яичников </w:t>
      </w:r>
      <w:r w:rsidR="00296CF9">
        <w:rPr>
          <w:rFonts w:ascii="Times New Roman" w:hAnsi="Times New Roman" w:cs="Times New Roman"/>
          <w:sz w:val="28"/>
          <w:szCs w:val="28"/>
          <w:lang w:val="ru-RU"/>
        </w:rPr>
        <w:t>в группах больных с хирургическим лечением C</w:t>
      </w:r>
      <w:r w:rsidR="00296CF9" w:rsidRPr="00D228A5">
        <w:rPr>
          <w:rFonts w:ascii="Times New Roman" w:hAnsi="Times New Roman" w:cs="Times New Roman"/>
          <w:sz w:val="28"/>
          <w:szCs w:val="28"/>
          <w:lang w:val="ru-RU"/>
        </w:rPr>
        <w:t>ПКЯ</w:t>
      </w:r>
      <w:r w:rsidR="00296CF9">
        <w:rPr>
          <w:rFonts w:ascii="Times New Roman" w:hAnsi="Times New Roman" w:cs="Times New Roman"/>
          <w:sz w:val="28"/>
          <w:szCs w:val="28"/>
          <w:lang w:val="ru-RU"/>
        </w:rPr>
        <w:t xml:space="preserve"> в анамнезе (группа1) и без операции на яичниках (группа2)</w:t>
      </w:r>
      <w:r w:rsidR="000349B1">
        <w:rPr>
          <w:rFonts w:ascii="Times New Roman" w:hAnsi="Times New Roman" w:cs="Times New Roman"/>
          <w:sz w:val="28"/>
          <w:szCs w:val="28"/>
          <w:lang w:val="ru-RU"/>
        </w:rPr>
        <w:t xml:space="preserve">. </w:t>
      </w:r>
    </w:p>
    <w:p w:rsidR="004D0C3D" w:rsidRDefault="004D0C3D" w:rsidP="00BB6B0E">
      <w:pPr>
        <w:spacing w:line="360" w:lineRule="auto"/>
        <w:jc w:val="both"/>
        <w:rPr>
          <w:rFonts w:ascii="Times New Roman" w:hAnsi="Times New Roman" w:cs="Times New Roman"/>
          <w:b/>
          <w:sz w:val="28"/>
          <w:szCs w:val="28"/>
          <w:lang w:val="ru-RU"/>
        </w:rPr>
      </w:pPr>
      <w:r w:rsidRPr="00C67CC9">
        <w:rPr>
          <w:rFonts w:ascii="Times New Roman" w:hAnsi="Times New Roman" w:cs="Times New Roman"/>
          <w:b/>
          <w:sz w:val="28"/>
          <w:szCs w:val="28"/>
          <w:lang w:val="ru-RU"/>
        </w:rPr>
        <w:t xml:space="preserve">Заключение. </w:t>
      </w:r>
    </w:p>
    <w:p w:rsidR="00BB6B0E" w:rsidRPr="00BB6B0E" w:rsidRDefault="00BB6B0E" w:rsidP="00BB6B0E">
      <w:pPr>
        <w:spacing w:line="360" w:lineRule="auto"/>
        <w:jc w:val="both"/>
        <w:rPr>
          <w:rFonts w:ascii="Times New Roman" w:hAnsi="Times New Roman" w:cs="Times New Roman"/>
          <w:sz w:val="28"/>
          <w:szCs w:val="28"/>
          <w:lang w:val="ru-RU"/>
        </w:rPr>
      </w:pPr>
      <w:r w:rsidRPr="00C67CC9">
        <w:rPr>
          <w:rFonts w:ascii="Times New Roman" w:hAnsi="Times New Roman" w:cs="Times New Roman"/>
          <w:sz w:val="28"/>
          <w:szCs w:val="28"/>
          <w:lang w:val="ru-RU"/>
        </w:rPr>
        <w:t>Синдром поликистозных яичников был и остае</w:t>
      </w:r>
      <w:r>
        <w:rPr>
          <w:rFonts w:ascii="Times New Roman" w:hAnsi="Times New Roman" w:cs="Times New Roman"/>
          <w:sz w:val="28"/>
          <w:szCs w:val="28"/>
          <w:lang w:val="ru-RU"/>
        </w:rPr>
        <w:t xml:space="preserve">тся одним из наиболее изучаемых </w:t>
      </w:r>
      <w:r w:rsidRPr="00C67CC9">
        <w:rPr>
          <w:rFonts w:ascii="Times New Roman" w:hAnsi="Times New Roman" w:cs="Times New Roman"/>
          <w:sz w:val="28"/>
          <w:szCs w:val="28"/>
          <w:lang w:val="ru-RU"/>
        </w:rPr>
        <w:t xml:space="preserve">заболеваний в гинекологической эндокринологии и репродуктологии. </w:t>
      </w:r>
    </w:p>
    <w:p w:rsidR="00BB6B0E" w:rsidRDefault="00BB6B0E" w:rsidP="00BB6B0E">
      <w:pPr>
        <w:spacing w:line="36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 xml:space="preserve">Данное исследование наглядно показало отдаленные последствия операции электрокаутеризации яичников, используемую для лечения СПКЯ. В последние 20 лет существует тенденция к увеличению «популярности» данной процедуры. По мнению </w:t>
      </w:r>
      <w:r w:rsidRPr="00C67CC9">
        <w:rPr>
          <w:rFonts w:ascii="Times New Roman" w:eastAsia="Times New Roman" w:hAnsi="Times New Roman" w:cs="Times New Roman"/>
          <w:sz w:val="28"/>
          <w:szCs w:val="28"/>
        </w:rPr>
        <w:t>Johnson</w:t>
      </w:r>
      <w:r w:rsidRPr="00112104">
        <w:rPr>
          <w:rFonts w:ascii="Times New Roman" w:eastAsia="Times New Roman" w:hAnsi="Times New Roman" w:cs="Times New Roman"/>
          <w:sz w:val="28"/>
          <w:szCs w:val="28"/>
          <w:lang w:val="ru-RU"/>
        </w:rPr>
        <w:t xml:space="preserve">, </w:t>
      </w:r>
      <w:r w:rsidRPr="00C67CC9">
        <w:rPr>
          <w:rFonts w:ascii="Times New Roman" w:eastAsia="Times New Roman" w:hAnsi="Times New Roman" w:cs="Times New Roman"/>
          <w:sz w:val="28"/>
          <w:szCs w:val="28"/>
        </w:rPr>
        <w:t>N</w:t>
      </w:r>
      <w:r w:rsidRPr="00112104">
        <w:rPr>
          <w:rFonts w:ascii="Times New Roman" w:eastAsia="Times New Roman" w:hAnsi="Times New Roman" w:cs="Times New Roman"/>
          <w:sz w:val="28"/>
          <w:szCs w:val="28"/>
          <w:lang w:val="ru-RU"/>
        </w:rPr>
        <w:t>. (2011</w:t>
      </w:r>
      <w:r>
        <w:rPr>
          <w:rFonts w:ascii="Times New Roman" w:eastAsia="Times New Roman" w:hAnsi="Times New Roman" w:cs="Times New Roman"/>
          <w:sz w:val="28"/>
          <w:szCs w:val="28"/>
          <w:lang w:val="ru-RU"/>
        </w:rPr>
        <w:t xml:space="preserve"> г.</w:t>
      </w:r>
      <w:r w:rsidRPr="00112104">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каждая 4 женщина с диагнозом СПКЯ подвергается операции и, безусловно, электрокаутеризация яичников дает хороший клинический эффект в отношении восстановления регулярности менструаций, снижения содержания андрогенов в крови и, соответственно, симптомов гиперандрогенемии и восстановлении овуляции. В то же время, эти эффекты могут носить временный характер, а при отсутствии </w:t>
      </w:r>
      <w:r>
        <w:rPr>
          <w:rFonts w:ascii="Times New Roman" w:eastAsia="Times New Roman" w:hAnsi="Times New Roman" w:cs="Times New Roman"/>
          <w:sz w:val="28"/>
          <w:szCs w:val="28"/>
          <w:lang w:val="ru-RU"/>
        </w:rPr>
        <w:lastRenderedPageBreak/>
        <w:t>заинтересованности в беременности, репродуктивная функция у этих больных может не реализоваться. В дальнейшем, при необходимости получить желанную беременность, может возникнуть необходимость в  индукции овуляции, но поскольку ответная реакция яичников на стимулирующее действие всех современных средств, применяемых для стимуляции овуляции у пациентов с хирургическим лечением СПЯ снижена эффективность этого метода, в целом, снижается. Это касается и эффективности применения методов ВРТ.  Таким образом, п</w:t>
      </w:r>
      <w:r w:rsidRPr="00112104">
        <w:rPr>
          <w:rFonts w:ascii="Times New Roman" w:hAnsi="Times New Roman" w:cs="Times New Roman"/>
          <w:sz w:val="28"/>
          <w:szCs w:val="28"/>
          <w:shd w:val="clear" w:color="auto" w:fill="FFFFFF"/>
          <w:lang w:val="ru-RU"/>
        </w:rPr>
        <w:t xml:space="preserve">рименение электрокаутеризации яичников с целью лечения СПКЯ приводит к достоверному снижению овариального резерва и осложняет проведение программ ВРТ. </w:t>
      </w:r>
      <w:r>
        <w:rPr>
          <w:rFonts w:ascii="Times New Roman" w:hAnsi="Times New Roman" w:cs="Times New Roman"/>
          <w:sz w:val="28"/>
          <w:szCs w:val="28"/>
          <w:shd w:val="clear" w:color="auto" w:fill="FFFFFF"/>
          <w:lang w:val="ru-RU"/>
        </w:rPr>
        <w:t xml:space="preserve">Именно поэтому, исходя из результатов исследования, рекомендуется в первую очередь реализовать репродуктивную функцию пациенток с СПКЯ, а затем, при необходимости переходить к использованию оперативных методик лечения.  </w:t>
      </w:r>
    </w:p>
    <w:p w:rsidR="004D0C3D" w:rsidRPr="000475AD" w:rsidRDefault="00DA47C7" w:rsidP="00BB6B0E">
      <w:pPr>
        <w:spacing w:line="360" w:lineRule="auto"/>
        <w:jc w:val="both"/>
        <w:rPr>
          <w:rFonts w:ascii="Times New Roman" w:hAnsi="Times New Roman" w:cs="Times New Roman"/>
          <w:b/>
          <w:sz w:val="28"/>
          <w:szCs w:val="28"/>
          <w:lang w:val="ru-RU"/>
        </w:rPr>
      </w:pPr>
      <w:r w:rsidRPr="000475AD">
        <w:rPr>
          <w:rFonts w:ascii="Times New Roman" w:hAnsi="Times New Roman" w:cs="Times New Roman"/>
          <w:b/>
          <w:sz w:val="28"/>
          <w:szCs w:val="28"/>
          <w:lang w:val="ru-RU"/>
        </w:rPr>
        <w:t>Выводы:</w:t>
      </w:r>
    </w:p>
    <w:p w:rsidR="00786161" w:rsidRPr="000475AD" w:rsidRDefault="00786161" w:rsidP="00BB6B0E">
      <w:pPr>
        <w:spacing w:line="360" w:lineRule="auto"/>
        <w:rPr>
          <w:rFonts w:ascii="Times New Roman" w:hAnsi="Times New Roman" w:cs="Times New Roman"/>
          <w:sz w:val="28"/>
          <w:szCs w:val="28"/>
          <w:lang w:val="ru-RU"/>
        </w:rPr>
      </w:pPr>
      <w:r w:rsidRPr="000475AD">
        <w:rPr>
          <w:rFonts w:ascii="Times New Roman" w:hAnsi="Times New Roman" w:cs="Times New Roman"/>
          <w:sz w:val="28"/>
          <w:szCs w:val="28"/>
          <w:lang w:val="ru-RU"/>
        </w:rPr>
        <w:t>1. У пациенток с проведенной электрокаутеризацией яичников овариальный резерв ниже, чем у пациенток без операций в анамнезе</w:t>
      </w:r>
      <w:r w:rsidR="004C0324" w:rsidRPr="000475AD">
        <w:rPr>
          <w:rFonts w:ascii="Times New Roman" w:hAnsi="Times New Roman" w:cs="Times New Roman"/>
          <w:sz w:val="28"/>
          <w:szCs w:val="28"/>
          <w:lang w:val="ru-RU"/>
        </w:rPr>
        <w:t xml:space="preserve"> (уровень АМГ в группе пациенток с каутеризацией яичников в </w:t>
      </w:r>
      <w:r w:rsidR="000475AD" w:rsidRPr="000475AD">
        <w:rPr>
          <w:rFonts w:ascii="Times New Roman" w:hAnsi="Times New Roman" w:cs="Times New Roman"/>
          <w:sz w:val="28"/>
          <w:szCs w:val="28"/>
          <w:lang w:val="ru-RU"/>
        </w:rPr>
        <w:t>анамнезе</w:t>
      </w:r>
      <w:r w:rsidR="004C0324" w:rsidRPr="000475AD">
        <w:rPr>
          <w:rFonts w:ascii="Times New Roman" w:hAnsi="Times New Roman" w:cs="Times New Roman"/>
          <w:sz w:val="28"/>
          <w:szCs w:val="28"/>
          <w:lang w:val="ru-RU"/>
        </w:rPr>
        <w:t xml:space="preserve"> </w:t>
      </w:r>
      <w:r w:rsidR="000475AD" w:rsidRPr="000475AD">
        <w:rPr>
          <w:rFonts w:ascii="Times New Roman" w:hAnsi="Times New Roman" w:cs="Times New Roman"/>
          <w:kern w:val="24"/>
          <w:sz w:val="28"/>
          <w:szCs w:val="28"/>
          <w:lang w:val="ru-RU"/>
        </w:rPr>
        <w:t>3,8±1,02 нмоль/л, в группе без операции в анамнезе 4,9±1,23 нмоль/л (р=</w:t>
      </w:r>
      <w:r w:rsidR="000475AD" w:rsidRPr="000475AD">
        <w:rPr>
          <w:rFonts w:ascii="Times New Roman" w:hAnsi="Times New Roman" w:cs="Times New Roman"/>
          <w:sz w:val="28"/>
          <w:szCs w:val="28"/>
          <w:lang w:val="ru-RU"/>
        </w:rPr>
        <w:t>0,0397)</w:t>
      </w:r>
      <w:r w:rsidR="000475AD" w:rsidRPr="000475AD">
        <w:rPr>
          <w:rFonts w:ascii="Times New Roman" w:hAnsi="Times New Roman" w:cs="Times New Roman"/>
          <w:kern w:val="24"/>
          <w:sz w:val="28"/>
          <w:szCs w:val="28"/>
          <w:lang w:val="ru-RU"/>
        </w:rPr>
        <w:t>)</w:t>
      </w:r>
      <w:r w:rsidRPr="000475AD">
        <w:rPr>
          <w:rFonts w:ascii="Times New Roman" w:hAnsi="Times New Roman" w:cs="Times New Roman"/>
          <w:sz w:val="28"/>
          <w:szCs w:val="28"/>
          <w:lang w:val="ru-RU"/>
        </w:rPr>
        <w:t xml:space="preserve">. </w:t>
      </w:r>
    </w:p>
    <w:p w:rsidR="00786161" w:rsidRPr="000475AD" w:rsidRDefault="00786161" w:rsidP="00BB6B0E">
      <w:pPr>
        <w:spacing w:line="360" w:lineRule="auto"/>
        <w:jc w:val="both"/>
        <w:rPr>
          <w:rFonts w:ascii="Times New Roman" w:eastAsia="Arial Unicode MS" w:hAnsi="Times New Roman" w:cs="Times New Roman"/>
          <w:sz w:val="28"/>
          <w:szCs w:val="28"/>
          <w:lang w:val="ru-RU"/>
        </w:rPr>
      </w:pPr>
      <w:r w:rsidRPr="000475AD">
        <w:rPr>
          <w:rFonts w:ascii="Times New Roman" w:hAnsi="Times New Roman" w:cs="Times New Roman"/>
          <w:sz w:val="28"/>
          <w:szCs w:val="28"/>
          <w:lang w:val="ru-RU"/>
        </w:rPr>
        <w:t xml:space="preserve">2. </w:t>
      </w:r>
      <w:r w:rsidR="00D304D6" w:rsidRPr="000475AD">
        <w:rPr>
          <w:rFonts w:ascii="Times New Roman" w:hAnsi="Times New Roman" w:cs="Times New Roman"/>
          <w:sz w:val="28"/>
          <w:szCs w:val="28"/>
          <w:lang w:val="ru-RU"/>
        </w:rPr>
        <w:t xml:space="preserve">Частота наступления беременности, </w:t>
      </w:r>
      <w:r w:rsidR="00D304D6">
        <w:rPr>
          <w:rFonts w:ascii="Times New Roman" w:hAnsi="Times New Roman" w:cs="Times New Roman"/>
          <w:sz w:val="28"/>
          <w:szCs w:val="28"/>
          <w:lang w:val="ru-RU"/>
        </w:rPr>
        <w:t>в результате проведения</w:t>
      </w:r>
      <w:r w:rsidR="00D304D6" w:rsidRPr="000475AD">
        <w:rPr>
          <w:rFonts w:ascii="Times New Roman" w:hAnsi="Times New Roman" w:cs="Times New Roman"/>
          <w:sz w:val="28"/>
          <w:szCs w:val="28"/>
          <w:lang w:val="ru-RU"/>
        </w:rPr>
        <w:t xml:space="preserve"> ЭКО у пациенток с электрокаутеризацией яичников в </w:t>
      </w:r>
      <w:r w:rsidR="00D304D6">
        <w:rPr>
          <w:rFonts w:ascii="Times New Roman" w:hAnsi="Times New Roman" w:cs="Times New Roman"/>
          <w:sz w:val="28"/>
          <w:szCs w:val="28"/>
          <w:lang w:val="ru-RU"/>
        </w:rPr>
        <w:t xml:space="preserve">анамнезе в </w:t>
      </w:r>
      <w:r w:rsidR="00D304D6" w:rsidRPr="000475AD">
        <w:rPr>
          <w:rFonts w:ascii="Times New Roman" w:hAnsi="Times New Roman" w:cs="Times New Roman"/>
          <w:sz w:val="28"/>
          <w:szCs w:val="28"/>
          <w:lang w:val="ru-RU"/>
        </w:rPr>
        <w:t xml:space="preserve">2.5 раза </w:t>
      </w:r>
      <w:r w:rsidR="00D304D6">
        <w:rPr>
          <w:rFonts w:ascii="Times New Roman" w:hAnsi="Times New Roman" w:cs="Times New Roman"/>
          <w:sz w:val="28"/>
          <w:szCs w:val="28"/>
          <w:lang w:val="ru-RU"/>
        </w:rPr>
        <w:t>ниже</w:t>
      </w:r>
      <w:r w:rsidR="00D304D6" w:rsidRPr="000475AD">
        <w:rPr>
          <w:rFonts w:ascii="Times New Roman" w:hAnsi="Times New Roman" w:cs="Times New Roman"/>
          <w:sz w:val="28"/>
          <w:szCs w:val="28"/>
          <w:lang w:val="ru-RU"/>
        </w:rPr>
        <w:t xml:space="preserve"> (</w:t>
      </w:r>
      <w:r w:rsidR="00D304D6" w:rsidRPr="000475AD">
        <w:rPr>
          <w:rFonts w:ascii="Times New Roman" w:eastAsia="Arial Unicode MS" w:hAnsi="Times New Roman" w:cs="Times New Roman"/>
          <w:bCs/>
          <w:sz w:val="28"/>
          <w:szCs w:val="28"/>
          <w:lang w:val="ru-RU"/>
        </w:rPr>
        <w:t>18,9%)</w:t>
      </w:r>
      <w:r w:rsidR="00D304D6" w:rsidRPr="000475AD">
        <w:rPr>
          <w:rFonts w:ascii="Times New Roman" w:hAnsi="Times New Roman" w:cs="Times New Roman"/>
          <w:sz w:val="28"/>
          <w:szCs w:val="28"/>
          <w:lang w:val="ru-RU"/>
        </w:rPr>
        <w:t xml:space="preserve">, </w:t>
      </w:r>
      <w:r w:rsidR="00D304D6">
        <w:rPr>
          <w:rFonts w:ascii="Times New Roman" w:hAnsi="Times New Roman" w:cs="Times New Roman"/>
          <w:sz w:val="28"/>
          <w:szCs w:val="28"/>
          <w:lang w:val="ru-RU"/>
        </w:rPr>
        <w:t xml:space="preserve">чем у </w:t>
      </w:r>
      <w:r w:rsidR="00D304D6" w:rsidRPr="000475AD">
        <w:rPr>
          <w:rFonts w:ascii="Times New Roman" w:hAnsi="Times New Roman" w:cs="Times New Roman"/>
          <w:sz w:val="28"/>
          <w:szCs w:val="28"/>
          <w:lang w:val="ru-RU"/>
        </w:rPr>
        <w:t xml:space="preserve"> пациент</w:t>
      </w:r>
      <w:r w:rsidR="00D304D6">
        <w:rPr>
          <w:rFonts w:ascii="Times New Roman" w:hAnsi="Times New Roman" w:cs="Times New Roman"/>
          <w:sz w:val="28"/>
          <w:szCs w:val="28"/>
          <w:lang w:val="ru-RU"/>
        </w:rPr>
        <w:t>ок</w:t>
      </w:r>
      <w:r w:rsidR="00D304D6" w:rsidRPr="000475AD">
        <w:rPr>
          <w:rFonts w:ascii="Times New Roman" w:hAnsi="Times New Roman" w:cs="Times New Roman"/>
          <w:sz w:val="28"/>
          <w:szCs w:val="28"/>
          <w:lang w:val="ru-RU"/>
        </w:rPr>
        <w:t xml:space="preserve"> без операций </w:t>
      </w:r>
      <w:r w:rsidR="00D304D6">
        <w:rPr>
          <w:rFonts w:ascii="Times New Roman" w:hAnsi="Times New Roman" w:cs="Times New Roman"/>
          <w:sz w:val="28"/>
          <w:szCs w:val="28"/>
          <w:lang w:val="ru-RU"/>
        </w:rPr>
        <w:t xml:space="preserve">на яичниках   </w:t>
      </w:r>
      <w:r w:rsidR="00D304D6" w:rsidRPr="000475AD">
        <w:rPr>
          <w:rFonts w:ascii="Times New Roman" w:hAnsi="Times New Roman" w:cs="Times New Roman"/>
          <w:sz w:val="28"/>
          <w:szCs w:val="28"/>
          <w:lang w:val="ru-RU"/>
        </w:rPr>
        <w:t xml:space="preserve"> (</w:t>
      </w:r>
      <w:r w:rsidR="00D304D6" w:rsidRPr="000475AD">
        <w:rPr>
          <w:rFonts w:ascii="Times New Roman" w:eastAsia="Arial Unicode MS" w:hAnsi="Times New Roman" w:cs="Times New Roman"/>
          <w:bCs/>
          <w:sz w:val="28"/>
          <w:szCs w:val="28"/>
          <w:lang w:val="ru-RU"/>
        </w:rPr>
        <w:t>46.4%</w:t>
      </w:r>
      <w:r w:rsidR="00D304D6">
        <w:rPr>
          <w:rFonts w:ascii="Times New Roman" w:hAnsi="Times New Roman" w:cs="Times New Roman"/>
          <w:sz w:val="28"/>
          <w:szCs w:val="28"/>
          <w:lang w:val="ru-RU"/>
        </w:rPr>
        <w:t xml:space="preserve">)  </w:t>
      </w:r>
      <w:r w:rsidR="00D304D6" w:rsidRPr="00E96ACC">
        <w:rPr>
          <w:rFonts w:ascii="Times New Roman" w:hAnsi="Times New Roman" w:cs="Times New Roman"/>
          <w:sz w:val="28"/>
          <w:szCs w:val="28"/>
          <w:lang w:val="ru-RU"/>
        </w:rPr>
        <w:t>(</w:t>
      </w:r>
      <w:r w:rsidR="00D304D6" w:rsidRPr="00E96ACC">
        <w:rPr>
          <w:rFonts w:ascii="Times New Roman" w:hAnsi="Times New Roman" w:cs="Times New Roman"/>
          <w:sz w:val="28"/>
          <w:szCs w:val="28"/>
          <w:shd w:val="clear" w:color="auto" w:fill="FFFFFF"/>
        </w:rPr>
        <w:t>χ</w:t>
      </w:r>
      <w:r w:rsidR="00D304D6" w:rsidRPr="00E96ACC">
        <w:rPr>
          <w:rFonts w:ascii="Times New Roman" w:hAnsi="Times New Roman" w:cs="Times New Roman"/>
          <w:sz w:val="28"/>
          <w:szCs w:val="28"/>
          <w:shd w:val="clear" w:color="auto" w:fill="FFFFFF"/>
          <w:vertAlign w:val="superscript"/>
          <w:lang w:val="ru-RU"/>
        </w:rPr>
        <w:t>2</w:t>
      </w:r>
      <w:r w:rsidR="00D304D6" w:rsidRPr="00E96ACC">
        <w:rPr>
          <w:rStyle w:val="apple-converted-space"/>
          <w:rFonts w:ascii="Times New Roman" w:hAnsi="Times New Roman" w:cs="Times New Roman"/>
          <w:sz w:val="28"/>
          <w:szCs w:val="28"/>
          <w:shd w:val="clear" w:color="auto" w:fill="FFFFFF"/>
        </w:rPr>
        <w:t> </w:t>
      </w:r>
      <w:r w:rsidR="00D304D6">
        <w:rPr>
          <w:rFonts w:ascii="Times New Roman" w:hAnsi="Times New Roman" w:cs="Times New Roman"/>
          <w:sz w:val="28"/>
          <w:szCs w:val="28"/>
          <w:shd w:val="clear" w:color="auto" w:fill="FFFFFF"/>
          <w:lang w:val="ru-RU"/>
        </w:rPr>
        <w:t xml:space="preserve">= 7.12, при </w:t>
      </w:r>
      <w:r w:rsidR="00D304D6" w:rsidRPr="00E96ACC">
        <w:rPr>
          <w:rFonts w:ascii="Times New Roman" w:hAnsi="Times New Roman" w:cs="Times New Roman"/>
          <w:sz w:val="28"/>
          <w:szCs w:val="28"/>
          <w:lang w:val="ru-RU"/>
        </w:rPr>
        <w:t>р =0,01)</w:t>
      </w:r>
      <w:r w:rsidR="00D304D6" w:rsidRPr="000475AD">
        <w:rPr>
          <w:rFonts w:ascii="Times New Roman" w:hAnsi="Times New Roman" w:cs="Times New Roman"/>
          <w:sz w:val="28"/>
          <w:szCs w:val="28"/>
          <w:lang w:val="ru-RU"/>
        </w:rPr>
        <w:t>.</w:t>
      </w:r>
    </w:p>
    <w:p w:rsidR="00872E50" w:rsidRPr="000475AD" w:rsidRDefault="00786161" w:rsidP="00BB6B0E">
      <w:pPr>
        <w:spacing w:line="360" w:lineRule="auto"/>
        <w:rPr>
          <w:rFonts w:ascii="Times New Roman" w:hAnsi="Times New Roman" w:cs="Times New Roman"/>
          <w:sz w:val="28"/>
          <w:szCs w:val="28"/>
          <w:lang w:val="ru-RU"/>
        </w:rPr>
      </w:pPr>
      <w:r w:rsidRPr="000475AD">
        <w:rPr>
          <w:rFonts w:ascii="Times New Roman" w:hAnsi="Times New Roman" w:cs="Times New Roman"/>
          <w:sz w:val="28"/>
          <w:szCs w:val="28"/>
          <w:lang w:val="ru-RU"/>
        </w:rPr>
        <w:t xml:space="preserve">3. Для получения 1 ооцита в группе </w:t>
      </w:r>
      <w:r w:rsidR="000475AD" w:rsidRPr="000475AD">
        <w:rPr>
          <w:rFonts w:ascii="Times New Roman" w:hAnsi="Times New Roman" w:cs="Times New Roman"/>
          <w:sz w:val="28"/>
          <w:szCs w:val="28"/>
          <w:lang w:val="ru-RU"/>
        </w:rPr>
        <w:t xml:space="preserve">пациенток </w:t>
      </w:r>
      <w:r w:rsidRPr="000475AD">
        <w:rPr>
          <w:rFonts w:ascii="Times New Roman" w:hAnsi="Times New Roman" w:cs="Times New Roman"/>
          <w:sz w:val="28"/>
          <w:szCs w:val="28"/>
          <w:lang w:val="ru-RU"/>
        </w:rPr>
        <w:t>с операцией в анамнезе требуется в 4 раза большая доза гонадотропинов</w:t>
      </w:r>
      <w:r w:rsidR="000475AD" w:rsidRPr="000475AD">
        <w:rPr>
          <w:rFonts w:ascii="Times New Roman" w:hAnsi="Times New Roman" w:cs="Times New Roman"/>
          <w:sz w:val="28"/>
          <w:szCs w:val="28"/>
          <w:lang w:val="ru-RU"/>
        </w:rPr>
        <w:t xml:space="preserve"> (</w:t>
      </w:r>
      <w:r w:rsidR="000475AD" w:rsidRPr="000475AD">
        <w:rPr>
          <w:rFonts w:ascii="Times New Roman" w:eastAsia="Calibri" w:hAnsi="Times New Roman" w:cs="Times New Roman"/>
          <w:bCs/>
          <w:kern w:val="24"/>
          <w:sz w:val="28"/>
          <w:szCs w:val="28"/>
          <w:lang w:val="ru-RU"/>
        </w:rPr>
        <w:t>406±102,5 МЕ)</w:t>
      </w:r>
      <w:r w:rsidRPr="000475AD">
        <w:rPr>
          <w:rFonts w:ascii="Times New Roman" w:hAnsi="Times New Roman" w:cs="Times New Roman"/>
          <w:sz w:val="28"/>
          <w:szCs w:val="28"/>
          <w:lang w:val="ru-RU"/>
        </w:rPr>
        <w:t>, чем в группе</w:t>
      </w:r>
      <w:r w:rsidR="00872E50" w:rsidRPr="000475AD">
        <w:rPr>
          <w:rFonts w:ascii="Times New Roman" w:hAnsi="Times New Roman" w:cs="Times New Roman"/>
          <w:sz w:val="28"/>
          <w:szCs w:val="28"/>
          <w:lang w:val="ru-RU"/>
        </w:rPr>
        <w:t xml:space="preserve"> сравнения</w:t>
      </w:r>
      <w:r w:rsidR="000475AD" w:rsidRPr="000475AD">
        <w:rPr>
          <w:rFonts w:ascii="Times New Roman" w:hAnsi="Times New Roman" w:cs="Times New Roman"/>
          <w:sz w:val="28"/>
          <w:szCs w:val="28"/>
          <w:lang w:val="ru-RU"/>
        </w:rPr>
        <w:t xml:space="preserve"> (</w:t>
      </w:r>
      <w:r w:rsidR="000475AD" w:rsidRPr="000475AD">
        <w:rPr>
          <w:rFonts w:ascii="Times New Roman" w:eastAsia="Calibri" w:hAnsi="Times New Roman" w:cs="Times New Roman"/>
          <w:bCs/>
          <w:kern w:val="24"/>
          <w:sz w:val="28"/>
          <w:szCs w:val="28"/>
          <w:lang w:val="ru-RU"/>
        </w:rPr>
        <w:t>93,7±89,45 МЕ)</w:t>
      </w:r>
      <w:r w:rsidR="003E562D">
        <w:rPr>
          <w:rFonts w:ascii="Times New Roman" w:eastAsia="Calibri" w:hAnsi="Times New Roman" w:cs="Times New Roman"/>
          <w:bCs/>
          <w:kern w:val="24"/>
          <w:sz w:val="28"/>
          <w:szCs w:val="28"/>
          <w:lang w:val="ru-RU"/>
        </w:rPr>
        <w:t xml:space="preserve"> </w:t>
      </w:r>
      <w:r w:rsidR="000475AD" w:rsidRPr="000475AD">
        <w:rPr>
          <w:rFonts w:ascii="Times New Roman" w:eastAsia="Calibri" w:hAnsi="Times New Roman" w:cs="Times New Roman"/>
          <w:bCs/>
          <w:kern w:val="24"/>
          <w:sz w:val="28"/>
          <w:szCs w:val="28"/>
          <w:lang w:val="ru-RU"/>
        </w:rPr>
        <w:t>(р=0.001)</w:t>
      </w:r>
      <w:r w:rsidR="00872E50" w:rsidRPr="000475AD">
        <w:rPr>
          <w:rFonts w:ascii="Times New Roman" w:hAnsi="Times New Roman" w:cs="Times New Roman"/>
          <w:sz w:val="28"/>
          <w:szCs w:val="28"/>
          <w:lang w:val="ru-RU"/>
        </w:rPr>
        <w:t>.</w:t>
      </w:r>
    </w:p>
    <w:p w:rsidR="00786161" w:rsidRPr="000475AD" w:rsidRDefault="00786161" w:rsidP="00BB6B0E">
      <w:pPr>
        <w:spacing w:line="360" w:lineRule="auto"/>
        <w:rPr>
          <w:rFonts w:ascii="Times New Roman" w:hAnsi="Times New Roman" w:cs="Times New Roman"/>
          <w:sz w:val="28"/>
          <w:szCs w:val="28"/>
          <w:lang w:val="ru-RU"/>
        </w:rPr>
      </w:pPr>
      <w:r w:rsidRPr="000475AD">
        <w:rPr>
          <w:rFonts w:ascii="Times New Roman" w:hAnsi="Times New Roman" w:cs="Times New Roman"/>
          <w:sz w:val="28"/>
          <w:szCs w:val="28"/>
          <w:lang w:val="ru-RU"/>
        </w:rPr>
        <w:lastRenderedPageBreak/>
        <w:t xml:space="preserve">4. Количество эмбрионов </w:t>
      </w:r>
      <w:r w:rsidR="00AD7EA7" w:rsidRPr="000475AD">
        <w:rPr>
          <w:rFonts w:ascii="Times New Roman" w:hAnsi="Times New Roman" w:cs="Times New Roman"/>
          <w:sz w:val="28"/>
          <w:szCs w:val="28"/>
          <w:lang w:val="ru-RU"/>
        </w:rPr>
        <w:t>хорошего</w:t>
      </w:r>
      <w:r w:rsidRPr="000475AD">
        <w:rPr>
          <w:rFonts w:ascii="Times New Roman" w:hAnsi="Times New Roman" w:cs="Times New Roman"/>
          <w:sz w:val="28"/>
          <w:szCs w:val="28"/>
          <w:lang w:val="ru-RU"/>
        </w:rPr>
        <w:t xml:space="preserve"> качества </w:t>
      </w:r>
      <w:r w:rsidR="000475AD" w:rsidRPr="000475AD">
        <w:rPr>
          <w:rFonts w:ascii="Times New Roman" w:hAnsi="Times New Roman" w:cs="Times New Roman"/>
          <w:sz w:val="28"/>
          <w:szCs w:val="28"/>
          <w:lang w:val="ru-RU"/>
        </w:rPr>
        <w:t>в обеих группах достоверно не отличаются (р= 0,0506).</w:t>
      </w:r>
      <w:r w:rsidRPr="000475AD">
        <w:rPr>
          <w:rFonts w:ascii="Times New Roman" w:hAnsi="Times New Roman" w:cs="Times New Roman"/>
          <w:sz w:val="28"/>
          <w:szCs w:val="28"/>
          <w:lang w:val="ru-RU"/>
        </w:rPr>
        <w:t xml:space="preserve"> </w:t>
      </w:r>
    </w:p>
    <w:p w:rsidR="00D304D6" w:rsidRDefault="00786161" w:rsidP="00BB6B0E">
      <w:pPr>
        <w:spacing w:line="360" w:lineRule="auto"/>
        <w:rPr>
          <w:rFonts w:ascii="Times New Roman" w:hAnsi="Times New Roman" w:cs="Times New Roman"/>
          <w:sz w:val="28"/>
          <w:szCs w:val="28"/>
          <w:lang w:val="ru-RU"/>
        </w:rPr>
      </w:pPr>
      <w:r w:rsidRPr="000475AD">
        <w:rPr>
          <w:rFonts w:ascii="Times New Roman" w:hAnsi="Times New Roman" w:cs="Times New Roman"/>
          <w:sz w:val="28"/>
          <w:szCs w:val="28"/>
          <w:lang w:val="ru-RU"/>
        </w:rPr>
        <w:t>5.</w:t>
      </w:r>
      <w:r w:rsidR="00D304D6" w:rsidRPr="00D304D6">
        <w:rPr>
          <w:rFonts w:ascii="Times New Roman" w:hAnsi="Times New Roman" w:cs="Times New Roman"/>
          <w:sz w:val="28"/>
          <w:szCs w:val="28"/>
          <w:lang w:val="ru-RU"/>
        </w:rPr>
        <w:t xml:space="preserve"> </w:t>
      </w:r>
      <w:r w:rsidR="00D304D6" w:rsidRPr="000475AD">
        <w:rPr>
          <w:rFonts w:ascii="Times New Roman" w:hAnsi="Times New Roman" w:cs="Times New Roman"/>
          <w:sz w:val="28"/>
          <w:szCs w:val="28"/>
          <w:lang w:val="ru-RU"/>
        </w:rPr>
        <w:t xml:space="preserve">Риск возникновения синдрома гиперстимуляции яичников в 6 раз выше в группе пациенток, не подвергавшихся оперативному лечению (12%), чем в группе с каутеризацией </w:t>
      </w:r>
      <w:r w:rsidR="00D304D6">
        <w:rPr>
          <w:rFonts w:ascii="Times New Roman" w:hAnsi="Times New Roman" w:cs="Times New Roman"/>
          <w:sz w:val="28"/>
          <w:szCs w:val="28"/>
          <w:lang w:val="ru-RU"/>
        </w:rPr>
        <w:t xml:space="preserve">яичников в анамнезе (2%) </w:t>
      </w:r>
      <w:r w:rsidR="00D304D6" w:rsidRPr="00E96ACC">
        <w:rPr>
          <w:rFonts w:ascii="Times New Roman" w:hAnsi="Times New Roman" w:cs="Times New Roman"/>
          <w:sz w:val="28"/>
          <w:szCs w:val="28"/>
          <w:lang w:val="ru-RU"/>
        </w:rPr>
        <w:t>(</w:t>
      </w:r>
      <w:r w:rsidR="00D304D6" w:rsidRPr="00E96ACC">
        <w:rPr>
          <w:rFonts w:ascii="Times New Roman" w:hAnsi="Times New Roman" w:cs="Times New Roman"/>
          <w:sz w:val="28"/>
          <w:szCs w:val="28"/>
          <w:shd w:val="clear" w:color="auto" w:fill="FFFFFF"/>
        </w:rPr>
        <w:t>χ</w:t>
      </w:r>
      <w:r w:rsidR="00D304D6" w:rsidRPr="00E96ACC">
        <w:rPr>
          <w:rFonts w:ascii="Times New Roman" w:hAnsi="Times New Roman" w:cs="Times New Roman"/>
          <w:sz w:val="28"/>
          <w:szCs w:val="28"/>
          <w:shd w:val="clear" w:color="auto" w:fill="FFFFFF"/>
          <w:vertAlign w:val="superscript"/>
          <w:lang w:val="ru-RU"/>
        </w:rPr>
        <w:t>2</w:t>
      </w:r>
      <w:r w:rsidR="00D304D6" w:rsidRPr="00E96ACC">
        <w:rPr>
          <w:rStyle w:val="apple-converted-space"/>
          <w:rFonts w:ascii="Times New Roman" w:hAnsi="Times New Roman" w:cs="Times New Roman"/>
          <w:sz w:val="28"/>
          <w:szCs w:val="28"/>
          <w:shd w:val="clear" w:color="auto" w:fill="FFFFFF"/>
        </w:rPr>
        <w:t> </w:t>
      </w:r>
      <w:r w:rsidR="00D304D6">
        <w:rPr>
          <w:rFonts w:ascii="Times New Roman" w:hAnsi="Times New Roman" w:cs="Times New Roman"/>
          <w:sz w:val="28"/>
          <w:szCs w:val="28"/>
          <w:shd w:val="clear" w:color="auto" w:fill="FFFFFF"/>
          <w:lang w:val="ru-RU"/>
        </w:rPr>
        <w:t xml:space="preserve">= 8.32, при </w:t>
      </w:r>
      <w:r w:rsidR="00D304D6" w:rsidRPr="00C67CC9">
        <w:rPr>
          <w:rFonts w:ascii="Times New Roman" w:hAnsi="Times New Roman" w:cs="Times New Roman"/>
          <w:sz w:val="28"/>
          <w:szCs w:val="28"/>
          <w:lang w:val="ru-RU"/>
        </w:rPr>
        <w:t xml:space="preserve">р </w:t>
      </w:r>
      <w:r w:rsidR="00D304D6">
        <w:rPr>
          <w:rFonts w:ascii="Times New Roman" w:hAnsi="Times New Roman" w:cs="Times New Roman"/>
          <w:sz w:val="28"/>
          <w:szCs w:val="28"/>
          <w:lang w:val="ru-RU"/>
        </w:rPr>
        <w:t>=0,01</w:t>
      </w:r>
      <w:r w:rsidR="00D304D6" w:rsidRPr="00C67CC9">
        <w:rPr>
          <w:rFonts w:ascii="Times New Roman" w:hAnsi="Times New Roman" w:cs="Times New Roman"/>
          <w:sz w:val="28"/>
          <w:szCs w:val="28"/>
          <w:lang w:val="ru-RU"/>
        </w:rPr>
        <w:t>)</w:t>
      </w:r>
      <w:r w:rsidR="00D304D6" w:rsidRPr="000475AD">
        <w:rPr>
          <w:rFonts w:ascii="Times New Roman" w:hAnsi="Times New Roman" w:cs="Times New Roman"/>
          <w:sz w:val="28"/>
          <w:szCs w:val="28"/>
          <w:lang w:val="ru-RU"/>
        </w:rPr>
        <w:t>.</w:t>
      </w:r>
    </w:p>
    <w:p w:rsidR="00BB6B0E" w:rsidRDefault="00BB6B0E" w:rsidP="00BB6B0E">
      <w:pPr>
        <w:spacing w:line="360" w:lineRule="auto"/>
        <w:rPr>
          <w:rFonts w:ascii="Times New Roman" w:hAnsi="Times New Roman" w:cs="Times New Roman"/>
          <w:b/>
          <w:sz w:val="28"/>
          <w:szCs w:val="28"/>
          <w:lang w:val="ru-RU"/>
        </w:rPr>
      </w:pPr>
    </w:p>
    <w:p w:rsidR="00BB6B0E" w:rsidRDefault="00BB6B0E" w:rsidP="00BB6B0E">
      <w:pPr>
        <w:spacing w:line="360" w:lineRule="auto"/>
        <w:rPr>
          <w:rFonts w:ascii="Times New Roman" w:hAnsi="Times New Roman" w:cs="Times New Roman"/>
          <w:b/>
          <w:sz w:val="28"/>
          <w:szCs w:val="28"/>
          <w:lang w:val="ru-RU"/>
        </w:rPr>
      </w:pPr>
    </w:p>
    <w:p w:rsidR="00BB6B0E" w:rsidRDefault="00BB6B0E" w:rsidP="00BB6B0E">
      <w:pPr>
        <w:spacing w:line="360" w:lineRule="auto"/>
        <w:rPr>
          <w:rFonts w:ascii="Times New Roman" w:hAnsi="Times New Roman" w:cs="Times New Roman"/>
          <w:b/>
          <w:sz w:val="28"/>
          <w:szCs w:val="28"/>
          <w:lang w:val="ru-RU"/>
        </w:rPr>
      </w:pPr>
    </w:p>
    <w:p w:rsidR="00BB6B0E" w:rsidRDefault="00BB6B0E" w:rsidP="00BB6B0E">
      <w:pPr>
        <w:spacing w:line="360" w:lineRule="auto"/>
        <w:rPr>
          <w:rFonts w:ascii="Times New Roman" w:hAnsi="Times New Roman" w:cs="Times New Roman"/>
          <w:b/>
          <w:sz w:val="28"/>
          <w:szCs w:val="28"/>
          <w:lang w:val="ru-RU"/>
        </w:rPr>
      </w:pPr>
    </w:p>
    <w:p w:rsidR="00BB6B0E" w:rsidRDefault="00BB6B0E" w:rsidP="00BB6B0E">
      <w:pPr>
        <w:spacing w:line="360" w:lineRule="auto"/>
        <w:rPr>
          <w:rFonts w:ascii="Times New Roman" w:hAnsi="Times New Roman" w:cs="Times New Roman"/>
          <w:b/>
          <w:sz w:val="28"/>
          <w:szCs w:val="28"/>
          <w:lang w:val="ru-RU"/>
        </w:rPr>
      </w:pPr>
    </w:p>
    <w:p w:rsidR="00BB6B0E" w:rsidRDefault="00BB6B0E" w:rsidP="00BB6B0E">
      <w:pPr>
        <w:spacing w:line="360" w:lineRule="auto"/>
        <w:rPr>
          <w:rFonts w:ascii="Times New Roman" w:hAnsi="Times New Roman" w:cs="Times New Roman"/>
          <w:b/>
          <w:sz w:val="28"/>
          <w:szCs w:val="28"/>
          <w:lang w:val="ru-RU"/>
        </w:rPr>
      </w:pPr>
    </w:p>
    <w:p w:rsidR="00BB6B0E" w:rsidRDefault="00BB6B0E" w:rsidP="00BB6B0E">
      <w:pPr>
        <w:spacing w:line="360" w:lineRule="auto"/>
        <w:rPr>
          <w:rFonts w:ascii="Times New Roman" w:hAnsi="Times New Roman" w:cs="Times New Roman"/>
          <w:b/>
          <w:sz w:val="28"/>
          <w:szCs w:val="28"/>
          <w:lang w:val="ru-RU"/>
        </w:rPr>
      </w:pPr>
    </w:p>
    <w:p w:rsidR="00BB6B0E" w:rsidRDefault="00BB6B0E" w:rsidP="00BB6B0E">
      <w:pPr>
        <w:spacing w:line="360" w:lineRule="auto"/>
        <w:rPr>
          <w:rFonts w:ascii="Times New Roman" w:hAnsi="Times New Roman" w:cs="Times New Roman"/>
          <w:b/>
          <w:sz w:val="28"/>
          <w:szCs w:val="28"/>
          <w:lang w:val="ru-RU"/>
        </w:rPr>
      </w:pPr>
    </w:p>
    <w:p w:rsidR="00BB6B0E" w:rsidRDefault="00BB6B0E" w:rsidP="00BB6B0E">
      <w:pPr>
        <w:spacing w:line="360" w:lineRule="auto"/>
        <w:rPr>
          <w:rFonts w:ascii="Times New Roman" w:hAnsi="Times New Roman" w:cs="Times New Roman"/>
          <w:b/>
          <w:sz w:val="28"/>
          <w:szCs w:val="28"/>
          <w:lang w:val="ru-RU"/>
        </w:rPr>
      </w:pPr>
    </w:p>
    <w:p w:rsidR="00BB6B0E" w:rsidRDefault="00BB6B0E" w:rsidP="00BB6B0E">
      <w:pPr>
        <w:spacing w:line="360" w:lineRule="auto"/>
        <w:rPr>
          <w:rFonts w:ascii="Times New Roman" w:hAnsi="Times New Roman" w:cs="Times New Roman"/>
          <w:b/>
          <w:sz w:val="28"/>
          <w:szCs w:val="28"/>
          <w:lang w:val="ru-RU"/>
        </w:rPr>
      </w:pPr>
    </w:p>
    <w:p w:rsidR="00016125" w:rsidRDefault="00016125" w:rsidP="00BB6B0E">
      <w:pPr>
        <w:spacing w:line="360" w:lineRule="auto"/>
        <w:rPr>
          <w:rFonts w:ascii="Times New Roman" w:hAnsi="Times New Roman" w:cs="Times New Roman"/>
          <w:b/>
          <w:sz w:val="28"/>
          <w:szCs w:val="28"/>
          <w:lang w:val="ru-RU"/>
        </w:rPr>
      </w:pPr>
    </w:p>
    <w:p w:rsidR="00016125" w:rsidRDefault="00016125" w:rsidP="00BB6B0E">
      <w:pPr>
        <w:spacing w:line="360" w:lineRule="auto"/>
        <w:rPr>
          <w:rFonts w:ascii="Times New Roman" w:hAnsi="Times New Roman" w:cs="Times New Roman"/>
          <w:b/>
          <w:sz w:val="28"/>
          <w:szCs w:val="28"/>
          <w:lang w:val="ru-RU"/>
        </w:rPr>
      </w:pPr>
    </w:p>
    <w:p w:rsidR="00016125" w:rsidRDefault="00016125" w:rsidP="00BB6B0E">
      <w:pPr>
        <w:spacing w:line="360" w:lineRule="auto"/>
        <w:rPr>
          <w:rFonts w:ascii="Times New Roman" w:hAnsi="Times New Roman" w:cs="Times New Roman"/>
          <w:b/>
          <w:sz w:val="28"/>
          <w:szCs w:val="28"/>
          <w:lang w:val="ru-RU"/>
        </w:rPr>
      </w:pPr>
    </w:p>
    <w:p w:rsidR="00016125" w:rsidRDefault="00016125" w:rsidP="00BB6B0E">
      <w:pPr>
        <w:spacing w:line="360" w:lineRule="auto"/>
        <w:rPr>
          <w:rFonts w:ascii="Times New Roman" w:hAnsi="Times New Roman" w:cs="Times New Roman"/>
          <w:b/>
          <w:sz w:val="28"/>
          <w:szCs w:val="28"/>
          <w:lang w:val="ru-RU"/>
        </w:rPr>
      </w:pPr>
    </w:p>
    <w:p w:rsidR="00016125" w:rsidRDefault="00016125" w:rsidP="00BB6B0E">
      <w:pPr>
        <w:spacing w:line="360" w:lineRule="auto"/>
        <w:rPr>
          <w:rFonts w:ascii="Times New Roman" w:hAnsi="Times New Roman" w:cs="Times New Roman"/>
          <w:b/>
          <w:sz w:val="28"/>
          <w:szCs w:val="28"/>
          <w:lang w:val="ru-RU"/>
        </w:rPr>
      </w:pPr>
    </w:p>
    <w:p w:rsidR="00016125" w:rsidRDefault="00016125" w:rsidP="00BB6B0E">
      <w:pPr>
        <w:spacing w:line="360" w:lineRule="auto"/>
        <w:rPr>
          <w:rFonts w:ascii="Times New Roman" w:hAnsi="Times New Roman" w:cs="Times New Roman"/>
          <w:b/>
          <w:sz w:val="28"/>
          <w:szCs w:val="28"/>
          <w:lang w:val="ru-RU"/>
        </w:rPr>
      </w:pPr>
    </w:p>
    <w:p w:rsidR="009A60A1" w:rsidRPr="00D304D6" w:rsidRDefault="00DA47C7" w:rsidP="00BB6B0E">
      <w:pPr>
        <w:spacing w:line="360" w:lineRule="auto"/>
        <w:rPr>
          <w:rFonts w:ascii="Times New Roman" w:hAnsi="Times New Roman" w:cs="Times New Roman"/>
          <w:sz w:val="28"/>
          <w:szCs w:val="28"/>
          <w:lang w:val="ru-RU"/>
        </w:rPr>
      </w:pPr>
      <w:r w:rsidRPr="00872E50">
        <w:rPr>
          <w:rFonts w:ascii="Times New Roman" w:hAnsi="Times New Roman" w:cs="Times New Roman"/>
          <w:b/>
          <w:sz w:val="28"/>
          <w:szCs w:val="28"/>
          <w:lang w:val="ru-RU"/>
        </w:rPr>
        <w:lastRenderedPageBreak/>
        <w:t>Список литературы:</w:t>
      </w:r>
    </w:p>
    <w:p w:rsidR="00E7002F" w:rsidRPr="00C67CC9" w:rsidRDefault="00E7002F" w:rsidP="00BB6B0E">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C67CC9">
        <w:rPr>
          <w:rFonts w:ascii="Times New Roman" w:hAnsi="Times New Roman" w:cs="Times New Roman"/>
          <w:sz w:val="28"/>
          <w:szCs w:val="28"/>
          <w:lang w:val="ru-RU"/>
        </w:rPr>
        <w:t xml:space="preserve">Калинина С.Е., Резервы Повышения </w:t>
      </w:r>
      <w:r w:rsidR="00D304D6" w:rsidRPr="00C67CC9">
        <w:rPr>
          <w:rFonts w:ascii="Times New Roman" w:hAnsi="Times New Roman" w:cs="Times New Roman"/>
          <w:sz w:val="28"/>
          <w:szCs w:val="28"/>
          <w:lang w:val="ru-RU"/>
        </w:rPr>
        <w:t>эффективности</w:t>
      </w:r>
      <w:r w:rsidRPr="00C67CC9">
        <w:rPr>
          <w:rFonts w:ascii="Times New Roman" w:hAnsi="Times New Roman" w:cs="Times New Roman"/>
          <w:sz w:val="28"/>
          <w:szCs w:val="28"/>
          <w:lang w:val="ru-RU"/>
        </w:rPr>
        <w:t xml:space="preserve"> ЭКО при лечении бесплодия у женщин с гинекологическими заболеваниями, </w:t>
      </w:r>
      <w:r w:rsidRPr="00C67CC9">
        <w:rPr>
          <w:rFonts w:ascii="Times New Roman" w:hAnsi="Times New Roman" w:cs="Times New Roman"/>
          <w:sz w:val="28"/>
          <w:szCs w:val="28"/>
          <w:shd w:val="clear" w:color="auto" w:fill="FFFFFF"/>
          <w:lang w:val="ru-RU"/>
        </w:rPr>
        <w:t xml:space="preserve">М., 2015 г. </w:t>
      </w:r>
      <w:r w:rsidRPr="00C67CC9">
        <w:rPr>
          <w:rFonts w:ascii="Times New Roman" w:hAnsi="Times New Roman" w:cs="Times New Roman"/>
          <w:sz w:val="28"/>
          <w:szCs w:val="28"/>
          <w:lang w:val="ru-RU"/>
        </w:rPr>
        <w:br/>
      </w:r>
      <w:r w:rsidRPr="00E7002F">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Pr="00C67CC9">
        <w:rPr>
          <w:rFonts w:ascii="Times New Roman" w:hAnsi="Times New Roman" w:cs="Times New Roman"/>
          <w:sz w:val="28"/>
          <w:szCs w:val="28"/>
          <w:lang w:val="ru-RU"/>
        </w:rPr>
        <w:t xml:space="preserve">Т. А. Смирнова, А. М. Камлюк, А. В. Трифонова, Вспомогательные репродуктивные технологии при синдроме поликистозных яичников, Минск, 2015 г. </w:t>
      </w:r>
    </w:p>
    <w:p w:rsidR="00E7002F" w:rsidRPr="00C67CC9" w:rsidRDefault="00E7002F" w:rsidP="00BB6B0E">
      <w:pPr>
        <w:pStyle w:val="Heading3"/>
        <w:shd w:val="clear" w:color="auto" w:fill="FFFFFF"/>
        <w:spacing w:before="0" w:beforeAutospacing="0" w:after="24" w:afterAutospacing="0" w:line="360" w:lineRule="auto"/>
        <w:jc w:val="both"/>
        <w:textAlignment w:val="baseline"/>
        <w:rPr>
          <w:b w:val="0"/>
          <w:sz w:val="28"/>
          <w:szCs w:val="28"/>
          <w:lang w:val="ru-RU"/>
        </w:rPr>
      </w:pPr>
      <w:r>
        <w:rPr>
          <w:b w:val="0"/>
          <w:sz w:val="28"/>
          <w:szCs w:val="28"/>
          <w:lang w:val="ru-RU"/>
        </w:rPr>
        <w:t xml:space="preserve">3. </w:t>
      </w:r>
      <w:r w:rsidRPr="00C67CC9">
        <w:rPr>
          <w:b w:val="0"/>
          <w:sz w:val="28"/>
          <w:szCs w:val="28"/>
          <w:lang w:val="ru-RU"/>
        </w:rPr>
        <w:t xml:space="preserve">Смирнова А.А. </w:t>
      </w:r>
      <w:r w:rsidRPr="00C67CC9">
        <w:rPr>
          <w:b w:val="0"/>
          <w:sz w:val="28"/>
          <w:szCs w:val="28"/>
          <w:shd w:val="clear" w:color="auto" w:fill="FFFFFF"/>
          <w:lang w:val="ru-RU"/>
        </w:rPr>
        <w:t>Прогнозирование исхода индукции овуляции у пациенток с синдромом поликистозных яичников, М., 2004 г.</w:t>
      </w:r>
      <w:r w:rsidRPr="00C67CC9">
        <w:rPr>
          <w:b w:val="0"/>
          <w:sz w:val="28"/>
          <w:szCs w:val="28"/>
          <w:lang w:val="ru-RU"/>
        </w:rPr>
        <w:br/>
      </w:r>
      <w:r>
        <w:rPr>
          <w:b w:val="0"/>
          <w:sz w:val="28"/>
          <w:szCs w:val="28"/>
          <w:lang w:val="ru-RU"/>
        </w:rPr>
        <w:t xml:space="preserve">4. </w:t>
      </w:r>
      <w:r w:rsidRPr="00C67CC9">
        <w:rPr>
          <w:b w:val="0"/>
          <w:sz w:val="28"/>
          <w:szCs w:val="28"/>
          <w:shd w:val="clear" w:color="auto" w:fill="FFFFFF"/>
          <w:lang w:val="ru-RU"/>
        </w:rPr>
        <w:t>Андреева</w:t>
      </w:r>
      <w:r w:rsidR="00D304D6" w:rsidRPr="00D304D6">
        <w:rPr>
          <w:b w:val="0"/>
          <w:sz w:val="28"/>
          <w:szCs w:val="28"/>
          <w:shd w:val="clear" w:color="auto" w:fill="FFFFFF"/>
          <w:lang w:val="ru-RU"/>
        </w:rPr>
        <w:t xml:space="preserve"> </w:t>
      </w:r>
      <w:r w:rsidR="00D304D6" w:rsidRPr="00C67CC9">
        <w:rPr>
          <w:b w:val="0"/>
          <w:sz w:val="28"/>
          <w:szCs w:val="28"/>
          <w:shd w:val="clear" w:color="auto" w:fill="FFFFFF"/>
          <w:lang w:val="ru-RU"/>
        </w:rPr>
        <w:t>Е.</w:t>
      </w:r>
      <w:r w:rsidR="00D304D6">
        <w:rPr>
          <w:b w:val="0"/>
          <w:sz w:val="28"/>
          <w:szCs w:val="28"/>
          <w:shd w:val="clear" w:color="auto" w:fill="FFFFFF"/>
          <w:lang w:val="ru-RU"/>
        </w:rPr>
        <w:t xml:space="preserve"> </w:t>
      </w:r>
      <w:r w:rsidR="00D304D6" w:rsidRPr="00C67CC9">
        <w:rPr>
          <w:b w:val="0"/>
          <w:sz w:val="28"/>
          <w:szCs w:val="28"/>
          <w:shd w:val="clear" w:color="auto" w:fill="FFFFFF"/>
          <w:lang w:val="ru-RU"/>
        </w:rPr>
        <w:t>Н.</w:t>
      </w:r>
      <w:r w:rsidRPr="00C67CC9">
        <w:rPr>
          <w:b w:val="0"/>
          <w:sz w:val="28"/>
          <w:szCs w:val="28"/>
          <w:shd w:val="clear" w:color="auto" w:fill="FFFFFF"/>
          <w:lang w:val="ru-RU"/>
        </w:rPr>
        <w:t>, А.Ф. Веснина,</w:t>
      </w:r>
      <w:r w:rsidRPr="00C67CC9">
        <w:rPr>
          <w:sz w:val="28"/>
          <w:szCs w:val="28"/>
          <w:shd w:val="clear" w:color="auto" w:fill="FFFFFF"/>
          <w:lang w:val="ru-RU"/>
        </w:rPr>
        <w:t xml:space="preserve"> </w:t>
      </w:r>
      <w:r w:rsidRPr="00C67CC9">
        <w:rPr>
          <w:b w:val="0"/>
          <w:sz w:val="28"/>
          <w:szCs w:val="28"/>
          <w:lang w:val="ru-RU"/>
        </w:rPr>
        <w:t xml:space="preserve">Особенности использования вспомогательных репродуктивных технологий при синдроме поликистозных яичников, «Трудный пациент» №78, М., 2005 г. </w:t>
      </w:r>
    </w:p>
    <w:p w:rsidR="00E7002F" w:rsidRPr="00C67CC9" w:rsidRDefault="00E7002F" w:rsidP="00BB6B0E">
      <w:pPr>
        <w:pStyle w:val="Heading3"/>
        <w:shd w:val="clear" w:color="auto" w:fill="FFFFFF"/>
        <w:spacing w:before="0" w:beforeAutospacing="0" w:after="24" w:afterAutospacing="0" w:line="360" w:lineRule="auto"/>
        <w:jc w:val="both"/>
        <w:textAlignment w:val="baseline"/>
        <w:rPr>
          <w:b w:val="0"/>
          <w:sz w:val="28"/>
          <w:szCs w:val="28"/>
          <w:lang w:val="ru-RU"/>
        </w:rPr>
      </w:pPr>
      <w:r>
        <w:rPr>
          <w:b w:val="0"/>
          <w:sz w:val="28"/>
          <w:szCs w:val="28"/>
          <w:lang w:val="ru-RU"/>
        </w:rPr>
        <w:t xml:space="preserve">5. </w:t>
      </w:r>
      <w:r w:rsidRPr="00C67CC9">
        <w:rPr>
          <w:b w:val="0"/>
          <w:sz w:val="28"/>
          <w:szCs w:val="28"/>
          <w:lang w:val="ru-RU"/>
        </w:rPr>
        <w:t xml:space="preserve"> Киракосян К. Э. Современные подходы к индукции овуляции у больных с СПКЯ, М, 2005 г. </w:t>
      </w:r>
    </w:p>
    <w:p w:rsidR="00E7002F" w:rsidRDefault="00E7002F" w:rsidP="00BB6B0E">
      <w:pPr>
        <w:pStyle w:val="Heading1"/>
        <w:spacing w:before="0" w:after="90" w:line="360" w:lineRule="auto"/>
        <w:jc w:val="both"/>
        <w:rPr>
          <w:rFonts w:ascii="Times New Roman" w:eastAsia="Times New Roman" w:hAnsi="Times New Roman" w:cs="Times New Roman"/>
          <w:color w:val="auto"/>
          <w:sz w:val="28"/>
          <w:szCs w:val="28"/>
          <w:lang w:val="ru-RU"/>
        </w:rPr>
      </w:pPr>
      <w:r w:rsidRPr="00E7002F">
        <w:rPr>
          <w:rFonts w:ascii="Times New Roman" w:hAnsi="Times New Roman" w:cs="Times New Roman"/>
          <w:color w:val="auto"/>
          <w:sz w:val="28"/>
          <w:szCs w:val="28"/>
          <w:lang w:val="ru-RU"/>
        </w:rPr>
        <w:t>6.</w:t>
      </w:r>
      <w:r>
        <w:rPr>
          <w:rFonts w:ascii="Times New Roman" w:hAnsi="Times New Roman" w:cs="Times New Roman"/>
          <w:b/>
          <w:color w:val="auto"/>
          <w:sz w:val="28"/>
          <w:szCs w:val="28"/>
          <w:lang w:val="ru-RU"/>
        </w:rPr>
        <w:t xml:space="preserve"> </w:t>
      </w:r>
      <w:r w:rsidRPr="00C67CC9">
        <w:rPr>
          <w:rFonts w:ascii="Times New Roman" w:eastAsia="Times New Roman" w:hAnsi="Times New Roman" w:cs="Times New Roman"/>
          <w:color w:val="auto"/>
          <w:sz w:val="28"/>
          <w:szCs w:val="28"/>
          <w:lang w:val="ru-RU"/>
        </w:rPr>
        <w:t xml:space="preserve">Феськов А. М., Сомова Е. В. Особенности микроокружения ооцитов и морфологии эмбрионов у женщин с СПКЯ, Харьков, 2010 г. </w:t>
      </w:r>
    </w:p>
    <w:p w:rsidR="003E562D" w:rsidRPr="003E562D" w:rsidRDefault="003E562D" w:rsidP="00BB6B0E">
      <w:pPr>
        <w:pStyle w:val="ListParagraph"/>
        <w:numPr>
          <w:ilvl w:val="0"/>
          <w:numId w:val="18"/>
        </w:numPr>
        <w:spacing w:line="360" w:lineRule="auto"/>
        <w:jc w:val="both"/>
        <w:rPr>
          <w:sz w:val="28"/>
          <w:szCs w:val="28"/>
          <w:lang w:val="ru-RU"/>
        </w:rPr>
      </w:pPr>
      <w:r w:rsidRPr="003E562D">
        <w:rPr>
          <w:sz w:val="28"/>
          <w:szCs w:val="28"/>
          <w:lang w:val="ru-RU"/>
        </w:rPr>
        <w:t>Практическое руководство по лечению женского бесплодия, обусловленного крушениями процесса овуляции/ Т.А. Назаренко и др. Москва. 2005.-С. 5-8.</w:t>
      </w:r>
    </w:p>
    <w:p w:rsidR="003E562D" w:rsidRPr="003E562D" w:rsidRDefault="003E562D" w:rsidP="00BB6B0E">
      <w:pPr>
        <w:pStyle w:val="ListParagraph"/>
        <w:numPr>
          <w:ilvl w:val="0"/>
          <w:numId w:val="18"/>
        </w:numPr>
        <w:spacing w:line="360" w:lineRule="auto"/>
        <w:jc w:val="both"/>
        <w:rPr>
          <w:sz w:val="28"/>
          <w:szCs w:val="28"/>
        </w:rPr>
      </w:pPr>
      <w:r w:rsidRPr="003E562D">
        <w:rPr>
          <w:sz w:val="28"/>
          <w:szCs w:val="28"/>
          <w:lang w:val="ru-RU"/>
        </w:rPr>
        <w:t>Фанченко Н.Д. Лабораторная диагностика нарушений центральной регуляции репродуктивной системы/ Н.Д. Фанченко Проблемы репродукции. 2001.-№ 1.-С. 100-103.</w:t>
      </w:r>
    </w:p>
    <w:p w:rsidR="003E562D" w:rsidRDefault="00E7002F" w:rsidP="00BB6B0E">
      <w:pPr>
        <w:pStyle w:val="ListParagraph"/>
        <w:numPr>
          <w:ilvl w:val="0"/>
          <w:numId w:val="18"/>
        </w:numPr>
        <w:spacing w:line="360" w:lineRule="auto"/>
        <w:jc w:val="both"/>
        <w:rPr>
          <w:sz w:val="28"/>
          <w:szCs w:val="28"/>
        </w:rPr>
      </w:pPr>
      <w:r w:rsidRPr="003E562D">
        <w:rPr>
          <w:sz w:val="28"/>
          <w:szCs w:val="28"/>
        </w:rPr>
        <w:t xml:space="preserve"> </w:t>
      </w:r>
      <w:r w:rsidR="002F587B" w:rsidRPr="003E562D">
        <w:rPr>
          <w:sz w:val="28"/>
          <w:szCs w:val="28"/>
        </w:rPr>
        <w:t xml:space="preserve">Asuncion </w:t>
      </w:r>
      <w:r w:rsidR="002F587B" w:rsidRPr="003E562D">
        <w:rPr>
          <w:sz w:val="28"/>
          <w:szCs w:val="28"/>
          <w:lang w:val="ru-RU"/>
        </w:rPr>
        <w:t>М</w:t>
      </w:r>
      <w:r w:rsidR="002F587B" w:rsidRPr="003E562D">
        <w:rPr>
          <w:sz w:val="28"/>
          <w:szCs w:val="28"/>
        </w:rPr>
        <w:t xml:space="preserve">, </w:t>
      </w:r>
      <w:proofErr w:type="spellStart"/>
      <w:r w:rsidR="002F587B" w:rsidRPr="003E562D">
        <w:rPr>
          <w:sz w:val="28"/>
          <w:szCs w:val="28"/>
        </w:rPr>
        <w:t>C</w:t>
      </w:r>
      <w:r w:rsidR="009A60A1" w:rsidRPr="003E562D">
        <w:rPr>
          <w:sz w:val="28"/>
          <w:szCs w:val="28"/>
        </w:rPr>
        <w:t>aivo</w:t>
      </w:r>
      <w:proofErr w:type="spellEnd"/>
      <w:r w:rsidR="009A60A1" w:rsidRPr="003E562D">
        <w:rPr>
          <w:sz w:val="28"/>
          <w:szCs w:val="28"/>
        </w:rPr>
        <w:t xml:space="preserve"> R </w:t>
      </w:r>
      <w:proofErr w:type="gramStart"/>
      <w:r w:rsidR="009A60A1" w:rsidRPr="003E562D">
        <w:rPr>
          <w:sz w:val="28"/>
          <w:szCs w:val="28"/>
        </w:rPr>
        <w:t>M ,</w:t>
      </w:r>
      <w:proofErr w:type="gramEnd"/>
      <w:r w:rsidR="009A60A1" w:rsidRPr="003E562D">
        <w:rPr>
          <w:sz w:val="28"/>
          <w:szCs w:val="28"/>
        </w:rPr>
        <w:t xml:space="preserve"> San Mil Ian JL</w:t>
      </w:r>
      <w:r w:rsidR="00D304D6" w:rsidRPr="003E562D">
        <w:rPr>
          <w:sz w:val="28"/>
          <w:szCs w:val="28"/>
        </w:rPr>
        <w:t xml:space="preserve">, Sancho J. A </w:t>
      </w:r>
      <w:proofErr w:type="spellStart"/>
      <w:proofErr w:type="gramStart"/>
      <w:r w:rsidR="00D304D6" w:rsidRPr="003E562D">
        <w:rPr>
          <w:sz w:val="28"/>
          <w:szCs w:val="28"/>
        </w:rPr>
        <w:t>vila</w:t>
      </w:r>
      <w:proofErr w:type="spellEnd"/>
      <w:proofErr w:type="gramEnd"/>
      <w:r w:rsidR="00D304D6" w:rsidRPr="003E562D">
        <w:rPr>
          <w:sz w:val="28"/>
          <w:szCs w:val="28"/>
        </w:rPr>
        <w:t xml:space="preserve"> S, Escobar-</w:t>
      </w:r>
      <w:proofErr w:type="spellStart"/>
      <w:r w:rsidR="00D304D6" w:rsidRPr="003E562D">
        <w:rPr>
          <w:sz w:val="28"/>
          <w:szCs w:val="28"/>
        </w:rPr>
        <w:t>M</w:t>
      </w:r>
      <w:r w:rsidR="009A60A1" w:rsidRPr="003E562D">
        <w:rPr>
          <w:sz w:val="28"/>
          <w:szCs w:val="28"/>
        </w:rPr>
        <w:t>orreale</w:t>
      </w:r>
      <w:proofErr w:type="spellEnd"/>
      <w:r w:rsidR="009A60A1" w:rsidRPr="003E562D">
        <w:rPr>
          <w:sz w:val="28"/>
          <w:szCs w:val="28"/>
        </w:rPr>
        <w:t xml:space="preserve"> HF. A prospective study of the prevalence </w:t>
      </w:r>
      <w:r w:rsidRPr="003E562D">
        <w:rPr>
          <w:sz w:val="28"/>
          <w:szCs w:val="28"/>
        </w:rPr>
        <w:t>of the polycystic ovary syndrom</w:t>
      </w:r>
      <w:r w:rsidR="009A60A1" w:rsidRPr="003E562D">
        <w:rPr>
          <w:sz w:val="28"/>
          <w:szCs w:val="28"/>
        </w:rPr>
        <w:t>e in unselected Caucasian women f</w:t>
      </w:r>
      <w:r w:rsidR="002F587B" w:rsidRPr="003E562D">
        <w:rPr>
          <w:sz w:val="28"/>
          <w:szCs w:val="28"/>
        </w:rPr>
        <w:t xml:space="preserve">rom Spain. J </w:t>
      </w:r>
      <w:proofErr w:type="spellStart"/>
      <w:r w:rsidR="002F587B" w:rsidRPr="003E562D">
        <w:rPr>
          <w:sz w:val="28"/>
          <w:szCs w:val="28"/>
        </w:rPr>
        <w:t>Clin</w:t>
      </w:r>
      <w:proofErr w:type="spellEnd"/>
      <w:r w:rsidR="002F587B" w:rsidRPr="003E562D">
        <w:rPr>
          <w:sz w:val="28"/>
          <w:szCs w:val="28"/>
        </w:rPr>
        <w:t xml:space="preserve"> </w:t>
      </w:r>
      <w:proofErr w:type="spellStart"/>
      <w:r w:rsidR="002F587B" w:rsidRPr="003E562D">
        <w:rPr>
          <w:sz w:val="28"/>
          <w:szCs w:val="28"/>
        </w:rPr>
        <w:t>Endocrinol</w:t>
      </w:r>
      <w:proofErr w:type="spellEnd"/>
      <w:r w:rsidR="002F587B" w:rsidRPr="003E562D">
        <w:rPr>
          <w:sz w:val="28"/>
          <w:szCs w:val="28"/>
        </w:rPr>
        <w:t xml:space="preserve"> </w:t>
      </w:r>
      <w:proofErr w:type="spellStart"/>
      <w:r w:rsidR="002F587B" w:rsidRPr="003E562D">
        <w:rPr>
          <w:sz w:val="28"/>
          <w:szCs w:val="28"/>
        </w:rPr>
        <w:t>M</w:t>
      </w:r>
      <w:r w:rsidR="009A60A1" w:rsidRPr="003E562D">
        <w:rPr>
          <w:sz w:val="28"/>
          <w:szCs w:val="28"/>
        </w:rPr>
        <w:t>etab</w:t>
      </w:r>
      <w:proofErr w:type="spellEnd"/>
      <w:r w:rsidR="009A60A1" w:rsidRPr="003E562D">
        <w:rPr>
          <w:sz w:val="28"/>
          <w:szCs w:val="28"/>
        </w:rPr>
        <w:t xml:space="preserve">. 2000; 85:2434-8. </w:t>
      </w:r>
    </w:p>
    <w:p w:rsidR="003E562D" w:rsidRDefault="00E7002F" w:rsidP="00BB6B0E">
      <w:pPr>
        <w:pStyle w:val="ListParagraph"/>
        <w:numPr>
          <w:ilvl w:val="0"/>
          <w:numId w:val="18"/>
        </w:numPr>
        <w:spacing w:line="360" w:lineRule="auto"/>
        <w:jc w:val="both"/>
        <w:rPr>
          <w:sz w:val="28"/>
          <w:szCs w:val="28"/>
        </w:rPr>
      </w:pPr>
      <w:r w:rsidRPr="003E562D">
        <w:rPr>
          <w:sz w:val="28"/>
          <w:szCs w:val="28"/>
        </w:rPr>
        <w:lastRenderedPageBreak/>
        <w:t xml:space="preserve"> </w:t>
      </w:r>
      <w:proofErr w:type="spellStart"/>
      <w:r w:rsidRPr="003E562D">
        <w:rPr>
          <w:sz w:val="28"/>
          <w:szCs w:val="28"/>
        </w:rPr>
        <w:t>Azziz</w:t>
      </w:r>
      <w:proofErr w:type="spellEnd"/>
      <w:r w:rsidRPr="003E562D">
        <w:rPr>
          <w:sz w:val="28"/>
          <w:szCs w:val="28"/>
        </w:rPr>
        <w:t xml:space="preserve"> R. W</w:t>
      </w:r>
      <w:r w:rsidR="009A60A1" w:rsidRPr="003E562D">
        <w:rPr>
          <w:sz w:val="28"/>
          <w:szCs w:val="28"/>
        </w:rPr>
        <w:t>oods KS, Reyn</w:t>
      </w:r>
      <w:r w:rsidRPr="003E562D">
        <w:rPr>
          <w:sz w:val="28"/>
          <w:szCs w:val="28"/>
        </w:rPr>
        <w:t xml:space="preserve">a R. Key TJ, </w:t>
      </w:r>
      <w:proofErr w:type="spellStart"/>
      <w:r w:rsidRPr="003E562D">
        <w:rPr>
          <w:sz w:val="28"/>
          <w:szCs w:val="28"/>
        </w:rPr>
        <w:t>Knochenhauer</w:t>
      </w:r>
      <w:proofErr w:type="spellEnd"/>
      <w:r w:rsidRPr="003E562D">
        <w:rPr>
          <w:sz w:val="28"/>
          <w:szCs w:val="28"/>
        </w:rPr>
        <w:t xml:space="preserve"> ES, </w:t>
      </w:r>
      <w:proofErr w:type="spellStart"/>
      <w:r w:rsidRPr="003E562D">
        <w:rPr>
          <w:sz w:val="28"/>
          <w:szCs w:val="28"/>
        </w:rPr>
        <w:t>Y</w:t>
      </w:r>
      <w:r w:rsidR="009A60A1" w:rsidRPr="003E562D">
        <w:rPr>
          <w:sz w:val="28"/>
          <w:szCs w:val="28"/>
        </w:rPr>
        <w:t>ildiz</w:t>
      </w:r>
      <w:proofErr w:type="spellEnd"/>
      <w:r w:rsidR="009A60A1" w:rsidRPr="003E562D">
        <w:rPr>
          <w:sz w:val="28"/>
          <w:szCs w:val="28"/>
        </w:rPr>
        <w:t xml:space="preserve"> BO</w:t>
      </w:r>
      <w:r w:rsidR="002F587B" w:rsidRPr="003E562D">
        <w:rPr>
          <w:sz w:val="28"/>
          <w:szCs w:val="28"/>
        </w:rPr>
        <w:t>. The prevalence and features of the polycystic ovary syndrom</w:t>
      </w:r>
      <w:r w:rsidR="009A60A1" w:rsidRPr="003E562D">
        <w:rPr>
          <w:sz w:val="28"/>
          <w:szCs w:val="28"/>
        </w:rPr>
        <w:t>e in an unselected p</w:t>
      </w:r>
      <w:r w:rsidR="002F587B" w:rsidRPr="003E562D">
        <w:rPr>
          <w:sz w:val="28"/>
          <w:szCs w:val="28"/>
        </w:rPr>
        <w:t xml:space="preserve">opulation. J </w:t>
      </w:r>
      <w:proofErr w:type="spellStart"/>
      <w:r w:rsidR="002F587B" w:rsidRPr="003E562D">
        <w:rPr>
          <w:sz w:val="28"/>
          <w:szCs w:val="28"/>
        </w:rPr>
        <w:t>Clin</w:t>
      </w:r>
      <w:proofErr w:type="spellEnd"/>
      <w:r w:rsidR="002F587B" w:rsidRPr="003E562D">
        <w:rPr>
          <w:sz w:val="28"/>
          <w:szCs w:val="28"/>
        </w:rPr>
        <w:t xml:space="preserve"> </w:t>
      </w:r>
      <w:proofErr w:type="spellStart"/>
      <w:r w:rsidR="002F587B" w:rsidRPr="003E562D">
        <w:rPr>
          <w:sz w:val="28"/>
          <w:szCs w:val="28"/>
        </w:rPr>
        <w:t>Endocrinol</w:t>
      </w:r>
      <w:proofErr w:type="spellEnd"/>
      <w:r w:rsidR="002F587B" w:rsidRPr="003E562D">
        <w:rPr>
          <w:sz w:val="28"/>
          <w:szCs w:val="28"/>
        </w:rPr>
        <w:t xml:space="preserve"> </w:t>
      </w:r>
      <w:proofErr w:type="spellStart"/>
      <w:r w:rsidR="002F587B" w:rsidRPr="003E562D">
        <w:rPr>
          <w:sz w:val="28"/>
          <w:szCs w:val="28"/>
        </w:rPr>
        <w:t>M</w:t>
      </w:r>
      <w:r w:rsidR="009A60A1" w:rsidRPr="003E562D">
        <w:rPr>
          <w:sz w:val="28"/>
          <w:szCs w:val="28"/>
        </w:rPr>
        <w:t>etab</w:t>
      </w:r>
      <w:proofErr w:type="spellEnd"/>
      <w:r w:rsidR="009A60A1" w:rsidRPr="003E562D">
        <w:rPr>
          <w:sz w:val="28"/>
          <w:szCs w:val="28"/>
        </w:rPr>
        <w:t xml:space="preserve">. 2004; 89:2745-9. </w:t>
      </w:r>
    </w:p>
    <w:p w:rsidR="003E562D" w:rsidRDefault="009A60A1" w:rsidP="00BB6B0E">
      <w:pPr>
        <w:pStyle w:val="ListParagraph"/>
        <w:numPr>
          <w:ilvl w:val="0"/>
          <w:numId w:val="18"/>
        </w:numPr>
        <w:spacing w:line="360" w:lineRule="auto"/>
        <w:jc w:val="both"/>
        <w:rPr>
          <w:sz w:val="28"/>
          <w:szCs w:val="28"/>
        </w:rPr>
      </w:pPr>
      <w:proofErr w:type="spellStart"/>
      <w:r w:rsidRPr="003E562D">
        <w:rPr>
          <w:sz w:val="28"/>
          <w:szCs w:val="28"/>
        </w:rPr>
        <w:t>D</w:t>
      </w:r>
      <w:r w:rsidR="002F587B" w:rsidRPr="003E562D">
        <w:rPr>
          <w:sz w:val="28"/>
          <w:szCs w:val="28"/>
        </w:rPr>
        <w:t>iamanti-K</w:t>
      </w:r>
      <w:r w:rsidRPr="003E562D">
        <w:rPr>
          <w:sz w:val="28"/>
          <w:szCs w:val="28"/>
        </w:rPr>
        <w:t>andarakis</w:t>
      </w:r>
      <w:proofErr w:type="spellEnd"/>
      <w:r w:rsidRPr="003E562D">
        <w:rPr>
          <w:sz w:val="28"/>
          <w:szCs w:val="28"/>
        </w:rPr>
        <w:t xml:space="preserve"> E, </w:t>
      </w:r>
      <w:proofErr w:type="spellStart"/>
      <w:r w:rsidRPr="003E562D">
        <w:rPr>
          <w:sz w:val="28"/>
          <w:szCs w:val="28"/>
        </w:rPr>
        <w:t>Kouli</w:t>
      </w:r>
      <w:proofErr w:type="spellEnd"/>
      <w:r w:rsidRPr="003E562D">
        <w:rPr>
          <w:sz w:val="28"/>
          <w:szCs w:val="28"/>
        </w:rPr>
        <w:t xml:space="preserve"> C'R, </w:t>
      </w:r>
      <w:proofErr w:type="spellStart"/>
      <w:r w:rsidRPr="003E562D">
        <w:rPr>
          <w:sz w:val="28"/>
          <w:szCs w:val="28"/>
        </w:rPr>
        <w:t>Bergiele</w:t>
      </w:r>
      <w:proofErr w:type="spellEnd"/>
      <w:r w:rsidRPr="003E562D">
        <w:rPr>
          <w:sz w:val="28"/>
          <w:szCs w:val="28"/>
        </w:rPr>
        <w:t xml:space="preserve"> AT. </w:t>
      </w:r>
      <w:proofErr w:type="spellStart"/>
      <w:r w:rsidRPr="003E562D">
        <w:rPr>
          <w:sz w:val="28"/>
          <w:szCs w:val="28"/>
        </w:rPr>
        <w:t>Filandra</w:t>
      </w:r>
      <w:proofErr w:type="spellEnd"/>
      <w:r w:rsidRPr="003E562D">
        <w:rPr>
          <w:sz w:val="28"/>
          <w:szCs w:val="28"/>
        </w:rPr>
        <w:t xml:space="preserve"> FA, </w:t>
      </w:r>
      <w:proofErr w:type="spellStart"/>
      <w:r w:rsidRPr="003E562D">
        <w:rPr>
          <w:sz w:val="28"/>
          <w:szCs w:val="28"/>
        </w:rPr>
        <w:t>Tsianateli</w:t>
      </w:r>
      <w:proofErr w:type="spellEnd"/>
      <w:r w:rsidRPr="003E562D">
        <w:rPr>
          <w:sz w:val="28"/>
          <w:szCs w:val="28"/>
        </w:rPr>
        <w:t xml:space="preserve"> TC, Spina GG, et al. A survey o</w:t>
      </w:r>
      <w:r w:rsidR="002F587B" w:rsidRPr="003E562D">
        <w:rPr>
          <w:sz w:val="28"/>
          <w:szCs w:val="28"/>
        </w:rPr>
        <w:t>f the polycystic ovary syndrom</w:t>
      </w:r>
      <w:r w:rsidRPr="003E562D">
        <w:rPr>
          <w:sz w:val="28"/>
          <w:szCs w:val="28"/>
        </w:rPr>
        <w:t>e in the Greek island o</w:t>
      </w:r>
      <w:r w:rsidR="002F587B" w:rsidRPr="003E562D">
        <w:rPr>
          <w:sz w:val="28"/>
          <w:szCs w:val="28"/>
        </w:rPr>
        <w:t>f Lesbos: hormonal and m</w:t>
      </w:r>
      <w:r w:rsidRPr="003E562D">
        <w:rPr>
          <w:sz w:val="28"/>
          <w:szCs w:val="28"/>
        </w:rPr>
        <w:t>etabolic p</w:t>
      </w:r>
      <w:r w:rsidR="002F587B" w:rsidRPr="003E562D">
        <w:rPr>
          <w:sz w:val="28"/>
          <w:szCs w:val="28"/>
        </w:rPr>
        <w:t xml:space="preserve">rofile. J </w:t>
      </w:r>
      <w:proofErr w:type="spellStart"/>
      <w:r w:rsidR="002F587B" w:rsidRPr="003E562D">
        <w:rPr>
          <w:sz w:val="28"/>
          <w:szCs w:val="28"/>
        </w:rPr>
        <w:t>Clin</w:t>
      </w:r>
      <w:proofErr w:type="spellEnd"/>
      <w:r w:rsidR="002F587B" w:rsidRPr="003E562D">
        <w:rPr>
          <w:sz w:val="28"/>
          <w:szCs w:val="28"/>
        </w:rPr>
        <w:t xml:space="preserve"> </w:t>
      </w:r>
      <w:proofErr w:type="spellStart"/>
      <w:r w:rsidR="002F587B" w:rsidRPr="003E562D">
        <w:rPr>
          <w:sz w:val="28"/>
          <w:szCs w:val="28"/>
        </w:rPr>
        <w:t>Endocrinol</w:t>
      </w:r>
      <w:proofErr w:type="spellEnd"/>
      <w:r w:rsidR="002F587B" w:rsidRPr="003E562D">
        <w:rPr>
          <w:sz w:val="28"/>
          <w:szCs w:val="28"/>
        </w:rPr>
        <w:t xml:space="preserve"> </w:t>
      </w:r>
      <w:proofErr w:type="spellStart"/>
      <w:r w:rsidR="002F587B" w:rsidRPr="003E562D">
        <w:rPr>
          <w:sz w:val="28"/>
          <w:szCs w:val="28"/>
        </w:rPr>
        <w:t>M</w:t>
      </w:r>
      <w:r w:rsidRPr="003E562D">
        <w:rPr>
          <w:sz w:val="28"/>
          <w:szCs w:val="28"/>
        </w:rPr>
        <w:t>etab</w:t>
      </w:r>
      <w:proofErr w:type="spellEnd"/>
      <w:r w:rsidRPr="003E562D">
        <w:rPr>
          <w:sz w:val="28"/>
          <w:szCs w:val="28"/>
        </w:rPr>
        <w:t xml:space="preserve">. 1999; 84:4006-11. </w:t>
      </w:r>
    </w:p>
    <w:p w:rsidR="002F587B" w:rsidRPr="003E562D" w:rsidRDefault="009A60A1" w:rsidP="00BB6B0E">
      <w:pPr>
        <w:pStyle w:val="ListParagraph"/>
        <w:numPr>
          <w:ilvl w:val="0"/>
          <w:numId w:val="18"/>
        </w:numPr>
        <w:spacing w:line="360" w:lineRule="auto"/>
        <w:jc w:val="both"/>
        <w:rPr>
          <w:sz w:val="28"/>
          <w:szCs w:val="28"/>
        </w:rPr>
      </w:pPr>
      <w:r w:rsidRPr="003E562D">
        <w:rPr>
          <w:sz w:val="28"/>
          <w:szCs w:val="28"/>
        </w:rPr>
        <w:t xml:space="preserve"> M</w:t>
      </w:r>
      <w:r w:rsidR="002F587B" w:rsidRPr="003E562D">
        <w:rPr>
          <w:sz w:val="28"/>
          <w:szCs w:val="28"/>
        </w:rPr>
        <w:t xml:space="preserve">arch W </w:t>
      </w:r>
      <w:proofErr w:type="gramStart"/>
      <w:r w:rsidR="002F587B" w:rsidRPr="003E562D">
        <w:rPr>
          <w:sz w:val="28"/>
          <w:szCs w:val="28"/>
        </w:rPr>
        <w:t>A .</w:t>
      </w:r>
      <w:proofErr w:type="gramEnd"/>
      <w:r w:rsidR="002F587B" w:rsidRPr="003E562D">
        <w:rPr>
          <w:sz w:val="28"/>
          <w:szCs w:val="28"/>
        </w:rPr>
        <w:t xml:space="preserve"> Moore </w:t>
      </w:r>
      <w:proofErr w:type="gramStart"/>
      <w:r w:rsidR="002F587B" w:rsidRPr="003E562D">
        <w:rPr>
          <w:sz w:val="28"/>
          <w:szCs w:val="28"/>
        </w:rPr>
        <w:t>VM ,</w:t>
      </w:r>
      <w:proofErr w:type="gramEnd"/>
      <w:r w:rsidR="002F587B" w:rsidRPr="003E562D">
        <w:rPr>
          <w:sz w:val="28"/>
          <w:szCs w:val="28"/>
        </w:rPr>
        <w:t xml:space="preserve"> </w:t>
      </w:r>
      <w:proofErr w:type="spellStart"/>
      <w:r w:rsidR="002F587B" w:rsidRPr="003E562D">
        <w:rPr>
          <w:sz w:val="28"/>
          <w:szCs w:val="28"/>
        </w:rPr>
        <w:t>Willson</w:t>
      </w:r>
      <w:proofErr w:type="spellEnd"/>
      <w:r w:rsidR="002F587B" w:rsidRPr="003E562D">
        <w:rPr>
          <w:sz w:val="28"/>
          <w:szCs w:val="28"/>
        </w:rPr>
        <w:t xml:space="preserve"> KJ, Phillips DI, N</w:t>
      </w:r>
      <w:r w:rsidRPr="003E562D">
        <w:rPr>
          <w:sz w:val="28"/>
          <w:szCs w:val="28"/>
        </w:rPr>
        <w:t xml:space="preserve">orm an </w:t>
      </w:r>
      <w:r w:rsidR="002F587B" w:rsidRPr="003E562D">
        <w:rPr>
          <w:sz w:val="28"/>
          <w:szCs w:val="28"/>
        </w:rPr>
        <w:t>RJ, Davies MJ. The prevalence o</w:t>
      </w:r>
      <w:r w:rsidRPr="003E562D">
        <w:rPr>
          <w:sz w:val="28"/>
          <w:szCs w:val="28"/>
        </w:rPr>
        <w:t>f polycystic ovary syndrom</w:t>
      </w:r>
      <w:r w:rsidR="002F587B" w:rsidRPr="003E562D">
        <w:rPr>
          <w:sz w:val="28"/>
          <w:szCs w:val="28"/>
        </w:rPr>
        <w:t>e in a com m unity sam</w:t>
      </w:r>
      <w:r w:rsidRPr="003E562D">
        <w:rPr>
          <w:sz w:val="28"/>
          <w:szCs w:val="28"/>
        </w:rPr>
        <w:t>ple assessed under con</w:t>
      </w:r>
      <w:r w:rsidR="002F587B" w:rsidRPr="003E562D">
        <w:rPr>
          <w:sz w:val="28"/>
          <w:szCs w:val="28"/>
        </w:rPr>
        <w:t>trasting diagnostic criteria. H</w:t>
      </w:r>
      <w:r w:rsidRPr="003E562D">
        <w:rPr>
          <w:sz w:val="28"/>
          <w:szCs w:val="28"/>
        </w:rPr>
        <w:t xml:space="preserve">um </w:t>
      </w:r>
      <w:proofErr w:type="spellStart"/>
      <w:r w:rsidRPr="003E562D">
        <w:rPr>
          <w:sz w:val="28"/>
          <w:szCs w:val="28"/>
        </w:rPr>
        <w:t>Reprod</w:t>
      </w:r>
      <w:proofErr w:type="spellEnd"/>
      <w:r w:rsidRPr="003E562D">
        <w:rPr>
          <w:sz w:val="28"/>
          <w:szCs w:val="28"/>
        </w:rPr>
        <w:t xml:space="preserve">. Hum </w:t>
      </w:r>
      <w:proofErr w:type="spellStart"/>
      <w:r w:rsidRPr="003E562D">
        <w:rPr>
          <w:sz w:val="28"/>
          <w:szCs w:val="28"/>
        </w:rPr>
        <w:t>Reprod</w:t>
      </w:r>
      <w:proofErr w:type="spellEnd"/>
      <w:r w:rsidRPr="003E562D">
        <w:rPr>
          <w:sz w:val="28"/>
          <w:szCs w:val="28"/>
        </w:rPr>
        <w:t>. 2010 Feb;</w:t>
      </w:r>
      <w:r w:rsidR="002F587B" w:rsidRPr="003E562D">
        <w:rPr>
          <w:sz w:val="28"/>
          <w:szCs w:val="28"/>
        </w:rPr>
        <w:t xml:space="preserve"> </w:t>
      </w:r>
      <w:r w:rsidRPr="003E562D">
        <w:rPr>
          <w:sz w:val="28"/>
          <w:szCs w:val="28"/>
        </w:rPr>
        <w:t xml:space="preserve">25(2):544-51. </w:t>
      </w:r>
    </w:p>
    <w:p w:rsidR="002F587B" w:rsidRPr="00C67CC9" w:rsidRDefault="00E7002F" w:rsidP="00BB6B0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3E562D">
        <w:rPr>
          <w:rFonts w:ascii="Times New Roman" w:hAnsi="Times New Roman" w:cs="Times New Roman"/>
          <w:sz w:val="28"/>
          <w:szCs w:val="28"/>
        </w:rPr>
        <w:t>3</w:t>
      </w:r>
      <w:r>
        <w:rPr>
          <w:rFonts w:ascii="Times New Roman" w:hAnsi="Times New Roman" w:cs="Times New Roman"/>
          <w:sz w:val="28"/>
          <w:szCs w:val="28"/>
        </w:rPr>
        <w:t>. Moran C, Tena G, M</w:t>
      </w:r>
      <w:r w:rsidR="009A60A1" w:rsidRPr="00C67CC9">
        <w:rPr>
          <w:rFonts w:ascii="Times New Roman" w:hAnsi="Times New Roman" w:cs="Times New Roman"/>
          <w:sz w:val="28"/>
          <w:szCs w:val="28"/>
        </w:rPr>
        <w:t>oran S, Ruiz</w:t>
      </w:r>
      <w:r>
        <w:rPr>
          <w:rFonts w:ascii="Times New Roman" w:hAnsi="Times New Roman" w:cs="Times New Roman"/>
          <w:sz w:val="28"/>
          <w:szCs w:val="28"/>
        </w:rPr>
        <w:t xml:space="preserve"> P, Reyna R, X. D. Prevalence o</w:t>
      </w:r>
      <w:r w:rsidR="009A60A1" w:rsidRPr="00C67CC9">
        <w:rPr>
          <w:rFonts w:ascii="Times New Roman" w:hAnsi="Times New Roman" w:cs="Times New Roman"/>
          <w:sz w:val="28"/>
          <w:szCs w:val="28"/>
        </w:rPr>
        <w:t>f polycystic ovary synd</w:t>
      </w:r>
      <w:r>
        <w:rPr>
          <w:rFonts w:ascii="Times New Roman" w:hAnsi="Times New Roman" w:cs="Times New Roman"/>
          <w:sz w:val="28"/>
          <w:szCs w:val="28"/>
        </w:rPr>
        <w:t>rome and related disorders in M</w:t>
      </w:r>
      <w:r w:rsidR="009A60A1" w:rsidRPr="00C67CC9">
        <w:rPr>
          <w:rFonts w:ascii="Times New Roman" w:hAnsi="Times New Roman" w:cs="Times New Roman"/>
          <w:sz w:val="28"/>
          <w:szCs w:val="28"/>
        </w:rPr>
        <w:t xml:space="preserve">exican women. </w:t>
      </w:r>
      <w:proofErr w:type="spellStart"/>
      <w:r w:rsidR="009A60A1" w:rsidRPr="00C67CC9">
        <w:rPr>
          <w:rFonts w:ascii="Times New Roman" w:hAnsi="Times New Roman" w:cs="Times New Roman"/>
          <w:sz w:val="28"/>
          <w:szCs w:val="28"/>
        </w:rPr>
        <w:t>Gynecol</w:t>
      </w:r>
      <w:proofErr w:type="spellEnd"/>
      <w:r w:rsidR="009A60A1" w:rsidRPr="00C67CC9">
        <w:rPr>
          <w:rFonts w:ascii="Times New Roman" w:hAnsi="Times New Roman" w:cs="Times New Roman"/>
          <w:sz w:val="28"/>
          <w:szCs w:val="28"/>
        </w:rPr>
        <w:t xml:space="preserve"> </w:t>
      </w:r>
      <w:proofErr w:type="spellStart"/>
      <w:r w:rsidR="009A60A1" w:rsidRPr="00C67CC9">
        <w:rPr>
          <w:rFonts w:ascii="Times New Roman" w:hAnsi="Times New Roman" w:cs="Times New Roman"/>
          <w:sz w:val="28"/>
          <w:szCs w:val="28"/>
        </w:rPr>
        <w:t>Obstet</w:t>
      </w:r>
      <w:proofErr w:type="spellEnd"/>
      <w:r w:rsidR="009A60A1" w:rsidRPr="00C67CC9">
        <w:rPr>
          <w:rFonts w:ascii="Times New Roman" w:hAnsi="Times New Roman" w:cs="Times New Roman"/>
          <w:sz w:val="28"/>
          <w:szCs w:val="28"/>
        </w:rPr>
        <w:t xml:space="preserve"> Invest. 2010; 69:274-80. </w:t>
      </w:r>
    </w:p>
    <w:p w:rsidR="002F587B" w:rsidRPr="00C67CC9" w:rsidRDefault="003E562D" w:rsidP="00BB6B0E">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sidR="00E7002F">
        <w:rPr>
          <w:rFonts w:ascii="Times New Roman" w:hAnsi="Times New Roman" w:cs="Times New Roman"/>
          <w:sz w:val="28"/>
          <w:szCs w:val="28"/>
        </w:rPr>
        <w:t xml:space="preserve">. </w:t>
      </w:r>
      <w:proofErr w:type="spellStart"/>
      <w:r w:rsidR="00E7002F">
        <w:rPr>
          <w:rFonts w:ascii="Times New Roman" w:hAnsi="Times New Roman" w:cs="Times New Roman"/>
          <w:sz w:val="28"/>
          <w:szCs w:val="28"/>
        </w:rPr>
        <w:t>Y</w:t>
      </w:r>
      <w:r w:rsidR="009A60A1" w:rsidRPr="00C67CC9">
        <w:rPr>
          <w:rFonts w:ascii="Times New Roman" w:hAnsi="Times New Roman" w:cs="Times New Roman"/>
          <w:sz w:val="28"/>
          <w:szCs w:val="28"/>
        </w:rPr>
        <w:t>ildiz</w:t>
      </w:r>
      <w:proofErr w:type="spellEnd"/>
      <w:r w:rsidR="009A60A1" w:rsidRPr="00C67CC9">
        <w:rPr>
          <w:rFonts w:ascii="Times New Roman" w:hAnsi="Times New Roman" w:cs="Times New Roman"/>
          <w:sz w:val="28"/>
          <w:szCs w:val="28"/>
        </w:rPr>
        <w:t xml:space="preserve"> BO, </w:t>
      </w:r>
      <w:proofErr w:type="spellStart"/>
      <w:r w:rsidR="009A60A1" w:rsidRPr="00C67CC9">
        <w:rPr>
          <w:rFonts w:ascii="Times New Roman" w:hAnsi="Times New Roman" w:cs="Times New Roman"/>
          <w:sz w:val="28"/>
          <w:szCs w:val="28"/>
        </w:rPr>
        <w:t>Bozdag</w:t>
      </w:r>
      <w:proofErr w:type="spellEnd"/>
      <w:r w:rsidR="009A60A1" w:rsidRPr="00C67CC9">
        <w:rPr>
          <w:rFonts w:ascii="Times New Roman" w:hAnsi="Times New Roman" w:cs="Times New Roman"/>
          <w:sz w:val="28"/>
          <w:szCs w:val="28"/>
        </w:rPr>
        <w:t xml:space="preserve"> G, </w:t>
      </w:r>
      <w:proofErr w:type="spellStart"/>
      <w:r w:rsidR="009A60A1" w:rsidRPr="00C67CC9">
        <w:rPr>
          <w:rFonts w:ascii="Times New Roman" w:hAnsi="Times New Roman" w:cs="Times New Roman"/>
          <w:sz w:val="28"/>
          <w:szCs w:val="28"/>
        </w:rPr>
        <w:t>Yapici</w:t>
      </w:r>
      <w:proofErr w:type="spellEnd"/>
      <w:r w:rsidR="009A60A1" w:rsidRPr="00C67CC9">
        <w:rPr>
          <w:rFonts w:ascii="Times New Roman" w:hAnsi="Times New Roman" w:cs="Times New Roman"/>
          <w:sz w:val="28"/>
          <w:szCs w:val="28"/>
        </w:rPr>
        <w:t xml:space="preserve"> Z, </w:t>
      </w:r>
      <w:proofErr w:type="spellStart"/>
      <w:r w:rsidR="009A60A1" w:rsidRPr="00C67CC9">
        <w:rPr>
          <w:rFonts w:ascii="Times New Roman" w:hAnsi="Times New Roman" w:cs="Times New Roman"/>
          <w:sz w:val="28"/>
          <w:szCs w:val="28"/>
        </w:rPr>
        <w:t>Esinler</w:t>
      </w:r>
      <w:proofErr w:type="spellEnd"/>
      <w:r w:rsidR="009A60A1" w:rsidRPr="00C67CC9">
        <w:rPr>
          <w:rFonts w:ascii="Times New Roman" w:hAnsi="Times New Roman" w:cs="Times New Roman"/>
          <w:sz w:val="28"/>
          <w:szCs w:val="28"/>
        </w:rPr>
        <w:t xml:space="preserve"> I. </w:t>
      </w:r>
      <w:proofErr w:type="spellStart"/>
      <w:r w:rsidR="009A60A1" w:rsidRPr="00C67CC9">
        <w:rPr>
          <w:rFonts w:ascii="Times New Roman" w:hAnsi="Times New Roman" w:cs="Times New Roman"/>
          <w:sz w:val="28"/>
          <w:szCs w:val="28"/>
        </w:rPr>
        <w:t>Yarali</w:t>
      </w:r>
      <w:proofErr w:type="spellEnd"/>
      <w:r w:rsidR="009A60A1" w:rsidRPr="00C67CC9">
        <w:rPr>
          <w:rFonts w:ascii="Times New Roman" w:hAnsi="Times New Roman" w:cs="Times New Roman"/>
          <w:sz w:val="28"/>
          <w:szCs w:val="28"/>
        </w:rPr>
        <w:t xml:space="preserve"> II. Pr</w:t>
      </w:r>
      <w:r w:rsidR="00DA47C7" w:rsidRPr="00C67CC9">
        <w:rPr>
          <w:rFonts w:ascii="Times New Roman" w:hAnsi="Times New Roman" w:cs="Times New Roman"/>
          <w:sz w:val="28"/>
          <w:szCs w:val="28"/>
        </w:rPr>
        <w:t xml:space="preserve">evalence, phenotype and </w:t>
      </w:r>
      <w:proofErr w:type="spellStart"/>
      <w:r w:rsidR="00DA47C7" w:rsidRPr="00C67CC9">
        <w:rPr>
          <w:rFonts w:ascii="Times New Roman" w:hAnsi="Times New Roman" w:cs="Times New Roman"/>
          <w:sz w:val="28"/>
          <w:szCs w:val="28"/>
        </w:rPr>
        <w:t>cardiom</w:t>
      </w:r>
      <w:r w:rsidR="009A60A1" w:rsidRPr="00C67CC9">
        <w:rPr>
          <w:rFonts w:ascii="Times New Roman" w:hAnsi="Times New Roman" w:cs="Times New Roman"/>
          <w:sz w:val="28"/>
          <w:szCs w:val="28"/>
        </w:rPr>
        <w:t>etabolic</w:t>
      </w:r>
      <w:proofErr w:type="spellEnd"/>
      <w:r w:rsidR="009A60A1" w:rsidRPr="00C67CC9">
        <w:rPr>
          <w:rFonts w:ascii="Times New Roman" w:hAnsi="Times New Roman" w:cs="Times New Roman"/>
          <w:sz w:val="28"/>
          <w:szCs w:val="28"/>
        </w:rPr>
        <w:t xml:space="preserve"> ri</w:t>
      </w:r>
      <w:r w:rsidR="00E7002F">
        <w:rPr>
          <w:rFonts w:ascii="Times New Roman" w:hAnsi="Times New Roman" w:cs="Times New Roman"/>
          <w:sz w:val="28"/>
          <w:szCs w:val="28"/>
        </w:rPr>
        <w:t>sk o</w:t>
      </w:r>
      <w:r w:rsidR="00DA47C7" w:rsidRPr="00C67CC9">
        <w:rPr>
          <w:rFonts w:ascii="Times New Roman" w:hAnsi="Times New Roman" w:cs="Times New Roman"/>
          <w:sz w:val="28"/>
          <w:szCs w:val="28"/>
        </w:rPr>
        <w:t>f polycystic ovary syndrom</w:t>
      </w:r>
      <w:r w:rsidR="009A60A1" w:rsidRPr="00C67CC9">
        <w:rPr>
          <w:rFonts w:ascii="Times New Roman" w:hAnsi="Times New Roman" w:cs="Times New Roman"/>
          <w:sz w:val="28"/>
          <w:szCs w:val="28"/>
        </w:rPr>
        <w:t xml:space="preserve">e under different diagnostic criteria. Mum </w:t>
      </w:r>
      <w:proofErr w:type="spellStart"/>
      <w:r w:rsidR="009A60A1" w:rsidRPr="00C67CC9">
        <w:rPr>
          <w:rFonts w:ascii="Times New Roman" w:hAnsi="Times New Roman" w:cs="Times New Roman"/>
          <w:sz w:val="28"/>
          <w:szCs w:val="28"/>
        </w:rPr>
        <w:t>Reprod</w:t>
      </w:r>
      <w:proofErr w:type="spellEnd"/>
      <w:r w:rsidR="009A60A1" w:rsidRPr="00C67CC9">
        <w:rPr>
          <w:rFonts w:ascii="Times New Roman" w:hAnsi="Times New Roman" w:cs="Times New Roman"/>
          <w:sz w:val="28"/>
          <w:szCs w:val="28"/>
        </w:rPr>
        <w:t xml:space="preserve">. 2012 Oct; 27(10):3067-73. </w:t>
      </w:r>
    </w:p>
    <w:p w:rsidR="002F587B" w:rsidRPr="00C67CC9" w:rsidRDefault="003E562D" w:rsidP="00BB6B0E">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r w:rsidR="00E34F14">
        <w:rPr>
          <w:rFonts w:ascii="Times New Roman" w:hAnsi="Times New Roman" w:cs="Times New Roman"/>
          <w:sz w:val="28"/>
          <w:szCs w:val="28"/>
        </w:rPr>
        <w:t xml:space="preserve">. </w:t>
      </w:r>
      <w:proofErr w:type="spellStart"/>
      <w:r w:rsidR="00E34F14">
        <w:rPr>
          <w:rFonts w:ascii="Times New Roman" w:hAnsi="Times New Roman" w:cs="Times New Roman"/>
          <w:sz w:val="28"/>
          <w:szCs w:val="28"/>
        </w:rPr>
        <w:t>A</w:t>
      </w:r>
      <w:r w:rsidR="009A60A1" w:rsidRPr="00C67CC9">
        <w:rPr>
          <w:rFonts w:ascii="Times New Roman" w:hAnsi="Times New Roman" w:cs="Times New Roman"/>
          <w:sz w:val="28"/>
          <w:szCs w:val="28"/>
        </w:rPr>
        <w:t>zziz</w:t>
      </w:r>
      <w:proofErr w:type="spellEnd"/>
      <w:r w:rsidR="009A60A1" w:rsidRPr="00C67CC9">
        <w:rPr>
          <w:rFonts w:ascii="Times New Roman" w:hAnsi="Times New Roman" w:cs="Times New Roman"/>
          <w:sz w:val="28"/>
          <w:szCs w:val="28"/>
        </w:rPr>
        <w:t xml:space="preserve"> R, Sanchez LA, </w:t>
      </w:r>
      <w:proofErr w:type="spellStart"/>
      <w:r w:rsidR="009A60A1" w:rsidRPr="00C67CC9">
        <w:rPr>
          <w:rFonts w:ascii="Times New Roman" w:hAnsi="Times New Roman" w:cs="Times New Roman"/>
          <w:sz w:val="28"/>
          <w:szCs w:val="28"/>
        </w:rPr>
        <w:t>Knochenhauer</w:t>
      </w:r>
      <w:proofErr w:type="spellEnd"/>
      <w:r w:rsidR="009A60A1" w:rsidRPr="00C67CC9">
        <w:rPr>
          <w:rFonts w:ascii="Times New Roman" w:hAnsi="Times New Roman" w:cs="Times New Roman"/>
          <w:sz w:val="28"/>
          <w:szCs w:val="28"/>
        </w:rPr>
        <w:t xml:space="preserve"> ES, Moran C, </w:t>
      </w:r>
      <w:proofErr w:type="spellStart"/>
      <w:r w:rsidR="009A60A1" w:rsidRPr="00C67CC9">
        <w:rPr>
          <w:rFonts w:ascii="Times New Roman" w:hAnsi="Times New Roman" w:cs="Times New Roman"/>
          <w:sz w:val="28"/>
          <w:szCs w:val="28"/>
        </w:rPr>
        <w:t>Lazenby</w:t>
      </w:r>
      <w:proofErr w:type="spellEnd"/>
      <w:r w:rsidR="009A60A1" w:rsidRPr="00C67CC9">
        <w:rPr>
          <w:rFonts w:ascii="Times New Roman" w:hAnsi="Times New Roman" w:cs="Times New Roman"/>
          <w:sz w:val="28"/>
          <w:szCs w:val="28"/>
        </w:rPr>
        <w:t xml:space="preserve"> J, Ste</w:t>
      </w:r>
      <w:r w:rsidR="00DA47C7" w:rsidRPr="00C67CC9">
        <w:rPr>
          <w:rFonts w:ascii="Times New Roman" w:hAnsi="Times New Roman" w:cs="Times New Roman"/>
          <w:sz w:val="28"/>
          <w:szCs w:val="28"/>
        </w:rPr>
        <w:t>phens КС, Taylor K, Boots LR. A</w:t>
      </w:r>
      <w:r w:rsidR="009A60A1" w:rsidRPr="00C67CC9">
        <w:rPr>
          <w:rFonts w:ascii="Times New Roman" w:hAnsi="Times New Roman" w:cs="Times New Roman"/>
          <w:sz w:val="28"/>
          <w:szCs w:val="28"/>
        </w:rPr>
        <w:t xml:space="preserve">ndrogen excess in women: experience with over 1000 consecutive patients .1 </w:t>
      </w:r>
      <w:proofErr w:type="spellStart"/>
      <w:r w:rsidR="009A60A1" w:rsidRPr="00C67CC9">
        <w:rPr>
          <w:rFonts w:ascii="Times New Roman" w:hAnsi="Times New Roman" w:cs="Times New Roman"/>
          <w:sz w:val="28"/>
          <w:szCs w:val="28"/>
        </w:rPr>
        <w:t>Clin</w:t>
      </w:r>
      <w:proofErr w:type="spellEnd"/>
      <w:r w:rsidR="009A60A1" w:rsidRPr="00C67CC9">
        <w:rPr>
          <w:rFonts w:ascii="Times New Roman" w:hAnsi="Times New Roman" w:cs="Times New Roman"/>
          <w:sz w:val="28"/>
          <w:szCs w:val="28"/>
        </w:rPr>
        <w:t xml:space="preserve"> </w:t>
      </w:r>
      <w:proofErr w:type="spellStart"/>
      <w:r w:rsidR="009A60A1" w:rsidRPr="00C67CC9">
        <w:rPr>
          <w:rFonts w:ascii="Times New Roman" w:hAnsi="Times New Roman" w:cs="Times New Roman"/>
          <w:sz w:val="28"/>
          <w:szCs w:val="28"/>
        </w:rPr>
        <w:t>Endocrinol</w:t>
      </w:r>
      <w:proofErr w:type="spellEnd"/>
      <w:r w:rsidR="009A60A1" w:rsidRPr="00C67CC9">
        <w:rPr>
          <w:rFonts w:ascii="Times New Roman" w:hAnsi="Times New Roman" w:cs="Times New Roman"/>
          <w:sz w:val="28"/>
          <w:szCs w:val="28"/>
        </w:rPr>
        <w:t xml:space="preserve"> </w:t>
      </w:r>
      <w:proofErr w:type="spellStart"/>
      <w:r w:rsidR="009A60A1" w:rsidRPr="00C67CC9">
        <w:rPr>
          <w:rFonts w:ascii="Times New Roman" w:hAnsi="Times New Roman" w:cs="Times New Roman"/>
          <w:sz w:val="28"/>
          <w:szCs w:val="28"/>
        </w:rPr>
        <w:t>Metab</w:t>
      </w:r>
      <w:proofErr w:type="spellEnd"/>
      <w:r w:rsidR="009A60A1" w:rsidRPr="00C67CC9">
        <w:rPr>
          <w:rFonts w:ascii="Times New Roman" w:hAnsi="Times New Roman" w:cs="Times New Roman"/>
          <w:sz w:val="28"/>
          <w:szCs w:val="28"/>
        </w:rPr>
        <w:t>. 2004 Feb</w:t>
      </w:r>
      <w:proofErr w:type="gramStart"/>
      <w:r w:rsidR="009A60A1" w:rsidRPr="00C67CC9">
        <w:rPr>
          <w:rFonts w:ascii="Times New Roman" w:hAnsi="Times New Roman" w:cs="Times New Roman"/>
          <w:sz w:val="28"/>
          <w:szCs w:val="28"/>
        </w:rPr>
        <w:t>;89</w:t>
      </w:r>
      <w:proofErr w:type="gramEnd"/>
      <w:r w:rsidR="009A60A1" w:rsidRPr="00C67CC9">
        <w:rPr>
          <w:rFonts w:ascii="Times New Roman" w:hAnsi="Times New Roman" w:cs="Times New Roman"/>
          <w:sz w:val="28"/>
          <w:szCs w:val="28"/>
        </w:rPr>
        <w:t xml:space="preserve">(2):453-62. </w:t>
      </w:r>
    </w:p>
    <w:p w:rsidR="003E562D" w:rsidRDefault="003E562D" w:rsidP="00BB6B0E">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r w:rsidR="00E7002F" w:rsidRPr="00E7002F">
        <w:rPr>
          <w:rFonts w:ascii="Times New Roman" w:hAnsi="Times New Roman" w:cs="Times New Roman"/>
          <w:sz w:val="28"/>
          <w:szCs w:val="28"/>
        </w:rPr>
        <w:t>.</w:t>
      </w:r>
      <w:r w:rsidR="009A60A1" w:rsidRPr="00C67CC9">
        <w:rPr>
          <w:rFonts w:ascii="Times New Roman" w:hAnsi="Times New Roman" w:cs="Times New Roman"/>
          <w:sz w:val="28"/>
          <w:szCs w:val="28"/>
        </w:rPr>
        <w:t xml:space="preserve"> </w:t>
      </w:r>
      <w:proofErr w:type="spellStart"/>
      <w:r w:rsidR="009A60A1" w:rsidRPr="00C67CC9">
        <w:rPr>
          <w:rFonts w:ascii="Times New Roman" w:hAnsi="Times New Roman" w:cs="Times New Roman"/>
          <w:sz w:val="28"/>
          <w:szCs w:val="28"/>
        </w:rPr>
        <w:t>A</w:t>
      </w:r>
      <w:r w:rsidR="00DA47C7" w:rsidRPr="00C67CC9">
        <w:rPr>
          <w:rFonts w:ascii="Times New Roman" w:hAnsi="Times New Roman" w:cs="Times New Roman"/>
          <w:sz w:val="28"/>
          <w:szCs w:val="28"/>
        </w:rPr>
        <w:t>zziz</w:t>
      </w:r>
      <w:proofErr w:type="spellEnd"/>
      <w:r w:rsidR="00DA47C7" w:rsidRPr="00C67CC9">
        <w:rPr>
          <w:rFonts w:ascii="Times New Roman" w:hAnsi="Times New Roman" w:cs="Times New Roman"/>
          <w:sz w:val="28"/>
          <w:szCs w:val="28"/>
        </w:rPr>
        <w:t xml:space="preserve"> R, C</w:t>
      </w:r>
      <w:r w:rsidR="009A60A1" w:rsidRPr="00C67CC9">
        <w:rPr>
          <w:rFonts w:ascii="Times New Roman" w:hAnsi="Times New Roman" w:cs="Times New Roman"/>
          <w:sz w:val="28"/>
          <w:szCs w:val="28"/>
        </w:rPr>
        <w:t xml:space="preserve">armina E, </w:t>
      </w:r>
      <w:proofErr w:type="spellStart"/>
      <w:r w:rsidR="009A60A1" w:rsidRPr="00C67CC9">
        <w:rPr>
          <w:rFonts w:ascii="Times New Roman" w:hAnsi="Times New Roman" w:cs="Times New Roman"/>
          <w:sz w:val="28"/>
          <w:szCs w:val="28"/>
        </w:rPr>
        <w:t>Devvailly</w:t>
      </w:r>
      <w:proofErr w:type="spellEnd"/>
      <w:r w:rsidR="009A60A1" w:rsidRPr="00C67CC9">
        <w:rPr>
          <w:rFonts w:ascii="Times New Roman" w:hAnsi="Times New Roman" w:cs="Times New Roman"/>
          <w:sz w:val="28"/>
          <w:szCs w:val="28"/>
        </w:rPr>
        <w:t xml:space="preserve"> D, </w:t>
      </w:r>
      <w:proofErr w:type="spellStart"/>
      <w:r w:rsidR="009A60A1" w:rsidRPr="00C67CC9">
        <w:rPr>
          <w:rFonts w:ascii="Times New Roman" w:hAnsi="Times New Roman" w:cs="Times New Roman"/>
          <w:sz w:val="28"/>
          <w:szCs w:val="28"/>
        </w:rPr>
        <w:t>D</w:t>
      </w:r>
      <w:r w:rsidR="00DA47C7" w:rsidRPr="00C67CC9">
        <w:rPr>
          <w:rFonts w:ascii="Times New Roman" w:hAnsi="Times New Roman" w:cs="Times New Roman"/>
          <w:sz w:val="28"/>
          <w:szCs w:val="28"/>
        </w:rPr>
        <w:t>iam</w:t>
      </w:r>
      <w:proofErr w:type="spellEnd"/>
      <w:r w:rsidR="00DA47C7" w:rsidRPr="00C67CC9">
        <w:rPr>
          <w:rFonts w:ascii="Times New Roman" w:hAnsi="Times New Roman" w:cs="Times New Roman"/>
          <w:sz w:val="28"/>
          <w:szCs w:val="28"/>
        </w:rPr>
        <w:t xml:space="preserve"> anti-</w:t>
      </w:r>
      <w:proofErr w:type="spellStart"/>
      <w:r w:rsidR="00DA47C7" w:rsidRPr="00C67CC9">
        <w:rPr>
          <w:rFonts w:ascii="Times New Roman" w:hAnsi="Times New Roman" w:cs="Times New Roman"/>
          <w:sz w:val="28"/>
          <w:szCs w:val="28"/>
        </w:rPr>
        <w:t>Kandarakis</w:t>
      </w:r>
      <w:proofErr w:type="spellEnd"/>
      <w:r w:rsidR="00DA47C7" w:rsidRPr="00C67CC9">
        <w:rPr>
          <w:rFonts w:ascii="Times New Roman" w:hAnsi="Times New Roman" w:cs="Times New Roman"/>
          <w:sz w:val="28"/>
          <w:szCs w:val="28"/>
        </w:rPr>
        <w:t xml:space="preserve"> E, Escobar-</w:t>
      </w:r>
      <w:proofErr w:type="spellStart"/>
      <w:r w:rsidR="00DA47C7" w:rsidRPr="00C67CC9">
        <w:rPr>
          <w:rFonts w:ascii="Times New Roman" w:hAnsi="Times New Roman" w:cs="Times New Roman"/>
          <w:sz w:val="28"/>
          <w:szCs w:val="28"/>
        </w:rPr>
        <w:t>M</w:t>
      </w:r>
      <w:r w:rsidR="009A60A1" w:rsidRPr="00C67CC9">
        <w:rPr>
          <w:rFonts w:ascii="Times New Roman" w:hAnsi="Times New Roman" w:cs="Times New Roman"/>
          <w:sz w:val="28"/>
          <w:szCs w:val="28"/>
        </w:rPr>
        <w:t>orr</w:t>
      </w:r>
      <w:r w:rsidR="00DA47C7" w:rsidRPr="00C67CC9">
        <w:rPr>
          <w:rFonts w:ascii="Times New Roman" w:hAnsi="Times New Roman" w:cs="Times New Roman"/>
          <w:sz w:val="28"/>
          <w:szCs w:val="28"/>
        </w:rPr>
        <w:t>eale</w:t>
      </w:r>
      <w:proofErr w:type="spellEnd"/>
      <w:r w:rsidR="00DA47C7" w:rsidRPr="00C67CC9">
        <w:rPr>
          <w:rFonts w:ascii="Times New Roman" w:hAnsi="Times New Roman" w:cs="Times New Roman"/>
          <w:sz w:val="28"/>
          <w:szCs w:val="28"/>
        </w:rPr>
        <w:t xml:space="preserve"> HF, </w:t>
      </w:r>
      <w:proofErr w:type="spellStart"/>
      <w:r w:rsidR="00DA47C7" w:rsidRPr="00C67CC9">
        <w:rPr>
          <w:rFonts w:ascii="Times New Roman" w:hAnsi="Times New Roman" w:cs="Times New Roman"/>
          <w:sz w:val="28"/>
          <w:szCs w:val="28"/>
        </w:rPr>
        <w:t>Futterw</w:t>
      </w:r>
      <w:r w:rsidR="009A60A1" w:rsidRPr="00C67CC9">
        <w:rPr>
          <w:rFonts w:ascii="Times New Roman" w:hAnsi="Times New Roman" w:cs="Times New Roman"/>
          <w:sz w:val="28"/>
          <w:szCs w:val="28"/>
        </w:rPr>
        <w:t>eit</w:t>
      </w:r>
      <w:proofErr w:type="spellEnd"/>
      <w:r w:rsidR="009A60A1" w:rsidRPr="00C67CC9">
        <w:rPr>
          <w:rFonts w:ascii="Times New Roman" w:hAnsi="Times New Roman" w:cs="Times New Roman"/>
          <w:sz w:val="28"/>
          <w:szCs w:val="28"/>
        </w:rPr>
        <w:t xml:space="preserve"> W, Janssen OE, </w:t>
      </w:r>
      <w:proofErr w:type="spellStart"/>
      <w:r w:rsidR="009A60A1" w:rsidRPr="00C67CC9">
        <w:rPr>
          <w:rFonts w:ascii="Times New Roman" w:hAnsi="Times New Roman" w:cs="Times New Roman"/>
          <w:sz w:val="28"/>
          <w:szCs w:val="28"/>
        </w:rPr>
        <w:t>Legro</w:t>
      </w:r>
      <w:proofErr w:type="spellEnd"/>
      <w:r w:rsidR="00DA47C7" w:rsidRPr="00C67CC9">
        <w:rPr>
          <w:rFonts w:ascii="Times New Roman" w:hAnsi="Times New Roman" w:cs="Times New Roman"/>
          <w:sz w:val="28"/>
          <w:szCs w:val="28"/>
        </w:rPr>
        <w:t xml:space="preserve"> RS, Norm an RJ, Taylor A E, </w:t>
      </w:r>
      <w:proofErr w:type="spellStart"/>
      <w:r w:rsidR="00DA47C7" w:rsidRPr="00C67CC9">
        <w:rPr>
          <w:rFonts w:ascii="Times New Roman" w:hAnsi="Times New Roman" w:cs="Times New Roman"/>
          <w:sz w:val="28"/>
          <w:szCs w:val="28"/>
        </w:rPr>
        <w:t>W</w:t>
      </w:r>
      <w:r w:rsidR="009A60A1" w:rsidRPr="00C67CC9">
        <w:rPr>
          <w:rFonts w:ascii="Times New Roman" w:hAnsi="Times New Roman" w:cs="Times New Roman"/>
          <w:sz w:val="28"/>
          <w:szCs w:val="28"/>
        </w:rPr>
        <w:t>itchel</w:t>
      </w:r>
      <w:proofErr w:type="spellEnd"/>
      <w:r w:rsidR="009A60A1" w:rsidRPr="00C67CC9">
        <w:rPr>
          <w:rFonts w:ascii="Times New Roman" w:hAnsi="Times New Roman" w:cs="Times New Roman"/>
          <w:sz w:val="28"/>
          <w:szCs w:val="28"/>
        </w:rPr>
        <w:t xml:space="preserve"> SF I he Androgen Excess and PCOS Society criteria f</w:t>
      </w:r>
      <w:r w:rsidR="00DA47C7" w:rsidRPr="00C67CC9">
        <w:rPr>
          <w:rFonts w:ascii="Times New Roman" w:hAnsi="Times New Roman" w:cs="Times New Roman"/>
          <w:sz w:val="28"/>
          <w:szCs w:val="28"/>
        </w:rPr>
        <w:t>or the polycystic ovary syndrom</w:t>
      </w:r>
      <w:r w:rsidR="00B87515">
        <w:rPr>
          <w:rFonts w:ascii="Times New Roman" w:hAnsi="Times New Roman" w:cs="Times New Roman"/>
          <w:sz w:val="28"/>
          <w:szCs w:val="28"/>
        </w:rPr>
        <w:t>e: the com</w:t>
      </w:r>
      <w:r w:rsidR="009A60A1" w:rsidRPr="00C67CC9">
        <w:rPr>
          <w:rFonts w:ascii="Times New Roman" w:hAnsi="Times New Roman" w:cs="Times New Roman"/>
          <w:sz w:val="28"/>
          <w:szCs w:val="28"/>
        </w:rPr>
        <w:t xml:space="preserve">plete task force report. </w:t>
      </w:r>
      <w:proofErr w:type="spellStart"/>
      <w:r w:rsidR="009A60A1" w:rsidRPr="00C67CC9">
        <w:rPr>
          <w:rFonts w:ascii="Times New Roman" w:hAnsi="Times New Roman" w:cs="Times New Roman"/>
          <w:sz w:val="28"/>
          <w:szCs w:val="28"/>
        </w:rPr>
        <w:t>Fertil</w:t>
      </w:r>
      <w:proofErr w:type="spellEnd"/>
      <w:r w:rsidR="009A60A1" w:rsidRPr="00C67CC9">
        <w:rPr>
          <w:rFonts w:ascii="Times New Roman" w:hAnsi="Times New Roman" w:cs="Times New Roman"/>
          <w:sz w:val="28"/>
          <w:szCs w:val="28"/>
        </w:rPr>
        <w:t xml:space="preserve"> </w:t>
      </w:r>
      <w:proofErr w:type="spellStart"/>
      <w:r w:rsidR="009A60A1" w:rsidRPr="00C67CC9">
        <w:rPr>
          <w:rFonts w:ascii="Times New Roman" w:hAnsi="Times New Roman" w:cs="Times New Roman"/>
          <w:sz w:val="28"/>
          <w:szCs w:val="28"/>
        </w:rPr>
        <w:t>Steril</w:t>
      </w:r>
      <w:proofErr w:type="spellEnd"/>
      <w:r w:rsidR="009A60A1" w:rsidRPr="00C67CC9">
        <w:rPr>
          <w:rFonts w:ascii="Times New Roman" w:hAnsi="Times New Roman" w:cs="Times New Roman"/>
          <w:sz w:val="28"/>
          <w:szCs w:val="28"/>
        </w:rPr>
        <w:t xml:space="preserve">. </w:t>
      </w:r>
      <w:r w:rsidR="00DA47C7" w:rsidRPr="00C67CC9">
        <w:rPr>
          <w:rFonts w:ascii="Times New Roman" w:hAnsi="Times New Roman" w:cs="Times New Roman"/>
          <w:sz w:val="28"/>
          <w:szCs w:val="28"/>
        </w:rPr>
        <w:t>2009 Feb</w:t>
      </w:r>
      <w:proofErr w:type="gramStart"/>
      <w:r w:rsidR="00DA47C7" w:rsidRPr="00C67CC9">
        <w:rPr>
          <w:rFonts w:ascii="Times New Roman" w:hAnsi="Times New Roman" w:cs="Times New Roman"/>
          <w:sz w:val="28"/>
          <w:szCs w:val="28"/>
        </w:rPr>
        <w:t>;91</w:t>
      </w:r>
      <w:proofErr w:type="gramEnd"/>
      <w:r w:rsidR="00DA47C7" w:rsidRPr="00C67CC9">
        <w:rPr>
          <w:rFonts w:ascii="Times New Roman" w:hAnsi="Times New Roman" w:cs="Times New Roman"/>
          <w:sz w:val="28"/>
          <w:szCs w:val="28"/>
        </w:rPr>
        <w:t xml:space="preserve">(2):456-88. </w:t>
      </w:r>
    </w:p>
    <w:p w:rsidR="002F587B" w:rsidRPr="00C67CC9" w:rsidRDefault="003E562D" w:rsidP="00BB6B0E">
      <w:pPr>
        <w:spacing w:line="360" w:lineRule="auto"/>
        <w:jc w:val="both"/>
        <w:rPr>
          <w:rFonts w:ascii="Times New Roman" w:hAnsi="Times New Roman" w:cs="Times New Roman"/>
          <w:sz w:val="28"/>
          <w:szCs w:val="28"/>
        </w:rPr>
      </w:pPr>
      <w:r w:rsidRPr="003E562D">
        <w:rPr>
          <w:rFonts w:ascii="Times New Roman" w:hAnsi="Times New Roman" w:cs="Times New Roman"/>
          <w:sz w:val="28"/>
          <w:szCs w:val="28"/>
        </w:rPr>
        <w:lastRenderedPageBreak/>
        <w:t>17</w:t>
      </w:r>
      <w:r w:rsidR="00DA47C7" w:rsidRPr="00C67CC9">
        <w:rPr>
          <w:rFonts w:ascii="Times New Roman" w:hAnsi="Times New Roman" w:cs="Times New Roman"/>
          <w:sz w:val="28"/>
          <w:szCs w:val="28"/>
        </w:rPr>
        <w:t>. Carm</w:t>
      </w:r>
      <w:r w:rsidR="009A60A1" w:rsidRPr="00C67CC9">
        <w:rPr>
          <w:rFonts w:ascii="Times New Roman" w:hAnsi="Times New Roman" w:cs="Times New Roman"/>
          <w:sz w:val="28"/>
          <w:szCs w:val="28"/>
        </w:rPr>
        <w:t xml:space="preserve">ina E, </w:t>
      </w:r>
      <w:proofErr w:type="spellStart"/>
      <w:r w:rsidR="009A60A1" w:rsidRPr="00C67CC9">
        <w:rPr>
          <w:rFonts w:ascii="Times New Roman" w:hAnsi="Times New Roman" w:cs="Times New Roman"/>
          <w:sz w:val="28"/>
          <w:szCs w:val="28"/>
        </w:rPr>
        <w:t>Rosato</w:t>
      </w:r>
      <w:proofErr w:type="spellEnd"/>
      <w:r w:rsidR="009A60A1" w:rsidRPr="00C67CC9">
        <w:rPr>
          <w:rFonts w:ascii="Times New Roman" w:hAnsi="Times New Roman" w:cs="Times New Roman"/>
          <w:sz w:val="28"/>
          <w:szCs w:val="28"/>
        </w:rPr>
        <w:t xml:space="preserve"> F, </w:t>
      </w:r>
      <w:proofErr w:type="spellStart"/>
      <w:r w:rsidR="009A60A1" w:rsidRPr="00C67CC9">
        <w:rPr>
          <w:rFonts w:ascii="Times New Roman" w:hAnsi="Times New Roman" w:cs="Times New Roman"/>
          <w:sz w:val="28"/>
          <w:szCs w:val="28"/>
        </w:rPr>
        <w:t>Janni</w:t>
      </w:r>
      <w:proofErr w:type="spellEnd"/>
      <w:r w:rsidR="009A60A1" w:rsidRPr="00C67CC9">
        <w:rPr>
          <w:rFonts w:ascii="Times New Roman" w:hAnsi="Times New Roman" w:cs="Times New Roman"/>
          <w:sz w:val="28"/>
          <w:szCs w:val="28"/>
        </w:rPr>
        <w:t xml:space="preserve"> A, Rizzo M , Longo RA. Extensive clinical ex</w:t>
      </w:r>
      <w:r w:rsidR="00DA47C7" w:rsidRPr="00C67CC9">
        <w:rPr>
          <w:rFonts w:ascii="Times New Roman" w:hAnsi="Times New Roman" w:cs="Times New Roman"/>
          <w:sz w:val="28"/>
          <w:szCs w:val="28"/>
        </w:rPr>
        <w:t>perience: relative prevalence o</w:t>
      </w:r>
      <w:r w:rsidR="009A60A1" w:rsidRPr="00C67CC9">
        <w:rPr>
          <w:rFonts w:ascii="Times New Roman" w:hAnsi="Times New Roman" w:cs="Times New Roman"/>
          <w:sz w:val="28"/>
          <w:szCs w:val="28"/>
        </w:rPr>
        <w:t>f different andro</w:t>
      </w:r>
      <w:r w:rsidR="00DA47C7" w:rsidRPr="00C67CC9">
        <w:rPr>
          <w:rFonts w:ascii="Times New Roman" w:hAnsi="Times New Roman" w:cs="Times New Roman"/>
          <w:sz w:val="28"/>
          <w:szCs w:val="28"/>
        </w:rPr>
        <w:t>gen excess disorders in 950 women referred because o</w:t>
      </w:r>
      <w:r w:rsidR="009A60A1" w:rsidRPr="00C67CC9">
        <w:rPr>
          <w:rFonts w:ascii="Times New Roman" w:hAnsi="Times New Roman" w:cs="Times New Roman"/>
          <w:sz w:val="28"/>
          <w:szCs w:val="28"/>
        </w:rPr>
        <w:t xml:space="preserve">f clinical </w:t>
      </w:r>
      <w:proofErr w:type="spellStart"/>
      <w:r w:rsidR="009A60A1" w:rsidRPr="00C67CC9">
        <w:rPr>
          <w:rFonts w:ascii="Times New Roman" w:hAnsi="Times New Roman" w:cs="Times New Roman"/>
          <w:sz w:val="28"/>
          <w:szCs w:val="28"/>
        </w:rPr>
        <w:t>hyper</w:t>
      </w:r>
      <w:r w:rsidR="00DA47C7" w:rsidRPr="00C67CC9">
        <w:rPr>
          <w:rFonts w:ascii="Times New Roman" w:hAnsi="Times New Roman" w:cs="Times New Roman"/>
          <w:sz w:val="28"/>
          <w:szCs w:val="28"/>
        </w:rPr>
        <w:t>androgenism</w:t>
      </w:r>
      <w:proofErr w:type="spellEnd"/>
      <w:r w:rsidR="00DA47C7" w:rsidRPr="00C67CC9">
        <w:rPr>
          <w:rFonts w:ascii="Times New Roman" w:hAnsi="Times New Roman" w:cs="Times New Roman"/>
          <w:sz w:val="28"/>
          <w:szCs w:val="28"/>
        </w:rPr>
        <w:t xml:space="preserve"> J </w:t>
      </w:r>
      <w:proofErr w:type="spellStart"/>
      <w:r w:rsidR="00DA47C7" w:rsidRPr="00C67CC9">
        <w:rPr>
          <w:rFonts w:ascii="Times New Roman" w:hAnsi="Times New Roman" w:cs="Times New Roman"/>
          <w:sz w:val="28"/>
          <w:szCs w:val="28"/>
        </w:rPr>
        <w:t>Clin</w:t>
      </w:r>
      <w:proofErr w:type="spellEnd"/>
      <w:r w:rsidR="00DA47C7" w:rsidRPr="00C67CC9">
        <w:rPr>
          <w:rFonts w:ascii="Times New Roman" w:hAnsi="Times New Roman" w:cs="Times New Roman"/>
          <w:sz w:val="28"/>
          <w:szCs w:val="28"/>
        </w:rPr>
        <w:t xml:space="preserve"> </w:t>
      </w:r>
      <w:proofErr w:type="spellStart"/>
      <w:r w:rsidR="00DA47C7" w:rsidRPr="00C67CC9">
        <w:rPr>
          <w:rFonts w:ascii="Times New Roman" w:hAnsi="Times New Roman" w:cs="Times New Roman"/>
          <w:sz w:val="28"/>
          <w:szCs w:val="28"/>
        </w:rPr>
        <w:t>Endocrinol</w:t>
      </w:r>
      <w:proofErr w:type="spellEnd"/>
      <w:r w:rsidR="00DA47C7" w:rsidRPr="00C67CC9">
        <w:rPr>
          <w:rFonts w:ascii="Times New Roman" w:hAnsi="Times New Roman" w:cs="Times New Roman"/>
          <w:sz w:val="28"/>
          <w:szCs w:val="28"/>
        </w:rPr>
        <w:t xml:space="preserve"> </w:t>
      </w:r>
      <w:proofErr w:type="spellStart"/>
      <w:r w:rsidR="00DA47C7" w:rsidRPr="00C67CC9">
        <w:rPr>
          <w:rFonts w:ascii="Times New Roman" w:hAnsi="Times New Roman" w:cs="Times New Roman"/>
          <w:sz w:val="28"/>
          <w:szCs w:val="28"/>
        </w:rPr>
        <w:t>M</w:t>
      </w:r>
      <w:r w:rsidR="009A60A1" w:rsidRPr="00C67CC9">
        <w:rPr>
          <w:rFonts w:ascii="Times New Roman" w:hAnsi="Times New Roman" w:cs="Times New Roman"/>
          <w:sz w:val="28"/>
          <w:szCs w:val="28"/>
        </w:rPr>
        <w:t>etab</w:t>
      </w:r>
      <w:proofErr w:type="spellEnd"/>
      <w:r w:rsidR="009A60A1" w:rsidRPr="00C67CC9">
        <w:rPr>
          <w:rFonts w:ascii="Times New Roman" w:hAnsi="Times New Roman" w:cs="Times New Roman"/>
          <w:sz w:val="28"/>
          <w:szCs w:val="28"/>
        </w:rPr>
        <w:t>. 2006 Jan; 91(</w:t>
      </w:r>
      <w:proofErr w:type="gramStart"/>
      <w:r w:rsidR="009A60A1" w:rsidRPr="00C67CC9">
        <w:rPr>
          <w:rFonts w:ascii="Times New Roman" w:hAnsi="Times New Roman" w:cs="Times New Roman"/>
          <w:sz w:val="28"/>
          <w:szCs w:val="28"/>
        </w:rPr>
        <w:t>1 )</w:t>
      </w:r>
      <w:proofErr w:type="gramEnd"/>
      <w:r w:rsidR="009A60A1" w:rsidRPr="00C67CC9">
        <w:rPr>
          <w:rFonts w:ascii="Times New Roman" w:hAnsi="Times New Roman" w:cs="Times New Roman"/>
          <w:sz w:val="28"/>
          <w:szCs w:val="28"/>
        </w:rPr>
        <w:t>:2-6.</w:t>
      </w:r>
    </w:p>
    <w:p w:rsidR="002F587B" w:rsidRPr="003E562D" w:rsidRDefault="00DA47C7" w:rsidP="00BB6B0E">
      <w:pPr>
        <w:pStyle w:val="ListParagraph"/>
        <w:numPr>
          <w:ilvl w:val="0"/>
          <w:numId w:val="24"/>
        </w:numPr>
        <w:spacing w:line="360" w:lineRule="auto"/>
        <w:jc w:val="both"/>
        <w:rPr>
          <w:sz w:val="28"/>
          <w:szCs w:val="28"/>
        </w:rPr>
      </w:pPr>
      <w:proofErr w:type="spellStart"/>
      <w:r w:rsidRPr="003E562D">
        <w:rPr>
          <w:sz w:val="28"/>
          <w:szCs w:val="28"/>
        </w:rPr>
        <w:t>H</w:t>
      </w:r>
      <w:r w:rsidR="009A60A1" w:rsidRPr="003E562D">
        <w:rPr>
          <w:sz w:val="28"/>
          <w:szCs w:val="28"/>
        </w:rPr>
        <w:t>ardiraan</w:t>
      </w:r>
      <w:proofErr w:type="spellEnd"/>
      <w:r w:rsidR="009A60A1" w:rsidRPr="003E562D">
        <w:rPr>
          <w:sz w:val="28"/>
          <w:szCs w:val="28"/>
        </w:rPr>
        <w:t xml:space="preserve"> P, Pillay ОС, </w:t>
      </w:r>
      <w:proofErr w:type="spellStart"/>
      <w:r w:rsidR="009A60A1" w:rsidRPr="003E562D">
        <w:rPr>
          <w:sz w:val="28"/>
          <w:szCs w:val="28"/>
        </w:rPr>
        <w:t>Atio</w:t>
      </w:r>
      <w:r w:rsidR="00D304D6" w:rsidRPr="003E562D">
        <w:rPr>
          <w:sz w:val="28"/>
          <w:szCs w:val="28"/>
        </w:rPr>
        <w:t>m</w:t>
      </w:r>
      <w:r w:rsidRPr="003E562D">
        <w:rPr>
          <w:sz w:val="28"/>
          <w:szCs w:val="28"/>
        </w:rPr>
        <w:t>o</w:t>
      </w:r>
      <w:proofErr w:type="spellEnd"/>
      <w:r w:rsidRPr="003E562D">
        <w:rPr>
          <w:sz w:val="28"/>
          <w:szCs w:val="28"/>
        </w:rPr>
        <w:t xml:space="preserve"> W. Polycystic ovary syndrome and endom</w:t>
      </w:r>
      <w:r w:rsidR="009A60A1" w:rsidRPr="003E562D">
        <w:rPr>
          <w:sz w:val="28"/>
          <w:szCs w:val="28"/>
        </w:rPr>
        <w:t>etrial carcinoma. Lancet 2003; 361:1810.</w:t>
      </w:r>
    </w:p>
    <w:p w:rsidR="002F587B" w:rsidRPr="003E562D" w:rsidRDefault="00DA47C7" w:rsidP="00BB6B0E">
      <w:pPr>
        <w:pStyle w:val="ListParagraph"/>
        <w:numPr>
          <w:ilvl w:val="0"/>
          <w:numId w:val="24"/>
        </w:numPr>
        <w:spacing w:line="360" w:lineRule="auto"/>
        <w:jc w:val="both"/>
        <w:rPr>
          <w:sz w:val="28"/>
          <w:szCs w:val="28"/>
        </w:rPr>
      </w:pPr>
      <w:proofErr w:type="spellStart"/>
      <w:r w:rsidRPr="003E562D">
        <w:rPr>
          <w:sz w:val="28"/>
          <w:szCs w:val="28"/>
        </w:rPr>
        <w:t>Gadducci</w:t>
      </w:r>
      <w:proofErr w:type="spellEnd"/>
      <w:r w:rsidRPr="003E562D">
        <w:rPr>
          <w:sz w:val="28"/>
          <w:szCs w:val="28"/>
        </w:rPr>
        <w:t xml:space="preserve"> A, </w:t>
      </w:r>
      <w:proofErr w:type="spellStart"/>
      <w:r w:rsidRPr="003E562D">
        <w:rPr>
          <w:sz w:val="28"/>
          <w:szCs w:val="28"/>
        </w:rPr>
        <w:t>G</w:t>
      </w:r>
      <w:r w:rsidR="009A60A1" w:rsidRPr="003E562D">
        <w:rPr>
          <w:sz w:val="28"/>
          <w:szCs w:val="28"/>
        </w:rPr>
        <w:t>argini</w:t>
      </w:r>
      <w:proofErr w:type="spellEnd"/>
      <w:r w:rsidR="009A60A1" w:rsidRPr="003E562D">
        <w:rPr>
          <w:sz w:val="28"/>
          <w:szCs w:val="28"/>
        </w:rPr>
        <w:t xml:space="preserve"> A, Pal la E, </w:t>
      </w:r>
      <w:r w:rsidRPr="003E562D">
        <w:rPr>
          <w:sz w:val="28"/>
          <w:szCs w:val="28"/>
        </w:rPr>
        <w:t>et al. Polycystic ovary syndrom</w:t>
      </w:r>
      <w:r w:rsidR="009A60A1" w:rsidRPr="003E562D">
        <w:rPr>
          <w:sz w:val="28"/>
          <w:szCs w:val="28"/>
        </w:rPr>
        <w:t xml:space="preserve">e and gynecological cancers: is there a link? </w:t>
      </w:r>
      <w:proofErr w:type="spellStart"/>
      <w:r w:rsidR="009A60A1" w:rsidRPr="003E562D">
        <w:rPr>
          <w:sz w:val="28"/>
          <w:szCs w:val="28"/>
        </w:rPr>
        <w:t>Gynecol</w:t>
      </w:r>
      <w:proofErr w:type="spellEnd"/>
      <w:r w:rsidR="009A60A1" w:rsidRPr="003E562D">
        <w:rPr>
          <w:sz w:val="28"/>
          <w:szCs w:val="28"/>
        </w:rPr>
        <w:t xml:space="preserve"> </w:t>
      </w:r>
      <w:proofErr w:type="spellStart"/>
      <w:r w:rsidR="009A60A1" w:rsidRPr="003E562D">
        <w:rPr>
          <w:sz w:val="28"/>
          <w:szCs w:val="28"/>
        </w:rPr>
        <w:t>Endocrinol</w:t>
      </w:r>
      <w:proofErr w:type="spellEnd"/>
      <w:r w:rsidR="009A60A1" w:rsidRPr="003E562D">
        <w:rPr>
          <w:sz w:val="28"/>
          <w:szCs w:val="28"/>
        </w:rPr>
        <w:t xml:space="preserve"> 2005; 20:200. </w:t>
      </w:r>
    </w:p>
    <w:p w:rsidR="002F587B" w:rsidRPr="003E562D" w:rsidRDefault="009A60A1" w:rsidP="00BB6B0E">
      <w:pPr>
        <w:pStyle w:val="ListParagraph"/>
        <w:numPr>
          <w:ilvl w:val="0"/>
          <w:numId w:val="24"/>
        </w:numPr>
        <w:spacing w:line="360" w:lineRule="auto"/>
        <w:jc w:val="both"/>
        <w:rPr>
          <w:sz w:val="28"/>
          <w:szCs w:val="28"/>
        </w:rPr>
      </w:pPr>
      <w:r w:rsidRPr="003E562D">
        <w:rPr>
          <w:sz w:val="28"/>
          <w:szCs w:val="28"/>
        </w:rPr>
        <w:t>Glucose intolera</w:t>
      </w:r>
      <w:r w:rsidR="00DA47C7" w:rsidRPr="003E562D">
        <w:rPr>
          <w:sz w:val="28"/>
          <w:szCs w:val="28"/>
        </w:rPr>
        <w:t>nce in polycystic ovary syndrom</w:t>
      </w:r>
      <w:r w:rsidRPr="003E562D">
        <w:rPr>
          <w:sz w:val="28"/>
          <w:szCs w:val="28"/>
        </w:rPr>
        <w:t>e - a positi</w:t>
      </w:r>
      <w:r w:rsidR="00DA47C7" w:rsidRPr="003E562D">
        <w:rPr>
          <w:sz w:val="28"/>
          <w:szCs w:val="28"/>
        </w:rPr>
        <w:t>on statement o</w:t>
      </w:r>
      <w:r w:rsidRPr="003E562D">
        <w:rPr>
          <w:sz w:val="28"/>
          <w:szCs w:val="28"/>
        </w:rPr>
        <w:t>f the Androgen Exce</w:t>
      </w:r>
      <w:r w:rsidR="00DA47C7" w:rsidRPr="003E562D">
        <w:rPr>
          <w:sz w:val="28"/>
          <w:szCs w:val="28"/>
        </w:rPr>
        <w:t xml:space="preserve">ss Society. J </w:t>
      </w:r>
      <w:proofErr w:type="spellStart"/>
      <w:r w:rsidR="00DA47C7" w:rsidRPr="003E562D">
        <w:rPr>
          <w:sz w:val="28"/>
          <w:szCs w:val="28"/>
        </w:rPr>
        <w:t>Clin</w:t>
      </w:r>
      <w:proofErr w:type="spellEnd"/>
      <w:r w:rsidR="00DA47C7" w:rsidRPr="003E562D">
        <w:rPr>
          <w:sz w:val="28"/>
          <w:szCs w:val="28"/>
        </w:rPr>
        <w:t xml:space="preserve"> </w:t>
      </w:r>
      <w:proofErr w:type="spellStart"/>
      <w:r w:rsidR="00DA47C7" w:rsidRPr="003E562D">
        <w:rPr>
          <w:sz w:val="28"/>
          <w:szCs w:val="28"/>
        </w:rPr>
        <w:t>Endocrinol</w:t>
      </w:r>
      <w:proofErr w:type="spellEnd"/>
      <w:r w:rsidR="00DA47C7" w:rsidRPr="003E562D">
        <w:rPr>
          <w:sz w:val="28"/>
          <w:szCs w:val="28"/>
        </w:rPr>
        <w:t xml:space="preserve"> </w:t>
      </w:r>
      <w:proofErr w:type="spellStart"/>
      <w:r w:rsidR="00DA47C7" w:rsidRPr="003E562D">
        <w:rPr>
          <w:sz w:val="28"/>
          <w:szCs w:val="28"/>
        </w:rPr>
        <w:t>M</w:t>
      </w:r>
      <w:r w:rsidRPr="003E562D">
        <w:rPr>
          <w:sz w:val="28"/>
          <w:szCs w:val="28"/>
        </w:rPr>
        <w:t>etab</w:t>
      </w:r>
      <w:proofErr w:type="spellEnd"/>
      <w:r w:rsidRPr="003E562D">
        <w:rPr>
          <w:sz w:val="28"/>
          <w:szCs w:val="28"/>
        </w:rPr>
        <w:t>. 2007 Dec; 92(12):4546-56.</w:t>
      </w:r>
    </w:p>
    <w:p w:rsidR="002F587B" w:rsidRPr="003E562D" w:rsidRDefault="00D304D6" w:rsidP="00BB6B0E">
      <w:pPr>
        <w:pStyle w:val="ListParagraph"/>
        <w:numPr>
          <w:ilvl w:val="0"/>
          <w:numId w:val="24"/>
        </w:numPr>
        <w:spacing w:line="360" w:lineRule="auto"/>
        <w:jc w:val="both"/>
        <w:rPr>
          <w:sz w:val="28"/>
          <w:szCs w:val="28"/>
        </w:rPr>
      </w:pPr>
      <w:r w:rsidRPr="003E562D">
        <w:rPr>
          <w:sz w:val="28"/>
          <w:szCs w:val="28"/>
        </w:rPr>
        <w:t xml:space="preserve">Wild S, </w:t>
      </w:r>
      <w:proofErr w:type="spellStart"/>
      <w:r w:rsidRPr="003E562D">
        <w:rPr>
          <w:sz w:val="28"/>
          <w:szCs w:val="28"/>
        </w:rPr>
        <w:t>Pierpoint</w:t>
      </w:r>
      <w:proofErr w:type="spellEnd"/>
      <w:r w:rsidRPr="003E562D">
        <w:rPr>
          <w:sz w:val="28"/>
          <w:szCs w:val="28"/>
        </w:rPr>
        <w:t xml:space="preserve"> T, </w:t>
      </w:r>
      <w:proofErr w:type="spellStart"/>
      <w:r w:rsidRPr="003E562D">
        <w:rPr>
          <w:sz w:val="28"/>
          <w:szCs w:val="28"/>
        </w:rPr>
        <w:t>McK</w:t>
      </w:r>
      <w:r w:rsidR="009A60A1" w:rsidRPr="003E562D">
        <w:rPr>
          <w:sz w:val="28"/>
          <w:szCs w:val="28"/>
        </w:rPr>
        <w:t>eigue</w:t>
      </w:r>
      <w:proofErr w:type="spellEnd"/>
      <w:r w:rsidR="009A60A1" w:rsidRPr="003E562D">
        <w:rPr>
          <w:sz w:val="28"/>
          <w:szCs w:val="28"/>
        </w:rPr>
        <w:t xml:space="preserve"> P, and Jacobs FI.</w:t>
      </w:r>
      <w:r w:rsidRPr="003E562D">
        <w:rPr>
          <w:sz w:val="28"/>
          <w:szCs w:val="28"/>
        </w:rPr>
        <w:t xml:space="preserve"> C</w:t>
      </w:r>
      <w:r w:rsidR="00DA47C7" w:rsidRPr="003E562D">
        <w:rPr>
          <w:sz w:val="28"/>
          <w:szCs w:val="28"/>
        </w:rPr>
        <w:t>ardiovascular disease in wom</w:t>
      </w:r>
      <w:r w:rsidR="009A60A1" w:rsidRPr="003E562D">
        <w:rPr>
          <w:sz w:val="28"/>
          <w:szCs w:val="28"/>
        </w:rPr>
        <w:t>e</w:t>
      </w:r>
      <w:r w:rsidR="00DA47C7" w:rsidRPr="003E562D">
        <w:rPr>
          <w:sz w:val="28"/>
          <w:szCs w:val="28"/>
        </w:rPr>
        <w:t>n with polycystic ovary syndrom</w:t>
      </w:r>
      <w:r w:rsidRPr="003E562D">
        <w:rPr>
          <w:sz w:val="28"/>
          <w:szCs w:val="28"/>
        </w:rPr>
        <w:t>e at long-term follow</w:t>
      </w:r>
      <w:r w:rsidR="009A60A1" w:rsidRPr="003E562D">
        <w:rPr>
          <w:sz w:val="28"/>
          <w:szCs w:val="28"/>
        </w:rPr>
        <w:t xml:space="preserve">-up: a retrospective cohort study. </w:t>
      </w:r>
      <w:proofErr w:type="spellStart"/>
      <w:r w:rsidR="009A60A1" w:rsidRPr="003E562D">
        <w:rPr>
          <w:sz w:val="28"/>
          <w:szCs w:val="28"/>
        </w:rPr>
        <w:t>Clin</w:t>
      </w:r>
      <w:proofErr w:type="spellEnd"/>
      <w:r w:rsidR="009A60A1" w:rsidRPr="003E562D">
        <w:rPr>
          <w:sz w:val="28"/>
          <w:szCs w:val="28"/>
        </w:rPr>
        <w:t xml:space="preserve">. </w:t>
      </w:r>
      <w:proofErr w:type="spellStart"/>
      <w:r w:rsidR="009A60A1" w:rsidRPr="003E562D">
        <w:rPr>
          <w:sz w:val="28"/>
          <w:szCs w:val="28"/>
        </w:rPr>
        <w:t>Endocrinol</w:t>
      </w:r>
      <w:proofErr w:type="spellEnd"/>
      <w:r w:rsidR="009A60A1" w:rsidRPr="003E562D">
        <w:rPr>
          <w:sz w:val="28"/>
          <w:szCs w:val="28"/>
        </w:rPr>
        <w:t xml:space="preserve">. 2000 52: 595-600 </w:t>
      </w:r>
    </w:p>
    <w:p w:rsidR="002F587B" w:rsidRPr="003E562D" w:rsidRDefault="009A60A1" w:rsidP="00BB6B0E">
      <w:pPr>
        <w:pStyle w:val="ListParagraph"/>
        <w:numPr>
          <w:ilvl w:val="0"/>
          <w:numId w:val="24"/>
        </w:numPr>
        <w:spacing w:line="360" w:lineRule="auto"/>
        <w:jc w:val="both"/>
        <w:rPr>
          <w:sz w:val="28"/>
          <w:szCs w:val="28"/>
        </w:rPr>
      </w:pPr>
      <w:proofErr w:type="spellStart"/>
      <w:r w:rsidRPr="003E562D">
        <w:rPr>
          <w:sz w:val="28"/>
          <w:szCs w:val="28"/>
        </w:rPr>
        <w:t>Randeva</w:t>
      </w:r>
      <w:proofErr w:type="spellEnd"/>
      <w:r w:rsidRPr="003E562D">
        <w:rPr>
          <w:sz w:val="28"/>
          <w:szCs w:val="28"/>
        </w:rPr>
        <w:t xml:space="preserve"> H S, Tan BK </w:t>
      </w:r>
      <w:r w:rsidR="00D304D6" w:rsidRPr="003E562D">
        <w:rPr>
          <w:sz w:val="28"/>
          <w:szCs w:val="28"/>
        </w:rPr>
        <w:t xml:space="preserve">, </w:t>
      </w:r>
      <w:proofErr w:type="spellStart"/>
      <w:r w:rsidR="00D304D6" w:rsidRPr="003E562D">
        <w:rPr>
          <w:sz w:val="28"/>
          <w:szCs w:val="28"/>
        </w:rPr>
        <w:t>W</w:t>
      </w:r>
      <w:r w:rsidR="00DA47C7" w:rsidRPr="003E562D">
        <w:rPr>
          <w:sz w:val="28"/>
          <w:szCs w:val="28"/>
        </w:rPr>
        <w:t>eickert</w:t>
      </w:r>
      <w:proofErr w:type="spellEnd"/>
      <w:r w:rsidR="00DA47C7" w:rsidRPr="003E562D">
        <w:rPr>
          <w:sz w:val="28"/>
          <w:szCs w:val="28"/>
        </w:rPr>
        <w:t xml:space="preserve"> MO, et al. C </w:t>
      </w:r>
      <w:proofErr w:type="spellStart"/>
      <w:r w:rsidR="00DA47C7" w:rsidRPr="003E562D">
        <w:rPr>
          <w:sz w:val="28"/>
          <w:szCs w:val="28"/>
        </w:rPr>
        <w:t>ardiometabolic</w:t>
      </w:r>
      <w:proofErr w:type="spellEnd"/>
      <w:r w:rsidR="00DA47C7" w:rsidRPr="003E562D">
        <w:rPr>
          <w:sz w:val="28"/>
          <w:szCs w:val="28"/>
        </w:rPr>
        <w:t xml:space="preserve"> aspects of the poly</w:t>
      </w:r>
      <w:r w:rsidRPr="003E562D">
        <w:rPr>
          <w:sz w:val="28"/>
          <w:szCs w:val="28"/>
        </w:rPr>
        <w:t xml:space="preserve">cystic ovary syndrome. </w:t>
      </w:r>
      <w:proofErr w:type="spellStart"/>
      <w:r w:rsidRPr="003E562D">
        <w:rPr>
          <w:sz w:val="28"/>
          <w:szCs w:val="28"/>
        </w:rPr>
        <w:t>Endocr</w:t>
      </w:r>
      <w:proofErr w:type="spellEnd"/>
      <w:r w:rsidRPr="003E562D">
        <w:rPr>
          <w:sz w:val="28"/>
          <w:szCs w:val="28"/>
        </w:rPr>
        <w:t xml:space="preserve"> Rev 2012; 33:812. </w:t>
      </w:r>
    </w:p>
    <w:p w:rsidR="00E7002F" w:rsidRPr="003E562D" w:rsidRDefault="002540EB" w:rsidP="00BB6B0E">
      <w:pPr>
        <w:pStyle w:val="ListParagraph"/>
        <w:numPr>
          <w:ilvl w:val="0"/>
          <w:numId w:val="24"/>
        </w:numPr>
        <w:spacing w:line="360" w:lineRule="auto"/>
        <w:jc w:val="both"/>
        <w:rPr>
          <w:sz w:val="28"/>
          <w:szCs w:val="28"/>
        </w:rPr>
      </w:pPr>
      <w:proofErr w:type="spellStart"/>
      <w:r w:rsidRPr="003E562D">
        <w:rPr>
          <w:sz w:val="28"/>
          <w:szCs w:val="28"/>
        </w:rPr>
        <w:t>Zawadzki</w:t>
      </w:r>
      <w:proofErr w:type="spellEnd"/>
      <w:r w:rsidRPr="003E562D">
        <w:rPr>
          <w:sz w:val="28"/>
          <w:szCs w:val="28"/>
        </w:rPr>
        <w:t xml:space="preserve"> J, </w:t>
      </w:r>
      <w:proofErr w:type="spellStart"/>
      <w:r w:rsidRPr="003E562D">
        <w:rPr>
          <w:sz w:val="28"/>
          <w:szCs w:val="28"/>
        </w:rPr>
        <w:t>D</w:t>
      </w:r>
      <w:r w:rsidR="009A60A1" w:rsidRPr="003E562D">
        <w:rPr>
          <w:sz w:val="28"/>
          <w:szCs w:val="28"/>
        </w:rPr>
        <w:t>unaif</w:t>
      </w:r>
      <w:proofErr w:type="spellEnd"/>
      <w:r w:rsidR="009A60A1" w:rsidRPr="003E562D">
        <w:rPr>
          <w:sz w:val="28"/>
          <w:szCs w:val="28"/>
        </w:rPr>
        <w:t xml:space="preserve"> A. Diagnostic criteria for polycystic ovar</w:t>
      </w:r>
      <w:r w:rsidR="00DA47C7" w:rsidRPr="003E562D">
        <w:rPr>
          <w:sz w:val="28"/>
          <w:szCs w:val="28"/>
        </w:rPr>
        <w:t>y syndrom</w:t>
      </w:r>
      <w:r w:rsidR="009A60A1" w:rsidRPr="003E562D">
        <w:rPr>
          <w:sz w:val="28"/>
          <w:szCs w:val="28"/>
        </w:rPr>
        <w:t>e: tow</w:t>
      </w:r>
      <w:r w:rsidR="00DA47C7" w:rsidRPr="003E562D">
        <w:rPr>
          <w:sz w:val="28"/>
          <w:szCs w:val="28"/>
        </w:rPr>
        <w:t xml:space="preserve">ards a rational approach. In: </w:t>
      </w:r>
      <w:proofErr w:type="spellStart"/>
      <w:r w:rsidR="00DA47C7" w:rsidRPr="003E562D">
        <w:rPr>
          <w:sz w:val="28"/>
          <w:szCs w:val="28"/>
        </w:rPr>
        <w:t>Dunaif</w:t>
      </w:r>
      <w:proofErr w:type="spellEnd"/>
      <w:r w:rsidR="00DA47C7" w:rsidRPr="003E562D">
        <w:rPr>
          <w:sz w:val="28"/>
          <w:szCs w:val="28"/>
        </w:rPr>
        <w:t xml:space="preserve"> A, G</w:t>
      </w:r>
      <w:r w:rsidR="009A60A1" w:rsidRPr="003E562D">
        <w:rPr>
          <w:sz w:val="28"/>
          <w:szCs w:val="28"/>
        </w:rPr>
        <w:t xml:space="preserve">ivens J. Haseltine </w:t>
      </w:r>
      <w:proofErr w:type="spellStart"/>
      <w:r w:rsidR="009A60A1" w:rsidRPr="003E562D">
        <w:rPr>
          <w:sz w:val="28"/>
          <w:szCs w:val="28"/>
        </w:rPr>
        <w:t>Haseltine</w:t>
      </w:r>
      <w:proofErr w:type="spellEnd"/>
      <w:r w:rsidR="009A60A1" w:rsidRPr="003E562D">
        <w:rPr>
          <w:sz w:val="28"/>
          <w:szCs w:val="28"/>
        </w:rPr>
        <w:t xml:space="preserve"> F, Haseltine </w:t>
      </w:r>
      <w:r w:rsidR="00872B57" w:rsidRPr="003E562D">
        <w:rPr>
          <w:sz w:val="28"/>
          <w:szCs w:val="28"/>
        </w:rPr>
        <w:t>G, eds. Polycystic Ovary Syndrom</w:t>
      </w:r>
      <w:r w:rsidR="009A60A1" w:rsidRPr="003E562D">
        <w:rPr>
          <w:sz w:val="28"/>
          <w:szCs w:val="28"/>
        </w:rPr>
        <w:t xml:space="preserve">e, ls </w:t>
      </w:r>
      <w:r w:rsidR="00872B57" w:rsidRPr="003E562D">
        <w:rPr>
          <w:sz w:val="28"/>
          <w:szCs w:val="28"/>
        </w:rPr>
        <w:t>d . O</w:t>
      </w:r>
      <w:r w:rsidR="009A60A1" w:rsidRPr="003E562D">
        <w:rPr>
          <w:sz w:val="28"/>
          <w:szCs w:val="28"/>
        </w:rPr>
        <w:t>xford, England: Bla</w:t>
      </w:r>
      <w:r w:rsidR="00E7002F" w:rsidRPr="003E562D">
        <w:rPr>
          <w:sz w:val="28"/>
          <w:szCs w:val="28"/>
        </w:rPr>
        <w:t>ckwell Scientific; 1992:377-384</w:t>
      </w:r>
    </w:p>
    <w:p w:rsidR="00B87515" w:rsidRPr="003E562D" w:rsidRDefault="002F587B" w:rsidP="00BB6B0E">
      <w:pPr>
        <w:pStyle w:val="ListParagraph"/>
        <w:numPr>
          <w:ilvl w:val="0"/>
          <w:numId w:val="24"/>
        </w:numPr>
        <w:spacing w:line="360" w:lineRule="auto"/>
        <w:jc w:val="both"/>
        <w:rPr>
          <w:sz w:val="28"/>
          <w:szCs w:val="28"/>
        </w:rPr>
      </w:pPr>
      <w:r w:rsidRPr="003E562D">
        <w:rPr>
          <w:sz w:val="28"/>
          <w:szCs w:val="28"/>
        </w:rPr>
        <w:t>Rotterda</w:t>
      </w:r>
      <w:r w:rsidR="00872B57" w:rsidRPr="003E562D">
        <w:rPr>
          <w:sz w:val="28"/>
          <w:szCs w:val="28"/>
        </w:rPr>
        <w:t>m ESM RE/ASRM -Sponsored PCOS C</w:t>
      </w:r>
      <w:r w:rsidRPr="003E562D">
        <w:rPr>
          <w:sz w:val="28"/>
          <w:szCs w:val="28"/>
        </w:rPr>
        <w:t>onsensus Workshop Group.</w:t>
      </w:r>
      <w:r w:rsidR="00872B57" w:rsidRPr="003E562D">
        <w:rPr>
          <w:sz w:val="28"/>
          <w:szCs w:val="28"/>
        </w:rPr>
        <w:t xml:space="preserve"> </w:t>
      </w:r>
      <w:r w:rsidRPr="003E562D">
        <w:rPr>
          <w:sz w:val="28"/>
          <w:szCs w:val="28"/>
        </w:rPr>
        <w:t>Revised 2003 consensus on diagnostic criteria and long-term health risks rela</w:t>
      </w:r>
      <w:r w:rsidR="00872B57" w:rsidRPr="003E562D">
        <w:rPr>
          <w:sz w:val="28"/>
          <w:szCs w:val="28"/>
        </w:rPr>
        <w:t>ted to polycystic ovary syndrom</w:t>
      </w:r>
      <w:r w:rsidRPr="003E562D">
        <w:rPr>
          <w:sz w:val="28"/>
          <w:szCs w:val="28"/>
        </w:rPr>
        <w:t xml:space="preserve">e (PCOS). </w:t>
      </w:r>
      <w:r w:rsidR="00872B57" w:rsidRPr="003E562D">
        <w:rPr>
          <w:sz w:val="28"/>
          <w:szCs w:val="28"/>
        </w:rPr>
        <w:t xml:space="preserve">Hum </w:t>
      </w:r>
      <w:proofErr w:type="spellStart"/>
      <w:r w:rsidR="00872B57" w:rsidRPr="003E562D">
        <w:rPr>
          <w:sz w:val="28"/>
          <w:szCs w:val="28"/>
        </w:rPr>
        <w:t>Reprod</w:t>
      </w:r>
      <w:proofErr w:type="spellEnd"/>
      <w:r w:rsidR="00872B57" w:rsidRPr="003E562D">
        <w:rPr>
          <w:sz w:val="28"/>
          <w:szCs w:val="28"/>
        </w:rPr>
        <w:t xml:space="preserve"> 2004: 19:41-7. </w:t>
      </w:r>
    </w:p>
    <w:p w:rsidR="002F587B" w:rsidRPr="003E562D" w:rsidRDefault="00872B57" w:rsidP="00BB6B0E">
      <w:pPr>
        <w:pStyle w:val="ListParagraph"/>
        <w:numPr>
          <w:ilvl w:val="0"/>
          <w:numId w:val="24"/>
        </w:numPr>
        <w:spacing w:line="360" w:lineRule="auto"/>
        <w:jc w:val="both"/>
        <w:rPr>
          <w:sz w:val="28"/>
          <w:szCs w:val="28"/>
        </w:rPr>
      </w:pPr>
      <w:proofErr w:type="spellStart"/>
      <w:r w:rsidRPr="003E562D">
        <w:rPr>
          <w:sz w:val="28"/>
          <w:szCs w:val="28"/>
        </w:rPr>
        <w:t>Azziz</w:t>
      </w:r>
      <w:proofErr w:type="spellEnd"/>
      <w:r w:rsidRPr="003E562D">
        <w:rPr>
          <w:sz w:val="28"/>
          <w:szCs w:val="28"/>
        </w:rPr>
        <w:t xml:space="preserve"> R, Carm</w:t>
      </w:r>
      <w:r w:rsidR="002F587B" w:rsidRPr="003E562D">
        <w:rPr>
          <w:sz w:val="28"/>
          <w:szCs w:val="28"/>
        </w:rPr>
        <w:t xml:space="preserve">ina J2, </w:t>
      </w:r>
      <w:proofErr w:type="spellStart"/>
      <w:r w:rsidR="002F587B" w:rsidRPr="003E562D">
        <w:rPr>
          <w:sz w:val="28"/>
          <w:szCs w:val="28"/>
        </w:rPr>
        <w:t>Dew</w:t>
      </w:r>
      <w:r w:rsidRPr="003E562D">
        <w:rPr>
          <w:sz w:val="28"/>
          <w:szCs w:val="28"/>
        </w:rPr>
        <w:t>ailly</w:t>
      </w:r>
      <w:proofErr w:type="spellEnd"/>
      <w:r w:rsidRPr="003E562D">
        <w:rPr>
          <w:sz w:val="28"/>
          <w:szCs w:val="28"/>
        </w:rPr>
        <w:t xml:space="preserve"> D et al. Positions statem</w:t>
      </w:r>
      <w:r w:rsidR="002F587B" w:rsidRPr="003E562D">
        <w:rPr>
          <w:sz w:val="28"/>
          <w:szCs w:val="28"/>
        </w:rPr>
        <w:t>ent: Criteria for defining polycys</w:t>
      </w:r>
      <w:r w:rsidRPr="003E562D">
        <w:rPr>
          <w:sz w:val="28"/>
          <w:szCs w:val="28"/>
        </w:rPr>
        <w:t xml:space="preserve">tic ovary syndrome as a predominantly </w:t>
      </w:r>
      <w:proofErr w:type="spellStart"/>
      <w:r w:rsidRPr="003E562D">
        <w:rPr>
          <w:sz w:val="28"/>
          <w:szCs w:val="28"/>
        </w:rPr>
        <w:t>hyperandrogenic</w:t>
      </w:r>
      <w:proofErr w:type="spellEnd"/>
      <w:r w:rsidRPr="003E562D">
        <w:rPr>
          <w:sz w:val="28"/>
          <w:szCs w:val="28"/>
        </w:rPr>
        <w:t xml:space="preserve"> syndrom</w:t>
      </w:r>
      <w:r w:rsidR="002F587B" w:rsidRPr="003E562D">
        <w:rPr>
          <w:sz w:val="28"/>
          <w:szCs w:val="28"/>
        </w:rPr>
        <w:t>e: an Androgen Excess Society</w:t>
      </w:r>
      <w:r w:rsidRPr="003E562D">
        <w:rPr>
          <w:sz w:val="28"/>
          <w:szCs w:val="28"/>
        </w:rPr>
        <w:t xml:space="preserve"> guideline. J </w:t>
      </w:r>
      <w:proofErr w:type="spellStart"/>
      <w:r w:rsidRPr="003E562D">
        <w:rPr>
          <w:sz w:val="28"/>
          <w:szCs w:val="28"/>
        </w:rPr>
        <w:t>Clin</w:t>
      </w:r>
      <w:proofErr w:type="spellEnd"/>
      <w:r w:rsidRPr="003E562D">
        <w:rPr>
          <w:sz w:val="28"/>
          <w:szCs w:val="28"/>
        </w:rPr>
        <w:t xml:space="preserve"> </w:t>
      </w:r>
      <w:proofErr w:type="spellStart"/>
      <w:r w:rsidRPr="003E562D">
        <w:rPr>
          <w:sz w:val="28"/>
          <w:szCs w:val="28"/>
        </w:rPr>
        <w:t>Endocrinol</w:t>
      </w:r>
      <w:proofErr w:type="spellEnd"/>
      <w:r w:rsidRPr="003E562D">
        <w:rPr>
          <w:sz w:val="28"/>
          <w:szCs w:val="28"/>
        </w:rPr>
        <w:t xml:space="preserve"> </w:t>
      </w:r>
      <w:proofErr w:type="spellStart"/>
      <w:r w:rsidRPr="003E562D">
        <w:rPr>
          <w:sz w:val="28"/>
          <w:szCs w:val="28"/>
        </w:rPr>
        <w:t>M</w:t>
      </w:r>
      <w:r w:rsidR="002F587B" w:rsidRPr="003E562D">
        <w:rPr>
          <w:sz w:val="28"/>
          <w:szCs w:val="28"/>
        </w:rPr>
        <w:t>etab</w:t>
      </w:r>
      <w:proofErr w:type="spellEnd"/>
      <w:r w:rsidR="002F587B" w:rsidRPr="003E562D">
        <w:rPr>
          <w:sz w:val="28"/>
          <w:szCs w:val="28"/>
        </w:rPr>
        <w:t xml:space="preserve">. 2006 Nov; 91(11):4237-45. </w:t>
      </w:r>
    </w:p>
    <w:p w:rsidR="002F587B" w:rsidRPr="003E562D" w:rsidRDefault="00872B57" w:rsidP="00BB6B0E">
      <w:pPr>
        <w:pStyle w:val="ListParagraph"/>
        <w:numPr>
          <w:ilvl w:val="0"/>
          <w:numId w:val="24"/>
        </w:numPr>
        <w:spacing w:line="360" w:lineRule="auto"/>
        <w:jc w:val="both"/>
        <w:rPr>
          <w:sz w:val="28"/>
          <w:szCs w:val="28"/>
        </w:rPr>
      </w:pPr>
      <w:r w:rsidRPr="003E562D">
        <w:rPr>
          <w:sz w:val="28"/>
          <w:szCs w:val="28"/>
        </w:rPr>
        <w:lastRenderedPageBreak/>
        <w:t>http://prevention.nih.gov/w</w:t>
      </w:r>
      <w:r w:rsidR="002F587B" w:rsidRPr="003E562D">
        <w:rPr>
          <w:sz w:val="28"/>
          <w:szCs w:val="28"/>
        </w:rPr>
        <w:t xml:space="preserve">orkshops/2012/pcos/docs/FinalR eport.pdf </w:t>
      </w:r>
    </w:p>
    <w:p w:rsidR="002F587B" w:rsidRPr="003E562D" w:rsidRDefault="00872B57" w:rsidP="00BB6B0E">
      <w:pPr>
        <w:pStyle w:val="ListParagraph"/>
        <w:numPr>
          <w:ilvl w:val="0"/>
          <w:numId w:val="24"/>
        </w:numPr>
        <w:spacing w:line="360" w:lineRule="auto"/>
        <w:jc w:val="both"/>
        <w:rPr>
          <w:sz w:val="28"/>
          <w:szCs w:val="28"/>
        </w:rPr>
      </w:pPr>
      <w:r w:rsidRPr="003E562D">
        <w:rPr>
          <w:sz w:val="28"/>
          <w:szCs w:val="28"/>
        </w:rPr>
        <w:t>Escobar-</w:t>
      </w:r>
      <w:proofErr w:type="spellStart"/>
      <w:r w:rsidRPr="003E562D">
        <w:rPr>
          <w:sz w:val="28"/>
          <w:szCs w:val="28"/>
        </w:rPr>
        <w:t>M</w:t>
      </w:r>
      <w:r w:rsidR="002F587B" w:rsidRPr="003E562D">
        <w:rPr>
          <w:sz w:val="28"/>
          <w:szCs w:val="28"/>
        </w:rPr>
        <w:t>orreale</w:t>
      </w:r>
      <w:proofErr w:type="spellEnd"/>
      <w:r w:rsidR="002F587B" w:rsidRPr="003E562D">
        <w:rPr>
          <w:sz w:val="28"/>
          <w:szCs w:val="28"/>
        </w:rPr>
        <w:t xml:space="preserve"> I</w:t>
      </w:r>
      <w:r w:rsidRPr="003E562D">
        <w:rPr>
          <w:sz w:val="28"/>
          <w:szCs w:val="28"/>
        </w:rPr>
        <w:t>IF1, Carm</w:t>
      </w:r>
      <w:r w:rsidR="002F587B" w:rsidRPr="003E562D">
        <w:rPr>
          <w:sz w:val="28"/>
          <w:szCs w:val="28"/>
        </w:rPr>
        <w:t>i</w:t>
      </w:r>
      <w:r w:rsidRPr="003E562D">
        <w:rPr>
          <w:sz w:val="28"/>
          <w:szCs w:val="28"/>
        </w:rPr>
        <w:t xml:space="preserve">na E, </w:t>
      </w:r>
      <w:proofErr w:type="spellStart"/>
      <w:r w:rsidRPr="003E562D">
        <w:rPr>
          <w:sz w:val="28"/>
          <w:szCs w:val="28"/>
        </w:rPr>
        <w:t>Dewailly</w:t>
      </w:r>
      <w:proofErr w:type="spellEnd"/>
      <w:r w:rsidRPr="003E562D">
        <w:rPr>
          <w:sz w:val="28"/>
          <w:szCs w:val="28"/>
        </w:rPr>
        <w:t xml:space="preserve"> D et al. E </w:t>
      </w:r>
      <w:proofErr w:type="spellStart"/>
      <w:r w:rsidRPr="003E562D">
        <w:rPr>
          <w:sz w:val="28"/>
          <w:szCs w:val="28"/>
        </w:rPr>
        <w:t>pidem</w:t>
      </w:r>
      <w:r w:rsidR="002F587B" w:rsidRPr="003E562D">
        <w:rPr>
          <w:sz w:val="28"/>
          <w:szCs w:val="28"/>
        </w:rPr>
        <w:t>iolog</w:t>
      </w:r>
      <w:r w:rsidR="002540EB" w:rsidRPr="003E562D">
        <w:rPr>
          <w:sz w:val="28"/>
          <w:szCs w:val="28"/>
        </w:rPr>
        <w:t>y</w:t>
      </w:r>
      <w:proofErr w:type="spellEnd"/>
      <w:r w:rsidR="002540EB" w:rsidRPr="003E562D">
        <w:rPr>
          <w:sz w:val="28"/>
          <w:szCs w:val="28"/>
        </w:rPr>
        <w:t>, diagnosis and m</w:t>
      </w:r>
      <w:r w:rsidRPr="003E562D">
        <w:rPr>
          <w:sz w:val="28"/>
          <w:szCs w:val="28"/>
        </w:rPr>
        <w:t>anagement o</w:t>
      </w:r>
      <w:r w:rsidR="002F587B" w:rsidRPr="003E562D">
        <w:rPr>
          <w:sz w:val="28"/>
          <w:szCs w:val="28"/>
        </w:rPr>
        <w:t>f hirsutism : a consens</w:t>
      </w:r>
      <w:r w:rsidRPr="003E562D">
        <w:rPr>
          <w:sz w:val="28"/>
          <w:szCs w:val="28"/>
        </w:rPr>
        <w:t>us statement by the Androgen E</w:t>
      </w:r>
      <w:r w:rsidR="002F587B" w:rsidRPr="003E562D">
        <w:rPr>
          <w:sz w:val="28"/>
          <w:szCs w:val="28"/>
        </w:rPr>
        <w:t>xcess and Polycystic Ovary Syndrome Soc</w:t>
      </w:r>
      <w:r w:rsidR="00B87515" w:rsidRPr="003E562D">
        <w:rPr>
          <w:sz w:val="28"/>
          <w:szCs w:val="28"/>
        </w:rPr>
        <w:t xml:space="preserve">iety. Hum </w:t>
      </w:r>
      <w:proofErr w:type="spellStart"/>
      <w:r w:rsidR="00B87515" w:rsidRPr="003E562D">
        <w:rPr>
          <w:sz w:val="28"/>
          <w:szCs w:val="28"/>
        </w:rPr>
        <w:t>Reprod</w:t>
      </w:r>
      <w:proofErr w:type="spellEnd"/>
      <w:r w:rsidR="00B87515" w:rsidRPr="003E562D">
        <w:rPr>
          <w:sz w:val="28"/>
          <w:szCs w:val="28"/>
        </w:rPr>
        <w:t xml:space="preserve"> Update. 2012 M</w:t>
      </w:r>
      <w:r w:rsidR="002F587B" w:rsidRPr="003E562D">
        <w:rPr>
          <w:sz w:val="28"/>
          <w:szCs w:val="28"/>
        </w:rPr>
        <w:t xml:space="preserve">ar-Apr; 18(2): 146-70. </w:t>
      </w:r>
    </w:p>
    <w:p w:rsidR="002F587B" w:rsidRPr="003E562D" w:rsidRDefault="00872B57" w:rsidP="00BB6B0E">
      <w:pPr>
        <w:pStyle w:val="ListParagraph"/>
        <w:numPr>
          <w:ilvl w:val="0"/>
          <w:numId w:val="24"/>
        </w:numPr>
        <w:spacing w:line="360" w:lineRule="auto"/>
        <w:jc w:val="both"/>
        <w:rPr>
          <w:sz w:val="28"/>
          <w:szCs w:val="28"/>
        </w:rPr>
      </w:pPr>
      <w:proofErr w:type="spellStart"/>
      <w:r w:rsidRPr="003E562D">
        <w:rPr>
          <w:sz w:val="28"/>
          <w:szCs w:val="28"/>
        </w:rPr>
        <w:t>Legro</w:t>
      </w:r>
      <w:proofErr w:type="spellEnd"/>
      <w:r w:rsidRPr="003E562D">
        <w:rPr>
          <w:sz w:val="28"/>
          <w:szCs w:val="28"/>
        </w:rPr>
        <w:t xml:space="preserve"> RS, </w:t>
      </w:r>
      <w:proofErr w:type="spellStart"/>
      <w:r w:rsidRPr="003E562D">
        <w:rPr>
          <w:sz w:val="28"/>
          <w:szCs w:val="28"/>
        </w:rPr>
        <w:t>A</w:t>
      </w:r>
      <w:r w:rsidR="002F587B" w:rsidRPr="003E562D">
        <w:rPr>
          <w:sz w:val="28"/>
          <w:szCs w:val="28"/>
        </w:rPr>
        <w:t>rslanian</w:t>
      </w:r>
      <w:proofErr w:type="spellEnd"/>
      <w:r w:rsidRPr="003E562D">
        <w:rPr>
          <w:sz w:val="28"/>
          <w:szCs w:val="28"/>
        </w:rPr>
        <w:t xml:space="preserve"> SA, </w:t>
      </w:r>
      <w:proofErr w:type="spellStart"/>
      <w:r w:rsidRPr="003E562D">
        <w:rPr>
          <w:sz w:val="28"/>
          <w:szCs w:val="28"/>
        </w:rPr>
        <w:t>Ehrmann</w:t>
      </w:r>
      <w:proofErr w:type="spellEnd"/>
      <w:r w:rsidRPr="003E562D">
        <w:rPr>
          <w:sz w:val="28"/>
          <w:szCs w:val="28"/>
        </w:rPr>
        <w:t xml:space="preserve"> DA, </w:t>
      </w:r>
      <w:proofErr w:type="spellStart"/>
      <w:r w:rsidRPr="003E562D">
        <w:rPr>
          <w:sz w:val="28"/>
          <w:szCs w:val="28"/>
        </w:rPr>
        <w:t>Hoeger</w:t>
      </w:r>
      <w:proofErr w:type="spellEnd"/>
      <w:r w:rsidRPr="003E562D">
        <w:rPr>
          <w:sz w:val="28"/>
          <w:szCs w:val="28"/>
        </w:rPr>
        <w:t xml:space="preserve"> </w:t>
      </w:r>
      <w:proofErr w:type="gramStart"/>
      <w:r w:rsidRPr="003E562D">
        <w:rPr>
          <w:sz w:val="28"/>
          <w:szCs w:val="28"/>
        </w:rPr>
        <w:t>KM ,</w:t>
      </w:r>
      <w:proofErr w:type="gramEnd"/>
      <w:r w:rsidRPr="003E562D">
        <w:rPr>
          <w:sz w:val="28"/>
          <w:szCs w:val="28"/>
        </w:rPr>
        <w:t xml:space="preserve"> M</w:t>
      </w:r>
      <w:r w:rsidR="002F587B" w:rsidRPr="003E562D">
        <w:rPr>
          <w:sz w:val="28"/>
          <w:szCs w:val="28"/>
        </w:rPr>
        <w:t xml:space="preserve">urad MH, </w:t>
      </w:r>
      <w:proofErr w:type="spellStart"/>
      <w:r w:rsidR="002F587B" w:rsidRPr="003E562D">
        <w:rPr>
          <w:sz w:val="28"/>
          <w:szCs w:val="28"/>
        </w:rPr>
        <w:t>Pasquali</w:t>
      </w:r>
      <w:proofErr w:type="spellEnd"/>
      <w:r w:rsidR="002F587B" w:rsidRPr="003E562D">
        <w:rPr>
          <w:sz w:val="28"/>
          <w:szCs w:val="28"/>
        </w:rPr>
        <w:t xml:space="preserve"> R</w:t>
      </w:r>
      <w:r w:rsidRPr="003E562D">
        <w:rPr>
          <w:sz w:val="28"/>
          <w:szCs w:val="28"/>
        </w:rPr>
        <w:t>, Welt CK. Diagnosis and treatment of polycystic ovary syndrom</w:t>
      </w:r>
      <w:r w:rsidR="002F587B" w:rsidRPr="003E562D">
        <w:rPr>
          <w:sz w:val="28"/>
          <w:szCs w:val="28"/>
        </w:rPr>
        <w:t>e: an endocrine society clinical practice</w:t>
      </w:r>
      <w:r w:rsidRPr="003E562D">
        <w:rPr>
          <w:sz w:val="28"/>
          <w:szCs w:val="28"/>
        </w:rPr>
        <w:t xml:space="preserve"> guideline. J </w:t>
      </w:r>
      <w:proofErr w:type="spellStart"/>
      <w:r w:rsidRPr="003E562D">
        <w:rPr>
          <w:sz w:val="28"/>
          <w:szCs w:val="28"/>
        </w:rPr>
        <w:t>Clin</w:t>
      </w:r>
      <w:proofErr w:type="spellEnd"/>
      <w:r w:rsidRPr="003E562D">
        <w:rPr>
          <w:sz w:val="28"/>
          <w:szCs w:val="28"/>
        </w:rPr>
        <w:t xml:space="preserve"> </w:t>
      </w:r>
      <w:proofErr w:type="spellStart"/>
      <w:r w:rsidRPr="003E562D">
        <w:rPr>
          <w:sz w:val="28"/>
          <w:szCs w:val="28"/>
        </w:rPr>
        <w:t>Endocrinol</w:t>
      </w:r>
      <w:proofErr w:type="spellEnd"/>
      <w:r w:rsidRPr="003E562D">
        <w:rPr>
          <w:sz w:val="28"/>
          <w:szCs w:val="28"/>
        </w:rPr>
        <w:t xml:space="preserve"> </w:t>
      </w:r>
      <w:proofErr w:type="spellStart"/>
      <w:r w:rsidRPr="003E562D">
        <w:rPr>
          <w:sz w:val="28"/>
          <w:szCs w:val="28"/>
        </w:rPr>
        <w:t>M</w:t>
      </w:r>
      <w:r w:rsidR="002F587B" w:rsidRPr="003E562D">
        <w:rPr>
          <w:sz w:val="28"/>
          <w:szCs w:val="28"/>
        </w:rPr>
        <w:t>etab</w:t>
      </w:r>
      <w:proofErr w:type="spellEnd"/>
      <w:r w:rsidR="002F587B" w:rsidRPr="003E562D">
        <w:rPr>
          <w:sz w:val="28"/>
          <w:szCs w:val="28"/>
        </w:rPr>
        <w:t>. 2013 Dec; 98 (12):4565-9.</w:t>
      </w:r>
    </w:p>
    <w:p w:rsidR="002F587B" w:rsidRPr="003E562D" w:rsidRDefault="00872B57" w:rsidP="00BB6B0E">
      <w:pPr>
        <w:pStyle w:val="ListParagraph"/>
        <w:numPr>
          <w:ilvl w:val="0"/>
          <w:numId w:val="24"/>
        </w:numPr>
        <w:spacing w:line="360" w:lineRule="auto"/>
        <w:jc w:val="both"/>
        <w:rPr>
          <w:sz w:val="28"/>
          <w:szCs w:val="28"/>
        </w:rPr>
      </w:pPr>
      <w:proofErr w:type="spellStart"/>
      <w:r w:rsidRPr="003E562D">
        <w:rPr>
          <w:sz w:val="28"/>
          <w:szCs w:val="28"/>
        </w:rPr>
        <w:t>Cheew</w:t>
      </w:r>
      <w:r w:rsidR="002F587B" w:rsidRPr="003E562D">
        <w:rPr>
          <w:sz w:val="28"/>
          <w:szCs w:val="28"/>
        </w:rPr>
        <w:t>adhanaraks</w:t>
      </w:r>
      <w:proofErr w:type="spellEnd"/>
      <w:r w:rsidR="002F587B" w:rsidRPr="003E562D">
        <w:rPr>
          <w:sz w:val="28"/>
          <w:szCs w:val="28"/>
        </w:rPr>
        <w:t xml:space="preserve"> S, </w:t>
      </w:r>
      <w:proofErr w:type="spellStart"/>
      <w:r w:rsidR="002F587B" w:rsidRPr="003E562D">
        <w:rPr>
          <w:sz w:val="28"/>
          <w:szCs w:val="28"/>
        </w:rPr>
        <w:t>Peeyananj</w:t>
      </w:r>
      <w:r w:rsidRPr="003E562D">
        <w:rPr>
          <w:sz w:val="28"/>
          <w:szCs w:val="28"/>
        </w:rPr>
        <w:t>arassri</w:t>
      </w:r>
      <w:proofErr w:type="spellEnd"/>
      <w:r w:rsidRPr="003E562D">
        <w:rPr>
          <w:sz w:val="28"/>
          <w:szCs w:val="28"/>
        </w:rPr>
        <w:t xml:space="preserve"> K, </w:t>
      </w:r>
      <w:proofErr w:type="spellStart"/>
      <w:r w:rsidRPr="003E562D">
        <w:rPr>
          <w:sz w:val="28"/>
          <w:szCs w:val="28"/>
        </w:rPr>
        <w:t>C</w:t>
      </w:r>
      <w:r w:rsidR="002F587B" w:rsidRPr="003E562D">
        <w:rPr>
          <w:sz w:val="28"/>
          <w:szCs w:val="28"/>
        </w:rPr>
        <w:t>b</w:t>
      </w:r>
      <w:r w:rsidR="00E7002F" w:rsidRPr="003E562D">
        <w:rPr>
          <w:sz w:val="28"/>
          <w:szCs w:val="28"/>
        </w:rPr>
        <w:t>oksuchat</w:t>
      </w:r>
      <w:proofErr w:type="spellEnd"/>
      <w:r w:rsidR="00E7002F" w:rsidRPr="003E562D">
        <w:rPr>
          <w:sz w:val="28"/>
          <w:szCs w:val="28"/>
        </w:rPr>
        <w:t xml:space="preserve"> С Clinical diagnosis o</w:t>
      </w:r>
      <w:r w:rsidR="002F587B" w:rsidRPr="003E562D">
        <w:rPr>
          <w:sz w:val="28"/>
          <w:szCs w:val="28"/>
        </w:rPr>
        <w:t xml:space="preserve">f hirsutism in Thai women. J Med </w:t>
      </w:r>
      <w:proofErr w:type="spellStart"/>
      <w:r w:rsidR="002F587B" w:rsidRPr="003E562D">
        <w:rPr>
          <w:sz w:val="28"/>
          <w:szCs w:val="28"/>
        </w:rPr>
        <w:t>Assoc</w:t>
      </w:r>
      <w:proofErr w:type="spellEnd"/>
      <w:r w:rsidR="002F587B" w:rsidRPr="003E562D">
        <w:rPr>
          <w:sz w:val="28"/>
          <w:szCs w:val="28"/>
        </w:rPr>
        <w:t xml:space="preserve"> Thai. 2004 M ay</w:t>
      </w:r>
      <w:proofErr w:type="gramStart"/>
      <w:r w:rsidR="002F587B" w:rsidRPr="003E562D">
        <w:rPr>
          <w:sz w:val="28"/>
          <w:szCs w:val="28"/>
        </w:rPr>
        <w:t>;87</w:t>
      </w:r>
      <w:proofErr w:type="gramEnd"/>
      <w:r w:rsidR="002F587B" w:rsidRPr="003E562D">
        <w:rPr>
          <w:sz w:val="28"/>
          <w:szCs w:val="28"/>
        </w:rPr>
        <w:t>(5):459-63.</w:t>
      </w:r>
    </w:p>
    <w:p w:rsidR="002F587B" w:rsidRPr="003E562D" w:rsidRDefault="00872B57" w:rsidP="00BB6B0E">
      <w:pPr>
        <w:pStyle w:val="ListParagraph"/>
        <w:numPr>
          <w:ilvl w:val="0"/>
          <w:numId w:val="24"/>
        </w:numPr>
        <w:spacing w:line="360" w:lineRule="auto"/>
        <w:jc w:val="both"/>
        <w:rPr>
          <w:sz w:val="28"/>
          <w:szCs w:val="28"/>
        </w:rPr>
      </w:pPr>
      <w:proofErr w:type="spellStart"/>
      <w:r w:rsidRPr="003E562D">
        <w:rPr>
          <w:sz w:val="28"/>
          <w:szCs w:val="28"/>
        </w:rPr>
        <w:t>Yildiz</w:t>
      </w:r>
      <w:proofErr w:type="spellEnd"/>
      <w:r w:rsidRPr="003E562D">
        <w:rPr>
          <w:sz w:val="28"/>
          <w:szCs w:val="28"/>
        </w:rPr>
        <w:t xml:space="preserve"> BO. </w:t>
      </w:r>
      <w:proofErr w:type="spellStart"/>
      <w:r w:rsidRPr="003E562D">
        <w:rPr>
          <w:sz w:val="28"/>
          <w:szCs w:val="28"/>
        </w:rPr>
        <w:t>Bolour</w:t>
      </w:r>
      <w:proofErr w:type="spellEnd"/>
      <w:r w:rsidRPr="003E562D">
        <w:rPr>
          <w:sz w:val="28"/>
          <w:szCs w:val="28"/>
        </w:rPr>
        <w:t xml:space="preserve"> S, Woods K, Moore A, </w:t>
      </w:r>
      <w:proofErr w:type="spellStart"/>
      <w:r w:rsidRPr="003E562D">
        <w:rPr>
          <w:sz w:val="28"/>
          <w:szCs w:val="28"/>
        </w:rPr>
        <w:t>A</w:t>
      </w:r>
      <w:r w:rsidR="002F587B" w:rsidRPr="003E562D">
        <w:rPr>
          <w:sz w:val="28"/>
          <w:szCs w:val="28"/>
        </w:rPr>
        <w:t>zziz</w:t>
      </w:r>
      <w:proofErr w:type="spellEnd"/>
      <w:r w:rsidR="002F587B" w:rsidRPr="003E562D">
        <w:rPr>
          <w:sz w:val="28"/>
          <w:szCs w:val="28"/>
        </w:rPr>
        <w:t xml:space="preserve"> R. Visually</w:t>
      </w:r>
      <w:r w:rsidRPr="003E562D">
        <w:rPr>
          <w:sz w:val="28"/>
          <w:szCs w:val="28"/>
        </w:rPr>
        <w:t xml:space="preserve"> scoring hirsutism. </w:t>
      </w:r>
      <w:proofErr w:type="spellStart"/>
      <w:r w:rsidRPr="003E562D">
        <w:rPr>
          <w:sz w:val="28"/>
          <w:szCs w:val="28"/>
        </w:rPr>
        <w:t>HumReprod</w:t>
      </w:r>
      <w:proofErr w:type="spellEnd"/>
      <w:r w:rsidRPr="003E562D">
        <w:rPr>
          <w:sz w:val="28"/>
          <w:szCs w:val="28"/>
        </w:rPr>
        <w:t xml:space="preserve"> U</w:t>
      </w:r>
      <w:r w:rsidR="002F587B" w:rsidRPr="003E562D">
        <w:rPr>
          <w:sz w:val="28"/>
          <w:szCs w:val="28"/>
        </w:rPr>
        <w:t xml:space="preserve">pdate 2010; 16:51-64. </w:t>
      </w:r>
    </w:p>
    <w:p w:rsidR="002F587B" w:rsidRPr="003E562D" w:rsidRDefault="002F587B" w:rsidP="00BB6B0E">
      <w:pPr>
        <w:pStyle w:val="ListParagraph"/>
        <w:numPr>
          <w:ilvl w:val="0"/>
          <w:numId w:val="24"/>
        </w:numPr>
        <w:spacing w:line="360" w:lineRule="auto"/>
        <w:jc w:val="both"/>
        <w:rPr>
          <w:sz w:val="28"/>
          <w:szCs w:val="28"/>
        </w:rPr>
      </w:pPr>
      <w:r w:rsidRPr="003E562D">
        <w:rPr>
          <w:sz w:val="28"/>
          <w:szCs w:val="28"/>
        </w:rPr>
        <w:t>Karrer-</w:t>
      </w:r>
      <w:proofErr w:type="spellStart"/>
      <w:r w:rsidRPr="003E562D">
        <w:rPr>
          <w:sz w:val="28"/>
          <w:szCs w:val="28"/>
        </w:rPr>
        <w:t>Voegeli</w:t>
      </w:r>
      <w:proofErr w:type="spellEnd"/>
      <w:r w:rsidRPr="003E562D">
        <w:rPr>
          <w:sz w:val="28"/>
          <w:szCs w:val="28"/>
        </w:rPr>
        <w:t xml:space="preserve"> S,</w:t>
      </w:r>
      <w:r w:rsidR="00872B57" w:rsidRPr="003E562D">
        <w:rPr>
          <w:sz w:val="28"/>
          <w:szCs w:val="28"/>
        </w:rPr>
        <w:t xml:space="preserve"> Rev F, </w:t>
      </w:r>
      <w:proofErr w:type="spellStart"/>
      <w:r w:rsidR="00872B57" w:rsidRPr="003E562D">
        <w:rPr>
          <w:sz w:val="28"/>
          <w:szCs w:val="28"/>
        </w:rPr>
        <w:t>Reymond</w:t>
      </w:r>
      <w:proofErr w:type="spellEnd"/>
      <w:r w:rsidR="00872B57" w:rsidRPr="003E562D">
        <w:rPr>
          <w:sz w:val="28"/>
          <w:szCs w:val="28"/>
        </w:rPr>
        <w:t xml:space="preserve"> MJ, </w:t>
      </w:r>
      <w:proofErr w:type="spellStart"/>
      <w:r w:rsidR="00872B57" w:rsidRPr="003E562D">
        <w:rPr>
          <w:sz w:val="28"/>
          <w:szCs w:val="28"/>
        </w:rPr>
        <w:t>Meuw</w:t>
      </w:r>
      <w:r w:rsidRPr="003E562D">
        <w:rPr>
          <w:sz w:val="28"/>
          <w:szCs w:val="28"/>
        </w:rPr>
        <w:t>ly</w:t>
      </w:r>
      <w:proofErr w:type="spellEnd"/>
      <w:r w:rsidRPr="003E562D">
        <w:rPr>
          <w:sz w:val="28"/>
          <w:szCs w:val="28"/>
        </w:rPr>
        <w:t xml:space="preserve"> </w:t>
      </w:r>
      <w:proofErr w:type="gramStart"/>
      <w:r w:rsidRPr="003E562D">
        <w:rPr>
          <w:sz w:val="28"/>
          <w:szCs w:val="28"/>
        </w:rPr>
        <w:t>JY ,</w:t>
      </w:r>
      <w:proofErr w:type="gramEnd"/>
      <w:r w:rsidRPr="003E562D">
        <w:rPr>
          <w:sz w:val="28"/>
          <w:szCs w:val="28"/>
        </w:rPr>
        <w:t xml:space="preserve"> Ga</w:t>
      </w:r>
      <w:r w:rsidR="003E562D">
        <w:rPr>
          <w:sz w:val="28"/>
          <w:szCs w:val="28"/>
        </w:rPr>
        <w:t>illard RC, Gom</w:t>
      </w:r>
      <w:r w:rsidR="00872B57" w:rsidRPr="003E562D">
        <w:rPr>
          <w:sz w:val="28"/>
          <w:szCs w:val="28"/>
        </w:rPr>
        <w:t>ez F. Androgen dependence o</w:t>
      </w:r>
      <w:r w:rsidRPr="003E562D">
        <w:rPr>
          <w:sz w:val="28"/>
          <w:szCs w:val="28"/>
        </w:rPr>
        <w:t xml:space="preserve">f hirsutism , acne, and alopecia </w:t>
      </w:r>
      <w:proofErr w:type="spellStart"/>
      <w:r w:rsidRPr="003E562D">
        <w:rPr>
          <w:sz w:val="28"/>
          <w:szCs w:val="28"/>
        </w:rPr>
        <w:t>im</w:t>
      </w:r>
      <w:r w:rsidR="00E7002F" w:rsidRPr="003E562D">
        <w:rPr>
          <w:sz w:val="28"/>
          <w:szCs w:val="28"/>
        </w:rPr>
        <w:t>vomen</w:t>
      </w:r>
      <w:proofErr w:type="spellEnd"/>
      <w:r w:rsidR="00E7002F" w:rsidRPr="003E562D">
        <w:rPr>
          <w:sz w:val="28"/>
          <w:szCs w:val="28"/>
        </w:rPr>
        <w:t>: retrospective analysis o</w:t>
      </w:r>
      <w:r w:rsidRPr="003E562D">
        <w:rPr>
          <w:sz w:val="28"/>
          <w:szCs w:val="28"/>
        </w:rPr>
        <w:t>f 228 patients invest</w:t>
      </w:r>
      <w:r w:rsidR="00872B57" w:rsidRPr="003E562D">
        <w:rPr>
          <w:sz w:val="28"/>
          <w:szCs w:val="28"/>
        </w:rPr>
        <w:t xml:space="preserve">igated for </w:t>
      </w:r>
      <w:proofErr w:type="spellStart"/>
      <w:r w:rsidR="00872B57" w:rsidRPr="003E562D">
        <w:rPr>
          <w:sz w:val="28"/>
          <w:szCs w:val="28"/>
        </w:rPr>
        <w:t>hyperandrogenism</w:t>
      </w:r>
      <w:proofErr w:type="spellEnd"/>
      <w:r w:rsidR="00872B57" w:rsidRPr="003E562D">
        <w:rPr>
          <w:sz w:val="28"/>
          <w:szCs w:val="28"/>
        </w:rPr>
        <w:t xml:space="preserve"> . M</w:t>
      </w:r>
      <w:r w:rsidRPr="003E562D">
        <w:rPr>
          <w:sz w:val="28"/>
          <w:szCs w:val="28"/>
        </w:rPr>
        <w:t>edicine (</w:t>
      </w:r>
      <w:proofErr w:type="spellStart"/>
      <w:r w:rsidRPr="003E562D">
        <w:rPr>
          <w:sz w:val="28"/>
          <w:szCs w:val="28"/>
        </w:rPr>
        <w:t>Baltim</w:t>
      </w:r>
      <w:proofErr w:type="spellEnd"/>
      <w:r w:rsidRPr="003E562D">
        <w:rPr>
          <w:sz w:val="28"/>
          <w:szCs w:val="28"/>
        </w:rPr>
        <w:t xml:space="preserve"> ore). 2009; 88:32-45. </w:t>
      </w:r>
    </w:p>
    <w:p w:rsidR="002F587B" w:rsidRPr="003E562D" w:rsidRDefault="002F587B" w:rsidP="00BB6B0E">
      <w:pPr>
        <w:pStyle w:val="ListParagraph"/>
        <w:numPr>
          <w:ilvl w:val="0"/>
          <w:numId w:val="24"/>
        </w:numPr>
        <w:spacing w:line="360" w:lineRule="auto"/>
        <w:jc w:val="both"/>
        <w:rPr>
          <w:sz w:val="28"/>
          <w:szCs w:val="28"/>
        </w:rPr>
      </w:pPr>
      <w:proofErr w:type="spellStart"/>
      <w:r w:rsidRPr="003E562D">
        <w:rPr>
          <w:sz w:val="28"/>
          <w:szCs w:val="28"/>
        </w:rPr>
        <w:t>Rosner</w:t>
      </w:r>
      <w:proofErr w:type="spellEnd"/>
      <w:r w:rsidRPr="003E562D">
        <w:rPr>
          <w:sz w:val="28"/>
          <w:szCs w:val="28"/>
        </w:rPr>
        <w:t xml:space="preserve"> W. P</w:t>
      </w:r>
      <w:r w:rsidR="00872B57" w:rsidRPr="003E562D">
        <w:rPr>
          <w:sz w:val="28"/>
          <w:szCs w:val="28"/>
        </w:rPr>
        <w:t>osition statement: Utility, lim</w:t>
      </w:r>
      <w:r w:rsidRPr="003E562D">
        <w:rPr>
          <w:sz w:val="28"/>
          <w:szCs w:val="28"/>
        </w:rPr>
        <w:t>itations, and pitfalls in measuring testosterone: an Endocrine Society position</w:t>
      </w:r>
      <w:r w:rsidR="00872B57" w:rsidRPr="003E562D">
        <w:rPr>
          <w:sz w:val="28"/>
          <w:szCs w:val="28"/>
        </w:rPr>
        <w:t xml:space="preserve"> statement. J </w:t>
      </w:r>
      <w:proofErr w:type="spellStart"/>
      <w:r w:rsidR="00872B57" w:rsidRPr="003E562D">
        <w:rPr>
          <w:sz w:val="28"/>
          <w:szCs w:val="28"/>
        </w:rPr>
        <w:t>Clin</w:t>
      </w:r>
      <w:proofErr w:type="spellEnd"/>
      <w:r w:rsidR="00872B57" w:rsidRPr="003E562D">
        <w:rPr>
          <w:sz w:val="28"/>
          <w:szCs w:val="28"/>
        </w:rPr>
        <w:t xml:space="preserve"> </w:t>
      </w:r>
      <w:proofErr w:type="spellStart"/>
      <w:r w:rsidR="00872B57" w:rsidRPr="003E562D">
        <w:rPr>
          <w:sz w:val="28"/>
          <w:szCs w:val="28"/>
        </w:rPr>
        <w:t>Endocrinol</w:t>
      </w:r>
      <w:proofErr w:type="spellEnd"/>
      <w:r w:rsidR="00872B57" w:rsidRPr="003E562D">
        <w:rPr>
          <w:sz w:val="28"/>
          <w:szCs w:val="28"/>
        </w:rPr>
        <w:t xml:space="preserve"> </w:t>
      </w:r>
      <w:proofErr w:type="spellStart"/>
      <w:r w:rsidR="00872B57" w:rsidRPr="003E562D">
        <w:rPr>
          <w:sz w:val="28"/>
          <w:szCs w:val="28"/>
        </w:rPr>
        <w:t>M</w:t>
      </w:r>
      <w:r w:rsidRPr="003E562D">
        <w:rPr>
          <w:sz w:val="28"/>
          <w:szCs w:val="28"/>
        </w:rPr>
        <w:t>etab</w:t>
      </w:r>
      <w:proofErr w:type="spellEnd"/>
      <w:r w:rsidRPr="003E562D">
        <w:rPr>
          <w:sz w:val="28"/>
          <w:szCs w:val="28"/>
        </w:rPr>
        <w:t xml:space="preserve">. 2007 Feb: 92(2):405-13, </w:t>
      </w:r>
    </w:p>
    <w:p w:rsidR="002F587B" w:rsidRPr="003E562D" w:rsidRDefault="00872B57" w:rsidP="00BB6B0E">
      <w:pPr>
        <w:pStyle w:val="ListParagraph"/>
        <w:numPr>
          <w:ilvl w:val="0"/>
          <w:numId w:val="24"/>
        </w:numPr>
        <w:spacing w:line="360" w:lineRule="auto"/>
        <w:jc w:val="both"/>
        <w:rPr>
          <w:sz w:val="28"/>
          <w:szCs w:val="28"/>
        </w:rPr>
      </w:pPr>
      <w:r w:rsidRPr="003E562D">
        <w:rPr>
          <w:sz w:val="28"/>
          <w:szCs w:val="28"/>
        </w:rPr>
        <w:t>Stanczyk F.Z. Diagnosis o</w:t>
      </w:r>
      <w:r w:rsidR="002F587B" w:rsidRPr="003E562D">
        <w:rPr>
          <w:sz w:val="28"/>
          <w:szCs w:val="28"/>
        </w:rPr>
        <w:t xml:space="preserve">f </w:t>
      </w:r>
      <w:proofErr w:type="spellStart"/>
      <w:r w:rsidR="002F587B" w:rsidRPr="003E562D">
        <w:rPr>
          <w:sz w:val="28"/>
          <w:szCs w:val="28"/>
        </w:rPr>
        <w:t>hyperandrogenism</w:t>
      </w:r>
      <w:proofErr w:type="spellEnd"/>
      <w:r w:rsidR="002F587B" w:rsidRPr="003E562D">
        <w:rPr>
          <w:sz w:val="28"/>
          <w:szCs w:val="28"/>
        </w:rPr>
        <w:t xml:space="preserve"> : Biochemical criteria Best Practice &amp; Rese</w:t>
      </w:r>
      <w:r w:rsidRPr="003E562D">
        <w:rPr>
          <w:sz w:val="28"/>
          <w:szCs w:val="28"/>
        </w:rPr>
        <w:t>arch Clinical Endocrinology &amp; M</w:t>
      </w:r>
      <w:r w:rsidR="002F587B" w:rsidRPr="003E562D">
        <w:rPr>
          <w:sz w:val="28"/>
          <w:szCs w:val="28"/>
        </w:rPr>
        <w:t>etabolism 2006 Vol. 20, No. 2, pp. 177-191.</w:t>
      </w:r>
    </w:p>
    <w:p w:rsidR="002F587B" w:rsidRPr="003E562D" w:rsidRDefault="00872B57" w:rsidP="00BB6B0E">
      <w:pPr>
        <w:pStyle w:val="ListParagraph"/>
        <w:numPr>
          <w:ilvl w:val="0"/>
          <w:numId w:val="24"/>
        </w:numPr>
        <w:spacing w:line="360" w:lineRule="auto"/>
        <w:jc w:val="both"/>
        <w:rPr>
          <w:sz w:val="28"/>
          <w:szCs w:val="28"/>
        </w:rPr>
      </w:pPr>
      <w:r w:rsidRPr="003E562D">
        <w:rPr>
          <w:sz w:val="28"/>
          <w:szCs w:val="28"/>
        </w:rPr>
        <w:t>M</w:t>
      </w:r>
      <w:r w:rsidR="002F587B" w:rsidRPr="003E562D">
        <w:rPr>
          <w:sz w:val="28"/>
          <w:szCs w:val="28"/>
        </w:rPr>
        <w:t>edical eligibility criteria for contraceptive use. W HO: 4th ed. 2010</w:t>
      </w:r>
    </w:p>
    <w:p w:rsidR="002F587B" w:rsidRPr="003E562D" w:rsidRDefault="00872B57" w:rsidP="00BB6B0E">
      <w:pPr>
        <w:pStyle w:val="ListParagraph"/>
        <w:numPr>
          <w:ilvl w:val="0"/>
          <w:numId w:val="24"/>
        </w:numPr>
        <w:spacing w:line="360" w:lineRule="auto"/>
        <w:jc w:val="both"/>
        <w:rPr>
          <w:sz w:val="28"/>
          <w:szCs w:val="28"/>
        </w:rPr>
      </w:pPr>
      <w:r w:rsidRPr="003E562D">
        <w:rPr>
          <w:sz w:val="28"/>
          <w:szCs w:val="28"/>
        </w:rPr>
        <w:t>C</w:t>
      </w:r>
      <w:r w:rsidR="00B87515" w:rsidRPr="003E562D">
        <w:rPr>
          <w:sz w:val="28"/>
          <w:szCs w:val="28"/>
        </w:rPr>
        <w:t>onsensus on infertility treatm</w:t>
      </w:r>
      <w:r w:rsidR="002F587B" w:rsidRPr="003E562D">
        <w:rPr>
          <w:sz w:val="28"/>
          <w:szCs w:val="28"/>
        </w:rPr>
        <w:t>ent rela</w:t>
      </w:r>
      <w:r w:rsidR="003E562D" w:rsidRPr="003E562D">
        <w:rPr>
          <w:sz w:val="28"/>
          <w:szCs w:val="28"/>
        </w:rPr>
        <w:t>ted to polycystic ovary syndrom</w:t>
      </w:r>
      <w:r w:rsidR="002F587B" w:rsidRPr="003E562D">
        <w:rPr>
          <w:sz w:val="28"/>
          <w:szCs w:val="28"/>
        </w:rPr>
        <w:t xml:space="preserve">e. Thessaloniki ESH R E/A SR </w:t>
      </w:r>
      <w:r w:rsidR="00B87515" w:rsidRPr="003E562D">
        <w:rPr>
          <w:sz w:val="28"/>
          <w:szCs w:val="28"/>
        </w:rPr>
        <w:t>M -Sponsored PCOS Consensus Workshop G</w:t>
      </w:r>
      <w:r w:rsidR="002F587B" w:rsidRPr="003E562D">
        <w:rPr>
          <w:sz w:val="28"/>
          <w:szCs w:val="28"/>
        </w:rPr>
        <w:t xml:space="preserve">roup. H um </w:t>
      </w:r>
      <w:proofErr w:type="spellStart"/>
      <w:r w:rsidR="002F587B" w:rsidRPr="003E562D">
        <w:rPr>
          <w:sz w:val="28"/>
          <w:szCs w:val="28"/>
        </w:rPr>
        <w:t>Reprod</w:t>
      </w:r>
      <w:proofErr w:type="spellEnd"/>
      <w:r w:rsidR="002F587B" w:rsidRPr="003E562D">
        <w:rPr>
          <w:sz w:val="28"/>
          <w:szCs w:val="28"/>
        </w:rPr>
        <w:t xml:space="preserve">. 2008 Mar; 23(3):462-77. </w:t>
      </w:r>
    </w:p>
    <w:p w:rsidR="002F587B" w:rsidRPr="003E562D" w:rsidRDefault="00872B57" w:rsidP="00BB6B0E">
      <w:pPr>
        <w:pStyle w:val="ListParagraph"/>
        <w:numPr>
          <w:ilvl w:val="0"/>
          <w:numId w:val="24"/>
        </w:numPr>
        <w:spacing w:line="360" w:lineRule="auto"/>
        <w:jc w:val="both"/>
        <w:rPr>
          <w:sz w:val="28"/>
          <w:szCs w:val="28"/>
        </w:rPr>
      </w:pPr>
      <w:r w:rsidRPr="003E562D">
        <w:rPr>
          <w:sz w:val="28"/>
          <w:szCs w:val="28"/>
        </w:rPr>
        <w:lastRenderedPageBreak/>
        <w:t xml:space="preserve">Imam B l, </w:t>
      </w:r>
      <w:proofErr w:type="spellStart"/>
      <w:r w:rsidRPr="003E562D">
        <w:rPr>
          <w:sz w:val="28"/>
          <w:szCs w:val="28"/>
        </w:rPr>
        <w:t>Eijkemans</w:t>
      </w:r>
      <w:proofErr w:type="spellEnd"/>
      <w:r w:rsidRPr="003E562D">
        <w:rPr>
          <w:sz w:val="28"/>
          <w:szCs w:val="28"/>
        </w:rPr>
        <w:t xml:space="preserve"> M J. </w:t>
      </w:r>
      <w:proofErr w:type="spellStart"/>
      <w:proofErr w:type="gramStart"/>
      <w:r w:rsidRPr="003E562D">
        <w:rPr>
          <w:sz w:val="28"/>
          <w:szCs w:val="28"/>
        </w:rPr>
        <w:t>te</w:t>
      </w:r>
      <w:proofErr w:type="spellEnd"/>
      <w:proofErr w:type="gramEnd"/>
      <w:r w:rsidRPr="003E562D">
        <w:rPr>
          <w:sz w:val="28"/>
          <w:szCs w:val="28"/>
        </w:rPr>
        <w:t xml:space="preserve"> </w:t>
      </w:r>
      <w:proofErr w:type="spellStart"/>
      <w:r w:rsidRPr="003E562D">
        <w:rPr>
          <w:sz w:val="28"/>
          <w:szCs w:val="28"/>
        </w:rPr>
        <w:t>Velde</w:t>
      </w:r>
      <w:proofErr w:type="spellEnd"/>
      <w:r w:rsidRPr="003E562D">
        <w:rPr>
          <w:sz w:val="28"/>
          <w:szCs w:val="28"/>
        </w:rPr>
        <w:t xml:space="preserve"> ER et al. A nom</w:t>
      </w:r>
      <w:r w:rsidR="002F587B" w:rsidRPr="003E562D">
        <w:rPr>
          <w:sz w:val="28"/>
          <w:szCs w:val="28"/>
        </w:rPr>
        <w:t>ogr</w:t>
      </w:r>
      <w:r w:rsidRPr="003E562D">
        <w:rPr>
          <w:sz w:val="28"/>
          <w:szCs w:val="28"/>
        </w:rPr>
        <w:t>am to predict the probability of live birth after clom</w:t>
      </w:r>
      <w:r w:rsidR="002F587B" w:rsidRPr="003E562D">
        <w:rPr>
          <w:sz w:val="28"/>
          <w:szCs w:val="28"/>
        </w:rPr>
        <w:t xml:space="preserve">iphene citrate </w:t>
      </w:r>
      <w:r w:rsidR="00E7002F" w:rsidRPr="003E562D">
        <w:rPr>
          <w:sz w:val="28"/>
          <w:szCs w:val="28"/>
        </w:rPr>
        <w:t>induction o</w:t>
      </w:r>
      <w:r w:rsidR="00B87515" w:rsidRPr="003E562D">
        <w:rPr>
          <w:sz w:val="28"/>
          <w:szCs w:val="28"/>
        </w:rPr>
        <w:t xml:space="preserve">f ovulation in </w:t>
      </w:r>
      <w:proofErr w:type="spellStart"/>
      <w:r w:rsidR="00B87515" w:rsidRPr="003E562D">
        <w:rPr>
          <w:sz w:val="28"/>
          <w:szCs w:val="28"/>
        </w:rPr>
        <w:t>norm</w:t>
      </w:r>
      <w:r w:rsidR="002F587B" w:rsidRPr="003E562D">
        <w:rPr>
          <w:sz w:val="28"/>
          <w:szCs w:val="28"/>
        </w:rPr>
        <w:t>ogonadotropic</w:t>
      </w:r>
      <w:proofErr w:type="spellEnd"/>
      <w:r w:rsidR="002F587B" w:rsidRPr="003E562D">
        <w:rPr>
          <w:sz w:val="28"/>
          <w:szCs w:val="28"/>
        </w:rPr>
        <w:t xml:space="preserve"> </w:t>
      </w:r>
      <w:proofErr w:type="spellStart"/>
      <w:r w:rsidR="002F587B" w:rsidRPr="003E562D">
        <w:rPr>
          <w:sz w:val="28"/>
          <w:szCs w:val="28"/>
        </w:rPr>
        <w:t>o</w:t>
      </w:r>
      <w:r w:rsidR="00B87515" w:rsidRPr="003E562D">
        <w:rPr>
          <w:sz w:val="28"/>
          <w:szCs w:val="28"/>
        </w:rPr>
        <w:t>ligoam</w:t>
      </w:r>
      <w:r w:rsidR="002F587B" w:rsidRPr="003E562D">
        <w:rPr>
          <w:sz w:val="28"/>
          <w:szCs w:val="28"/>
        </w:rPr>
        <w:t>enorrheic</w:t>
      </w:r>
      <w:proofErr w:type="spellEnd"/>
      <w:r w:rsidR="002F587B" w:rsidRPr="003E562D">
        <w:rPr>
          <w:sz w:val="28"/>
          <w:szCs w:val="28"/>
        </w:rPr>
        <w:t xml:space="preserve"> infertility. </w:t>
      </w:r>
      <w:proofErr w:type="spellStart"/>
      <w:r w:rsidR="002F587B" w:rsidRPr="003E562D">
        <w:rPr>
          <w:sz w:val="28"/>
          <w:szCs w:val="28"/>
        </w:rPr>
        <w:t>Fertil</w:t>
      </w:r>
      <w:proofErr w:type="spellEnd"/>
      <w:r w:rsidR="002F587B" w:rsidRPr="003E562D">
        <w:rPr>
          <w:sz w:val="28"/>
          <w:szCs w:val="28"/>
        </w:rPr>
        <w:t xml:space="preserve"> </w:t>
      </w:r>
      <w:proofErr w:type="spellStart"/>
      <w:r w:rsidR="002F587B" w:rsidRPr="003E562D">
        <w:rPr>
          <w:sz w:val="28"/>
          <w:szCs w:val="28"/>
        </w:rPr>
        <w:t>Steril</w:t>
      </w:r>
      <w:proofErr w:type="spellEnd"/>
      <w:r w:rsidR="002F587B" w:rsidRPr="003E562D">
        <w:rPr>
          <w:sz w:val="28"/>
          <w:szCs w:val="28"/>
        </w:rPr>
        <w:t>. 2002 Jan</w:t>
      </w:r>
      <w:proofErr w:type="gramStart"/>
      <w:r w:rsidR="002F587B" w:rsidRPr="003E562D">
        <w:rPr>
          <w:sz w:val="28"/>
          <w:szCs w:val="28"/>
        </w:rPr>
        <w:t>;77</w:t>
      </w:r>
      <w:proofErr w:type="gramEnd"/>
      <w:r w:rsidR="002F587B" w:rsidRPr="003E562D">
        <w:rPr>
          <w:sz w:val="28"/>
          <w:szCs w:val="28"/>
        </w:rPr>
        <w:t xml:space="preserve">( 1 ):9 1 -7. </w:t>
      </w:r>
    </w:p>
    <w:p w:rsidR="002F587B" w:rsidRPr="003E562D" w:rsidRDefault="00872B57" w:rsidP="00BB6B0E">
      <w:pPr>
        <w:pStyle w:val="ListParagraph"/>
        <w:numPr>
          <w:ilvl w:val="0"/>
          <w:numId w:val="24"/>
        </w:numPr>
        <w:spacing w:line="360" w:lineRule="auto"/>
        <w:jc w:val="both"/>
        <w:rPr>
          <w:sz w:val="28"/>
          <w:szCs w:val="28"/>
        </w:rPr>
      </w:pPr>
      <w:r w:rsidRPr="003E562D">
        <w:rPr>
          <w:sz w:val="28"/>
          <w:szCs w:val="28"/>
        </w:rPr>
        <w:t>N IH /N IC H D Reproductive Medicine Netw</w:t>
      </w:r>
      <w:r w:rsidR="002F587B" w:rsidRPr="003E562D">
        <w:rPr>
          <w:sz w:val="28"/>
          <w:szCs w:val="28"/>
        </w:rPr>
        <w:t>ork. E</w:t>
      </w:r>
      <w:r w:rsidRPr="003E562D">
        <w:rPr>
          <w:sz w:val="28"/>
          <w:szCs w:val="28"/>
        </w:rPr>
        <w:t xml:space="preserve">ffect of </w:t>
      </w:r>
      <w:proofErr w:type="spellStart"/>
      <w:r w:rsidRPr="003E562D">
        <w:rPr>
          <w:sz w:val="28"/>
          <w:szCs w:val="28"/>
        </w:rPr>
        <w:t>letrozole</w:t>
      </w:r>
      <w:proofErr w:type="spellEnd"/>
      <w:r w:rsidRPr="003E562D">
        <w:rPr>
          <w:sz w:val="28"/>
          <w:szCs w:val="28"/>
        </w:rPr>
        <w:t xml:space="preserve"> versus clomiphene on live birth in w</w:t>
      </w:r>
      <w:r w:rsidR="002F587B" w:rsidRPr="003E562D">
        <w:rPr>
          <w:sz w:val="28"/>
          <w:szCs w:val="28"/>
        </w:rPr>
        <w:t xml:space="preserve">omen with </w:t>
      </w:r>
      <w:proofErr w:type="spellStart"/>
      <w:r w:rsidR="002F587B" w:rsidRPr="003E562D">
        <w:rPr>
          <w:sz w:val="28"/>
          <w:szCs w:val="28"/>
        </w:rPr>
        <w:t>anovulatory</w:t>
      </w:r>
      <w:proofErr w:type="spellEnd"/>
      <w:r w:rsidR="002F587B" w:rsidRPr="003E562D">
        <w:rPr>
          <w:sz w:val="28"/>
          <w:szCs w:val="28"/>
        </w:rPr>
        <w:t xml:space="preserve"> infertility due to polycystic o</w:t>
      </w:r>
      <w:r w:rsidRPr="003E562D">
        <w:rPr>
          <w:sz w:val="28"/>
          <w:szCs w:val="28"/>
        </w:rPr>
        <w:t>vary syndrome (PCOS): a randomized double- blind m</w:t>
      </w:r>
      <w:r w:rsidR="002F587B" w:rsidRPr="003E562D">
        <w:rPr>
          <w:sz w:val="28"/>
          <w:szCs w:val="28"/>
        </w:rPr>
        <w:t xml:space="preserve">ulticenter </w:t>
      </w:r>
      <w:r w:rsidR="00B87515" w:rsidRPr="003E562D">
        <w:rPr>
          <w:sz w:val="28"/>
          <w:szCs w:val="28"/>
        </w:rPr>
        <w:t xml:space="preserve">trial. </w:t>
      </w:r>
      <w:proofErr w:type="spellStart"/>
      <w:r w:rsidR="00B87515" w:rsidRPr="003E562D">
        <w:rPr>
          <w:sz w:val="28"/>
          <w:szCs w:val="28"/>
        </w:rPr>
        <w:t>Fertil</w:t>
      </w:r>
      <w:proofErr w:type="spellEnd"/>
      <w:r w:rsidR="00B87515" w:rsidRPr="003E562D">
        <w:rPr>
          <w:sz w:val="28"/>
          <w:szCs w:val="28"/>
        </w:rPr>
        <w:t xml:space="preserve"> </w:t>
      </w:r>
      <w:proofErr w:type="spellStart"/>
      <w:r w:rsidR="00B87515" w:rsidRPr="003E562D">
        <w:rPr>
          <w:sz w:val="28"/>
          <w:szCs w:val="28"/>
        </w:rPr>
        <w:t>Steril</w:t>
      </w:r>
      <w:proofErr w:type="spellEnd"/>
      <w:r w:rsidR="00B87515" w:rsidRPr="003E562D">
        <w:rPr>
          <w:sz w:val="28"/>
          <w:szCs w:val="28"/>
        </w:rPr>
        <w:t>. 2013; 100</w:t>
      </w:r>
      <w:r w:rsidR="002F587B" w:rsidRPr="003E562D">
        <w:rPr>
          <w:sz w:val="28"/>
          <w:szCs w:val="28"/>
        </w:rPr>
        <w:t xml:space="preserve"> </w:t>
      </w:r>
    </w:p>
    <w:p w:rsidR="002F587B" w:rsidRPr="003E562D" w:rsidRDefault="00872B57" w:rsidP="00BB6B0E">
      <w:pPr>
        <w:pStyle w:val="ListParagraph"/>
        <w:numPr>
          <w:ilvl w:val="0"/>
          <w:numId w:val="24"/>
        </w:numPr>
        <w:spacing w:line="360" w:lineRule="auto"/>
        <w:jc w:val="both"/>
        <w:rPr>
          <w:sz w:val="28"/>
          <w:szCs w:val="28"/>
        </w:rPr>
      </w:pPr>
      <w:r w:rsidRPr="003E562D">
        <w:rPr>
          <w:sz w:val="28"/>
          <w:szCs w:val="28"/>
        </w:rPr>
        <w:t xml:space="preserve">Farquhar C, Brow n J, </w:t>
      </w:r>
      <w:proofErr w:type="spellStart"/>
      <w:r w:rsidRPr="003E562D">
        <w:rPr>
          <w:sz w:val="28"/>
          <w:szCs w:val="28"/>
        </w:rPr>
        <w:t>M</w:t>
      </w:r>
      <w:r w:rsidR="002F587B" w:rsidRPr="003E562D">
        <w:rPr>
          <w:sz w:val="28"/>
          <w:szCs w:val="28"/>
        </w:rPr>
        <w:t>arjoribanks</w:t>
      </w:r>
      <w:proofErr w:type="spellEnd"/>
      <w:r w:rsidR="002F587B" w:rsidRPr="003E562D">
        <w:rPr>
          <w:sz w:val="28"/>
          <w:szCs w:val="28"/>
        </w:rPr>
        <w:t xml:space="preserve"> J. La</w:t>
      </w:r>
      <w:r w:rsidR="00E7002F" w:rsidRPr="003E562D">
        <w:rPr>
          <w:sz w:val="28"/>
          <w:szCs w:val="28"/>
        </w:rPr>
        <w:t>paroscopic drilling by diatherm</w:t>
      </w:r>
      <w:r w:rsidR="002F587B" w:rsidRPr="003E562D">
        <w:rPr>
          <w:sz w:val="28"/>
          <w:szCs w:val="28"/>
        </w:rPr>
        <w:t xml:space="preserve">y or laser for ovulation induction in </w:t>
      </w:r>
      <w:proofErr w:type="spellStart"/>
      <w:r w:rsidR="002F587B" w:rsidRPr="003E562D">
        <w:rPr>
          <w:sz w:val="28"/>
          <w:szCs w:val="28"/>
        </w:rPr>
        <w:t>anovulatory</w:t>
      </w:r>
      <w:proofErr w:type="spellEnd"/>
      <w:r w:rsidR="002F587B" w:rsidRPr="003E562D">
        <w:rPr>
          <w:sz w:val="28"/>
          <w:szCs w:val="28"/>
        </w:rPr>
        <w:t xml:space="preserve"> polycystic ovary syndrom</w:t>
      </w:r>
      <w:r w:rsidRPr="003E562D">
        <w:rPr>
          <w:sz w:val="28"/>
          <w:szCs w:val="28"/>
        </w:rPr>
        <w:t>e. C</w:t>
      </w:r>
      <w:r w:rsidR="002F587B" w:rsidRPr="003E562D">
        <w:rPr>
          <w:sz w:val="28"/>
          <w:szCs w:val="28"/>
        </w:rPr>
        <w:t xml:space="preserve">ochrane Database </w:t>
      </w:r>
      <w:proofErr w:type="spellStart"/>
      <w:r w:rsidR="002F587B" w:rsidRPr="003E562D">
        <w:rPr>
          <w:sz w:val="28"/>
          <w:szCs w:val="28"/>
        </w:rPr>
        <w:t>Syst</w:t>
      </w:r>
      <w:proofErr w:type="spellEnd"/>
      <w:r w:rsidR="002F587B" w:rsidRPr="003E562D">
        <w:rPr>
          <w:sz w:val="28"/>
          <w:szCs w:val="28"/>
        </w:rPr>
        <w:t xml:space="preserve"> Rev. 2012 Jun 13; 6</w:t>
      </w:r>
      <w:proofErr w:type="gramStart"/>
      <w:r w:rsidR="002F587B" w:rsidRPr="003E562D">
        <w:rPr>
          <w:sz w:val="28"/>
          <w:szCs w:val="28"/>
        </w:rPr>
        <w:t>:C</w:t>
      </w:r>
      <w:proofErr w:type="gramEnd"/>
      <w:r w:rsidR="002F587B" w:rsidRPr="003E562D">
        <w:rPr>
          <w:sz w:val="28"/>
          <w:szCs w:val="28"/>
        </w:rPr>
        <w:t xml:space="preserve"> D 001122. </w:t>
      </w:r>
    </w:p>
    <w:p w:rsidR="002F587B" w:rsidRPr="003E562D" w:rsidRDefault="00872B57" w:rsidP="00BB6B0E">
      <w:pPr>
        <w:pStyle w:val="ListParagraph"/>
        <w:numPr>
          <w:ilvl w:val="0"/>
          <w:numId w:val="24"/>
        </w:numPr>
        <w:spacing w:line="360" w:lineRule="auto"/>
        <w:jc w:val="both"/>
        <w:rPr>
          <w:sz w:val="28"/>
          <w:szCs w:val="28"/>
        </w:rPr>
      </w:pPr>
      <w:proofErr w:type="spellStart"/>
      <w:r w:rsidRPr="003E562D">
        <w:rPr>
          <w:sz w:val="28"/>
          <w:szCs w:val="28"/>
        </w:rPr>
        <w:t>Bayram</w:t>
      </w:r>
      <w:proofErr w:type="spellEnd"/>
      <w:r w:rsidRPr="003E562D">
        <w:rPr>
          <w:sz w:val="28"/>
          <w:szCs w:val="28"/>
        </w:rPr>
        <w:t xml:space="preserve"> </w:t>
      </w:r>
      <w:proofErr w:type="gramStart"/>
      <w:r w:rsidRPr="003E562D">
        <w:rPr>
          <w:sz w:val="28"/>
          <w:szCs w:val="28"/>
        </w:rPr>
        <w:t>N ,</w:t>
      </w:r>
      <w:proofErr w:type="gramEnd"/>
      <w:r w:rsidRPr="003E562D">
        <w:rPr>
          <w:sz w:val="28"/>
          <w:szCs w:val="28"/>
        </w:rPr>
        <w:t xml:space="preserve"> </w:t>
      </w:r>
      <w:proofErr w:type="spellStart"/>
      <w:r w:rsidRPr="003E562D">
        <w:rPr>
          <w:sz w:val="28"/>
          <w:szCs w:val="28"/>
        </w:rPr>
        <w:t>vanW</w:t>
      </w:r>
      <w:r w:rsidR="002F587B" w:rsidRPr="003E562D">
        <w:rPr>
          <w:sz w:val="28"/>
          <w:szCs w:val="28"/>
        </w:rPr>
        <w:t>ely</w:t>
      </w:r>
      <w:proofErr w:type="spellEnd"/>
      <w:r w:rsidR="002F587B" w:rsidRPr="003E562D">
        <w:rPr>
          <w:sz w:val="28"/>
          <w:szCs w:val="28"/>
        </w:rPr>
        <w:t xml:space="preserve"> M, </w:t>
      </w:r>
      <w:proofErr w:type="spellStart"/>
      <w:r w:rsidR="002F587B" w:rsidRPr="003E562D">
        <w:rPr>
          <w:sz w:val="28"/>
          <w:szCs w:val="28"/>
        </w:rPr>
        <w:t>Kaaijk</w:t>
      </w:r>
      <w:proofErr w:type="spellEnd"/>
      <w:r w:rsidR="002F587B" w:rsidRPr="003E562D">
        <w:rPr>
          <w:sz w:val="28"/>
          <w:szCs w:val="28"/>
        </w:rPr>
        <w:t xml:space="preserve"> EM , </w:t>
      </w:r>
      <w:proofErr w:type="spellStart"/>
      <w:r w:rsidR="002F587B" w:rsidRPr="003E562D">
        <w:rPr>
          <w:sz w:val="28"/>
          <w:szCs w:val="28"/>
        </w:rPr>
        <w:t>Bossuyt</w:t>
      </w:r>
      <w:proofErr w:type="spellEnd"/>
      <w:r w:rsidR="002F587B" w:rsidRPr="003E562D">
        <w:rPr>
          <w:sz w:val="28"/>
          <w:szCs w:val="28"/>
        </w:rPr>
        <w:t xml:space="preserve"> PM , van </w:t>
      </w:r>
      <w:proofErr w:type="spellStart"/>
      <w:r w:rsidR="002F587B" w:rsidRPr="003E562D">
        <w:rPr>
          <w:sz w:val="28"/>
          <w:szCs w:val="28"/>
        </w:rPr>
        <w:t>derVeen</w:t>
      </w:r>
      <w:proofErr w:type="spellEnd"/>
      <w:r w:rsidR="002F587B" w:rsidRPr="003E562D">
        <w:rPr>
          <w:sz w:val="28"/>
          <w:szCs w:val="28"/>
        </w:rPr>
        <w:t xml:space="preserve"> F. Using an electrocautery strategy or rec</w:t>
      </w:r>
      <w:r w:rsidRPr="003E562D">
        <w:rPr>
          <w:sz w:val="28"/>
          <w:szCs w:val="28"/>
        </w:rPr>
        <w:t xml:space="preserve">ombinant follicle stim </w:t>
      </w:r>
      <w:proofErr w:type="spellStart"/>
      <w:r w:rsidRPr="003E562D">
        <w:rPr>
          <w:sz w:val="28"/>
          <w:szCs w:val="28"/>
        </w:rPr>
        <w:t>ulating</w:t>
      </w:r>
      <w:r w:rsidR="002F587B" w:rsidRPr="003E562D">
        <w:rPr>
          <w:sz w:val="28"/>
          <w:szCs w:val="28"/>
        </w:rPr>
        <w:t>horm</w:t>
      </w:r>
      <w:proofErr w:type="spellEnd"/>
      <w:r w:rsidR="002F587B" w:rsidRPr="003E562D">
        <w:rPr>
          <w:sz w:val="28"/>
          <w:szCs w:val="28"/>
        </w:rPr>
        <w:t xml:space="preserve"> one to induce ovulation in polycystic ovary sy</w:t>
      </w:r>
      <w:r w:rsidRPr="003E562D">
        <w:rPr>
          <w:sz w:val="28"/>
          <w:szCs w:val="28"/>
        </w:rPr>
        <w:t>ndrom</w:t>
      </w:r>
      <w:r w:rsidR="002F587B" w:rsidRPr="003E562D">
        <w:rPr>
          <w:sz w:val="28"/>
          <w:szCs w:val="28"/>
        </w:rPr>
        <w:t xml:space="preserve">e: </w:t>
      </w:r>
      <w:proofErr w:type="spellStart"/>
      <w:r w:rsidR="002F587B" w:rsidRPr="003E562D">
        <w:rPr>
          <w:sz w:val="28"/>
          <w:szCs w:val="28"/>
        </w:rPr>
        <w:t>randomised</w:t>
      </w:r>
      <w:proofErr w:type="spellEnd"/>
      <w:r w:rsidR="002F587B" w:rsidRPr="003E562D">
        <w:rPr>
          <w:sz w:val="28"/>
          <w:szCs w:val="28"/>
        </w:rPr>
        <w:t xml:space="preserve"> controlled trial. BMJ 2004; 328:192</w:t>
      </w:r>
    </w:p>
    <w:p w:rsidR="006F13E9" w:rsidRPr="003E562D" w:rsidRDefault="006F13E9" w:rsidP="00BB6B0E">
      <w:pPr>
        <w:pStyle w:val="ListParagraph"/>
        <w:numPr>
          <w:ilvl w:val="0"/>
          <w:numId w:val="24"/>
        </w:numPr>
        <w:spacing w:line="360" w:lineRule="auto"/>
        <w:jc w:val="both"/>
        <w:rPr>
          <w:sz w:val="28"/>
          <w:szCs w:val="28"/>
        </w:rPr>
      </w:pPr>
      <w:r w:rsidRPr="003E562D">
        <w:rPr>
          <w:sz w:val="28"/>
          <w:szCs w:val="28"/>
        </w:rPr>
        <w:t xml:space="preserve">Mohammed E. </w:t>
      </w:r>
      <w:proofErr w:type="spellStart"/>
      <w:r w:rsidRPr="003E562D">
        <w:rPr>
          <w:sz w:val="28"/>
          <w:szCs w:val="28"/>
        </w:rPr>
        <w:t>Hyperprolactenaemia</w:t>
      </w:r>
      <w:proofErr w:type="spellEnd"/>
      <w:r w:rsidRPr="003E562D">
        <w:rPr>
          <w:sz w:val="28"/>
          <w:szCs w:val="28"/>
        </w:rPr>
        <w:t xml:space="preserve"> after laparoscopic ovarian drilling: an unknown phenomenon. </w:t>
      </w:r>
      <w:proofErr w:type="spellStart"/>
      <w:r w:rsidRPr="003E562D">
        <w:rPr>
          <w:sz w:val="28"/>
          <w:szCs w:val="28"/>
        </w:rPr>
        <w:t>Reprod</w:t>
      </w:r>
      <w:proofErr w:type="spellEnd"/>
      <w:r w:rsidRPr="003E562D">
        <w:rPr>
          <w:sz w:val="28"/>
          <w:szCs w:val="28"/>
        </w:rPr>
        <w:t xml:space="preserve"> </w:t>
      </w:r>
      <w:proofErr w:type="spellStart"/>
      <w:r w:rsidRPr="003E562D">
        <w:rPr>
          <w:sz w:val="28"/>
          <w:szCs w:val="28"/>
        </w:rPr>
        <w:t>Endocrin</w:t>
      </w:r>
      <w:proofErr w:type="spellEnd"/>
      <w:r w:rsidRPr="003E562D">
        <w:rPr>
          <w:sz w:val="28"/>
          <w:szCs w:val="28"/>
        </w:rPr>
        <w:t xml:space="preserve"> 2005</w:t>
      </w:r>
      <w:proofErr w:type="gramStart"/>
      <w:r w:rsidRPr="003E562D">
        <w:rPr>
          <w:sz w:val="28"/>
          <w:szCs w:val="28"/>
        </w:rPr>
        <w:t>;3:3</w:t>
      </w:r>
      <w:proofErr w:type="gramEnd"/>
      <w:r w:rsidRPr="003E562D">
        <w:rPr>
          <w:sz w:val="28"/>
          <w:szCs w:val="28"/>
        </w:rPr>
        <w:t>.</w:t>
      </w:r>
    </w:p>
    <w:p w:rsidR="00591BDA" w:rsidRPr="00E7002F" w:rsidRDefault="00591BDA" w:rsidP="00BB6B0E">
      <w:pPr>
        <w:pStyle w:val="ListParagraph"/>
        <w:numPr>
          <w:ilvl w:val="0"/>
          <w:numId w:val="24"/>
        </w:numPr>
        <w:shd w:val="clear" w:color="auto" w:fill="FFFFFF"/>
        <w:spacing w:before="100" w:beforeAutospacing="1" w:after="100" w:afterAutospacing="1" w:line="360" w:lineRule="auto"/>
        <w:jc w:val="both"/>
        <w:rPr>
          <w:sz w:val="28"/>
          <w:szCs w:val="28"/>
        </w:rPr>
      </w:pPr>
      <w:r w:rsidRPr="00E7002F">
        <w:rPr>
          <w:sz w:val="28"/>
          <w:szCs w:val="28"/>
        </w:rPr>
        <w:t>American Society for Reproductive Medicine. (2011). </w:t>
      </w:r>
      <w:proofErr w:type="gramStart"/>
      <w:r w:rsidRPr="00E7002F">
        <w:rPr>
          <w:iCs/>
          <w:sz w:val="28"/>
          <w:szCs w:val="28"/>
        </w:rPr>
        <w:t>Frequently</w:t>
      </w:r>
      <w:proofErr w:type="gramEnd"/>
      <w:r w:rsidRPr="00E7002F">
        <w:rPr>
          <w:iCs/>
          <w:sz w:val="28"/>
          <w:szCs w:val="28"/>
        </w:rPr>
        <w:t xml:space="preserve"> asked questions about infertility</w:t>
      </w:r>
      <w:r w:rsidRPr="00E7002F">
        <w:rPr>
          <w:sz w:val="28"/>
          <w:szCs w:val="28"/>
        </w:rPr>
        <w:t xml:space="preserve">. Retrieved December 22, 2011, </w:t>
      </w:r>
    </w:p>
    <w:p w:rsidR="00591BDA" w:rsidRPr="00E7002F" w:rsidRDefault="00591BDA" w:rsidP="00BB6B0E">
      <w:pPr>
        <w:pStyle w:val="ListParagraph"/>
        <w:numPr>
          <w:ilvl w:val="0"/>
          <w:numId w:val="24"/>
        </w:numPr>
        <w:shd w:val="clear" w:color="auto" w:fill="FFFFFF"/>
        <w:spacing w:before="100" w:beforeAutospacing="1" w:after="100" w:afterAutospacing="1" w:line="360" w:lineRule="auto"/>
        <w:jc w:val="both"/>
        <w:rPr>
          <w:sz w:val="28"/>
          <w:szCs w:val="28"/>
        </w:rPr>
      </w:pPr>
      <w:bookmarkStart w:id="1" w:name="f2"/>
      <w:bookmarkEnd w:id="1"/>
      <w:r w:rsidRPr="00E7002F">
        <w:rPr>
          <w:sz w:val="28"/>
          <w:szCs w:val="28"/>
        </w:rPr>
        <w:t>ACOG. (2011). </w:t>
      </w:r>
      <w:r w:rsidRPr="00E7002F">
        <w:rPr>
          <w:iCs/>
          <w:sz w:val="28"/>
          <w:szCs w:val="28"/>
        </w:rPr>
        <w:t>Polycystic ovary syndrome</w:t>
      </w:r>
      <w:r w:rsidRPr="00E7002F">
        <w:rPr>
          <w:sz w:val="28"/>
          <w:szCs w:val="28"/>
        </w:rPr>
        <w:t xml:space="preserve">. Retrieved May 10, 2012, from (PDF - 73 KB)  </w:t>
      </w:r>
    </w:p>
    <w:p w:rsidR="00591BDA" w:rsidRPr="00C67CC9" w:rsidRDefault="00591BDA" w:rsidP="00BB6B0E">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bookmarkStart w:id="2" w:name="f3"/>
      <w:bookmarkEnd w:id="2"/>
      <w:r w:rsidRPr="00C67CC9">
        <w:rPr>
          <w:rFonts w:ascii="Times New Roman" w:eastAsia="Times New Roman" w:hAnsi="Times New Roman" w:cs="Times New Roman"/>
          <w:sz w:val="28"/>
          <w:szCs w:val="28"/>
        </w:rPr>
        <w:t xml:space="preserve">Moran, L. J., </w:t>
      </w:r>
      <w:proofErr w:type="spellStart"/>
      <w:r w:rsidRPr="00C67CC9">
        <w:rPr>
          <w:rFonts w:ascii="Times New Roman" w:eastAsia="Times New Roman" w:hAnsi="Times New Roman" w:cs="Times New Roman"/>
          <w:sz w:val="28"/>
          <w:szCs w:val="28"/>
        </w:rPr>
        <w:t>Pasquali</w:t>
      </w:r>
      <w:proofErr w:type="spellEnd"/>
      <w:r w:rsidRPr="00C67CC9">
        <w:rPr>
          <w:rFonts w:ascii="Times New Roman" w:eastAsia="Times New Roman" w:hAnsi="Times New Roman" w:cs="Times New Roman"/>
          <w:sz w:val="28"/>
          <w:szCs w:val="28"/>
        </w:rPr>
        <w:t xml:space="preserve">, R., </w:t>
      </w:r>
      <w:proofErr w:type="spellStart"/>
      <w:r w:rsidRPr="00C67CC9">
        <w:rPr>
          <w:rFonts w:ascii="Times New Roman" w:eastAsia="Times New Roman" w:hAnsi="Times New Roman" w:cs="Times New Roman"/>
          <w:sz w:val="28"/>
          <w:szCs w:val="28"/>
        </w:rPr>
        <w:t>Teede</w:t>
      </w:r>
      <w:proofErr w:type="spellEnd"/>
      <w:r w:rsidRPr="00C67CC9">
        <w:rPr>
          <w:rFonts w:ascii="Times New Roman" w:eastAsia="Times New Roman" w:hAnsi="Times New Roman" w:cs="Times New Roman"/>
          <w:sz w:val="28"/>
          <w:szCs w:val="28"/>
        </w:rPr>
        <w:t xml:space="preserve">, H. J., </w:t>
      </w:r>
      <w:proofErr w:type="spellStart"/>
      <w:r w:rsidRPr="00C67CC9">
        <w:rPr>
          <w:rFonts w:ascii="Times New Roman" w:eastAsia="Times New Roman" w:hAnsi="Times New Roman" w:cs="Times New Roman"/>
          <w:sz w:val="28"/>
          <w:szCs w:val="28"/>
        </w:rPr>
        <w:t>Hoeger</w:t>
      </w:r>
      <w:proofErr w:type="spellEnd"/>
      <w:r w:rsidRPr="00C67CC9">
        <w:rPr>
          <w:rFonts w:ascii="Times New Roman" w:eastAsia="Times New Roman" w:hAnsi="Times New Roman" w:cs="Times New Roman"/>
          <w:sz w:val="28"/>
          <w:szCs w:val="28"/>
        </w:rPr>
        <w:t>, K. M., &amp; Norman, R. J. (2009). Treatment of obesity in polycystic ovary syndrome: A position statement of the Androgen Excess and Polycystic Ovary Syndrome Society. </w:t>
      </w:r>
      <w:r w:rsidRPr="00C67CC9">
        <w:rPr>
          <w:rFonts w:ascii="Times New Roman" w:eastAsia="Times New Roman" w:hAnsi="Times New Roman" w:cs="Times New Roman"/>
          <w:i/>
          <w:iCs/>
          <w:sz w:val="28"/>
          <w:szCs w:val="28"/>
        </w:rPr>
        <w:t>Fertility and Sterility</w:t>
      </w:r>
      <w:r w:rsidRPr="00C67CC9">
        <w:rPr>
          <w:rFonts w:ascii="Times New Roman" w:eastAsia="Times New Roman" w:hAnsi="Times New Roman" w:cs="Times New Roman"/>
          <w:sz w:val="28"/>
          <w:szCs w:val="28"/>
        </w:rPr>
        <w:t xml:space="preserve">, 92, 1966–1982.  </w:t>
      </w:r>
    </w:p>
    <w:p w:rsidR="00591BDA" w:rsidRPr="00C67CC9" w:rsidRDefault="00591BDA" w:rsidP="00BB6B0E">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bookmarkStart w:id="3" w:name="f4"/>
      <w:bookmarkEnd w:id="3"/>
      <w:proofErr w:type="spellStart"/>
      <w:r w:rsidRPr="00C67CC9">
        <w:rPr>
          <w:rFonts w:ascii="Times New Roman" w:eastAsia="Times New Roman" w:hAnsi="Times New Roman" w:cs="Times New Roman"/>
          <w:sz w:val="28"/>
          <w:szCs w:val="28"/>
        </w:rPr>
        <w:t>Legro</w:t>
      </w:r>
      <w:proofErr w:type="spellEnd"/>
      <w:r w:rsidRPr="00C67CC9">
        <w:rPr>
          <w:rFonts w:ascii="Times New Roman" w:eastAsia="Times New Roman" w:hAnsi="Times New Roman" w:cs="Times New Roman"/>
          <w:sz w:val="28"/>
          <w:szCs w:val="28"/>
        </w:rPr>
        <w:t>, R. S. (2007). Pregnancy considerations in women with polycystic ovary syndrome.</w:t>
      </w:r>
      <w:r w:rsidR="003E562D" w:rsidRPr="003E562D">
        <w:rPr>
          <w:rFonts w:ascii="Times New Roman" w:eastAsia="Times New Roman" w:hAnsi="Times New Roman" w:cs="Times New Roman"/>
          <w:sz w:val="28"/>
          <w:szCs w:val="28"/>
        </w:rPr>
        <w:t xml:space="preserve"> </w:t>
      </w:r>
      <w:r w:rsidRPr="00C67CC9">
        <w:rPr>
          <w:rFonts w:ascii="Times New Roman" w:eastAsia="Times New Roman" w:hAnsi="Times New Roman" w:cs="Times New Roman"/>
          <w:i/>
          <w:iCs/>
          <w:sz w:val="28"/>
          <w:szCs w:val="28"/>
        </w:rPr>
        <w:t>Clinical Obstetrics and Gynecology</w:t>
      </w:r>
      <w:r w:rsidRPr="00C67CC9">
        <w:rPr>
          <w:rFonts w:ascii="Times New Roman" w:eastAsia="Times New Roman" w:hAnsi="Times New Roman" w:cs="Times New Roman"/>
          <w:sz w:val="28"/>
          <w:szCs w:val="28"/>
        </w:rPr>
        <w:t xml:space="preserve">, 50, 295–304.  </w:t>
      </w:r>
    </w:p>
    <w:p w:rsidR="00591BDA" w:rsidRPr="00C67CC9" w:rsidRDefault="00591BDA" w:rsidP="00BB6B0E">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bookmarkStart w:id="4" w:name="f5"/>
      <w:bookmarkEnd w:id="4"/>
      <w:r w:rsidRPr="00C67CC9">
        <w:rPr>
          <w:rFonts w:ascii="Times New Roman" w:eastAsia="Times New Roman" w:hAnsi="Times New Roman" w:cs="Times New Roman"/>
          <w:sz w:val="28"/>
          <w:szCs w:val="28"/>
        </w:rPr>
        <w:lastRenderedPageBreak/>
        <w:t xml:space="preserve">Kiddy, D.S., Hamilton-Fairley, D., Bush, A., Short, F., </w:t>
      </w:r>
      <w:proofErr w:type="spellStart"/>
      <w:r w:rsidRPr="00C67CC9">
        <w:rPr>
          <w:rFonts w:ascii="Times New Roman" w:eastAsia="Times New Roman" w:hAnsi="Times New Roman" w:cs="Times New Roman"/>
          <w:sz w:val="28"/>
          <w:szCs w:val="28"/>
        </w:rPr>
        <w:t>Anyaoku</w:t>
      </w:r>
      <w:proofErr w:type="spellEnd"/>
      <w:r w:rsidRPr="00C67CC9">
        <w:rPr>
          <w:rFonts w:ascii="Times New Roman" w:eastAsia="Times New Roman" w:hAnsi="Times New Roman" w:cs="Times New Roman"/>
          <w:sz w:val="28"/>
          <w:szCs w:val="28"/>
        </w:rPr>
        <w:t>, V., Reed, M.J., et al. (1992). Improvement in endocrine and ovarian function during dietary treatment of obese women with polycystic ovary syndrome. </w:t>
      </w:r>
      <w:r w:rsidRPr="00C67CC9">
        <w:rPr>
          <w:rFonts w:ascii="Times New Roman" w:eastAsia="Times New Roman" w:hAnsi="Times New Roman" w:cs="Times New Roman"/>
          <w:i/>
          <w:iCs/>
          <w:sz w:val="28"/>
          <w:szCs w:val="28"/>
        </w:rPr>
        <w:t>Clinical Endocrinology</w:t>
      </w:r>
      <w:r w:rsidRPr="00C67CC9">
        <w:rPr>
          <w:rFonts w:ascii="Times New Roman" w:eastAsia="Times New Roman" w:hAnsi="Times New Roman" w:cs="Times New Roman"/>
          <w:sz w:val="28"/>
          <w:szCs w:val="28"/>
        </w:rPr>
        <w:t xml:space="preserve"> (Oxford), 36, 105-111.  </w:t>
      </w:r>
    </w:p>
    <w:p w:rsidR="00591BDA" w:rsidRPr="00C67CC9" w:rsidRDefault="00591BDA" w:rsidP="00BB6B0E">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bookmarkStart w:id="5" w:name="f6"/>
      <w:bookmarkEnd w:id="5"/>
      <w:r w:rsidRPr="00C67CC9">
        <w:rPr>
          <w:rFonts w:ascii="Times New Roman" w:eastAsia="Times New Roman" w:hAnsi="Times New Roman" w:cs="Times New Roman"/>
          <w:sz w:val="28"/>
          <w:szCs w:val="28"/>
        </w:rPr>
        <w:t>National Cancer Institute. (2006). </w:t>
      </w:r>
      <w:r w:rsidRPr="00C67CC9">
        <w:rPr>
          <w:rFonts w:ascii="Times New Roman" w:eastAsia="Times New Roman" w:hAnsi="Times New Roman" w:cs="Times New Roman"/>
          <w:i/>
          <w:iCs/>
          <w:sz w:val="28"/>
          <w:szCs w:val="28"/>
        </w:rPr>
        <w:t>Oral contraceptives and cancer risk: Questions and answers</w:t>
      </w:r>
      <w:r w:rsidRPr="00C67CC9">
        <w:rPr>
          <w:rFonts w:ascii="Times New Roman" w:eastAsia="Times New Roman" w:hAnsi="Times New Roman" w:cs="Times New Roman"/>
          <w:sz w:val="28"/>
          <w:szCs w:val="28"/>
        </w:rPr>
        <w:t xml:space="preserve">. Retrieved December 22, 2011, </w:t>
      </w:r>
    </w:p>
    <w:p w:rsidR="00591BDA" w:rsidRPr="00C67CC9" w:rsidRDefault="00591BDA" w:rsidP="00BB6B0E">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bookmarkStart w:id="6" w:name="f7"/>
      <w:bookmarkEnd w:id="6"/>
      <w:proofErr w:type="spellStart"/>
      <w:r w:rsidRPr="00C67CC9">
        <w:rPr>
          <w:rFonts w:ascii="Times New Roman" w:eastAsia="Times New Roman" w:hAnsi="Times New Roman" w:cs="Times New Roman"/>
          <w:sz w:val="28"/>
          <w:szCs w:val="28"/>
        </w:rPr>
        <w:t>Goodarzi</w:t>
      </w:r>
      <w:proofErr w:type="spellEnd"/>
      <w:r w:rsidRPr="00C67CC9">
        <w:rPr>
          <w:rFonts w:ascii="Times New Roman" w:eastAsia="Times New Roman" w:hAnsi="Times New Roman" w:cs="Times New Roman"/>
          <w:sz w:val="28"/>
          <w:szCs w:val="28"/>
        </w:rPr>
        <w:t xml:space="preserve">, M. O., </w:t>
      </w:r>
      <w:proofErr w:type="spellStart"/>
      <w:r w:rsidRPr="00C67CC9">
        <w:rPr>
          <w:rFonts w:ascii="Times New Roman" w:eastAsia="Times New Roman" w:hAnsi="Times New Roman" w:cs="Times New Roman"/>
          <w:sz w:val="28"/>
          <w:szCs w:val="28"/>
        </w:rPr>
        <w:t>Dumesic</w:t>
      </w:r>
      <w:proofErr w:type="spellEnd"/>
      <w:r w:rsidRPr="00C67CC9">
        <w:rPr>
          <w:rFonts w:ascii="Times New Roman" w:eastAsia="Times New Roman" w:hAnsi="Times New Roman" w:cs="Times New Roman"/>
          <w:sz w:val="28"/>
          <w:szCs w:val="28"/>
        </w:rPr>
        <w:t xml:space="preserve">, D. A., </w:t>
      </w:r>
      <w:proofErr w:type="spellStart"/>
      <w:r w:rsidRPr="00C67CC9">
        <w:rPr>
          <w:rFonts w:ascii="Times New Roman" w:eastAsia="Times New Roman" w:hAnsi="Times New Roman" w:cs="Times New Roman"/>
          <w:sz w:val="28"/>
          <w:szCs w:val="28"/>
        </w:rPr>
        <w:t>Chazenbalk</w:t>
      </w:r>
      <w:proofErr w:type="spellEnd"/>
      <w:r w:rsidRPr="00C67CC9">
        <w:rPr>
          <w:rFonts w:ascii="Times New Roman" w:eastAsia="Times New Roman" w:hAnsi="Times New Roman" w:cs="Times New Roman"/>
          <w:sz w:val="28"/>
          <w:szCs w:val="28"/>
        </w:rPr>
        <w:t xml:space="preserve">, G., &amp; </w:t>
      </w:r>
      <w:proofErr w:type="spellStart"/>
      <w:r w:rsidRPr="00C67CC9">
        <w:rPr>
          <w:rFonts w:ascii="Times New Roman" w:eastAsia="Times New Roman" w:hAnsi="Times New Roman" w:cs="Times New Roman"/>
          <w:sz w:val="28"/>
          <w:szCs w:val="28"/>
        </w:rPr>
        <w:t>Azziz</w:t>
      </w:r>
      <w:proofErr w:type="spellEnd"/>
      <w:r w:rsidRPr="00C67CC9">
        <w:rPr>
          <w:rFonts w:ascii="Times New Roman" w:eastAsia="Times New Roman" w:hAnsi="Times New Roman" w:cs="Times New Roman"/>
          <w:sz w:val="28"/>
          <w:szCs w:val="28"/>
        </w:rPr>
        <w:t>, R. (2011). Polycystic ovary syndrome: Etiology, pathogenesis and diagnosis. </w:t>
      </w:r>
      <w:r w:rsidRPr="00C67CC9">
        <w:rPr>
          <w:rFonts w:ascii="Times New Roman" w:eastAsia="Times New Roman" w:hAnsi="Times New Roman" w:cs="Times New Roman"/>
          <w:i/>
          <w:iCs/>
          <w:sz w:val="28"/>
          <w:szCs w:val="28"/>
        </w:rPr>
        <w:t>Nature Reviews Endocrinology</w:t>
      </w:r>
      <w:r w:rsidRPr="00C67CC9">
        <w:rPr>
          <w:rFonts w:ascii="Times New Roman" w:eastAsia="Times New Roman" w:hAnsi="Times New Roman" w:cs="Times New Roman"/>
          <w:sz w:val="28"/>
          <w:szCs w:val="28"/>
        </w:rPr>
        <w:t xml:space="preserve">, 7, 219–231. </w:t>
      </w:r>
    </w:p>
    <w:p w:rsidR="00591BDA" w:rsidRPr="00C67CC9" w:rsidRDefault="00591BDA" w:rsidP="00BB6B0E">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bookmarkStart w:id="7" w:name="f8"/>
      <w:bookmarkEnd w:id="7"/>
      <w:r w:rsidRPr="00C67CC9">
        <w:rPr>
          <w:rFonts w:ascii="Times New Roman" w:eastAsia="Times New Roman" w:hAnsi="Times New Roman" w:cs="Times New Roman"/>
          <w:sz w:val="28"/>
          <w:szCs w:val="28"/>
        </w:rPr>
        <w:t xml:space="preserve">Johnson, N. (2011). Metformin is a reasonable first-line treatment option for non-obese women with infertility related to </w:t>
      </w:r>
      <w:proofErr w:type="spellStart"/>
      <w:r w:rsidRPr="00C67CC9">
        <w:rPr>
          <w:rFonts w:ascii="Times New Roman" w:eastAsia="Times New Roman" w:hAnsi="Times New Roman" w:cs="Times New Roman"/>
          <w:sz w:val="28"/>
          <w:szCs w:val="28"/>
        </w:rPr>
        <w:t>anovulatory</w:t>
      </w:r>
      <w:proofErr w:type="spellEnd"/>
      <w:r w:rsidRPr="00C67CC9">
        <w:rPr>
          <w:rFonts w:ascii="Times New Roman" w:eastAsia="Times New Roman" w:hAnsi="Times New Roman" w:cs="Times New Roman"/>
          <w:sz w:val="28"/>
          <w:szCs w:val="28"/>
        </w:rPr>
        <w:t xml:space="preserve"> polycystic ovary syndrome—A meta-analysis of </w:t>
      </w:r>
      <w:proofErr w:type="spellStart"/>
      <w:r w:rsidRPr="00C67CC9">
        <w:rPr>
          <w:rFonts w:ascii="Times New Roman" w:eastAsia="Times New Roman" w:hAnsi="Times New Roman" w:cs="Times New Roman"/>
          <w:sz w:val="28"/>
          <w:szCs w:val="28"/>
        </w:rPr>
        <w:t>randomised</w:t>
      </w:r>
      <w:proofErr w:type="spellEnd"/>
      <w:r w:rsidRPr="00C67CC9">
        <w:rPr>
          <w:rFonts w:ascii="Times New Roman" w:eastAsia="Times New Roman" w:hAnsi="Times New Roman" w:cs="Times New Roman"/>
          <w:sz w:val="28"/>
          <w:szCs w:val="28"/>
        </w:rPr>
        <w:t xml:space="preserve"> trials. </w:t>
      </w:r>
      <w:r w:rsidRPr="00C67CC9">
        <w:rPr>
          <w:rFonts w:ascii="Times New Roman" w:eastAsia="Times New Roman" w:hAnsi="Times New Roman" w:cs="Times New Roman"/>
          <w:i/>
          <w:iCs/>
          <w:sz w:val="28"/>
          <w:szCs w:val="28"/>
        </w:rPr>
        <w:t xml:space="preserve">Australian and New Zealand Journal of Obstetrics &amp; </w:t>
      </w:r>
      <w:proofErr w:type="spellStart"/>
      <w:r w:rsidRPr="00C67CC9">
        <w:rPr>
          <w:rFonts w:ascii="Times New Roman" w:eastAsia="Times New Roman" w:hAnsi="Times New Roman" w:cs="Times New Roman"/>
          <w:i/>
          <w:iCs/>
          <w:sz w:val="28"/>
          <w:szCs w:val="28"/>
        </w:rPr>
        <w:t>Gynaecology</w:t>
      </w:r>
      <w:proofErr w:type="spellEnd"/>
      <w:r w:rsidRPr="00C67CC9">
        <w:rPr>
          <w:rFonts w:ascii="Times New Roman" w:eastAsia="Times New Roman" w:hAnsi="Times New Roman" w:cs="Times New Roman"/>
          <w:sz w:val="28"/>
          <w:szCs w:val="28"/>
        </w:rPr>
        <w:t xml:space="preserve">, 51, 125–129. </w:t>
      </w:r>
    </w:p>
    <w:p w:rsidR="00591BDA" w:rsidRPr="00C67CC9" w:rsidRDefault="00591BDA" w:rsidP="00BB6B0E">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bookmarkStart w:id="8" w:name="f9"/>
      <w:bookmarkEnd w:id="8"/>
      <w:proofErr w:type="spellStart"/>
      <w:r w:rsidRPr="00C67CC9">
        <w:rPr>
          <w:rFonts w:ascii="Times New Roman" w:eastAsia="Times New Roman" w:hAnsi="Times New Roman" w:cs="Times New Roman"/>
          <w:sz w:val="28"/>
          <w:szCs w:val="28"/>
        </w:rPr>
        <w:t>Vause</w:t>
      </w:r>
      <w:proofErr w:type="spellEnd"/>
      <w:r w:rsidRPr="00C67CC9">
        <w:rPr>
          <w:rFonts w:ascii="Times New Roman" w:eastAsia="Times New Roman" w:hAnsi="Times New Roman" w:cs="Times New Roman"/>
          <w:sz w:val="28"/>
          <w:szCs w:val="28"/>
        </w:rPr>
        <w:t xml:space="preserve">, T. D., Cheung, A. P., Sierra, S., </w:t>
      </w:r>
      <w:proofErr w:type="spellStart"/>
      <w:r w:rsidRPr="00C67CC9">
        <w:rPr>
          <w:rFonts w:ascii="Times New Roman" w:eastAsia="Times New Roman" w:hAnsi="Times New Roman" w:cs="Times New Roman"/>
          <w:sz w:val="28"/>
          <w:szCs w:val="28"/>
        </w:rPr>
        <w:t>Claman</w:t>
      </w:r>
      <w:proofErr w:type="spellEnd"/>
      <w:r w:rsidRPr="00C67CC9">
        <w:rPr>
          <w:rFonts w:ascii="Times New Roman" w:eastAsia="Times New Roman" w:hAnsi="Times New Roman" w:cs="Times New Roman"/>
          <w:sz w:val="28"/>
          <w:szCs w:val="28"/>
        </w:rPr>
        <w:t>, P., Graham, J., Guillemin, J. A., et al.; Society of Obstetricians and Gynecologists of Canada (2010). Ovulation induction in polycystic ovary syndrome. </w:t>
      </w:r>
      <w:r w:rsidRPr="00C67CC9">
        <w:rPr>
          <w:rFonts w:ascii="Times New Roman" w:eastAsia="Times New Roman" w:hAnsi="Times New Roman" w:cs="Times New Roman"/>
          <w:i/>
          <w:iCs/>
          <w:sz w:val="28"/>
          <w:szCs w:val="28"/>
        </w:rPr>
        <w:t xml:space="preserve">Journal of Obstetrics and </w:t>
      </w:r>
      <w:proofErr w:type="spellStart"/>
      <w:r w:rsidRPr="00C67CC9">
        <w:rPr>
          <w:rFonts w:ascii="Times New Roman" w:eastAsia="Times New Roman" w:hAnsi="Times New Roman" w:cs="Times New Roman"/>
          <w:i/>
          <w:iCs/>
          <w:sz w:val="28"/>
          <w:szCs w:val="28"/>
        </w:rPr>
        <w:t>Gynaecology</w:t>
      </w:r>
      <w:proofErr w:type="spellEnd"/>
      <w:r w:rsidRPr="00C67CC9">
        <w:rPr>
          <w:rFonts w:ascii="Times New Roman" w:eastAsia="Times New Roman" w:hAnsi="Times New Roman" w:cs="Times New Roman"/>
          <w:i/>
          <w:iCs/>
          <w:sz w:val="28"/>
          <w:szCs w:val="28"/>
        </w:rPr>
        <w:t xml:space="preserve"> Canada</w:t>
      </w:r>
      <w:r w:rsidRPr="00C67CC9">
        <w:rPr>
          <w:rFonts w:ascii="Times New Roman" w:eastAsia="Times New Roman" w:hAnsi="Times New Roman" w:cs="Times New Roman"/>
          <w:sz w:val="28"/>
          <w:szCs w:val="28"/>
        </w:rPr>
        <w:t xml:space="preserve">, 32, 495–502.  </w:t>
      </w:r>
    </w:p>
    <w:p w:rsidR="00591BDA" w:rsidRPr="00C67CC9" w:rsidRDefault="00591BDA" w:rsidP="00BB6B0E">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bookmarkStart w:id="9" w:name="f10"/>
      <w:bookmarkEnd w:id="9"/>
      <w:r w:rsidRPr="00C67CC9">
        <w:rPr>
          <w:rFonts w:ascii="Times New Roman" w:eastAsia="Times New Roman" w:hAnsi="Times New Roman" w:cs="Times New Roman"/>
          <w:sz w:val="28"/>
          <w:szCs w:val="28"/>
        </w:rPr>
        <w:t>U.S. Food and Drug Administration (FDA). (2000). </w:t>
      </w:r>
      <w:r w:rsidRPr="00C67CC9">
        <w:rPr>
          <w:rFonts w:ascii="Times New Roman" w:eastAsia="Times New Roman" w:hAnsi="Times New Roman" w:cs="Times New Roman"/>
          <w:i/>
          <w:iCs/>
          <w:sz w:val="28"/>
          <w:szCs w:val="28"/>
        </w:rPr>
        <w:t>VANIQATM (</w:t>
      </w:r>
      <w:proofErr w:type="spellStart"/>
      <w:r w:rsidRPr="00C67CC9">
        <w:rPr>
          <w:rFonts w:ascii="Times New Roman" w:eastAsia="Times New Roman" w:hAnsi="Times New Roman" w:cs="Times New Roman"/>
          <w:i/>
          <w:iCs/>
          <w:sz w:val="28"/>
          <w:szCs w:val="28"/>
        </w:rPr>
        <w:t>eflornithine</w:t>
      </w:r>
      <w:proofErr w:type="spellEnd"/>
      <w:r w:rsidRPr="00C67CC9">
        <w:rPr>
          <w:rFonts w:ascii="Times New Roman" w:eastAsia="Times New Roman" w:hAnsi="Times New Roman" w:cs="Times New Roman"/>
          <w:i/>
          <w:iCs/>
          <w:sz w:val="28"/>
          <w:szCs w:val="28"/>
        </w:rPr>
        <w:t xml:space="preserve"> hydrochloride) cream, 13.9%</w:t>
      </w:r>
      <w:r w:rsidRPr="00C67CC9">
        <w:rPr>
          <w:rFonts w:ascii="Times New Roman" w:eastAsia="Times New Roman" w:hAnsi="Times New Roman" w:cs="Times New Roman"/>
          <w:sz w:val="28"/>
          <w:szCs w:val="28"/>
        </w:rPr>
        <w:t>. Retrieved December 22, 2011</w:t>
      </w:r>
      <w:bookmarkStart w:id="10" w:name="f11"/>
      <w:bookmarkEnd w:id="10"/>
    </w:p>
    <w:p w:rsidR="00591BDA" w:rsidRPr="00C67CC9" w:rsidRDefault="00591BDA" w:rsidP="00BB6B0E">
      <w:pPr>
        <w:numPr>
          <w:ilvl w:val="0"/>
          <w:numId w:val="24"/>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C67CC9">
        <w:rPr>
          <w:rFonts w:ascii="Times New Roman" w:eastAsia="Times New Roman" w:hAnsi="Times New Roman" w:cs="Times New Roman"/>
          <w:sz w:val="28"/>
          <w:szCs w:val="28"/>
        </w:rPr>
        <w:t xml:space="preserve">He, D., &amp; Jiang, F. (2011). Meta-analysis of </w:t>
      </w:r>
      <w:proofErr w:type="spellStart"/>
      <w:r w:rsidRPr="00C67CC9">
        <w:rPr>
          <w:rFonts w:ascii="Times New Roman" w:eastAsia="Times New Roman" w:hAnsi="Times New Roman" w:cs="Times New Roman"/>
          <w:sz w:val="28"/>
          <w:szCs w:val="28"/>
        </w:rPr>
        <w:t>letrozole</w:t>
      </w:r>
      <w:proofErr w:type="spellEnd"/>
      <w:r w:rsidRPr="00C67CC9">
        <w:rPr>
          <w:rFonts w:ascii="Times New Roman" w:eastAsia="Times New Roman" w:hAnsi="Times New Roman" w:cs="Times New Roman"/>
          <w:sz w:val="28"/>
          <w:szCs w:val="28"/>
        </w:rPr>
        <w:t xml:space="preserve"> versus clomiphene citrate in polycystic ovary syndrome. </w:t>
      </w:r>
      <w:r w:rsidRPr="00C67CC9">
        <w:rPr>
          <w:rFonts w:ascii="Times New Roman" w:eastAsia="Times New Roman" w:hAnsi="Times New Roman" w:cs="Times New Roman"/>
          <w:i/>
          <w:iCs/>
          <w:sz w:val="28"/>
          <w:szCs w:val="28"/>
        </w:rPr>
        <w:t>Reproductive Biomedicine Online</w:t>
      </w:r>
      <w:r w:rsidRPr="00C67CC9">
        <w:rPr>
          <w:rFonts w:ascii="Times New Roman" w:eastAsia="Times New Roman" w:hAnsi="Times New Roman" w:cs="Times New Roman"/>
          <w:sz w:val="28"/>
          <w:szCs w:val="28"/>
        </w:rPr>
        <w:t>, 23, 91–96.</w:t>
      </w:r>
    </w:p>
    <w:p w:rsidR="00591BDA" w:rsidRPr="00B34548" w:rsidRDefault="00591BDA" w:rsidP="00BB6B0E">
      <w:pPr>
        <w:pStyle w:val="ListParagraph"/>
        <w:numPr>
          <w:ilvl w:val="0"/>
          <w:numId w:val="24"/>
        </w:numPr>
        <w:spacing w:line="360" w:lineRule="auto"/>
        <w:jc w:val="both"/>
        <w:rPr>
          <w:sz w:val="28"/>
          <w:szCs w:val="28"/>
        </w:rPr>
      </w:pPr>
      <w:bookmarkStart w:id="11" w:name="f12"/>
      <w:bookmarkEnd w:id="11"/>
      <w:r w:rsidRPr="00E34F14">
        <w:rPr>
          <w:sz w:val="28"/>
          <w:szCs w:val="28"/>
        </w:rPr>
        <w:t>FDA. (2010). </w:t>
      </w:r>
      <w:proofErr w:type="spellStart"/>
      <w:r w:rsidRPr="00E34F14">
        <w:rPr>
          <w:i/>
          <w:iCs/>
          <w:sz w:val="28"/>
          <w:szCs w:val="28"/>
        </w:rPr>
        <w:t>Femara</w:t>
      </w:r>
      <w:proofErr w:type="spellEnd"/>
      <w:r w:rsidRPr="00E34F14">
        <w:rPr>
          <w:i/>
          <w:iCs/>
          <w:sz w:val="28"/>
          <w:szCs w:val="28"/>
        </w:rPr>
        <w:t xml:space="preserve"> (</w:t>
      </w:r>
      <w:proofErr w:type="spellStart"/>
      <w:r w:rsidRPr="00E34F14">
        <w:rPr>
          <w:i/>
          <w:iCs/>
          <w:sz w:val="28"/>
          <w:szCs w:val="28"/>
        </w:rPr>
        <w:t>letrozole</w:t>
      </w:r>
      <w:proofErr w:type="spellEnd"/>
      <w:r w:rsidRPr="00E34F14">
        <w:rPr>
          <w:i/>
          <w:iCs/>
          <w:sz w:val="28"/>
          <w:szCs w:val="28"/>
        </w:rPr>
        <w:t>) tablets: Highlights of prescribing information</w:t>
      </w:r>
      <w:r w:rsidRPr="00E34F14">
        <w:rPr>
          <w:sz w:val="28"/>
          <w:szCs w:val="28"/>
        </w:rPr>
        <w:t>. Retrieved</w:t>
      </w:r>
      <w:r w:rsidRPr="00B34548">
        <w:rPr>
          <w:sz w:val="28"/>
          <w:szCs w:val="28"/>
        </w:rPr>
        <w:t xml:space="preserve"> </w:t>
      </w:r>
      <w:r w:rsidRPr="00E34F14">
        <w:rPr>
          <w:sz w:val="28"/>
          <w:szCs w:val="28"/>
        </w:rPr>
        <w:t>December</w:t>
      </w:r>
      <w:r w:rsidRPr="00B34548">
        <w:rPr>
          <w:sz w:val="28"/>
          <w:szCs w:val="28"/>
        </w:rPr>
        <w:t xml:space="preserve"> 22, 2011, </w:t>
      </w:r>
    </w:p>
    <w:p w:rsidR="00591BDA" w:rsidRPr="003E562D" w:rsidRDefault="00E34F14" w:rsidP="00BB6B0E">
      <w:pPr>
        <w:pStyle w:val="ListParagraph"/>
        <w:numPr>
          <w:ilvl w:val="0"/>
          <w:numId w:val="24"/>
        </w:numPr>
        <w:spacing w:line="360" w:lineRule="auto"/>
        <w:jc w:val="both"/>
        <w:rPr>
          <w:sz w:val="28"/>
          <w:szCs w:val="28"/>
        </w:rPr>
      </w:pPr>
      <w:proofErr w:type="spellStart"/>
      <w:r w:rsidRPr="00E34F14">
        <w:rPr>
          <w:sz w:val="28"/>
          <w:szCs w:val="28"/>
        </w:rPr>
        <w:t>Bielah</w:t>
      </w:r>
      <w:proofErr w:type="spellEnd"/>
      <w:r w:rsidRPr="00E34F14">
        <w:rPr>
          <w:sz w:val="28"/>
          <w:szCs w:val="28"/>
        </w:rPr>
        <w:t xml:space="preserve"> К. M. Amenorrhea/ </w:t>
      </w:r>
      <w:proofErr w:type="spellStart"/>
      <w:r w:rsidRPr="00E34F14">
        <w:rPr>
          <w:sz w:val="28"/>
          <w:szCs w:val="28"/>
        </w:rPr>
        <w:t>K.M.Bielak</w:t>
      </w:r>
      <w:proofErr w:type="spellEnd"/>
      <w:r w:rsidRPr="00E34F14">
        <w:rPr>
          <w:sz w:val="28"/>
          <w:szCs w:val="28"/>
        </w:rPr>
        <w:t xml:space="preserve"> И Medicine Journal. 2001. Vol. 2</w:t>
      </w:r>
      <w:proofErr w:type="gramStart"/>
      <w:r w:rsidRPr="00E34F14">
        <w:rPr>
          <w:sz w:val="28"/>
          <w:szCs w:val="28"/>
        </w:rPr>
        <w:t>.-</w:t>
      </w:r>
      <w:proofErr w:type="gramEnd"/>
      <w:r w:rsidRPr="00E34F14">
        <w:rPr>
          <w:sz w:val="28"/>
          <w:szCs w:val="28"/>
        </w:rPr>
        <w:t xml:space="preserve"> P. 125-132.</w:t>
      </w:r>
    </w:p>
    <w:p w:rsidR="00591BDA" w:rsidRPr="00E7002F" w:rsidRDefault="00591BDA" w:rsidP="00BB6B0E">
      <w:pPr>
        <w:pStyle w:val="ListParagraph"/>
        <w:numPr>
          <w:ilvl w:val="0"/>
          <w:numId w:val="24"/>
        </w:numPr>
        <w:spacing w:line="360" w:lineRule="auto"/>
        <w:jc w:val="both"/>
        <w:rPr>
          <w:sz w:val="28"/>
          <w:szCs w:val="28"/>
        </w:rPr>
      </w:pPr>
      <w:r w:rsidRPr="00E7002F">
        <w:rPr>
          <w:sz w:val="28"/>
          <w:szCs w:val="28"/>
        </w:rPr>
        <w:t xml:space="preserve"> August 2002, Washington, DC. / ZT </w:t>
      </w:r>
      <w:proofErr w:type="spellStart"/>
      <w:r w:rsidRPr="00E7002F">
        <w:rPr>
          <w:sz w:val="28"/>
          <w:szCs w:val="28"/>
        </w:rPr>
        <w:t>Bloomgarden</w:t>
      </w:r>
      <w:proofErr w:type="spellEnd"/>
      <w:r w:rsidRPr="00E7002F">
        <w:rPr>
          <w:sz w:val="28"/>
          <w:szCs w:val="28"/>
        </w:rPr>
        <w:t xml:space="preserve"> II Diabetes Care.</w:t>
      </w:r>
    </w:p>
    <w:p w:rsidR="00591BDA" w:rsidRPr="00E7002F" w:rsidRDefault="00591BDA" w:rsidP="00BB6B0E">
      <w:pPr>
        <w:pStyle w:val="ListParagraph"/>
        <w:numPr>
          <w:ilvl w:val="0"/>
          <w:numId w:val="24"/>
        </w:numPr>
        <w:spacing w:line="360" w:lineRule="auto"/>
        <w:jc w:val="both"/>
        <w:rPr>
          <w:sz w:val="28"/>
          <w:szCs w:val="28"/>
        </w:rPr>
      </w:pPr>
      <w:r w:rsidRPr="00E7002F">
        <w:rPr>
          <w:sz w:val="28"/>
          <w:szCs w:val="28"/>
        </w:rPr>
        <w:lastRenderedPageBreak/>
        <w:t>Central Adiposity Determines Prevalence Differences of the Metabolic Syndrome. / C. Lorenzo, M. Serrano-Rios, M. T. Martinez-</w:t>
      </w:r>
      <w:proofErr w:type="spellStart"/>
      <w:r w:rsidRPr="00E7002F">
        <w:rPr>
          <w:sz w:val="28"/>
          <w:szCs w:val="28"/>
        </w:rPr>
        <w:t>Larrad</w:t>
      </w:r>
      <w:proofErr w:type="spellEnd"/>
      <w:r w:rsidRPr="00E7002F">
        <w:rPr>
          <w:sz w:val="28"/>
          <w:szCs w:val="28"/>
        </w:rPr>
        <w:t xml:space="preserve"> </w:t>
      </w:r>
      <w:proofErr w:type="gramStart"/>
      <w:r w:rsidRPr="00E7002F">
        <w:rPr>
          <w:sz w:val="28"/>
          <w:szCs w:val="28"/>
        </w:rPr>
        <w:t>et</w:t>
      </w:r>
      <w:proofErr w:type="gramEnd"/>
      <w:r w:rsidRPr="00E7002F">
        <w:rPr>
          <w:sz w:val="28"/>
          <w:szCs w:val="28"/>
        </w:rPr>
        <w:t xml:space="preserve"> </w:t>
      </w:r>
      <w:proofErr w:type="spellStart"/>
      <w:r w:rsidRPr="00E7002F">
        <w:rPr>
          <w:sz w:val="28"/>
          <w:szCs w:val="28"/>
        </w:rPr>
        <w:t>al.ll</w:t>
      </w:r>
      <w:proofErr w:type="spellEnd"/>
      <w:r w:rsidRPr="00E7002F">
        <w:rPr>
          <w:sz w:val="28"/>
          <w:szCs w:val="28"/>
        </w:rPr>
        <w:t xml:space="preserve"> </w:t>
      </w:r>
      <w:proofErr w:type="spellStart"/>
      <w:r w:rsidRPr="00E7002F">
        <w:rPr>
          <w:sz w:val="28"/>
          <w:szCs w:val="28"/>
        </w:rPr>
        <w:t>Obes</w:t>
      </w:r>
      <w:proofErr w:type="spellEnd"/>
      <w:r w:rsidRPr="00E7002F">
        <w:rPr>
          <w:sz w:val="28"/>
          <w:szCs w:val="28"/>
        </w:rPr>
        <w:t>. Res.-2003.-Vol. 11.-N.12.-P. 1480-1487.</w:t>
      </w:r>
    </w:p>
    <w:p w:rsidR="00591BDA" w:rsidRPr="00E7002F" w:rsidRDefault="00591BDA" w:rsidP="00BB6B0E">
      <w:pPr>
        <w:pStyle w:val="ListParagraph"/>
        <w:numPr>
          <w:ilvl w:val="0"/>
          <w:numId w:val="24"/>
        </w:numPr>
        <w:spacing w:line="360" w:lineRule="auto"/>
        <w:jc w:val="both"/>
        <w:rPr>
          <w:sz w:val="28"/>
          <w:szCs w:val="28"/>
          <w:lang w:val="ru-RU"/>
        </w:rPr>
      </w:pPr>
      <w:r w:rsidRPr="00E7002F">
        <w:rPr>
          <w:sz w:val="28"/>
          <w:szCs w:val="28"/>
        </w:rPr>
        <w:t xml:space="preserve"> </w:t>
      </w:r>
      <w:proofErr w:type="spellStart"/>
      <w:r w:rsidRPr="00E7002F">
        <w:rPr>
          <w:sz w:val="28"/>
          <w:szCs w:val="28"/>
        </w:rPr>
        <w:t>Kidson</w:t>
      </w:r>
      <w:proofErr w:type="spellEnd"/>
      <w:r w:rsidRPr="00E7002F">
        <w:rPr>
          <w:sz w:val="28"/>
          <w:szCs w:val="28"/>
        </w:rPr>
        <w:t xml:space="preserve"> W. Polycystic ovary syndrome: a new direction in treatment/ </w:t>
      </w:r>
      <w:proofErr w:type="spellStart"/>
      <w:r w:rsidRPr="00E7002F">
        <w:rPr>
          <w:sz w:val="28"/>
          <w:szCs w:val="28"/>
        </w:rPr>
        <w:t>W.Kidson</w:t>
      </w:r>
      <w:proofErr w:type="spellEnd"/>
      <w:r w:rsidRPr="00E7002F">
        <w:rPr>
          <w:sz w:val="28"/>
          <w:szCs w:val="28"/>
        </w:rPr>
        <w:t xml:space="preserve"> IIMJA. </w:t>
      </w:r>
      <w:r w:rsidRPr="00E7002F">
        <w:rPr>
          <w:sz w:val="28"/>
          <w:szCs w:val="28"/>
          <w:lang w:val="ru-RU"/>
        </w:rPr>
        <w:t xml:space="preserve">2005. - </w:t>
      </w:r>
      <w:r w:rsidRPr="00E7002F">
        <w:rPr>
          <w:sz w:val="28"/>
          <w:szCs w:val="28"/>
        </w:rPr>
        <w:t>Vol</w:t>
      </w:r>
      <w:r w:rsidRPr="00E7002F">
        <w:rPr>
          <w:sz w:val="28"/>
          <w:szCs w:val="28"/>
          <w:lang w:val="ru-RU"/>
        </w:rPr>
        <w:t xml:space="preserve">. 169. - </w:t>
      </w:r>
      <w:r w:rsidRPr="00E7002F">
        <w:rPr>
          <w:sz w:val="28"/>
          <w:szCs w:val="28"/>
        </w:rPr>
        <w:t>P</w:t>
      </w:r>
      <w:r w:rsidRPr="00E7002F">
        <w:rPr>
          <w:sz w:val="28"/>
          <w:szCs w:val="28"/>
          <w:lang w:val="ru-RU"/>
        </w:rPr>
        <w:t>. 537-540.</w:t>
      </w:r>
    </w:p>
    <w:p w:rsidR="00BB6B0E" w:rsidRPr="00E7002F" w:rsidRDefault="00BB6B0E">
      <w:pPr>
        <w:pStyle w:val="ListParagraph"/>
        <w:numPr>
          <w:ilvl w:val="0"/>
          <w:numId w:val="24"/>
        </w:numPr>
        <w:spacing w:line="360" w:lineRule="auto"/>
        <w:jc w:val="both"/>
        <w:rPr>
          <w:sz w:val="28"/>
          <w:szCs w:val="28"/>
          <w:lang w:val="ru-RU"/>
        </w:rPr>
      </w:pPr>
    </w:p>
    <w:sectPr w:rsidR="00BB6B0E" w:rsidRPr="00E7002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826" w:rsidRDefault="00741826" w:rsidP="00786161">
      <w:pPr>
        <w:spacing w:after="0" w:line="240" w:lineRule="auto"/>
      </w:pPr>
      <w:r>
        <w:separator/>
      </w:r>
    </w:p>
  </w:endnote>
  <w:endnote w:type="continuationSeparator" w:id="0">
    <w:p w:rsidR="00741826" w:rsidRDefault="00741826" w:rsidP="0078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083445"/>
      <w:docPartObj>
        <w:docPartGallery w:val="Page Numbers (Bottom of Page)"/>
        <w:docPartUnique/>
      </w:docPartObj>
    </w:sdtPr>
    <w:sdtEndPr>
      <w:rPr>
        <w:noProof/>
      </w:rPr>
    </w:sdtEndPr>
    <w:sdtContent>
      <w:p w:rsidR="00AA490B" w:rsidRDefault="00AA490B">
        <w:pPr>
          <w:pStyle w:val="Footer"/>
        </w:pPr>
        <w:r>
          <w:fldChar w:fldCharType="begin"/>
        </w:r>
        <w:r>
          <w:instrText xml:space="preserve"> PAGE   \* MERGEFORMAT </w:instrText>
        </w:r>
        <w:r>
          <w:fldChar w:fldCharType="separate"/>
        </w:r>
        <w:r w:rsidR="00477AFE">
          <w:rPr>
            <w:noProof/>
          </w:rPr>
          <w:t>3</w:t>
        </w:r>
        <w:r>
          <w:rPr>
            <w:noProof/>
          </w:rPr>
          <w:fldChar w:fldCharType="end"/>
        </w:r>
      </w:p>
    </w:sdtContent>
  </w:sdt>
  <w:p w:rsidR="00AA490B" w:rsidRDefault="00AA4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826" w:rsidRDefault="00741826" w:rsidP="00786161">
      <w:pPr>
        <w:spacing w:after="0" w:line="240" w:lineRule="auto"/>
      </w:pPr>
      <w:r>
        <w:separator/>
      </w:r>
    </w:p>
  </w:footnote>
  <w:footnote w:type="continuationSeparator" w:id="0">
    <w:p w:rsidR="00741826" w:rsidRDefault="00741826" w:rsidP="00786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44A906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74304"/>
    <w:multiLevelType w:val="hybridMultilevel"/>
    <w:tmpl w:val="4E8A912A"/>
    <w:lvl w:ilvl="0" w:tplc="97A40BD4">
      <w:start w:val="1"/>
      <w:numFmt w:val="bullet"/>
      <w:lvlText w:val=""/>
      <w:lvlJc w:val="left"/>
      <w:pPr>
        <w:tabs>
          <w:tab w:val="num" w:pos="720"/>
        </w:tabs>
        <w:ind w:left="720" w:hanging="360"/>
      </w:pPr>
      <w:rPr>
        <w:rFonts w:ascii="Wingdings 3" w:hAnsi="Wingdings 3" w:hint="default"/>
      </w:rPr>
    </w:lvl>
    <w:lvl w:ilvl="1" w:tplc="2C542228" w:tentative="1">
      <w:start w:val="1"/>
      <w:numFmt w:val="bullet"/>
      <w:lvlText w:val=""/>
      <w:lvlJc w:val="left"/>
      <w:pPr>
        <w:tabs>
          <w:tab w:val="num" w:pos="1440"/>
        </w:tabs>
        <w:ind w:left="1440" w:hanging="360"/>
      </w:pPr>
      <w:rPr>
        <w:rFonts w:ascii="Wingdings 3" w:hAnsi="Wingdings 3" w:hint="default"/>
      </w:rPr>
    </w:lvl>
    <w:lvl w:ilvl="2" w:tplc="A1F00DBA" w:tentative="1">
      <w:start w:val="1"/>
      <w:numFmt w:val="bullet"/>
      <w:lvlText w:val=""/>
      <w:lvlJc w:val="left"/>
      <w:pPr>
        <w:tabs>
          <w:tab w:val="num" w:pos="2160"/>
        </w:tabs>
        <w:ind w:left="2160" w:hanging="360"/>
      </w:pPr>
      <w:rPr>
        <w:rFonts w:ascii="Wingdings 3" w:hAnsi="Wingdings 3" w:hint="default"/>
      </w:rPr>
    </w:lvl>
    <w:lvl w:ilvl="3" w:tplc="0D50FE36" w:tentative="1">
      <w:start w:val="1"/>
      <w:numFmt w:val="bullet"/>
      <w:lvlText w:val=""/>
      <w:lvlJc w:val="left"/>
      <w:pPr>
        <w:tabs>
          <w:tab w:val="num" w:pos="2880"/>
        </w:tabs>
        <w:ind w:left="2880" w:hanging="360"/>
      </w:pPr>
      <w:rPr>
        <w:rFonts w:ascii="Wingdings 3" w:hAnsi="Wingdings 3" w:hint="default"/>
      </w:rPr>
    </w:lvl>
    <w:lvl w:ilvl="4" w:tplc="F78C643E" w:tentative="1">
      <w:start w:val="1"/>
      <w:numFmt w:val="bullet"/>
      <w:lvlText w:val=""/>
      <w:lvlJc w:val="left"/>
      <w:pPr>
        <w:tabs>
          <w:tab w:val="num" w:pos="3600"/>
        </w:tabs>
        <w:ind w:left="3600" w:hanging="360"/>
      </w:pPr>
      <w:rPr>
        <w:rFonts w:ascii="Wingdings 3" w:hAnsi="Wingdings 3" w:hint="default"/>
      </w:rPr>
    </w:lvl>
    <w:lvl w:ilvl="5" w:tplc="2268479A" w:tentative="1">
      <w:start w:val="1"/>
      <w:numFmt w:val="bullet"/>
      <w:lvlText w:val=""/>
      <w:lvlJc w:val="left"/>
      <w:pPr>
        <w:tabs>
          <w:tab w:val="num" w:pos="4320"/>
        </w:tabs>
        <w:ind w:left="4320" w:hanging="360"/>
      </w:pPr>
      <w:rPr>
        <w:rFonts w:ascii="Wingdings 3" w:hAnsi="Wingdings 3" w:hint="default"/>
      </w:rPr>
    </w:lvl>
    <w:lvl w:ilvl="6" w:tplc="2F82FD9C" w:tentative="1">
      <w:start w:val="1"/>
      <w:numFmt w:val="bullet"/>
      <w:lvlText w:val=""/>
      <w:lvlJc w:val="left"/>
      <w:pPr>
        <w:tabs>
          <w:tab w:val="num" w:pos="5040"/>
        </w:tabs>
        <w:ind w:left="5040" w:hanging="360"/>
      </w:pPr>
      <w:rPr>
        <w:rFonts w:ascii="Wingdings 3" w:hAnsi="Wingdings 3" w:hint="default"/>
      </w:rPr>
    </w:lvl>
    <w:lvl w:ilvl="7" w:tplc="FCAABCCA" w:tentative="1">
      <w:start w:val="1"/>
      <w:numFmt w:val="bullet"/>
      <w:lvlText w:val=""/>
      <w:lvlJc w:val="left"/>
      <w:pPr>
        <w:tabs>
          <w:tab w:val="num" w:pos="5760"/>
        </w:tabs>
        <w:ind w:left="5760" w:hanging="360"/>
      </w:pPr>
      <w:rPr>
        <w:rFonts w:ascii="Wingdings 3" w:hAnsi="Wingdings 3" w:hint="default"/>
      </w:rPr>
    </w:lvl>
    <w:lvl w:ilvl="8" w:tplc="107E044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56A52EC"/>
    <w:multiLevelType w:val="hybridMultilevel"/>
    <w:tmpl w:val="841E0408"/>
    <w:lvl w:ilvl="0" w:tplc="9ED4A98A">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3E1B99"/>
    <w:multiLevelType w:val="hybridMultilevel"/>
    <w:tmpl w:val="DFF6A126"/>
    <w:lvl w:ilvl="0" w:tplc="B0CC2C48">
      <w:start w:val="1"/>
      <w:numFmt w:val="bullet"/>
      <w:lvlText w:val=""/>
      <w:lvlJc w:val="left"/>
      <w:pPr>
        <w:tabs>
          <w:tab w:val="num" w:pos="720"/>
        </w:tabs>
        <w:ind w:left="720" w:hanging="360"/>
      </w:pPr>
      <w:rPr>
        <w:rFonts w:ascii="Wingdings 3" w:hAnsi="Wingdings 3" w:hint="default"/>
      </w:rPr>
    </w:lvl>
    <w:lvl w:ilvl="1" w:tplc="43DA72F8" w:tentative="1">
      <w:start w:val="1"/>
      <w:numFmt w:val="bullet"/>
      <w:lvlText w:val=""/>
      <w:lvlJc w:val="left"/>
      <w:pPr>
        <w:tabs>
          <w:tab w:val="num" w:pos="1440"/>
        </w:tabs>
        <w:ind w:left="1440" w:hanging="360"/>
      </w:pPr>
      <w:rPr>
        <w:rFonts w:ascii="Wingdings 3" w:hAnsi="Wingdings 3" w:hint="default"/>
      </w:rPr>
    </w:lvl>
    <w:lvl w:ilvl="2" w:tplc="2BC47310" w:tentative="1">
      <w:start w:val="1"/>
      <w:numFmt w:val="bullet"/>
      <w:lvlText w:val=""/>
      <w:lvlJc w:val="left"/>
      <w:pPr>
        <w:tabs>
          <w:tab w:val="num" w:pos="2160"/>
        </w:tabs>
        <w:ind w:left="2160" w:hanging="360"/>
      </w:pPr>
      <w:rPr>
        <w:rFonts w:ascii="Wingdings 3" w:hAnsi="Wingdings 3" w:hint="default"/>
      </w:rPr>
    </w:lvl>
    <w:lvl w:ilvl="3" w:tplc="AF48FAC8" w:tentative="1">
      <w:start w:val="1"/>
      <w:numFmt w:val="bullet"/>
      <w:lvlText w:val=""/>
      <w:lvlJc w:val="left"/>
      <w:pPr>
        <w:tabs>
          <w:tab w:val="num" w:pos="2880"/>
        </w:tabs>
        <w:ind w:left="2880" w:hanging="360"/>
      </w:pPr>
      <w:rPr>
        <w:rFonts w:ascii="Wingdings 3" w:hAnsi="Wingdings 3" w:hint="default"/>
      </w:rPr>
    </w:lvl>
    <w:lvl w:ilvl="4" w:tplc="5B449F10" w:tentative="1">
      <w:start w:val="1"/>
      <w:numFmt w:val="bullet"/>
      <w:lvlText w:val=""/>
      <w:lvlJc w:val="left"/>
      <w:pPr>
        <w:tabs>
          <w:tab w:val="num" w:pos="3600"/>
        </w:tabs>
        <w:ind w:left="3600" w:hanging="360"/>
      </w:pPr>
      <w:rPr>
        <w:rFonts w:ascii="Wingdings 3" w:hAnsi="Wingdings 3" w:hint="default"/>
      </w:rPr>
    </w:lvl>
    <w:lvl w:ilvl="5" w:tplc="C10C7986" w:tentative="1">
      <w:start w:val="1"/>
      <w:numFmt w:val="bullet"/>
      <w:lvlText w:val=""/>
      <w:lvlJc w:val="left"/>
      <w:pPr>
        <w:tabs>
          <w:tab w:val="num" w:pos="4320"/>
        </w:tabs>
        <w:ind w:left="4320" w:hanging="360"/>
      </w:pPr>
      <w:rPr>
        <w:rFonts w:ascii="Wingdings 3" w:hAnsi="Wingdings 3" w:hint="default"/>
      </w:rPr>
    </w:lvl>
    <w:lvl w:ilvl="6" w:tplc="78245EFC" w:tentative="1">
      <w:start w:val="1"/>
      <w:numFmt w:val="bullet"/>
      <w:lvlText w:val=""/>
      <w:lvlJc w:val="left"/>
      <w:pPr>
        <w:tabs>
          <w:tab w:val="num" w:pos="5040"/>
        </w:tabs>
        <w:ind w:left="5040" w:hanging="360"/>
      </w:pPr>
      <w:rPr>
        <w:rFonts w:ascii="Wingdings 3" w:hAnsi="Wingdings 3" w:hint="default"/>
      </w:rPr>
    </w:lvl>
    <w:lvl w:ilvl="7" w:tplc="400A1A70" w:tentative="1">
      <w:start w:val="1"/>
      <w:numFmt w:val="bullet"/>
      <w:lvlText w:val=""/>
      <w:lvlJc w:val="left"/>
      <w:pPr>
        <w:tabs>
          <w:tab w:val="num" w:pos="5760"/>
        </w:tabs>
        <w:ind w:left="5760" w:hanging="360"/>
      </w:pPr>
      <w:rPr>
        <w:rFonts w:ascii="Wingdings 3" w:hAnsi="Wingdings 3" w:hint="default"/>
      </w:rPr>
    </w:lvl>
    <w:lvl w:ilvl="8" w:tplc="A5620CB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5AF04CF"/>
    <w:multiLevelType w:val="hybridMultilevel"/>
    <w:tmpl w:val="2F70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734F3"/>
    <w:multiLevelType w:val="hybridMultilevel"/>
    <w:tmpl w:val="C5F25126"/>
    <w:lvl w:ilvl="0" w:tplc="732CDEF4">
      <w:start w:val="38"/>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723DFD"/>
    <w:multiLevelType w:val="hybridMultilevel"/>
    <w:tmpl w:val="9EBC3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81577"/>
    <w:multiLevelType w:val="hybridMultilevel"/>
    <w:tmpl w:val="68E0AEE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9845E05"/>
    <w:multiLevelType w:val="hybridMultilevel"/>
    <w:tmpl w:val="9098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D57A3"/>
    <w:multiLevelType w:val="hybridMultilevel"/>
    <w:tmpl w:val="941A294A"/>
    <w:lvl w:ilvl="0" w:tplc="48BA7B88">
      <w:start w:val="1"/>
      <w:numFmt w:val="bullet"/>
      <w:lvlText w:val=""/>
      <w:lvlJc w:val="left"/>
      <w:pPr>
        <w:tabs>
          <w:tab w:val="num" w:pos="720"/>
        </w:tabs>
        <w:ind w:left="720" w:hanging="360"/>
      </w:pPr>
      <w:rPr>
        <w:rFonts w:ascii="Wingdings 3" w:hAnsi="Wingdings 3" w:hint="default"/>
      </w:rPr>
    </w:lvl>
    <w:lvl w:ilvl="1" w:tplc="ADFC1DC4" w:tentative="1">
      <w:start w:val="1"/>
      <w:numFmt w:val="bullet"/>
      <w:lvlText w:val=""/>
      <w:lvlJc w:val="left"/>
      <w:pPr>
        <w:tabs>
          <w:tab w:val="num" w:pos="1440"/>
        </w:tabs>
        <w:ind w:left="1440" w:hanging="360"/>
      </w:pPr>
      <w:rPr>
        <w:rFonts w:ascii="Wingdings 3" w:hAnsi="Wingdings 3" w:hint="default"/>
      </w:rPr>
    </w:lvl>
    <w:lvl w:ilvl="2" w:tplc="3A5064D4" w:tentative="1">
      <w:start w:val="1"/>
      <w:numFmt w:val="bullet"/>
      <w:lvlText w:val=""/>
      <w:lvlJc w:val="left"/>
      <w:pPr>
        <w:tabs>
          <w:tab w:val="num" w:pos="2160"/>
        </w:tabs>
        <w:ind w:left="2160" w:hanging="360"/>
      </w:pPr>
      <w:rPr>
        <w:rFonts w:ascii="Wingdings 3" w:hAnsi="Wingdings 3" w:hint="default"/>
      </w:rPr>
    </w:lvl>
    <w:lvl w:ilvl="3" w:tplc="ABBCB6BC" w:tentative="1">
      <w:start w:val="1"/>
      <w:numFmt w:val="bullet"/>
      <w:lvlText w:val=""/>
      <w:lvlJc w:val="left"/>
      <w:pPr>
        <w:tabs>
          <w:tab w:val="num" w:pos="2880"/>
        </w:tabs>
        <w:ind w:left="2880" w:hanging="360"/>
      </w:pPr>
      <w:rPr>
        <w:rFonts w:ascii="Wingdings 3" w:hAnsi="Wingdings 3" w:hint="default"/>
      </w:rPr>
    </w:lvl>
    <w:lvl w:ilvl="4" w:tplc="F296EB12" w:tentative="1">
      <w:start w:val="1"/>
      <w:numFmt w:val="bullet"/>
      <w:lvlText w:val=""/>
      <w:lvlJc w:val="left"/>
      <w:pPr>
        <w:tabs>
          <w:tab w:val="num" w:pos="3600"/>
        </w:tabs>
        <w:ind w:left="3600" w:hanging="360"/>
      </w:pPr>
      <w:rPr>
        <w:rFonts w:ascii="Wingdings 3" w:hAnsi="Wingdings 3" w:hint="default"/>
      </w:rPr>
    </w:lvl>
    <w:lvl w:ilvl="5" w:tplc="A03CB524" w:tentative="1">
      <w:start w:val="1"/>
      <w:numFmt w:val="bullet"/>
      <w:lvlText w:val=""/>
      <w:lvlJc w:val="left"/>
      <w:pPr>
        <w:tabs>
          <w:tab w:val="num" w:pos="4320"/>
        </w:tabs>
        <w:ind w:left="4320" w:hanging="360"/>
      </w:pPr>
      <w:rPr>
        <w:rFonts w:ascii="Wingdings 3" w:hAnsi="Wingdings 3" w:hint="default"/>
      </w:rPr>
    </w:lvl>
    <w:lvl w:ilvl="6" w:tplc="D9E274EC" w:tentative="1">
      <w:start w:val="1"/>
      <w:numFmt w:val="bullet"/>
      <w:lvlText w:val=""/>
      <w:lvlJc w:val="left"/>
      <w:pPr>
        <w:tabs>
          <w:tab w:val="num" w:pos="5040"/>
        </w:tabs>
        <w:ind w:left="5040" w:hanging="360"/>
      </w:pPr>
      <w:rPr>
        <w:rFonts w:ascii="Wingdings 3" w:hAnsi="Wingdings 3" w:hint="default"/>
      </w:rPr>
    </w:lvl>
    <w:lvl w:ilvl="7" w:tplc="1DE09306" w:tentative="1">
      <w:start w:val="1"/>
      <w:numFmt w:val="bullet"/>
      <w:lvlText w:val=""/>
      <w:lvlJc w:val="left"/>
      <w:pPr>
        <w:tabs>
          <w:tab w:val="num" w:pos="5760"/>
        </w:tabs>
        <w:ind w:left="5760" w:hanging="360"/>
      </w:pPr>
      <w:rPr>
        <w:rFonts w:ascii="Wingdings 3" w:hAnsi="Wingdings 3" w:hint="default"/>
      </w:rPr>
    </w:lvl>
    <w:lvl w:ilvl="8" w:tplc="B4743DB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61A484D"/>
    <w:multiLevelType w:val="hybridMultilevel"/>
    <w:tmpl w:val="30A823B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236ED0"/>
    <w:multiLevelType w:val="hybridMultilevel"/>
    <w:tmpl w:val="028E5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D10C9"/>
    <w:multiLevelType w:val="multilevel"/>
    <w:tmpl w:val="F7749E54"/>
    <w:lvl w:ilvl="0">
      <w:start w:val="1"/>
      <w:numFmt w:val="decimal"/>
      <w:lvlText w:val="%1."/>
      <w:lvlJc w:val="left"/>
      <w:pPr>
        <w:ind w:left="1713" w:hanging="360"/>
      </w:pPr>
    </w:lvl>
    <w:lvl w:ilvl="1">
      <w:start w:val="1"/>
      <w:numFmt w:val="decimal"/>
      <w:isLgl/>
      <w:lvlText w:val="%1.%2."/>
      <w:lvlJc w:val="left"/>
      <w:pPr>
        <w:ind w:left="207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3153"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13" w15:restartNumberingAfterBreak="0">
    <w:nsid w:val="3DAA64BD"/>
    <w:multiLevelType w:val="hybridMultilevel"/>
    <w:tmpl w:val="7B444394"/>
    <w:lvl w:ilvl="0" w:tplc="9ED4A98A">
      <w:start w:val="18"/>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EE46879"/>
    <w:multiLevelType w:val="hybridMultilevel"/>
    <w:tmpl w:val="72D245FE"/>
    <w:lvl w:ilvl="0" w:tplc="AC829BA4">
      <w:start w:val="1"/>
      <w:numFmt w:val="bullet"/>
      <w:lvlText w:val=""/>
      <w:lvlJc w:val="left"/>
      <w:pPr>
        <w:tabs>
          <w:tab w:val="num" w:pos="720"/>
        </w:tabs>
        <w:ind w:left="720" w:hanging="360"/>
      </w:pPr>
      <w:rPr>
        <w:rFonts w:ascii="Wingdings 3" w:hAnsi="Wingdings 3" w:hint="default"/>
      </w:rPr>
    </w:lvl>
    <w:lvl w:ilvl="1" w:tplc="88B4F0C6" w:tentative="1">
      <w:start w:val="1"/>
      <w:numFmt w:val="bullet"/>
      <w:lvlText w:val=""/>
      <w:lvlJc w:val="left"/>
      <w:pPr>
        <w:tabs>
          <w:tab w:val="num" w:pos="1440"/>
        </w:tabs>
        <w:ind w:left="1440" w:hanging="360"/>
      </w:pPr>
      <w:rPr>
        <w:rFonts w:ascii="Wingdings 3" w:hAnsi="Wingdings 3" w:hint="default"/>
      </w:rPr>
    </w:lvl>
    <w:lvl w:ilvl="2" w:tplc="9CB2C400" w:tentative="1">
      <w:start w:val="1"/>
      <w:numFmt w:val="bullet"/>
      <w:lvlText w:val=""/>
      <w:lvlJc w:val="left"/>
      <w:pPr>
        <w:tabs>
          <w:tab w:val="num" w:pos="2160"/>
        </w:tabs>
        <w:ind w:left="2160" w:hanging="360"/>
      </w:pPr>
      <w:rPr>
        <w:rFonts w:ascii="Wingdings 3" w:hAnsi="Wingdings 3" w:hint="default"/>
      </w:rPr>
    </w:lvl>
    <w:lvl w:ilvl="3" w:tplc="EE689E48" w:tentative="1">
      <w:start w:val="1"/>
      <w:numFmt w:val="bullet"/>
      <w:lvlText w:val=""/>
      <w:lvlJc w:val="left"/>
      <w:pPr>
        <w:tabs>
          <w:tab w:val="num" w:pos="2880"/>
        </w:tabs>
        <w:ind w:left="2880" w:hanging="360"/>
      </w:pPr>
      <w:rPr>
        <w:rFonts w:ascii="Wingdings 3" w:hAnsi="Wingdings 3" w:hint="default"/>
      </w:rPr>
    </w:lvl>
    <w:lvl w:ilvl="4" w:tplc="AD7E36FE" w:tentative="1">
      <w:start w:val="1"/>
      <w:numFmt w:val="bullet"/>
      <w:lvlText w:val=""/>
      <w:lvlJc w:val="left"/>
      <w:pPr>
        <w:tabs>
          <w:tab w:val="num" w:pos="3600"/>
        </w:tabs>
        <w:ind w:left="3600" w:hanging="360"/>
      </w:pPr>
      <w:rPr>
        <w:rFonts w:ascii="Wingdings 3" w:hAnsi="Wingdings 3" w:hint="default"/>
      </w:rPr>
    </w:lvl>
    <w:lvl w:ilvl="5" w:tplc="3D601C54" w:tentative="1">
      <w:start w:val="1"/>
      <w:numFmt w:val="bullet"/>
      <w:lvlText w:val=""/>
      <w:lvlJc w:val="left"/>
      <w:pPr>
        <w:tabs>
          <w:tab w:val="num" w:pos="4320"/>
        </w:tabs>
        <w:ind w:left="4320" w:hanging="360"/>
      </w:pPr>
      <w:rPr>
        <w:rFonts w:ascii="Wingdings 3" w:hAnsi="Wingdings 3" w:hint="default"/>
      </w:rPr>
    </w:lvl>
    <w:lvl w:ilvl="6" w:tplc="222C5B44" w:tentative="1">
      <w:start w:val="1"/>
      <w:numFmt w:val="bullet"/>
      <w:lvlText w:val=""/>
      <w:lvlJc w:val="left"/>
      <w:pPr>
        <w:tabs>
          <w:tab w:val="num" w:pos="5040"/>
        </w:tabs>
        <w:ind w:left="5040" w:hanging="360"/>
      </w:pPr>
      <w:rPr>
        <w:rFonts w:ascii="Wingdings 3" w:hAnsi="Wingdings 3" w:hint="default"/>
      </w:rPr>
    </w:lvl>
    <w:lvl w:ilvl="7" w:tplc="CD70EC7A" w:tentative="1">
      <w:start w:val="1"/>
      <w:numFmt w:val="bullet"/>
      <w:lvlText w:val=""/>
      <w:lvlJc w:val="left"/>
      <w:pPr>
        <w:tabs>
          <w:tab w:val="num" w:pos="5760"/>
        </w:tabs>
        <w:ind w:left="5760" w:hanging="360"/>
      </w:pPr>
      <w:rPr>
        <w:rFonts w:ascii="Wingdings 3" w:hAnsi="Wingdings 3" w:hint="default"/>
      </w:rPr>
    </w:lvl>
    <w:lvl w:ilvl="8" w:tplc="AD5E803C"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85E742A"/>
    <w:multiLevelType w:val="hybridMultilevel"/>
    <w:tmpl w:val="E9144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F1BB9"/>
    <w:multiLevelType w:val="hybridMultilevel"/>
    <w:tmpl w:val="A0101A38"/>
    <w:lvl w:ilvl="0" w:tplc="29D646B6">
      <w:start w:val="1"/>
      <w:numFmt w:val="bullet"/>
      <w:lvlText w:val=""/>
      <w:lvlJc w:val="left"/>
      <w:pPr>
        <w:tabs>
          <w:tab w:val="num" w:pos="720"/>
        </w:tabs>
        <w:ind w:left="720" w:hanging="360"/>
      </w:pPr>
      <w:rPr>
        <w:rFonts w:ascii="Wingdings 3" w:hAnsi="Wingdings 3" w:hint="default"/>
      </w:rPr>
    </w:lvl>
    <w:lvl w:ilvl="1" w:tplc="2A64C2F6" w:tentative="1">
      <w:start w:val="1"/>
      <w:numFmt w:val="bullet"/>
      <w:lvlText w:val=""/>
      <w:lvlJc w:val="left"/>
      <w:pPr>
        <w:tabs>
          <w:tab w:val="num" w:pos="1440"/>
        </w:tabs>
        <w:ind w:left="1440" w:hanging="360"/>
      </w:pPr>
      <w:rPr>
        <w:rFonts w:ascii="Wingdings 3" w:hAnsi="Wingdings 3" w:hint="default"/>
      </w:rPr>
    </w:lvl>
    <w:lvl w:ilvl="2" w:tplc="EEF243A4" w:tentative="1">
      <w:start w:val="1"/>
      <w:numFmt w:val="bullet"/>
      <w:lvlText w:val=""/>
      <w:lvlJc w:val="left"/>
      <w:pPr>
        <w:tabs>
          <w:tab w:val="num" w:pos="2160"/>
        </w:tabs>
        <w:ind w:left="2160" w:hanging="360"/>
      </w:pPr>
      <w:rPr>
        <w:rFonts w:ascii="Wingdings 3" w:hAnsi="Wingdings 3" w:hint="default"/>
      </w:rPr>
    </w:lvl>
    <w:lvl w:ilvl="3" w:tplc="6C7A0590" w:tentative="1">
      <w:start w:val="1"/>
      <w:numFmt w:val="bullet"/>
      <w:lvlText w:val=""/>
      <w:lvlJc w:val="left"/>
      <w:pPr>
        <w:tabs>
          <w:tab w:val="num" w:pos="2880"/>
        </w:tabs>
        <w:ind w:left="2880" w:hanging="360"/>
      </w:pPr>
      <w:rPr>
        <w:rFonts w:ascii="Wingdings 3" w:hAnsi="Wingdings 3" w:hint="default"/>
      </w:rPr>
    </w:lvl>
    <w:lvl w:ilvl="4" w:tplc="B3A66F78" w:tentative="1">
      <w:start w:val="1"/>
      <w:numFmt w:val="bullet"/>
      <w:lvlText w:val=""/>
      <w:lvlJc w:val="left"/>
      <w:pPr>
        <w:tabs>
          <w:tab w:val="num" w:pos="3600"/>
        </w:tabs>
        <w:ind w:left="3600" w:hanging="360"/>
      </w:pPr>
      <w:rPr>
        <w:rFonts w:ascii="Wingdings 3" w:hAnsi="Wingdings 3" w:hint="default"/>
      </w:rPr>
    </w:lvl>
    <w:lvl w:ilvl="5" w:tplc="A976B50C" w:tentative="1">
      <w:start w:val="1"/>
      <w:numFmt w:val="bullet"/>
      <w:lvlText w:val=""/>
      <w:lvlJc w:val="left"/>
      <w:pPr>
        <w:tabs>
          <w:tab w:val="num" w:pos="4320"/>
        </w:tabs>
        <w:ind w:left="4320" w:hanging="360"/>
      </w:pPr>
      <w:rPr>
        <w:rFonts w:ascii="Wingdings 3" w:hAnsi="Wingdings 3" w:hint="default"/>
      </w:rPr>
    </w:lvl>
    <w:lvl w:ilvl="6" w:tplc="0074E4E0" w:tentative="1">
      <w:start w:val="1"/>
      <w:numFmt w:val="bullet"/>
      <w:lvlText w:val=""/>
      <w:lvlJc w:val="left"/>
      <w:pPr>
        <w:tabs>
          <w:tab w:val="num" w:pos="5040"/>
        </w:tabs>
        <w:ind w:left="5040" w:hanging="360"/>
      </w:pPr>
      <w:rPr>
        <w:rFonts w:ascii="Wingdings 3" w:hAnsi="Wingdings 3" w:hint="default"/>
      </w:rPr>
    </w:lvl>
    <w:lvl w:ilvl="7" w:tplc="E1EE230A" w:tentative="1">
      <w:start w:val="1"/>
      <w:numFmt w:val="bullet"/>
      <w:lvlText w:val=""/>
      <w:lvlJc w:val="left"/>
      <w:pPr>
        <w:tabs>
          <w:tab w:val="num" w:pos="5760"/>
        </w:tabs>
        <w:ind w:left="5760" w:hanging="360"/>
      </w:pPr>
      <w:rPr>
        <w:rFonts w:ascii="Wingdings 3" w:hAnsi="Wingdings 3" w:hint="default"/>
      </w:rPr>
    </w:lvl>
    <w:lvl w:ilvl="8" w:tplc="811CA710"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73D7590"/>
    <w:multiLevelType w:val="hybridMultilevel"/>
    <w:tmpl w:val="B5E0D334"/>
    <w:lvl w:ilvl="0" w:tplc="0CB00B30">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F809AE"/>
    <w:multiLevelType w:val="hybridMultilevel"/>
    <w:tmpl w:val="88F6B904"/>
    <w:lvl w:ilvl="0" w:tplc="9ED4A98A">
      <w:start w:val="18"/>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9B5829"/>
    <w:multiLevelType w:val="hybridMultilevel"/>
    <w:tmpl w:val="C5083F3E"/>
    <w:lvl w:ilvl="0" w:tplc="795E6F86">
      <w:start w:val="1"/>
      <w:numFmt w:val="bullet"/>
      <w:lvlText w:val=""/>
      <w:lvlJc w:val="left"/>
      <w:pPr>
        <w:tabs>
          <w:tab w:val="num" w:pos="720"/>
        </w:tabs>
        <w:ind w:left="720" w:hanging="360"/>
      </w:pPr>
      <w:rPr>
        <w:rFonts w:ascii="Wingdings 3" w:hAnsi="Wingdings 3" w:hint="default"/>
      </w:rPr>
    </w:lvl>
    <w:lvl w:ilvl="1" w:tplc="EAA20A18" w:tentative="1">
      <w:start w:val="1"/>
      <w:numFmt w:val="bullet"/>
      <w:lvlText w:val=""/>
      <w:lvlJc w:val="left"/>
      <w:pPr>
        <w:tabs>
          <w:tab w:val="num" w:pos="1440"/>
        </w:tabs>
        <w:ind w:left="1440" w:hanging="360"/>
      </w:pPr>
      <w:rPr>
        <w:rFonts w:ascii="Wingdings 3" w:hAnsi="Wingdings 3" w:hint="default"/>
      </w:rPr>
    </w:lvl>
    <w:lvl w:ilvl="2" w:tplc="968C24F0" w:tentative="1">
      <w:start w:val="1"/>
      <w:numFmt w:val="bullet"/>
      <w:lvlText w:val=""/>
      <w:lvlJc w:val="left"/>
      <w:pPr>
        <w:tabs>
          <w:tab w:val="num" w:pos="2160"/>
        </w:tabs>
        <w:ind w:left="2160" w:hanging="360"/>
      </w:pPr>
      <w:rPr>
        <w:rFonts w:ascii="Wingdings 3" w:hAnsi="Wingdings 3" w:hint="default"/>
      </w:rPr>
    </w:lvl>
    <w:lvl w:ilvl="3" w:tplc="5E401FEE" w:tentative="1">
      <w:start w:val="1"/>
      <w:numFmt w:val="bullet"/>
      <w:lvlText w:val=""/>
      <w:lvlJc w:val="left"/>
      <w:pPr>
        <w:tabs>
          <w:tab w:val="num" w:pos="2880"/>
        </w:tabs>
        <w:ind w:left="2880" w:hanging="360"/>
      </w:pPr>
      <w:rPr>
        <w:rFonts w:ascii="Wingdings 3" w:hAnsi="Wingdings 3" w:hint="default"/>
      </w:rPr>
    </w:lvl>
    <w:lvl w:ilvl="4" w:tplc="3E0E2A8A" w:tentative="1">
      <w:start w:val="1"/>
      <w:numFmt w:val="bullet"/>
      <w:lvlText w:val=""/>
      <w:lvlJc w:val="left"/>
      <w:pPr>
        <w:tabs>
          <w:tab w:val="num" w:pos="3600"/>
        </w:tabs>
        <w:ind w:left="3600" w:hanging="360"/>
      </w:pPr>
      <w:rPr>
        <w:rFonts w:ascii="Wingdings 3" w:hAnsi="Wingdings 3" w:hint="default"/>
      </w:rPr>
    </w:lvl>
    <w:lvl w:ilvl="5" w:tplc="53B47A40" w:tentative="1">
      <w:start w:val="1"/>
      <w:numFmt w:val="bullet"/>
      <w:lvlText w:val=""/>
      <w:lvlJc w:val="left"/>
      <w:pPr>
        <w:tabs>
          <w:tab w:val="num" w:pos="4320"/>
        </w:tabs>
        <w:ind w:left="4320" w:hanging="360"/>
      </w:pPr>
      <w:rPr>
        <w:rFonts w:ascii="Wingdings 3" w:hAnsi="Wingdings 3" w:hint="default"/>
      </w:rPr>
    </w:lvl>
    <w:lvl w:ilvl="6" w:tplc="6D44548A" w:tentative="1">
      <w:start w:val="1"/>
      <w:numFmt w:val="bullet"/>
      <w:lvlText w:val=""/>
      <w:lvlJc w:val="left"/>
      <w:pPr>
        <w:tabs>
          <w:tab w:val="num" w:pos="5040"/>
        </w:tabs>
        <w:ind w:left="5040" w:hanging="360"/>
      </w:pPr>
      <w:rPr>
        <w:rFonts w:ascii="Wingdings 3" w:hAnsi="Wingdings 3" w:hint="default"/>
      </w:rPr>
    </w:lvl>
    <w:lvl w:ilvl="7" w:tplc="96ACDE28" w:tentative="1">
      <w:start w:val="1"/>
      <w:numFmt w:val="bullet"/>
      <w:lvlText w:val=""/>
      <w:lvlJc w:val="left"/>
      <w:pPr>
        <w:tabs>
          <w:tab w:val="num" w:pos="5760"/>
        </w:tabs>
        <w:ind w:left="5760" w:hanging="360"/>
      </w:pPr>
      <w:rPr>
        <w:rFonts w:ascii="Wingdings 3" w:hAnsi="Wingdings 3" w:hint="default"/>
      </w:rPr>
    </w:lvl>
    <w:lvl w:ilvl="8" w:tplc="2BB4FCC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D484DAD"/>
    <w:multiLevelType w:val="hybridMultilevel"/>
    <w:tmpl w:val="39F60A26"/>
    <w:lvl w:ilvl="0" w:tplc="9ED4A98A">
      <w:start w:val="18"/>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3051381"/>
    <w:multiLevelType w:val="hybridMultilevel"/>
    <w:tmpl w:val="E95852FA"/>
    <w:lvl w:ilvl="0" w:tplc="9ED4A98A">
      <w:start w:val="18"/>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59F647A"/>
    <w:multiLevelType w:val="multilevel"/>
    <w:tmpl w:val="DEB8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735DE5"/>
    <w:multiLevelType w:val="multilevel"/>
    <w:tmpl w:val="D6BE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
  </w:num>
  <w:num w:numId="3">
    <w:abstractNumId w:val="8"/>
  </w:num>
  <w:num w:numId="4">
    <w:abstractNumId w:val="17"/>
  </w:num>
  <w:num w:numId="5">
    <w:abstractNumId w:val="16"/>
  </w:num>
  <w:num w:numId="6">
    <w:abstractNumId w:val="23"/>
  </w:num>
  <w:num w:numId="7">
    <w:abstractNumId w:val="9"/>
  </w:num>
  <w:num w:numId="8">
    <w:abstractNumId w:val="19"/>
  </w:num>
  <w:num w:numId="9">
    <w:abstractNumId w:val="15"/>
  </w:num>
  <w:num w:numId="10">
    <w:abstractNumId w:val="22"/>
  </w:num>
  <w:num w:numId="11">
    <w:abstractNumId w:val="4"/>
  </w:num>
  <w:num w:numId="12">
    <w:abstractNumId w:val="11"/>
  </w:num>
  <w:num w:numId="13">
    <w:abstractNumId w:val="3"/>
  </w:num>
  <w:num w:numId="14">
    <w:abstractNumId w:val="0"/>
  </w:num>
  <w:num w:numId="15">
    <w:abstractNumId w:val="12"/>
  </w:num>
  <w:num w:numId="16">
    <w:abstractNumId w:val="7"/>
  </w:num>
  <w:num w:numId="17">
    <w:abstractNumId w:val="5"/>
  </w:num>
  <w:num w:numId="18">
    <w:abstractNumId w:val="10"/>
  </w:num>
  <w:num w:numId="19">
    <w:abstractNumId w:val="6"/>
  </w:num>
  <w:num w:numId="20">
    <w:abstractNumId w:val="2"/>
  </w:num>
  <w:num w:numId="21">
    <w:abstractNumId w:val="18"/>
  </w:num>
  <w:num w:numId="22">
    <w:abstractNumId w:val="20"/>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44"/>
    <w:rsid w:val="00016125"/>
    <w:rsid w:val="0002264F"/>
    <w:rsid w:val="000349B1"/>
    <w:rsid w:val="000475AD"/>
    <w:rsid w:val="0005464E"/>
    <w:rsid w:val="00060A2D"/>
    <w:rsid w:val="000C6A7A"/>
    <w:rsid w:val="000C6A92"/>
    <w:rsid w:val="00105D64"/>
    <w:rsid w:val="00112104"/>
    <w:rsid w:val="00154F84"/>
    <w:rsid w:val="001568DF"/>
    <w:rsid w:val="001B456A"/>
    <w:rsid w:val="001F2F2B"/>
    <w:rsid w:val="00213415"/>
    <w:rsid w:val="002540EB"/>
    <w:rsid w:val="00271B5E"/>
    <w:rsid w:val="002765C2"/>
    <w:rsid w:val="0028461A"/>
    <w:rsid w:val="00285A04"/>
    <w:rsid w:val="00296CF9"/>
    <w:rsid w:val="002F587B"/>
    <w:rsid w:val="00332877"/>
    <w:rsid w:val="00366B07"/>
    <w:rsid w:val="003839B6"/>
    <w:rsid w:val="00394914"/>
    <w:rsid w:val="003B287C"/>
    <w:rsid w:val="003E562D"/>
    <w:rsid w:val="00421D08"/>
    <w:rsid w:val="00431345"/>
    <w:rsid w:val="00454B7F"/>
    <w:rsid w:val="00477AFE"/>
    <w:rsid w:val="004C0324"/>
    <w:rsid w:val="004D0C3D"/>
    <w:rsid w:val="00545A1B"/>
    <w:rsid w:val="00581840"/>
    <w:rsid w:val="00591BDA"/>
    <w:rsid w:val="005C5E63"/>
    <w:rsid w:val="00647140"/>
    <w:rsid w:val="00686974"/>
    <w:rsid w:val="00694917"/>
    <w:rsid w:val="006B4387"/>
    <w:rsid w:val="006C421E"/>
    <w:rsid w:val="006D568F"/>
    <w:rsid w:val="006F13E9"/>
    <w:rsid w:val="006F610D"/>
    <w:rsid w:val="0073395E"/>
    <w:rsid w:val="00741826"/>
    <w:rsid w:val="00750F6F"/>
    <w:rsid w:val="0075390C"/>
    <w:rsid w:val="007606ED"/>
    <w:rsid w:val="00786161"/>
    <w:rsid w:val="007D4E73"/>
    <w:rsid w:val="007F7DEB"/>
    <w:rsid w:val="008346E3"/>
    <w:rsid w:val="008603CC"/>
    <w:rsid w:val="00872B57"/>
    <w:rsid w:val="00872E50"/>
    <w:rsid w:val="008C7140"/>
    <w:rsid w:val="008E5366"/>
    <w:rsid w:val="009A60A1"/>
    <w:rsid w:val="009D492F"/>
    <w:rsid w:val="00A4296C"/>
    <w:rsid w:val="00A65892"/>
    <w:rsid w:val="00A711EE"/>
    <w:rsid w:val="00A81776"/>
    <w:rsid w:val="00A8665B"/>
    <w:rsid w:val="00A90E67"/>
    <w:rsid w:val="00A95FF3"/>
    <w:rsid w:val="00AA490B"/>
    <w:rsid w:val="00AD7EA7"/>
    <w:rsid w:val="00B34548"/>
    <w:rsid w:val="00B405F7"/>
    <w:rsid w:val="00B53EE1"/>
    <w:rsid w:val="00B62858"/>
    <w:rsid w:val="00B75B78"/>
    <w:rsid w:val="00B83344"/>
    <w:rsid w:val="00B87515"/>
    <w:rsid w:val="00BA76DB"/>
    <w:rsid w:val="00BB6B0E"/>
    <w:rsid w:val="00BB6DEB"/>
    <w:rsid w:val="00C54378"/>
    <w:rsid w:val="00C67CC9"/>
    <w:rsid w:val="00CC532B"/>
    <w:rsid w:val="00D304D6"/>
    <w:rsid w:val="00D37569"/>
    <w:rsid w:val="00D51EE4"/>
    <w:rsid w:val="00D846B3"/>
    <w:rsid w:val="00DA47C7"/>
    <w:rsid w:val="00E211EB"/>
    <w:rsid w:val="00E34F14"/>
    <w:rsid w:val="00E7002F"/>
    <w:rsid w:val="00E963AC"/>
    <w:rsid w:val="00E96ACC"/>
    <w:rsid w:val="00E97BB6"/>
    <w:rsid w:val="00EB574E"/>
    <w:rsid w:val="00EF5691"/>
    <w:rsid w:val="00F01138"/>
    <w:rsid w:val="00F13885"/>
    <w:rsid w:val="00FF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9FD3F-A4FC-4691-AB38-E094C56F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42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4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B6D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56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375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1BDA"/>
    <w:rPr>
      <w:color w:val="0000FF"/>
      <w:u w:val="single"/>
    </w:rPr>
  </w:style>
  <w:style w:type="character" w:customStyle="1" w:styleId="apple-converted-space">
    <w:name w:val="apple-converted-space"/>
    <w:basedOn w:val="DefaultParagraphFont"/>
    <w:rsid w:val="006F610D"/>
  </w:style>
  <w:style w:type="character" w:styleId="Strong">
    <w:name w:val="Strong"/>
    <w:basedOn w:val="DefaultParagraphFont"/>
    <w:uiPriority w:val="22"/>
    <w:qFormat/>
    <w:rsid w:val="00105D64"/>
    <w:rPr>
      <w:b/>
      <w:bCs/>
    </w:rPr>
  </w:style>
  <w:style w:type="character" w:customStyle="1" w:styleId="Heading3Char">
    <w:name w:val="Heading 3 Char"/>
    <w:basedOn w:val="DefaultParagraphFont"/>
    <w:link w:val="Heading3"/>
    <w:uiPriority w:val="9"/>
    <w:rsid w:val="00BB6DEB"/>
    <w:rPr>
      <w:rFonts w:ascii="Times New Roman" w:eastAsia="Times New Roman" w:hAnsi="Times New Roman" w:cs="Times New Roman"/>
      <w:b/>
      <w:bCs/>
      <w:sz w:val="27"/>
      <w:szCs w:val="27"/>
    </w:rPr>
  </w:style>
  <w:style w:type="character" w:customStyle="1" w:styleId="search-hl">
    <w:name w:val="search-hl"/>
    <w:basedOn w:val="DefaultParagraphFont"/>
    <w:rsid w:val="006C421E"/>
  </w:style>
  <w:style w:type="character" w:customStyle="1" w:styleId="Heading1Char">
    <w:name w:val="Heading 1 Char"/>
    <w:basedOn w:val="DefaultParagraphFont"/>
    <w:link w:val="Heading1"/>
    <w:uiPriority w:val="9"/>
    <w:rsid w:val="006C421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3B287C"/>
    <w:pPr>
      <w:spacing w:after="0" w:line="240" w:lineRule="auto"/>
    </w:pPr>
    <w:rPr>
      <w:rFonts w:eastAsiaTheme="minorEastAsia"/>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ндарт"/>
    <w:rsid w:val="00872B57"/>
    <w:pPr>
      <w:pBdr>
        <w:top w:val="nil"/>
        <w:left w:val="nil"/>
        <w:bottom w:val="nil"/>
        <w:right w:val="nil"/>
        <w:between w:val="nil"/>
        <w:bar w:val="nil"/>
      </w:pBdr>
      <w:spacing w:after="0" w:line="240" w:lineRule="auto"/>
    </w:pPr>
    <w:rPr>
      <w:rFonts w:ascii="Arial Unicode MS" w:eastAsia="Arial Unicode MS" w:hAnsi="Arial Unicode MS" w:cs="Arial Unicode MS"/>
      <w:color w:val="000000"/>
      <w:bdr w:val="nil"/>
      <w:lang w:val="ru-RU" w:eastAsia="ru-RU"/>
    </w:rPr>
  </w:style>
  <w:style w:type="paragraph" w:styleId="Header">
    <w:name w:val="header"/>
    <w:basedOn w:val="Normal"/>
    <w:link w:val="HeaderChar"/>
    <w:uiPriority w:val="99"/>
    <w:unhideWhenUsed/>
    <w:rsid w:val="00786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161"/>
  </w:style>
  <w:style w:type="paragraph" w:styleId="Footer">
    <w:name w:val="footer"/>
    <w:basedOn w:val="Normal"/>
    <w:link w:val="FooterChar"/>
    <w:uiPriority w:val="99"/>
    <w:unhideWhenUsed/>
    <w:rsid w:val="00786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161"/>
  </w:style>
  <w:style w:type="paragraph" w:customStyle="1" w:styleId="1">
    <w:name w:val="Обычный1"/>
    <w:uiPriority w:val="99"/>
    <w:rsid w:val="00786161"/>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character" w:customStyle="1" w:styleId="Heading2Char">
    <w:name w:val="Heading 2 Char"/>
    <w:basedOn w:val="DefaultParagraphFont"/>
    <w:link w:val="Heading2"/>
    <w:uiPriority w:val="9"/>
    <w:rsid w:val="00D304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6438">
      <w:bodyDiv w:val="1"/>
      <w:marLeft w:val="0"/>
      <w:marRight w:val="0"/>
      <w:marTop w:val="0"/>
      <w:marBottom w:val="0"/>
      <w:divBdr>
        <w:top w:val="none" w:sz="0" w:space="0" w:color="auto"/>
        <w:left w:val="none" w:sz="0" w:space="0" w:color="auto"/>
        <w:bottom w:val="none" w:sz="0" w:space="0" w:color="auto"/>
        <w:right w:val="none" w:sz="0" w:space="0" w:color="auto"/>
      </w:divBdr>
      <w:divsChild>
        <w:div w:id="662196583">
          <w:marLeft w:val="547"/>
          <w:marRight w:val="0"/>
          <w:marTop w:val="200"/>
          <w:marBottom w:val="0"/>
          <w:divBdr>
            <w:top w:val="none" w:sz="0" w:space="0" w:color="auto"/>
            <w:left w:val="none" w:sz="0" w:space="0" w:color="auto"/>
            <w:bottom w:val="none" w:sz="0" w:space="0" w:color="auto"/>
            <w:right w:val="none" w:sz="0" w:space="0" w:color="auto"/>
          </w:divBdr>
        </w:div>
      </w:divsChild>
    </w:div>
    <w:div w:id="58595432">
      <w:bodyDiv w:val="1"/>
      <w:marLeft w:val="0"/>
      <w:marRight w:val="0"/>
      <w:marTop w:val="0"/>
      <w:marBottom w:val="0"/>
      <w:divBdr>
        <w:top w:val="none" w:sz="0" w:space="0" w:color="auto"/>
        <w:left w:val="none" w:sz="0" w:space="0" w:color="auto"/>
        <w:bottom w:val="none" w:sz="0" w:space="0" w:color="auto"/>
        <w:right w:val="none" w:sz="0" w:space="0" w:color="auto"/>
      </w:divBdr>
    </w:div>
    <w:div w:id="70393903">
      <w:bodyDiv w:val="1"/>
      <w:marLeft w:val="0"/>
      <w:marRight w:val="0"/>
      <w:marTop w:val="0"/>
      <w:marBottom w:val="0"/>
      <w:divBdr>
        <w:top w:val="none" w:sz="0" w:space="0" w:color="auto"/>
        <w:left w:val="none" w:sz="0" w:space="0" w:color="auto"/>
        <w:bottom w:val="none" w:sz="0" w:space="0" w:color="auto"/>
        <w:right w:val="none" w:sz="0" w:space="0" w:color="auto"/>
      </w:divBdr>
    </w:div>
    <w:div w:id="78989838">
      <w:bodyDiv w:val="1"/>
      <w:marLeft w:val="0"/>
      <w:marRight w:val="0"/>
      <w:marTop w:val="0"/>
      <w:marBottom w:val="0"/>
      <w:divBdr>
        <w:top w:val="none" w:sz="0" w:space="0" w:color="auto"/>
        <w:left w:val="none" w:sz="0" w:space="0" w:color="auto"/>
        <w:bottom w:val="none" w:sz="0" w:space="0" w:color="auto"/>
        <w:right w:val="none" w:sz="0" w:space="0" w:color="auto"/>
      </w:divBdr>
    </w:div>
    <w:div w:id="146556998">
      <w:bodyDiv w:val="1"/>
      <w:marLeft w:val="0"/>
      <w:marRight w:val="0"/>
      <w:marTop w:val="0"/>
      <w:marBottom w:val="0"/>
      <w:divBdr>
        <w:top w:val="none" w:sz="0" w:space="0" w:color="auto"/>
        <w:left w:val="none" w:sz="0" w:space="0" w:color="auto"/>
        <w:bottom w:val="none" w:sz="0" w:space="0" w:color="auto"/>
        <w:right w:val="none" w:sz="0" w:space="0" w:color="auto"/>
      </w:divBdr>
    </w:div>
    <w:div w:id="174004662">
      <w:bodyDiv w:val="1"/>
      <w:marLeft w:val="0"/>
      <w:marRight w:val="0"/>
      <w:marTop w:val="0"/>
      <w:marBottom w:val="0"/>
      <w:divBdr>
        <w:top w:val="none" w:sz="0" w:space="0" w:color="auto"/>
        <w:left w:val="none" w:sz="0" w:space="0" w:color="auto"/>
        <w:bottom w:val="none" w:sz="0" w:space="0" w:color="auto"/>
        <w:right w:val="none" w:sz="0" w:space="0" w:color="auto"/>
      </w:divBdr>
    </w:div>
    <w:div w:id="179244373">
      <w:bodyDiv w:val="1"/>
      <w:marLeft w:val="0"/>
      <w:marRight w:val="0"/>
      <w:marTop w:val="0"/>
      <w:marBottom w:val="0"/>
      <w:divBdr>
        <w:top w:val="none" w:sz="0" w:space="0" w:color="auto"/>
        <w:left w:val="none" w:sz="0" w:space="0" w:color="auto"/>
        <w:bottom w:val="none" w:sz="0" w:space="0" w:color="auto"/>
        <w:right w:val="none" w:sz="0" w:space="0" w:color="auto"/>
      </w:divBdr>
    </w:div>
    <w:div w:id="301466533">
      <w:bodyDiv w:val="1"/>
      <w:marLeft w:val="0"/>
      <w:marRight w:val="0"/>
      <w:marTop w:val="0"/>
      <w:marBottom w:val="0"/>
      <w:divBdr>
        <w:top w:val="none" w:sz="0" w:space="0" w:color="auto"/>
        <w:left w:val="none" w:sz="0" w:space="0" w:color="auto"/>
        <w:bottom w:val="none" w:sz="0" w:space="0" w:color="auto"/>
        <w:right w:val="none" w:sz="0" w:space="0" w:color="auto"/>
      </w:divBdr>
    </w:div>
    <w:div w:id="346710348">
      <w:bodyDiv w:val="1"/>
      <w:marLeft w:val="0"/>
      <w:marRight w:val="0"/>
      <w:marTop w:val="0"/>
      <w:marBottom w:val="0"/>
      <w:divBdr>
        <w:top w:val="none" w:sz="0" w:space="0" w:color="auto"/>
        <w:left w:val="none" w:sz="0" w:space="0" w:color="auto"/>
        <w:bottom w:val="none" w:sz="0" w:space="0" w:color="auto"/>
        <w:right w:val="none" w:sz="0" w:space="0" w:color="auto"/>
      </w:divBdr>
    </w:div>
    <w:div w:id="420486566">
      <w:bodyDiv w:val="1"/>
      <w:marLeft w:val="0"/>
      <w:marRight w:val="0"/>
      <w:marTop w:val="0"/>
      <w:marBottom w:val="0"/>
      <w:divBdr>
        <w:top w:val="none" w:sz="0" w:space="0" w:color="auto"/>
        <w:left w:val="none" w:sz="0" w:space="0" w:color="auto"/>
        <w:bottom w:val="none" w:sz="0" w:space="0" w:color="auto"/>
        <w:right w:val="none" w:sz="0" w:space="0" w:color="auto"/>
      </w:divBdr>
      <w:divsChild>
        <w:div w:id="367032742">
          <w:marLeft w:val="547"/>
          <w:marRight w:val="0"/>
          <w:marTop w:val="200"/>
          <w:marBottom w:val="0"/>
          <w:divBdr>
            <w:top w:val="none" w:sz="0" w:space="0" w:color="auto"/>
            <w:left w:val="none" w:sz="0" w:space="0" w:color="auto"/>
            <w:bottom w:val="none" w:sz="0" w:space="0" w:color="auto"/>
            <w:right w:val="none" w:sz="0" w:space="0" w:color="auto"/>
          </w:divBdr>
        </w:div>
        <w:div w:id="573978985">
          <w:marLeft w:val="547"/>
          <w:marRight w:val="0"/>
          <w:marTop w:val="200"/>
          <w:marBottom w:val="0"/>
          <w:divBdr>
            <w:top w:val="none" w:sz="0" w:space="0" w:color="auto"/>
            <w:left w:val="none" w:sz="0" w:space="0" w:color="auto"/>
            <w:bottom w:val="none" w:sz="0" w:space="0" w:color="auto"/>
            <w:right w:val="none" w:sz="0" w:space="0" w:color="auto"/>
          </w:divBdr>
        </w:div>
        <w:div w:id="1664309351">
          <w:marLeft w:val="547"/>
          <w:marRight w:val="0"/>
          <w:marTop w:val="200"/>
          <w:marBottom w:val="0"/>
          <w:divBdr>
            <w:top w:val="none" w:sz="0" w:space="0" w:color="auto"/>
            <w:left w:val="none" w:sz="0" w:space="0" w:color="auto"/>
            <w:bottom w:val="none" w:sz="0" w:space="0" w:color="auto"/>
            <w:right w:val="none" w:sz="0" w:space="0" w:color="auto"/>
          </w:divBdr>
        </w:div>
        <w:div w:id="1768455130">
          <w:marLeft w:val="547"/>
          <w:marRight w:val="0"/>
          <w:marTop w:val="200"/>
          <w:marBottom w:val="0"/>
          <w:divBdr>
            <w:top w:val="none" w:sz="0" w:space="0" w:color="auto"/>
            <w:left w:val="none" w:sz="0" w:space="0" w:color="auto"/>
            <w:bottom w:val="none" w:sz="0" w:space="0" w:color="auto"/>
            <w:right w:val="none" w:sz="0" w:space="0" w:color="auto"/>
          </w:divBdr>
        </w:div>
        <w:div w:id="2046445297">
          <w:marLeft w:val="547"/>
          <w:marRight w:val="0"/>
          <w:marTop w:val="200"/>
          <w:marBottom w:val="0"/>
          <w:divBdr>
            <w:top w:val="none" w:sz="0" w:space="0" w:color="auto"/>
            <w:left w:val="none" w:sz="0" w:space="0" w:color="auto"/>
            <w:bottom w:val="none" w:sz="0" w:space="0" w:color="auto"/>
            <w:right w:val="none" w:sz="0" w:space="0" w:color="auto"/>
          </w:divBdr>
        </w:div>
      </w:divsChild>
    </w:div>
    <w:div w:id="423843213">
      <w:bodyDiv w:val="1"/>
      <w:marLeft w:val="0"/>
      <w:marRight w:val="0"/>
      <w:marTop w:val="0"/>
      <w:marBottom w:val="0"/>
      <w:divBdr>
        <w:top w:val="none" w:sz="0" w:space="0" w:color="auto"/>
        <w:left w:val="none" w:sz="0" w:space="0" w:color="auto"/>
        <w:bottom w:val="none" w:sz="0" w:space="0" w:color="auto"/>
        <w:right w:val="none" w:sz="0" w:space="0" w:color="auto"/>
      </w:divBdr>
    </w:div>
    <w:div w:id="428090101">
      <w:bodyDiv w:val="1"/>
      <w:marLeft w:val="0"/>
      <w:marRight w:val="0"/>
      <w:marTop w:val="0"/>
      <w:marBottom w:val="0"/>
      <w:divBdr>
        <w:top w:val="none" w:sz="0" w:space="0" w:color="auto"/>
        <w:left w:val="none" w:sz="0" w:space="0" w:color="auto"/>
        <w:bottom w:val="none" w:sz="0" w:space="0" w:color="auto"/>
        <w:right w:val="none" w:sz="0" w:space="0" w:color="auto"/>
      </w:divBdr>
    </w:div>
    <w:div w:id="606692962">
      <w:bodyDiv w:val="1"/>
      <w:marLeft w:val="0"/>
      <w:marRight w:val="0"/>
      <w:marTop w:val="0"/>
      <w:marBottom w:val="0"/>
      <w:divBdr>
        <w:top w:val="none" w:sz="0" w:space="0" w:color="auto"/>
        <w:left w:val="none" w:sz="0" w:space="0" w:color="auto"/>
        <w:bottom w:val="none" w:sz="0" w:space="0" w:color="auto"/>
        <w:right w:val="none" w:sz="0" w:space="0" w:color="auto"/>
      </w:divBdr>
    </w:div>
    <w:div w:id="759914440">
      <w:bodyDiv w:val="1"/>
      <w:marLeft w:val="0"/>
      <w:marRight w:val="0"/>
      <w:marTop w:val="0"/>
      <w:marBottom w:val="0"/>
      <w:divBdr>
        <w:top w:val="none" w:sz="0" w:space="0" w:color="auto"/>
        <w:left w:val="none" w:sz="0" w:space="0" w:color="auto"/>
        <w:bottom w:val="none" w:sz="0" w:space="0" w:color="auto"/>
        <w:right w:val="none" w:sz="0" w:space="0" w:color="auto"/>
      </w:divBdr>
      <w:divsChild>
        <w:div w:id="1772161733">
          <w:marLeft w:val="547"/>
          <w:marRight w:val="0"/>
          <w:marTop w:val="200"/>
          <w:marBottom w:val="0"/>
          <w:divBdr>
            <w:top w:val="none" w:sz="0" w:space="0" w:color="auto"/>
            <w:left w:val="none" w:sz="0" w:space="0" w:color="auto"/>
            <w:bottom w:val="none" w:sz="0" w:space="0" w:color="auto"/>
            <w:right w:val="none" w:sz="0" w:space="0" w:color="auto"/>
          </w:divBdr>
        </w:div>
      </w:divsChild>
    </w:div>
    <w:div w:id="777335725">
      <w:bodyDiv w:val="1"/>
      <w:marLeft w:val="0"/>
      <w:marRight w:val="0"/>
      <w:marTop w:val="0"/>
      <w:marBottom w:val="0"/>
      <w:divBdr>
        <w:top w:val="none" w:sz="0" w:space="0" w:color="auto"/>
        <w:left w:val="none" w:sz="0" w:space="0" w:color="auto"/>
        <w:bottom w:val="none" w:sz="0" w:space="0" w:color="auto"/>
        <w:right w:val="none" w:sz="0" w:space="0" w:color="auto"/>
      </w:divBdr>
    </w:div>
    <w:div w:id="792016349">
      <w:bodyDiv w:val="1"/>
      <w:marLeft w:val="0"/>
      <w:marRight w:val="0"/>
      <w:marTop w:val="0"/>
      <w:marBottom w:val="0"/>
      <w:divBdr>
        <w:top w:val="none" w:sz="0" w:space="0" w:color="auto"/>
        <w:left w:val="none" w:sz="0" w:space="0" w:color="auto"/>
        <w:bottom w:val="none" w:sz="0" w:space="0" w:color="auto"/>
        <w:right w:val="none" w:sz="0" w:space="0" w:color="auto"/>
      </w:divBdr>
    </w:div>
    <w:div w:id="849219330">
      <w:bodyDiv w:val="1"/>
      <w:marLeft w:val="0"/>
      <w:marRight w:val="0"/>
      <w:marTop w:val="0"/>
      <w:marBottom w:val="0"/>
      <w:divBdr>
        <w:top w:val="none" w:sz="0" w:space="0" w:color="auto"/>
        <w:left w:val="none" w:sz="0" w:space="0" w:color="auto"/>
        <w:bottom w:val="none" w:sz="0" w:space="0" w:color="auto"/>
        <w:right w:val="none" w:sz="0" w:space="0" w:color="auto"/>
      </w:divBdr>
    </w:div>
    <w:div w:id="873733012">
      <w:bodyDiv w:val="1"/>
      <w:marLeft w:val="0"/>
      <w:marRight w:val="0"/>
      <w:marTop w:val="0"/>
      <w:marBottom w:val="0"/>
      <w:divBdr>
        <w:top w:val="none" w:sz="0" w:space="0" w:color="auto"/>
        <w:left w:val="none" w:sz="0" w:space="0" w:color="auto"/>
        <w:bottom w:val="none" w:sz="0" w:space="0" w:color="auto"/>
        <w:right w:val="none" w:sz="0" w:space="0" w:color="auto"/>
      </w:divBdr>
    </w:div>
    <w:div w:id="907884164">
      <w:bodyDiv w:val="1"/>
      <w:marLeft w:val="0"/>
      <w:marRight w:val="0"/>
      <w:marTop w:val="0"/>
      <w:marBottom w:val="0"/>
      <w:divBdr>
        <w:top w:val="none" w:sz="0" w:space="0" w:color="auto"/>
        <w:left w:val="none" w:sz="0" w:space="0" w:color="auto"/>
        <w:bottom w:val="none" w:sz="0" w:space="0" w:color="auto"/>
        <w:right w:val="none" w:sz="0" w:space="0" w:color="auto"/>
      </w:divBdr>
    </w:div>
    <w:div w:id="948241014">
      <w:bodyDiv w:val="1"/>
      <w:marLeft w:val="0"/>
      <w:marRight w:val="0"/>
      <w:marTop w:val="0"/>
      <w:marBottom w:val="0"/>
      <w:divBdr>
        <w:top w:val="none" w:sz="0" w:space="0" w:color="auto"/>
        <w:left w:val="none" w:sz="0" w:space="0" w:color="auto"/>
        <w:bottom w:val="none" w:sz="0" w:space="0" w:color="auto"/>
        <w:right w:val="none" w:sz="0" w:space="0" w:color="auto"/>
      </w:divBdr>
    </w:div>
    <w:div w:id="948778541">
      <w:bodyDiv w:val="1"/>
      <w:marLeft w:val="0"/>
      <w:marRight w:val="0"/>
      <w:marTop w:val="0"/>
      <w:marBottom w:val="0"/>
      <w:divBdr>
        <w:top w:val="none" w:sz="0" w:space="0" w:color="auto"/>
        <w:left w:val="none" w:sz="0" w:space="0" w:color="auto"/>
        <w:bottom w:val="none" w:sz="0" w:space="0" w:color="auto"/>
        <w:right w:val="none" w:sz="0" w:space="0" w:color="auto"/>
      </w:divBdr>
    </w:div>
    <w:div w:id="960186279">
      <w:bodyDiv w:val="1"/>
      <w:marLeft w:val="0"/>
      <w:marRight w:val="0"/>
      <w:marTop w:val="0"/>
      <w:marBottom w:val="0"/>
      <w:divBdr>
        <w:top w:val="none" w:sz="0" w:space="0" w:color="auto"/>
        <w:left w:val="none" w:sz="0" w:space="0" w:color="auto"/>
        <w:bottom w:val="none" w:sz="0" w:space="0" w:color="auto"/>
        <w:right w:val="none" w:sz="0" w:space="0" w:color="auto"/>
      </w:divBdr>
    </w:div>
    <w:div w:id="1097755519">
      <w:bodyDiv w:val="1"/>
      <w:marLeft w:val="0"/>
      <w:marRight w:val="0"/>
      <w:marTop w:val="0"/>
      <w:marBottom w:val="0"/>
      <w:divBdr>
        <w:top w:val="none" w:sz="0" w:space="0" w:color="auto"/>
        <w:left w:val="none" w:sz="0" w:space="0" w:color="auto"/>
        <w:bottom w:val="none" w:sz="0" w:space="0" w:color="auto"/>
        <w:right w:val="none" w:sz="0" w:space="0" w:color="auto"/>
      </w:divBdr>
    </w:div>
    <w:div w:id="1103497341">
      <w:bodyDiv w:val="1"/>
      <w:marLeft w:val="0"/>
      <w:marRight w:val="0"/>
      <w:marTop w:val="0"/>
      <w:marBottom w:val="0"/>
      <w:divBdr>
        <w:top w:val="none" w:sz="0" w:space="0" w:color="auto"/>
        <w:left w:val="none" w:sz="0" w:space="0" w:color="auto"/>
        <w:bottom w:val="none" w:sz="0" w:space="0" w:color="auto"/>
        <w:right w:val="none" w:sz="0" w:space="0" w:color="auto"/>
      </w:divBdr>
    </w:div>
    <w:div w:id="1156074681">
      <w:bodyDiv w:val="1"/>
      <w:marLeft w:val="0"/>
      <w:marRight w:val="0"/>
      <w:marTop w:val="0"/>
      <w:marBottom w:val="0"/>
      <w:divBdr>
        <w:top w:val="none" w:sz="0" w:space="0" w:color="auto"/>
        <w:left w:val="none" w:sz="0" w:space="0" w:color="auto"/>
        <w:bottom w:val="none" w:sz="0" w:space="0" w:color="auto"/>
        <w:right w:val="none" w:sz="0" w:space="0" w:color="auto"/>
      </w:divBdr>
    </w:div>
    <w:div w:id="1164860996">
      <w:bodyDiv w:val="1"/>
      <w:marLeft w:val="0"/>
      <w:marRight w:val="0"/>
      <w:marTop w:val="0"/>
      <w:marBottom w:val="0"/>
      <w:divBdr>
        <w:top w:val="none" w:sz="0" w:space="0" w:color="auto"/>
        <w:left w:val="none" w:sz="0" w:space="0" w:color="auto"/>
        <w:bottom w:val="none" w:sz="0" w:space="0" w:color="auto"/>
        <w:right w:val="none" w:sz="0" w:space="0" w:color="auto"/>
      </w:divBdr>
    </w:div>
    <w:div w:id="1250042112">
      <w:bodyDiv w:val="1"/>
      <w:marLeft w:val="0"/>
      <w:marRight w:val="0"/>
      <w:marTop w:val="0"/>
      <w:marBottom w:val="0"/>
      <w:divBdr>
        <w:top w:val="none" w:sz="0" w:space="0" w:color="auto"/>
        <w:left w:val="none" w:sz="0" w:space="0" w:color="auto"/>
        <w:bottom w:val="none" w:sz="0" w:space="0" w:color="auto"/>
        <w:right w:val="none" w:sz="0" w:space="0" w:color="auto"/>
      </w:divBdr>
      <w:divsChild>
        <w:div w:id="163975107">
          <w:marLeft w:val="547"/>
          <w:marRight w:val="0"/>
          <w:marTop w:val="200"/>
          <w:marBottom w:val="0"/>
          <w:divBdr>
            <w:top w:val="none" w:sz="0" w:space="0" w:color="auto"/>
            <w:left w:val="none" w:sz="0" w:space="0" w:color="auto"/>
            <w:bottom w:val="none" w:sz="0" w:space="0" w:color="auto"/>
            <w:right w:val="none" w:sz="0" w:space="0" w:color="auto"/>
          </w:divBdr>
        </w:div>
        <w:div w:id="207642288">
          <w:marLeft w:val="547"/>
          <w:marRight w:val="0"/>
          <w:marTop w:val="200"/>
          <w:marBottom w:val="0"/>
          <w:divBdr>
            <w:top w:val="none" w:sz="0" w:space="0" w:color="auto"/>
            <w:left w:val="none" w:sz="0" w:space="0" w:color="auto"/>
            <w:bottom w:val="none" w:sz="0" w:space="0" w:color="auto"/>
            <w:right w:val="none" w:sz="0" w:space="0" w:color="auto"/>
          </w:divBdr>
        </w:div>
        <w:div w:id="329917068">
          <w:marLeft w:val="547"/>
          <w:marRight w:val="0"/>
          <w:marTop w:val="200"/>
          <w:marBottom w:val="0"/>
          <w:divBdr>
            <w:top w:val="none" w:sz="0" w:space="0" w:color="auto"/>
            <w:left w:val="none" w:sz="0" w:space="0" w:color="auto"/>
            <w:bottom w:val="none" w:sz="0" w:space="0" w:color="auto"/>
            <w:right w:val="none" w:sz="0" w:space="0" w:color="auto"/>
          </w:divBdr>
        </w:div>
        <w:div w:id="404226881">
          <w:marLeft w:val="547"/>
          <w:marRight w:val="0"/>
          <w:marTop w:val="200"/>
          <w:marBottom w:val="0"/>
          <w:divBdr>
            <w:top w:val="none" w:sz="0" w:space="0" w:color="auto"/>
            <w:left w:val="none" w:sz="0" w:space="0" w:color="auto"/>
            <w:bottom w:val="none" w:sz="0" w:space="0" w:color="auto"/>
            <w:right w:val="none" w:sz="0" w:space="0" w:color="auto"/>
          </w:divBdr>
        </w:div>
        <w:div w:id="551502606">
          <w:marLeft w:val="547"/>
          <w:marRight w:val="0"/>
          <w:marTop w:val="200"/>
          <w:marBottom w:val="0"/>
          <w:divBdr>
            <w:top w:val="none" w:sz="0" w:space="0" w:color="auto"/>
            <w:left w:val="none" w:sz="0" w:space="0" w:color="auto"/>
            <w:bottom w:val="none" w:sz="0" w:space="0" w:color="auto"/>
            <w:right w:val="none" w:sz="0" w:space="0" w:color="auto"/>
          </w:divBdr>
        </w:div>
      </w:divsChild>
    </w:div>
    <w:div w:id="1334064630">
      <w:bodyDiv w:val="1"/>
      <w:marLeft w:val="0"/>
      <w:marRight w:val="0"/>
      <w:marTop w:val="0"/>
      <w:marBottom w:val="0"/>
      <w:divBdr>
        <w:top w:val="none" w:sz="0" w:space="0" w:color="auto"/>
        <w:left w:val="none" w:sz="0" w:space="0" w:color="auto"/>
        <w:bottom w:val="none" w:sz="0" w:space="0" w:color="auto"/>
        <w:right w:val="none" w:sz="0" w:space="0" w:color="auto"/>
      </w:divBdr>
    </w:div>
    <w:div w:id="1463111422">
      <w:bodyDiv w:val="1"/>
      <w:marLeft w:val="0"/>
      <w:marRight w:val="0"/>
      <w:marTop w:val="0"/>
      <w:marBottom w:val="0"/>
      <w:divBdr>
        <w:top w:val="none" w:sz="0" w:space="0" w:color="auto"/>
        <w:left w:val="none" w:sz="0" w:space="0" w:color="auto"/>
        <w:bottom w:val="none" w:sz="0" w:space="0" w:color="auto"/>
        <w:right w:val="none" w:sz="0" w:space="0" w:color="auto"/>
      </w:divBdr>
    </w:div>
    <w:div w:id="1519663432">
      <w:bodyDiv w:val="1"/>
      <w:marLeft w:val="0"/>
      <w:marRight w:val="0"/>
      <w:marTop w:val="0"/>
      <w:marBottom w:val="0"/>
      <w:divBdr>
        <w:top w:val="none" w:sz="0" w:space="0" w:color="auto"/>
        <w:left w:val="none" w:sz="0" w:space="0" w:color="auto"/>
        <w:bottom w:val="none" w:sz="0" w:space="0" w:color="auto"/>
        <w:right w:val="none" w:sz="0" w:space="0" w:color="auto"/>
      </w:divBdr>
    </w:div>
    <w:div w:id="1527676248">
      <w:bodyDiv w:val="1"/>
      <w:marLeft w:val="0"/>
      <w:marRight w:val="0"/>
      <w:marTop w:val="0"/>
      <w:marBottom w:val="0"/>
      <w:divBdr>
        <w:top w:val="none" w:sz="0" w:space="0" w:color="auto"/>
        <w:left w:val="none" w:sz="0" w:space="0" w:color="auto"/>
        <w:bottom w:val="none" w:sz="0" w:space="0" w:color="auto"/>
        <w:right w:val="none" w:sz="0" w:space="0" w:color="auto"/>
      </w:divBdr>
      <w:divsChild>
        <w:div w:id="322854003">
          <w:marLeft w:val="547"/>
          <w:marRight w:val="0"/>
          <w:marTop w:val="200"/>
          <w:marBottom w:val="0"/>
          <w:divBdr>
            <w:top w:val="none" w:sz="0" w:space="0" w:color="auto"/>
            <w:left w:val="none" w:sz="0" w:space="0" w:color="auto"/>
            <w:bottom w:val="none" w:sz="0" w:space="0" w:color="auto"/>
            <w:right w:val="none" w:sz="0" w:space="0" w:color="auto"/>
          </w:divBdr>
        </w:div>
        <w:div w:id="941693325">
          <w:marLeft w:val="547"/>
          <w:marRight w:val="0"/>
          <w:marTop w:val="200"/>
          <w:marBottom w:val="0"/>
          <w:divBdr>
            <w:top w:val="none" w:sz="0" w:space="0" w:color="auto"/>
            <w:left w:val="none" w:sz="0" w:space="0" w:color="auto"/>
            <w:bottom w:val="none" w:sz="0" w:space="0" w:color="auto"/>
            <w:right w:val="none" w:sz="0" w:space="0" w:color="auto"/>
          </w:divBdr>
        </w:div>
        <w:div w:id="1393574630">
          <w:marLeft w:val="547"/>
          <w:marRight w:val="0"/>
          <w:marTop w:val="200"/>
          <w:marBottom w:val="0"/>
          <w:divBdr>
            <w:top w:val="none" w:sz="0" w:space="0" w:color="auto"/>
            <w:left w:val="none" w:sz="0" w:space="0" w:color="auto"/>
            <w:bottom w:val="none" w:sz="0" w:space="0" w:color="auto"/>
            <w:right w:val="none" w:sz="0" w:space="0" w:color="auto"/>
          </w:divBdr>
        </w:div>
        <w:div w:id="1850024955">
          <w:marLeft w:val="547"/>
          <w:marRight w:val="0"/>
          <w:marTop w:val="200"/>
          <w:marBottom w:val="0"/>
          <w:divBdr>
            <w:top w:val="none" w:sz="0" w:space="0" w:color="auto"/>
            <w:left w:val="none" w:sz="0" w:space="0" w:color="auto"/>
            <w:bottom w:val="none" w:sz="0" w:space="0" w:color="auto"/>
            <w:right w:val="none" w:sz="0" w:space="0" w:color="auto"/>
          </w:divBdr>
        </w:div>
        <w:div w:id="2047440794">
          <w:marLeft w:val="547"/>
          <w:marRight w:val="0"/>
          <w:marTop w:val="200"/>
          <w:marBottom w:val="0"/>
          <w:divBdr>
            <w:top w:val="none" w:sz="0" w:space="0" w:color="auto"/>
            <w:left w:val="none" w:sz="0" w:space="0" w:color="auto"/>
            <w:bottom w:val="none" w:sz="0" w:space="0" w:color="auto"/>
            <w:right w:val="none" w:sz="0" w:space="0" w:color="auto"/>
          </w:divBdr>
        </w:div>
      </w:divsChild>
    </w:div>
    <w:div w:id="1552037831">
      <w:bodyDiv w:val="1"/>
      <w:marLeft w:val="0"/>
      <w:marRight w:val="0"/>
      <w:marTop w:val="0"/>
      <w:marBottom w:val="0"/>
      <w:divBdr>
        <w:top w:val="none" w:sz="0" w:space="0" w:color="auto"/>
        <w:left w:val="none" w:sz="0" w:space="0" w:color="auto"/>
        <w:bottom w:val="none" w:sz="0" w:space="0" w:color="auto"/>
        <w:right w:val="none" w:sz="0" w:space="0" w:color="auto"/>
      </w:divBdr>
      <w:divsChild>
        <w:div w:id="929391168">
          <w:marLeft w:val="547"/>
          <w:marRight w:val="0"/>
          <w:marTop w:val="200"/>
          <w:marBottom w:val="0"/>
          <w:divBdr>
            <w:top w:val="none" w:sz="0" w:space="0" w:color="auto"/>
            <w:left w:val="none" w:sz="0" w:space="0" w:color="auto"/>
            <w:bottom w:val="none" w:sz="0" w:space="0" w:color="auto"/>
            <w:right w:val="none" w:sz="0" w:space="0" w:color="auto"/>
          </w:divBdr>
        </w:div>
      </w:divsChild>
    </w:div>
    <w:div w:id="1635260068">
      <w:bodyDiv w:val="1"/>
      <w:marLeft w:val="0"/>
      <w:marRight w:val="0"/>
      <w:marTop w:val="0"/>
      <w:marBottom w:val="0"/>
      <w:divBdr>
        <w:top w:val="none" w:sz="0" w:space="0" w:color="auto"/>
        <w:left w:val="none" w:sz="0" w:space="0" w:color="auto"/>
        <w:bottom w:val="none" w:sz="0" w:space="0" w:color="auto"/>
        <w:right w:val="none" w:sz="0" w:space="0" w:color="auto"/>
      </w:divBdr>
      <w:divsChild>
        <w:div w:id="2028367939">
          <w:marLeft w:val="547"/>
          <w:marRight w:val="0"/>
          <w:marTop w:val="200"/>
          <w:marBottom w:val="0"/>
          <w:divBdr>
            <w:top w:val="none" w:sz="0" w:space="0" w:color="auto"/>
            <w:left w:val="none" w:sz="0" w:space="0" w:color="auto"/>
            <w:bottom w:val="none" w:sz="0" w:space="0" w:color="auto"/>
            <w:right w:val="none" w:sz="0" w:space="0" w:color="auto"/>
          </w:divBdr>
        </w:div>
      </w:divsChild>
    </w:div>
    <w:div w:id="1936204152">
      <w:bodyDiv w:val="1"/>
      <w:marLeft w:val="0"/>
      <w:marRight w:val="0"/>
      <w:marTop w:val="0"/>
      <w:marBottom w:val="0"/>
      <w:divBdr>
        <w:top w:val="none" w:sz="0" w:space="0" w:color="auto"/>
        <w:left w:val="none" w:sz="0" w:space="0" w:color="auto"/>
        <w:bottom w:val="none" w:sz="0" w:space="0" w:color="auto"/>
        <w:right w:val="none" w:sz="0" w:space="0" w:color="auto"/>
      </w:divBdr>
    </w:div>
    <w:div w:id="2064137087">
      <w:bodyDiv w:val="1"/>
      <w:marLeft w:val="0"/>
      <w:marRight w:val="0"/>
      <w:marTop w:val="0"/>
      <w:marBottom w:val="0"/>
      <w:divBdr>
        <w:top w:val="none" w:sz="0" w:space="0" w:color="auto"/>
        <w:left w:val="none" w:sz="0" w:space="0" w:color="auto"/>
        <w:bottom w:val="none" w:sz="0" w:space="0" w:color="auto"/>
        <w:right w:val="none" w:sz="0" w:space="0" w:color="auto"/>
      </w:divBdr>
    </w:div>
    <w:div w:id="2075154966">
      <w:bodyDiv w:val="1"/>
      <w:marLeft w:val="0"/>
      <w:marRight w:val="0"/>
      <w:marTop w:val="0"/>
      <w:marBottom w:val="0"/>
      <w:divBdr>
        <w:top w:val="none" w:sz="0" w:space="0" w:color="auto"/>
        <w:left w:val="none" w:sz="0" w:space="0" w:color="auto"/>
        <w:bottom w:val="none" w:sz="0" w:space="0" w:color="auto"/>
        <w:right w:val="none" w:sz="0" w:space="0" w:color="auto"/>
      </w:divBdr>
    </w:div>
    <w:div w:id="21446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a:t>нмоль/л</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manualLayout>
          <c:layoutTarget val="inner"/>
          <c:xMode val="edge"/>
          <c:yMode val="edge"/>
          <c:x val="5.0573558112928192E-2"/>
          <c:y val="6.1689727260192818E-2"/>
          <c:w val="0.92592216838279828"/>
          <c:h val="0.53049848891936302"/>
        </c:manualLayout>
      </c:layout>
      <c:barChart>
        <c:barDir val="col"/>
        <c:grouping val="clustered"/>
        <c:varyColors val="0"/>
        <c:ser>
          <c:idx val="0"/>
          <c:order val="0"/>
          <c:tx>
            <c:strRef>
              <c:f>Sheet1!$B$1</c:f>
              <c:strCache>
                <c:ptCount val="1"/>
                <c:pt idx="0">
                  <c:v>АМГ</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tx>
                <c:rich>
                  <a:bodyPr/>
                  <a:lstStyle/>
                  <a:p>
                    <a:fld id="{E7360611-D8DD-4CE6-89A8-3B54DB16A8D7}" type="VALUE">
                      <a:rPr lang="en-US"/>
                      <a:pPr/>
                      <a:t>[VALUE]</a:t>
                    </a:fld>
                    <a:r>
                      <a:rPr lang="en-US" sz="900" b="1" i="0" u="none" strike="noStrike" baseline="0">
                        <a:effectLst/>
                      </a:rPr>
                      <a:t>3,8±1,02</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r>
                      <a:rPr lang="en-US" sz="900" b="1" i="0" u="none" strike="noStrike" baseline="0">
                        <a:effectLst/>
                      </a:rPr>
                      <a:t>4,9±1,23</a:t>
                    </a:r>
                    <a:endParaRPr lang="en-US"/>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percentage"/>
            <c:noEndCap val="0"/>
            <c:val val="25"/>
            <c:spPr>
              <a:noFill/>
              <a:ln w="9525">
                <a:solidFill>
                  <a:schemeClr val="tx1">
                    <a:lumMod val="50000"/>
                    <a:lumOff val="50000"/>
                  </a:schemeClr>
                </a:solidFill>
                <a:round/>
              </a:ln>
              <a:effectLst/>
            </c:spPr>
          </c:errBars>
          <c:cat>
            <c:strRef>
              <c:f>Sheet1!$A$2:$A$3</c:f>
              <c:strCache>
                <c:ptCount val="2"/>
                <c:pt idx="0">
                  <c:v>группа 1</c:v>
                </c:pt>
                <c:pt idx="1">
                  <c:v>группа 2</c:v>
                </c:pt>
              </c:strCache>
            </c:strRef>
          </c:cat>
          <c:val>
            <c:numRef>
              <c:f>Sheet1!$B$2:$B$3</c:f>
              <c:numCache>
                <c:formatCode>General</c:formatCode>
                <c:ptCount val="2"/>
                <c:pt idx="0">
                  <c:v>3.8</c:v>
                </c:pt>
                <c:pt idx="1">
                  <c:v>4.9000000000000004</c:v>
                </c:pt>
              </c:numCache>
            </c:numRef>
          </c:val>
        </c:ser>
        <c:dLbls>
          <c:dLblPos val="inEnd"/>
          <c:showLegendKey val="0"/>
          <c:showVal val="1"/>
          <c:showCatName val="0"/>
          <c:showSerName val="0"/>
          <c:showPercent val="0"/>
          <c:showBubbleSize val="0"/>
        </c:dLbls>
        <c:gapWidth val="164"/>
        <c:overlap val="-22"/>
        <c:axId val="322562552"/>
        <c:axId val="322564512"/>
      </c:barChart>
      <c:catAx>
        <c:axId val="32256255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564512"/>
        <c:crosses val="autoZero"/>
        <c:auto val="1"/>
        <c:lblAlgn val="ctr"/>
        <c:lblOffset val="100"/>
        <c:noMultiLvlLbl val="0"/>
      </c:catAx>
      <c:valAx>
        <c:axId val="3225645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5625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a:t>МЕ</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доза ФСГ, приходящаяся на 1 ооцит</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tx>
                <c:rich>
                  <a:bodyPr/>
                  <a:lstStyle/>
                  <a:p>
                    <a:r>
                      <a:rPr lang="en-US" sz="900" b="1" i="0" u="none" strike="noStrike" baseline="0">
                        <a:effectLst/>
                      </a:rPr>
                      <a:t>406±102,5</a:t>
                    </a:r>
                    <a:endParaRPr lang="en-US"/>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900" b="1" i="0" u="none" strike="noStrike" baseline="0">
                        <a:effectLst/>
                      </a:rPr>
                      <a:t>93,7±89,45</a:t>
                    </a:r>
                    <a:endParaRPr lang="en-US"/>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percentage"/>
            <c:noEndCap val="0"/>
            <c:val val="25"/>
            <c:spPr>
              <a:noFill/>
              <a:ln w="9525">
                <a:solidFill>
                  <a:schemeClr val="tx1">
                    <a:lumMod val="50000"/>
                    <a:lumOff val="50000"/>
                  </a:schemeClr>
                </a:solidFill>
                <a:round/>
              </a:ln>
              <a:effectLst/>
            </c:spPr>
          </c:errBars>
          <c:cat>
            <c:strRef>
              <c:f>Sheet1!$A$2:$A$3</c:f>
              <c:strCache>
                <c:ptCount val="2"/>
                <c:pt idx="0">
                  <c:v>группа 1</c:v>
                </c:pt>
                <c:pt idx="1">
                  <c:v>группа 2</c:v>
                </c:pt>
              </c:strCache>
            </c:strRef>
          </c:cat>
          <c:val>
            <c:numRef>
              <c:f>Sheet1!$B$2:$B$3</c:f>
              <c:numCache>
                <c:formatCode>General</c:formatCode>
                <c:ptCount val="2"/>
                <c:pt idx="0">
                  <c:v>406</c:v>
                </c:pt>
                <c:pt idx="1">
                  <c:v>93.7</c:v>
                </c:pt>
              </c:numCache>
            </c:numRef>
          </c:val>
        </c:ser>
        <c:dLbls>
          <c:dLblPos val="inEnd"/>
          <c:showLegendKey val="0"/>
          <c:showVal val="1"/>
          <c:showCatName val="0"/>
          <c:showSerName val="0"/>
          <c:showPercent val="0"/>
          <c:showBubbleSize val="0"/>
        </c:dLbls>
        <c:gapWidth val="164"/>
        <c:overlap val="-22"/>
        <c:axId val="322566472"/>
        <c:axId val="322566080"/>
      </c:barChart>
      <c:catAx>
        <c:axId val="3225664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566080"/>
        <c:crosses val="autoZero"/>
        <c:auto val="1"/>
        <c:lblAlgn val="ctr"/>
        <c:lblOffset val="100"/>
        <c:noMultiLvlLbl val="0"/>
      </c:catAx>
      <c:valAx>
        <c:axId val="3225660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5664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a:t>%</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результативность ЭКО</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группа 1</c:v>
                </c:pt>
                <c:pt idx="1">
                  <c:v>группа 2</c:v>
                </c:pt>
              </c:strCache>
            </c:strRef>
          </c:cat>
          <c:val>
            <c:numRef>
              <c:f>Sheet1!$B$2:$B$3</c:f>
              <c:numCache>
                <c:formatCode>0.00%</c:formatCode>
                <c:ptCount val="2"/>
                <c:pt idx="0">
                  <c:v>0.189</c:v>
                </c:pt>
                <c:pt idx="1">
                  <c:v>0.46400000000000002</c:v>
                </c:pt>
              </c:numCache>
            </c:numRef>
          </c:val>
        </c:ser>
        <c:dLbls>
          <c:dLblPos val="inEnd"/>
          <c:showLegendKey val="0"/>
          <c:showVal val="1"/>
          <c:showCatName val="0"/>
          <c:showSerName val="0"/>
          <c:showPercent val="0"/>
          <c:showBubbleSize val="0"/>
        </c:dLbls>
        <c:gapWidth val="164"/>
        <c:overlap val="-22"/>
        <c:axId val="322567256"/>
        <c:axId val="322569216"/>
      </c:barChart>
      <c:catAx>
        <c:axId val="3225672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569216"/>
        <c:crosses val="autoZero"/>
        <c:auto val="1"/>
        <c:lblAlgn val="ctr"/>
        <c:lblOffset val="100"/>
        <c:noMultiLvlLbl val="0"/>
      </c:catAx>
      <c:valAx>
        <c:axId val="32256921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567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частота возникновения СГЯ </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группа 1</c:v>
                </c:pt>
                <c:pt idx="1">
                  <c:v>группа 2</c:v>
                </c:pt>
              </c:strCache>
            </c:strRef>
          </c:cat>
          <c:val>
            <c:numRef>
              <c:f>Sheet1!$B$2:$B$3</c:f>
              <c:numCache>
                <c:formatCode>0%</c:formatCode>
                <c:ptCount val="2"/>
                <c:pt idx="0">
                  <c:v>0.02</c:v>
                </c:pt>
                <c:pt idx="1">
                  <c:v>0.12</c:v>
                </c:pt>
              </c:numCache>
            </c:numRef>
          </c:val>
        </c:ser>
        <c:dLbls>
          <c:dLblPos val="inEnd"/>
          <c:showLegendKey val="0"/>
          <c:showVal val="1"/>
          <c:showCatName val="0"/>
          <c:showSerName val="0"/>
          <c:showPercent val="0"/>
          <c:showBubbleSize val="0"/>
        </c:dLbls>
        <c:gapWidth val="164"/>
        <c:overlap val="-22"/>
        <c:axId val="273183216"/>
        <c:axId val="273187136"/>
      </c:barChart>
      <c:catAx>
        <c:axId val="2731832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3187136"/>
        <c:crosses val="autoZero"/>
        <c:auto val="1"/>
        <c:lblAlgn val="ctr"/>
        <c:lblOffset val="100"/>
        <c:noMultiLvlLbl val="0"/>
      </c:catAx>
      <c:valAx>
        <c:axId val="27318713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31832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E7CEF-B175-4741-83DB-22DD419C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43</Pages>
  <Words>8205</Words>
  <Characters>46769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dacotq</cp:lastModifiedBy>
  <cp:revision>8</cp:revision>
  <dcterms:created xsi:type="dcterms:W3CDTF">2016-04-05T14:06:00Z</dcterms:created>
  <dcterms:modified xsi:type="dcterms:W3CDTF">2016-05-15T19:35:00Z</dcterms:modified>
</cp:coreProperties>
</file>