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542DEF" w14:textId="77777777" w:rsidR="005F2CAB" w:rsidRPr="0084595B" w:rsidRDefault="00B619E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center"/>
        <w:rPr>
          <w:rFonts w:eastAsia="Charter Roman" w:cs="Times New Roman"/>
          <w:color w:val="000000"/>
        </w:rPr>
      </w:pPr>
      <w:bookmarkStart w:id="0" w:name="_Hlk167282147"/>
      <w:bookmarkStart w:id="1" w:name="_Hlk168070899"/>
      <w:bookmarkEnd w:id="1"/>
      <w:r w:rsidRPr="0084595B">
        <w:rPr>
          <w:rFonts w:eastAsia="Charter Roman" w:cs="Times New Roman"/>
          <w:color w:val="000000"/>
        </w:rPr>
        <w:t>Saint Petersburg State University</w:t>
      </w:r>
    </w:p>
    <w:p w14:paraId="6E72EDDB" w14:textId="77777777" w:rsidR="005F2CAB" w:rsidRPr="0084595B" w:rsidRDefault="00B619E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center"/>
        <w:rPr>
          <w:rFonts w:eastAsia="Charter Roman" w:cs="Times New Roman"/>
          <w:color w:val="000000"/>
        </w:rPr>
      </w:pPr>
      <w:r w:rsidRPr="0084595B">
        <w:rPr>
          <w:rFonts w:eastAsia="Charter Roman" w:cs="Times New Roman"/>
          <w:color w:val="000000"/>
        </w:rPr>
        <w:t>Graduate School of Management</w:t>
      </w:r>
    </w:p>
    <w:p w14:paraId="4A1BE810" w14:textId="77777777" w:rsidR="005F2CAB" w:rsidRPr="0084595B" w:rsidRDefault="005F2CAB">
      <w:pPr>
        <w:rPr>
          <w:rFonts w:eastAsia="Charter Roman" w:cs="Times New Roman"/>
        </w:rPr>
      </w:pPr>
    </w:p>
    <w:p w14:paraId="2BA2913E" w14:textId="77777777" w:rsidR="005F2CAB" w:rsidRPr="0084595B" w:rsidRDefault="005F2CAB">
      <w:pPr>
        <w:rPr>
          <w:rFonts w:eastAsia="Charter Roman" w:cs="Times New Roman"/>
        </w:rPr>
      </w:pPr>
    </w:p>
    <w:p w14:paraId="16AAD2CA" w14:textId="77777777" w:rsidR="005F2CAB" w:rsidRPr="0084595B" w:rsidRDefault="005F2CAB">
      <w:pPr>
        <w:rPr>
          <w:rFonts w:eastAsia="Charter Roman" w:cs="Times New Roman"/>
        </w:rPr>
      </w:pPr>
    </w:p>
    <w:p w14:paraId="6564EE44" w14:textId="77777777" w:rsidR="005F2CAB" w:rsidRPr="0084595B" w:rsidRDefault="005F2CAB">
      <w:pPr>
        <w:rPr>
          <w:rFonts w:cs="Times New Roman"/>
        </w:rPr>
      </w:pPr>
    </w:p>
    <w:p w14:paraId="6C15A2B5" w14:textId="77777777" w:rsidR="005F2CAB" w:rsidRPr="0084595B" w:rsidRDefault="005F2CAB">
      <w:pPr>
        <w:rPr>
          <w:rFonts w:eastAsia="Charter Roman" w:cs="Times New Roman"/>
        </w:rPr>
      </w:pPr>
    </w:p>
    <w:p w14:paraId="150FEB33" w14:textId="77777777" w:rsidR="005F2CAB" w:rsidRPr="0084595B" w:rsidRDefault="005F2CAB">
      <w:pPr>
        <w:rPr>
          <w:rFonts w:eastAsia="Charter Roman" w:cs="Times New Roman"/>
        </w:rPr>
      </w:pPr>
    </w:p>
    <w:p w14:paraId="1EBEB74E" w14:textId="7F0E0D71" w:rsidR="005F2CAB" w:rsidRPr="0084595B" w:rsidRDefault="0018549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center"/>
        <w:rPr>
          <w:rFonts w:eastAsia="Charter Roman" w:cs="Times New Roman"/>
          <w:b/>
          <w:color w:val="000000"/>
        </w:rPr>
      </w:pPr>
      <w:r w:rsidRPr="0084595B">
        <w:rPr>
          <w:rFonts w:eastAsia="Charter Roman" w:cs="Times New Roman"/>
          <w:b/>
          <w:color w:val="000000"/>
        </w:rPr>
        <w:t>Master Thesis</w:t>
      </w:r>
    </w:p>
    <w:p w14:paraId="158AF285" w14:textId="77777777" w:rsidR="005F2CAB" w:rsidRPr="0084595B" w:rsidRDefault="005F2CAB">
      <w:pPr>
        <w:rPr>
          <w:rFonts w:eastAsia="Charter Roman" w:cs="Times New Roman"/>
        </w:rPr>
      </w:pPr>
    </w:p>
    <w:p w14:paraId="5DE3D76E" w14:textId="42173E67" w:rsidR="005F2CAB" w:rsidRPr="0084595B" w:rsidRDefault="0018549A" w:rsidP="0018549A">
      <w:pPr>
        <w:jc w:val="center"/>
        <w:rPr>
          <w:rFonts w:eastAsia="Charter Roman" w:cs="Times New Roman"/>
          <w:b/>
          <w:i/>
          <w:color w:val="000000"/>
        </w:rPr>
      </w:pPr>
      <w:r w:rsidRPr="0084595B">
        <w:rPr>
          <w:rFonts w:eastAsia="Charter Roman" w:cs="Times New Roman"/>
          <w:b/>
          <w:i/>
          <w:color w:val="000000"/>
        </w:rPr>
        <w:t xml:space="preserve">Corporate Social Responsibility in </w:t>
      </w:r>
      <w:r w:rsidR="00AD4FB2">
        <w:rPr>
          <w:rFonts w:cs="Times New Roman"/>
          <w:b/>
          <w:i/>
          <w:color w:val="000000"/>
        </w:rPr>
        <w:br/>
      </w:r>
      <w:r w:rsidRPr="0084595B">
        <w:rPr>
          <w:rFonts w:eastAsia="Charter Roman" w:cs="Times New Roman"/>
          <w:b/>
          <w:i/>
          <w:color w:val="000000"/>
        </w:rPr>
        <w:t>State-Owned</w:t>
      </w:r>
      <w:r w:rsidR="00533280">
        <w:rPr>
          <w:rFonts w:eastAsia="Charter Roman" w:cs="Times New Roman"/>
          <w:b/>
          <w:i/>
          <w:color w:val="000000"/>
        </w:rPr>
        <w:t xml:space="preserve"> Enterprises</w:t>
      </w:r>
      <w:r w:rsidRPr="0084595B">
        <w:rPr>
          <w:rFonts w:eastAsia="Charter Roman" w:cs="Times New Roman"/>
          <w:b/>
          <w:i/>
          <w:color w:val="000000"/>
        </w:rPr>
        <w:t xml:space="preserve"> (SOEs) vs Non-State-Owned </w:t>
      </w:r>
      <w:r w:rsidR="00533280">
        <w:rPr>
          <w:rFonts w:eastAsia="Charter Roman" w:cs="Times New Roman"/>
          <w:b/>
          <w:i/>
          <w:color w:val="000000"/>
        </w:rPr>
        <w:t>Enterprises</w:t>
      </w:r>
      <w:r w:rsidR="00533280" w:rsidRPr="0084595B">
        <w:rPr>
          <w:rFonts w:eastAsia="Charter Roman" w:cs="Times New Roman"/>
          <w:b/>
          <w:i/>
          <w:color w:val="000000"/>
        </w:rPr>
        <w:t xml:space="preserve"> </w:t>
      </w:r>
      <w:r w:rsidRPr="0084595B">
        <w:rPr>
          <w:rFonts w:eastAsia="Charter Roman" w:cs="Times New Roman"/>
          <w:b/>
          <w:i/>
          <w:color w:val="000000"/>
        </w:rPr>
        <w:t xml:space="preserve">(non-SOEs): </w:t>
      </w:r>
      <w:r w:rsidR="00AD4FB2">
        <w:rPr>
          <w:rFonts w:cs="Times New Roman"/>
          <w:b/>
          <w:i/>
          <w:color w:val="000000"/>
        </w:rPr>
        <w:br/>
      </w:r>
      <w:r w:rsidRPr="0084595B">
        <w:rPr>
          <w:rFonts w:eastAsia="Charter Roman" w:cs="Times New Roman"/>
          <w:b/>
          <w:i/>
          <w:color w:val="000000"/>
        </w:rPr>
        <w:t xml:space="preserve">Comparative Analysis of Russia and China  </w:t>
      </w:r>
    </w:p>
    <w:p w14:paraId="08CC7AFE" w14:textId="77777777" w:rsidR="005F2CAB" w:rsidRPr="0084595B" w:rsidRDefault="005F2CAB">
      <w:pPr>
        <w:rPr>
          <w:rFonts w:eastAsia="Charter Roman" w:cs="Times New Roman"/>
        </w:rPr>
      </w:pPr>
    </w:p>
    <w:p w14:paraId="2797288F" w14:textId="44E433C0" w:rsidR="005F2CAB" w:rsidRPr="00AD4FB2" w:rsidRDefault="005F2CAB" w:rsidP="00AD4FB2">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rPr>
          <w:rFonts w:cs="Times New Roman" w:hint="eastAsia"/>
          <w:color w:val="000000"/>
        </w:rPr>
      </w:pPr>
    </w:p>
    <w:p w14:paraId="54207A11" w14:textId="77777777" w:rsidR="005F2CAB" w:rsidRPr="0084595B" w:rsidRDefault="005F2CAB">
      <w:pPr>
        <w:rPr>
          <w:rFonts w:cs="Times New Roman"/>
        </w:rPr>
      </w:pPr>
    </w:p>
    <w:p w14:paraId="7CF7B145" w14:textId="063E527B" w:rsidR="005F2CAB" w:rsidRDefault="005F2CAB" w:rsidP="0018549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left="5386" w:right="140"/>
        <w:jc w:val="right"/>
        <w:rPr>
          <w:rFonts w:cs="Times New Roman"/>
          <w:color w:val="000000"/>
        </w:rPr>
      </w:pPr>
    </w:p>
    <w:p w14:paraId="4F261AEE" w14:textId="77777777" w:rsidR="0084595B" w:rsidRPr="0084595B" w:rsidRDefault="0084595B" w:rsidP="0018549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left="5386" w:right="140"/>
        <w:jc w:val="right"/>
        <w:rPr>
          <w:rFonts w:cs="Times New Roman"/>
          <w:color w:val="000000"/>
        </w:rPr>
      </w:pPr>
    </w:p>
    <w:p w14:paraId="4E9D22CC" w14:textId="77777777" w:rsidR="0018549A" w:rsidRPr="0084595B" w:rsidRDefault="0018549A" w:rsidP="0018549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left="5386" w:right="140"/>
        <w:jc w:val="right"/>
        <w:rPr>
          <w:rFonts w:eastAsia="Charter Roman" w:cs="Times New Roman"/>
          <w:color w:val="000000"/>
        </w:rPr>
      </w:pPr>
    </w:p>
    <w:p w14:paraId="6B1102F2" w14:textId="77777777" w:rsidR="00BB55ED" w:rsidRPr="0084595B" w:rsidRDefault="00BB55ED" w:rsidP="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right="700"/>
        <w:rPr>
          <w:rFonts w:cs="Times New Roman"/>
          <w:color w:val="000000"/>
        </w:rPr>
      </w:pPr>
    </w:p>
    <w:p w14:paraId="699B28FE" w14:textId="09CCB095" w:rsidR="00683939" w:rsidRPr="0084595B" w:rsidRDefault="0084595B" w:rsidP="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left="3690" w:right="140" w:hanging="1606"/>
        <w:jc w:val="right"/>
        <w:rPr>
          <w:rFonts w:cs="Times New Roman"/>
          <w:color w:val="000000"/>
          <w:sz w:val="24"/>
          <w:szCs w:val="24"/>
        </w:rPr>
      </w:pPr>
      <w:r w:rsidRPr="0084595B">
        <w:rPr>
          <w:rFonts w:cs="Times New Roman"/>
          <w:color w:val="000000"/>
          <w:sz w:val="24"/>
          <w:szCs w:val="24"/>
        </w:rPr>
        <w:t>Master’s Thesis by the 2</w:t>
      </w:r>
      <w:r w:rsidRPr="0084595B">
        <w:rPr>
          <w:rFonts w:cs="Times New Roman"/>
          <w:color w:val="000000"/>
          <w:sz w:val="24"/>
          <w:szCs w:val="24"/>
          <w:vertAlign w:val="superscript"/>
        </w:rPr>
        <w:t>nd</w:t>
      </w:r>
      <w:r w:rsidRPr="0084595B">
        <w:rPr>
          <w:rFonts w:cs="Times New Roman"/>
          <w:color w:val="000000"/>
          <w:sz w:val="24"/>
          <w:szCs w:val="24"/>
        </w:rPr>
        <w:t xml:space="preserve"> year student: </w:t>
      </w:r>
    </w:p>
    <w:p w14:paraId="671D6B14" w14:textId="77777777" w:rsidR="00BB55ED" w:rsidRPr="0084595B" w:rsidRDefault="00BB55ED" w:rsidP="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right="700"/>
        <w:rPr>
          <w:rFonts w:cs="Times New Roman"/>
          <w:color w:val="000000"/>
          <w:sz w:val="24"/>
          <w:szCs w:val="24"/>
        </w:rPr>
      </w:pPr>
    </w:p>
    <w:p w14:paraId="06DC91FC" w14:textId="6EA1BD92" w:rsidR="005F2CAB" w:rsidRPr="0084595B" w:rsidRDefault="00B619ED" w:rsidP="00BB55E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left="5387"/>
        <w:jc w:val="right"/>
        <w:rPr>
          <w:rFonts w:eastAsia="Charter Roman" w:cs="Times New Roman"/>
          <w:color w:val="000000"/>
          <w:sz w:val="24"/>
          <w:szCs w:val="24"/>
        </w:rPr>
      </w:pPr>
      <w:r w:rsidRPr="0084595B">
        <w:rPr>
          <w:rFonts w:eastAsia="Charter Roman" w:cs="Times New Roman"/>
          <w:color w:val="000000"/>
          <w:sz w:val="24"/>
          <w:szCs w:val="24"/>
        </w:rPr>
        <w:t>Yohei Ogaw</w:t>
      </w:r>
      <w:r w:rsidR="0018549A" w:rsidRPr="0084595B">
        <w:rPr>
          <w:rFonts w:eastAsia="Charter Roman" w:cs="Times New Roman"/>
          <w:color w:val="000000"/>
          <w:sz w:val="24"/>
          <w:szCs w:val="24"/>
        </w:rPr>
        <w:t>a</w:t>
      </w:r>
      <w:r w:rsidRPr="0084595B">
        <w:rPr>
          <w:rFonts w:eastAsia="Charter Roman" w:cs="Times New Roman"/>
          <w:color w:val="000000"/>
          <w:sz w:val="24"/>
          <w:szCs w:val="24"/>
        </w:rPr>
        <w:t xml:space="preserve">     </w:t>
      </w:r>
    </w:p>
    <w:p w14:paraId="0C2E2F81" w14:textId="77777777" w:rsidR="0084595B" w:rsidRPr="0084595B" w:rsidRDefault="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both"/>
        <w:rPr>
          <w:rFonts w:cs="Times New Roman"/>
          <w:b/>
          <w:color w:val="000000"/>
          <w:sz w:val="24"/>
          <w:szCs w:val="24"/>
        </w:rPr>
      </w:pPr>
    </w:p>
    <w:p w14:paraId="7415E56B" w14:textId="36E5456C" w:rsidR="0084595B" w:rsidRPr="0084595B" w:rsidRDefault="0084595B" w:rsidP="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right"/>
        <w:rPr>
          <w:rFonts w:cs="Times New Roman"/>
          <w:bCs/>
          <w:color w:val="000000"/>
          <w:sz w:val="24"/>
          <w:szCs w:val="24"/>
        </w:rPr>
      </w:pPr>
      <w:r w:rsidRPr="0084595B">
        <w:rPr>
          <w:rFonts w:cs="Times New Roman" w:hint="eastAsia"/>
          <w:bCs/>
          <w:color w:val="000000"/>
          <w:sz w:val="24"/>
          <w:szCs w:val="24"/>
        </w:rPr>
        <w:t xml:space="preserve">Research advisor: </w:t>
      </w:r>
      <w:r w:rsidRPr="0084595B">
        <w:rPr>
          <w:rFonts w:cs="Times New Roman"/>
          <w:bCs/>
          <w:color w:val="000000"/>
          <w:sz w:val="24"/>
          <w:szCs w:val="24"/>
        </w:rPr>
        <w:br/>
      </w:r>
      <w:r w:rsidRPr="0084595B">
        <w:rPr>
          <w:rFonts w:cs="Times New Roman" w:hint="eastAsia"/>
          <w:bCs/>
          <w:color w:val="000000"/>
          <w:sz w:val="24"/>
          <w:szCs w:val="24"/>
        </w:rPr>
        <w:t xml:space="preserve">Associate Professor, Department of Strategic </w:t>
      </w:r>
      <w:r w:rsidRPr="0084595B">
        <w:rPr>
          <w:rFonts w:cs="Times New Roman"/>
          <w:bCs/>
          <w:color w:val="000000"/>
          <w:sz w:val="24"/>
          <w:szCs w:val="24"/>
        </w:rPr>
        <w:br/>
      </w:r>
      <w:r w:rsidRPr="0084595B">
        <w:rPr>
          <w:rFonts w:cs="Times New Roman" w:hint="eastAsia"/>
          <w:bCs/>
          <w:color w:val="000000"/>
          <w:sz w:val="24"/>
          <w:szCs w:val="24"/>
        </w:rPr>
        <w:t xml:space="preserve">and International Management </w:t>
      </w:r>
      <w:r w:rsidRPr="0084595B">
        <w:rPr>
          <w:rFonts w:cs="Times New Roman"/>
          <w:bCs/>
          <w:color w:val="000000"/>
          <w:sz w:val="24"/>
          <w:szCs w:val="24"/>
        </w:rPr>
        <w:br/>
      </w:r>
      <w:r w:rsidRPr="0084595B">
        <w:rPr>
          <w:rFonts w:cs="Times New Roman"/>
          <w:bCs/>
          <w:color w:val="000000"/>
          <w:sz w:val="24"/>
          <w:szCs w:val="24"/>
        </w:rPr>
        <w:br/>
      </w:r>
      <w:r w:rsidRPr="0084595B">
        <w:rPr>
          <w:rFonts w:cs="Times New Roman" w:hint="eastAsia"/>
          <w:bCs/>
          <w:color w:val="000000"/>
          <w:sz w:val="24"/>
          <w:szCs w:val="24"/>
        </w:rPr>
        <w:t>Yulia Niko</w:t>
      </w:r>
      <w:r w:rsidR="00E90BD5">
        <w:rPr>
          <w:rFonts w:cs="Times New Roman"/>
          <w:bCs/>
          <w:color w:val="000000"/>
          <w:sz w:val="24"/>
          <w:szCs w:val="24"/>
        </w:rPr>
        <w:t>la</w:t>
      </w:r>
      <w:r w:rsidRPr="0084595B">
        <w:rPr>
          <w:rFonts w:cs="Times New Roman" w:hint="eastAsia"/>
          <w:bCs/>
          <w:color w:val="000000"/>
          <w:sz w:val="24"/>
          <w:szCs w:val="24"/>
        </w:rPr>
        <w:t xml:space="preserve">evna </w:t>
      </w:r>
      <w:proofErr w:type="spellStart"/>
      <w:r w:rsidRPr="0084595B">
        <w:rPr>
          <w:rFonts w:cs="Times New Roman" w:hint="eastAsia"/>
          <w:bCs/>
          <w:color w:val="000000"/>
          <w:sz w:val="24"/>
          <w:szCs w:val="24"/>
        </w:rPr>
        <w:t>Aray</w:t>
      </w:r>
      <w:proofErr w:type="spellEnd"/>
    </w:p>
    <w:p w14:paraId="05A420AF" w14:textId="77777777" w:rsidR="005F2CAB" w:rsidRPr="0084595B" w:rsidRDefault="005F2CA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cs="Times New Roman"/>
          <w:color w:val="000000"/>
          <w:sz w:val="24"/>
          <w:szCs w:val="24"/>
        </w:rPr>
      </w:pPr>
    </w:p>
    <w:p w14:paraId="657F8C97" w14:textId="77777777" w:rsidR="0084595B" w:rsidRPr="0084595B" w:rsidRDefault="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cs="Times New Roman"/>
          <w:color w:val="000000"/>
          <w:sz w:val="24"/>
          <w:szCs w:val="24"/>
        </w:rPr>
      </w:pPr>
    </w:p>
    <w:p w14:paraId="5D8EE112" w14:textId="77777777" w:rsidR="0084595B" w:rsidRDefault="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cs="Times New Roman"/>
          <w:color w:val="000000"/>
        </w:rPr>
      </w:pPr>
    </w:p>
    <w:p w14:paraId="0B9EF138" w14:textId="77777777" w:rsidR="0084595B" w:rsidRDefault="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cs="Times New Roman"/>
          <w:color w:val="000000"/>
        </w:rPr>
      </w:pPr>
    </w:p>
    <w:p w14:paraId="5887EE83" w14:textId="77777777" w:rsidR="0084595B" w:rsidRDefault="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cs="Times New Roman"/>
          <w:color w:val="000000"/>
        </w:rPr>
      </w:pPr>
    </w:p>
    <w:p w14:paraId="3BE0297D" w14:textId="77777777" w:rsidR="0084595B" w:rsidRPr="0084595B" w:rsidRDefault="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cs="Times New Roman"/>
          <w:color w:val="000000"/>
        </w:rPr>
      </w:pPr>
    </w:p>
    <w:p w14:paraId="04867DB2" w14:textId="77777777" w:rsidR="005F2CAB" w:rsidRPr="0068667F" w:rsidRDefault="00B619E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eastAsia="Charter Roman" w:cs="Times New Roman"/>
          <w:color w:val="000000"/>
          <w:lang w:val="ru-RU"/>
        </w:rPr>
      </w:pPr>
      <w:r w:rsidRPr="0084595B">
        <w:rPr>
          <w:rFonts w:eastAsia="Charter Roman" w:cs="Times New Roman"/>
          <w:color w:val="000000"/>
        </w:rPr>
        <w:t>Saint</w:t>
      </w:r>
      <w:r w:rsidRPr="0068667F">
        <w:rPr>
          <w:rFonts w:eastAsia="Charter Roman" w:cs="Times New Roman"/>
          <w:color w:val="000000"/>
          <w:lang w:val="ru-RU"/>
        </w:rPr>
        <w:t xml:space="preserve"> </w:t>
      </w:r>
      <w:r w:rsidRPr="0084595B">
        <w:rPr>
          <w:rFonts w:eastAsia="Charter Roman" w:cs="Times New Roman"/>
          <w:color w:val="000000"/>
        </w:rPr>
        <w:t>Petersburg</w:t>
      </w:r>
    </w:p>
    <w:p w14:paraId="335073DA" w14:textId="71BACA9E" w:rsidR="00D21D3B" w:rsidRPr="004246BE" w:rsidRDefault="00B619ED" w:rsidP="0068667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cs="Times New Roman"/>
          <w:b/>
          <w:sz w:val="24"/>
          <w:szCs w:val="24"/>
          <w:lang w:val="ru-RU"/>
        </w:rPr>
      </w:pPr>
      <w:r w:rsidRPr="0068667F">
        <w:rPr>
          <w:rFonts w:eastAsia="Charter Roman" w:cs="Times New Roman"/>
          <w:color w:val="000000"/>
          <w:lang w:val="ru-RU"/>
        </w:rPr>
        <w:t>202</w:t>
      </w:r>
      <w:r w:rsidR="00BB55ED" w:rsidRPr="0068667F">
        <w:rPr>
          <w:rFonts w:eastAsia="Charter Roman" w:cs="Times New Roman"/>
          <w:color w:val="000000"/>
          <w:lang w:val="ru-RU"/>
        </w:rPr>
        <w:t>4</w:t>
      </w:r>
      <w:bookmarkEnd w:id="0"/>
    </w:p>
    <w:p w14:paraId="33B1ED22" w14:textId="77777777" w:rsidR="00D21D3B" w:rsidRPr="00D21D3B" w:rsidRDefault="00D21D3B" w:rsidP="00D21D3B">
      <w:pPr>
        <w:keepNext/>
        <w:keepLines/>
        <w:spacing w:before="240" w:line="360" w:lineRule="auto"/>
        <w:ind w:left="357" w:firstLine="709"/>
        <w:jc w:val="center"/>
        <w:rPr>
          <w:rFonts w:eastAsia="Times New Roman" w:cs="Times New Roman"/>
          <w:b/>
          <w:sz w:val="24"/>
          <w:szCs w:val="24"/>
          <w:lang w:val="ru-RU"/>
        </w:rPr>
      </w:pPr>
      <w:r w:rsidRPr="00D21D3B">
        <w:rPr>
          <w:rFonts w:eastAsia="Times New Roman" w:cs="Times New Roman"/>
          <w:b/>
          <w:sz w:val="24"/>
          <w:szCs w:val="24"/>
          <w:lang w:val="ru-RU"/>
        </w:rPr>
        <w:lastRenderedPageBreak/>
        <w:t>ЗАЯВЛЕНИЕ О САМОСТОЯТЕЛЬНОМ ХАРАКТЕРЕ ВЫПОЛНЕНИЯ ВЫПУСКНОЙ КВАЛИФИКАЦИОННОЙ РАБОТЫ</w:t>
      </w:r>
    </w:p>
    <w:p w14:paraId="4BE307E5" w14:textId="77777777" w:rsidR="00D21D3B" w:rsidRPr="00D21D3B" w:rsidRDefault="00D21D3B" w:rsidP="00D21D3B">
      <w:pPr>
        <w:jc w:val="center"/>
        <w:rPr>
          <w:rFonts w:eastAsia="Times New Roman" w:cs="Times New Roman"/>
          <w:sz w:val="23"/>
          <w:szCs w:val="23"/>
          <w:lang w:val="ru-RU"/>
        </w:rPr>
      </w:pPr>
    </w:p>
    <w:p w14:paraId="5FB2AE29" w14:textId="77777777" w:rsidR="00D21D3B" w:rsidRPr="00D21D3B" w:rsidRDefault="00D21D3B" w:rsidP="00D21D3B">
      <w:pPr>
        <w:spacing w:line="360" w:lineRule="auto"/>
        <w:ind w:firstLine="850"/>
        <w:jc w:val="both"/>
        <w:rPr>
          <w:rFonts w:eastAsia="Times New Roman" w:cs="Times New Roman"/>
          <w:sz w:val="24"/>
          <w:szCs w:val="24"/>
          <w:lang w:val="ru-RU"/>
        </w:rPr>
      </w:pPr>
      <w:r w:rsidRPr="00D21D3B">
        <w:rPr>
          <w:rFonts w:eastAsia="Times New Roman" w:cs="Times New Roman"/>
          <w:sz w:val="24"/>
          <w:szCs w:val="24"/>
          <w:lang w:val="ru-RU"/>
        </w:rPr>
        <w:t xml:space="preserve">Я, </w:t>
      </w:r>
      <w:proofErr w:type="spellStart"/>
      <w:r w:rsidRPr="00D21D3B">
        <w:rPr>
          <w:rFonts w:eastAsia="Times New Roman" w:cs="Times New Roman"/>
          <w:sz w:val="24"/>
          <w:szCs w:val="24"/>
          <w:lang w:val="ru-RU"/>
        </w:rPr>
        <w:t>Давлетбаева</w:t>
      </w:r>
      <w:proofErr w:type="spellEnd"/>
      <w:r w:rsidRPr="00D21D3B">
        <w:rPr>
          <w:rFonts w:eastAsia="Times New Roman" w:cs="Times New Roman"/>
          <w:sz w:val="24"/>
          <w:szCs w:val="24"/>
          <w:lang w:val="ru-RU"/>
        </w:rPr>
        <w:t xml:space="preserve"> Амалия </w:t>
      </w:r>
      <w:proofErr w:type="spellStart"/>
      <w:r w:rsidRPr="00D21D3B">
        <w:rPr>
          <w:rFonts w:eastAsia="Times New Roman" w:cs="Times New Roman"/>
          <w:sz w:val="24"/>
          <w:szCs w:val="24"/>
          <w:lang w:val="ru-RU"/>
        </w:rPr>
        <w:t>Азатовна</w:t>
      </w:r>
      <w:proofErr w:type="spellEnd"/>
      <w:r w:rsidRPr="00D21D3B">
        <w:rPr>
          <w:rFonts w:eastAsia="Times New Roman" w:cs="Times New Roman"/>
          <w:sz w:val="24"/>
          <w:szCs w:val="24"/>
          <w:lang w:val="ru-RU"/>
        </w:rPr>
        <w:t>, студентка второго курса магистратуры направления «Менеджмент», заявляю, что в моей ВКР на тему «Факторы формирования пользовательского опыта в приложениях для здоровья», представленной в службу обеспечения программ магистратуры для последующей передачи в государственную аттестационную комиссию для публичной защиты, не содержится элементов плагиата.</w:t>
      </w:r>
    </w:p>
    <w:p w14:paraId="64D05028" w14:textId="77777777" w:rsidR="00D21D3B" w:rsidRPr="00D21D3B" w:rsidRDefault="00D21D3B" w:rsidP="00D21D3B">
      <w:pPr>
        <w:spacing w:line="360" w:lineRule="auto"/>
        <w:ind w:firstLine="850"/>
        <w:jc w:val="both"/>
        <w:rPr>
          <w:rFonts w:eastAsia="Times New Roman" w:cs="Times New Roman"/>
          <w:sz w:val="24"/>
          <w:szCs w:val="24"/>
          <w:lang w:val="ru-RU"/>
        </w:rPr>
      </w:pPr>
      <w:r w:rsidRPr="00D21D3B">
        <w:rPr>
          <w:rFonts w:eastAsia="Times New Roman" w:cs="Times New Roman"/>
          <w:sz w:val="24"/>
          <w:szCs w:val="24"/>
          <w:lang w:val="ru-RU"/>
        </w:rPr>
        <w:t>Все прямые заимствования из печатных и электронных источников, а также из защищенных ранее выпускных квалификационных работ, кандидатских и докторских диссертаций имеют соответствующие ссылки.</w:t>
      </w:r>
    </w:p>
    <w:p w14:paraId="757FCD7B" w14:textId="670B8959" w:rsidR="00D21D3B" w:rsidRDefault="00D21D3B" w:rsidP="00D21D3B">
      <w:pPr>
        <w:spacing w:line="360" w:lineRule="auto"/>
        <w:ind w:firstLine="850"/>
        <w:jc w:val="both"/>
        <w:rPr>
          <w:rFonts w:cs="Times New Roman"/>
          <w:sz w:val="24"/>
          <w:szCs w:val="24"/>
          <w:lang w:val="ru-RU"/>
        </w:rPr>
      </w:pPr>
      <w:r w:rsidRPr="00D21D3B">
        <w:rPr>
          <w:rFonts w:eastAsia="Times New Roman" w:cs="Times New Roman"/>
          <w:sz w:val="24"/>
          <w:szCs w:val="24"/>
          <w:lang w:val="ru-RU"/>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379DFFB5" w14:textId="77777777" w:rsidR="007242EA" w:rsidRDefault="007242EA" w:rsidP="00D21D3B">
      <w:pPr>
        <w:spacing w:line="360" w:lineRule="auto"/>
        <w:ind w:firstLine="850"/>
        <w:jc w:val="both"/>
        <w:rPr>
          <w:rFonts w:cs="Times New Roman"/>
          <w:sz w:val="24"/>
          <w:szCs w:val="24"/>
          <w:lang w:val="ru-RU"/>
        </w:rPr>
      </w:pPr>
    </w:p>
    <w:p w14:paraId="79A73C9C" w14:textId="736885B2" w:rsidR="007242EA" w:rsidRDefault="00922BC6" w:rsidP="00D21D3B">
      <w:pPr>
        <w:spacing w:line="360" w:lineRule="auto"/>
        <w:ind w:firstLine="850"/>
        <w:jc w:val="both"/>
        <w:rPr>
          <w:rFonts w:cs="Times New Roman"/>
          <w:sz w:val="24"/>
          <w:szCs w:val="24"/>
          <w:lang w:val="ru-RU"/>
        </w:rPr>
      </w:pPr>
      <w:r>
        <w:rPr>
          <w:rFonts w:eastAsia="Times New Roman" w:cs="Times New Roman"/>
          <w:noProof/>
          <w:sz w:val="24"/>
          <w:szCs w:val="24"/>
          <w:lang w:val="en-GB"/>
        </w:rPr>
        <mc:AlternateContent>
          <mc:Choice Requires="wpi">
            <w:drawing>
              <wp:anchor distT="0" distB="0" distL="114300" distR="114300" simplePos="0" relativeHeight="251658246" behindDoc="0" locked="0" layoutInCell="1" allowOverlap="1" wp14:anchorId="777F388F" wp14:editId="6C4CD56E">
                <wp:simplePos x="0" y="0"/>
                <wp:positionH relativeFrom="column">
                  <wp:posOffset>5235702</wp:posOffset>
                </wp:positionH>
                <wp:positionV relativeFrom="paragraph">
                  <wp:posOffset>-368046</wp:posOffset>
                </wp:positionV>
                <wp:extent cx="826560" cy="848880"/>
                <wp:effectExtent l="38100" t="38100" r="31115" b="27940"/>
                <wp:wrapNone/>
                <wp:docPr id="1947870370" name="インク 12"/>
                <wp:cNvGraphicFramePr>
                  <a:graphicFrameLocks xmlns:a="http://schemas.openxmlformats.org/drawingml/2006/main"/>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w14:cNvContentPartPr>
                      </w14:nvContentPartPr>
                      <w14:xfrm>
                        <a:off x="0" y="0"/>
                        <a:ext cx="826560" cy="848880"/>
                      </w14:xfrm>
                    </w14:contentPart>
                  </a:graphicData>
                </a:graphic>
              </wp:anchor>
            </w:drawing>
          </mc:Choice>
          <mc:Fallback>
            <w:pict>
              <v:shapetype w14:anchorId="69D6647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12" o:spid="_x0000_s1026" type="#_x0000_t75" style="position:absolute;margin-left:411.75pt;margin-top:-29.5pt;width:66.1pt;height:67.85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">
                <v:imagedata r:id="rId13" o:title=""/>
                <o:lock v:ext="edit" rotation="t" aspectratio="f"/>
              </v:shape>
            </w:pict>
          </mc:Fallback>
        </mc:AlternateContent>
      </w:r>
    </w:p>
    <w:p w14:paraId="1DE617A0" w14:textId="38A1546C" w:rsidR="007242EA" w:rsidRPr="00D21D3B" w:rsidRDefault="007242EA" w:rsidP="00D21D3B">
      <w:pPr>
        <w:spacing w:line="360" w:lineRule="auto"/>
        <w:ind w:firstLine="850"/>
        <w:jc w:val="both"/>
        <w:rPr>
          <w:rFonts w:cs="Times New Roman"/>
          <w:sz w:val="24"/>
          <w:szCs w:val="24"/>
          <w:lang w:val="ru-RU"/>
        </w:rPr>
      </w:pPr>
    </w:p>
    <w:p w14:paraId="42FAE93C" w14:textId="77777777" w:rsidR="00D21D3B" w:rsidRPr="00D21D3B" w:rsidRDefault="00D21D3B" w:rsidP="00D21D3B">
      <w:pPr>
        <w:spacing w:line="360" w:lineRule="auto"/>
        <w:jc w:val="right"/>
        <w:rPr>
          <w:rFonts w:eastAsia="Times New Roman" w:cs="Times New Roman"/>
          <w:sz w:val="23"/>
          <w:szCs w:val="23"/>
          <w:lang w:val="en-GB"/>
        </w:rPr>
      </w:pPr>
      <w:r w:rsidRPr="00D21D3B">
        <w:rPr>
          <w:rFonts w:eastAsia="Times New Roman" w:cs="Times New Roman"/>
          <w:sz w:val="24"/>
          <w:szCs w:val="24"/>
          <w:lang w:val="en-GB"/>
        </w:rPr>
        <w:t>11.03.2024</w:t>
      </w:r>
    </w:p>
    <w:p w14:paraId="488E7E52" w14:textId="77777777" w:rsidR="00004292" w:rsidRDefault="00004292" w:rsidP="00943D8A">
      <w:pPr>
        <w:rPr>
          <w:rFonts w:cs="Times New Roman"/>
          <w:b/>
          <w:sz w:val="24"/>
          <w:szCs w:val="24"/>
          <w:lang w:val="en-GB"/>
        </w:rPr>
      </w:pPr>
    </w:p>
    <w:p w14:paraId="5906D230" w14:textId="77777777" w:rsidR="00004292" w:rsidRDefault="00004292" w:rsidP="00943D8A">
      <w:pPr>
        <w:rPr>
          <w:rFonts w:cs="Times New Roman"/>
          <w:b/>
          <w:sz w:val="24"/>
          <w:szCs w:val="24"/>
          <w:lang w:val="en-GB"/>
        </w:rPr>
      </w:pPr>
    </w:p>
    <w:p w14:paraId="0AED195F" w14:textId="77777777" w:rsidR="00004292" w:rsidRDefault="00004292" w:rsidP="00943D8A">
      <w:pPr>
        <w:rPr>
          <w:rFonts w:cs="Times New Roman"/>
          <w:b/>
          <w:sz w:val="24"/>
          <w:szCs w:val="24"/>
          <w:lang w:val="en-GB"/>
        </w:rPr>
      </w:pPr>
    </w:p>
    <w:p w14:paraId="7F486CD6" w14:textId="77777777" w:rsidR="00DA7192" w:rsidRDefault="00DA7192" w:rsidP="00943D8A">
      <w:pPr>
        <w:rPr>
          <w:rFonts w:cs="Times New Roman"/>
          <w:b/>
          <w:sz w:val="24"/>
          <w:szCs w:val="24"/>
          <w:lang w:val="en-GB"/>
        </w:rPr>
      </w:pPr>
    </w:p>
    <w:p w14:paraId="06A5D394" w14:textId="77777777" w:rsidR="00DA7192" w:rsidRDefault="00DA7192" w:rsidP="00943D8A">
      <w:pPr>
        <w:rPr>
          <w:rFonts w:cs="Times New Roman"/>
          <w:b/>
          <w:sz w:val="24"/>
          <w:szCs w:val="24"/>
          <w:lang w:val="en-GB"/>
        </w:rPr>
      </w:pPr>
    </w:p>
    <w:p w14:paraId="38496B5E" w14:textId="3E142B29" w:rsidR="00DA7192" w:rsidRDefault="00DA7192" w:rsidP="00943D8A">
      <w:pPr>
        <w:rPr>
          <w:rFonts w:cs="Times New Roman"/>
          <w:b/>
          <w:sz w:val="24"/>
          <w:szCs w:val="24"/>
          <w:lang w:val="en-GB"/>
        </w:rPr>
      </w:pPr>
    </w:p>
    <w:p w14:paraId="2A707BBE" w14:textId="77777777" w:rsidR="00DA7192" w:rsidRDefault="00DA7192" w:rsidP="00943D8A">
      <w:pPr>
        <w:rPr>
          <w:rFonts w:cs="Times New Roman"/>
          <w:b/>
          <w:sz w:val="24"/>
          <w:szCs w:val="24"/>
          <w:lang w:val="en-GB"/>
        </w:rPr>
      </w:pPr>
    </w:p>
    <w:p w14:paraId="390ABB7B" w14:textId="77777777" w:rsidR="00004292" w:rsidRDefault="00004292" w:rsidP="00943D8A">
      <w:pPr>
        <w:rPr>
          <w:rFonts w:cs="Times New Roman"/>
          <w:b/>
          <w:sz w:val="24"/>
          <w:szCs w:val="24"/>
          <w:lang w:val="en-GB"/>
        </w:rPr>
      </w:pPr>
    </w:p>
    <w:p w14:paraId="53EC29E3" w14:textId="77777777" w:rsidR="00004292" w:rsidRDefault="00004292" w:rsidP="00943D8A">
      <w:pPr>
        <w:rPr>
          <w:rFonts w:cs="Times New Roman"/>
          <w:b/>
          <w:sz w:val="24"/>
          <w:szCs w:val="24"/>
          <w:lang w:val="en-GB"/>
        </w:rPr>
      </w:pPr>
    </w:p>
    <w:p w14:paraId="463753D6" w14:textId="77777777" w:rsidR="00004292" w:rsidRDefault="00004292" w:rsidP="00943D8A">
      <w:pPr>
        <w:rPr>
          <w:rFonts w:cs="Times New Roman"/>
          <w:b/>
          <w:sz w:val="24"/>
          <w:szCs w:val="24"/>
          <w:lang w:val="en-GB"/>
        </w:rPr>
      </w:pPr>
    </w:p>
    <w:p w14:paraId="0A47843D" w14:textId="245BDE36" w:rsidR="00004292" w:rsidRDefault="00004292" w:rsidP="00943D8A">
      <w:pPr>
        <w:rPr>
          <w:rFonts w:cs="Times New Roman"/>
          <w:b/>
          <w:sz w:val="24"/>
          <w:szCs w:val="24"/>
          <w:lang w:val="en-GB"/>
        </w:rPr>
      </w:pPr>
    </w:p>
    <w:p w14:paraId="0A5F807A" w14:textId="1CC7C6B0" w:rsidR="00004292" w:rsidRDefault="00004292" w:rsidP="00943D8A">
      <w:pPr>
        <w:rPr>
          <w:rFonts w:cs="Times New Roman"/>
          <w:b/>
          <w:sz w:val="24"/>
          <w:szCs w:val="24"/>
          <w:lang w:val="en-GB"/>
        </w:rPr>
      </w:pPr>
    </w:p>
    <w:p w14:paraId="7D91952E" w14:textId="5F04A66F" w:rsidR="00004292" w:rsidRDefault="00004292" w:rsidP="00943D8A">
      <w:pPr>
        <w:rPr>
          <w:rFonts w:cs="Times New Roman"/>
          <w:b/>
          <w:sz w:val="24"/>
          <w:szCs w:val="24"/>
          <w:lang w:val="en-GB"/>
        </w:rPr>
      </w:pPr>
    </w:p>
    <w:p w14:paraId="382AB641" w14:textId="7EC74B03" w:rsidR="0084595B" w:rsidRPr="0084595B" w:rsidRDefault="0084595B" w:rsidP="00004292">
      <w:pPr>
        <w:jc w:val="center"/>
        <w:rPr>
          <w:rFonts w:eastAsia="Times New Roman" w:cs="Times New Roman"/>
          <w:b/>
          <w:sz w:val="24"/>
          <w:szCs w:val="24"/>
          <w:lang w:val="en-GB"/>
        </w:rPr>
      </w:pPr>
      <w:r w:rsidRPr="0084595B">
        <w:rPr>
          <w:rFonts w:eastAsia="Times New Roman" w:cs="Times New Roman"/>
          <w:b/>
          <w:sz w:val="24"/>
          <w:szCs w:val="24"/>
          <w:lang w:val="en-GB"/>
        </w:rPr>
        <w:t xml:space="preserve">STATEMENT ABOUT THE INDEPENDENT CHARACTER OF THE </w:t>
      </w:r>
      <w:r w:rsidR="00D21D3B">
        <w:rPr>
          <w:rFonts w:cs="Times New Roman"/>
          <w:b/>
          <w:sz w:val="24"/>
          <w:szCs w:val="24"/>
          <w:lang w:val="en-GB"/>
        </w:rPr>
        <w:br/>
      </w:r>
      <w:r w:rsidRPr="0084595B">
        <w:rPr>
          <w:rFonts w:eastAsia="Times New Roman" w:cs="Times New Roman"/>
          <w:b/>
          <w:sz w:val="24"/>
          <w:szCs w:val="24"/>
          <w:lang w:val="en-GB"/>
        </w:rPr>
        <w:t>MASTER THESIS</w:t>
      </w:r>
    </w:p>
    <w:p w14:paraId="599EBD3E" w14:textId="77777777" w:rsidR="0084595B" w:rsidRPr="0084595B" w:rsidRDefault="0084595B" w:rsidP="0084595B">
      <w:pPr>
        <w:jc w:val="center"/>
        <w:rPr>
          <w:rFonts w:eastAsia="Times New Roman" w:cs="Times New Roman"/>
          <w:sz w:val="23"/>
          <w:szCs w:val="23"/>
          <w:lang w:val="en-GB"/>
        </w:rPr>
      </w:pPr>
    </w:p>
    <w:p w14:paraId="39CEE75D" w14:textId="102F7C4C" w:rsidR="0084595B" w:rsidRPr="0084595B" w:rsidRDefault="0084595B" w:rsidP="0084595B">
      <w:pPr>
        <w:pBdr>
          <w:top w:val="nil"/>
          <w:left w:val="nil"/>
          <w:bottom w:val="nil"/>
          <w:right w:val="nil"/>
          <w:between w:val="nil"/>
        </w:pBdr>
        <w:spacing w:line="360" w:lineRule="auto"/>
        <w:ind w:firstLine="850"/>
        <w:jc w:val="both"/>
        <w:rPr>
          <w:rFonts w:eastAsia="Times New Roman" w:cs="Times New Roman"/>
          <w:sz w:val="24"/>
          <w:szCs w:val="24"/>
          <w:lang w:val="en-GB"/>
        </w:rPr>
      </w:pPr>
      <w:r w:rsidRPr="0084595B">
        <w:rPr>
          <w:rFonts w:eastAsia="Times New Roman" w:cs="Times New Roman"/>
          <w:sz w:val="24"/>
          <w:szCs w:val="24"/>
          <w:lang w:val="en-GB"/>
        </w:rPr>
        <w:t xml:space="preserve">I, Amaliia </w:t>
      </w:r>
      <w:proofErr w:type="spellStart"/>
      <w:r w:rsidRPr="0084595B">
        <w:rPr>
          <w:rFonts w:eastAsia="Times New Roman" w:cs="Times New Roman"/>
          <w:sz w:val="24"/>
          <w:szCs w:val="24"/>
          <w:lang w:val="en-GB"/>
        </w:rPr>
        <w:t>Davletbaeva</w:t>
      </w:r>
      <w:proofErr w:type="spellEnd"/>
      <w:r w:rsidRPr="0084595B">
        <w:rPr>
          <w:rFonts w:eastAsia="Times New Roman" w:cs="Times New Roman"/>
          <w:sz w:val="24"/>
          <w:szCs w:val="24"/>
          <w:lang w:val="en-GB"/>
        </w:rPr>
        <w:t xml:space="preserve">, second year master student, program «Management», state that my master thesis on the topic «Factors Affecting User Experience in Health Applications», which is presented to the Master Office to be submitted to the Official </w:t>
      </w:r>
      <w:proofErr w:type="spellStart"/>
      <w:r w:rsidRPr="0084595B">
        <w:rPr>
          <w:rFonts w:eastAsia="Times New Roman" w:cs="Times New Roman"/>
          <w:sz w:val="24"/>
          <w:szCs w:val="24"/>
          <w:lang w:val="en-GB"/>
        </w:rPr>
        <w:t>Defense</w:t>
      </w:r>
      <w:proofErr w:type="spellEnd"/>
      <w:r w:rsidRPr="0084595B">
        <w:rPr>
          <w:rFonts w:eastAsia="Times New Roman" w:cs="Times New Roman"/>
          <w:sz w:val="24"/>
          <w:szCs w:val="24"/>
          <w:lang w:val="en-GB"/>
        </w:rPr>
        <w:t xml:space="preserve"> Committee for the public defence, does not contain any elements of plagiarism.</w:t>
      </w:r>
    </w:p>
    <w:p w14:paraId="518EAD95" w14:textId="008F5A8F" w:rsidR="0084595B" w:rsidRPr="0084595B" w:rsidRDefault="0084595B" w:rsidP="0084595B">
      <w:pPr>
        <w:pBdr>
          <w:top w:val="nil"/>
          <w:left w:val="nil"/>
          <w:bottom w:val="nil"/>
          <w:right w:val="nil"/>
          <w:between w:val="nil"/>
        </w:pBdr>
        <w:spacing w:line="360" w:lineRule="auto"/>
        <w:ind w:firstLine="850"/>
        <w:jc w:val="both"/>
        <w:rPr>
          <w:rFonts w:eastAsia="Times New Roman" w:cs="Times New Roman"/>
          <w:sz w:val="24"/>
          <w:szCs w:val="24"/>
          <w:lang w:val="en-GB"/>
        </w:rPr>
      </w:pPr>
      <w:r w:rsidRPr="0084595B">
        <w:rPr>
          <w:rFonts w:eastAsia="Times New Roman" w:cs="Times New Roman"/>
          <w:sz w:val="24"/>
          <w:szCs w:val="24"/>
          <w:lang w:val="en-GB"/>
        </w:rPr>
        <w:t>All direct borrowings from printed and electronic sources, as well as from master theses, PhD and doctorate theses which were defended earlier, have appropriate references.</w:t>
      </w:r>
    </w:p>
    <w:p w14:paraId="1FBF9CC7" w14:textId="3CECD41C" w:rsidR="0084595B" w:rsidRPr="0084595B" w:rsidRDefault="0084595B" w:rsidP="0078718F">
      <w:pPr>
        <w:pBdr>
          <w:top w:val="nil"/>
          <w:left w:val="nil"/>
          <w:bottom w:val="nil"/>
          <w:right w:val="nil"/>
          <w:between w:val="nil"/>
        </w:pBdr>
        <w:spacing w:line="360" w:lineRule="auto"/>
        <w:ind w:firstLine="850"/>
        <w:jc w:val="both"/>
        <w:rPr>
          <w:rFonts w:cs="Times New Roman"/>
          <w:sz w:val="24"/>
          <w:szCs w:val="24"/>
          <w:lang w:val="en-GB"/>
        </w:rPr>
      </w:pPr>
      <w:r w:rsidRPr="0084595B">
        <w:rPr>
          <w:rFonts w:eastAsia="Times New Roman" w:cs="Times New Roman"/>
          <w:sz w:val="24"/>
          <w:szCs w:val="24"/>
          <w:lang w:val="en-GB"/>
        </w:rPr>
        <w:t xml:space="preserve">I am aware that according to paragraph 9.7.1. of Guidelines for instruction in major curriculum programs of higher and secondary professional education at </w:t>
      </w:r>
      <w:proofErr w:type="spellStart"/>
      <w:r w:rsidRPr="0084595B">
        <w:rPr>
          <w:rFonts w:eastAsia="Times New Roman" w:cs="Times New Roman"/>
          <w:sz w:val="24"/>
          <w:szCs w:val="24"/>
          <w:lang w:val="en-GB"/>
        </w:rPr>
        <w:t>St.Petersburg</w:t>
      </w:r>
      <w:proofErr w:type="spellEnd"/>
      <w:r w:rsidRPr="0084595B">
        <w:rPr>
          <w:rFonts w:eastAsia="Times New Roman" w:cs="Times New Roman"/>
          <w:sz w:val="24"/>
          <w:szCs w:val="24"/>
          <w:lang w:val="en-GB"/>
        </w:rPr>
        <w:t xml:space="preserve"> University «A master thesis must be completed by each of the degree candidates individually under the supervision of his or her advisor», and according to paragraph 51 of Charter of the Federal State Institution of Higher Education Saint-Petersburg State University «a student can be expelled from </w:t>
      </w:r>
      <w:proofErr w:type="spellStart"/>
      <w:r w:rsidRPr="0084595B">
        <w:rPr>
          <w:rFonts w:eastAsia="Times New Roman" w:cs="Times New Roman"/>
          <w:sz w:val="24"/>
          <w:szCs w:val="24"/>
          <w:lang w:val="en-GB"/>
        </w:rPr>
        <w:t>St.Petersburg</w:t>
      </w:r>
      <w:proofErr w:type="spellEnd"/>
      <w:r w:rsidRPr="0084595B">
        <w:rPr>
          <w:rFonts w:eastAsia="Times New Roman" w:cs="Times New Roman"/>
          <w:sz w:val="24"/>
          <w:szCs w:val="24"/>
          <w:lang w:val="en-GB"/>
        </w:rPr>
        <w:t xml:space="preserve"> University for submitting of the course or graduation qualification work developed by other person (persons)».</w:t>
      </w:r>
    </w:p>
    <w:p w14:paraId="14BC249A" w14:textId="64921900" w:rsidR="0078058B" w:rsidRPr="0084595B" w:rsidRDefault="00922BC6" w:rsidP="0078718F">
      <w:pPr>
        <w:spacing w:line="360" w:lineRule="auto"/>
        <w:jc w:val="right"/>
        <w:rPr>
          <w:rFonts w:cs="Times New Roman"/>
          <w:sz w:val="24"/>
          <w:szCs w:val="24"/>
          <w:lang w:val="en-GB"/>
        </w:rPr>
      </w:pPr>
      <w:r>
        <w:rPr>
          <w:rFonts w:cs="Times New Roman"/>
          <w:noProof/>
          <w:sz w:val="24"/>
          <w:szCs w:val="24"/>
          <w:lang w:val="en-GB"/>
        </w:rPr>
        <w:drawing>
          <wp:inline distT="0" distB="0" distL="0" distR="0" wp14:anchorId="33A2BFB4" wp14:editId="76F43517">
            <wp:extent cx="902335" cy="926465"/>
            <wp:effectExtent l="0" t="0" r="0" b="0"/>
            <wp:docPr id="618519548" name="図 14"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19548" name="図 14" descr="図形&#10;&#10;中程度の精度で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2335" cy="926465"/>
                    </a:xfrm>
                    <a:prstGeom prst="rect">
                      <a:avLst/>
                    </a:prstGeom>
                    <a:noFill/>
                  </pic:spPr>
                </pic:pic>
              </a:graphicData>
            </a:graphic>
          </wp:inline>
        </w:drawing>
      </w:r>
    </w:p>
    <w:p w14:paraId="157310A4" w14:textId="68BAD264" w:rsidR="0084595B" w:rsidRPr="0084595B" w:rsidRDefault="0078058B" w:rsidP="0084595B">
      <w:pPr>
        <w:pBdr>
          <w:top w:val="nil"/>
          <w:left w:val="nil"/>
          <w:bottom w:val="nil"/>
          <w:right w:val="nil"/>
          <w:between w:val="nil"/>
        </w:pBdr>
        <w:spacing w:line="360" w:lineRule="auto"/>
        <w:jc w:val="right"/>
        <w:rPr>
          <w:rFonts w:cs="Times New Roman"/>
          <w:sz w:val="24"/>
          <w:szCs w:val="24"/>
          <w:lang w:val="en-GB"/>
        </w:rPr>
      </w:pPr>
      <w:r>
        <w:rPr>
          <w:rFonts w:cs="Times New Roman" w:hint="eastAsia"/>
          <w:sz w:val="24"/>
          <w:szCs w:val="24"/>
          <w:lang w:val="en-GB"/>
        </w:rPr>
        <w:t>22</w:t>
      </w:r>
      <w:r w:rsidR="0084595B" w:rsidRPr="0084595B">
        <w:rPr>
          <w:rFonts w:eastAsia="Times New Roman" w:cs="Times New Roman"/>
          <w:sz w:val="24"/>
          <w:szCs w:val="24"/>
          <w:lang w:val="en-GB"/>
        </w:rPr>
        <w:t>.0</w:t>
      </w:r>
      <w:r>
        <w:rPr>
          <w:rFonts w:cs="Times New Roman" w:hint="eastAsia"/>
          <w:sz w:val="24"/>
          <w:szCs w:val="24"/>
          <w:lang w:val="en-GB"/>
        </w:rPr>
        <w:t>5</w:t>
      </w:r>
      <w:r w:rsidR="0084595B" w:rsidRPr="0084595B">
        <w:rPr>
          <w:rFonts w:eastAsia="Times New Roman" w:cs="Times New Roman"/>
          <w:sz w:val="24"/>
          <w:szCs w:val="24"/>
          <w:lang w:val="en-GB"/>
        </w:rPr>
        <w:t>.2024</w:t>
      </w:r>
    </w:p>
    <w:p w14:paraId="56FA5E31" w14:textId="77777777" w:rsidR="0084595B" w:rsidRDefault="0084595B" w:rsidP="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cs="Times New Roman"/>
          <w:color w:val="000000"/>
        </w:rPr>
      </w:pPr>
    </w:p>
    <w:p w14:paraId="33FD48C9" w14:textId="77777777" w:rsidR="0084595B" w:rsidRDefault="0084595B" w:rsidP="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cs="Times New Roman"/>
          <w:color w:val="000000"/>
        </w:rPr>
      </w:pPr>
    </w:p>
    <w:p w14:paraId="6312646B" w14:textId="77777777" w:rsidR="0084595B" w:rsidRDefault="0084595B" w:rsidP="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cs="Times New Roman"/>
          <w:color w:val="000000"/>
        </w:rPr>
      </w:pPr>
    </w:p>
    <w:p w14:paraId="3B704802" w14:textId="77777777" w:rsidR="0084595B" w:rsidRDefault="0084595B" w:rsidP="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cs="Times New Roman"/>
          <w:color w:val="000000"/>
        </w:rPr>
      </w:pPr>
    </w:p>
    <w:p w14:paraId="2AA464F0" w14:textId="77777777" w:rsidR="0084595B" w:rsidRDefault="0084595B" w:rsidP="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cs="Times New Roman"/>
          <w:color w:val="000000"/>
        </w:rPr>
      </w:pPr>
    </w:p>
    <w:p w14:paraId="2ABFC861" w14:textId="77777777" w:rsidR="0084595B" w:rsidRDefault="0084595B" w:rsidP="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cs="Times New Roman"/>
          <w:color w:val="000000"/>
        </w:rPr>
      </w:pPr>
    </w:p>
    <w:p w14:paraId="60E2F31D" w14:textId="77777777" w:rsidR="0084595B" w:rsidRDefault="0084595B" w:rsidP="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cs="Times New Roman"/>
          <w:color w:val="000000"/>
        </w:rPr>
      </w:pPr>
    </w:p>
    <w:p w14:paraId="6B8EDBD6" w14:textId="77777777" w:rsidR="0084595B" w:rsidRDefault="0084595B" w:rsidP="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cs="Times New Roman"/>
          <w:color w:val="000000"/>
        </w:rPr>
      </w:pPr>
    </w:p>
    <w:p w14:paraId="78A4D00A" w14:textId="77777777" w:rsidR="0084595B" w:rsidRDefault="0084595B" w:rsidP="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cs="Times New Roman"/>
          <w:color w:val="000000"/>
        </w:rPr>
      </w:pPr>
    </w:p>
    <w:p w14:paraId="2DBDF101" w14:textId="77777777" w:rsidR="0084595B" w:rsidRDefault="0084595B" w:rsidP="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cs="Times New Roman"/>
          <w:color w:val="000000"/>
        </w:rPr>
      </w:pPr>
    </w:p>
    <w:p w14:paraId="4F530748" w14:textId="77777777" w:rsidR="0084595B" w:rsidRDefault="0084595B" w:rsidP="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cs="Times New Roman"/>
          <w:color w:val="000000"/>
        </w:rPr>
      </w:pPr>
    </w:p>
    <w:p w14:paraId="40A791B5" w14:textId="77777777" w:rsidR="0084595B" w:rsidRDefault="0084595B" w:rsidP="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cs="Times New Roman"/>
          <w:color w:val="000000"/>
        </w:rPr>
      </w:pPr>
    </w:p>
    <w:p w14:paraId="7FD1792E" w14:textId="77777777" w:rsidR="00AF631C" w:rsidRDefault="00AF631C" w:rsidP="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cs="Times New Roman"/>
          <w:color w:val="000000"/>
        </w:rPr>
      </w:pPr>
    </w:p>
    <w:p w14:paraId="2E332572" w14:textId="77777777" w:rsidR="0084595B" w:rsidRPr="00683939" w:rsidRDefault="0084595B" w:rsidP="0084595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rPr>
          <w:rFonts w:ascii="Charter Roman" w:hAnsi="Charter Roman" w:cs="Charter Roman" w:hint="eastAsia"/>
          <w:color w:val="000000"/>
        </w:rPr>
      </w:pPr>
    </w:p>
    <w:p w14:paraId="68EC197E" w14:textId="77777777" w:rsidR="005F2CAB" w:rsidRDefault="00B619E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center"/>
        <w:rPr>
          <w:rFonts w:ascii="Charter Roman" w:eastAsia="Charter Roman" w:hAnsi="Charter Roman" w:cs="Charter Roman"/>
          <w:b/>
          <w:color w:val="000000"/>
        </w:rPr>
      </w:pPr>
      <w:r>
        <w:rPr>
          <w:rFonts w:ascii="Charter Roman" w:eastAsia="Charter Roman" w:hAnsi="Charter Roman" w:cs="Charter Roman"/>
          <w:b/>
          <w:color w:val="000000"/>
        </w:rPr>
        <w:t>CONTENT</w:t>
      </w:r>
    </w:p>
    <w:sdt>
      <w:sdtPr>
        <w:id w:val="-889732703"/>
        <w:docPartObj>
          <w:docPartGallery w:val="Table of Contents"/>
          <w:docPartUnique/>
        </w:docPartObj>
      </w:sdtPr>
      <w:sdtEndPr/>
      <w:sdtContent>
        <w:p w14:paraId="53712F9C" w14:textId="192B60FB" w:rsidR="003C2913" w:rsidRDefault="00B619ED">
          <w:pPr>
            <w:pStyle w:val="11"/>
            <w:rPr>
              <w:rFonts w:asciiTheme="minorHAnsi" w:hAnsiTheme="minorHAnsi" w:cstheme="minorBidi"/>
              <w:noProof/>
              <w:kern w:val="2"/>
              <w:sz w:val="24"/>
              <w:szCs w:val="24"/>
              <w14:ligatures w14:val="standardContextual"/>
            </w:rPr>
          </w:pPr>
          <w:r>
            <w:fldChar w:fldCharType="begin"/>
          </w:r>
          <w:r>
            <w:instrText xml:space="preserve"> TOC \h \u \z </w:instrText>
          </w:r>
          <w:r>
            <w:fldChar w:fldCharType="separate"/>
          </w:r>
          <w:hyperlink w:anchor="_Toc167663306" w:history="1">
            <w:r w:rsidR="003C2913" w:rsidRPr="00D325E0">
              <w:rPr>
                <w:rStyle w:val="a8"/>
                <w:noProof/>
              </w:rPr>
              <w:t>Introduction</w:t>
            </w:r>
            <w:r w:rsidR="003C2913">
              <w:rPr>
                <w:noProof/>
                <w:webHidden/>
              </w:rPr>
              <w:tab/>
            </w:r>
            <w:r w:rsidR="003C2913">
              <w:rPr>
                <w:noProof/>
                <w:webHidden/>
              </w:rPr>
              <w:fldChar w:fldCharType="begin"/>
            </w:r>
            <w:r w:rsidR="003C2913">
              <w:rPr>
                <w:noProof/>
                <w:webHidden/>
              </w:rPr>
              <w:instrText xml:space="preserve"> PAGEREF _Toc167663306 \h </w:instrText>
            </w:r>
            <w:r w:rsidR="003C2913">
              <w:rPr>
                <w:noProof/>
                <w:webHidden/>
              </w:rPr>
            </w:r>
            <w:r w:rsidR="003C2913">
              <w:rPr>
                <w:noProof/>
                <w:webHidden/>
              </w:rPr>
              <w:fldChar w:fldCharType="separate"/>
            </w:r>
            <w:r w:rsidR="00583B42">
              <w:rPr>
                <w:noProof/>
                <w:webHidden/>
              </w:rPr>
              <w:t>1</w:t>
            </w:r>
            <w:r w:rsidR="003C2913">
              <w:rPr>
                <w:noProof/>
                <w:webHidden/>
              </w:rPr>
              <w:fldChar w:fldCharType="end"/>
            </w:r>
          </w:hyperlink>
        </w:p>
        <w:p w14:paraId="383C50A9" w14:textId="5F46BD87" w:rsidR="003C2913" w:rsidRDefault="00C025B9">
          <w:pPr>
            <w:pStyle w:val="11"/>
            <w:rPr>
              <w:rFonts w:asciiTheme="minorHAnsi" w:hAnsiTheme="minorHAnsi" w:cstheme="minorBidi"/>
              <w:noProof/>
              <w:kern w:val="2"/>
              <w:sz w:val="24"/>
              <w:szCs w:val="24"/>
              <w14:ligatures w14:val="standardContextual"/>
            </w:rPr>
          </w:pPr>
          <w:hyperlink w:anchor="_Toc167663307" w:history="1">
            <w:r w:rsidR="003C2913" w:rsidRPr="00D325E0">
              <w:rPr>
                <w:rStyle w:val="a8"/>
                <w:noProof/>
              </w:rPr>
              <w:t>Chapter 1. Theoretical Background</w:t>
            </w:r>
            <w:r w:rsidR="003C2913">
              <w:rPr>
                <w:noProof/>
                <w:webHidden/>
              </w:rPr>
              <w:tab/>
            </w:r>
            <w:r w:rsidR="003C2913">
              <w:rPr>
                <w:noProof/>
                <w:webHidden/>
              </w:rPr>
              <w:fldChar w:fldCharType="begin"/>
            </w:r>
            <w:r w:rsidR="003C2913">
              <w:rPr>
                <w:noProof/>
                <w:webHidden/>
              </w:rPr>
              <w:instrText xml:space="preserve"> PAGEREF _Toc167663307 \h </w:instrText>
            </w:r>
            <w:r w:rsidR="003C2913">
              <w:rPr>
                <w:noProof/>
                <w:webHidden/>
              </w:rPr>
            </w:r>
            <w:r w:rsidR="003C2913">
              <w:rPr>
                <w:noProof/>
                <w:webHidden/>
              </w:rPr>
              <w:fldChar w:fldCharType="separate"/>
            </w:r>
            <w:r w:rsidR="00583B42">
              <w:rPr>
                <w:noProof/>
                <w:webHidden/>
              </w:rPr>
              <w:t>3</w:t>
            </w:r>
            <w:r w:rsidR="003C2913">
              <w:rPr>
                <w:noProof/>
                <w:webHidden/>
              </w:rPr>
              <w:fldChar w:fldCharType="end"/>
            </w:r>
          </w:hyperlink>
        </w:p>
        <w:p w14:paraId="7CEF26D4" w14:textId="6CC23BCD" w:rsidR="003C2913" w:rsidRDefault="00C025B9">
          <w:pPr>
            <w:pStyle w:val="21"/>
            <w:tabs>
              <w:tab w:val="left" w:pos="1200"/>
              <w:tab w:val="right" w:leader="dot" w:pos="9350"/>
            </w:tabs>
            <w:rPr>
              <w:rFonts w:asciiTheme="minorHAnsi" w:hAnsiTheme="minorHAnsi" w:cstheme="minorBidi"/>
              <w:noProof/>
              <w:kern w:val="2"/>
              <w:sz w:val="24"/>
              <w:szCs w:val="24"/>
              <w14:ligatures w14:val="standardContextual"/>
            </w:rPr>
          </w:pPr>
          <w:hyperlink w:anchor="_Toc167663308" w:history="1">
            <w:r w:rsidR="003C2913" w:rsidRPr="00D325E0">
              <w:rPr>
                <w:rStyle w:val="a8"/>
                <w:i/>
                <w:iCs/>
                <w:noProof/>
              </w:rPr>
              <w:t>1-1.</w:t>
            </w:r>
            <w:r w:rsidR="003C2913">
              <w:rPr>
                <w:rFonts w:asciiTheme="minorHAnsi" w:hAnsiTheme="minorHAnsi" w:cstheme="minorBidi"/>
                <w:noProof/>
                <w:kern w:val="2"/>
                <w:sz w:val="24"/>
                <w:szCs w:val="24"/>
                <w14:ligatures w14:val="standardContextual"/>
              </w:rPr>
              <w:tab/>
            </w:r>
            <w:r w:rsidR="003C2913" w:rsidRPr="00D325E0">
              <w:rPr>
                <w:rStyle w:val="a8"/>
                <w:i/>
                <w:iCs/>
                <w:noProof/>
              </w:rPr>
              <w:t>Theories on CSR</w:t>
            </w:r>
            <w:r w:rsidR="003C2913">
              <w:rPr>
                <w:noProof/>
                <w:webHidden/>
              </w:rPr>
              <w:tab/>
            </w:r>
            <w:r w:rsidR="003C2913">
              <w:rPr>
                <w:noProof/>
                <w:webHidden/>
              </w:rPr>
              <w:fldChar w:fldCharType="begin"/>
            </w:r>
            <w:r w:rsidR="003C2913">
              <w:rPr>
                <w:noProof/>
                <w:webHidden/>
              </w:rPr>
              <w:instrText xml:space="preserve"> PAGEREF _Toc167663308 \h </w:instrText>
            </w:r>
            <w:r w:rsidR="003C2913">
              <w:rPr>
                <w:noProof/>
                <w:webHidden/>
              </w:rPr>
            </w:r>
            <w:r w:rsidR="003C2913">
              <w:rPr>
                <w:noProof/>
                <w:webHidden/>
              </w:rPr>
              <w:fldChar w:fldCharType="separate"/>
            </w:r>
            <w:r w:rsidR="00583B42">
              <w:rPr>
                <w:noProof/>
                <w:webHidden/>
              </w:rPr>
              <w:t>3</w:t>
            </w:r>
            <w:r w:rsidR="003C2913">
              <w:rPr>
                <w:noProof/>
                <w:webHidden/>
              </w:rPr>
              <w:fldChar w:fldCharType="end"/>
            </w:r>
          </w:hyperlink>
        </w:p>
        <w:p w14:paraId="7DB17F22" w14:textId="45FAAE82" w:rsidR="003C2913" w:rsidRDefault="00C025B9">
          <w:pPr>
            <w:pStyle w:val="21"/>
            <w:tabs>
              <w:tab w:val="left" w:pos="1200"/>
              <w:tab w:val="right" w:leader="dot" w:pos="9350"/>
            </w:tabs>
            <w:rPr>
              <w:rFonts w:asciiTheme="minorHAnsi" w:hAnsiTheme="minorHAnsi" w:cstheme="minorBidi"/>
              <w:noProof/>
              <w:kern w:val="2"/>
              <w:sz w:val="24"/>
              <w:szCs w:val="24"/>
              <w14:ligatures w14:val="standardContextual"/>
            </w:rPr>
          </w:pPr>
          <w:hyperlink w:anchor="_Toc167663309" w:history="1">
            <w:r w:rsidR="003C2913" w:rsidRPr="00D325E0">
              <w:rPr>
                <w:rStyle w:val="a8"/>
                <w:i/>
                <w:iCs/>
                <w:noProof/>
              </w:rPr>
              <w:t>1-2.</w:t>
            </w:r>
            <w:r w:rsidR="003C2913">
              <w:rPr>
                <w:rFonts w:asciiTheme="minorHAnsi" w:hAnsiTheme="minorHAnsi" w:cstheme="minorBidi"/>
                <w:noProof/>
                <w:kern w:val="2"/>
                <w:sz w:val="24"/>
                <w:szCs w:val="24"/>
                <w14:ligatures w14:val="standardContextual"/>
              </w:rPr>
              <w:tab/>
            </w:r>
            <w:r w:rsidR="003C2913" w:rsidRPr="00D325E0">
              <w:rPr>
                <w:rStyle w:val="a8"/>
                <w:i/>
                <w:iCs/>
                <w:noProof/>
              </w:rPr>
              <w:t>Benefit of CSR to Enterprise</w:t>
            </w:r>
            <w:r w:rsidR="003C2913">
              <w:rPr>
                <w:noProof/>
                <w:webHidden/>
              </w:rPr>
              <w:tab/>
            </w:r>
            <w:r w:rsidR="003C2913">
              <w:rPr>
                <w:noProof/>
                <w:webHidden/>
              </w:rPr>
              <w:fldChar w:fldCharType="begin"/>
            </w:r>
            <w:r w:rsidR="003C2913">
              <w:rPr>
                <w:noProof/>
                <w:webHidden/>
              </w:rPr>
              <w:instrText xml:space="preserve"> PAGEREF _Toc167663309 \h </w:instrText>
            </w:r>
            <w:r w:rsidR="003C2913">
              <w:rPr>
                <w:noProof/>
                <w:webHidden/>
              </w:rPr>
            </w:r>
            <w:r w:rsidR="003C2913">
              <w:rPr>
                <w:noProof/>
                <w:webHidden/>
              </w:rPr>
              <w:fldChar w:fldCharType="separate"/>
            </w:r>
            <w:r w:rsidR="00583B42">
              <w:rPr>
                <w:noProof/>
                <w:webHidden/>
              </w:rPr>
              <w:t>6</w:t>
            </w:r>
            <w:r w:rsidR="003C2913">
              <w:rPr>
                <w:noProof/>
                <w:webHidden/>
              </w:rPr>
              <w:fldChar w:fldCharType="end"/>
            </w:r>
          </w:hyperlink>
        </w:p>
        <w:p w14:paraId="1D673FC1" w14:textId="1A2A8C0A" w:rsidR="003C2913" w:rsidRDefault="00C025B9">
          <w:pPr>
            <w:pStyle w:val="21"/>
            <w:tabs>
              <w:tab w:val="left" w:pos="1200"/>
              <w:tab w:val="right" w:leader="dot" w:pos="9350"/>
            </w:tabs>
            <w:rPr>
              <w:rFonts w:asciiTheme="minorHAnsi" w:hAnsiTheme="minorHAnsi" w:cstheme="minorBidi"/>
              <w:noProof/>
              <w:kern w:val="2"/>
              <w:sz w:val="24"/>
              <w:szCs w:val="24"/>
              <w14:ligatures w14:val="standardContextual"/>
            </w:rPr>
          </w:pPr>
          <w:hyperlink w:anchor="_Toc167663310" w:history="1">
            <w:r w:rsidR="003C2913" w:rsidRPr="00D325E0">
              <w:rPr>
                <w:rStyle w:val="a8"/>
                <w:i/>
                <w:iCs/>
                <w:noProof/>
              </w:rPr>
              <w:t>1-3.</w:t>
            </w:r>
            <w:r w:rsidR="003C2913">
              <w:rPr>
                <w:rFonts w:asciiTheme="minorHAnsi" w:hAnsiTheme="minorHAnsi" w:cstheme="minorBidi"/>
                <w:noProof/>
                <w:kern w:val="2"/>
                <w:sz w:val="24"/>
                <w:szCs w:val="24"/>
                <w14:ligatures w14:val="standardContextual"/>
              </w:rPr>
              <w:tab/>
            </w:r>
            <w:r w:rsidR="003C2913" w:rsidRPr="00D325E0">
              <w:rPr>
                <w:rStyle w:val="a8"/>
                <w:i/>
                <w:iCs/>
                <w:noProof/>
              </w:rPr>
              <w:t>Communication of CSR with Stakeholder</w:t>
            </w:r>
            <w:r w:rsidR="003C2913">
              <w:rPr>
                <w:noProof/>
                <w:webHidden/>
              </w:rPr>
              <w:tab/>
            </w:r>
            <w:r w:rsidR="003C2913">
              <w:rPr>
                <w:noProof/>
                <w:webHidden/>
              </w:rPr>
              <w:fldChar w:fldCharType="begin"/>
            </w:r>
            <w:r w:rsidR="003C2913">
              <w:rPr>
                <w:noProof/>
                <w:webHidden/>
              </w:rPr>
              <w:instrText xml:space="preserve"> PAGEREF _Toc167663310 \h </w:instrText>
            </w:r>
            <w:r w:rsidR="003C2913">
              <w:rPr>
                <w:noProof/>
                <w:webHidden/>
              </w:rPr>
            </w:r>
            <w:r w:rsidR="003C2913">
              <w:rPr>
                <w:noProof/>
                <w:webHidden/>
              </w:rPr>
              <w:fldChar w:fldCharType="separate"/>
            </w:r>
            <w:r w:rsidR="00583B42">
              <w:rPr>
                <w:noProof/>
                <w:webHidden/>
              </w:rPr>
              <w:t>8</w:t>
            </w:r>
            <w:r w:rsidR="003C2913">
              <w:rPr>
                <w:noProof/>
                <w:webHidden/>
              </w:rPr>
              <w:fldChar w:fldCharType="end"/>
            </w:r>
          </w:hyperlink>
        </w:p>
        <w:p w14:paraId="1D058118" w14:textId="73B1F54A" w:rsidR="003C2913" w:rsidRDefault="00C025B9">
          <w:pPr>
            <w:pStyle w:val="21"/>
            <w:tabs>
              <w:tab w:val="left" w:pos="1200"/>
              <w:tab w:val="right" w:leader="dot" w:pos="9350"/>
            </w:tabs>
            <w:rPr>
              <w:rFonts w:asciiTheme="minorHAnsi" w:hAnsiTheme="minorHAnsi" w:cstheme="minorBidi"/>
              <w:noProof/>
              <w:kern w:val="2"/>
              <w:sz w:val="24"/>
              <w:szCs w:val="24"/>
              <w14:ligatures w14:val="standardContextual"/>
            </w:rPr>
          </w:pPr>
          <w:hyperlink w:anchor="_Toc167663311" w:history="1">
            <w:r w:rsidR="003C2913" w:rsidRPr="00D325E0">
              <w:rPr>
                <w:rStyle w:val="a8"/>
                <w:i/>
                <w:iCs/>
                <w:noProof/>
              </w:rPr>
              <w:t>1-4.</w:t>
            </w:r>
            <w:r w:rsidR="003C2913">
              <w:rPr>
                <w:rFonts w:asciiTheme="minorHAnsi" w:hAnsiTheme="minorHAnsi" w:cstheme="minorBidi"/>
                <w:noProof/>
                <w:kern w:val="2"/>
                <w:sz w:val="24"/>
                <w:szCs w:val="24"/>
                <w14:ligatures w14:val="standardContextual"/>
              </w:rPr>
              <w:tab/>
            </w:r>
            <w:r w:rsidR="003C2913" w:rsidRPr="00D325E0">
              <w:rPr>
                <w:rStyle w:val="a8"/>
                <w:i/>
                <w:iCs/>
                <w:noProof/>
              </w:rPr>
              <w:t>Influence of Ownership on CSR</w:t>
            </w:r>
            <w:r w:rsidR="003C2913">
              <w:rPr>
                <w:noProof/>
                <w:webHidden/>
              </w:rPr>
              <w:tab/>
            </w:r>
            <w:r w:rsidR="003C2913">
              <w:rPr>
                <w:noProof/>
                <w:webHidden/>
              </w:rPr>
              <w:fldChar w:fldCharType="begin"/>
            </w:r>
            <w:r w:rsidR="003C2913">
              <w:rPr>
                <w:noProof/>
                <w:webHidden/>
              </w:rPr>
              <w:instrText xml:space="preserve"> PAGEREF _Toc167663311 \h </w:instrText>
            </w:r>
            <w:r w:rsidR="003C2913">
              <w:rPr>
                <w:noProof/>
                <w:webHidden/>
              </w:rPr>
            </w:r>
            <w:r w:rsidR="003C2913">
              <w:rPr>
                <w:noProof/>
                <w:webHidden/>
              </w:rPr>
              <w:fldChar w:fldCharType="separate"/>
            </w:r>
            <w:r w:rsidR="00583B42">
              <w:rPr>
                <w:noProof/>
                <w:webHidden/>
              </w:rPr>
              <w:t>10</w:t>
            </w:r>
            <w:r w:rsidR="003C2913">
              <w:rPr>
                <w:noProof/>
                <w:webHidden/>
              </w:rPr>
              <w:fldChar w:fldCharType="end"/>
            </w:r>
          </w:hyperlink>
        </w:p>
        <w:p w14:paraId="77362F1C" w14:textId="081FE966" w:rsidR="003C2913" w:rsidRDefault="00C025B9">
          <w:pPr>
            <w:pStyle w:val="11"/>
            <w:rPr>
              <w:rFonts w:asciiTheme="minorHAnsi" w:hAnsiTheme="minorHAnsi" w:cstheme="minorBidi"/>
              <w:noProof/>
              <w:kern w:val="2"/>
              <w:sz w:val="24"/>
              <w:szCs w:val="24"/>
              <w14:ligatures w14:val="standardContextual"/>
            </w:rPr>
          </w:pPr>
          <w:hyperlink w:anchor="_Toc167663312" w:history="1">
            <w:r w:rsidR="003C2913" w:rsidRPr="00D325E0">
              <w:rPr>
                <w:rStyle w:val="a8"/>
                <w:noProof/>
              </w:rPr>
              <w:t>Chapter 2. Background on CSR and Role of State in Russia and China</w:t>
            </w:r>
            <w:r w:rsidR="003C2913">
              <w:rPr>
                <w:noProof/>
                <w:webHidden/>
              </w:rPr>
              <w:tab/>
            </w:r>
            <w:r w:rsidR="003C2913">
              <w:rPr>
                <w:noProof/>
                <w:webHidden/>
              </w:rPr>
              <w:fldChar w:fldCharType="begin"/>
            </w:r>
            <w:r w:rsidR="003C2913">
              <w:rPr>
                <w:noProof/>
                <w:webHidden/>
              </w:rPr>
              <w:instrText xml:space="preserve"> PAGEREF _Toc167663312 \h </w:instrText>
            </w:r>
            <w:r w:rsidR="003C2913">
              <w:rPr>
                <w:noProof/>
                <w:webHidden/>
              </w:rPr>
            </w:r>
            <w:r w:rsidR="003C2913">
              <w:rPr>
                <w:noProof/>
                <w:webHidden/>
              </w:rPr>
              <w:fldChar w:fldCharType="separate"/>
            </w:r>
            <w:r w:rsidR="00583B42">
              <w:rPr>
                <w:noProof/>
                <w:webHidden/>
              </w:rPr>
              <w:t>13</w:t>
            </w:r>
            <w:r w:rsidR="003C2913">
              <w:rPr>
                <w:noProof/>
                <w:webHidden/>
              </w:rPr>
              <w:fldChar w:fldCharType="end"/>
            </w:r>
          </w:hyperlink>
        </w:p>
        <w:p w14:paraId="74BA4A9E" w14:textId="65A3AF19" w:rsidR="003C2913" w:rsidRDefault="00C025B9">
          <w:pPr>
            <w:pStyle w:val="21"/>
            <w:tabs>
              <w:tab w:val="left" w:pos="1200"/>
              <w:tab w:val="right" w:leader="dot" w:pos="9350"/>
            </w:tabs>
            <w:rPr>
              <w:rFonts w:asciiTheme="minorHAnsi" w:hAnsiTheme="minorHAnsi" w:cstheme="minorBidi"/>
              <w:noProof/>
              <w:kern w:val="2"/>
              <w:sz w:val="24"/>
              <w:szCs w:val="24"/>
              <w14:ligatures w14:val="standardContextual"/>
            </w:rPr>
          </w:pPr>
          <w:hyperlink w:anchor="_Toc167663313" w:history="1">
            <w:r w:rsidR="003C2913" w:rsidRPr="00D325E0">
              <w:rPr>
                <w:rStyle w:val="a8"/>
                <w:i/>
                <w:iCs/>
                <w:noProof/>
              </w:rPr>
              <w:t>2-1.</w:t>
            </w:r>
            <w:r w:rsidR="003C2913">
              <w:rPr>
                <w:rFonts w:asciiTheme="minorHAnsi" w:hAnsiTheme="minorHAnsi" w:cstheme="minorBidi"/>
                <w:noProof/>
                <w:kern w:val="2"/>
                <w:sz w:val="24"/>
                <w:szCs w:val="24"/>
                <w14:ligatures w14:val="standardContextual"/>
              </w:rPr>
              <w:tab/>
            </w:r>
            <w:r w:rsidR="003C2913" w:rsidRPr="00D325E0">
              <w:rPr>
                <w:rStyle w:val="a8"/>
                <w:i/>
                <w:iCs/>
                <w:noProof/>
              </w:rPr>
              <w:t>Russia and China: choice of countries for analysis</w:t>
            </w:r>
            <w:r w:rsidR="003C2913">
              <w:rPr>
                <w:noProof/>
                <w:webHidden/>
              </w:rPr>
              <w:tab/>
            </w:r>
            <w:r w:rsidR="003C2913">
              <w:rPr>
                <w:noProof/>
                <w:webHidden/>
              </w:rPr>
              <w:fldChar w:fldCharType="begin"/>
            </w:r>
            <w:r w:rsidR="003C2913">
              <w:rPr>
                <w:noProof/>
                <w:webHidden/>
              </w:rPr>
              <w:instrText xml:space="preserve"> PAGEREF _Toc167663313 \h </w:instrText>
            </w:r>
            <w:r w:rsidR="003C2913">
              <w:rPr>
                <w:noProof/>
                <w:webHidden/>
              </w:rPr>
            </w:r>
            <w:r w:rsidR="003C2913">
              <w:rPr>
                <w:noProof/>
                <w:webHidden/>
              </w:rPr>
              <w:fldChar w:fldCharType="separate"/>
            </w:r>
            <w:r w:rsidR="00583B42">
              <w:rPr>
                <w:noProof/>
                <w:webHidden/>
              </w:rPr>
              <w:t>13</w:t>
            </w:r>
            <w:r w:rsidR="003C2913">
              <w:rPr>
                <w:noProof/>
                <w:webHidden/>
              </w:rPr>
              <w:fldChar w:fldCharType="end"/>
            </w:r>
          </w:hyperlink>
        </w:p>
        <w:p w14:paraId="29CD7C92" w14:textId="20EB86F7" w:rsidR="003C2913" w:rsidRDefault="00C025B9">
          <w:pPr>
            <w:pStyle w:val="21"/>
            <w:tabs>
              <w:tab w:val="left" w:pos="1200"/>
              <w:tab w:val="right" w:leader="dot" w:pos="9350"/>
            </w:tabs>
            <w:rPr>
              <w:rFonts w:asciiTheme="minorHAnsi" w:hAnsiTheme="minorHAnsi" w:cstheme="minorBidi"/>
              <w:noProof/>
              <w:kern w:val="2"/>
              <w:sz w:val="24"/>
              <w:szCs w:val="24"/>
              <w14:ligatures w14:val="standardContextual"/>
            </w:rPr>
          </w:pPr>
          <w:hyperlink w:anchor="_Toc167663314" w:history="1">
            <w:r w:rsidR="003C2913" w:rsidRPr="00D325E0">
              <w:rPr>
                <w:rStyle w:val="a8"/>
                <w:i/>
                <w:iCs/>
                <w:noProof/>
              </w:rPr>
              <w:t>2-2.</w:t>
            </w:r>
            <w:r w:rsidR="003C2913">
              <w:rPr>
                <w:rFonts w:asciiTheme="minorHAnsi" w:hAnsiTheme="minorHAnsi" w:cstheme="minorBidi"/>
                <w:noProof/>
                <w:kern w:val="2"/>
                <w:sz w:val="24"/>
                <w:szCs w:val="24"/>
                <w14:ligatures w14:val="standardContextual"/>
              </w:rPr>
              <w:tab/>
            </w:r>
            <w:r w:rsidR="003C2913" w:rsidRPr="00D325E0">
              <w:rPr>
                <w:rStyle w:val="a8"/>
                <w:i/>
                <w:iCs/>
                <w:noProof/>
              </w:rPr>
              <w:t>CSR and role of the state in Russia</w:t>
            </w:r>
            <w:r w:rsidR="003C2913">
              <w:rPr>
                <w:noProof/>
                <w:webHidden/>
              </w:rPr>
              <w:tab/>
            </w:r>
            <w:r w:rsidR="003C2913">
              <w:rPr>
                <w:noProof/>
                <w:webHidden/>
              </w:rPr>
              <w:fldChar w:fldCharType="begin"/>
            </w:r>
            <w:r w:rsidR="003C2913">
              <w:rPr>
                <w:noProof/>
                <w:webHidden/>
              </w:rPr>
              <w:instrText xml:space="preserve"> PAGEREF _Toc167663314 \h </w:instrText>
            </w:r>
            <w:r w:rsidR="003C2913">
              <w:rPr>
                <w:noProof/>
                <w:webHidden/>
              </w:rPr>
            </w:r>
            <w:r w:rsidR="003C2913">
              <w:rPr>
                <w:noProof/>
                <w:webHidden/>
              </w:rPr>
              <w:fldChar w:fldCharType="separate"/>
            </w:r>
            <w:r w:rsidR="00583B42">
              <w:rPr>
                <w:noProof/>
                <w:webHidden/>
              </w:rPr>
              <w:t>15</w:t>
            </w:r>
            <w:r w:rsidR="003C2913">
              <w:rPr>
                <w:noProof/>
                <w:webHidden/>
              </w:rPr>
              <w:fldChar w:fldCharType="end"/>
            </w:r>
          </w:hyperlink>
        </w:p>
        <w:p w14:paraId="4B30B98A" w14:textId="1373050E" w:rsidR="003C2913" w:rsidRDefault="00C025B9">
          <w:pPr>
            <w:pStyle w:val="21"/>
            <w:tabs>
              <w:tab w:val="left" w:pos="1200"/>
              <w:tab w:val="right" w:leader="dot" w:pos="9350"/>
            </w:tabs>
            <w:rPr>
              <w:rFonts w:asciiTheme="minorHAnsi" w:hAnsiTheme="minorHAnsi" w:cstheme="minorBidi"/>
              <w:noProof/>
              <w:kern w:val="2"/>
              <w:sz w:val="24"/>
              <w:szCs w:val="24"/>
              <w14:ligatures w14:val="standardContextual"/>
            </w:rPr>
          </w:pPr>
          <w:hyperlink w:anchor="_Toc167663315" w:history="1">
            <w:r w:rsidR="003C2913" w:rsidRPr="00D325E0">
              <w:rPr>
                <w:rStyle w:val="a8"/>
                <w:i/>
                <w:iCs/>
                <w:noProof/>
              </w:rPr>
              <w:t>2-3.</w:t>
            </w:r>
            <w:r w:rsidR="003C2913">
              <w:rPr>
                <w:rFonts w:asciiTheme="minorHAnsi" w:hAnsiTheme="minorHAnsi" w:cstheme="minorBidi"/>
                <w:noProof/>
                <w:kern w:val="2"/>
                <w:sz w:val="24"/>
                <w:szCs w:val="24"/>
                <w14:ligatures w14:val="standardContextual"/>
              </w:rPr>
              <w:tab/>
            </w:r>
            <w:r w:rsidR="003C2913" w:rsidRPr="00D325E0">
              <w:rPr>
                <w:rStyle w:val="a8"/>
                <w:i/>
                <w:iCs/>
                <w:noProof/>
              </w:rPr>
              <w:t>CSR and role of the state in China</w:t>
            </w:r>
            <w:r w:rsidR="003C2913">
              <w:rPr>
                <w:noProof/>
                <w:webHidden/>
              </w:rPr>
              <w:tab/>
            </w:r>
            <w:r w:rsidR="003C2913">
              <w:rPr>
                <w:noProof/>
                <w:webHidden/>
              </w:rPr>
              <w:fldChar w:fldCharType="begin"/>
            </w:r>
            <w:r w:rsidR="003C2913">
              <w:rPr>
                <w:noProof/>
                <w:webHidden/>
              </w:rPr>
              <w:instrText xml:space="preserve"> PAGEREF _Toc167663315 \h </w:instrText>
            </w:r>
            <w:r w:rsidR="003C2913">
              <w:rPr>
                <w:noProof/>
                <w:webHidden/>
              </w:rPr>
            </w:r>
            <w:r w:rsidR="003C2913">
              <w:rPr>
                <w:noProof/>
                <w:webHidden/>
              </w:rPr>
              <w:fldChar w:fldCharType="separate"/>
            </w:r>
            <w:r w:rsidR="00583B42">
              <w:rPr>
                <w:noProof/>
                <w:webHidden/>
              </w:rPr>
              <w:t>16</w:t>
            </w:r>
            <w:r w:rsidR="003C2913">
              <w:rPr>
                <w:noProof/>
                <w:webHidden/>
              </w:rPr>
              <w:fldChar w:fldCharType="end"/>
            </w:r>
          </w:hyperlink>
        </w:p>
        <w:p w14:paraId="274ACE6F" w14:textId="1070A4F5" w:rsidR="003C2913" w:rsidRDefault="00C025B9">
          <w:pPr>
            <w:pStyle w:val="11"/>
            <w:rPr>
              <w:rFonts w:asciiTheme="minorHAnsi" w:hAnsiTheme="minorHAnsi" w:cstheme="minorBidi"/>
              <w:noProof/>
              <w:kern w:val="2"/>
              <w:sz w:val="24"/>
              <w:szCs w:val="24"/>
              <w14:ligatures w14:val="standardContextual"/>
            </w:rPr>
          </w:pPr>
          <w:hyperlink w:anchor="_Toc167663316" w:history="1">
            <w:r w:rsidR="003C2913" w:rsidRPr="00D325E0">
              <w:rPr>
                <w:rStyle w:val="a8"/>
                <w:noProof/>
              </w:rPr>
              <w:t>Chapter 3. Empirical Research</w:t>
            </w:r>
            <w:r w:rsidR="003C2913">
              <w:rPr>
                <w:noProof/>
                <w:webHidden/>
              </w:rPr>
              <w:tab/>
            </w:r>
            <w:r w:rsidR="003C2913">
              <w:rPr>
                <w:noProof/>
                <w:webHidden/>
              </w:rPr>
              <w:fldChar w:fldCharType="begin"/>
            </w:r>
            <w:r w:rsidR="003C2913">
              <w:rPr>
                <w:noProof/>
                <w:webHidden/>
              </w:rPr>
              <w:instrText xml:space="preserve"> PAGEREF _Toc167663316 \h </w:instrText>
            </w:r>
            <w:r w:rsidR="003C2913">
              <w:rPr>
                <w:noProof/>
                <w:webHidden/>
              </w:rPr>
            </w:r>
            <w:r w:rsidR="003C2913">
              <w:rPr>
                <w:noProof/>
                <w:webHidden/>
              </w:rPr>
              <w:fldChar w:fldCharType="separate"/>
            </w:r>
            <w:r w:rsidR="00583B42">
              <w:rPr>
                <w:noProof/>
                <w:webHidden/>
              </w:rPr>
              <w:t>21</w:t>
            </w:r>
            <w:r w:rsidR="003C2913">
              <w:rPr>
                <w:noProof/>
                <w:webHidden/>
              </w:rPr>
              <w:fldChar w:fldCharType="end"/>
            </w:r>
          </w:hyperlink>
        </w:p>
        <w:p w14:paraId="7BDE2FFE" w14:textId="3FC3A150" w:rsidR="003C2913" w:rsidRDefault="00C025B9">
          <w:pPr>
            <w:pStyle w:val="21"/>
            <w:tabs>
              <w:tab w:val="left" w:pos="1200"/>
              <w:tab w:val="right" w:leader="dot" w:pos="9350"/>
            </w:tabs>
            <w:rPr>
              <w:rFonts w:asciiTheme="minorHAnsi" w:hAnsiTheme="minorHAnsi" w:cstheme="minorBidi"/>
              <w:noProof/>
              <w:kern w:val="2"/>
              <w:sz w:val="24"/>
              <w:szCs w:val="24"/>
              <w14:ligatures w14:val="standardContextual"/>
            </w:rPr>
          </w:pPr>
          <w:hyperlink w:anchor="_Toc167663317" w:history="1">
            <w:r w:rsidR="003C2913" w:rsidRPr="00D325E0">
              <w:rPr>
                <w:rStyle w:val="a8"/>
                <w:i/>
                <w:iCs/>
                <w:noProof/>
              </w:rPr>
              <w:t>3-1.</w:t>
            </w:r>
            <w:r w:rsidR="003C2913">
              <w:rPr>
                <w:rFonts w:asciiTheme="minorHAnsi" w:hAnsiTheme="minorHAnsi" w:cstheme="minorBidi"/>
                <w:noProof/>
                <w:kern w:val="2"/>
                <w:sz w:val="24"/>
                <w:szCs w:val="24"/>
                <w14:ligatures w14:val="standardContextual"/>
              </w:rPr>
              <w:tab/>
            </w:r>
            <w:r w:rsidR="003C2913" w:rsidRPr="00D325E0">
              <w:rPr>
                <w:rStyle w:val="a8"/>
                <w:i/>
                <w:iCs/>
                <w:noProof/>
              </w:rPr>
              <w:t>Hypothesis</w:t>
            </w:r>
            <w:r w:rsidR="003C2913">
              <w:rPr>
                <w:noProof/>
                <w:webHidden/>
              </w:rPr>
              <w:tab/>
            </w:r>
            <w:r w:rsidR="003C2913">
              <w:rPr>
                <w:noProof/>
                <w:webHidden/>
              </w:rPr>
              <w:fldChar w:fldCharType="begin"/>
            </w:r>
            <w:r w:rsidR="003C2913">
              <w:rPr>
                <w:noProof/>
                <w:webHidden/>
              </w:rPr>
              <w:instrText xml:space="preserve"> PAGEREF _Toc167663317 \h </w:instrText>
            </w:r>
            <w:r w:rsidR="003C2913">
              <w:rPr>
                <w:noProof/>
                <w:webHidden/>
              </w:rPr>
            </w:r>
            <w:r w:rsidR="003C2913">
              <w:rPr>
                <w:noProof/>
                <w:webHidden/>
              </w:rPr>
              <w:fldChar w:fldCharType="separate"/>
            </w:r>
            <w:r w:rsidR="00583B42">
              <w:rPr>
                <w:noProof/>
                <w:webHidden/>
              </w:rPr>
              <w:t>21</w:t>
            </w:r>
            <w:r w:rsidR="003C2913">
              <w:rPr>
                <w:noProof/>
                <w:webHidden/>
              </w:rPr>
              <w:fldChar w:fldCharType="end"/>
            </w:r>
          </w:hyperlink>
        </w:p>
        <w:p w14:paraId="15E421E8" w14:textId="3F4783E9" w:rsidR="003C2913" w:rsidRDefault="00C025B9">
          <w:pPr>
            <w:pStyle w:val="21"/>
            <w:tabs>
              <w:tab w:val="left" w:pos="1200"/>
              <w:tab w:val="right" w:leader="dot" w:pos="9350"/>
            </w:tabs>
            <w:rPr>
              <w:rFonts w:asciiTheme="minorHAnsi" w:hAnsiTheme="minorHAnsi" w:cstheme="minorBidi"/>
              <w:noProof/>
              <w:kern w:val="2"/>
              <w:sz w:val="24"/>
              <w:szCs w:val="24"/>
              <w14:ligatures w14:val="standardContextual"/>
            </w:rPr>
          </w:pPr>
          <w:hyperlink w:anchor="_Toc167663318" w:history="1">
            <w:r w:rsidR="003C2913" w:rsidRPr="00D325E0">
              <w:rPr>
                <w:rStyle w:val="a8"/>
                <w:i/>
                <w:iCs/>
                <w:noProof/>
              </w:rPr>
              <w:t>3-2.</w:t>
            </w:r>
            <w:r w:rsidR="003C2913">
              <w:rPr>
                <w:rFonts w:asciiTheme="minorHAnsi" w:hAnsiTheme="minorHAnsi" w:cstheme="minorBidi"/>
                <w:noProof/>
                <w:kern w:val="2"/>
                <w:sz w:val="24"/>
                <w:szCs w:val="24"/>
                <w14:ligatures w14:val="standardContextual"/>
              </w:rPr>
              <w:tab/>
            </w:r>
            <w:r w:rsidR="003C2913" w:rsidRPr="00D325E0">
              <w:rPr>
                <w:rStyle w:val="a8"/>
                <w:i/>
                <w:iCs/>
                <w:noProof/>
              </w:rPr>
              <w:t>Research Methodology and Data Collection</w:t>
            </w:r>
            <w:r w:rsidR="003C2913">
              <w:rPr>
                <w:noProof/>
                <w:webHidden/>
              </w:rPr>
              <w:tab/>
            </w:r>
            <w:r w:rsidR="003C2913">
              <w:rPr>
                <w:noProof/>
                <w:webHidden/>
              </w:rPr>
              <w:fldChar w:fldCharType="begin"/>
            </w:r>
            <w:r w:rsidR="003C2913">
              <w:rPr>
                <w:noProof/>
                <w:webHidden/>
              </w:rPr>
              <w:instrText xml:space="preserve"> PAGEREF _Toc167663318 \h </w:instrText>
            </w:r>
            <w:r w:rsidR="003C2913">
              <w:rPr>
                <w:noProof/>
                <w:webHidden/>
              </w:rPr>
            </w:r>
            <w:r w:rsidR="003C2913">
              <w:rPr>
                <w:noProof/>
                <w:webHidden/>
              </w:rPr>
              <w:fldChar w:fldCharType="separate"/>
            </w:r>
            <w:r w:rsidR="00583B42">
              <w:rPr>
                <w:noProof/>
                <w:webHidden/>
              </w:rPr>
              <w:t>24</w:t>
            </w:r>
            <w:r w:rsidR="003C2913">
              <w:rPr>
                <w:noProof/>
                <w:webHidden/>
              </w:rPr>
              <w:fldChar w:fldCharType="end"/>
            </w:r>
          </w:hyperlink>
        </w:p>
        <w:p w14:paraId="6BF573DB" w14:textId="4ABC123A" w:rsidR="003C2913" w:rsidRDefault="00C025B9">
          <w:pPr>
            <w:pStyle w:val="21"/>
            <w:tabs>
              <w:tab w:val="left" w:pos="1200"/>
              <w:tab w:val="right" w:leader="dot" w:pos="9350"/>
            </w:tabs>
            <w:rPr>
              <w:rFonts w:asciiTheme="minorHAnsi" w:hAnsiTheme="minorHAnsi" w:cstheme="minorBidi"/>
              <w:noProof/>
              <w:kern w:val="2"/>
              <w:sz w:val="24"/>
              <w:szCs w:val="24"/>
              <w14:ligatures w14:val="standardContextual"/>
            </w:rPr>
          </w:pPr>
          <w:hyperlink w:anchor="_Toc167663319" w:history="1">
            <w:r w:rsidR="003C2913" w:rsidRPr="00D325E0">
              <w:rPr>
                <w:rStyle w:val="a8"/>
                <w:i/>
                <w:iCs/>
                <w:noProof/>
              </w:rPr>
              <w:t>3-3.</w:t>
            </w:r>
            <w:r w:rsidR="003C2913">
              <w:rPr>
                <w:rFonts w:asciiTheme="minorHAnsi" w:hAnsiTheme="minorHAnsi" w:cstheme="minorBidi"/>
                <w:noProof/>
                <w:kern w:val="2"/>
                <w:sz w:val="24"/>
                <w:szCs w:val="24"/>
                <w14:ligatures w14:val="standardContextual"/>
              </w:rPr>
              <w:tab/>
            </w:r>
            <w:r w:rsidR="003C2913" w:rsidRPr="00D325E0">
              <w:rPr>
                <w:rStyle w:val="a8"/>
                <w:i/>
                <w:iCs/>
                <w:noProof/>
              </w:rPr>
              <w:t>Result and Discussion</w:t>
            </w:r>
            <w:r w:rsidR="003C2913">
              <w:rPr>
                <w:noProof/>
                <w:webHidden/>
              </w:rPr>
              <w:tab/>
            </w:r>
            <w:r w:rsidR="003C2913">
              <w:rPr>
                <w:noProof/>
                <w:webHidden/>
              </w:rPr>
              <w:fldChar w:fldCharType="begin"/>
            </w:r>
            <w:r w:rsidR="003C2913">
              <w:rPr>
                <w:noProof/>
                <w:webHidden/>
              </w:rPr>
              <w:instrText xml:space="preserve"> PAGEREF _Toc167663319 \h </w:instrText>
            </w:r>
            <w:r w:rsidR="003C2913">
              <w:rPr>
                <w:noProof/>
                <w:webHidden/>
              </w:rPr>
            </w:r>
            <w:r w:rsidR="003C2913">
              <w:rPr>
                <w:noProof/>
                <w:webHidden/>
              </w:rPr>
              <w:fldChar w:fldCharType="separate"/>
            </w:r>
            <w:r w:rsidR="00583B42">
              <w:rPr>
                <w:noProof/>
                <w:webHidden/>
              </w:rPr>
              <w:t>27</w:t>
            </w:r>
            <w:r w:rsidR="003C2913">
              <w:rPr>
                <w:noProof/>
                <w:webHidden/>
              </w:rPr>
              <w:fldChar w:fldCharType="end"/>
            </w:r>
          </w:hyperlink>
        </w:p>
        <w:p w14:paraId="426A89B3" w14:textId="19F45A80" w:rsidR="003C2913" w:rsidRDefault="00C025B9">
          <w:pPr>
            <w:pStyle w:val="11"/>
            <w:rPr>
              <w:rFonts w:asciiTheme="minorHAnsi" w:hAnsiTheme="minorHAnsi" w:cstheme="minorBidi"/>
              <w:noProof/>
              <w:kern w:val="2"/>
              <w:sz w:val="24"/>
              <w:szCs w:val="24"/>
              <w14:ligatures w14:val="standardContextual"/>
            </w:rPr>
          </w:pPr>
          <w:hyperlink w:anchor="_Toc167663320" w:history="1">
            <w:r w:rsidR="003C2913" w:rsidRPr="00D325E0">
              <w:rPr>
                <w:rStyle w:val="a8"/>
                <w:noProof/>
              </w:rPr>
              <w:t>Chapter 4. Conclusion</w:t>
            </w:r>
            <w:r w:rsidR="003C2913">
              <w:rPr>
                <w:noProof/>
                <w:webHidden/>
              </w:rPr>
              <w:tab/>
            </w:r>
            <w:r w:rsidR="003C2913">
              <w:rPr>
                <w:noProof/>
                <w:webHidden/>
              </w:rPr>
              <w:fldChar w:fldCharType="begin"/>
            </w:r>
            <w:r w:rsidR="003C2913">
              <w:rPr>
                <w:noProof/>
                <w:webHidden/>
              </w:rPr>
              <w:instrText xml:space="preserve"> PAGEREF _Toc167663320 \h </w:instrText>
            </w:r>
            <w:r w:rsidR="003C2913">
              <w:rPr>
                <w:noProof/>
                <w:webHidden/>
              </w:rPr>
            </w:r>
            <w:r w:rsidR="003C2913">
              <w:rPr>
                <w:noProof/>
                <w:webHidden/>
              </w:rPr>
              <w:fldChar w:fldCharType="separate"/>
            </w:r>
            <w:r w:rsidR="00583B42">
              <w:rPr>
                <w:noProof/>
                <w:webHidden/>
              </w:rPr>
              <w:t>50</w:t>
            </w:r>
            <w:r w:rsidR="003C2913">
              <w:rPr>
                <w:noProof/>
                <w:webHidden/>
              </w:rPr>
              <w:fldChar w:fldCharType="end"/>
            </w:r>
          </w:hyperlink>
        </w:p>
        <w:p w14:paraId="0C317CA9" w14:textId="1F5CC547" w:rsidR="003C2913" w:rsidRDefault="00C025B9">
          <w:pPr>
            <w:pStyle w:val="11"/>
            <w:rPr>
              <w:rFonts w:asciiTheme="minorHAnsi" w:hAnsiTheme="minorHAnsi" w:cstheme="minorBidi"/>
              <w:noProof/>
              <w:kern w:val="2"/>
              <w:sz w:val="24"/>
              <w:szCs w:val="24"/>
              <w14:ligatures w14:val="standardContextual"/>
            </w:rPr>
          </w:pPr>
          <w:hyperlink w:anchor="_Toc167663321" w:history="1">
            <w:r w:rsidR="003C2913" w:rsidRPr="00D325E0">
              <w:rPr>
                <w:rStyle w:val="a8"/>
                <w:noProof/>
              </w:rPr>
              <w:t>Reference</w:t>
            </w:r>
            <w:r w:rsidR="003C2913">
              <w:rPr>
                <w:noProof/>
                <w:webHidden/>
              </w:rPr>
              <w:tab/>
            </w:r>
            <w:r w:rsidR="003C2913">
              <w:rPr>
                <w:noProof/>
                <w:webHidden/>
              </w:rPr>
              <w:fldChar w:fldCharType="begin"/>
            </w:r>
            <w:r w:rsidR="003C2913">
              <w:rPr>
                <w:noProof/>
                <w:webHidden/>
              </w:rPr>
              <w:instrText xml:space="preserve"> PAGEREF _Toc167663321 \h </w:instrText>
            </w:r>
            <w:r w:rsidR="003C2913">
              <w:rPr>
                <w:noProof/>
                <w:webHidden/>
              </w:rPr>
            </w:r>
            <w:r w:rsidR="003C2913">
              <w:rPr>
                <w:noProof/>
                <w:webHidden/>
              </w:rPr>
              <w:fldChar w:fldCharType="separate"/>
            </w:r>
            <w:r w:rsidR="00583B42">
              <w:rPr>
                <w:noProof/>
                <w:webHidden/>
              </w:rPr>
              <w:t>53</w:t>
            </w:r>
            <w:r w:rsidR="003C2913">
              <w:rPr>
                <w:noProof/>
                <w:webHidden/>
              </w:rPr>
              <w:fldChar w:fldCharType="end"/>
            </w:r>
          </w:hyperlink>
        </w:p>
        <w:p w14:paraId="386CC098" w14:textId="618810B2" w:rsidR="005F2CAB" w:rsidRDefault="00B619ED">
          <w:pPr>
            <w:jc w:val="both"/>
            <w:rPr>
              <w:rFonts w:ascii="Charter Roman" w:eastAsia="Charter Roman" w:hAnsi="Charter Roman" w:cs="Charter Roman"/>
            </w:rPr>
          </w:pPr>
          <w:r>
            <w:fldChar w:fldCharType="end"/>
          </w:r>
        </w:p>
      </w:sdtContent>
    </w:sdt>
    <w:p w14:paraId="3F2561A8" w14:textId="77777777" w:rsidR="005F2CAB" w:rsidRDefault="005F2CAB">
      <w:pPr>
        <w:jc w:val="both"/>
        <w:rPr>
          <w:rFonts w:ascii="Charter Roman" w:eastAsia="Charter Roman" w:hAnsi="Charter Roman" w:cs="Charter Roman"/>
        </w:rPr>
      </w:pPr>
    </w:p>
    <w:p w14:paraId="18204D17" w14:textId="77777777" w:rsidR="005F2CAB" w:rsidRDefault="005F2CAB">
      <w:pPr>
        <w:jc w:val="both"/>
        <w:rPr>
          <w:rFonts w:ascii="Charter Roman" w:eastAsia="Charter Roman" w:hAnsi="Charter Roman" w:cs="Charter Roman"/>
        </w:rPr>
      </w:pPr>
    </w:p>
    <w:p w14:paraId="2A3A23C7" w14:textId="77777777" w:rsidR="005F2CAB" w:rsidRDefault="005F2CAB">
      <w:pPr>
        <w:jc w:val="both"/>
        <w:rPr>
          <w:rFonts w:ascii="Charter Roman" w:eastAsia="Charter Roman" w:hAnsi="Charter Roman" w:cs="Charter Roman"/>
        </w:rPr>
      </w:pPr>
    </w:p>
    <w:p w14:paraId="137B5A85" w14:textId="77777777" w:rsidR="005F2CAB" w:rsidRDefault="005F2CAB">
      <w:pPr>
        <w:jc w:val="both"/>
        <w:rPr>
          <w:rFonts w:ascii="Charter Roman" w:eastAsia="Charter Roman" w:hAnsi="Charter Roman" w:cs="Charter Roman"/>
        </w:rPr>
      </w:pPr>
    </w:p>
    <w:p w14:paraId="7E4C4FE4" w14:textId="77777777" w:rsidR="005F2CAB" w:rsidRDefault="005F2CAB">
      <w:pPr>
        <w:jc w:val="both"/>
        <w:rPr>
          <w:rFonts w:ascii="Charter Roman" w:hAnsi="Charter Roman" w:cs="Charter Roman" w:hint="eastAsia"/>
        </w:rPr>
      </w:pPr>
    </w:p>
    <w:p w14:paraId="1F3E8D9A" w14:textId="77777777" w:rsidR="0084595B" w:rsidRDefault="0084595B">
      <w:pPr>
        <w:jc w:val="both"/>
        <w:rPr>
          <w:rFonts w:ascii="Charter Roman" w:hAnsi="Charter Roman" w:cs="Charter Roman" w:hint="eastAsia"/>
        </w:rPr>
      </w:pPr>
    </w:p>
    <w:p w14:paraId="32741A09" w14:textId="77777777" w:rsidR="0084595B" w:rsidRDefault="0084595B">
      <w:pPr>
        <w:jc w:val="both"/>
        <w:rPr>
          <w:rFonts w:ascii="Charter Roman" w:hAnsi="Charter Roman" w:cs="Charter Roman" w:hint="eastAsia"/>
        </w:rPr>
      </w:pPr>
    </w:p>
    <w:p w14:paraId="44C9F8FB" w14:textId="77777777" w:rsidR="0084595B" w:rsidRDefault="0084595B">
      <w:pPr>
        <w:jc w:val="both"/>
        <w:rPr>
          <w:rFonts w:ascii="Charter Roman" w:hAnsi="Charter Roman" w:cs="Charter Roman" w:hint="eastAsia"/>
        </w:rPr>
      </w:pPr>
    </w:p>
    <w:p w14:paraId="232B4EA9" w14:textId="77777777" w:rsidR="0084595B" w:rsidRDefault="0084595B">
      <w:pPr>
        <w:jc w:val="both"/>
        <w:rPr>
          <w:rFonts w:ascii="Charter Roman" w:hAnsi="Charter Roman" w:cs="Charter Roman" w:hint="eastAsia"/>
        </w:rPr>
      </w:pPr>
    </w:p>
    <w:p w14:paraId="67C002EB" w14:textId="77777777" w:rsidR="0084595B" w:rsidRDefault="0084595B">
      <w:pPr>
        <w:jc w:val="both"/>
        <w:rPr>
          <w:rFonts w:ascii="Charter Roman" w:hAnsi="Charter Roman" w:cs="Charter Roman" w:hint="eastAsia"/>
        </w:rPr>
      </w:pPr>
    </w:p>
    <w:p w14:paraId="56DEBF2A" w14:textId="77777777" w:rsidR="0084595B" w:rsidRDefault="0084595B">
      <w:pPr>
        <w:jc w:val="both"/>
        <w:rPr>
          <w:rFonts w:ascii="Charter Roman" w:hAnsi="Charter Roman" w:cs="Charter Roman" w:hint="eastAsia"/>
        </w:rPr>
      </w:pPr>
    </w:p>
    <w:p w14:paraId="706D0422" w14:textId="77777777" w:rsidR="0084595B" w:rsidRDefault="0084595B">
      <w:pPr>
        <w:jc w:val="both"/>
        <w:rPr>
          <w:rFonts w:ascii="Charter Roman" w:hAnsi="Charter Roman" w:cs="Charter Roman" w:hint="eastAsia"/>
        </w:rPr>
      </w:pPr>
    </w:p>
    <w:p w14:paraId="5A9ADA52" w14:textId="77777777" w:rsidR="0084595B" w:rsidRDefault="0084595B">
      <w:pPr>
        <w:jc w:val="both"/>
        <w:rPr>
          <w:rFonts w:ascii="Charter Roman" w:hAnsi="Charter Roman" w:cs="Charter Roman" w:hint="eastAsia"/>
        </w:rPr>
      </w:pPr>
    </w:p>
    <w:p w14:paraId="4A61BA46" w14:textId="77777777" w:rsidR="0084595B" w:rsidRDefault="0084595B">
      <w:pPr>
        <w:jc w:val="both"/>
        <w:rPr>
          <w:rFonts w:ascii="Charter Roman" w:hAnsi="Charter Roman" w:cs="Charter Roman" w:hint="eastAsia"/>
        </w:rPr>
      </w:pPr>
    </w:p>
    <w:p w14:paraId="3BF08B99" w14:textId="77777777" w:rsidR="0084595B" w:rsidRDefault="0084595B">
      <w:pPr>
        <w:jc w:val="both"/>
        <w:rPr>
          <w:rFonts w:ascii="Charter Roman" w:hAnsi="Charter Roman" w:cs="Charter Roman" w:hint="eastAsia"/>
        </w:rPr>
      </w:pPr>
    </w:p>
    <w:p w14:paraId="2387C70E" w14:textId="77777777" w:rsidR="00212B27" w:rsidRDefault="00212B27" w:rsidP="000C5C82">
      <w:pPr>
        <w:pStyle w:val="1"/>
        <w:tabs>
          <w:tab w:val="left" w:pos="3690"/>
        </w:tabs>
        <w:jc w:val="left"/>
        <w:rPr>
          <w:rFonts w:ascii="Times New Roman" w:hAnsi="Times New Roman"/>
          <w:sz w:val="32"/>
          <w:szCs w:val="32"/>
        </w:rPr>
        <w:sectPr w:rsidR="00212B27">
          <w:footerReference w:type="default" r:id="rId15"/>
          <w:pgSz w:w="12240" w:h="15840"/>
          <w:pgMar w:top="1440" w:right="1440" w:bottom="1440" w:left="1440" w:header="708" w:footer="708" w:gutter="0"/>
          <w:pgNumType w:start="1"/>
          <w:cols w:space="720"/>
        </w:sectPr>
      </w:pPr>
    </w:p>
    <w:p w14:paraId="0B90FF89" w14:textId="21419864" w:rsidR="00B10856" w:rsidRDefault="0018549A" w:rsidP="000C5C82">
      <w:pPr>
        <w:pStyle w:val="1"/>
        <w:tabs>
          <w:tab w:val="left" w:pos="3690"/>
        </w:tabs>
        <w:jc w:val="left"/>
        <w:rPr>
          <w:rFonts w:ascii="Times New Roman" w:hAnsi="Times New Roman"/>
          <w:sz w:val="32"/>
          <w:szCs w:val="32"/>
        </w:rPr>
      </w:pPr>
      <w:bookmarkStart w:id="2" w:name="_Toc167663306"/>
      <w:r w:rsidRPr="00B10856">
        <w:rPr>
          <w:rFonts w:ascii="Times New Roman" w:hAnsi="Times New Roman"/>
          <w:sz w:val="32"/>
          <w:szCs w:val="32"/>
        </w:rPr>
        <w:t>Introduction</w:t>
      </w:r>
      <w:bookmarkEnd w:id="2"/>
    </w:p>
    <w:p w14:paraId="3437F6B6" w14:textId="77777777" w:rsidR="00BB55ED" w:rsidRPr="00BB55ED" w:rsidRDefault="00BB55ED" w:rsidP="00BB55ED">
      <w:pPr>
        <w:spacing w:line="360" w:lineRule="auto"/>
        <w:jc w:val="both"/>
        <w:rPr>
          <w:sz w:val="24"/>
          <w:szCs w:val="24"/>
          <w:lang w:eastAsia="en-US"/>
        </w:rPr>
      </w:pPr>
      <w:r w:rsidRPr="00BB55ED">
        <w:rPr>
          <w:sz w:val="24"/>
          <w:szCs w:val="24"/>
          <w:lang w:eastAsia="en-US"/>
        </w:rPr>
        <w:t>In today's era where resilient and sustainable businesses are increasingly demanded in VUCA (volatile, uncertain, complex, ambiguous) environments, corporate social responsibility (CSR) has gained significant importance. There is growing attention on how companies balance their economic growth with their impact on the environment and societal responsibilities.</w:t>
      </w:r>
    </w:p>
    <w:p w14:paraId="62007E1B" w14:textId="77777777" w:rsidR="00BB55ED" w:rsidRPr="0096175C" w:rsidRDefault="00BB55ED" w:rsidP="00BB55ED">
      <w:pPr>
        <w:spacing w:line="360" w:lineRule="auto"/>
        <w:jc w:val="both"/>
        <w:rPr>
          <w:sz w:val="24"/>
          <w:szCs w:val="24"/>
          <w:lang w:eastAsia="en-US"/>
        </w:rPr>
      </w:pPr>
      <w:r w:rsidRPr="00BB55ED">
        <w:rPr>
          <w:sz w:val="24"/>
          <w:szCs w:val="24"/>
          <w:lang w:eastAsia="en-US"/>
        </w:rPr>
        <w:t xml:space="preserve">The recognition of the importance of such environmental considerations can be traced back to the concept of ESG (Environmental, Social, and Governance) investments, which were advocated by the United Nations' Principles for Responsible Investment (PRI) in 2006. The enforcement of the Paris Agreement in 2015 and the adoption of the Sustainable Development Goals (SDGs) further highlighted the global trend for companies to consider their environmental impact. Additionally, according to </w:t>
      </w:r>
      <w:r w:rsidRPr="0096175C">
        <w:rPr>
          <w:sz w:val="24"/>
          <w:szCs w:val="24"/>
          <w:lang w:eastAsia="en-US"/>
        </w:rPr>
        <w:t>the Global Footprint Network (2019), there's an urgent and significant issue with human consumption and waste surpassing the Earth's sustainable limits.</w:t>
      </w:r>
    </w:p>
    <w:p w14:paraId="47F2B16B" w14:textId="77777777" w:rsidR="00BB55ED" w:rsidRPr="0096175C" w:rsidRDefault="00BB55ED" w:rsidP="00BB55ED">
      <w:pPr>
        <w:spacing w:line="360" w:lineRule="auto"/>
        <w:jc w:val="both"/>
        <w:rPr>
          <w:sz w:val="24"/>
          <w:szCs w:val="24"/>
          <w:lang w:eastAsia="en-US"/>
        </w:rPr>
      </w:pPr>
      <w:r w:rsidRPr="0096175C">
        <w:rPr>
          <w:sz w:val="24"/>
          <w:szCs w:val="24"/>
          <w:lang w:eastAsia="en-US"/>
        </w:rPr>
        <w:t>In response to these challenges, the need to balance economic development with environmental impact has become increasingly emphasized, highlighting the importance of sustainability in corporate management efforts.</w:t>
      </w:r>
    </w:p>
    <w:p w14:paraId="448D2705" w14:textId="77777777" w:rsidR="00BB55ED" w:rsidRPr="0096175C" w:rsidRDefault="00BB55ED" w:rsidP="00BB55ED">
      <w:pPr>
        <w:spacing w:line="360" w:lineRule="auto"/>
        <w:jc w:val="both"/>
        <w:rPr>
          <w:sz w:val="24"/>
          <w:szCs w:val="24"/>
          <w:lang w:eastAsia="en-US"/>
        </w:rPr>
      </w:pPr>
      <w:r w:rsidRPr="0096175C">
        <w:rPr>
          <w:sz w:val="24"/>
          <w:szCs w:val="24"/>
          <w:lang w:eastAsia="en-US"/>
        </w:rPr>
        <w:t>Corporate social responsibility (CSR) principles guide companies towards the concept of the triple bottom line, which includes economic, social, and environmental care (Fatima et al., 2022). Positive correlations between CSR and Corporate Financial Performance (CFP) have been found in British companies (Homayoun et al., 2023). CSR has been shown to influence how employees perceive their workplace and job, increasing their engagement (Cunha et al., 2022). Furthermore, CSR has been claimed to significantly enhance a company's sustainable innovation capabilities (Yan R et al., 2022). Pursuing CSR initiatives has been confirmed to make companies more resilient and contribute to sustainability.</w:t>
      </w:r>
    </w:p>
    <w:p w14:paraId="7B186865" w14:textId="77777777" w:rsidR="00E90BD5" w:rsidRDefault="00BB55ED" w:rsidP="00BB55ED">
      <w:pPr>
        <w:spacing w:line="360" w:lineRule="auto"/>
        <w:jc w:val="both"/>
        <w:rPr>
          <w:sz w:val="24"/>
          <w:szCs w:val="24"/>
          <w:lang w:eastAsia="en-US"/>
        </w:rPr>
      </w:pPr>
      <w:r w:rsidRPr="0096175C">
        <w:rPr>
          <w:sz w:val="24"/>
          <w:szCs w:val="24"/>
          <w:lang w:eastAsia="en-US"/>
        </w:rPr>
        <w:t>As seen from the discussion above, the benefits of CSR have been acknowledged. However, it is equally important to consider the initiation of CSR initiatives, not just the enhancement of existing ones. In recent years, the role of governments in initiating and facilitating CSR has gained attention (</w:t>
      </w:r>
      <w:proofErr w:type="spellStart"/>
      <w:r w:rsidRPr="0096175C">
        <w:rPr>
          <w:sz w:val="24"/>
          <w:szCs w:val="24"/>
          <w:lang w:eastAsia="en-US"/>
        </w:rPr>
        <w:t>Dentchev</w:t>
      </w:r>
      <w:proofErr w:type="spellEnd"/>
      <w:r w:rsidRPr="0096175C">
        <w:rPr>
          <w:sz w:val="24"/>
          <w:szCs w:val="24"/>
          <w:lang w:eastAsia="en-US"/>
        </w:rPr>
        <w:t xml:space="preserve"> et al., 2015; Jackson et al., 2020). Specifically, governments are seen not only as key stakeholders in CSR but also as providers of an enabling environment for CSR (Fox et al., 2002). Furthermore, it is noted that governments can significantly impact corporations, as corporate ownership structures influence the adoption of various corporate strategies (Beiner et al., 2004; Joh, 2003). State-owned enterprises (SOEs) are believed to align CSR priorities with governmental agendas. </w:t>
      </w:r>
    </w:p>
    <w:p w14:paraId="1E6F5003" w14:textId="77777777" w:rsidR="00E90BD5" w:rsidRDefault="00E90BD5" w:rsidP="00BB55ED">
      <w:pPr>
        <w:spacing w:line="360" w:lineRule="auto"/>
        <w:jc w:val="both"/>
        <w:rPr>
          <w:sz w:val="24"/>
          <w:szCs w:val="24"/>
          <w:lang w:eastAsia="en-US"/>
        </w:rPr>
      </w:pPr>
    </w:p>
    <w:p w14:paraId="2B4C7AA9" w14:textId="7254B805" w:rsidR="00BB55ED" w:rsidRDefault="00E90BD5" w:rsidP="00BB55ED">
      <w:pPr>
        <w:spacing w:line="360" w:lineRule="auto"/>
        <w:jc w:val="both"/>
        <w:rPr>
          <w:sz w:val="24"/>
          <w:szCs w:val="24"/>
          <w:lang w:eastAsia="en-US"/>
        </w:rPr>
      </w:pPr>
      <w:r>
        <w:rPr>
          <w:sz w:val="24"/>
          <w:szCs w:val="24"/>
          <w:lang w:eastAsia="en-US"/>
        </w:rPr>
        <w:t>The goal of the paper is</w:t>
      </w:r>
      <w:r w:rsidR="00BB55ED" w:rsidRPr="0096175C">
        <w:rPr>
          <w:sz w:val="24"/>
          <w:szCs w:val="24"/>
          <w:lang w:eastAsia="en-US"/>
        </w:rPr>
        <w:t xml:space="preserve"> to </w:t>
      </w:r>
      <w:r>
        <w:rPr>
          <w:sz w:val="24"/>
          <w:szCs w:val="24"/>
          <w:lang w:eastAsia="en-US"/>
        </w:rPr>
        <w:t>define</w:t>
      </w:r>
      <w:r w:rsidRPr="0096175C">
        <w:rPr>
          <w:sz w:val="24"/>
          <w:szCs w:val="24"/>
          <w:lang w:eastAsia="en-US"/>
        </w:rPr>
        <w:t xml:space="preserve"> </w:t>
      </w:r>
      <w:r w:rsidR="00BB55ED" w:rsidRPr="0096175C">
        <w:rPr>
          <w:sz w:val="24"/>
          <w:szCs w:val="24"/>
          <w:lang w:eastAsia="en-US"/>
        </w:rPr>
        <w:t xml:space="preserve">the </w:t>
      </w:r>
      <w:r w:rsidR="00314F1F">
        <w:rPr>
          <w:sz w:val="24"/>
          <w:szCs w:val="24"/>
          <w:lang w:eastAsia="en-US"/>
        </w:rPr>
        <w:t xml:space="preserve">influence of </w:t>
      </w:r>
      <w:r w:rsidR="00BB55ED" w:rsidRPr="0096175C">
        <w:rPr>
          <w:sz w:val="24"/>
          <w:szCs w:val="24"/>
          <w:lang w:eastAsia="en-US"/>
        </w:rPr>
        <w:t xml:space="preserve"> corporate ownership structures (state-owned vs. non-state-owned enterprises) </w:t>
      </w:r>
      <w:r w:rsidR="00314F1F">
        <w:rPr>
          <w:sz w:val="24"/>
          <w:szCs w:val="24"/>
          <w:lang w:eastAsia="en-US"/>
        </w:rPr>
        <w:t>on</w:t>
      </w:r>
      <w:r w:rsidR="00314F1F" w:rsidRPr="0096175C">
        <w:rPr>
          <w:sz w:val="24"/>
          <w:szCs w:val="24"/>
          <w:lang w:eastAsia="en-US"/>
        </w:rPr>
        <w:t xml:space="preserve"> </w:t>
      </w:r>
      <w:r w:rsidR="00BB55ED" w:rsidRPr="0096175C">
        <w:rPr>
          <w:sz w:val="24"/>
          <w:szCs w:val="24"/>
          <w:lang w:eastAsia="en-US"/>
        </w:rPr>
        <w:t>CSR</w:t>
      </w:r>
      <w:r w:rsidR="00533280">
        <w:rPr>
          <w:sz w:val="24"/>
          <w:szCs w:val="24"/>
          <w:lang w:eastAsia="en-US"/>
        </w:rPr>
        <w:t xml:space="preserve"> disclosure of </w:t>
      </w:r>
      <w:r w:rsidR="002D1F0C">
        <w:rPr>
          <w:sz w:val="24"/>
          <w:szCs w:val="24"/>
          <w:lang w:eastAsia="en-US"/>
        </w:rPr>
        <w:t>such</w:t>
      </w:r>
      <w:r w:rsidR="00533280">
        <w:rPr>
          <w:sz w:val="24"/>
          <w:szCs w:val="24"/>
          <w:lang w:eastAsia="en-US"/>
        </w:rPr>
        <w:t xml:space="preserve"> enterprises</w:t>
      </w:r>
      <w:r w:rsidR="00BB55ED" w:rsidRPr="0096175C">
        <w:rPr>
          <w:sz w:val="24"/>
          <w:szCs w:val="24"/>
          <w:lang w:eastAsia="en-US"/>
        </w:rPr>
        <w:t>. Additionally, as Lu et al. (2023) suggest, in countries with significant government influence, corporations are expected to engage in social activities either to serve the political objectives of the state or to address government deficits, regardless of their business relevance. Therefore, through a comparative analysis of Russia and China, which are examples of countries with substantial government influence, this study seeks to expand the literature</w:t>
      </w:r>
      <w:r w:rsidR="00BB55ED" w:rsidRPr="00BB55ED">
        <w:rPr>
          <w:sz w:val="24"/>
          <w:szCs w:val="24"/>
          <w:lang w:eastAsia="en-US"/>
        </w:rPr>
        <w:t xml:space="preserve"> in this field.</w:t>
      </w:r>
    </w:p>
    <w:p w14:paraId="5568B9C1" w14:textId="77777777" w:rsidR="005E5B61" w:rsidRDefault="00E90BD5" w:rsidP="00BB55ED">
      <w:pPr>
        <w:spacing w:line="360" w:lineRule="auto"/>
        <w:jc w:val="both"/>
      </w:pPr>
      <w:r>
        <w:rPr>
          <w:sz w:val="24"/>
          <w:szCs w:val="24"/>
          <w:lang w:eastAsia="en-US"/>
        </w:rPr>
        <w:t>The objectives of the paper are:</w:t>
      </w:r>
      <w:r w:rsidR="00D45031" w:rsidRPr="00D45031">
        <w:rPr>
          <w:rFonts w:hint="eastAsia"/>
        </w:rPr>
        <w:t xml:space="preserve"> </w:t>
      </w:r>
    </w:p>
    <w:p w14:paraId="3E8DC3F9" w14:textId="6AB67249" w:rsidR="00A02EF3" w:rsidRPr="005E5B61" w:rsidRDefault="00A02EF3" w:rsidP="00BB55ED">
      <w:pPr>
        <w:spacing w:line="360" w:lineRule="auto"/>
        <w:jc w:val="both"/>
      </w:pPr>
      <w:r w:rsidRPr="00A02EF3">
        <w:rPr>
          <w:sz w:val="24"/>
          <w:szCs w:val="24"/>
        </w:rPr>
        <w:t xml:space="preserve">to examine the relationship between corporate ownership structure and CSR disclosure, identify key factors influencing CSR disclosure, and compare these dynamics in Russia and China. This analysis seeks to determine whether state-owned enterprises lead to higher CSR disclosure and to </w:t>
      </w:r>
      <w:r w:rsidR="00CA4F37">
        <w:rPr>
          <w:rFonts w:hint="eastAsia"/>
          <w:sz w:val="24"/>
          <w:szCs w:val="24"/>
        </w:rPr>
        <w:t>reveal</w:t>
      </w:r>
      <w:r w:rsidRPr="00A02EF3">
        <w:rPr>
          <w:sz w:val="24"/>
          <w:szCs w:val="24"/>
        </w:rPr>
        <w:t xml:space="preserve"> how other variables such as company age, ROA, industry sector, and number of independent directors interact with ownership structure to influence CSR practices.</w:t>
      </w:r>
    </w:p>
    <w:p w14:paraId="559A8CA4" w14:textId="09522E3E" w:rsidR="00E90BD5" w:rsidRDefault="00E90BD5" w:rsidP="00E90BD5">
      <w:pPr>
        <w:spacing w:line="360" w:lineRule="auto"/>
        <w:jc w:val="both"/>
        <w:rPr>
          <w:sz w:val="24"/>
          <w:szCs w:val="24"/>
        </w:rPr>
      </w:pPr>
    </w:p>
    <w:p w14:paraId="0403AC95" w14:textId="704AF29D" w:rsidR="00E90BD5" w:rsidRDefault="00E90BD5" w:rsidP="00C05D10">
      <w:pPr>
        <w:spacing w:line="360" w:lineRule="auto"/>
        <w:jc w:val="both"/>
        <w:rPr>
          <w:sz w:val="24"/>
          <w:szCs w:val="24"/>
        </w:rPr>
      </w:pPr>
      <w:r>
        <w:rPr>
          <w:sz w:val="24"/>
          <w:szCs w:val="24"/>
        </w:rPr>
        <w:t>The subject is</w:t>
      </w:r>
      <w:r w:rsidR="005E5B61">
        <w:rPr>
          <w:rFonts w:hint="eastAsia"/>
          <w:sz w:val="24"/>
          <w:szCs w:val="24"/>
        </w:rPr>
        <w:t xml:space="preserve">: </w:t>
      </w:r>
    </w:p>
    <w:p w14:paraId="58725511" w14:textId="4257318F" w:rsidR="00D45031" w:rsidRDefault="00C05D10" w:rsidP="00C05D10">
      <w:pPr>
        <w:spacing w:line="360" w:lineRule="auto"/>
        <w:jc w:val="both"/>
        <w:rPr>
          <w:sz w:val="24"/>
          <w:szCs w:val="24"/>
        </w:rPr>
      </w:pPr>
      <w:r w:rsidRPr="00C05D10">
        <w:rPr>
          <w:sz w:val="24"/>
          <w:szCs w:val="24"/>
        </w:rPr>
        <w:t>focuses on the CSR disclosure practices of state-owned and non-state-owned enterprises in Russia and China, exploring how ownership structure influences the scope and nature of their CSR activities and reporting.</w:t>
      </w:r>
    </w:p>
    <w:p w14:paraId="199329CE" w14:textId="77777777" w:rsidR="002E23CD" w:rsidRDefault="002E23CD" w:rsidP="00E90BD5">
      <w:pPr>
        <w:spacing w:line="360" w:lineRule="auto"/>
        <w:jc w:val="both"/>
        <w:rPr>
          <w:sz w:val="24"/>
          <w:szCs w:val="24"/>
        </w:rPr>
      </w:pPr>
    </w:p>
    <w:p w14:paraId="50E321C6" w14:textId="77777777" w:rsidR="0011229B" w:rsidRDefault="00E90BD5" w:rsidP="0011229B">
      <w:pPr>
        <w:spacing w:line="360" w:lineRule="auto"/>
        <w:jc w:val="both"/>
        <w:rPr>
          <w:sz w:val="24"/>
          <w:szCs w:val="24"/>
        </w:rPr>
      </w:pPr>
      <w:r>
        <w:rPr>
          <w:sz w:val="24"/>
          <w:szCs w:val="24"/>
        </w:rPr>
        <w:t>The object is</w:t>
      </w:r>
      <w:r w:rsidR="005E5B61">
        <w:rPr>
          <w:rFonts w:hint="eastAsia"/>
          <w:sz w:val="24"/>
          <w:szCs w:val="24"/>
        </w:rPr>
        <w:t xml:space="preserve">: </w:t>
      </w:r>
    </w:p>
    <w:p w14:paraId="4A70A3A4" w14:textId="2F8D0AC6" w:rsidR="00A5205A" w:rsidRDefault="00A5205A" w:rsidP="0011229B">
      <w:pPr>
        <w:spacing w:line="360" w:lineRule="auto"/>
        <w:jc w:val="both"/>
        <w:rPr>
          <w:sz w:val="24"/>
          <w:szCs w:val="24"/>
        </w:rPr>
      </w:pPr>
      <w:r w:rsidRPr="00A5205A">
        <w:rPr>
          <w:sz w:val="24"/>
          <w:szCs w:val="24"/>
        </w:rPr>
        <w:t>to determine the extent to which ownership structure influences CSR disclosure, identify moderating factors that strengthen or weaken this relationship, and compare these influences in the two major economies where state involvement in corporate governance is prominent.</w:t>
      </w:r>
    </w:p>
    <w:p w14:paraId="18846A1A" w14:textId="77777777" w:rsidR="002E23CD" w:rsidRDefault="002E23CD" w:rsidP="00E90BD5">
      <w:pPr>
        <w:spacing w:line="360" w:lineRule="auto"/>
        <w:jc w:val="both"/>
        <w:rPr>
          <w:sz w:val="24"/>
          <w:szCs w:val="24"/>
        </w:rPr>
      </w:pPr>
    </w:p>
    <w:p w14:paraId="56A302B5" w14:textId="2C74DA67" w:rsidR="00BB55ED" w:rsidRPr="0011229B" w:rsidRDefault="00E90BD5" w:rsidP="0011229B">
      <w:pPr>
        <w:spacing w:line="360" w:lineRule="auto"/>
        <w:jc w:val="both"/>
        <w:rPr>
          <w:sz w:val="24"/>
          <w:szCs w:val="24"/>
          <w:lang w:eastAsia="en-US"/>
        </w:rPr>
      </w:pPr>
      <w:r w:rsidRPr="0011229B">
        <w:rPr>
          <w:sz w:val="24"/>
          <w:szCs w:val="24"/>
          <w:lang w:eastAsia="en-US"/>
        </w:rPr>
        <w:t xml:space="preserve">The paper is based on the analysis of the annual reports of leading in sustainability agenda companies from Russia and China, as well as other secondary data collected </w:t>
      </w:r>
      <w:r w:rsidR="000478CA">
        <w:rPr>
          <w:rFonts w:hint="eastAsia"/>
          <w:sz w:val="24"/>
          <w:szCs w:val="24"/>
        </w:rPr>
        <w:t>sustainability report</w:t>
      </w:r>
      <w:r w:rsidR="00423CE0">
        <w:rPr>
          <w:rFonts w:hint="eastAsia"/>
          <w:sz w:val="24"/>
          <w:szCs w:val="24"/>
        </w:rPr>
        <w:t xml:space="preserve">s </w:t>
      </w:r>
      <w:r w:rsidR="007D1D89" w:rsidRPr="0011229B">
        <w:rPr>
          <w:sz w:val="24"/>
          <w:szCs w:val="24"/>
          <w:lang w:eastAsia="en-US"/>
        </w:rPr>
        <w:t xml:space="preserve">in these countries. The data will be analyzed </w:t>
      </w:r>
      <w:r w:rsidR="00DF7CCB">
        <w:rPr>
          <w:rFonts w:hint="eastAsia"/>
          <w:sz w:val="24"/>
          <w:szCs w:val="24"/>
        </w:rPr>
        <w:t>by</w:t>
      </w:r>
      <w:r w:rsidR="007D1D89" w:rsidRPr="0011229B">
        <w:rPr>
          <w:sz w:val="24"/>
          <w:szCs w:val="24"/>
          <w:lang w:eastAsia="en-US"/>
        </w:rPr>
        <w:t xml:space="preserve"> content analysis and statistical tests to validate the hypotheses and draw meaningful conclusions about the determinants of CSR disclosure in different ownership contexts.</w:t>
      </w:r>
    </w:p>
    <w:p w14:paraId="480CAB4E" w14:textId="77777777" w:rsidR="00AB6192" w:rsidRDefault="00AB6192" w:rsidP="00BB55ED">
      <w:pPr>
        <w:rPr>
          <w:lang w:eastAsia="en-US"/>
        </w:rPr>
      </w:pPr>
    </w:p>
    <w:p w14:paraId="17690382" w14:textId="77777777" w:rsidR="00AB6192" w:rsidRDefault="00AB6192" w:rsidP="00BB55ED">
      <w:pPr>
        <w:rPr>
          <w:lang w:eastAsia="en-US"/>
        </w:rPr>
      </w:pPr>
    </w:p>
    <w:p w14:paraId="62739AC4" w14:textId="77777777" w:rsidR="00AB6192" w:rsidRDefault="00AB6192" w:rsidP="00BB55ED">
      <w:pPr>
        <w:rPr>
          <w:lang w:eastAsia="en-US"/>
        </w:rPr>
      </w:pPr>
    </w:p>
    <w:p w14:paraId="4E925A25" w14:textId="77777777" w:rsidR="00AB6192" w:rsidRDefault="00AB6192" w:rsidP="00BB55ED">
      <w:pPr>
        <w:rPr>
          <w:lang w:eastAsia="en-US"/>
        </w:rPr>
      </w:pPr>
    </w:p>
    <w:p w14:paraId="0D7B49B7" w14:textId="77777777" w:rsidR="00AB6192" w:rsidRDefault="00AB6192" w:rsidP="00BB55ED">
      <w:pPr>
        <w:rPr>
          <w:lang w:eastAsia="en-US"/>
        </w:rPr>
      </w:pPr>
    </w:p>
    <w:p w14:paraId="7D2D3266" w14:textId="77777777" w:rsidR="00AB6192" w:rsidRDefault="00AB6192" w:rsidP="00BB55ED">
      <w:pPr>
        <w:rPr>
          <w:lang w:eastAsia="en-US"/>
        </w:rPr>
      </w:pPr>
    </w:p>
    <w:p w14:paraId="1BCD3A66" w14:textId="77777777" w:rsidR="00AB6192" w:rsidRDefault="00AB6192" w:rsidP="00BB55ED">
      <w:pPr>
        <w:rPr>
          <w:lang w:eastAsia="en-US"/>
        </w:rPr>
      </w:pPr>
    </w:p>
    <w:p w14:paraId="5B247FC4" w14:textId="77777777" w:rsidR="0074216F" w:rsidRDefault="0074216F" w:rsidP="0074216F">
      <w:pPr>
        <w:pStyle w:val="1"/>
        <w:jc w:val="left"/>
        <w:rPr>
          <w:rFonts w:ascii="Times New Roman" w:hAnsi="Times New Roman"/>
          <w:sz w:val="32"/>
          <w:szCs w:val="32"/>
        </w:rPr>
      </w:pPr>
    </w:p>
    <w:p w14:paraId="7FFBF81F" w14:textId="37625748" w:rsidR="00BB55ED" w:rsidRDefault="0074216F" w:rsidP="0068667F">
      <w:pPr>
        <w:pStyle w:val="1"/>
        <w:jc w:val="left"/>
        <w:rPr>
          <w:rFonts w:ascii="Times New Roman" w:hAnsi="Times New Roman"/>
          <w:sz w:val="32"/>
          <w:szCs w:val="32"/>
        </w:rPr>
      </w:pPr>
      <w:bookmarkStart w:id="3" w:name="_Toc167663307"/>
      <w:r>
        <w:rPr>
          <w:rFonts w:ascii="Times New Roman" w:hAnsi="Times New Roman" w:hint="eastAsia"/>
          <w:sz w:val="32"/>
          <w:szCs w:val="32"/>
          <w:lang w:eastAsia="ja-JP"/>
        </w:rPr>
        <w:t xml:space="preserve">Chapter 1. </w:t>
      </w:r>
      <w:r w:rsidR="0018549A" w:rsidRPr="00B10856">
        <w:rPr>
          <w:rFonts w:ascii="Times New Roman" w:hAnsi="Times New Roman"/>
          <w:sz w:val="32"/>
          <w:szCs w:val="32"/>
        </w:rPr>
        <w:t>Theoretical Background</w:t>
      </w:r>
      <w:bookmarkEnd w:id="3"/>
    </w:p>
    <w:p w14:paraId="12C6E2EA" w14:textId="77777777" w:rsidR="00A824A7" w:rsidRPr="00A824A7" w:rsidRDefault="00A824A7" w:rsidP="00A824A7">
      <w:pPr>
        <w:rPr>
          <w:lang w:eastAsia="en-US"/>
        </w:rPr>
      </w:pPr>
    </w:p>
    <w:p w14:paraId="5B054670" w14:textId="7C8F75EC" w:rsidR="00BB55ED" w:rsidRPr="00AD13B4" w:rsidRDefault="00845FEE" w:rsidP="00BB55ED">
      <w:pPr>
        <w:pStyle w:val="2"/>
        <w:numPr>
          <w:ilvl w:val="1"/>
          <w:numId w:val="5"/>
        </w:numPr>
        <w:tabs>
          <w:tab w:val="left" w:pos="900"/>
        </w:tabs>
        <w:ind w:left="810" w:hanging="450"/>
        <w:jc w:val="left"/>
        <w:rPr>
          <w:rFonts w:ascii="Times New Roman" w:hAnsi="Times New Roman"/>
          <w:i/>
          <w:iCs/>
        </w:rPr>
      </w:pPr>
      <w:bookmarkStart w:id="4" w:name="_Toc167663308"/>
      <w:r>
        <w:rPr>
          <w:rFonts w:ascii="Times New Roman" w:hAnsi="Times New Roman" w:hint="eastAsia"/>
          <w:i/>
          <w:iCs/>
          <w:lang w:eastAsia="ja-JP"/>
        </w:rPr>
        <w:t xml:space="preserve"> </w:t>
      </w:r>
      <w:r w:rsidR="003063DF" w:rsidRPr="00AD13B4">
        <w:rPr>
          <w:rFonts w:ascii="Times New Roman" w:hAnsi="Times New Roman"/>
          <w:i/>
          <w:iCs/>
        </w:rPr>
        <w:t xml:space="preserve">Theories on </w:t>
      </w:r>
      <w:r w:rsidR="0018549A" w:rsidRPr="00AD13B4">
        <w:rPr>
          <w:rFonts w:ascii="Times New Roman" w:hAnsi="Times New Roman"/>
          <w:i/>
          <w:iCs/>
        </w:rPr>
        <w:t>CSR</w:t>
      </w:r>
      <w:bookmarkEnd w:id="4"/>
    </w:p>
    <w:p w14:paraId="39300B9F" w14:textId="663BF266" w:rsidR="001B1A62" w:rsidRDefault="001B1A62" w:rsidP="001B1A62">
      <w:pPr>
        <w:spacing w:line="360" w:lineRule="auto"/>
        <w:jc w:val="both"/>
        <w:rPr>
          <w:sz w:val="24"/>
          <w:szCs w:val="24"/>
          <w:highlight w:val="yellow"/>
          <w:lang w:eastAsia="en-US"/>
        </w:rPr>
      </w:pPr>
      <w:r w:rsidRPr="001B1A62">
        <w:rPr>
          <w:sz w:val="24"/>
          <w:szCs w:val="24"/>
          <w:lang w:eastAsia="en-US"/>
        </w:rPr>
        <w:t>CSR is interpreted in various ways by many authors, and the theories that attempt to explain it are equally diverse. However, among these, the most widely accepted are stakeholder theory, legitimacy theory, and resource-based theory, which this research will focus on.</w:t>
      </w:r>
    </w:p>
    <w:p w14:paraId="7AB4DBDE" w14:textId="79C3CF20" w:rsidR="001B1A62" w:rsidRDefault="001B1A62" w:rsidP="001B1A62">
      <w:pPr>
        <w:spacing w:line="360" w:lineRule="auto"/>
        <w:jc w:val="both"/>
        <w:rPr>
          <w:sz w:val="24"/>
          <w:szCs w:val="24"/>
          <w:highlight w:val="yellow"/>
          <w:lang w:eastAsia="en-US"/>
        </w:rPr>
      </w:pPr>
      <w:r w:rsidRPr="001B1A62">
        <w:rPr>
          <w:sz w:val="24"/>
          <w:szCs w:val="24"/>
          <w:lang w:eastAsia="en-US"/>
        </w:rPr>
        <w:t>Within the adopted theoretical framework, stakeholder theory focuses on the expectations of specific stakeholder groups, legitimacy theory addresses the expectations of the general society, and resource-based theory emphasizes a company's competitive advantage.</w:t>
      </w:r>
    </w:p>
    <w:p w14:paraId="5C930AB7" w14:textId="4FE34AF9" w:rsidR="00A824A7" w:rsidRDefault="00A824A7" w:rsidP="00A824A7">
      <w:pPr>
        <w:spacing w:line="360" w:lineRule="auto"/>
        <w:jc w:val="both"/>
        <w:rPr>
          <w:sz w:val="24"/>
          <w:szCs w:val="24"/>
        </w:rPr>
      </w:pPr>
      <w:r w:rsidRPr="00A824A7">
        <w:rPr>
          <w:sz w:val="24"/>
          <w:szCs w:val="24"/>
        </w:rPr>
        <w:t xml:space="preserve">The theoretical framework of stakeholder theory is explained by Freeman (1984). Freeman's (1984) book, "Strategic Management: A Stakeholder Approach," is described by many as a classic book (Laplume et al. 2008; Weber and Wasieleski 2003; </w:t>
      </w:r>
      <w:proofErr w:type="spellStart"/>
      <w:r w:rsidRPr="00A824A7">
        <w:rPr>
          <w:sz w:val="24"/>
          <w:szCs w:val="24"/>
        </w:rPr>
        <w:t>Minoja</w:t>
      </w:r>
      <w:proofErr w:type="spellEnd"/>
      <w:r w:rsidRPr="00A824A7">
        <w:rPr>
          <w:sz w:val="24"/>
          <w:szCs w:val="24"/>
        </w:rPr>
        <w:t xml:space="preserve"> 2012) and is considered the formal academic beginning of stakeholder theory (Donaldson and Preston 1995).</w:t>
      </w:r>
      <w:r>
        <w:rPr>
          <w:rFonts w:hint="eastAsia"/>
          <w:sz w:val="24"/>
          <w:szCs w:val="24"/>
        </w:rPr>
        <w:t xml:space="preserve">　</w:t>
      </w:r>
      <w:r w:rsidRPr="00A824A7">
        <w:rPr>
          <w:sz w:val="24"/>
          <w:szCs w:val="24"/>
        </w:rPr>
        <w:t>Freeman (1984) saw the need for a framework that included not only customers, owners, employees, and suppliers but also governments, competitors, consumer advocates, environmentalists, special interest groups, and the media. This resulted in the well-known "stakeholder view of the firm," where the company is placed at the center, separate from the stakeholders, and their collaboration is symbolized with arrows (</w:t>
      </w:r>
      <w:r w:rsidR="00B8175B">
        <w:rPr>
          <w:rFonts w:hint="eastAsia"/>
          <w:sz w:val="24"/>
          <w:szCs w:val="24"/>
        </w:rPr>
        <w:t>s</w:t>
      </w:r>
      <w:r w:rsidRPr="00A824A7">
        <w:rPr>
          <w:sz w:val="24"/>
          <w:szCs w:val="24"/>
        </w:rPr>
        <w:t>ee Fig</w:t>
      </w:r>
      <w:r>
        <w:rPr>
          <w:rFonts w:hint="eastAsia"/>
          <w:sz w:val="24"/>
          <w:szCs w:val="24"/>
        </w:rPr>
        <w:t xml:space="preserve">ure </w:t>
      </w:r>
      <w:r w:rsidRPr="00A824A7">
        <w:rPr>
          <w:sz w:val="24"/>
          <w:szCs w:val="24"/>
        </w:rPr>
        <w:t>1). The definition of a stakeholder is any group or individual who can "affect or is affected by the achievement of the firm's objectives."</w:t>
      </w:r>
    </w:p>
    <w:p w14:paraId="3E737801" w14:textId="77777777" w:rsidR="00A824A7" w:rsidRDefault="00A824A7" w:rsidP="00A357EF">
      <w:pPr>
        <w:spacing w:line="360" w:lineRule="auto"/>
        <w:jc w:val="both"/>
        <w:rPr>
          <w:sz w:val="24"/>
          <w:szCs w:val="24"/>
        </w:rPr>
      </w:pPr>
    </w:p>
    <w:p w14:paraId="4D62CAD3" w14:textId="77777777" w:rsidR="00A824A7" w:rsidRDefault="00A824A7" w:rsidP="00A357EF">
      <w:pPr>
        <w:spacing w:line="360" w:lineRule="auto"/>
        <w:jc w:val="both"/>
        <w:rPr>
          <w:sz w:val="24"/>
          <w:szCs w:val="24"/>
        </w:rPr>
      </w:pPr>
    </w:p>
    <w:p w14:paraId="7DC0EECF" w14:textId="0AF303A2" w:rsidR="00A824A7" w:rsidRDefault="00A824A7" w:rsidP="00A357EF">
      <w:pPr>
        <w:spacing w:line="360" w:lineRule="auto"/>
        <w:jc w:val="both"/>
        <w:rPr>
          <w:sz w:val="24"/>
          <w:szCs w:val="24"/>
        </w:rPr>
      </w:pPr>
    </w:p>
    <w:p w14:paraId="0D4E1E8E" w14:textId="4FDC1239" w:rsidR="00927435" w:rsidRPr="00CA3DA7" w:rsidRDefault="007807C2" w:rsidP="00CA3DA7">
      <w:pPr>
        <w:spacing w:line="360" w:lineRule="auto"/>
        <w:jc w:val="center"/>
        <w:rPr>
          <w:rFonts w:cs="Times New Roman"/>
          <w:i/>
          <w:iCs/>
        </w:rPr>
      </w:pPr>
      <w:r w:rsidRPr="007807C2">
        <w:rPr>
          <w:rFonts w:cs="Times New Roman"/>
          <w:i/>
          <w:iCs/>
          <w:noProof/>
        </w:rPr>
        <w:drawing>
          <wp:anchor distT="0" distB="0" distL="114300" distR="114300" simplePos="0" relativeHeight="251658245" behindDoc="0" locked="0" layoutInCell="1" allowOverlap="1" wp14:anchorId="4C7E592B" wp14:editId="4708F490">
            <wp:simplePos x="0" y="0"/>
            <wp:positionH relativeFrom="column">
              <wp:posOffset>941705</wp:posOffset>
            </wp:positionH>
            <wp:positionV relativeFrom="paragraph">
              <wp:posOffset>351155</wp:posOffset>
            </wp:positionV>
            <wp:extent cx="4135755" cy="3999230"/>
            <wp:effectExtent l="0" t="0" r="0" b="0"/>
            <wp:wrapTopAndBottom/>
            <wp:docPr id="1719690968" name="図 1"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90968" name="図 1" descr="ダイアグラム, 概略図&#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4135755" cy="3999230"/>
                    </a:xfrm>
                    <a:prstGeom prst="rect">
                      <a:avLst/>
                    </a:prstGeom>
                  </pic:spPr>
                </pic:pic>
              </a:graphicData>
            </a:graphic>
            <wp14:sizeRelH relativeFrom="margin">
              <wp14:pctWidth>0</wp14:pctWidth>
            </wp14:sizeRelH>
            <wp14:sizeRelV relativeFrom="margin">
              <wp14:pctHeight>0</wp14:pctHeight>
            </wp14:sizeRelV>
          </wp:anchor>
        </w:drawing>
      </w:r>
      <w:r w:rsidR="00A824A7" w:rsidRPr="007807C2">
        <w:rPr>
          <w:rFonts w:cs="Times New Roman"/>
          <w:i/>
          <w:iCs/>
        </w:rPr>
        <w:t>Figure 1</w:t>
      </w:r>
      <w:r w:rsidRPr="007807C2">
        <w:rPr>
          <w:rFonts w:cs="Times New Roman" w:hint="eastAsia"/>
          <w:i/>
          <w:iCs/>
        </w:rPr>
        <w:t xml:space="preserve">. </w:t>
      </w:r>
      <w:r w:rsidRPr="007807C2">
        <w:rPr>
          <w:rFonts w:cs="Times New Roman"/>
          <w:i/>
          <w:iCs/>
        </w:rPr>
        <w:t xml:space="preserve"> </w:t>
      </w:r>
      <w:r w:rsidRPr="007807C2">
        <w:rPr>
          <w:rFonts w:cs="Times New Roman"/>
          <w:i/>
          <w:iCs/>
          <w:color w:val="222222"/>
          <w:shd w:val="clear" w:color="auto" w:fill="FFFFFF"/>
        </w:rPr>
        <w:t>The stakeholder view of the firm</w:t>
      </w:r>
    </w:p>
    <w:p w14:paraId="68B9CD89" w14:textId="6841D9F6" w:rsidR="00213779" w:rsidRDefault="00AD69AB" w:rsidP="00213779">
      <w:pPr>
        <w:spacing w:line="360" w:lineRule="auto"/>
        <w:jc w:val="both"/>
        <w:rPr>
          <w:sz w:val="18"/>
          <w:szCs w:val="18"/>
        </w:rPr>
      </w:pPr>
      <w:r w:rsidRPr="00CA3DA7">
        <w:rPr>
          <w:sz w:val="18"/>
          <w:szCs w:val="18"/>
        </w:rPr>
        <w:t>S</w:t>
      </w:r>
      <w:r w:rsidRPr="00CA3DA7">
        <w:rPr>
          <w:rFonts w:hint="eastAsia"/>
          <w:sz w:val="18"/>
          <w:szCs w:val="18"/>
        </w:rPr>
        <w:t>ource</w:t>
      </w:r>
      <w:r w:rsidR="00FD4EA5" w:rsidRPr="00CA3DA7">
        <w:rPr>
          <w:rFonts w:hint="eastAsia"/>
          <w:sz w:val="18"/>
          <w:szCs w:val="18"/>
        </w:rPr>
        <w:t>: Helena</w:t>
      </w:r>
      <w:r w:rsidR="00277802" w:rsidRPr="00CA3DA7">
        <w:rPr>
          <w:rFonts w:hint="eastAsia"/>
          <w:sz w:val="18"/>
          <w:szCs w:val="18"/>
        </w:rPr>
        <w:t>. 2017.</w:t>
      </w:r>
      <w:r w:rsidR="00277802" w:rsidRPr="00CA3DA7">
        <w:rPr>
          <w:sz w:val="18"/>
          <w:szCs w:val="18"/>
        </w:rPr>
        <w:t>”Stakeholder management theory meets CSR practice in Swedish mining”</w:t>
      </w:r>
      <w:r w:rsidR="00277802" w:rsidRPr="00CA3DA7">
        <w:rPr>
          <w:rFonts w:hint="eastAsia"/>
          <w:sz w:val="18"/>
          <w:szCs w:val="18"/>
        </w:rPr>
        <w:t xml:space="preserve">. </w:t>
      </w:r>
      <w:r w:rsidR="00CA3DA7" w:rsidRPr="00322DA6">
        <w:rPr>
          <w:rFonts w:hint="eastAsia"/>
          <w:i/>
          <w:iCs/>
          <w:sz w:val="18"/>
          <w:szCs w:val="18"/>
        </w:rPr>
        <w:t>Mineral Economics 30(1):1-15</w:t>
      </w:r>
    </w:p>
    <w:p w14:paraId="412D5146" w14:textId="77777777" w:rsidR="00CA3DA7" w:rsidRPr="00CA3DA7" w:rsidRDefault="00CA3DA7" w:rsidP="00213779">
      <w:pPr>
        <w:spacing w:line="360" w:lineRule="auto"/>
        <w:jc w:val="both"/>
        <w:rPr>
          <w:sz w:val="6"/>
          <w:szCs w:val="6"/>
        </w:rPr>
      </w:pPr>
    </w:p>
    <w:p w14:paraId="3D82181D" w14:textId="77777777" w:rsidR="00CA3DA7" w:rsidRDefault="00CA3DA7" w:rsidP="00213779">
      <w:pPr>
        <w:spacing w:line="360" w:lineRule="auto"/>
        <w:jc w:val="both"/>
        <w:rPr>
          <w:sz w:val="24"/>
          <w:szCs w:val="24"/>
        </w:rPr>
      </w:pPr>
    </w:p>
    <w:p w14:paraId="759888CE" w14:textId="48B4071F" w:rsidR="00213779" w:rsidRDefault="00213779" w:rsidP="00213779">
      <w:pPr>
        <w:spacing w:line="360" w:lineRule="auto"/>
        <w:jc w:val="both"/>
        <w:rPr>
          <w:sz w:val="24"/>
          <w:szCs w:val="24"/>
        </w:rPr>
      </w:pPr>
      <w:r w:rsidRPr="00213779">
        <w:rPr>
          <w:sz w:val="24"/>
          <w:szCs w:val="24"/>
        </w:rPr>
        <w:t>He contends that every organization has stakeholders and must consider these groups to succeed in both the present and future environments. "Stakeholder management" denotes the need for an organization to actively manage its relationships with its stakeholder</w:t>
      </w:r>
      <w:r>
        <w:rPr>
          <w:rFonts w:hint="eastAsia"/>
          <w:sz w:val="24"/>
          <w:szCs w:val="24"/>
        </w:rPr>
        <w:t xml:space="preserve"> groups. </w:t>
      </w:r>
    </w:p>
    <w:p w14:paraId="3768538E" w14:textId="463B4972" w:rsidR="00FF714C" w:rsidRDefault="00384263" w:rsidP="00F83759">
      <w:pPr>
        <w:spacing w:line="360" w:lineRule="auto"/>
        <w:jc w:val="both"/>
        <w:rPr>
          <w:sz w:val="24"/>
          <w:szCs w:val="24"/>
        </w:rPr>
      </w:pPr>
      <w:r w:rsidRPr="00384263">
        <w:rPr>
          <w:sz w:val="24"/>
          <w:szCs w:val="24"/>
        </w:rPr>
        <w:t>R. Edward Freeman initially developed the Stakeholder Theory of organizational management and business ethics, focusing on the morals and values involved in managing an organization. This theory emphasizes the interconnected relationships between a business and its customers, suppliers, employees, investors, communities, and other stakeholders. It posits that a company should generate value for all stakeholders, not just shareholders. Freeman asserts that</w:t>
      </w:r>
      <w:r>
        <w:rPr>
          <w:rFonts w:hint="eastAsia"/>
          <w:sz w:val="24"/>
          <w:szCs w:val="24"/>
        </w:rPr>
        <w:t xml:space="preserve"> </w:t>
      </w:r>
      <w:r w:rsidRPr="00384263">
        <w:rPr>
          <w:sz w:val="24"/>
          <w:szCs w:val="24"/>
        </w:rPr>
        <w:t>“The 21st Century is one of ‘Managing for Stakeholders.’ The task of executives is to create as much value as possible for stakeholders without resorting to trade-offs. Great companies endure because they manage to get stakeholder interests aligned in the same direction.”</w:t>
      </w:r>
    </w:p>
    <w:p w14:paraId="5CE919F8" w14:textId="54386E89" w:rsidR="00561D48" w:rsidRPr="00561D48" w:rsidRDefault="00BC11EC" w:rsidP="00561D48">
      <w:pPr>
        <w:spacing w:line="360" w:lineRule="auto"/>
        <w:jc w:val="both"/>
        <w:rPr>
          <w:sz w:val="24"/>
          <w:szCs w:val="24"/>
        </w:rPr>
      </w:pPr>
      <w:r w:rsidRPr="00BC11EC">
        <w:rPr>
          <w:sz w:val="24"/>
          <w:szCs w:val="24"/>
        </w:rPr>
        <w:t>As stakeholder interest grows, there has been an increasing demand for companies to actively pursue CSR activities in recent years</w:t>
      </w:r>
      <w:r w:rsidR="00F83759">
        <w:rPr>
          <w:rFonts w:hint="eastAsia"/>
          <w:sz w:val="24"/>
          <w:szCs w:val="24"/>
        </w:rPr>
        <w:t xml:space="preserve"> (</w:t>
      </w:r>
      <w:r>
        <w:rPr>
          <w:rFonts w:hint="eastAsia"/>
          <w:sz w:val="24"/>
          <w:szCs w:val="24"/>
        </w:rPr>
        <w:t>Jordan et al.,</w:t>
      </w:r>
      <w:r w:rsidR="00213779" w:rsidRPr="00BC11EC">
        <w:rPr>
          <w:rFonts w:hint="eastAsia"/>
          <w:sz w:val="24"/>
          <w:szCs w:val="24"/>
        </w:rPr>
        <w:t xml:space="preserve"> </w:t>
      </w:r>
      <w:r w:rsidR="000375A3" w:rsidRPr="00BC11EC">
        <w:rPr>
          <w:rFonts w:hint="eastAsia"/>
          <w:sz w:val="24"/>
          <w:szCs w:val="24"/>
        </w:rPr>
        <w:t>20</w:t>
      </w:r>
      <w:r w:rsidRPr="00BC11EC">
        <w:rPr>
          <w:rFonts w:hint="eastAsia"/>
          <w:sz w:val="24"/>
          <w:szCs w:val="24"/>
        </w:rPr>
        <w:t>22</w:t>
      </w:r>
      <w:r w:rsidR="00F83759">
        <w:rPr>
          <w:rFonts w:hint="eastAsia"/>
          <w:sz w:val="24"/>
          <w:szCs w:val="24"/>
        </w:rPr>
        <w:t xml:space="preserve">) </w:t>
      </w:r>
      <w:r w:rsidR="00561D48" w:rsidRPr="00561D48">
        <w:rPr>
          <w:sz w:val="24"/>
          <w:szCs w:val="24"/>
        </w:rPr>
        <w:t>While this is an example specific to the United States, according to Tim (2021) at Harvard Business School Online, 77% of consumers express a willingness to purchase from companies actively striving to make the world a better place, and 73% of investors state that commitments to environmental and social improvement contribute to their investment decisions. These findings underscore the increasing significance of CSR activities across various stakeholder groups.</w:t>
      </w:r>
    </w:p>
    <w:p w14:paraId="07C0A8A7" w14:textId="4B02D226" w:rsidR="00E73797" w:rsidRDefault="00561D48" w:rsidP="00561D48">
      <w:pPr>
        <w:spacing w:line="360" w:lineRule="auto"/>
        <w:jc w:val="both"/>
        <w:rPr>
          <w:sz w:val="24"/>
          <w:szCs w:val="24"/>
        </w:rPr>
      </w:pPr>
      <w:proofErr w:type="gramStart"/>
      <w:r w:rsidRPr="00561D48">
        <w:rPr>
          <w:sz w:val="24"/>
          <w:szCs w:val="24"/>
        </w:rPr>
        <w:t>In light of</w:t>
      </w:r>
      <w:proofErr w:type="gramEnd"/>
      <w:r w:rsidRPr="00561D48">
        <w:rPr>
          <w:sz w:val="24"/>
          <w:szCs w:val="24"/>
        </w:rPr>
        <w:t xml:space="preserve"> this trend, in</w:t>
      </w:r>
      <w:r>
        <w:rPr>
          <w:rFonts w:hint="eastAsia"/>
          <w:sz w:val="24"/>
          <w:szCs w:val="24"/>
        </w:rPr>
        <w:t xml:space="preserve"> which</w:t>
      </w:r>
      <w:r w:rsidRPr="00561D48">
        <w:rPr>
          <w:sz w:val="24"/>
          <w:szCs w:val="24"/>
        </w:rPr>
        <w:t xml:space="preserve"> shareholders, employees, customers, creditors, and suppliers alike are actively seeking engagement in a company's social and environmental initiatives, it is </w:t>
      </w:r>
      <w:r>
        <w:rPr>
          <w:rFonts w:hint="eastAsia"/>
          <w:sz w:val="24"/>
          <w:szCs w:val="24"/>
        </w:rPr>
        <w:t>understandable</w:t>
      </w:r>
      <w:r w:rsidRPr="00561D48">
        <w:rPr>
          <w:sz w:val="24"/>
          <w:szCs w:val="24"/>
        </w:rPr>
        <w:t xml:space="preserve"> for </w:t>
      </w:r>
      <w:r>
        <w:rPr>
          <w:rFonts w:hint="eastAsia"/>
          <w:sz w:val="24"/>
          <w:szCs w:val="24"/>
        </w:rPr>
        <w:t>company</w:t>
      </w:r>
      <w:r w:rsidRPr="00561D48">
        <w:rPr>
          <w:sz w:val="24"/>
          <w:szCs w:val="24"/>
        </w:rPr>
        <w:t xml:space="preserve"> to intensify and disclose their CSR efforts in response.</w:t>
      </w:r>
    </w:p>
    <w:p w14:paraId="4C043F29" w14:textId="77777777" w:rsidR="00AD13B4" w:rsidRDefault="00AD13B4" w:rsidP="000375A3">
      <w:pPr>
        <w:jc w:val="both"/>
        <w:rPr>
          <w:sz w:val="24"/>
          <w:szCs w:val="24"/>
        </w:rPr>
      </w:pPr>
    </w:p>
    <w:p w14:paraId="7006B0B3" w14:textId="0022CAE7" w:rsidR="007834D1" w:rsidRDefault="00561D48" w:rsidP="00561D48">
      <w:pPr>
        <w:spacing w:line="360" w:lineRule="auto"/>
        <w:jc w:val="both"/>
        <w:rPr>
          <w:sz w:val="24"/>
          <w:szCs w:val="24"/>
        </w:rPr>
      </w:pPr>
      <w:r w:rsidRPr="00561D48">
        <w:rPr>
          <w:sz w:val="24"/>
          <w:szCs w:val="24"/>
        </w:rPr>
        <w:t xml:space="preserve">Regarding legitimacy theory, it has become one of the most cited theories in the field of </w:t>
      </w:r>
      <w:r w:rsidRPr="007834D1">
        <w:rPr>
          <w:sz w:val="24"/>
          <w:szCs w:val="24"/>
        </w:rPr>
        <w:t>Corporate Social Responsibility Disclosure (CSRD) and environmental accounting (Patten &amp;</w:t>
      </w:r>
      <w:r w:rsidRPr="00561D48">
        <w:rPr>
          <w:sz w:val="24"/>
          <w:szCs w:val="24"/>
        </w:rPr>
        <w:t xml:space="preserve"> Crampton, 2004; Deegan, 2002; Neu et al., 1998). Suchman (1995) defines legitimacy as </w:t>
      </w:r>
    </w:p>
    <w:p w14:paraId="28EFB16A" w14:textId="1AEBAF3A" w:rsidR="000F1C59" w:rsidRDefault="007834D1" w:rsidP="000F1C59">
      <w:pPr>
        <w:spacing w:line="360" w:lineRule="auto"/>
        <w:jc w:val="both"/>
        <w:rPr>
          <w:sz w:val="24"/>
          <w:szCs w:val="24"/>
        </w:rPr>
      </w:pPr>
      <w:r>
        <w:rPr>
          <w:sz w:val="24"/>
          <w:szCs w:val="24"/>
        </w:rPr>
        <w:t xml:space="preserve">“A </w:t>
      </w:r>
      <w:r w:rsidRPr="007834D1">
        <w:rPr>
          <w:sz w:val="24"/>
          <w:szCs w:val="24"/>
        </w:rPr>
        <w:t>generalized perception or assumption that the actions of an entity are desirable, proper, or appropriate within some socially constructed system of norms, values, beliefs, and definitions</w:t>
      </w:r>
      <w:r w:rsidR="00561D48" w:rsidRPr="00561D48">
        <w:rPr>
          <w:sz w:val="24"/>
          <w:szCs w:val="24"/>
        </w:rPr>
        <w:t>" In other words, legitimacy theory is based on the concept of a social contract between organizations and society. This suggests that companies need to operate in alignment with societal values and norms to maintain their legitimacy.</w:t>
      </w:r>
    </w:p>
    <w:p w14:paraId="639FAB35" w14:textId="4A8344B5" w:rsidR="00BC13F9" w:rsidRDefault="00BC13F9" w:rsidP="000F1C59">
      <w:pPr>
        <w:spacing w:line="360" w:lineRule="auto"/>
        <w:jc w:val="both"/>
        <w:rPr>
          <w:sz w:val="24"/>
          <w:szCs w:val="24"/>
        </w:rPr>
      </w:pPr>
      <w:r w:rsidRPr="00BC13F9">
        <w:rPr>
          <w:sz w:val="24"/>
          <w:szCs w:val="24"/>
        </w:rPr>
        <w:t xml:space="preserve">Legitimacy theory shares a close association with corporate social responsibility as it </w:t>
      </w:r>
      <w:r w:rsidR="007834D1">
        <w:rPr>
          <w:rFonts w:hint="eastAsia"/>
          <w:sz w:val="24"/>
          <w:szCs w:val="24"/>
        </w:rPr>
        <w:t>explains</w:t>
      </w:r>
      <w:r w:rsidRPr="00BC13F9">
        <w:rPr>
          <w:sz w:val="24"/>
          <w:szCs w:val="24"/>
        </w:rPr>
        <w:t xml:space="preserve"> the social contract between the company and the community. </w:t>
      </w:r>
      <w:r w:rsidR="007834D1">
        <w:rPr>
          <w:rFonts w:hint="eastAsia"/>
          <w:sz w:val="24"/>
          <w:szCs w:val="24"/>
        </w:rPr>
        <w:t>If</w:t>
      </w:r>
      <w:r w:rsidRPr="00BC13F9">
        <w:rPr>
          <w:sz w:val="24"/>
          <w:szCs w:val="24"/>
        </w:rPr>
        <w:t xml:space="preserve"> the community perceive a breach in this contract by the company, it could jeopardize the company's survival. Additionally, </w:t>
      </w:r>
      <w:r w:rsidR="007834D1">
        <w:rPr>
          <w:sz w:val="24"/>
          <w:szCs w:val="24"/>
        </w:rPr>
        <w:t>occurrence</w:t>
      </w:r>
      <w:r w:rsidR="007834D1">
        <w:rPr>
          <w:rFonts w:hint="eastAsia"/>
          <w:sz w:val="24"/>
          <w:szCs w:val="24"/>
        </w:rPr>
        <w:t xml:space="preserve"> of </w:t>
      </w:r>
      <w:r w:rsidRPr="00BC13F9">
        <w:rPr>
          <w:sz w:val="24"/>
          <w:szCs w:val="24"/>
        </w:rPr>
        <w:t xml:space="preserve">dissatisfaction within the community towards the organization's operations could result in the revocation of the social contract (Handoko, 2014). Legitimacy theory posits that for a company to </w:t>
      </w:r>
      <w:r w:rsidR="000F1C59">
        <w:rPr>
          <w:rFonts w:hint="eastAsia"/>
          <w:sz w:val="24"/>
          <w:szCs w:val="24"/>
        </w:rPr>
        <w:t xml:space="preserve">get </w:t>
      </w:r>
      <w:r w:rsidRPr="00BC13F9">
        <w:rPr>
          <w:sz w:val="24"/>
          <w:szCs w:val="24"/>
        </w:rPr>
        <w:t>legitimacy from its surrounding</w:t>
      </w:r>
      <w:r w:rsidR="000F1C59">
        <w:rPr>
          <w:rFonts w:hint="eastAsia"/>
          <w:sz w:val="24"/>
          <w:szCs w:val="24"/>
        </w:rPr>
        <w:t xml:space="preserve"> community</w:t>
      </w:r>
      <w:r w:rsidRPr="00BC13F9">
        <w:rPr>
          <w:sz w:val="24"/>
          <w:szCs w:val="24"/>
        </w:rPr>
        <w:t xml:space="preserve">, </w:t>
      </w:r>
      <w:r w:rsidR="000F1C59">
        <w:rPr>
          <w:rFonts w:hint="eastAsia"/>
          <w:sz w:val="24"/>
          <w:szCs w:val="24"/>
        </w:rPr>
        <w:t>companies</w:t>
      </w:r>
      <w:r w:rsidRPr="00BC13F9">
        <w:rPr>
          <w:sz w:val="24"/>
          <w:szCs w:val="24"/>
        </w:rPr>
        <w:t xml:space="preserve"> must disclose </w:t>
      </w:r>
      <w:r w:rsidR="000F1C59">
        <w:rPr>
          <w:rFonts w:hint="eastAsia"/>
          <w:sz w:val="24"/>
          <w:szCs w:val="24"/>
        </w:rPr>
        <w:t>their</w:t>
      </w:r>
      <w:r w:rsidRPr="00BC13F9">
        <w:rPr>
          <w:sz w:val="24"/>
          <w:szCs w:val="24"/>
        </w:rPr>
        <w:t xml:space="preserve"> social responsibilities. Beyond averting undesirable outcomes, legitimacy can enhance company value. This theory underscores the strategic significance of companies engaging in sustainability reporting to seek legitimacy (</w:t>
      </w:r>
      <w:proofErr w:type="spellStart"/>
      <w:r w:rsidRPr="00BC13F9">
        <w:rPr>
          <w:sz w:val="24"/>
          <w:szCs w:val="24"/>
        </w:rPr>
        <w:t>Haniffa</w:t>
      </w:r>
      <w:proofErr w:type="spellEnd"/>
      <w:r w:rsidRPr="00BC13F9">
        <w:rPr>
          <w:sz w:val="24"/>
          <w:szCs w:val="24"/>
        </w:rPr>
        <w:t xml:space="preserve"> et al., 2005).</w:t>
      </w:r>
    </w:p>
    <w:p w14:paraId="573B37FA" w14:textId="77777777" w:rsidR="00BC13F9" w:rsidRDefault="00BC13F9" w:rsidP="00BB55ED">
      <w:pPr>
        <w:rPr>
          <w:sz w:val="24"/>
          <w:szCs w:val="24"/>
        </w:rPr>
      </w:pPr>
    </w:p>
    <w:p w14:paraId="2351E474" w14:textId="77777777" w:rsidR="000F1C59" w:rsidRDefault="000F1C59" w:rsidP="00BB55ED">
      <w:pPr>
        <w:rPr>
          <w:sz w:val="24"/>
          <w:szCs w:val="24"/>
        </w:rPr>
      </w:pPr>
    </w:p>
    <w:p w14:paraId="7651B4B6" w14:textId="1094F3E1" w:rsidR="000F1C59" w:rsidRPr="000F1C59" w:rsidRDefault="000F1C59" w:rsidP="00CF30B6">
      <w:pPr>
        <w:spacing w:line="360" w:lineRule="auto"/>
        <w:jc w:val="both"/>
        <w:rPr>
          <w:sz w:val="24"/>
          <w:szCs w:val="24"/>
        </w:rPr>
      </w:pPr>
      <w:r>
        <w:rPr>
          <w:rFonts w:hint="eastAsia"/>
          <w:sz w:val="24"/>
          <w:szCs w:val="24"/>
        </w:rPr>
        <w:t>Resource-base</w:t>
      </w:r>
      <w:r w:rsidR="00D73FB5">
        <w:rPr>
          <w:rFonts w:hint="eastAsia"/>
          <w:sz w:val="24"/>
          <w:szCs w:val="24"/>
        </w:rPr>
        <w:t>d</w:t>
      </w:r>
      <w:r>
        <w:rPr>
          <w:rFonts w:hint="eastAsia"/>
          <w:sz w:val="24"/>
          <w:szCs w:val="24"/>
        </w:rPr>
        <w:t xml:space="preserve"> theory</w:t>
      </w:r>
      <w:r w:rsidRPr="000F1C59">
        <w:rPr>
          <w:sz w:val="24"/>
          <w:szCs w:val="24"/>
        </w:rPr>
        <w:t xml:space="preserve">, initially introduced by Wernerfelt (1984) and later expanded by Barney (1991), asserts that </w:t>
      </w:r>
      <w:r w:rsidR="008C6011" w:rsidRPr="00FF714C">
        <w:rPr>
          <w:sz w:val="24"/>
          <w:szCs w:val="24"/>
        </w:rPr>
        <w:t>when “the resources and capabilities are valuable, rare, inimitable and non-substitutable, they can constitute a source of sustainable competitive advantage”</w:t>
      </w:r>
      <w:r w:rsidRPr="000F1C59">
        <w:rPr>
          <w:sz w:val="24"/>
          <w:szCs w:val="24"/>
        </w:rPr>
        <w:t xml:space="preserve">. Consequently, a firm should possess certain intangible resources that are not easily replicable or purchasable by competitors. A firm with such intangible resources can achieve a competitive edge in the market (Cho and </w:t>
      </w:r>
      <w:proofErr w:type="spellStart"/>
      <w:r w:rsidRPr="000F1C59">
        <w:rPr>
          <w:sz w:val="24"/>
          <w:szCs w:val="24"/>
        </w:rPr>
        <w:t>Pucik</w:t>
      </w:r>
      <w:proofErr w:type="spellEnd"/>
      <w:r w:rsidRPr="000F1C59">
        <w:rPr>
          <w:sz w:val="24"/>
          <w:szCs w:val="24"/>
        </w:rPr>
        <w:t>, 2005). According to Castelo and Lima (2006):</w:t>
      </w:r>
    </w:p>
    <w:p w14:paraId="1709AFDA" w14:textId="77777777" w:rsidR="008C6011" w:rsidRDefault="008C6011" w:rsidP="00CF30B6">
      <w:pPr>
        <w:spacing w:line="360" w:lineRule="auto"/>
        <w:jc w:val="both"/>
      </w:pPr>
    </w:p>
    <w:p w14:paraId="21932FCC" w14:textId="0793806E" w:rsidR="00B617ED" w:rsidRDefault="00BE36D6" w:rsidP="00CF30B6">
      <w:pPr>
        <w:spacing w:line="360" w:lineRule="auto"/>
        <w:jc w:val="both"/>
      </w:pPr>
      <w:r w:rsidRPr="009459B2">
        <w:rPr>
          <w:sz w:val="24"/>
          <w:szCs w:val="24"/>
        </w:rPr>
        <w:t xml:space="preserve">[…] resources include the assets that the firm uses to accomplish the activities they are engaged in to convert inputs into outputs and can be classified as tangible or intangible, </w:t>
      </w:r>
    </w:p>
    <w:p w14:paraId="60E211E5" w14:textId="77777777" w:rsidR="003858AF" w:rsidRDefault="003858AF" w:rsidP="00BB55ED"/>
    <w:p w14:paraId="64B578FB" w14:textId="6E1CE655" w:rsidR="009E56F7" w:rsidRPr="009E56F7" w:rsidRDefault="009E56F7" w:rsidP="00BE6897">
      <w:pPr>
        <w:spacing w:line="360" w:lineRule="auto"/>
        <w:jc w:val="both"/>
        <w:rPr>
          <w:sz w:val="24"/>
          <w:szCs w:val="24"/>
        </w:rPr>
      </w:pPr>
      <w:r w:rsidRPr="009E56F7">
        <w:rPr>
          <w:sz w:val="24"/>
          <w:szCs w:val="24"/>
        </w:rPr>
        <w:t>Regarding resources</w:t>
      </w:r>
      <w:r w:rsidR="00321629">
        <w:rPr>
          <w:rFonts w:hint="eastAsia"/>
          <w:sz w:val="24"/>
          <w:szCs w:val="24"/>
        </w:rPr>
        <w:t>-based theory</w:t>
      </w:r>
      <w:r w:rsidRPr="009E56F7">
        <w:rPr>
          <w:sz w:val="24"/>
          <w:szCs w:val="24"/>
        </w:rPr>
        <w:t xml:space="preserve">, as studied by Hart (1995), CSR can be considered a resource or capability that leads to a sustained competitive advantage for a company. Other authors, such as McWilliams et al. (2002), suggest that CSR practices, supported by </w:t>
      </w:r>
      <w:r w:rsidRPr="00F83759">
        <w:rPr>
          <w:sz w:val="24"/>
          <w:szCs w:val="24"/>
        </w:rPr>
        <w:t>political strategies, can</w:t>
      </w:r>
      <w:r w:rsidRPr="009E56F7">
        <w:rPr>
          <w:sz w:val="24"/>
          <w:szCs w:val="24"/>
        </w:rPr>
        <w:t xml:space="preserve"> be utilized to create sustainable competitive advantages. Hedstrom et al. (1998) </w:t>
      </w:r>
      <w:r w:rsidR="00321629">
        <w:rPr>
          <w:rFonts w:hint="eastAsia"/>
          <w:sz w:val="24"/>
          <w:szCs w:val="24"/>
        </w:rPr>
        <w:t>believes</w:t>
      </w:r>
      <w:r w:rsidRPr="009E56F7">
        <w:rPr>
          <w:sz w:val="24"/>
          <w:szCs w:val="24"/>
        </w:rPr>
        <w:t xml:space="preserve"> that CSR practices represent the greatest opportunity for achieving greater success in the business world. This rationale justifies why companies engage in and disclose CSR activities.</w:t>
      </w:r>
    </w:p>
    <w:p w14:paraId="20EF1EE9" w14:textId="77777777" w:rsidR="009E56F7" w:rsidRPr="009E56F7" w:rsidRDefault="009E56F7" w:rsidP="00BE6897">
      <w:pPr>
        <w:spacing w:line="360" w:lineRule="auto"/>
        <w:jc w:val="both"/>
        <w:rPr>
          <w:sz w:val="24"/>
          <w:szCs w:val="24"/>
        </w:rPr>
      </w:pPr>
    </w:p>
    <w:p w14:paraId="4BE5577E" w14:textId="72159000" w:rsidR="001D4D0C" w:rsidRPr="009E56F7" w:rsidRDefault="00321629" w:rsidP="00BE6897">
      <w:pPr>
        <w:spacing w:line="360" w:lineRule="auto"/>
        <w:jc w:val="both"/>
        <w:rPr>
          <w:sz w:val="24"/>
          <w:szCs w:val="24"/>
        </w:rPr>
      </w:pPr>
      <w:r>
        <w:rPr>
          <w:rFonts w:hint="eastAsia"/>
          <w:sz w:val="24"/>
          <w:szCs w:val="24"/>
        </w:rPr>
        <w:t>T</w:t>
      </w:r>
      <w:r w:rsidRPr="009E56F7">
        <w:rPr>
          <w:sz w:val="24"/>
          <w:szCs w:val="24"/>
        </w:rPr>
        <w:t>heories</w:t>
      </w:r>
      <w:r>
        <w:rPr>
          <w:rFonts w:hint="eastAsia"/>
          <w:sz w:val="24"/>
          <w:szCs w:val="24"/>
        </w:rPr>
        <w:t xml:space="preserve"> explained in this section, </w:t>
      </w:r>
      <w:r w:rsidR="009E56F7" w:rsidRPr="009E56F7">
        <w:rPr>
          <w:sz w:val="24"/>
          <w:szCs w:val="24"/>
        </w:rPr>
        <w:t>provide a logical explanation for why companies undertake and disclose CSR initiatives. This paper will develop its arguments based on these theories.</w:t>
      </w:r>
    </w:p>
    <w:p w14:paraId="715A303E" w14:textId="77777777" w:rsidR="001D4D0C" w:rsidRDefault="001D4D0C" w:rsidP="00BB55ED"/>
    <w:p w14:paraId="760BBB8B" w14:textId="77777777" w:rsidR="009E56F7" w:rsidRPr="00BB55ED" w:rsidRDefault="009E56F7" w:rsidP="00BB55ED"/>
    <w:p w14:paraId="1FCCA7DD" w14:textId="26ABEB14" w:rsidR="00B10856" w:rsidRPr="00AD13B4" w:rsidRDefault="00845FEE" w:rsidP="00B10856">
      <w:pPr>
        <w:pStyle w:val="2"/>
        <w:numPr>
          <w:ilvl w:val="1"/>
          <w:numId w:val="5"/>
        </w:numPr>
        <w:tabs>
          <w:tab w:val="left" w:pos="900"/>
        </w:tabs>
        <w:ind w:left="810" w:hanging="450"/>
        <w:jc w:val="left"/>
        <w:rPr>
          <w:rFonts w:ascii="Times New Roman" w:hAnsi="Times New Roman"/>
          <w:i/>
          <w:iCs/>
        </w:rPr>
      </w:pPr>
      <w:bookmarkStart w:id="5" w:name="_Toc167663309"/>
      <w:r>
        <w:rPr>
          <w:rFonts w:ascii="Times New Roman" w:hAnsi="Times New Roman" w:hint="eastAsia"/>
          <w:i/>
          <w:iCs/>
          <w:lang w:eastAsia="ja-JP"/>
        </w:rPr>
        <w:t xml:space="preserve"> </w:t>
      </w:r>
      <w:r w:rsidR="002A39DF">
        <w:rPr>
          <w:rFonts w:ascii="Times New Roman" w:hAnsi="Times New Roman" w:hint="eastAsia"/>
          <w:i/>
          <w:iCs/>
          <w:lang w:eastAsia="ja-JP"/>
        </w:rPr>
        <w:t>Benefit</w:t>
      </w:r>
      <w:r w:rsidR="0018549A" w:rsidRPr="00AD13B4">
        <w:rPr>
          <w:rFonts w:ascii="Times New Roman" w:hAnsi="Times New Roman"/>
          <w:i/>
          <w:iCs/>
        </w:rPr>
        <w:t xml:space="preserve"> of CSR</w:t>
      </w:r>
      <w:r w:rsidR="002A39DF">
        <w:rPr>
          <w:rFonts w:ascii="Times New Roman" w:hAnsi="Times New Roman" w:hint="eastAsia"/>
          <w:i/>
          <w:iCs/>
          <w:lang w:eastAsia="ja-JP"/>
        </w:rPr>
        <w:t xml:space="preserve"> to Enterprise</w:t>
      </w:r>
      <w:bookmarkEnd w:id="5"/>
    </w:p>
    <w:p w14:paraId="21E77557" w14:textId="77777777" w:rsidR="00A623F8" w:rsidRPr="00A623F8" w:rsidRDefault="00A623F8" w:rsidP="00A623F8">
      <w:pPr>
        <w:spacing w:line="360" w:lineRule="auto"/>
        <w:jc w:val="both"/>
        <w:rPr>
          <w:sz w:val="24"/>
          <w:szCs w:val="24"/>
        </w:rPr>
      </w:pPr>
      <w:r w:rsidRPr="00A623F8">
        <w:rPr>
          <w:sz w:val="24"/>
          <w:szCs w:val="24"/>
        </w:rPr>
        <w:t>CSR can be defined in various ways, but it generally refers to how a company addresses and manages its environmental, social, corporate governance, and economic impacts, as well as how these impacts may affect the company's stakeholders. The focus on sustainability (CSR/ESG) has been demonstrated to positively affect both the company and its stakeholders.</w:t>
      </w:r>
    </w:p>
    <w:p w14:paraId="7CF282FF" w14:textId="04473A60" w:rsidR="00A623F8" w:rsidRDefault="00A623F8" w:rsidP="00A623F8">
      <w:pPr>
        <w:spacing w:line="360" w:lineRule="auto"/>
        <w:jc w:val="both"/>
        <w:rPr>
          <w:sz w:val="24"/>
          <w:szCs w:val="24"/>
        </w:rPr>
      </w:pPr>
      <w:r w:rsidRPr="00A623F8">
        <w:rPr>
          <w:sz w:val="24"/>
          <w:szCs w:val="24"/>
        </w:rPr>
        <w:t>As a result, CSR offers companies the opportunity to strengthen their business through cost savings, risk mitigation, and value enhancement, while also contributing to society</w:t>
      </w:r>
      <w:r w:rsidR="0083560C">
        <w:rPr>
          <w:rFonts w:hint="eastAsia"/>
          <w:sz w:val="24"/>
          <w:szCs w:val="24"/>
        </w:rPr>
        <w:t xml:space="preserve"> </w:t>
      </w:r>
      <w:r w:rsidRPr="00A623F8">
        <w:rPr>
          <w:sz w:val="24"/>
          <w:szCs w:val="24"/>
        </w:rPr>
        <w:t xml:space="preserve">by focusing on key areas of interaction with stakeholders and integrating value-creating actions into the company's strategy (Noam </w:t>
      </w:r>
      <w:proofErr w:type="spellStart"/>
      <w:r w:rsidRPr="00A623F8">
        <w:rPr>
          <w:sz w:val="24"/>
          <w:szCs w:val="24"/>
        </w:rPr>
        <w:t>Noked</w:t>
      </w:r>
      <w:proofErr w:type="spellEnd"/>
      <w:r w:rsidRPr="00A623F8">
        <w:rPr>
          <w:sz w:val="24"/>
          <w:szCs w:val="24"/>
        </w:rPr>
        <w:t xml:space="preserve"> et al., 2013).</w:t>
      </w:r>
    </w:p>
    <w:p w14:paraId="5F40B758" w14:textId="057C48A5" w:rsidR="00BA1D41" w:rsidRDefault="00BA1D41" w:rsidP="00136BCA">
      <w:pPr>
        <w:spacing w:line="360" w:lineRule="auto"/>
        <w:jc w:val="both"/>
        <w:rPr>
          <w:sz w:val="24"/>
          <w:szCs w:val="24"/>
        </w:rPr>
      </w:pPr>
      <w:r w:rsidRPr="00BA1D41">
        <w:rPr>
          <w:sz w:val="24"/>
          <w:szCs w:val="24"/>
        </w:rPr>
        <w:t xml:space="preserve">In other words, it is because, by engaging in CSR, companies can meet the expectations of their stakeholders, who have become increasingly sensitive to sustainability in recent years, as we have confirmed in the previous </w:t>
      </w:r>
      <w:r w:rsidR="00A623F8">
        <w:rPr>
          <w:rFonts w:hint="eastAsia"/>
          <w:sz w:val="24"/>
          <w:szCs w:val="24"/>
        </w:rPr>
        <w:t>section</w:t>
      </w:r>
      <w:r w:rsidRPr="00BA1D41">
        <w:rPr>
          <w:sz w:val="24"/>
          <w:szCs w:val="24"/>
        </w:rPr>
        <w:t xml:space="preserve">. In </w:t>
      </w:r>
      <w:r w:rsidRPr="00A623F8">
        <w:rPr>
          <w:sz w:val="24"/>
          <w:szCs w:val="24"/>
        </w:rPr>
        <w:t>this</w:t>
      </w:r>
      <w:r w:rsidR="00A623F8" w:rsidRPr="00A623F8">
        <w:rPr>
          <w:rFonts w:hint="eastAsia"/>
          <w:sz w:val="24"/>
          <w:szCs w:val="24"/>
        </w:rPr>
        <w:t xml:space="preserve"> section</w:t>
      </w:r>
      <w:r w:rsidRPr="00BA1D41">
        <w:rPr>
          <w:sz w:val="24"/>
          <w:szCs w:val="24"/>
        </w:rPr>
        <w:t>, we will review examples of benefits to</w:t>
      </w:r>
      <w:r w:rsidR="00A623F8">
        <w:rPr>
          <w:rFonts w:hint="eastAsia"/>
          <w:sz w:val="24"/>
          <w:szCs w:val="24"/>
        </w:rPr>
        <w:t xml:space="preserve"> main stakeholders -</w:t>
      </w:r>
      <w:r w:rsidRPr="00BA1D41">
        <w:rPr>
          <w:sz w:val="24"/>
          <w:szCs w:val="24"/>
        </w:rPr>
        <w:t xml:space="preserve"> investors, customers, and employees.</w:t>
      </w:r>
    </w:p>
    <w:p w14:paraId="0F7D9B18" w14:textId="367CA654" w:rsidR="00C13B64" w:rsidRDefault="00280547" w:rsidP="00136BCA">
      <w:pPr>
        <w:spacing w:line="360" w:lineRule="auto"/>
        <w:jc w:val="both"/>
        <w:rPr>
          <w:sz w:val="24"/>
          <w:szCs w:val="24"/>
        </w:rPr>
      </w:pPr>
      <w:r w:rsidRPr="00F83759">
        <w:rPr>
          <w:rFonts w:hint="eastAsia"/>
          <w:sz w:val="24"/>
          <w:szCs w:val="24"/>
        </w:rPr>
        <w:t xml:space="preserve">In the case of investor, </w:t>
      </w:r>
      <w:r w:rsidR="00893856" w:rsidRPr="00F83759">
        <w:rPr>
          <w:rFonts w:hint="eastAsia"/>
          <w:sz w:val="24"/>
          <w:szCs w:val="24"/>
        </w:rPr>
        <w:t>Matthew Bell</w:t>
      </w:r>
      <w:r w:rsidR="00B61E90" w:rsidRPr="00F83759">
        <w:rPr>
          <w:rFonts w:hint="eastAsia"/>
          <w:sz w:val="24"/>
          <w:szCs w:val="24"/>
        </w:rPr>
        <w:t xml:space="preserve"> (</w:t>
      </w:r>
      <w:r w:rsidR="00893856" w:rsidRPr="00F83759">
        <w:rPr>
          <w:rFonts w:hint="eastAsia"/>
          <w:sz w:val="24"/>
          <w:szCs w:val="24"/>
        </w:rPr>
        <w:t>2021</w:t>
      </w:r>
      <w:r w:rsidR="00B61E90" w:rsidRPr="00F83759">
        <w:rPr>
          <w:rFonts w:hint="eastAsia"/>
          <w:sz w:val="24"/>
          <w:szCs w:val="24"/>
        </w:rPr>
        <w:t>)</w:t>
      </w:r>
      <w:r w:rsidR="00893856" w:rsidRPr="00F83759">
        <w:rPr>
          <w:rFonts w:hint="eastAsia"/>
          <w:sz w:val="24"/>
          <w:szCs w:val="24"/>
        </w:rPr>
        <w:t>, who works in EY,</w:t>
      </w:r>
      <w:r w:rsidR="00B61E90" w:rsidRPr="00F83759">
        <w:rPr>
          <w:rFonts w:hint="eastAsia"/>
          <w:sz w:val="24"/>
          <w:szCs w:val="24"/>
        </w:rPr>
        <w:t xml:space="preserve"> explains that </w:t>
      </w:r>
      <w:r w:rsidR="00B61E90" w:rsidRPr="00F83759">
        <w:rPr>
          <w:sz w:val="24"/>
          <w:szCs w:val="24"/>
        </w:rPr>
        <w:t>Investors increasingly believe companies that perform well on ESG are less risky, better positioned for the long term and better prepared for uncertainty.</w:t>
      </w:r>
      <w:r w:rsidR="007D47B6" w:rsidRPr="00F83759">
        <w:rPr>
          <w:rFonts w:hint="eastAsia"/>
          <w:sz w:val="24"/>
          <w:szCs w:val="24"/>
        </w:rPr>
        <w:t xml:space="preserve"> </w:t>
      </w:r>
      <w:r w:rsidR="004A52DA" w:rsidRPr="00F83759">
        <w:rPr>
          <w:rFonts w:hint="eastAsia"/>
          <w:sz w:val="24"/>
          <w:szCs w:val="24"/>
        </w:rPr>
        <w:t xml:space="preserve">According to </w:t>
      </w:r>
      <w:r w:rsidR="00523A26" w:rsidRPr="00F83759">
        <w:rPr>
          <w:rFonts w:hint="eastAsia"/>
          <w:sz w:val="24"/>
          <w:szCs w:val="24"/>
        </w:rPr>
        <w:t xml:space="preserve">Jay </w:t>
      </w:r>
      <w:r w:rsidR="00F94811" w:rsidRPr="00F83759">
        <w:rPr>
          <w:rFonts w:hint="eastAsia"/>
          <w:sz w:val="24"/>
          <w:szCs w:val="24"/>
        </w:rPr>
        <w:t>et al., (2023)</w:t>
      </w:r>
      <w:r w:rsidR="00523A26" w:rsidRPr="00F83759">
        <w:rPr>
          <w:rFonts w:hint="eastAsia"/>
          <w:sz w:val="24"/>
          <w:szCs w:val="24"/>
        </w:rPr>
        <w:t xml:space="preserve"> in </w:t>
      </w:r>
      <w:r w:rsidR="004A52DA" w:rsidRPr="00F83759">
        <w:rPr>
          <w:sz w:val="24"/>
          <w:szCs w:val="24"/>
        </w:rPr>
        <w:t xml:space="preserve">McKinsey </w:t>
      </w:r>
      <w:r w:rsidR="004A52DA" w:rsidRPr="00F83759">
        <w:rPr>
          <w:rFonts w:hint="eastAsia"/>
          <w:sz w:val="24"/>
          <w:szCs w:val="24"/>
        </w:rPr>
        <w:t xml:space="preserve">&amp; </w:t>
      </w:r>
      <w:r w:rsidR="004A52DA" w:rsidRPr="00F83759">
        <w:rPr>
          <w:sz w:val="24"/>
          <w:szCs w:val="24"/>
        </w:rPr>
        <w:t>Company</w:t>
      </w:r>
      <w:r w:rsidR="00523A26" w:rsidRPr="00F83759">
        <w:rPr>
          <w:rFonts w:hint="eastAsia"/>
          <w:sz w:val="24"/>
          <w:szCs w:val="24"/>
        </w:rPr>
        <w:t xml:space="preserve">, </w:t>
      </w:r>
      <w:r w:rsidR="00DB7FFE" w:rsidRPr="00F83759">
        <w:rPr>
          <w:rFonts w:hint="eastAsia"/>
          <w:sz w:val="24"/>
          <w:szCs w:val="24"/>
        </w:rPr>
        <w:t xml:space="preserve">in the survey to </w:t>
      </w:r>
      <w:r w:rsidR="0083560C" w:rsidRPr="00F83759">
        <w:rPr>
          <w:sz w:val="24"/>
          <w:szCs w:val="24"/>
        </w:rPr>
        <w:t>Chief Investment Officer</w:t>
      </w:r>
      <w:r w:rsidR="00DB7FFE" w:rsidRPr="00F83759">
        <w:rPr>
          <w:rFonts w:hint="eastAsia"/>
          <w:sz w:val="24"/>
          <w:szCs w:val="24"/>
        </w:rPr>
        <w:t xml:space="preserve">, </w:t>
      </w:r>
      <w:r w:rsidR="006F6280" w:rsidRPr="00F83759">
        <w:rPr>
          <w:sz w:val="24"/>
          <w:szCs w:val="24"/>
        </w:rPr>
        <w:t>bout 85 percent of the chief</w:t>
      </w:r>
      <w:r w:rsidR="006F6280" w:rsidRPr="006F6280">
        <w:rPr>
          <w:sz w:val="24"/>
          <w:szCs w:val="24"/>
        </w:rPr>
        <w:t xml:space="preserve"> investment officers we surveyed state that ESG is an important factor in their investment decisions. Sixty percent of respondents review their overall portfolio for ESG considerations, and about 80 percent assess individual company positions in the context of how ESG affects forecasted cash flows.</w:t>
      </w:r>
    </w:p>
    <w:p w14:paraId="1AB2B249" w14:textId="2B9ED18B" w:rsidR="00D30229" w:rsidRDefault="00D30229" w:rsidP="001D447F">
      <w:pPr>
        <w:spacing w:line="360" w:lineRule="auto"/>
        <w:jc w:val="both"/>
        <w:rPr>
          <w:sz w:val="24"/>
          <w:szCs w:val="24"/>
        </w:rPr>
      </w:pPr>
      <w:r w:rsidRPr="00D30229">
        <w:rPr>
          <w:sz w:val="24"/>
          <w:szCs w:val="24"/>
        </w:rPr>
        <w:t xml:space="preserve">Regarding investors, Matthew Bell (2021) from EY explains that investors increasingly believe companies with strong ESG performance are less risky, better positioned for long-term success, and more prepared for uncertainty. According to Jay et al. (2023) from McKinsey &amp; Company, approximately 85 percent of the chief investment officers surveyed consider ESG an important factor in their investment decisions. </w:t>
      </w:r>
      <w:r>
        <w:rPr>
          <w:sz w:val="24"/>
          <w:szCs w:val="24"/>
        </w:rPr>
        <w:t>60</w:t>
      </w:r>
      <w:r w:rsidRPr="00D30229">
        <w:rPr>
          <w:sz w:val="24"/>
          <w:szCs w:val="24"/>
        </w:rPr>
        <w:t xml:space="preserve"> percent of respondents review their entire portfolio for ESG considerations, and around 80 percent evaluate individual company positions based on how ESG impacts forecasted cash flows.</w:t>
      </w:r>
      <w:r>
        <w:rPr>
          <w:sz w:val="24"/>
          <w:szCs w:val="24"/>
        </w:rPr>
        <w:t xml:space="preserve"> (</w:t>
      </w:r>
      <w:r w:rsidR="00B8175B">
        <w:rPr>
          <w:rFonts w:hint="eastAsia"/>
          <w:sz w:val="24"/>
          <w:szCs w:val="24"/>
        </w:rPr>
        <w:t>s</w:t>
      </w:r>
      <w:r>
        <w:rPr>
          <w:sz w:val="24"/>
          <w:szCs w:val="24"/>
        </w:rPr>
        <w:t>ee Figure 2)</w:t>
      </w:r>
    </w:p>
    <w:p w14:paraId="760DC41E" w14:textId="438F0E25" w:rsidR="001809F9" w:rsidRPr="008E45F2" w:rsidRDefault="008E45F2" w:rsidP="008E45F2">
      <w:pPr>
        <w:jc w:val="center"/>
        <w:rPr>
          <w:i/>
          <w:iCs/>
          <w:sz w:val="24"/>
          <w:szCs w:val="24"/>
          <w:lang w:eastAsia="en-US"/>
        </w:rPr>
      </w:pPr>
      <w:r>
        <w:rPr>
          <w:noProof/>
          <w:sz w:val="24"/>
          <w:szCs w:val="24"/>
          <w:lang w:eastAsia="en-US"/>
        </w:rPr>
        <w:drawing>
          <wp:anchor distT="0" distB="0" distL="114300" distR="114300" simplePos="0" relativeHeight="251658243" behindDoc="0" locked="0" layoutInCell="1" allowOverlap="1" wp14:anchorId="18BA0B59" wp14:editId="35E3F07B">
            <wp:simplePos x="0" y="0"/>
            <wp:positionH relativeFrom="margin">
              <wp:align>center</wp:align>
            </wp:positionH>
            <wp:positionV relativeFrom="paragraph">
              <wp:posOffset>311742</wp:posOffset>
            </wp:positionV>
            <wp:extent cx="3154045" cy="3906520"/>
            <wp:effectExtent l="0" t="0" r="8255" b="0"/>
            <wp:wrapTopAndBottom/>
            <wp:docPr id="10867791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4045" cy="3906520"/>
                    </a:xfrm>
                    <a:prstGeom prst="rect">
                      <a:avLst/>
                    </a:prstGeom>
                    <a:noFill/>
                  </pic:spPr>
                </pic:pic>
              </a:graphicData>
            </a:graphic>
            <wp14:sizeRelH relativeFrom="margin">
              <wp14:pctWidth>0</wp14:pctWidth>
            </wp14:sizeRelH>
            <wp14:sizeRelV relativeFrom="margin">
              <wp14:pctHeight>0</wp14:pctHeight>
            </wp14:sizeRelV>
          </wp:anchor>
        </w:drawing>
      </w:r>
      <w:r w:rsidR="00D30229" w:rsidRPr="00D30229">
        <w:rPr>
          <w:i/>
          <w:iCs/>
          <w:lang w:eastAsia="en-US"/>
        </w:rPr>
        <w:t>Figure 2.  Importance of ESG initiatives in investment decision making</w:t>
      </w:r>
    </w:p>
    <w:p w14:paraId="1FFF5BD0" w14:textId="7C2B6176" w:rsidR="001809F9" w:rsidRPr="008E45F2" w:rsidRDefault="005E3222" w:rsidP="008D6916">
      <w:pPr>
        <w:rPr>
          <w:sz w:val="18"/>
          <w:szCs w:val="18"/>
        </w:rPr>
      </w:pPr>
      <w:r w:rsidRPr="008E45F2">
        <w:rPr>
          <w:sz w:val="18"/>
          <w:szCs w:val="18"/>
        </w:rPr>
        <w:t>S</w:t>
      </w:r>
      <w:r w:rsidRPr="008E45F2">
        <w:rPr>
          <w:rFonts w:hint="eastAsia"/>
          <w:sz w:val="18"/>
          <w:szCs w:val="18"/>
        </w:rPr>
        <w:t xml:space="preserve">ource: </w:t>
      </w:r>
      <w:r w:rsidR="00BE401B" w:rsidRPr="008E45F2">
        <w:rPr>
          <w:rFonts w:hint="eastAsia"/>
          <w:sz w:val="18"/>
          <w:szCs w:val="18"/>
        </w:rPr>
        <w:t xml:space="preserve">Jay et al. 2023. </w:t>
      </w:r>
      <w:r w:rsidR="008E45F2" w:rsidRPr="008E45F2">
        <w:rPr>
          <w:sz w:val="18"/>
          <w:szCs w:val="18"/>
        </w:rPr>
        <w:t>“Investors want to hear from companies about the value of sustainability”</w:t>
      </w:r>
      <w:r w:rsidR="008E45F2" w:rsidRPr="008E45F2">
        <w:rPr>
          <w:rFonts w:hint="eastAsia"/>
          <w:sz w:val="18"/>
          <w:szCs w:val="18"/>
        </w:rPr>
        <w:t xml:space="preserve">. </w:t>
      </w:r>
      <w:r w:rsidR="008E45F2" w:rsidRPr="008E45F2">
        <w:rPr>
          <w:i/>
          <w:iCs/>
          <w:sz w:val="18"/>
          <w:szCs w:val="18"/>
        </w:rPr>
        <w:t>McKinsey</w:t>
      </w:r>
      <w:r w:rsidR="008E45F2" w:rsidRPr="008E45F2">
        <w:rPr>
          <w:rFonts w:hint="eastAsia"/>
          <w:i/>
          <w:iCs/>
          <w:sz w:val="18"/>
          <w:szCs w:val="18"/>
        </w:rPr>
        <w:t xml:space="preserve"> &amp; Company website</w:t>
      </w:r>
    </w:p>
    <w:p w14:paraId="06D77EA0" w14:textId="77777777" w:rsidR="008E45F2" w:rsidRDefault="008E45F2" w:rsidP="001D447F">
      <w:pPr>
        <w:spacing w:line="360" w:lineRule="auto"/>
        <w:jc w:val="both"/>
        <w:rPr>
          <w:sz w:val="24"/>
          <w:szCs w:val="24"/>
          <w:lang w:eastAsia="en-US"/>
        </w:rPr>
      </w:pPr>
    </w:p>
    <w:p w14:paraId="6767161E" w14:textId="2340C522" w:rsidR="000F3E94" w:rsidRDefault="000F3E94" w:rsidP="001D447F">
      <w:pPr>
        <w:spacing w:line="360" w:lineRule="auto"/>
        <w:jc w:val="both"/>
        <w:rPr>
          <w:sz w:val="24"/>
          <w:szCs w:val="24"/>
          <w:lang w:eastAsia="en-US"/>
        </w:rPr>
      </w:pPr>
      <w:r w:rsidRPr="000F3E94">
        <w:rPr>
          <w:sz w:val="24"/>
          <w:szCs w:val="24"/>
          <w:lang w:eastAsia="en-US"/>
        </w:rPr>
        <w:t>Regarding employees, the Marsh McLennan website states that their study found that top employers, measured by employee satisfaction and talent attractiveness, have significantly higher ESG scores than their peers. Furthermore, with Millennials and Gen Z projected to make up 72 percent of the global workforce by 2029, compared to 52 percent in 2019, these generations prioritize environmental and social concerns more than their predecessors and will expect more from employers on these issues.</w:t>
      </w:r>
    </w:p>
    <w:p w14:paraId="00D2C7A3" w14:textId="7F2EDAC6" w:rsidR="00C13B64" w:rsidRDefault="00D8487E" w:rsidP="00CC121A">
      <w:pPr>
        <w:spacing w:line="360" w:lineRule="auto"/>
        <w:jc w:val="both"/>
        <w:rPr>
          <w:sz w:val="24"/>
          <w:szCs w:val="24"/>
        </w:rPr>
      </w:pPr>
      <w:r w:rsidRPr="00D8487E">
        <w:rPr>
          <w:sz w:val="24"/>
          <w:szCs w:val="24"/>
        </w:rPr>
        <w:t xml:space="preserve">As for customers, </w:t>
      </w:r>
      <w:proofErr w:type="spellStart"/>
      <w:r w:rsidRPr="00D8487E">
        <w:rPr>
          <w:sz w:val="24"/>
          <w:szCs w:val="24"/>
        </w:rPr>
        <w:t>Boufounou</w:t>
      </w:r>
      <w:proofErr w:type="spellEnd"/>
      <w:r w:rsidRPr="00D8487E">
        <w:rPr>
          <w:sz w:val="24"/>
          <w:szCs w:val="24"/>
        </w:rPr>
        <w:t xml:space="preserve"> et al. (2023) examined whether a company's performance on environmental, social, and governance (ESG) indicators influences customer choice. Their study revealed that a company's performance on ESG factors does influence consumer choice, with particular emphasis on environmental and social indicators. It also demonstrated that a company's social performance is relevant to both urban and suburban customers.</w:t>
      </w:r>
    </w:p>
    <w:p w14:paraId="65E79EDA" w14:textId="77777777" w:rsidR="006106EB" w:rsidRDefault="006106EB" w:rsidP="002A39DF">
      <w:pPr>
        <w:rPr>
          <w:i/>
          <w:iCs/>
        </w:rPr>
      </w:pPr>
    </w:p>
    <w:p w14:paraId="2354AD3C" w14:textId="77777777" w:rsidR="006106EB" w:rsidRPr="00AD13B4" w:rsidRDefault="006106EB" w:rsidP="002A39DF">
      <w:pPr>
        <w:rPr>
          <w:i/>
          <w:iCs/>
        </w:rPr>
      </w:pPr>
    </w:p>
    <w:p w14:paraId="09EE2E11" w14:textId="2C6619FC" w:rsidR="002A39DF" w:rsidRPr="002A39DF" w:rsidRDefault="00845FEE" w:rsidP="002A39DF">
      <w:pPr>
        <w:pStyle w:val="2"/>
        <w:numPr>
          <w:ilvl w:val="1"/>
          <w:numId w:val="5"/>
        </w:numPr>
        <w:tabs>
          <w:tab w:val="left" w:pos="900"/>
        </w:tabs>
        <w:ind w:left="810" w:hanging="450"/>
        <w:jc w:val="left"/>
        <w:rPr>
          <w:rFonts w:ascii="Times New Roman" w:hAnsi="Times New Roman"/>
          <w:i/>
          <w:iCs/>
        </w:rPr>
      </w:pPr>
      <w:bookmarkStart w:id="6" w:name="_Toc167663310"/>
      <w:r>
        <w:rPr>
          <w:rFonts w:ascii="Times New Roman" w:hAnsi="Times New Roman" w:hint="eastAsia"/>
          <w:i/>
          <w:iCs/>
          <w:lang w:eastAsia="ja-JP"/>
        </w:rPr>
        <w:t xml:space="preserve"> </w:t>
      </w:r>
      <w:r w:rsidR="002A39DF" w:rsidRPr="00AD13B4">
        <w:rPr>
          <w:rFonts w:ascii="Times New Roman" w:hAnsi="Times New Roman"/>
          <w:i/>
          <w:iCs/>
        </w:rPr>
        <w:t>Communication of CSR with Stakeholder</w:t>
      </w:r>
      <w:bookmarkEnd w:id="6"/>
    </w:p>
    <w:p w14:paraId="2797A9A3" w14:textId="77777777" w:rsidR="002A39DF" w:rsidRDefault="002A39DF" w:rsidP="00BB55ED">
      <w:pPr>
        <w:rPr>
          <w:sz w:val="24"/>
          <w:szCs w:val="24"/>
          <w:lang w:eastAsia="en-US"/>
        </w:rPr>
      </w:pPr>
    </w:p>
    <w:p w14:paraId="6583F563" w14:textId="609438AD" w:rsidR="00BB385E" w:rsidRDefault="00BB385E" w:rsidP="001D447F">
      <w:pPr>
        <w:spacing w:line="360" w:lineRule="auto"/>
        <w:jc w:val="both"/>
        <w:rPr>
          <w:sz w:val="24"/>
          <w:szCs w:val="24"/>
        </w:rPr>
      </w:pPr>
      <w:r w:rsidRPr="00BB385E">
        <w:rPr>
          <w:sz w:val="24"/>
          <w:szCs w:val="24"/>
        </w:rPr>
        <w:t xml:space="preserve">There are several </w:t>
      </w:r>
      <w:r w:rsidR="005F1FC9">
        <w:rPr>
          <w:sz w:val="24"/>
          <w:szCs w:val="24"/>
        </w:rPr>
        <w:t>ways</w:t>
      </w:r>
      <w:r w:rsidRPr="00BB385E">
        <w:rPr>
          <w:sz w:val="24"/>
          <w:szCs w:val="24"/>
        </w:rPr>
        <w:t xml:space="preserve"> </w:t>
      </w:r>
      <w:r w:rsidR="005F1FC9">
        <w:rPr>
          <w:sz w:val="24"/>
          <w:szCs w:val="24"/>
        </w:rPr>
        <w:t>of</w:t>
      </w:r>
      <w:r w:rsidRPr="00BB385E">
        <w:rPr>
          <w:sz w:val="24"/>
          <w:szCs w:val="24"/>
        </w:rPr>
        <w:t xml:space="preserve"> CSR</w:t>
      </w:r>
      <w:r w:rsidR="005F1FC9">
        <w:rPr>
          <w:sz w:val="24"/>
          <w:szCs w:val="24"/>
        </w:rPr>
        <w:t xml:space="preserve"> communications for the company</w:t>
      </w:r>
      <w:r w:rsidRPr="00BB385E">
        <w:rPr>
          <w:sz w:val="24"/>
          <w:szCs w:val="24"/>
        </w:rPr>
        <w:t xml:space="preserve">. According to a summary by SOMPO, a Japanese company, these </w:t>
      </w:r>
      <w:r w:rsidR="005F1FC9">
        <w:rPr>
          <w:sz w:val="24"/>
          <w:szCs w:val="24"/>
        </w:rPr>
        <w:t>ways</w:t>
      </w:r>
      <w:r w:rsidRPr="00BB385E">
        <w:rPr>
          <w:sz w:val="24"/>
          <w:szCs w:val="24"/>
        </w:rPr>
        <w:t xml:space="preserve"> </w:t>
      </w:r>
      <w:r w:rsidR="005F1FC9">
        <w:rPr>
          <w:sz w:val="24"/>
          <w:szCs w:val="24"/>
        </w:rPr>
        <w:t>are</w:t>
      </w:r>
      <w:r w:rsidRPr="00BB385E">
        <w:rPr>
          <w:sz w:val="24"/>
          <w:szCs w:val="24"/>
        </w:rPr>
        <w:t xml:space="preserve"> organized along two axes: Concise vs. Comprehensive and Non-Financial vs. Financial (</w:t>
      </w:r>
      <w:r w:rsidR="00B8175B">
        <w:rPr>
          <w:rFonts w:hint="eastAsia"/>
          <w:sz w:val="24"/>
          <w:szCs w:val="24"/>
        </w:rPr>
        <w:t>s</w:t>
      </w:r>
      <w:r w:rsidRPr="00BB385E">
        <w:rPr>
          <w:sz w:val="24"/>
          <w:szCs w:val="24"/>
        </w:rPr>
        <w:t xml:space="preserve">ee Figure 3). In this classification, items positioned as Non-Financial and Comprehensive include the </w:t>
      </w:r>
      <w:r w:rsidR="005F1FC9">
        <w:rPr>
          <w:sz w:val="24"/>
          <w:szCs w:val="24"/>
        </w:rPr>
        <w:t>“</w:t>
      </w:r>
      <w:r w:rsidRPr="00BB385E">
        <w:rPr>
          <w:sz w:val="24"/>
          <w:szCs w:val="24"/>
        </w:rPr>
        <w:t>Sustainability Report</w:t>
      </w:r>
      <w:r w:rsidR="005F1FC9">
        <w:rPr>
          <w:sz w:val="24"/>
          <w:szCs w:val="24"/>
        </w:rPr>
        <w:t>”</w:t>
      </w:r>
      <w:r w:rsidRPr="00BB385E">
        <w:rPr>
          <w:sz w:val="24"/>
          <w:szCs w:val="24"/>
        </w:rPr>
        <w:t xml:space="preserve"> and </w:t>
      </w:r>
      <w:r w:rsidR="005F1FC9">
        <w:rPr>
          <w:sz w:val="24"/>
          <w:szCs w:val="24"/>
        </w:rPr>
        <w:t xml:space="preserve">“Sustainability </w:t>
      </w:r>
      <w:r w:rsidRPr="00BB385E">
        <w:rPr>
          <w:sz w:val="24"/>
          <w:szCs w:val="24"/>
        </w:rPr>
        <w:t>Website</w:t>
      </w:r>
      <w:r w:rsidR="005F1FC9">
        <w:rPr>
          <w:sz w:val="24"/>
          <w:szCs w:val="24"/>
        </w:rPr>
        <w:t>”</w:t>
      </w:r>
      <w:r w:rsidRPr="00BB385E">
        <w:rPr>
          <w:sz w:val="24"/>
          <w:szCs w:val="24"/>
        </w:rPr>
        <w:t>.</w:t>
      </w:r>
    </w:p>
    <w:p w14:paraId="43E937D1" w14:textId="070793C7" w:rsidR="005E3222" w:rsidRDefault="00B24638" w:rsidP="00CC121A">
      <w:pPr>
        <w:jc w:val="center"/>
        <w:rPr>
          <w:i/>
          <w:iCs/>
        </w:rPr>
      </w:pPr>
      <w:r w:rsidRPr="000F3E94">
        <w:rPr>
          <w:i/>
          <w:iCs/>
          <w:noProof/>
          <w:sz w:val="24"/>
          <w:szCs w:val="24"/>
          <w:lang w:eastAsia="en-US"/>
        </w:rPr>
        <w:drawing>
          <wp:anchor distT="0" distB="0" distL="114300" distR="114300" simplePos="0" relativeHeight="251658244" behindDoc="0" locked="0" layoutInCell="1" allowOverlap="1" wp14:anchorId="2D3702C7" wp14:editId="14E2FBEB">
            <wp:simplePos x="0" y="0"/>
            <wp:positionH relativeFrom="margin">
              <wp:align>center</wp:align>
            </wp:positionH>
            <wp:positionV relativeFrom="paragraph">
              <wp:posOffset>272390</wp:posOffset>
            </wp:positionV>
            <wp:extent cx="5252720" cy="2515870"/>
            <wp:effectExtent l="0" t="0" r="5080" b="0"/>
            <wp:wrapTopAndBottom/>
            <wp:docPr id="160627928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79281" name="図 1" descr="ダイアグラム&#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2720" cy="2515870"/>
                    </a:xfrm>
                    <a:prstGeom prst="rect">
                      <a:avLst/>
                    </a:prstGeom>
                  </pic:spPr>
                </pic:pic>
              </a:graphicData>
            </a:graphic>
            <wp14:sizeRelH relativeFrom="margin">
              <wp14:pctWidth>0</wp14:pctWidth>
            </wp14:sizeRelH>
            <wp14:sizeRelV relativeFrom="margin">
              <wp14:pctHeight>0</wp14:pctHeight>
            </wp14:sizeRelV>
          </wp:anchor>
        </w:drawing>
      </w:r>
      <w:r w:rsidR="000F3E94" w:rsidRPr="000F3E94">
        <w:rPr>
          <w:i/>
          <w:iCs/>
        </w:rPr>
        <w:t>Figure 3</w:t>
      </w:r>
      <w:r w:rsidR="00FD0554">
        <w:rPr>
          <w:rFonts w:hint="eastAsia"/>
          <w:i/>
          <w:iCs/>
        </w:rPr>
        <w:t xml:space="preserve">. </w:t>
      </w:r>
      <w:r w:rsidR="0071783C">
        <w:rPr>
          <w:i/>
          <w:iCs/>
        </w:rPr>
        <w:t xml:space="preserve"> Overview of Sustainability Communication</w:t>
      </w:r>
    </w:p>
    <w:p w14:paraId="6D015CAF" w14:textId="2ECA1289" w:rsidR="00140D70" w:rsidRPr="00B24638" w:rsidRDefault="005E3222" w:rsidP="000F3E94">
      <w:pPr>
        <w:jc w:val="center"/>
        <w:rPr>
          <w:sz w:val="24"/>
          <w:szCs w:val="24"/>
        </w:rPr>
      </w:pPr>
      <w:r w:rsidRPr="00B24638">
        <w:rPr>
          <w:sz w:val="18"/>
          <w:szCs w:val="18"/>
        </w:rPr>
        <w:t>S</w:t>
      </w:r>
      <w:r w:rsidRPr="00B24638">
        <w:rPr>
          <w:rFonts w:hint="eastAsia"/>
          <w:sz w:val="18"/>
          <w:szCs w:val="18"/>
        </w:rPr>
        <w:t xml:space="preserve">ource: </w:t>
      </w:r>
      <w:r w:rsidR="0005787F">
        <w:rPr>
          <w:rFonts w:hint="eastAsia"/>
          <w:sz w:val="18"/>
          <w:szCs w:val="18"/>
        </w:rPr>
        <w:t xml:space="preserve">SOMPO website. </w:t>
      </w:r>
      <w:r w:rsidR="00EC6A2B">
        <w:rPr>
          <w:sz w:val="18"/>
          <w:szCs w:val="18"/>
        </w:rPr>
        <w:t>“</w:t>
      </w:r>
      <w:r w:rsidR="00EC6A2B">
        <w:rPr>
          <w:rFonts w:hint="eastAsia"/>
          <w:sz w:val="18"/>
          <w:szCs w:val="18"/>
        </w:rPr>
        <w:t>Overview of Sustainability Communication</w:t>
      </w:r>
      <w:r w:rsidR="00EC6A2B">
        <w:rPr>
          <w:sz w:val="18"/>
          <w:szCs w:val="18"/>
        </w:rPr>
        <w:t>”</w:t>
      </w:r>
      <w:r w:rsidR="00140D70" w:rsidRPr="00B24638">
        <w:rPr>
          <w:sz w:val="24"/>
          <w:szCs w:val="24"/>
        </w:rPr>
        <w:br/>
      </w:r>
    </w:p>
    <w:p w14:paraId="67422304" w14:textId="53D05910" w:rsidR="000C58E3" w:rsidRDefault="00091147" w:rsidP="00154779">
      <w:pPr>
        <w:spacing w:line="360" w:lineRule="auto"/>
        <w:jc w:val="both"/>
        <w:rPr>
          <w:sz w:val="24"/>
          <w:szCs w:val="24"/>
        </w:rPr>
      </w:pPr>
      <w:r>
        <w:rPr>
          <w:sz w:val="24"/>
          <w:szCs w:val="24"/>
        </w:rPr>
        <w:t>T</w:t>
      </w:r>
      <w:r w:rsidRPr="000C58E3">
        <w:rPr>
          <w:sz w:val="24"/>
          <w:szCs w:val="24"/>
        </w:rPr>
        <w:t>he Sustainability</w:t>
      </w:r>
      <w:r>
        <w:rPr>
          <w:rFonts w:hint="eastAsia"/>
          <w:sz w:val="24"/>
          <w:szCs w:val="24"/>
        </w:rPr>
        <w:t xml:space="preserve"> (or CSR)</w:t>
      </w:r>
      <w:r w:rsidRPr="000C58E3">
        <w:rPr>
          <w:sz w:val="24"/>
          <w:szCs w:val="24"/>
        </w:rPr>
        <w:t xml:space="preserve"> Report can be a key component of a company’s stakeholder engagement strategy</w:t>
      </w:r>
      <w:r>
        <w:rPr>
          <w:sz w:val="24"/>
          <w:szCs w:val="24"/>
        </w:rPr>
        <w:t xml:space="preserve"> (</w:t>
      </w:r>
      <w:r w:rsidRPr="000C58E3">
        <w:rPr>
          <w:sz w:val="24"/>
          <w:szCs w:val="24"/>
        </w:rPr>
        <w:t xml:space="preserve">Noam </w:t>
      </w:r>
      <w:proofErr w:type="spellStart"/>
      <w:r w:rsidRPr="000C58E3">
        <w:rPr>
          <w:sz w:val="24"/>
          <w:szCs w:val="24"/>
        </w:rPr>
        <w:t>Noked</w:t>
      </w:r>
      <w:proofErr w:type="spellEnd"/>
      <w:r w:rsidRPr="000C58E3">
        <w:rPr>
          <w:sz w:val="24"/>
          <w:szCs w:val="24"/>
        </w:rPr>
        <w:t xml:space="preserve"> et al.</w:t>
      </w:r>
      <w:r>
        <w:rPr>
          <w:sz w:val="24"/>
          <w:szCs w:val="24"/>
        </w:rPr>
        <w:t xml:space="preserve">, </w:t>
      </w:r>
      <w:r w:rsidRPr="000C58E3">
        <w:rPr>
          <w:sz w:val="24"/>
          <w:szCs w:val="24"/>
        </w:rPr>
        <w:t xml:space="preserve">2013). </w:t>
      </w:r>
      <w:r>
        <w:rPr>
          <w:sz w:val="24"/>
          <w:szCs w:val="24"/>
        </w:rPr>
        <w:t xml:space="preserve">main </w:t>
      </w:r>
      <w:r w:rsidRPr="000C58E3">
        <w:rPr>
          <w:sz w:val="24"/>
          <w:szCs w:val="24"/>
        </w:rPr>
        <w:t>points</w:t>
      </w:r>
      <w:r>
        <w:rPr>
          <w:sz w:val="24"/>
          <w:szCs w:val="24"/>
        </w:rPr>
        <w:t xml:space="preserve"> are following</w:t>
      </w:r>
      <w:r w:rsidRPr="000C58E3">
        <w:rPr>
          <w:sz w:val="24"/>
          <w:szCs w:val="24"/>
        </w:rPr>
        <w:t>:</w:t>
      </w:r>
    </w:p>
    <w:p w14:paraId="03FEEB15" w14:textId="77777777" w:rsidR="000C58E3" w:rsidRDefault="000C58E3" w:rsidP="00075399">
      <w:pPr>
        <w:pStyle w:val="a9"/>
        <w:numPr>
          <w:ilvl w:val="0"/>
          <w:numId w:val="21"/>
        </w:numPr>
        <w:spacing w:line="360" w:lineRule="auto"/>
        <w:jc w:val="both"/>
        <w:rPr>
          <w:sz w:val="24"/>
          <w:szCs w:val="24"/>
        </w:rPr>
      </w:pPr>
      <w:r w:rsidRPr="000C58E3">
        <w:rPr>
          <w:sz w:val="24"/>
          <w:szCs w:val="24"/>
        </w:rPr>
        <w:t>It offers the company an opportunity to communicate its CSR activities to stakeholders and</w:t>
      </w:r>
      <w:r>
        <w:rPr>
          <w:rFonts w:hint="eastAsia"/>
          <w:sz w:val="24"/>
          <w:szCs w:val="24"/>
        </w:rPr>
        <w:t xml:space="preserve"> </w:t>
      </w:r>
      <w:r w:rsidRPr="000C58E3">
        <w:rPr>
          <w:sz w:val="24"/>
          <w:szCs w:val="24"/>
        </w:rPr>
        <w:t>to discuss successes and challenges on a wide range of CSR issues, such as corporate governance, climate change, employee and supplier diversity initiatives, and community investments and partnerships, all within a single document.</w:t>
      </w:r>
    </w:p>
    <w:p w14:paraId="2A4F133D" w14:textId="16AF8450" w:rsidR="000C58E3" w:rsidRDefault="000C58E3" w:rsidP="00075399">
      <w:pPr>
        <w:pStyle w:val="a9"/>
        <w:numPr>
          <w:ilvl w:val="0"/>
          <w:numId w:val="21"/>
        </w:numPr>
        <w:spacing w:line="360" w:lineRule="auto"/>
        <w:jc w:val="both"/>
        <w:rPr>
          <w:sz w:val="24"/>
          <w:szCs w:val="24"/>
        </w:rPr>
      </w:pPr>
      <w:r w:rsidRPr="000C58E3">
        <w:rPr>
          <w:sz w:val="24"/>
          <w:szCs w:val="24"/>
        </w:rPr>
        <w:t>It serves as a medium for transparency, which often enhances the company’s reputation with stakeholders, particularly shareholders, employees, suppliers, and communities where the company operates. It is also used as an effective public relations tool as part of ongoing shareholder relations campaigns.</w:t>
      </w:r>
    </w:p>
    <w:p w14:paraId="1BC15410" w14:textId="55E0C0BE" w:rsidR="000C58E3" w:rsidRPr="000C58E3" w:rsidRDefault="000C58E3" w:rsidP="00075399">
      <w:pPr>
        <w:pStyle w:val="a9"/>
        <w:numPr>
          <w:ilvl w:val="0"/>
          <w:numId w:val="21"/>
        </w:numPr>
        <w:spacing w:line="360" w:lineRule="auto"/>
        <w:jc w:val="both"/>
        <w:rPr>
          <w:sz w:val="24"/>
          <w:szCs w:val="24"/>
        </w:rPr>
      </w:pPr>
      <w:r w:rsidRPr="000C58E3">
        <w:rPr>
          <w:sz w:val="24"/>
          <w:szCs w:val="24"/>
        </w:rPr>
        <w:t>It provides CSR information to assist existing and potential investors in analyzing their investment decisions.</w:t>
      </w:r>
    </w:p>
    <w:p w14:paraId="63F2B9AF" w14:textId="77777777" w:rsidR="000C58E3" w:rsidRDefault="000C58E3" w:rsidP="00075399">
      <w:pPr>
        <w:jc w:val="both"/>
        <w:rPr>
          <w:sz w:val="24"/>
          <w:szCs w:val="24"/>
        </w:rPr>
      </w:pPr>
    </w:p>
    <w:p w14:paraId="3975601B" w14:textId="40A93F48" w:rsidR="00154779" w:rsidRDefault="00137A41" w:rsidP="00154779">
      <w:pPr>
        <w:spacing w:line="360" w:lineRule="auto"/>
        <w:jc w:val="both"/>
        <w:rPr>
          <w:sz w:val="24"/>
          <w:szCs w:val="24"/>
        </w:rPr>
      </w:pPr>
      <w:r w:rsidRPr="00137A41">
        <w:rPr>
          <w:sz w:val="24"/>
          <w:szCs w:val="24"/>
        </w:rPr>
        <w:t xml:space="preserve">Another measure of a company's sustainability efforts is its ESG rating. According to Deloitte’s website “ESG Ratings: Do They Add Value? How to Get Prepared?”, </w:t>
      </w:r>
      <w:r w:rsidR="00AB311B" w:rsidRPr="00AB311B">
        <w:rPr>
          <w:sz w:val="24"/>
          <w:szCs w:val="24"/>
        </w:rPr>
        <w:t>ESG ratings provide a foundation for understanding a company's business environment and identifying comparable peers.</w:t>
      </w:r>
      <w:r w:rsidR="00AB311B">
        <w:rPr>
          <w:rFonts w:hint="eastAsia"/>
          <w:sz w:val="24"/>
          <w:szCs w:val="24"/>
        </w:rPr>
        <w:t xml:space="preserve"> </w:t>
      </w:r>
      <w:r w:rsidRPr="00137A41">
        <w:rPr>
          <w:sz w:val="24"/>
          <w:szCs w:val="24"/>
        </w:rPr>
        <w:t xml:space="preserve">Moreover, major investors expect their investees to adopt an active and responsible ESG approach and </w:t>
      </w:r>
      <w:r w:rsidR="003C501E" w:rsidRPr="00E672D7">
        <w:rPr>
          <w:sz w:val="24"/>
          <w:szCs w:val="24"/>
        </w:rPr>
        <w:t>are more interested in financing the ones demonstrating good ESG performance</w:t>
      </w:r>
      <w:r w:rsidR="003C501E">
        <w:rPr>
          <w:rFonts w:hint="eastAsia"/>
          <w:sz w:val="24"/>
          <w:szCs w:val="24"/>
        </w:rPr>
        <w:t xml:space="preserve"> - </w:t>
      </w:r>
      <w:r w:rsidR="00AA16EE">
        <w:rPr>
          <w:rFonts w:hint="eastAsia"/>
          <w:sz w:val="24"/>
          <w:szCs w:val="24"/>
        </w:rPr>
        <w:t xml:space="preserve"> with </w:t>
      </w:r>
      <w:r w:rsidRPr="00137A41">
        <w:rPr>
          <w:sz w:val="24"/>
          <w:szCs w:val="24"/>
        </w:rPr>
        <w:t>65 percent of investors report using ESG assessments regularly</w:t>
      </w:r>
      <w:r w:rsidR="003C501E">
        <w:rPr>
          <w:rFonts w:hint="eastAsia"/>
          <w:sz w:val="24"/>
          <w:szCs w:val="24"/>
        </w:rPr>
        <w:t xml:space="preserve">. </w:t>
      </w:r>
    </w:p>
    <w:p w14:paraId="57916000" w14:textId="0C8DBCA4" w:rsidR="00154779" w:rsidRDefault="00075399" w:rsidP="00154779">
      <w:pPr>
        <w:spacing w:line="360" w:lineRule="auto"/>
        <w:jc w:val="both"/>
        <w:rPr>
          <w:sz w:val="24"/>
          <w:szCs w:val="24"/>
        </w:rPr>
      </w:pPr>
      <w:r w:rsidRPr="00075399">
        <w:rPr>
          <w:sz w:val="24"/>
          <w:szCs w:val="24"/>
        </w:rPr>
        <w:t xml:space="preserve">There is no one-size-fits-all methodology for analyzing ESG data used by rating agencies. Reports and rating methodologies, scopes, and coverage vary </w:t>
      </w:r>
      <w:r w:rsidR="00C4649E">
        <w:rPr>
          <w:sz w:val="24"/>
          <w:szCs w:val="24"/>
        </w:rPr>
        <w:t>greatly</w:t>
      </w:r>
      <w:r w:rsidRPr="00075399">
        <w:rPr>
          <w:sz w:val="24"/>
          <w:szCs w:val="24"/>
        </w:rPr>
        <w:t xml:space="preserve"> among providers. Currently, numerous agencies operate in the market, often issuing different ratings for the same entity</w:t>
      </w:r>
      <w:r w:rsidR="00C4649E">
        <w:rPr>
          <w:sz w:val="24"/>
          <w:szCs w:val="24"/>
        </w:rPr>
        <w:t>, as well as m</w:t>
      </w:r>
      <w:r w:rsidRPr="00075399">
        <w:rPr>
          <w:sz w:val="24"/>
          <w:szCs w:val="24"/>
        </w:rPr>
        <w:t xml:space="preserve">any providers encourage input and engagement with the companies they rate to improve or sometimes correct data (Betty et al., 2017). </w:t>
      </w:r>
      <w:r w:rsidR="00C4649E">
        <w:rPr>
          <w:sz w:val="24"/>
          <w:szCs w:val="24"/>
        </w:rPr>
        <w:t>There are different methodologies among rating agencies, h</w:t>
      </w:r>
      <w:r w:rsidRPr="00075399">
        <w:rPr>
          <w:sz w:val="24"/>
          <w:szCs w:val="24"/>
        </w:rPr>
        <w:t>owever, according to a summary of major rating agencies by Deloitte Polska (2022), it is shown that almost all agencies reference CSR/sustainability reports by each company</w:t>
      </w:r>
      <w:r w:rsidR="00E23E82">
        <w:rPr>
          <w:rFonts w:hint="eastAsia"/>
          <w:sz w:val="24"/>
          <w:szCs w:val="24"/>
        </w:rPr>
        <w:t xml:space="preserve">. </w:t>
      </w:r>
    </w:p>
    <w:p w14:paraId="2D530F21" w14:textId="778173A3" w:rsidR="008D6916" w:rsidRPr="004F733A" w:rsidRDefault="007F7046" w:rsidP="00154779">
      <w:pPr>
        <w:spacing w:line="360" w:lineRule="auto"/>
        <w:jc w:val="both"/>
        <w:rPr>
          <w:sz w:val="24"/>
          <w:szCs w:val="24"/>
        </w:rPr>
      </w:pPr>
      <w:r>
        <w:rPr>
          <w:sz w:val="24"/>
          <w:szCs w:val="24"/>
        </w:rPr>
        <w:tab/>
      </w:r>
    </w:p>
    <w:p w14:paraId="618B3646" w14:textId="2C77BDF4" w:rsidR="001A1385" w:rsidRDefault="00154779" w:rsidP="00154779">
      <w:pPr>
        <w:spacing w:line="360" w:lineRule="auto"/>
        <w:jc w:val="both"/>
        <w:rPr>
          <w:sz w:val="24"/>
          <w:szCs w:val="24"/>
        </w:rPr>
      </w:pPr>
      <w:r>
        <w:rPr>
          <w:rFonts w:hint="eastAsia"/>
          <w:sz w:val="24"/>
          <w:szCs w:val="24"/>
        </w:rPr>
        <w:t>In summary, t</w:t>
      </w:r>
      <w:r w:rsidRPr="00154779">
        <w:rPr>
          <w:sz w:val="24"/>
          <w:szCs w:val="24"/>
        </w:rPr>
        <w:t>he</w:t>
      </w:r>
      <w:r>
        <w:rPr>
          <w:rFonts w:hint="eastAsia"/>
          <w:sz w:val="24"/>
          <w:szCs w:val="24"/>
        </w:rPr>
        <w:t xml:space="preserve"> </w:t>
      </w:r>
      <w:r w:rsidRPr="00154779">
        <w:rPr>
          <w:sz w:val="24"/>
          <w:szCs w:val="24"/>
        </w:rPr>
        <w:t>Sustainability</w:t>
      </w:r>
      <w:r>
        <w:rPr>
          <w:rFonts w:hint="eastAsia"/>
          <w:sz w:val="24"/>
          <w:szCs w:val="24"/>
        </w:rPr>
        <w:t xml:space="preserve"> (CSR)</w:t>
      </w:r>
      <w:r w:rsidRPr="00154779">
        <w:rPr>
          <w:sz w:val="24"/>
          <w:szCs w:val="24"/>
        </w:rPr>
        <w:t xml:space="preserve"> report serves as a key component of a company’s stakeholder engagement strategy. It provides a transparent account of the company’s successes and challenges across a wide range of CSR issues to its stakeholders. Furthermore, it is utilized by rating agencies as a primary source of information for ESG scores, which investors rely on for making investment decisions.</w:t>
      </w:r>
    </w:p>
    <w:p w14:paraId="14C8FA26" w14:textId="77777777" w:rsidR="001A1385" w:rsidRDefault="001A1385" w:rsidP="00BB55ED">
      <w:pPr>
        <w:rPr>
          <w:sz w:val="24"/>
          <w:szCs w:val="24"/>
        </w:rPr>
      </w:pPr>
    </w:p>
    <w:p w14:paraId="07BEDEA9" w14:textId="77777777" w:rsidR="006131B0" w:rsidRDefault="006131B0" w:rsidP="00BB55ED">
      <w:pPr>
        <w:rPr>
          <w:sz w:val="24"/>
          <w:szCs w:val="24"/>
        </w:rPr>
      </w:pPr>
    </w:p>
    <w:p w14:paraId="6EC62702" w14:textId="61111CDC" w:rsidR="00132E8B" w:rsidRPr="00AD13B4" w:rsidRDefault="00132E8B" w:rsidP="00BB55ED">
      <w:pPr>
        <w:rPr>
          <w:sz w:val="24"/>
          <w:szCs w:val="24"/>
        </w:rPr>
      </w:pPr>
    </w:p>
    <w:p w14:paraId="5B097AE6" w14:textId="4B7EEDD1" w:rsidR="00BB55ED" w:rsidRPr="00AD13B4" w:rsidRDefault="0018549A" w:rsidP="00316559">
      <w:pPr>
        <w:pStyle w:val="2"/>
        <w:numPr>
          <w:ilvl w:val="1"/>
          <w:numId w:val="5"/>
        </w:numPr>
        <w:tabs>
          <w:tab w:val="left" w:pos="900"/>
        </w:tabs>
        <w:ind w:hanging="1800"/>
        <w:jc w:val="left"/>
        <w:rPr>
          <w:rFonts w:ascii="Times New Roman" w:hAnsi="Times New Roman"/>
          <w:i/>
          <w:iCs/>
        </w:rPr>
      </w:pPr>
      <w:bookmarkStart w:id="7" w:name="_Toc167663311"/>
      <w:r w:rsidRPr="00AD13B4">
        <w:rPr>
          <w:rFonts w:ascii="Times New Roman" w:hAnsi="Times New Roman"/>
          <w:i/>
          <w:iCs/>
        </w:rPr>
        <w:t>Influence of Ownership on CSR</w:t>
      </w:r>
      <w:bookmarkEnd w:id="7"/>
    </w:p>
    <w:p w14:paraId="3F20BDB5" w14:textId="6B3025D3" w:rsidR="00154779" w:rsidRPr="007E1184" w:rsidRDefault="00154779" w:rsidP="007E1184">
      <w:pPr>
        <w:spacing w:line="360" w:lineRule="auto"/>
        <w:jc w:val="both"/>
        <w:rPr>
          <w:sz w:val="24"/>
          <w:szCs w:val="24"/>
        </w:rPr>
      </w:pPr>
      <w:r w:rsidRPr="007E1184">
        <w:rPr>
          <w:sz w:val="24"/>
          <w:szCs w:val="24"/>
        </w:rPr>
        <w:t>According to the OECD (2020), many OECD member countries believe that state-owned enterprises (SOEs) can and should play a leading role in their respective sectors, promoting good practices among all market participants. Increasingly, these governments are integrating sustainable development goals into their ownership policies, publicly expressing their sustainability expectations, and establishing mechanisms for their implementation. Furthermore, as regulators, governments can encourage positive actions by assuming a leading role in social and environmental responsibility. Ensuring alignment between general sustainability policies and SOE-specific goals, while creating a level playing field for private enterprises, is crucial for maintaining efficiency. Here are some examples of national practices:</w:t>
      </w:r>
    </w:p>
    <w:p w14:paraId="433ABAE5" w14:textId="77777777" w:rsidR="00154779" w:rsidRPr="0037044E" w:rsidRDefault="00154779" w:rsidP="0037044E">
      <w:pPr>
        <w:rPr>
          <w:sz w:val="24"/>
          <w:szCs w:val="24"/>
        </w:rPr>
      </w:pPr>
    </w:p>
    <w:p w14:paraId="09DDAAC3" w14:textId="7BBE1BF3" w:rsidR="00C225CB" w:rsidRPr="00C225CB" w:rsidRDefault="007E1184" w:rsidP="00C225CB">
      <w:pPr>
        <w:pStyle w:val="a9"/>
        <w:numPr>
          <w:ilvl w:val="0"/>
          <w:numId w:val="22"/>
        </w:numPr>
        <w:spacing w:line="360" w:lineRule="auto"/>
        <w:jc w:val="both"/>
        <w:rPr>
          <w:sz w:val="24"/>
          <w:szCs w:val="24"/>
        </w:rPr>
      </w:pPr>
      <w:r w:rsidRPr="00C225CB">
        <w:rPr>
          <w:sz w:val="24"/>
          <w:szCs w:val="24"/>
        </w:rPr>
        <w:t>Finland’s ownership policy, outlined in the "Government Resolution on State Ownership Policy of 13 May 2016," mandates that companies exemplify value leadership and corporate social responsibility as integral components of their corporate values, and obligates them to "contribute to the long-term development and renewal of society."</w:t>
      </w:r>
    </w:p>
    <w:p w14:paraId="34021CB8" w14:textId="77777777" w:rsidR="00C225CB" w:rsidRDefault="007E1184" w:rsidP="007E1184">
      <w:pPr>
        <w:pStyle w:val="a9"/>
        <w:numPr>
          <w:ilvl w:val="0"/>
          <w:numId w:val="22"/>
        </w:numPr>
        <w:spacing w:line="360" w:lineRule="auto"/>
        <w:jc w:val="both"/>
        <w:rPr>
          <w:sz w:val="24"/>
          <w:szCs w:val="24"/>
        </w:rPr>
      </w:pPr>
      <w:r w:rsidRPr="00C225CB">
        <w:rPr>
          <w:sz w:val="24"/>
          <w:szCs w:val="24"/>
        </w:rPr>
        <w:t>In 2018, the South Korean government identified “public institutions as a driving force for achieving social values,” incorporating this into one of the 100 key national tasks in its five-year administrative plan. The government has established a set of indicators to assess the performance of SOEs and new public institutions in areas such as human rights, ethical management, occupational safety, environmental conservation, and social integration.</w:t>
      </w:r>
    </w:p>
    <w:p w14:paraId="6DE21B40" w14:textId="2B0D1417" w:rsidR="00815CC2" w:rsidRDefault="007E1184" w:rsidP="007E1184">
      <w:pPr>
        <w:pStyle w:val="a9"/>
        <w:numPr>
          <w:ilvl w:val="0"/>
          <w:numId w:val="22"/>
        </w:numPr>
        <w:spacing w:line="360" w:lineRule="auto"/>
        <w:jc w:val="both"/>
        <w:rPr>
          <w:sz w:val="24"/>
          <w:szCs w:val="24"/>
        </w:rPr>
      </w:pPr>
      <w:r w:rsidRPr="00C225CB">
        <w:rPr>
          <w:sz w:val="24"/>
          <w:szCs w:val="24"/>
        </w:rPr>
        <w:t xml:space="preserve">In Switzerland, the Federal Council issued an official position paper on corporate social responsibility in 2015, titled "RSE - Position et Plan </w:t>
      </w:r>
      <w:proofErr w:type="spellStart"/>
      <w:r w:rsidRPr="00C225CB">
        <w:rPr>
          <w:sz w:val="24"/>
          <w:szCs w:val="24"/>
        </w:rPr>
        <w:t>d’Action</w:t>
      </w:r>
      <w:proofErr w:type="spellEnd"/>
      <w:r w:rsidRPr="00C225CB">
        <w:rPr>
          <w:sz w:val="24"/>
          <w:szCs w:val="24"/>
        </w:rPr>
        <w:t xml:space="preserve"> du Conseil </w:t>
      </w:r>
      <w:proofErr w:type="spellStart"/>
      <w:r w:rsidRPr="00C225CB">
        <w:rPr>
          <w:sz w:val="24"/>
          <w:szCs w:val="24"/>
        </w:rPr>
        <w:t>Fédéral</w:t>
      </w:r>
      <w:proofErr w:type="spellEnd"/>
      <w:r w:rsidRPr="00C225CB">
        <w:rPr>
          <w:sz w:val="24"/>
          <w:szCs w:val="24"/>
        </w:rPr>
        <w:t>." This document asserts that the Swiss Confederation should serve as a role model</w:t>
      </w:r>
      <w:r w:rsidR="00C225CB" w:rsidRPr="00C225CB">
        <w:rPr>
          <w:rFonts w:hint="eastAsia"/>
          <w:sz w:val="24"/>
          <w:szCs w:val="24"/>
        </w:rPr>
        <w:t xml:space="preserve"> </w:t>
      </w:r>
      <w:r w:rsidR="00686EBC" w:rsidRPr="00C225CB">
        <w:rPr>
          <w:sz w:val="24"/>
          <w:szCs w:val="24"/>
        </w:rPr>
        <w:t>when</w:t>
      </w:r>
      <w:r w:rsidR="00C225CB" w:rsidRPr="00C225CB">
        <w:rPr>
          <w:rFonts w:hint="eastAsia"/>
          <w:sz w:val="24"/>
          <w:szCs w:val="24"/>
        </w:rPr>
        <w:t xml:space="preserve"> </w:t>
      </w:r>
      <w:r w:rsidRPr="00C225CB">
        <w:rPr>
          <w:sz w:val="24"/>
          <w:szCs w:val="24"/>
        </w:rPr>
        <w:t>exercising ownership rights over state-owned companies.</w:t>
      </w:r>
    </w:p>
    <w:p w14:paraId="3C7B9F06" w14:textId="77777777" w:rsidR="00815CC2" w:rsidRDefault="007E1184" w:rsidP="00154779">
      <w:pPr>
        <w:pStyle w:val="a9"/>
        <w:numPr>
          <w:ilvl w:val="0"/>
          <w:numId w:val="22"/>
        </w:numPr>
        <w:spacing w:line="360" w:lineRule="auto"/>
        <w:jc w:val="both"/>
        <w:rPr>
          <w:sz w:val="24"/>
          <w:szCs w:val="24"/>
        </w:rPr>
      </w:pPr>
      <w:r w:rsidRPr="00815CC2">
        <w:rPr>
          <w:sz w:val="24"/>
          <w:szCs w:val="24"/>
        </w:rPr>
        <w:t xml:space="preserve">In New Zealand, the </w:t>
      </w:r>
      <w:r w:rsidR="00815CC2" w:rsidRPr="00815CC2">
        <w:rPr>
          <w:rFonts w:hint="eastAsia"/>
          <w:sz w:val="24"/>
          <w:szCs w:val="24"/>
        </w:rPr>
        <w:t>SOE</w:t>
      </w:r>
      <w:r w:rsidRPr="00815CC2">
        <w:rPr>
          <w:sz w:val="24"/>
          <w:szCs w:val="24"/>
        </w:rPr>
        <w:t xml:space="preserve"> Act requires every SOE to demonstrate social responsibility by considering the interests of the communities in which they operate and by striving to accommodate or encourage these interests whenever possible. SOEs are expected to set and report on CSR objectives with the same level of importance as their financial objectives.</w:t>
      </w:r>
    </w:p>
    <w:p w14:paraId="5E6EA24A" w14:textId="561D48B8" w:rsidR="00154779" w:rsidRPr="00AD166B" w:rsidRDefault="00815CC2" w:rsidP="00154779">
      <w:pPr>
        <w:pStyle w:val="a9"/>
        <w:numPr>
          <w:ilvl w:val="0"/>
          <w:numId w:val="22"/>
        </w:numPr>
        <w:spacing w:line="360" w:lineRule="auto"/>
        <w:jc w:val="both"/>
        <w:rPr>
          <w:sz w:val="22"/>
          <w:szCs w:val="22"/>
        </w:rPr>
      </w:pPr>
      <w:r w:rsidRPr="00815CC2">
        <w:rPr>
          <w:rFonts w:hint="eastAsia"/>
          <w:sz w:val="24"/>
          <w:szCs w:val="24"/>
        </w:rPr>
        <w:t>I</w:t>
      </w:r>
      <w:r w:rsidR="00154779" w:rsidRPr="00815CC2">
        <w:rPr>
          <w:sz w:val="24"/>
          <w:szCs w:val="24"/>
        </w:rPr>
        <w:t xml:space="preserve">n Peru, one of the </w:t>
      </w:r>
      <w:r w:rsidRPr="00815CC2">
        <w:rPr>
          <w:sz w:val="24"/>
          <w:szCs w:val="24"/>
        </w:rPr>
        <w:t>country’s</w:t>
      </w:r>
      <w:r w:rsidR="00154779" w:rsidRPr="00815CC2">
        <w:rPr>
          <w:sz w:val="24"/>
          <w:szCs w:val="24"/>
        </w:rPr>
        <w:t xml:space="preserve"> most vulnerable to climate change, high governance standards for SOEs are central to their efforts. When the central ownership unit was established, addressing sustainability issues was explicitly highlighted. Within a broader ownership framework, the ownership unit focuses on 1) impact analysis of SOE sustainability programs, 2) developing project frameworks to enhance SOE sustainability, and 3) providing technical support for SOEs to develop sustainability programs.</w:t>
      </w:r>
    </w:p>
    <w:p w14:paraId="322A363A" w14:textId="77777777" w:rsidR="00AD166B" w:rsidRDefault="00AD166B" w:rsidP="009A1D76">
      <w:pPr>
        <w:pStyle w:val="a9"/>
        <w:spacing w:line="360" w:lineRule="auto"/>
        <w:jc w:val="both"/>
        <w:rPr>
          <w:sz w:val="22"/>
          <w:szCs w:val="22"/>
        </w:rPr>
      </w:pPr>
    </w:p>
    <w:p w14:paraId="716CFEB0" w14:textId="77777777" w:rsidR="009A1D76" w:rsidRPr="00815CC2" w:rsidRDefault="009A1D76" w:rsidP="009A1D76">
      <w:pPr>
        <w:pStyle w:val="a9"/>
        <w:spacing w:line="360" w:lineRule="auto"/>
        <w:jc w:val="both"/>
        <w:rPr>
          <w:sz w:val="22"/>
          <w:szCs w:val="22"/>
        </w:rPr>
      </w:pPr>
    </w:p>
    <w:p w14:paraId="08A650AB" w14:textId="6DC13BB2" w:rsidR="00154779" w:rsidRPr="00AD166B" w:rsidRDefault="00AD166B" w:rsidP="00316559">
      <w:pPr>
        <w:rPr>
          <w:b/>
          <w:bCs/>
          <w:i/>
          <w:iCs/>
        </w:rPr>
      </w:pPr>
      <w:r w:rsidRPr="00AD166B">
        <w:rPr>
          <w:b/>
          <w:bCs/>
          <w:i/>
          <w:iCs/>
        </w:rPr>
        <w:t>Summary of the chapter</w:t>
      </w:r>
    </w:p>
    <w:p w14:paraId="74AC53C9" w14:textId="1FF10400" w:rsidR="009A1D76" w:rsidRPr="009A1D76" w:rsidRDefault="009A1D76" w:rsidP="009A1D76">
      <w:pPr>
        <w:spacing w:line="360" w:lineRule="auto"/>
        <w:jc w:val="both"/>
        <w:rPr>
          <w:b/>
          <w:bCs/>
          <w:i/>
          <w:iCs/>
        </w:rPr>
      </w:pPr>
    </w:p>
    <w:p w14:paraId="1E44B49E" w14:textId="0EB51022" w:rsidR="009A1D76" w:rsidRPr="009A1D76" w:rsidRDefault="009A1D76" w:rsidP="009A1D76">
      <w:pPr>
        <w:pStyle w:val="a9"/>
        <w:numPr>
          <w:ilvl w:val="1"/>
          <w:numId w:val="27"/>
        </w:numPr>
        <w:spacing w:line="360" w:lineRule="auto"/>
        <w:jc w:val="both"/>
        <w:rPr>
          <w:b/>
          <w:bCs/>
          <w:sz w:val="24"/>
          <w:szCs w:val="24"/>
        </w:rPr>
      </w:pPr>
      <w:r w:rsidRPr="009A1D76">
        <w:rPr>
          <w:b/>
          <w:bCs/>
          <w:sz w:val="24"/>
          <w:szCs w:val="24"/>
        </w:rPr>
        <w:t>Theories on CSR</w:t>
      </w:r>
    </w:p>
    <w:p w14:paraId="4CD1CC24" w14:textId="77777777" w:rsidR="009A1D76" w:rsidRPr="009A1D76" w:rsidRDefault="009A1D76" w:rsidP="009A1D76">
      <w:pPr>
        <w:spacing w:line="360" w:lineRule="auto"/>
        <w:jc w:val="both"/>
        <w:rPr>
          <w:sz w:val="24"/>
          <w:szCs w:val="24"/>
        </w:rPr>
      </w:pPr>
      <w:r w:rsidRPr="009A1D76">
        <w:rPr>
          <w:sz w:val="24"/>
          <w:szCs w:val="24"/>
        </w:rPr>
        <w:t>Corporate Social Responsibility (CSR) is interpreted through various theoretical lenses, with stakeholder theory, legitimacy theory, and resource-based theory being the most prominent. Stakeholder theory, as articulated by Freeman (1984), emphasizes the importance of managing relationships with all groups affecting or affected by the firm's objectives. This theory asserts that businesses must generate value for all stakeholders, not just shareholders. Rising interest in CSR activities is driven by stakeholder demands, with significant percentages of consumers and investors favoring companies committed to social and environmental improvements.</w:t>
      </w:r>
    </w:p>
    <w:p w14:paraId="10AFA025" w14:textId="77777777" w:rsidR="009A1D76" w:rsidRPr="009A1D76" w:rsidRDefault="009A1D76" w:rsidP="009A1D76">
      <w:pPr>
        <w:spacing w:line="360" w:lineRule="auto"/>
        <w:jc w:val="both"/>
        <w:rPr>
          <w:sz w:val="24"/>
          <w:szCs w:val="24"/>
        </w:rPr>
      </w:pPr>
      <w:r w:rsidRPr="009A1D76">
        <w:rPr>
          <w:sz w:val="24"/>
          <w:szCs w:val="24"/>
        </w:rPr>
        <w:t>Legitimacy theory revolves around the concept of a social contract between businesses and society, positing that companies must align their operations with societal values and norms to maintain legitimacy, justifying transparency in CSR activities.</w:t>
      </w:r>
    </w:p>
    <w:p w14:paraId="4CBDC45D" w14:textId="77777777" w:rsidR="009A1D76" w:rsidRPr="009A1D76" w:rsidRDefault="009A1D76" w:rsidP="009A1D76">
      <w:pPr>
        <w:spacing w:line="360" w:lineRule="auto"/>
        <w:jc w:val="both"/>
        <w:rPr>
          <w:sz w:val="24"/>
          <w:szCs w:val="24"/>
        </w:rPr>
      </w:pPr>
      <w:r w:rsidRPr="009A1D76">
        <w:rPr>
          <w:sz w:val="24"/>
          <w:szCs w:val="24"/>
        </w:rPr>
        <w:t>Resource-based theory, introduced by Wernerfelt (1984) and expanded by Barney (1991), highlights the competitive advantage derived from unique, valuable, and inimitable resources. CSR practices, viewed as intangible resources, can provide a sustainable competitive edge, reinforcing the rationale for businesses to engage in and disclose CSR initiatives.</w:t>
      </w:r>
    </w:p>
    <w:p w14:paraId="2723124E" w14:textId="77777777" w:rsidR="009A1D76" w:rsidRPr="009A1D76" w:rsidRDefault="009A1D76" w:rsidP="009A1D76">
      <w:pPr>
        <w:spacing w:line="360" w:lineRule="auto"/>
        <w:jc w:val="both"/>
        <w:rPr>
          <w:sz w:val="24"/>
          <w:szCs w:val="24"/>
        </w:rPr>
      </w:pPr>
    </w:p>
    <w:p w14:paraId="0782111B" w14:textId="42D563A2" w:rsidR="009A1D76" w:rsidRPr="009A1D76" w:rsidRDefault="009A1D76" w:rsidP="009A1D76">
      <w:pPr>
        <w:pStyle w:val="a9"/>
        <w:numPr>
          <w:ilvl w:val="1"/>
          <w:numId w:val="27"/>
        </w:numPr>
        <w:spacing w:line="360" w:lineRule="auto"/>
        <w:jc w:val="both"/>
        <w:rPr>
          <w:b/>
          <w:bCs/>
          <w:sz w:val="24"/>
          <w:szCs w:val="24"/>
        </w:rPr>
      </w:pPr>
      <w:r w:rsidRPr="009A1D76">
        <w:rPr>
          <w:b/>
          <w:bCs/>
          <w:sz w:val="24"/>
          <w:szCs w:val="24"/>
        </w:rPr>
        <w:t>Benefits of CSR to Enterprises</w:t>
      </w:r>
    </w:p>
    <w:p w14:paraId="23D6F953" w14:textId="77777777" w:rsidR="009A1D76" w:rsidRPr="009A1D76" w:rsidRDefault="009A1D76" w:rsidP="009A1D76">
      <w:pPr>
        <w:spacing w:line="360" w:lineRule="auto"/>
        <w:jc w:val="both"/>
        <w:rPr>
          <w:sz w:val="24"/>
          <w:szCs w:val="24"/>
        </w:rPr>
      </w:pPr>
      <w:r w:rsidRPr="009A1D76">
        <w:rPr>
          <w:sz w:val="24"/>
          <w:szCs w:val="24"/>
        </w:rPr>
        <w:t xml:space="preserve">CSR activities offer numerous benefits, including cost savings, risk mitigation, and value enhancement. For investors, companies with strong ESG performance are perceived as less risky and better positioned for long-term success. Surveys indicate that </w:t>
      </w:r>
      <w:proofErr w:type="gramStart"/>
      <w:r w:rsidRPr="009A1D76">
        <w:rPr>
          <w:sz w:val="24"/>
          <w:szCs w:val="24"/>
        </w:rPr>
        <w:t>a majority of</w:t>
      </w:r>
      <w:proofErr w:type="gramEnd"/>
      <w:r w:rsidRPr="009A1D76">
        <w:rPr>
          <w:sz w:val="24"/>
          <w:szCs w:val="24"/>
        </w:rPr>
        <w:t xml:space="preserve"> chief investment officers consider ESG factors in their investment decisions. For employees, higher ESG scores correlate with better satisfaction and talent attraction, especially among Millennials and Gen Z, who prioritize environmental and social concerns. For customers, a company's ESG performance can influence consumer choices, particularly regarding environmental and social indicators.</w:t>
      </w:r>
    </w:p>
    <w:p w14:paraId="0927A7B1" w14:textId="77777777" w:rsidR="009A1D76" w:rsidRPr="009A1D76" w:rsidRDefault="009A1D76" w:rsidP="009A1D76">
      <w:pPr>
        <w:spacing w:line="360" w:lineRule="auto"/>
        <w:jc w:val="both"/>
        <w:rPr>
          <w:sz w:val="24"/>
          <w:szCs w:val="24"/>
        </w:rPr>
      </w:pPr>
    </w:p>
    <w:p w14:paraId="5158F02A" w14:textId="70D418AB" w:rsidR="009A1D76" w:rsidRPr="00845FEE" w:rsidRDefault="009A1D76" w:rsidP="00845FEE">
      <w:pPr>
        <w:pStyle w:val="a9"/>
        <w:numPr>
          <w:ilvl w:val="1"/>
          <w:numId w:val="27"/>
        </w:numPr>
        <w:spacing w:line="360" w:lineRule="auto"/>
        <w:jc w:val="both"/>
        <w:rPr>
          <w:b/>
          <w:bCs/>
          <w:sz w:val="24"/>
          <w:szCs w:val="24"/>
        </w:rPr>
      </w:pPr>
      <w:r w:rsidRPr="00845FEE">
        <w:rPr>
          <w:b/>
          <w:bCs/>
          <w:sz w:val="24"/>
          <w:szCs w:val="24"/>
        </w:rPr>
        <w:t>Communication of CSR with Stakeholders</w:t>
      </w:r>
    </w:p>
    <w:p w14:paraId="5C02644E" w14:textId="77777777" w:rsidR="009A1D76" w:rsidRPr="009A1D76" w:rsidRDefault="009A1D76" w:rsidP="009A1D76">
      <w:pPr>
        <w:spacing w:line="360" w:lineRule="auto"/>
        <w:jc w:val="both"/>
        <w:rPr>
          <w:sz w:val="24"/>
          <w:szCs w:val="24"/>
        </w:rPr>
      </w:pPr>
      <w:r w:rsidRPr="009A1D76">
        <w:rPr>
          <w:sz w:val="24"/>
          <w:szCs w:val="24"/>
        </w:rPr>
        <w:t>Effective CSR communication is critical for engaging stakeholders. Sustainability reports and ESG ratings are key components. Sustainability reports offer transparency and detail a company's CSR activities, enhancing reputation and aiding investors in decision-making. ESG ratings, which rely on these reports, provide a comparative understanding of a company's sustainability performance, with many investors using these ratings in their investment processes.</w:t>
      </w:r>
    </w:p>
    <w:p w14:paraId="62CEF780" w14:textId="77777777" w:rsidR="009A1D76" w:rsidRPr="009A1D76" w:rsidRDefault="009A1D76" w:rsidP="009A1D76">
      <w:pPr>
        <w:spacing w:line="360" w:lineRule="auto"/>
        <w:jc w:val="both"/>
        <w:rPr>
          <w:sz w:val="24"/>
          <w:szCs w:val="24"/>
        </w:rPr>
      </w:pPr>
    </w:p>
    <w:p w14:paraId="38F9CA4F" w14:textId="08F843B4" w:rsidR="009A1D76" w:rsidRPr="00845FEE" w:rsidRDefault="009A1D76" w:rsidP="00845FEE">
      <w:pPr>
        <w:pStyle w:val="a9"/>
        <w:numPr>
          <w:ilvl w:val="1"/>
          <w:numId w:val="27"/>
        </w:numPr>
        <w:spacing w:line="360" w:lineRule="auto"/>
        <w:jc w:val="both"/>
        <w:rPr>
          <w:b/>
          <w:bCs/>
          <w:sz w:val="24"/>
          <w:szCs w:val="24"/>
        </w:rPr>
      </w:pPr>
      <w:r w:rsidRPr="00845FEE">
        <w:rPr>
          <w:b/>
          <w:bCs/>
          <w:sz w:val="24"/>
          <w:szCs w:val="24"/>
        </w:rPr>
        <w:t>Influence of Ownership on CSR</w:t>
      </w:r>
    </w:p>
    <w:p w14:paraId="61D30640" w14:textId="77777777" w:rsidR="009A1D76" w:rsidRPr="009A1D76" w:rsidRDefault="009A1D76" w:rsidP="009A1D76">
      <w:pPr>
        <w:spacing w:line="360" w:lineRule="auto"/>
        <w:jc w:val="both"/>
        <w:rPr>
          <w:sz w:val="24"/>
          <w:szCs w:val="24"/>
        </w:rPr>
      </w:pPr>
      <w:r w:rsidRPr="009A1D76">
        <w:rPr>
          <w:sz w:val="24"/>
          <w:szCs w:val="24"/>
        </w:rPr>
        <w:t>State-owned enterprises (SOEs) in OECD countries are increasingly seen as leaders in promoting sustainable practices. Governments integrate sustainable development goals into their ownership policies, ensuring SOEs align with societal expectations. Examples from Finland, South Korea, Switzerland, New Zealand, and Peru show how national practices mandate SOEs to prioritize CSR alongside financial objectives, often serving as models for private enterprises.</w:t>
      </w:r>
    </w:p>
    <w:p w14:paraId="77A39F03" w14:textId="77777777" w:rsidR="009A1D76" w:rsidRPr="009A1D76" w:rsidRDefault="009A1D76" w:rsidP="009A1D76">
      <w:pPr>
        <w:spacing w:line="360" w:lineRule="auto"/>
        <w:jc w:val="both"/>
        <w:rPr>
          <w:sz w:val="24"/>
          <w:szCs w:val="24"/>
        </w:rPr>
      </w:pPr>
    </w:p>
    <w:p w14:paraId="5B182728" w14:textId="2AF0B8C5" w:rsidR="009A1D76" w:rsidRPr="00845FEE" w:rsidRDefault="009A1D76" w:rsidP="009A1D76">
      <w:pPr>
        <w:spacing w:line="360" w:lineRule="auto"/>
        <w:jc w:val="both"/>
        <w:rPr>
          <w:b/>
          <w:bCs/>
          <w:sz w:val="24"/>
          <w:szCs w:val="24"/>
        </w:rPr>
      </w:pPr>
      <w:r w:rsidRPr="00845FEE">
        <w:rPr>
          <w:b/>
          <w:bCs/>
          <w:sz w:val="24"/>
          <w:szCs w:val="24"/>
        </w:rPr>
        <w:t>Conclusion</w:t>
      </w:r>
    </w:p>
    <w:p w14:paraId="7999A802" w14:textId="77777777" w:rsidR="00DF7CCB" w:rsidRDefault="009A1D76" w:rsidP="009A1D76">
      <w:pPr>
        <w:spacing w:line="360" w:lineRule="auto"/>
        <w:jc w:val="both"/>
        <w:rPr>
          <w:sz w:val="24"/>
          <w:szCs w:val="24"/>
        </w:rPr>
      </w:pPr>
      <w:r w:rsidRPr="009A1D76">
        <w:rPr>
          <w:sz w:val="24"/>
          <w:szCs w:val="24"/>
        </w:rPr>
        <w:t>The theories and practices outlined in this chapter provide a robust framework for understanding why companies engage in and disclose CSR activities. The integration of stakeholder expectations, the pursuit of legitimacy, and the leveraging of unique resources underscore the strategic importance of CSR in contemporary business environments. This theoretical foundation will guide the subsequent analysis and arguments in this research.</w:t>
      </w:r>
    </w:p>
    <w:p w14:paraId="3CE85619" w14:textId="19EB7950" w:rsidR="0074216F" w:rsidRPr="00F3690F" w:rsidRDefault="009A1D76" w:rsidP="009A1D76">
      <w:pPr>
        <w:spacing w:line="360" w:lineRule="auto"/>
        <w:jc w:val="both"/>
        <w:rPr>
          <w:b/>
          <w:bCs/>
          <w:i/>
          <w:iCs/>
        </w:rPr>
      </w:pPr>
      <w:r w:rsidRPr="009A1D76">
        <w:rPr>
          <w:sz w:val="24"/>
          <w:szCs w:val="24"/>
        </w:rPr>
        <w:br/>
      </w:r>
      <w:r>
        <w:rPr>
          <w:b/>
          <w:bCs/>
          <w:i/>
          <w:iCs/>
        </w:rPr>
        <w:br/>
      </w:r>
      <w:r>
        <w:rPr>
          <w:b/>
          <w:bCs/>
          <w:i/>
          <w:iCs/>
        </w:rPr>
        <w:br/>
      </w:r>
      <w:r>
        <w:rPr>
          <w:b/>
          <w:bCs/>
          <w:i/>
          <w:iCs/>
        </w:rPr>
        <w:br/>
      </w:r>
    </w:p>
    <w:p w14:paraId="09BC93EC" w14:textId="6D299D28" w:rsidR="00B10856" w:rsidRDefault="0074216F" w:rsidP="0068667F">
      <w:pPr>
        <w:pStyle w:val="1"/>
        <w:tabs>
          <w:tab w:val="left" w:pos="270"/>
        </w:tabs>
        <w:jc w:val="left"/>
        <w:rPr>
          <w:rFonts w:ascii="Times New Roman" w:hAnsi="Times New Roman"/>
          <w:sz w:val="32"/>
          <w:szCs w:val="32"/>
        </w:rPr>
      </w:pPr>
      <w:bookmarkStart w:id="8" w:name="_Toc167663312"/>
      <w:r>
        <w:rPr>
          <w:rFonts w:ascii="Times New Roman" w:hAnsi="Times New Roman" w:hint="eastAsia"/>
          <w:sz w:val="32"/>
          <w:szCs w:val="32"/>
          <w:lang w:eastAsia="ja-JP"/>
        </w:rPr>
        <w:t xml:space="preserve">Chapter 2. </w:t>
      </w:r>
      <w:r w:rsidR="0018549A" w:rsidRPr="00B10856">
        <w:rPr>
          <w:rFonts w:ascii="Times New Roman" w:hAnsi="Times New Roman"/>
          <w:sz w:val="32"/>
          <w:szCs w:val="32"/>
        </w:rPr>
        <w:t>Background on CSR and Role of State in Russia and China</w:t>
      </w:r>
      <w:bookmarkEnd w:id="8"/>
    </w:p>
    <w:p w14:paraId="5BBFA6BC" w14:textId="77777777" w:rsidR="00BB55ED" w:rsidRPr="00BB55ED" w:rsidRDefault="00BB55ED" w:rsidP="00C33B60">
      <w:pPr>
        <w:ind w:left="1800" w:hanging="1620"/>
        <w:rPr>
          <w:lang w:eastAsia="en-US"/>
        </w:rPr>
      </w:pPr>
    </w:p>
    <w:p w14:paraId="4A91FD4F" w14:textId="277F7BB2" w:rsidR="00506D91" w:rsidRPr="00DA74CE" w:rsidRDefault="00DA74CE" w:rsidP="00DA74CE">
      <w:pPr>
        <w:pStyle w:val="2"/>
        <w:numPr>
          <w:ilvl w:val="1"/>
          <w:numId w:val="7"/>
        </w:numPr>
        <w:tabs>
          <w:tab w:val="left" w:pos="900"/>
        </w:tabs>
        <w:ind w:hanging="1800"/>
        <w:jc w:val="both"/>
        <w:rPr>
          <w:rFonts w:ascii="Times New Roman" w:hAnsi="Times New Roman"/>
          <w:i/>
          <w:iCs/>
        </w:rPr>
      </w:pPr>
      <w:bookmarkStart w:id="9" w:name="_Toc167663313"/>
      <w:r>
        <w:rPr>
          <w:rFonts w:ascii="Times New Roman" w:hAnsi="Times New Roman" w:hint="eastAsia"/>
          <w:i/>
          <w:iCs/>
          <w:lang w:eastAsia="ja-JP"/>
        </w:rPr>
        <w:t>Russia and China</w:t>
      </w:r>
      <w:r w:rsidR="007429D4">
        <w:rPr>
          <w:rFonts w:ascii="Times New Roman" w:hAnsi="Times New Roman"/>
          <w:i/>
          <w:iCs/>
          <w:lang w:eastAsia="ja-JP"/>
        </w:rPr>
        <w:t xml:space="preserve">: </w:t>
      </w:r>
      <w:r w:rsidR="004136BB">
        <w:rPr>
          <w:rFonts w:ascii="Times New Roman" w:hAnsi="Times New Roman"/>
          <w:i/>
          <w:iCs/>
          <w:lang w:eastAsia="ja-JP"/>
        </w:rPr>
        <w:t xml:space="preserve">choice of </w:t>
      </w:r>
      <w:r w:rsidR="007429D4">
        <w:rPr>
          <w:rFonts w:ascii="Times New Roman" w:hAnsi="Times New Roman"/>
          <w:i/>
          <w:iCs/>
          <w:lang w:eastAsia="ja-JP"/>
        </w:rPr>
        <w:t>countries for analysis</w:t>
      </w:r>
      <w:bookmarkEnd w:id="9"/>
      <w:r w:rsidR="007429D4">
        <w:rPr>
          <w:rFonts w:ascii="Times New Roman" w:hAnsi="Times New Roman"/>
          <w:i/>
          <w:iCs/>
          <w:lang w:eastAsia="ja-JP"/>
        </w:rPr>
        <w:t xml:space="preserve"> </w:t>
      </w:r>
    </w:p>
    <w:p w14:paraId="439A308E" w14:textId="77777777" w:rsidR="00F76AB5" w:rsidRPr="00F76AB5" w:rsidRDefault="00F76AB5" w:rsidP="00F76AB5">
      <w:pPr>
        <w:spacing w:line="360" w:lineRule="auto"/>
        <w:jc w:val="both"/>
        <w:rPr>
          <w:sz w:val="24"/>
          <w:szCs w:val="24"/>
        </w:rPr>
      </w:pPr>
      <w:r w:rsidRPr="00F76AB5">
        <w:rPr>
          <w:sz w:val="24"/>
          <w:szCs w:val="24"/>
        </w:rPr>
        <w:t>Mohd (2007) examined the effect of ownership structure on corporate social responsibility (CSR) disclosure in Malaysian companies' annual reports (CARs). Using a CSR disclosure checklist, the study assessed the extent of CSR disclosure and analyzed the relationship between ownership structure and CSR disclosure through multiple regression analysis. The findings revealed that firms with a high proportion of director ownership (owner-managed firms) disclosed significantly less CSR information, whereas companies with substantial government ownership disclosed significantly more CSR information in their annual reports.</w:t>
      </w:r>
    </w:p>
    <w:p w14:paraId="33E9DAD4" w14:textId="77777777" w:rsidR="00F76AB5" w:rsidRPr="00F76AB5" w:rsidRDefault="00F76AB5" w:rsidP="00F76AB5">
      <w:pPr>
        <w:spacing w:line="360" w:lineRule="auto"/>
        <w:jc w:val="both"/>
        <w:rPr>
          <w:sz w:val="24"/>
          <w:szCs w:val="24"/>
        </w:rPr>
      </w:pPr>
      <w:proofErr w:type="spellStart"/>
      <w:r w:rsidRPr="00F76AB5">
        <w:rPr>
          <w:sz w:val="24"/>
          <w:szCs w:val="24"/>
        </w:rPr>
        <w:t>Nugraheni</w:t>
      </w:r>
      <w:proofErr w:type="spellEnd"/>
      <w:r w:rsidRPr="00F76AB5">
        <w:rPr>
          <w:sz w:val="24"/>
          <w:szCs w:val="24"/>
        </w:rPr>
        <w:t xml:space="preserve"> et al. (2022) investigated the influence of ownership structure on CSR disclosure in Indonesian companies. This study categorized ownership structure into managerial ownership, institutional investor ownership, general investor ownership, and foreign ownership. Conducted on companies listed on the Indonesia Stock Exchange within sensitive industry categories from 2017 to 2019, CSR disclosure was measured using the Global Reporting Initiative (GRI). The results indicated that institutional investor ownership positively impacted CSR disclosure, while managerial ownership, foreign ownership, and general investor ownership did not significantly affect CSR disclosure.</w:t>
      </w:r>
    </w:p>
    <w:p w14:paraId="496962AE" w14:textId="76827904" w:rsidR="007178E5" w:rsidRDefault="00BF0110" w:rsidP="00A70F1A">
      <w:pPr>
        <w:spacing w:line="360" w:lineRule="auto"/>
        <w:jc w:val="both"/>
        <w:rPr>
          <w:sz w:val="24"/>
          <w:szCs w:val="24"/>
        </w:rPr>
      </w:pPr>
      <w:r w:rsidRPr="00BF0110">
        <w:rPr>
          <w:sz w:val="24"/>
          <w:szCs w:val="24"/>
        </w:rPr>
        <w:t>Irina (2020) conducted a content analysis of corporate social responsibility (CSR) reports of Chinese state-owned enterprises (SOEs) and non-state-owned enterprises (non-SOEs). The analysis revealed an overall homogeneity in CSR reporting between Chinese SOEs and non-SOEs. This can be explained by coercive isomorphism on a national scale, where a complex system of incentives has been created to encourage both SOEs and non-SOEs to engage in socially responsible behavior and disclosure.</w:t>
      </w:r>
    </w:p>
    <w:p w14:paraId="219716B0" w14:textId="0B34ACCA" w:rsidR="007178E5" w:rsidRDefault="007178E5" w:rsidP="007178E5">
      <w:pPr>
        <w:spacing w:line="360" w:lineRule="auto"/>
        <w:jc w:val="both"/>
        <w:rPr>
          <w:sz w:val="24"/>
          <w:szCs w:val="24"/>
        </w:rPr>
      </w:pPr>
      <w:r w:rsidRPr="00F76AB5">
        <w:rPr>
          <w:sz w:val="24"/>
          <w:szCs w:val="24"/>
        </w:rPr>
        <w:t xml:space="preserve">The existing literature provides </w:t>
      </w:r>
      <w:r w:rsidR="00BF0110">
        <w:rPr>
          <w:rFonts w:hint="eastAsia"/>
          <w:sz w:val="24"/>
          <w:szCs w:val="24"/>
        </w:rPr>
        <w:t xml:space="preserve">two </w:t>
      </w:r>
      <w:r w:rsidR="00BF0110">
        <w:rPr>
          <w:sz w:val="24"/>
          <w:szCs w:val="24"/>
        </w:rPr>
        <w:t>different</w:t>
      </w:r>
      <w:r w:rsidR="00BF0110">
        <w:rPr>
          <w:rFonts w:hint="eastAsia"/>
          <w:sz w:val="24"/>
          <w:szCs w:val="24"/>
        </w:rPr>
        <w:t xml:space="preserve"> </w:t>
      </w:r>
      <w:r w:rsidRPr="00F76AB5">
        <w:rPr>
          <w:sz w:val="24"/>
          <w:szCs w:val="24"/>
        </w:rPr>
        <w:t xml:space="preserve">instances where state-owned enterprises (SOEs) have a greater influence on CSR than non-SOEs, </w:t>
      </w:r>
      <w:r w:rsidR="00BF0110">
        <w:rPr>
          <w:rFonts w:hint="eastAsia"/>
          <w:sz w:val="24"/>
          <w:szCs w:val="24"/>
        </w:rPr>
        <w:t xml:space="preserve">and </w:t>
      </w:r>
      <w:r w:rsidRPr="00F76AB5">
        <w:rPr>
          <w:sz w:val="24"/>
          <w:szCs w:val="24"/>
        </w:rPr>
        <w:t xml:space="preserve">where this is not necessarily the case, resulting in </w:t>
      </w:r>
      <w:r w:rsidR="00BF0110">
        <w:rPr>
          <w:rFonts w:hint="eastAsia"/>
          <w:sz w:val="24"/>
          <w:szCs w:val="24"/>
        </w:rPr>
        <w:t xml:space="preserve">unclear impact of ownership of company on CSR disclosure </w:t>
      </w:r>
      <w:r w:rsidRPr="00F76AB5">
        <w:rPr>
          <w:sz w:val="24"/>
          <w:szCs w:val="24"/>
        </w:rPr>
        <w:t>.</w:t>
      </w:r>
    </w:p>
    <w:p w14:paraId="496E33F2" w14:textId="77777777" w:rsidR="00F76AB5" w:rsidRDefault="00F76AB5" w:rsidP="00A70F1A">
      <w:pPr>
        <w:spacing w:line="360" w:lineRule="auto"/>
        <w:jc w:val="both"/>
        <w:rPr>
          <w:sz w:val="24"/>
          <w:szCs w:val="24"/>
        </w:rPr>
      </w:pPr>
    </w:p>
    <w:p w14:paraId="1E750AFA" w14:textId="22DF1EEB" w:rsidR="003379D4" w:rsidRPr="00276BEE" w:rsidRDefault="003379D4" w:rsidP="00CC2553">
      <w:pPr>
        <w:spacing w:line="360" w:lineRule="auto"/>
        <w:jc w:val="both"/>
        <w:rPr>
          <w:sz w:val="24"/>
          <w:szCs w:val="24"/>
        </w:rPr>
      </w:pPr>
      <w:r w:rsidRPr="003379D4">
        <w:rPr>
          <w:sz w:val="24"/>
          <w:szCs w:val="24"/>
        </w:rPr>
        <w:t>Furthermore, in an analysis conducted by Hsu et al. (2021) based on comprehensive data on the nationalization of publicly traded companies in 44 countries from 2004 to 2017, it was shown that state-owned enterprises (SOEs) have a higher capacity to address environmental issues</w:t>
      </w:r>
      <w:r w:rsidR="00D132EC">
        <w:rPr>
          <w:rFonts w:hint="eastAsia"/>
          <w:sz w:val="24"/>
          <w:szCs w:val="24"/>
        </w:rPr>
        <w:t xml:space="preserve"> overall </w:t>
      </w:r>
      <w:r w:rsidR="000B3D37" w:rsidRPr="003379D4">
        <w:rPr>
          <w:sz w:val="24"/>
          <w:szCs w:val="24"/>
        </w:rPr>
        <w:t xml:space="preserve">(see Figure </w:t>
      </w:r>
      <w:r w:rsidR="00B8175B">
        <w:rPr>
          <w:rFonts w:hint="eastAsia"/>
          <w:sz w:val="24"/>
          <w:szCs w:val="24"/>
        </w:rPr>
        <w:t>4</w:t>
      </w:r>
      <w:r w:rsidR="000B3D37" w:rsidRPr="003379D4">
        <w:rPr>
          <w:sz w:val="24"/>
          <w:szCs w:val="24"/>
        </w:rPr>
        <w:t>)</w:t>
      </w:r>
      <w:r w:rsidR="00D132EC">
        <w:rPr>
          <w:rFonts w:hint="eastAsia"/>
          <w:sz w:val="24"/>
          <w:szCs w:val="24"/>
        </w:rPr>
        <w:t xml:space="preserve">. </w:t>
      </w:r>
      <w:r w:rsidRPr="003379D4">
        <w:rPr>
          <w:sz w:val="24"/>
          <w:szCs w:val="24"/>
        </w:rPr>
        <w:t>Specifically, SOEs achieved higher scores in environmental performance</w:t>
      </w:r>
      <w:r>
        <w:rPr>
          <w:rFonts w:hint="eastAsia"/>
          <w:sz w:val="24"/>
          <w:szCs w:val="24"/>
        </w:rPr>
        <w:t xml:space="preserve"> - </w:t>
      </w:r>
      <w:r w:rsidRPr="003379D4">
        <w:rPr>
          <w:sz w:val="24"/>
          <w:szCs w:val="24"/>
        </w:rPr>
        <w:t>in emissions reduction, product innovation, and resource reduction. This effect is more pronounced in economic areas lacking energy security and stringent environmental regulations, as well as in companies with significant domestic government ownership. These findings indicate that SOEs can play a useful role, especially in addressing environmental externalities. In this context, Hsu et al. (2021) noted, “Especially from a Western perspective, SOEs often have a bad reputation, but this is partially offset by some SOEs that care about the environment</w:t>
      </w:r>
      <w:r w:rsidR="00CC2553">
        <w:rPr>
          <w:rFonts w:hint="eastAsia"/>
          <w:sz w:val="24"/>
          <w:szCs w:val="24"/>
        </w:rPr>
        <w:t xml:space="preserve"> </w:t>
      </w:r>
      <w:r w:rsidR="00CC2553">
        <w:rPr>
          <w:rFonts w:cs="Times New Roman"/>
          <w:sz w:val="24"/>
          <w:szCs w:val="24"/>
        </w:rPr>
        <w:t>…</w:t>
      </w:r>
      <w:r w:rsidRPr="003379D4">
        <w:rPr>
          <w:sz w:val="24"/>
          <w:szCs w:val="24"/>
        </w:rPr>
        <w:t>Therefore, the policy implication here is that SOEs have a certain leading role...Our research suggests evidence that SOEs can help address negative business impacts, such as pollution and climate change.”</w:t>
      </w:r>
      <w:r w:rsidR="00FD0554">
        <w:rPr>
          <w:rFonts w:hint="eastAsia"/>
          <w:sz w:val="24"/>
          <w:szCs w:val="24"/>
        </w:rPr>
        <w:t xml:space="preserve"> In addition, m</w:t>
      </w:r>
      <w:r w:rsidR="00FD0554" w:rsidRPr="00FD0554">
        <w:rPr>
          <w:sz w:val="24"/>
          <w:szCs w:val="24"/>
        </w:rPr>
        <w:t>odern SOEs in the Asia-Pacific region appear to be more effective than their private counterparts in addressing market failures, particularly issues related to environmental externalities. They achieve better outcomes without sacrificing shareholder returns.</w:t>
      </w:r>
    </w:p>
    <w:p w14:paraId="4A2DA765" w14:textId="77777777" w:rsidR="00CC2553" w:rsidRDefault="00CC2553" w:rsidP="00EE26EF">
      <w:pPr>
        <w:rPr>
          <w:sz w:val="24"/>
          <w:szCs w:val="24"/>
        </w:rPr>
      </w:pPr>
    </w:p>
    <w:p w14:paraId="0208E295" w14:textId="1940717C" w:rsidR="001A0F30" w:rsidRPr="000A3EFB" w:rsidRDefault="00474533" w:rsidP="000A3EFB">
      <w:pPr>
        <w:jc w:val="center"/>
        <w:rPr>
          <w:i/>
          <w:iCs/>
        </w:rPr>
      </w:pPr>
      <w:r>
        <w:rPr>
          <w:noProof/>
          <w:lang w:eastAsia="en-US"/>
        </w:rPr>
        <w:drawing>
          <wp:anchor distT="0" distB="0" distL="114300" distR="114300" simplePos="0" relativeHeight="251658256" behindDoc="0" locked="0" layoutInCell="1" allowOverlap="1" wp14:anchorId="20FD8C15" wp14:editId="4A19F262">
            <wp:simplePos x="0" y="0"/>
            <wp:positionH relativeFrom="margin">
              <wp:align>center</wp:align>
            </wp:positionH>
            <wp:positionV relativeFrom="paragraph">
              <wp:posOffset>474345</wp:posOffset>
            </wp:positionV>
            <wp:extent cx="5114925" cy="3963035"/>
            <wp:effectExtent l="0" t="0" r="0" b="0"/>
            <wp:wrapTopAndBottom/>
            <wp:docPr id="127047854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4925" cy="3963035"/>
                    </a:xfrm>
                    <a:prstGeom prst="rect">
                      <a:avLst/>
                    </a:prstGeom>
                    <a:noFill/>
                  </pic:spPr>
                </pic:pic>
              </a:graphicData>
            </a:graphic>
            <wp14:sizeRelH relativeFrom="margin">
              <wp14:pctWidth>0</wp14:pctWidth>
            </wp14:sizeRelH>
            <wp14:sizeRelV relativeFrom="margin">
              <wp14:pctHeight>0</wp14:pctHeight>
            </wp14:sizeRelV>
          </wp:anchor>
        </w:drawing>
      </w:r>
      <w:r w:rsidR="00CC2553">
        <w:rPr>
          <w:rFonts w:hint="eastAsia"/>
          <w:i/>
          <w:iCs/>
        </w:rPr>
        <w:t xml:space="preserve">Figure </w:t>
      </w:r>
      <w:r w:rsidR="00B8175B">
        <w:rPr>
          <w:rFonts w:hint="eastAsia"/>
          <w:i/>
          <w:iCs/>
        </w:rPr>
        <w:t>4</w:t>
      </w:r>
      <w:r w:rsidR="00CC2553">
        <w:rPr>
          <w:rFonts w:hint="eastAsia"/>
          <w:i/>
          <w:iCs/>
        </w:rPr>
        <w:t>.</w:t>
      </w:r>
      <w:r w:rsidR="00CC2553" w:rsidRPr="00CC2553">
        <w:t xml:space="preserve"> </w:t>
      </w:r>
      <w:r w:rsidR="00CC2553" w:rsidRPr="00CC2553">
        <w:rPr>
          <w:i/>
          <w:iCs/>
        </w:rPr>
        <w:t xml:space="preserve">Univariate comparison of average environmental scores </w:t>
      </w:r>
      <w:r w:rsidR="00CC2553">
        <w:rPr>
          <w:i/>
          <w:iCs/>
        </w:rPr>
        <w:br/>
      </w:r>
      <w:r w:rsidR="00CC2553" w:rsidRPr="00CC2553">
        <w:rPr>
          <w:i/>
          <w:iCs/>
        </w:rPr>
        <w:t>of SOEs and non-SOEs</w:t>
      </w:r>
    </w:p>
    <w:p w14:paraId="1BE17CE1" w14:textId="0817292B" w:rsidR="008E777C" w:rsidRPr="00FD0554" w:rsidRDefault="00FD0554" w:rsidP="00FD0554">
      <w:pPr>
        <w:spacing w:line="360" w:lineRule="auto"/>
        <w:jc w:val="both"/>
        <w:rPr>
          <w:sz w:val="24"/>
          <w:szCs w:val="24"/>
        </w:rPr>
      </w:pPr>
      <w:r w:rsidRPr="00FD0554">
        <w:rPr>
          <w:rFonts w:hint="eastAsia"/>
          <w:sz w:val="24"/>
          <w:szCs w:val="24"/>
        </w:rPr>
        <w:t>Based</w:t>
      </w:r>
      <w:r w:rsidR="00CC2553" w:rsidRPr="00FD0554">
        <w:rPr>
          <w:sz w:val="24"/>
          <w:szCs w:val="24"/>
        </w:rPr>
        <w:t xml:space="preserve"> on this observation, my research will expand on the fragmented CSR analyses of SOEs in emerging countries, specifically China and Russia, where government influence is considered stronger than in developed nations</w:t>
      </w:r>
      <w:r w:rsidRPr="00FD0554">
        <w:rPr>
          <w:rFonts w:hint="eastAsia"/>
          <w:sz w:val="24"/>
          <w:szCs w:val="24"/>
        </w:rPr>
        <w:t>, as well as t</w:t>
      </w:r>
      <w:r w:rsidR="00CC2553" w:rsidRPr="00FD0554">
        <w:rPr>
          <w:sz w:val="24"/>
          <w:szCs w:val="24"/>
        </w:rPr>
        <w:t>hese countries were found to have SOEs with a higher capacity to address environmental externalities compared to non-SOEs</w:t>
      </w:r>
      <w:r w:rsidRPr="00FD0554">
        <w:rPr>
          <w:rFonts w:hint="eastAsia"/>
          <w:sz w:val="24"/>
          <w:szCs w:val="24"/>
        </w:rPr>
        <w:t xml:space="preserve"> in research</w:t>
      </w:r>
      <w:r w:rsidR="00CC2553" w:rsidRPr="00FD0554">
        <w:rPr>
          <w:sz w:val="24"/>
          <w:szCs w:val="24"/>
        </w:rPr>
        <w:t>.</w:t>
      </w:r>
    </w:p>
    <w:p w14:paraId="419511B1" w14:textId="77777777" w:rsidR="008E777C" w:rsidRDefault="008E777C" w:rsidP="00EE26EF"/>
    <w:p w14:paraId="1F688386" w14:textId="77777777" w:rsidR="00474533" w:rsidRDefault="00474533" w:rsidP="00EE26EF"/>
    <w:p w14:paraId="0220CDB8" w14:textId="77777777" w:rsidR="00474533" w:rsidRDefault="00474533" w:rsidP="00EE26EF"/>
    <w:p w14:paraId="4C69F03D" w14:textId="77777777" w:rsidR="00474533" w:rsidRPr="00EE26EF" w:rsidRDefault="00474533" w:rsidP="00EE26EF"/>
    <w:p w14:paraId="5C6A6E00" w14:textId="6F3FFB6A" w:rsidR="00B10856" w:rsidRPr="00AD13B4" w:rsidRDefault="00B10856" w:rsidP="00B10856">
      <w:pPr>
        <w:pStyle w:val="2"/>
        <w:numPr>
          <w:ilvl w:val="1"/>
          <w:numId w:val="7"/>
        </w:numPr>
        <w:tabs>
          <w:tab w:val="left" w:pos="900"/>
        </w:tabs>
        <w:ind w:hanging="1800"/>
        <w:jc w:val="both"/>
        <w:rPr>
          <w:rFonts w:ascii="Times New Roman" w:hAnsi="Times New Roman"/>
          <w:i/>
          <w:iCs/>
        </w:rPr>
      </w:pPr>
      <w:bookmarkStart w:id="10" w:name="_Toc167663314"/>
      <w:r w:rsidRPr="00AD13B4">
        <w:rPr>
          <w:rFonts w:ascii="Times New Roman" w:hAnsi="Times New Roman"/>
          <w:i/>
          <w:iCs/>
        </w:rPr>
        <w:t xml:space="preserve">CSR and role of </w:t>
      </w:r>
      <w:r w:rsidR="004136BB">
        <w:rPr>
          <w:rFonts w:ascii="Times New Roman" w:hAnsi="Times New Roman"/>
          <w:i/>
          <w:iCs/>
        </w:rPr>
        <w:t xml:space="preserve">the </w:t>
      </w:r>
      <w:r w:rsidRPr="00AD13B4">
        <w:rPr>
          <w:rFonts w:ascii="Times New Roman" w:hAnsi="Times New Roman"/>
          <w:i/>
          <w:iCs/>
        </w:rPr>
        <w:t>state in Russia</w:t>
      </w:r>
      <w:bookmarkEnd w:id="10"/>
    </w:p>
    <w:p w14:paraId="1334CB0E" w14:textId="3373D49A" w:rsidR="006B6E56" w:rsidRDefault="006B6E56" w:rsidP="006B6E56">
      <w:pPr>
        <w:spacing w:line="360" w:lineRule="auto"/>
        <w:jc w:val="both"/>
        <w:rPr>
          <w:sz w:val="24"/>
          <w:szCs w:val="24"/>
        </w:rPr>
      </w:pPr>
      <w:r w:rsidRPr="006B6E56">
        <w:rPr>
          <w:sz w:val="24"/>
          <w:szCs w:val="24"/>
        </w:rPr>
        <w:t>Regarding the development of CSR in Russia, scholars argue that "</w:t>
      </w:r>
      <w:r w:rsidR="00920F4D" w:rsidRPr="00920F4D">
        <w:rPr>
          <w:sz w:val="24"/>
          <w:szCs w:val="24"/>
        </w:rPr>
        <w:t>distinctive characteristics of corporate social responsibility in Russian businesses</w:t>
      </w:r>
      <w:r w:rsidRPr="006B6E56">
        <w:rPr>
          <w:sz w:val="24"/>
          <w:szCs w:val="24"/>
        </w:rPr>
        <w:t>" (Polishchuk, 2009; Kuznetsov et al., 2009). These characteristics stem from a history where a strong absolutist state has dominated all aspects of social life.</w:t>
      </w:r>
    </w:p>
    <w:p w14:paraId="73FA01B1" w14:textId="7F163F34" w:rsidR="006B6E56" w:rsidRDefault="006B6E56" w:rsidP="006B6E56">
      <w:pPr>
        <w:spacing w:line="360" w:lineRule="auto"/>
        <w:jc w:val="both"/>
        <w:rPr>
          <w:sz w:val="24"/>
          <w:szCs w:val="24"/>
        </w:rPr>
      </w:pPr>
      <w:r w:rsidRPr="006B6E56">
        <w:rPr>
          <w:sz w:val="24"/>
          <w:szCs w:val="24"/>
        </w:rPr>
        <w:t xml:space="preserve">For instance, during the USSR era, the state provided social guarantees to citizens, and people's welfare often heavily depended on the enterprises they worked for. The term "concern for workers' demands" was </w:t>
      </w:r>
      <w:r w:rsidR="00960976">
        <w:rPr>
          <w:rFonts w:hint="eastAsia"/>
          <w:sz w:val="24"/>
          <w:szCs w:val="24"/>
        </w:rPr>
        <w:t>common</w:t>
      </w:r>
      <w:r w:rsidRPr="006B6E56">
        <w:rPr>
          <w:sz w:val="24"/>
          <w:szCs w:val="24"/>
        </w:rPr>
        <w:t>. Soviet enterprises were responsible for providing housing, food, medical care, and leisure activities for their workers. They owned the housing where workers</w:t>
      </w:r>
      <w:r w:rsidR="00920F4D">
        <w:rPr>
          <w:rFonts w:hint="eastAsia"/>
          <w:sz w:val="24"/>
          <w:szCs w:val="24"/>
        </w:rPr>
        <w:t xml:space="preserve"> used to</w:t>
      </w:r>
      <w:r w:rsidRPr="006B6E56">
        <w:rPr>
          <w:sz w:val="24"/>
          <w:szCs w:val="24"/>
        </w:rPr>
        <w:t xml:space="preserve"> live, hospitals, children's summer camps, </w:t>
      </w:r>
      <w:r w:rsidR="00920F4D">
        <w:rPr>
          <w:rFonts w:hint="eastAsia"/>
          <w:sz w:val="24"/>
          <w:szCs w:val="24"/>
        </w:rPr>
        <w:t>rest houses</w:t>
      </w:r>
      <w:r w:rsidRPr="006B6E56">
        <w:rPr>
          <w:sz w:val="24"/>
          <w:szCs w:val="24"/>
        </w:rPr>
        <w:t>, and cultural centers. These "</w:t>
      </w:r>
      <w:r w:rsidR="00920F4D">
        <w:rPr>
          <w:rFonts w:hint="eastAsia"/>
          <w:sz w:val="24"/>
          <w:szCs w:val="24"/>
        </w:rPr>
        <w:t>benefits</w:t>
      </w:r>
      <w:r w:rsidRPr="006B6E56">
        <w:rPr>
          <w:sz w:val="24"/>
          <w:szCs w:val="24"/>
        </w:rPr>
        <w:t>" were available not only to enterprise workers but also to residents of neighboring communities. By 1980, statistics indicated that 32 million people lived in apartments owned by enterprises, 30 million received medical care from enterprise-owned facilities, and 1.5 million children vacationed in</w:t>
      </w:r>
      <w:r w:rsidR="00920F4D">
        <w:rPr>
          <w:rFonts w:hint="eastAsia"/>
          <w:sz w:val="24"/>
          <w:szCs w:val="24"/>
        </w:rPr>
        <w:t xml:space="preserve"> </w:t>
      </w:r>
      <w:r w:rsidRPr="006B6E56">
        <w:rPr>
          <w:sz w:val="24"/>
          <w:szCs w:val="24"/>
        </w:rPr>
        <w:t xml:space="preserve">summer camps </w:t>
      </w:r>
      <w:r w:rsidR="00920F4D">
        <w:rPr>
          <w:rFonts w:hint="eastAsia"/>
          <w:sz w:val="24"/>
          <w:szCs w:val="24"/>
        </w:rPr>
        <w:t xml:space="preserve">that belonged to enterprises. </w:t>
      </w:r>
      <w:r w:rsidRPr="006B6E56">
        <w:rPr>
          <w:sz w:val="24"/>
          <w:szCs w:val="24"/>
        </w:rPr>
        <w:t>(Zavyalova et al., 2020).</w:t>
      </w:r>
    </w:p>
    <w:p w14:paraId="37B4D9AC" w14:textId="77777777" w:rsidR="002067D9" w:rsidRDefault="00920F4D" w:rsidP="002067D9">
      <w:pPr>
        <w:spacing w:line="360" w:lineRule="auto"/>
        <w:jc w:val="both"/>
        <w:rPr>
          <w:sz w:val="24"/>
          <w:szCs w:val="24"/>
        </w:rPr>
      </w:pPr>
      <w:r w:rsidRPr="002067D9">
        <w:rPr>
          <w:sz w:val="24"/>
          <w:szCs w:val="24"/>
        </w:rPr>
        <w:t>Structurally, Russia inherited a high concentration of production from the Soviet Union, where the economic welfare of cities could depend on a single industry or even a single large enterprise (Polishchuk, 2009). According to Zavyalova et al. (2020), several reasons explain why CSR-related activities are primarily within the domain of large enterprises. First, only large enterprises have the additional financial resources to spend on socially significant programs. Second, large enterprises are more involved in the state's socially significant projects. Finally, large enterprises place greater importance on social (and political) stability and are willing to pay for it.</w:t>
      </w:r>
    </w:p>
    <w:p w14:paraId="3AC8CFB5" w14:textId="5BFAD5AB" w:rsidR="005036B6" w:rsidRDefault="002067D9" w:rsidP="005036B6">
      <w:pPr>
        <w:spacing w:line="360" w:lineRule="auto"/>
        <w:jc w:val="both"/>
        <w:rPr>
          <w:sz w:val="22"/>
          <w:szCs w:val="22"/>
        </w:rPr>
      </w:pPr>
      <w:r w:rsidRPr="002067D9">
        <w:rPr>
          <w:sz w:val="24"/>
          <w:szCs w:val="24"/>
        </w:rPr>
        <w:t xml:space="preserve">In recent years, Russia has witnessed a significant recentralization of governmental power, making local governments responsible for economic development and social welfare, yet providing them with few financial means to fulfill these responsibilities. In this situation, </w:t>
      </w:r>
      <w:r w:rsidRPr="002067D9">
        <w:rPr>
          <w:rFonts w:hint="eastAsia"/>
          <w:sz w:val="24"/>
          <w:szCs w:val="24"/>
        </w:rPr>
        <w:t xml:space="preserve">local </w:t>
      </w:r>
      <w:r w:rsidRPr="002067D9">
        <w:rPr>
          <w:sz w:val="24"/>
          <w:szCs w:val="24"/>
        </w:rPr>
        <w:t xml:space="preserve">governments have come to rely on nominally </w:t>
      </w:r>
      <w:r w:rsidR="005036B6">
        <w:rPr>
          <w:sz w:val="24"/>
          <w:szCs w:val="24"/>
        </w:rPr>
        <w:t>“</w:t>
      </w:r>
      <w:r w:rsidRPr="002067D9">
        <w:rPr>
          <w:sz w:val="24"/>
          <w:szCs w:val="24"/>
        </w:rPr>
        <w:t>voluntary</w:t>
      </w:r>
      <w:r w:rsidR="005036B6">
        <w:rPr>
          <w:sz w:val="24"/>
          <w:szCs w:val="24"/>
        </w:rPr>
        <w:t>”</w:t>
      </w:r>
      <w:r w:rsidRPr="002067D9">
        <w:rPr>
          <w:sz w:val="24"/>
          <w:szCs w:val="24"/>
        </w:rPr>
        <w:t xml:space="preserve"> corporate social</w:t>
      </w:r>
      <w:r w:rsidRPr="002067D9">
        <w:rPr>
          <w:rFonts w:hint="eastAsia"/>
          <w:sz w:val="24"/>
          <w:szCs w:val="24"/>
        </w:rPr>
        <w:t xml:space="preserve"> </w:t>
      </w:r>
      <w:r w:rsidRPr="002067D9">
        <w:rPr>
          <w:sz w:val="24"/>
          <w:szCs w:val="24"/>
        </w:rPr>
        <w:t>investment which is ensured by threat of various economic sanctions</w:t>
      </w:r>
      <w:r w:rsidRPr="002067D9">
        <w:rPr>
          <w:rFonts w:hint="eastAsia"/>
          <w:sz w:val="24"/>
          <w:szCs w:val="24"/>
        </w:rPr>
        <w:t xml:space="preserve"> </w:t>
      </w:r>
      <w:r w:rsidRPr="002067D9">
        <w:rPr>
          <w:sz w:val="24"/>
          <w:szCs w:val="24"/>
        </w:rPr>
        <w:t>(</w:t>
      </w:r>
      <w:proofErr w:type="spellStart"/>
      <w:r w:rsidRPr="002067D9">
        <w:rPr>
          <w:sz w:val="24"/>
          <w:szCs w:val="24"/>
        </w:rPr>
        <w:t>Avtonomov</w:t>
      </w:r>
      <w:proofErr w:type="spellEnd"/>
      <w:r w:rsidRPr="002067D9">
        <w:rPr>
          <w:sz w:val="24"/>
          <w:szCs w:val="24"/>
        </w:rPr>
        <w:t>, 2006; Polishchuk, 2009).</w:t>
      </w:r>
    </w:p>
    <w:p w14:paraId="1FE72493" w14:textId="44D52001" w:rsidR="002067D9" w:rsidRPr="005036B6" w:rsidRDefault="002067D9" w:rsidP="005036B6">
      <w:pPr>
        <w:spacing w:line="360" w:lineRule="auto"/>
        <w:jc w:val="both"/>
        <w:rPr>
          <w:sz w:val="21"/>
          <w:szCs w:val="21"/>
        </w:rPr>
      </w:pPr>
      <w:r w:rsidRPr="005036B6">
        <w:rPr>
          <w:sz w:val="24"/>
          <w:szCs w:val="24"/>
        </w:rPr>
        <w:t>Simultaneously, Russia's transition process has brought about the internationalization of lifestyles, attitudes, and knowledge following the fall of the "Iron Curtain" (</w:t>
      </w:r>
      <w:proofErr w:type="spellStart"/>
      <w:r w:rsidRPr="005036B6">
        <w:rPr>
          <w:sz w:val="24"/>
          <w:szCs w:val="24"/>
        </w:rPr>
        <w:t>Apressyan</w:t>
      </w:r>
      <w:proofErr w:type="spellEnd"/>
      <w:r w:rsidRPr="005036B6">
        <w:rPr>
          <w:sz w:val="24"/>
          <w:szCs w:val="24"/>
        </w:rPr>
        <w:t>, 1997). Consequently, Russian companies have faced pressure from global CSR trends.</w:t>
      </w:r>
    </w:p>
    <w:p w14:paraId="2ED5C138" w14:textId="77777777" w:rsidR="005036B6" w:rsidRPr="005036B6" w:rsidRDefault="005036B6" w:rsidP="005036B6">
      <w:pPr>
        <w:spacing w:line="360" w:lineRule="auto"/>
        <w:jc w:val="both"/>
        <w:rPr>
          <w:sz w:val="24"/>
          <w:szCs w:val="24"/>
        </w:rPr>
      </w:pPr>
      <w:r w:rsidRPr="005036B6">
        <w:rPr>
          <w:rFonts w:hint="eastAsia"/>
          <w:sz w:val="24"/>
          <w:szCs w:val="24"/>
        </w:rPr>
        <w:t xml:space="preserve">Given </w:t>
      </w:r>
      <w:r w:rsidRPr="005036B6">
        <w:rPr>
          <w:sz w:val="24"/>
          <w:szCs w:val="24"/>
        </w:rPr>
        <w:t>those situations</w:t>
      </w:r>
      <w:r w:rsidR="00981AD2" w:rsidRPr="005036B6">
        <w:rPr>
          <w:sz w:val="24"/>
          <w:szCs w:val="24"/>
        </w:rPr>
        <w:t xml:space="preserve">, in 2003, six major international conferences on CSR were held in Moscow, providing practical advice to corporate executives and government officials. That same year, President Putin called on companies to increase their efforts in CSR at the annual meeting of the Russian Union of Industrialists and Entrepreneurs, a call that has been repeated several times since. Some large Russian companies, particularly those seeking an international reputation, responded quickly, announcing various initiatives to improve transparency, support communities, and enhance environmental reporting (Kuznetsov et al., 2009). </w:t>
      </w:r>
    </w:p>
    <w:p w14:paraId="2706EC9C" w14:textId="0855149D" w:rsidR="005036B6" w:rsidRPr="005036B6" w:rsidRDefault="005036B6" w:rsidP="005036B6">
      <w:pPr>
        <w:spacing w:line="360" w:lineRule="auto"/>
        <w:jc w:val="both"/>
        <w:rPr>
          <w:sz w:val="24"/>
          <w:szCs w:val="24"/>
        </w:rPr>
      </w:pPr>
      <w:r w:rsidRPr="005036B6">
        <w:rPr>
          <w:sz w:val="24"/>
          <w:szCs w:val="24"/>
        </w:rPr>
        <w:t>For example, 2004 saw the signing of the first global framework agreement</w:t>
      </w:r>
      <w:r w:rsidRPr="005036B6">
        <w:rPr>
          <w:rFonts w:hint="eastAsia"/>
          <w:sz w:val="24"/>
          <w:szCs w:val="24"/>
        </w:rPr>
        <w:t xml:space="preserve"> </w:t>
      </w:r>
      <w:r w:rsidRPr="005036B6">
        <w:rPr>
          <w:sz w:val="24"/>
          <w:szCs w:val="24"/>
        </w:rPr>
        <w:t>by global trade union federation,</w:t>
      </w:r>
      <w:r w:rsidRPr="005036B6">
        <w:rPr>
          <w:rFonts w:hint="eastAsia"/>
          <w:sz w:val="24"/>
          <w:szCs w:val="24"/>
        </w:rPr>
        <w:t xml:space="preserve"> </w:t>
      </w:r>
      <w:r w:rsidRPr="005036B6">
        <w:rPr>
          <w:sz w:val="24"/>
          <w:szCs w:val="24"/>
        </w:rPr>
        <w:t>a</w:t>
      </w:r>
      <w:r w:rsidRPr="005036B6">
        <w:rPr>
          <w:rFonts w:hint="eastAsia"/>
          <w:sz w:val="24"/>
          <w:szCs w:val="24"/>
        </w:rPr>
        <w:t xml:space="preserve"> </w:t>
      </w:r>
      <w:r w:rsidRPr="005036B6">
        <w:rPr>
          <w:sz w:val="24"/>
          <w:szCs w:val="24"/>
        </w:rPr>
        <w:t>Russian</w:t>
      </w:r>
      <w:r w:rsidRPr="005036B6">
        <w:rPr>
          <w:rFonts w:hint="eastAsia"/>
          <w:sz w:val="24"/>
          <w:szCs w:val="24"/>
        </w:rPr>
        <w:t xml:space="preserve"> </w:t>
      </w:r>
      <w:r w:rsidRPr="005036B6">
        <w:rPr>
          <w:sz w:val="24"/>
          <w:szCs w:val="24"/>
        </w:rPr>
        <w:t>trade</w:t>
      </w:r>
      <w:r w:rsidRPr="005036B6">
        <w:rPr>
          <w:rFonts w:hint="eastAsia"/>
          <w:sz w:val="24"/>
          <w:szCs w:val="24"/>
        </w:rPr>
        <w:t xml:space="preserve"> </w:t>
      </w:r>
      <w:r w:rsidRPr="005036B6">
        <w:rPr>
          <w:sz w:val="24"/>
          <w:szCs w:val="24"/>
        </w:rPr>
        <w:t>union</w:t>
      </w:r>
      <w:r w:rsidRPr="005036B6">
        <w:rPr>
          <w:rFonts w:hint="eastAsia"/>
          <w:sz w:val="24"/>
          <w:szCs w:val="24"/>
        </w:rPr>
        <w:t xml:space="preserve"> </w:t>
      </w:r>
      <w:r w:rsidRPr="005036B6">
        <w:rPr>
          <w:sz w:val="24"/>
          <w:szCs w:val="24"/>
        </w:rPr>
        <w:t>and</w:t>
      </w:r>
      <w:r w:rsidRPr="005036B6">
        <w:rPr>
          <w:rFonts w:hint="eastAsia"/>
          <w:sz w:val="24"/>
          <w:szCs w:val="24"/>
        </w:rPr>
        <w:t xml:space="preserve"> </w:t>
      </w:r>
      <w:r w:rsidRPr="005036B6">
        <w:rPr>
          <w:sz w:val="24"/>
          <w:szCs w:val="24"/>
        </w:rPr>
        <w:t>a</w:t>
      </w:r>
      <w:r w:rsidRPr="005036B6">
        <w:rPr>
          <w:rFonts w:hint="eastAsia"/>
          <w:sz w:val="24"/>
          <w:szCs w:val="24"/>
        </w:rPr>
        <w:t xml:space="preserve"> </w:t>
      </w:r>
      <w:r w:rsidRPr="005036B6">
        <w:rPr>
          <w:sz w:val="24"/>
          <w:szCs w:val="24"/>
        </w:rPr>
        <w:t>Russian</w:t>
      </w:r>
      <w:r w:rsidRPr="005036B6">
        <w:rPr>
          <w:rFonts w:hint="eastAsia"/>
          <w:sz w:val="24"/>
          <w:szCs w:val="24"/>
        </w:rPr>
        <w:t xml:space="preserve"> </w:t>
      </w:r>
      <w:r w:rsidRPr="005036B6">
        <w:rPr>
          <w:sz w:val="24"/>
          <w:szCs w:val="24"/>
        </w:rPr>
        <w:t>company,</w:t>
      </w:r>
      <w:r w:rsidRPr="005036B6">
        <w:rPr>
          <w:rFonts w:hint="eastAsia"/>
          <w:sz w:val="24"/>
          <w:szCs w:val="24"/>
        </w:rPr>
        <w:t xml:space="preserve"> </w:t>
      </w:r>
      <w:r w:rsidRPr="005036B6">
        <w:rPr>
          <w:sz w:val="24"/>
          <w:szCs w:val="24"/>
        </w:rPr>
        <w:t>namely</w:t>
      </w:r>
      <w:r w:rsidRPr="005036B6">
        <w:rPr>
          <w:rFonts w:hint="eastAsia"/>
          <w:sz w:val="24"/>
          <w:szCs w:val="24"/>
        </w:rPr>
        <w:t xml:space="preserve"> </w:t>
      </w:r>
      <w:r w:rsidRPr="005036B6">
        <w:rPr>
          <w:sz w:val="24"/>
          <w:szCs w:val="24"/>
        </w:rPr>
        <w:t>by</w:t>
      </w:r>
      <w:r w:rsidRPr="005036B6">
        <w:rPr>
          <w:rFonts w:hint="eastAsia"/>
          <w:sz w:val="24"/>
          <w:szCs w:val="24"/>
        </w:rPr>
        <w:t xml:space="preserve"> </w:t>
      </w:r>
      <w:r w:rsidRPr="005036B6">
        <w:rPr>
          <w:sz w:val="24"/>
          <w:szCs w:val="24"/>
        </w:rPr>
        <w:t>the International Federation of Chemical, Energy, Mine and General Workers’ Unions</w:t>
      </w:r>
      <w:r w:rsidRPr="005036B6">
        <w:rPr>
          <w:rFonts w:hint="eastAsia"/>
          <w:sz w:val="24"/>
          <w:szCs w:val="24"/>
        </w:rPr>
        <w:t xml:space="preserve"> </w:t>
      </w:r>
      <w:r w:rsidRPr="005036B6">
        <w:rPr>
          <w:sz w:val="24"/>
          <w:szCs w:val="24"/>
        </w:rPr>
        <w:t>(ICEM),</w:t>
      </w:r>
      <w:r w:rsidRPr="005036B6">
        <w:rPr>
          <w:rFonts w:hint="eastAsia"/>
          <w:sz w:val="24"/>
          <w:szCs w:val="24"/>
        </w:rPr>
        <w:t xml:space="preserve"> </w:t>
      </w:r>
      <w:r w:rsidRPr="005036B6">
        <w:rPr>
          <w:sz w:val="24"/>
          <w:szCs w:val="24"/>
        </w:rPr>
        <w:t>the Russian Oil, Gas and Construction Workers’ Union (NGSP) and OAO Lukoil (Soboleva,</w:t>
      </w:r>
      <w:r w:rsidRPr="005036B6">
        <w:rPr>
          <w:rFonts w:hint="eastAsia"/>
          <w:sz w:val="24"/>
          <w:szCs w:val="24"/>
        </w:rPr>
        <w:t xml:space="preserve"> </w:t>
      </w:r>
      <w:r w:rsidRPr="005036B6">
        <w:rPr>
          <w:sz w:val="24"/>
          <w:szCs w:val="24"/>
        </w:rPr>
        <w:t>2006).</w:t>
      </w:r>
    </w:p>
    <w:p w14:paraId="150317A0" w14:textId="77777777" w:rsidR="00485083" w:rsidRDefault="00485083" w:rsidP="00BB55ED"/>
    <w:p w14:paraId="3B86193D" w14:textId="77777777" w:rsidR="009A0A79" w:rsidRDefault="009A0A79" w:rsidP="00BB55ED"/>
    <w:p w14:paraId="526E076B" w14:textId="77777777" w:rsidR="00615B18" w:rsidRPr="00BB55ED" w:rsidRDefault="00615B18" w:rsidP="00BB55ED"/>
    <w:p w14:paraId="3B4D7D34" w14:textId="488F82A9" w:rsidR="00B10856" w:rsidRPr="00AD13B4" w:rsidRDefault="00233F2C" w:rsidP="00B10856">
      <w:pPr>
        <w:pStyle w:val="2"/>
        <w:numPr>
          <w:ilvl w:val="1"/>
          <w:numId w:val="7"/>
        </w:numPr>
        <w:tabs>
          <w:tab w:val="left" w:pos="900"/>
        </w:tabs>
        <w:ind w:left="810" w:hanging="450"/>
        <w:jc w:val="left"/>
        <w:rPr>
          <w:rFonts w:ascii="Times New Roman" w:hAnsi="Times New Roman"/>
          <w:i/>
          <w:iCs/>
        </w:rPr>
      </w:pPr>
      <w:bookmarkStart w:id="11" w:name="_Toc167663315"/>
      <w:r>
        <w:rPr>
          <w:rFonts w:ascii="Times New Roman" w:hAnsi="Times New Roman" w:hint="eastAsia"/>
          <w:i/>
          <w:iCs/>
          <w:lang w:eastAsia="ja-JP"/>
        </w:rPr>
        <w:t xml:space="preserve"> </w:t>
      </w:r>
      <w:r w:rsidR="00B10856" w:rsidRPr="00AD13B4">
        <w:rPr>
          <w:rFonts w:ascii="Times New Roman" w:hAnsi="Times New Roman"/>
          <w:i/>
          <w:iCs/>
        </w:rPr>
        <w:t xml:space="preserve">CSR and role of </w:t>
      </w:r>
      <w:r w:rsidR="004136BB">
        <w:rPr>
          <w:rFonts w:ascii="Times New Roman" w:hAnsi="Times New Roman"/>
          <w:i/>
          <w:iCs/>
        </w:rPr>
        <w:t xml:space="preserve">the </w:t>
      </w:r>
      <w:r w:rsidR="00B10856" w:rsidRPr="00AD13B4">
        <w:rPr>
          <w:rFonts w:ascii="Times New Roman" w:hAnsi="Times New Roman"/>
          <w:i/>
          <w:iCs/>
        </w:rPr>
        <w:t>state in China</w:t>
      </w:r>
      <w:bookmarkEnd w:id="11"/>
    </w:p>
    <w:p w14:paraId="682234B2" w14:textId="31BF0AF2" w:rsidR="00485083" w:rsidRPr="006B01D1" w:rsidRDefault="00485083" w:rsidP="006B01D1">
      <w:pPr>
        <w:spacing w:line="360" w:lineRule="auto"/>
        <w:jc w:val="both"/>
        <w:rPr>
          <w:sz w:val="24"/>
          <w:szCs w:val="24"/>
        </w:rPr>
      </w:pPr>
      <w:r w:rsidRPr="006B01D1">
        <w:rPr>
          <w:sz w:val="24"/>
          <w:szCs w:val="24"/>
        </w:rPr>
        <w:t xml:space="preserve">The history of CSR in China is long-standing, with some Chinese scholars believing that the fundamental concepts of CSR can be traced back to the Spring and Autumn period, approximately 2500 years ago (Ren, 2006). In the Chinese context, the concept of CSR is deeply related to the Confucian virtue of </w:t>
      </w:r>
      <w:r w:rsidR="006B01D1" w:rsidRPr="006B01D1">
        <w:rPr>
          <w:i/>
          <w:iCs/>
          <w:sz w:val="24"/>
          <w:szCs w:val="24"/>
        </w:rPr>
        <w:t>Y</w:t>
      </w:r>
      <w:r w:rsidRPr="006B01D1">
        <w:rPr>
          <w:i/>
          <w:iCs/>
          <w:sz w:val="24"/>
          <w:szCs w:val="24"/>
        </w:rPr>
        <w:t>i</w:t>
      </w:r>
      <w:r w:rsidR="004976C8">
        <w:rPr>
          <w:rFonts w:hint="eastAsia"/>
          <w:sz w:val="24"/>
          <w:szCs w:val="24"/>
        </w:rPr>
        <w:t xml:space="preserve">, </w:t>
      </w:r>
      <w:r w:rsidR="006B01D1" w:rsidRPr="006B01D1">
        <w:rPr>
          <w:sz w:val="24"/>
          <w:szCs w:val="24"/>
        </w:rPr>
        <w:t xml:space="preserve">which </w:t>
      </w:r>
      <w:r w:rsidRPr="006B01D1">
        <w:rPr>
          <w:sz w:val="24"/>
          <w:szCs w:val="24"/>
        </w:rPr>
        <w:t xml:space="preserve">signifies </w:t>
      </w:r>
      <w:r w:rsidR="006B01D1" w:rsidRPr="006B01D1">
        <w:rPr>
          <w:sz w:val="24"/>
          <w:szCs w:val="24"/>
        </w:rPr>
        <w:t xml:space="preserve">righteousness: using the principles or norms of obtaining and distributing benefits </w:t>
      </w:r>
      <w:r w:rsidRPr="006B01D1">
        <w:rPr>
          <w:sz w:val="24"/>
          <w:szCs w:val="24"/>
        </w:rPr>
        <w:t>(Lu, 1997).</w:t>
      </w:r>
    </w:p>
    <w:p w14:paraId="3C9A2F23" w14:textId="3D22283A" w:rsidR="004976C8" w:rsidRPr="00F40E8C" w:rsidRDefault="004976C8" w:rsidP="004976C8">
      <w:pPr>
        <w:spacing w:line="360" w:lineRule="auto"/>
        <w:jc w:val="both"/>
        <w:rPr>
          <w:sz w:val="24"/>
          <w:szCs w:val="24"/>
        </w:rPr>
      </w:pPr>
      <w:r w:rsidRPr="00F40E8C">
        <w:rPr>
          <w:sz w:val="24"/>
          <w:szCs w:val="24"/>
        </w:rPr>
        <w:t xml:space="preserve">The antonym of </w:t>
      </w:r>
      <w:r w:rsidRPr="004976C8">
        <w:rPr>
          <w:rFonts w:hint="eastAsia"/>
          <w:i/>
          <w:iCs/>
          <w:sz w:val="24"/>
          <w:szCs w:val="24"/>
        </w:rPr>
        <w:t>Yi</w:t>
      </w:r>
      <w:r w:rsidRPr="00F40E8C">
        <w:rPr>
          <w:sz w:val="24"/>
          <w:szCs w:val="24"/>
        </w:rPr>
        <w:t xml:space="preserve"> is </w:t>
      </w:r>
      <w:r w:rsidRPr="004976C8">
        <w:rPr>
          <w:rFonts w:hint="eastAsia"/>
          <w:i/>
          <w:iCs/>
          <w:sz w:val="24"/>
          <w:szCs w:val="24"/>
        </w:rPr>
        <w:t>L</w:t>
      </w:r>
      <w:r w:rsidRPr="004976C8">
        <w:rPr>
          <w:i/>
          <w:iCs/>
          <w:sz w:val="24"/>
          <w:szCs w:val="24"/>
        </w:rPr>
        <w:t>i</w:t>
      </w:r>
      <w:r w:rsidRPr="00F40E8C">
        <w:rPr>
          <w:sz w:val="24"/>
          <w:szCs w:val="24"/>
        </w:rPr>
        <w:t>, which denotes profit or gain</w:t>
      </w:r>
      <w:r>
        <w:rPr>
          <w:rFonts w:hint="eastAsia"/>
          <w:sz w:val="24"/>
          <w:szCs w:val="24"/>
        </w:rPr>
        <w:t xml:space="preserve"> themselves</w:t>
      </w:r>
      <w:r w:rsidRPr="00F40E8C">
        <w:rPr>
          <w:sz w:val="24"/>
          <w:szCs w:val="24"/>
        </w:rPr>
        <w:t xml:space="preserve">. The relationship between </w:t>
      </w:r>
      <w:r w:rsidRPr="004976C8">
        <w:rPr>
          <w:rFonts w:hint="eastAsia"/>
          <w:i/>
          <w:iCs/>
          <w:sz w:val="24"/>
          <w:szCs w:val="24"/>
        </w:rPr>
        <w:t>Y</w:t>
      </w:r>
      <w:r w:rsidRPr="004976C8">
        <w:rPr>
          <w:i/>
          <w:iCs/>
          <w:sz w:val="24"/>
          <w:szCs w:val="24"/>
        </w:rPr>
        <w:t>i</w:t>
      </w:r>
      <w:r w:rsidRPr="00F40E8C">
        <w:rPr>
          <w:sz w:val="24"/>
          <w:szCs w:val="24"/>
        </w:rPr>
        <w:t xml:space="preserve"> and </w:t>
      </w:r>
      <w:r w:rsidRPr="004976C8">
        <w:rPr>
          <w:rFonts w:hint="eastAsia"/>
          <w:i/>
          <w:iCs/>
          <w:sz w:val="24"/>
          <w:szCs w:val="24"/>
        </w:rPr>
        <w:t>L</w:t>
      </w:r>
      <w:r w:rsidRPr="004976C8">
        <w:rPr>
          <w:i/>
          <w:iCs/>
          <w:sz w:val="24"/>
          <w:szCs w:val="24"/>
        </w:rPr>
        <w:t>i</w:t>
      </w:r>
      <w:r w:rsidRPr="00F40E8C">
        <w:rPr>
          <w:sz w:val="24"/>
          <w:szCs w:val="24"/>
        </w:rPr>
        <w:t xml:space="preserve"> is best explained from the Confucian perspective, where a noble person understands </w:t>
      </w:r>
      <w:r w:rsidRPr="004976C8">
        <w:rPr>
          <w:rFonts w:hint="eastAsia"/>
          <w:i/>
          <w:iCs/>
          <w:sz w:val="24"/>
          <w:szCs w:val="24"/>
        </w:rPr>
        <w:t>Y</w:t>
      </w:r>
      <w:r w:rsidRPr="004976C8">
        <w:rPr>
          <w:i/>
          <w:iCs/>
          <w:sz w:val="24"/>
          <w:szCs w:val="24"/>
        </w:rPr>
        <w:t>i</w:t>
      </w:r>
      <w:r w:rsidRPr="00F40E8C">
        <w:rPr>
          <w:sz w:val="24"/>
          <w:szCs w:val="24"/>
        </w:rPr>
        <w:t xml:space="preserve">, while a lesser person knows only </w:t>
      </w:r>
      <w:r w:rsidRPr="004976C8">
        <w:rPr>
          <w:rFonts w:hint="eastAsia"/>
          <w:i/>
          <w:iCs/>
          <w:sz w:val="24"/>
          <w:szCs w:val="24"/>
        </w:rPr>
        <w:t>L</w:t>
      </w:r>
      <w:r w:rsidRPr="004976C8">
        <w:rPr>
          <w:i/>
          <w:iCs/>
          <w:sz w:val="24"/>
          <w:szCs w:val="24"/>
        </w:rPr>
        <w:t>i</w:t>
      </w:r>
      <w:r w:rsidRPr="00F40E8C">
        <w:rPr>
          <w:sz w:val="24"/>
          <w:szCs w:val="24"/>
        </w:rPr>
        <w:t xml:space="preserve">. A businessman characterized by </w:t>
      </w:r>
      <w:r w:rsidRPr="004976C8">
        <w:rPr>
          <w:rFonts w:hint="eastAsia"/>
          <w:i/>
          <w:iCs/>
          <w:sz w:val="24"/>
          <w:szCs w:val="24"/>
        </w:rPr>
        <w:t>L</w:t>
      </w:r>
      <w:r w:rsidRPr="004976C8">
        <w:rPr>
          <w:i/>
          <w:iCs/>
          <w:sz w:val="24"/>
          <w:szCs w:val="24"/>
        </w:rPr>
        <w:t>i</w:t>
      </w:r>
      <w:r w:rsidRPr="00F40E8C">
        <w:rPr>
          <w:sz w:val="24"/>
          <w:szCs w:val="24"/>
        </w:rPr>
        <w:t xml:space="preserve"> pursues short-term profits and self-interest, whereas a businessman characterized by </w:t>
      </w:r>
      <w:r w:rsidRPr="004976C8">
        <w:rPr>
          <w:rFonts w:hint="eastAsia"/>
          <w:i/>
          <w:iCs/>
          <w:sz w:val="24"/>
          <w:szCs w:val="24"/>
        </w:rPr>
        <w:t>Y</w:t>
      </w:r>
      <w:r w:rsidRPr="004976C8">
        <w:rPr>
          <w:i/>
          <w:iCs/>
          <w:sz w:val="24"/>
          <w:szCs w:val="24"/>
        </w:rPr>
        <w:t>i</w:t>
      </w:r>
      <w:r w:rsidRPr="00F40E8C">
        <w:rPr>
          <w:sz w:val="24"/>
          <w:szCs w:val="24"/>
        </w:rPr>
        <w:t xml:space="preserve"> considers long-term and broader benefits. Thus, in this respect, ancient Chinese CSR philosophy (favoring </w:t>
      </w:r>
      <w:r w:rsidRPr="004976C8">
        <w:rPr>
          <w:rFonts w:hint="eastAsia"/>
          <w:i/>
          <w:iCs/>
          <w:sz w:val="24"/>
          <w:szCs w:val="24"/>
        </w:rPr>
        <w:t>Y</w:t>
      </w:r>
      <w:r w:rsidRPr="004976C8">
        <w:rPr>
          <w:i/>
          <w:iCs/>
          <w:sz w:val="24"/>
          <w:szCs w:val="24"/>
        </w:rPr>
        <w:t>i</w:t>
      </w:r>
      <w:r w:rsidRPr="00F40E8C">
        <w:rPr>
          <w:sz w:val="24"/>
          <w:szCs w:val="24"/>
        </w:rPr>
        <w:t xml:space="preserve"> over </w:t>
      </w:r>
      <w:r w:rsidRPr="004976C8">
        <w:rPr>
          <w:rFonts w:hint="eastAsia"/>
          <w:i/>
          <w:iCs/>
          <w:sz w:val="24"/>
          <w:szCs w:val="24"/>
        </w:rPr>
        <w:t>L</w:t>
      </w:r>
      <w:r w:rsidRPr="004976C8">
        <w:rPr>
          <w:i/>
          <w:iCs/>
          <w:sz w:val="24"/>
          <w:szCs w:val="24"/>
        </w:rPr>
        <w:t>i</w:t>
      </w:r>
      <w:r w:rsidRPr="00F40E8C">
        <w:rPr>
          <w:sz w:val="24"/>
          <w:szCs w:val="24"/>
        </w:rPr>
        <w:t xml:space="preserve">) is ethical rather than profit-oriented and can be interpreted as reflecting values seen in Western CSR theories (Zhang et al., 2014). </w:t>
      </w:r>
      <w:r>
        <w:rPr>
          <w:rFonts w:hint="eastAsia"/>
          <w:sz w:val="24"/>
          <w:szCs w:val="24"/>
        </w:rPr>
        <w:t xml:space="preserve">In practice, however, </w:t>
      </w:r>
      <w:r w:rsidRPr="00F40E8C">
        <w:rPr>
          <w:sz w:val="24"/>
          <w:szCs w:val="24"/>
        </w:rPr>
        <w:t xml:space="preserve">CSR in China has always been considered an "ideological and political work" of the administrative </w:t>
      </w:r>
      <w:r>
        <w:rPr>
          <w:rFonts w:hint="eastAsia"/>
          <w:sz w:val="24"/>
          <w:szCs w:val="24"/>
        </w:rPr>
        <w:t>departments</w:t>
      </w:r>
      <w:r w:rsidRPr="00F40E8C">
        <w:rPr>
          <w:sz w:val="24"/>
          <w:szCs w:val="24"/>
        </w:rPr>
        <w:t xml:space="preserve"> (Jiang et al., 2014; Jensen, 2006).</w:t>
      </w:r>
    </w:p>
    <w:p w14:paraId="1A729030" w14:textId="13199588" w:rsidR="004976C8" w:rsidRPr="00F40E8C" w:rsidRDefault="004976C8" w:rsidP="00C13962">
      <w:pPr>
        <w:spacing w:line="360" w:lineRule="auto"/>
        <w:rPr>
          <w:sz w:val="24"/>
          <w:szCs w:val="24"/>
        </w:rPr>
      </w:pPr>
      <w:r w:rsidRPr="00F40E8C">
        <w:rPr>
          <w:sz w:val="24"/>
          <w:szCs w:val="24"/>
        </w:rPr>
        <w:t>The Chinese government frequently conducts awareness campaigns to promote corporate social responsibility. For example, it has organized conferences with slogans like "</w:t>
      </w:r>
      <w:r>
        <w:rPr>
          <w:rFonts w:hint="eastAsia"/>
          <w:sz w:val="24"/>
          <w:szCs w:val="24"/>
        </w:rPr>
        <w:t>s</w:t>
      </w:r>
      <w:r w:rsidRPr="00F40E8C">
        <w:rPr>
          <w:sz w:val="24"/>
          <w:szCs w:val="24"/>
        </w:rPr>
        <w:t xml:space="preserve">erve the </w:t>
      </w:r>
      <w:r>
        <w:rPr>
          <w:rFonts w:hint="eastAsia"/>
          <w:sz w:val="24"/>
          <w:szCs w:val="24"/>
        </w:rPr>
        <w:t>p</w:t>
      </w:r>
      <w:r w:rsidRPr="00F40E8C">
        <w:rPr>
          <w:sz w:val="24"/>
          <w:szCs w:val="24"/>
        </w:rPr>
        <w:t>eople" and "</w:t>
      </w:r>
      <w:r>
        <w:rPr>
          <w:rFonts w:hint="eastAsia"/>
          <w:sz w:val="24"/>
          <w:szCs w:val="24"/>
        </w:rPr>
        <w:t>s</w:t>
      </w:r>
      <w:r>
        <w:rPr>
          <w:sz w:val="24"/>
          <w:szCs w:val="24"/>
        </w:rPr>
        <w:t>ocialist</w:t>
      </w:r>
      <w:r>
        <w:rPr>
          <w:rFonts w:hint="eastAsia"/>
          <w:sz w:val="24"/>
          <w:szCs w:val="24"/>
        </w:rPr>
        <w:t xml:space="preserve"> spiritual civilization</w:t>
      </w:r>
      <w:r w:rsidRPr="00F40E8C">
        <w:rPr>
          <w:sz w:val="24"/>
          <w:szCs w:val="24"/>
        </w:rPr>
        <w:t>"</w:t>
      </w:r>
      <w:r>
        <w:rPr>
          <w:rFonts w:hint="eastAsia"/>
          <w:sz w:val="24"/>
          <w:szCs w:val="24"/>
        </w:rPr>
        <w:t>.</w:t>
      </w:r>
      <w:r w:rsidRPr="00F40E8C">
        <w:rPr>
          <w:sz w:val="24"/>
          <w:szCs w:val="24"/>
        </w:rPr>
        <w:t xml:space="preserve"> The slogan "</w:t>
      </w:r>
      <w:r>
        <w:rPr>
          <w:rFonts w:hint="eastAsia"/>
          <w:sz w:val="24"/>
          <w:szCs w:val="24"/>
        </w:rPr>
        <w:t>h</w:t>
      </w:r>
      <w:r w:rsidRPr="00F40E8C">
        <w:rPr>
          <w:sz w:val="24"/>
          <w:szCs w:val="24"/>
        </w:rPr>
        <w:t xml:space="preserve">armonious </w:t>
      </w:r>
      <w:r>
        <w:rPr>
          <w:rFonts w:hint="eastAsia"/>
          <w:sz w:val="24"/>
          <w:szCs w:val="24"/>
        </w:rPr>
        <w:t>s</w:t>
      </w:r>
      <w:r w:rsidRPr="00F40E8C">
        <w:rPr>
          <w:sz w:val="24"/>
          <w:szCs w:val="24"/>
        </w:rPr>
        <w:t xml:space="preserve">ociety" was introduced at the 16th Plenary </w:t>
      </w:r>
      <w:r>
        <w:rPr>
          <w:rFonts w:hint="eastAsia"/>
          <w:sz w:val="24"/>
          <w:szCs w:val="24"/>
        </w:rPr>
        <w:t xml:space="preserve">meeting </w:t>
      </w:r>
      <w:r w:rsidRPr="00F40E8C">
        <w:rPr>
          <w:sz w:val="24"/>
          <w:szCs w:val="24"/>
        </w:rPr>
        <w:t>of the Chinese Communist Party (CCP) in 2004 (Shi, 2013).</w:t>
      </w:r>
    </w:p>
    <w:p w14:paraId="025C80B3" w14:textId="77777777" w:rsidR="009B2F94" w:rsidRPr="00F40E8C" w:rsidRDefault="009B2F94" w:rsidP="009B2F94">
      <w:pPr>
        <w:spacing w:line="360" w:lineRule="auto"/>
        <w:jc w:val="both"/>
        <w:rPr>
          <w:sz w:val="24"/>
          <w:szCs w:val="24"/>
        </w:rPr>
      </w:pPr>
      <w:r w:rsidRPr="00F40E8C">
        <w:rPr>
          <w:sz w:val="24"/>
          <w:szCs w:val="24"/>
        </w:rPr>
        <w:t>According to Zhang et al. (2014), the evolution of CSR in modern China is linked to economic reforms and can be divided into two periods:</w:t>
      </w:r>
    </w:p>
    <w:p w14:paraId="2992E02A" w14:textId="77777777" w:rsidR="009B2F94" w:rsidRDefault="009B2F94" w:rsidP="009B2F94">
      <w:pPr>
        <w:pStyle w:val="a9"/>
        <w:numPr>
          <w:ilvl w:val="0"/>
          <w:numId w:val="23"/>
        </w:numPr>
        <w:spacing w:line="360" w:lineRule="auto"/>
        <w:jc w:val="both"/>
        <w:rPr>
          <w:sz w:val="24"/>
          <w:szCs w:val="24"/>
        </w:rPr>
      </w:pPr>
      <w:r w:rsidRPr="009B2F94">
        <w:rPr>
          <w:sz w:val="24"/>
          <w:szCs w:val="24"/>
        </w:rPr>
        <w:t>The socialist planned-economy period (1950–1978)</w:t>
      </w:r>
    </w:p>
    <w:p w14:paraId="498FF58A" w14:textId="3757EC36" w:rsidR="006D58DE" w:rsidRPr="009B2F94" w:rsidRDefault="009B2F94" w:rsidP="006D58DE">
      <w:pPr>
        <w:pStyle w:val="a9"/>
        <w:numPr>
          <w:ilvl w:val="0"/>
          <w:numId w:val="23"/>
        </w:numPr>
        <w:spacing w:line="360" w:lineRule="auto"/>
        <w:jc w:val="both"/>
        <w:rPr>
          <w:sz w:val="24"/>
          <w:szCs w:val="24"/>
        </w:rPr>
      </w:pPr>
      <w:r w:rsidRPr="009B2F94">
        <w:rPr>
          <w:sz w:val="24"/>
          <w:szCs w:val="24"/>
        </w:rPr>
        <w:t>The transitional period when China launched its transformation from a socialist planned economy to a socialist market economy.</w:t>
      </w:r>
    </w:p>
    <w:p w14:paraId="260ADC1D" w14:textId="77777777" w:rsidR="0062053F" w:rsidRDefault="00C13962" w:rsidP="0062053F">
      <w:pPr>
        <w:spacing w:line="360" w:lineRule="auto"/>
        <w:jc w:val="both"/>
        <w:rPr>
          <w:sz w:val="24"/>
          <w:szCs w:val="24"/>
        </w:rPr>
      </w:pPr>
      <w:r w:rsidRPr="00F40E8C">
        <w:rPr>
          <w:sz w:val="24"/>
          <w:szCs w:val="24"/>
        </w:rPr>
        <w:t>During the planned economy, the concept of sustainability held significant importance. In 1955, Chairman Mao Zedong advocated for green policies because they would benefit agriculture, industry, and other aspects of society (Li, 2010). Equality and social justice were also key goals in Mao's China (Li et al., 2006).</w:t>
      </w:r>
    </w:p>
    <w:p w14:paraId="16535D8F" w14:textId="2572D5A5" w:rsidR="00C13962" w:rsidRPr="00F40E8C" w:rsidRDefault="00C13962" w:rsidP="00A62F26">
      <w:pPr>
        <w:spacing w:line="360" w:lineRule="auto"/>
        <w:jc w:val="both"/>
        <w:rPr>
          <w:sz w:val="24"/>
          <w:szCs w:val="24"/>
        </w:rPr>
      </w:pPr>
      <w:r w:rsidRPr="00F40E8C">
        <w:rPr>
          <w:sz w:val="24"/>
          <w:szCs w:val="24"/>
        </w:rPr>
        <w:t>When the People's Republic of China was first established, Mao introduced the slogan "</w:t>
      </w:r>
      <w:r w:rsidR="0062053F">
        <w:rPr>
          <w:rFonts w:hint="eastAsia"/>
          <w:sz w:val="24"/>
          <w:szCs w:val="24"/>
        </w:rPr>
        <w:t>s</w:t>
      </w:r>
      <w:r w:rsidRPr="00F40E8C">
        <w:rPr>
          <w:sz w:val="24"/>
          <w:szCs w:val="24"/>
        </w:rPr>
        <w:t xml:space="preserve">erve the </w:t>
      </w:r>
      <w:r w:rsidR="0062053F">
        <w:rPr>
          <w:rFonts w:hint="eastAsia"/>
          <w:sz w:val="24"/>
          <w:szCs w:val="24"/>
        </w:rPr>
        <w:t>p</w:t>
      </w:r>
      <w:r w:rsidRPr="00F40E8C">
        <w:rPr>
          <w:sz w:val="24"/>
          <w:szCs w:val="24"/>
        </w:rPr>
        <w:t>eople," calling on state institutions to b</w:t>
      </w:r>
      <w:r w:rsidR="0062053F">
        <w:rPr>
          <w:rFonts w:hint="eastAsia"/>
          <w:sz w:val="24"/>
          <w:szCs w:val="24"/>
        </w:rPr>
        <w:t>e</w:t>
      </w:r>
      <w:r w:rsidRPr="00F40E8C">
        <w:rPr>
          <w:sz w:val="24"/>
          <w:szCs w:val="24"/>
        </w:rPr>
        <w:t xml:space="preserve"> social</w:t>
      </w:r>
      <w:r w:rsidR="0062053F">
        <w:rPr>
          <w:rFonts w:hint="eastAsia"/>
          <w:sz w:val="24"/>
          <w:szCs w:val="24"/>
        </w:rPr>
        <w:t>ly</w:t>
      </w:r>
      <w:r w:rsidRPr="00F40E8C">
        <w:rPr>
          <w:sz w:val="24"/>
          <w:szCs w:val="24"/>
        </w:rPr>
        <w:t xml:space="preserve"> respons</w:t>
      </w:r>
      <w:r w:rsidR="0062053F">
        <w:rPr>
          <w:rFonts w:hint="eastAsia"/>
          <w:sz w:val="24"/>
          <w:szCs w:val="24"/>
        </w:rPr>
        <w:t>ible</w:t>
      </w:r>
      <w:r w:rsidRPr="00F40E8C">
        <w:rPr>
          <w:sz w:val="24"/>
          <w:szCs w:val="24"/>
        </w:rPr>
        <w:t xml:space="preserve">. As </w:t>
      </w:r>
      <w:r w:rsidR="0062053F">
        <w:rPr>
          <w:rFonts w:hint="eastAsia"/>
          <w:sz w:val="24"/>
          <w:szCs w:val="24"/>
        </w:rPr>
        <w:t xml:space="preserve">the </w:t>
      </w:r>
      <w:r w:rsidRPr="00F40E8C">
        <w:rPr>
          <w:sz w:val="24"/>
          <w:szCs w:val="24"/>
        </w:rPr>
        <w:t>representatives</w:t>
      </w:r>
      <w:r w:rsidR="0062053F">
        <w:rPr>
          <w:rFonts w:hint="eastAsia"/>
          <w:sz w:val="24"/>
          <w:szCs w:val="24"/>
        </w:rPr>
        <w:t xml:space="preserve"> of the state</w:t>
      </w:r>
      <w:r w:rsidRPr="00F40E8C">
        <w:rPr>
          <w:sz w:val="24"/>
          <w:szCs w:val="24"/>
        </w:rPr>
        <w:t>, SOEs were to support people from birth to death, providing free housing, education, medical services, and affordable food to employees and their families. Workers' rights were central, and CSR was very high in both urban and rural areas during this period (Zhang, 2012).</w:t>
      </w:r>
    </w:p>
    <w:p w14:paraId="2A63C35B" w14:textId="77777777" w:rsidR="00C13962" w:rsidRPr="00F40E8C" w:rsidRDefault="00C13962" w:rsidP="00A62F26">
      <w:pPr>
        <w:spacing w:line="360" w:lineRule="auto"/>
        <w:jc w:val="both"/>
        <w:rPr>
          <w:sz w:val="24"/>
          <w:szCs w:val="24"/>
        </w:rPr>
      </w:pPr>
      <w:r w:rsidRPr="00F40E8C">
        <w:rPr>
          <w:sz w:val="24"/>
          <w:szCs w:val="24"/>
        </w:rPr>
        <w:t>During this time, due to the socialist nature of enterprises, CSR was highly politicized, with the central concern being adherence to state directives and serving employees (Zhang et al., 2014).</w:t>
      </w:r>
    </w:p>
    <w:p w14:paraId="42F099DF" w14:textId="77777777" w:rsidR="00C13962" w:rsidRPr="00F40E8C" w:rsidRDefault="00C13962" w:rsidP="00373A22">
      <w:pPr>
        <w:spacing w:line="360" w:lineRule="auto"/>
        <w:jc w:val="both"/>
        <w:rPr>
          <w:sz w:val="24"/>
          <w:szCs w:val="24"/>
        </w:rPr>
      </w:pPr>
      <w:r w:rsidRPr="00F40E8C">
        <w:rPr>
          <w:sz w:val="24"/>
          <w:szCs w:val="24"/>
        </w:rPr>
        <w:t>In 1998, 17,000 schools (30% of the total) in China were operated by SOEs. These schools educated over 7 million students and employed 626,000 staff. In addition to investing in school infrastructure, SOEs spent 6.4 billion yuan (about $773 million) annually to run these schools. In the same year, one-third of China’s medical services (about 91,000 institutions) were also operated by SOEs, with total annual expenditures of 3.1 billion yuan ($370 million) (Zhang et al., 2014).</w:t>
      </w:r>
    </w:p>
    <w:p w14:paraId="25A9D6C5" w14:textId="7295B4EE" w:rsidR="009B2F94" w:rsidRPr="00F40E8C" w:rsidRDefault="009B2F94" w:rsidP="00E04D3E">
      <w:pPr>
        <w:spacing w:line="360" w:lineRule="auto"/>
        <w:jc w:val="both"/>
        <w:rPr>
          <w:sz w:val="24"/>
          <w:szCs w:val="24"/>
        </w:rPr>
      </w:pPr>
      <w:r w:rsidRPr="00F40E8C">
        <w:rPr>
          <w:sz w:val="24"/>
          <w:szCs w:val="24"/>
        </w:rPr>
        <w:t>T</w:t>
      </w:r>
      <w:r w:rsidR="00373A22">
        <w:rPr>
          <w:rFonts w:hint="eastAsia"/>
          <w:sz w:val="24"/>
          <w:szCs w:val="24"/>
        </w:rPr>
        <w:t>hree decades</w:t>
      </w:r>
      <w:r w:rsidRPr="00F40E8C">
        <w:rPr>
          <w:sz w:val="24"/>
          <w:szCs w:val="24"/>
        </w:rPr>
        <w:t xml:space="preserve"> after China opened its doors to the world, a legal system for regulating corporations and financial markets was established, based on Chinese company law. Since the Sixth Plenary Session of the Sixteenth Central Committee of the CCP</w:t>
      </w:r>
      <w:r w:rsidR="00373A22">
        <w:rPr>
          <w:rFonts w:hint="eastAsia"/>
          <w:sz w:val="24"/>
          <w:szCs w:val="24"/>
        </w:rPr>
        <w:t xml:space="preserve"> in 2006</w:t>
      </w:r>
      <w:r w:rsidRPr="00F40E8C">
        <w:rPr>
          <w:sz w:val="24"/>
          <w:szCs w:val="24"/>
        </w:rPr>
        <w:t xml:space="preserve">, the </w:t>
      </w:r>
      <w:r w:rsidR="00373A22">
        <w:rPr>
          <w:rFonts w:hint="eastAsia"/>
          <w:sz w:val="24"/>
          <w:szCs w:val="24"/>
        </w:rPr>
        <w:t xml:space="preserve">emphasis on </w:t>
      </w:r>
      <w:r w:rsidRPr="00F40E8C">
        <w:rPr>
          <w:sz w:val="24"/>
          <w:szCs w:val="24"/>
        </w:rPr>
        <w:t>"</w:t>
      </w:r>
      <w:r w:rsidR="00373A22">
        <w:rPr>
          <w:rFonts w:hint="eastAsia"/>
          <w:sz w:val="24"/>
          <w:szCs w:val="24"/>
        </w:rPr>
        <w:t xml:space="preserve">building a </w:t>
      </w:r>
      <w:r w:rsidRPr="00F40E8C">
        <w:rPr>
          <w:sz w:val="24"/>
          <w:szCs w:val="24"/>
        </w:rPr>
        <w:t>harmoni</w:t>
      </w:r>
      <w:r w:rsidR="00373A22">
        <w:rPr>
          <w:rFonts w:hint="eastAsia"/>
          <w:sz w:val="24"/>
          <w:szCs w:val="24"/>
        </w:rPr>
        <w:t>zed</w:t>
      </w:r>
      <w:r w:rsidRPr="00F40E8C">
        <w:rPr>
          <w:sz w:val="24"/>
          <w:szCs w:val="24"/>
        </w:rPr>
        <w:t xml:space="preserve"> society" has been adopted as a long-term goal of Chinese socialism. From a corporate perspective, these policy statements hold symbolic importance for promoting CSR in China (L.W. Lin, 2010).</w:t>
      </w:r>
      <w:r w:rsidR="00E04D3E">
        <w:rPr>
          <w:rFonts w:hint="eastAsia"/>
          <w:sz w:val="24"/>
          <w:szCs w:val="24"/>
        </w:rPr>
        <w:t xml:space="preserve"> </w:t>
      </w:r>
      <w:r w:rsidRPr="00F40E8C">
        <w:rPr>
          <w:sz w:val="24"/>
          <w:szCs w:val="24"/>
        </w:rPr>
        <w:t>Regulating corporate behavior through politically legitimate means is seen as an effective way to achieve these goals (</w:t>
      </w:r>
      <w:proofErr w:type="spellStart"/>
      <w:r w:rsidRPr="00F40E8C">
        <w:rPr>
          <w:sz w:val="24"/>
          <w:szCs w:val="24"/>
        </w:rPr>
        <w:t>Jingchen</w:t>
      </w:r>
      <w:proofErr w:type="spellEnd"/>
      <w:r w:rsidRPr="00F40E8C">
        <w:rPr>
          <w:sz w:val="24"/>
          <w:szCs w:val="24"/>
        </w:rPr>
        <w:t>, 2014).</w:t>
      </w:r>
    </w:p>
    <w:p w14:paraId="4753DFC6" w14:textId="4713AA49" w:rsidR="00A419D8" w:rsidRDefault="00F40E8C" w:rsidP="00E24AC6">
      <w:pPr>
        <w:spacing w:line="360" w:lineRule="auto"/>
        <w:jc w:val="both"/>
        <w:rPr>
          <w:sz w:val="24"/>
          <w:szCs w:val="24"/>
        </w:rPr>
      </w:pPr>
      <w:r w:rsidRPr="00F40E8C">
        <w:rPr>
          <w:sz w:val="24"/>
          <w:szCs w:val="24"/>
        </w:rPr>
        <w:t xml:space="preserve">Since 2005, the idea of </w:t>
      </w:r>
      <w:r w:rsidR="00E04D3E">
        <w:rPr>
          <w:rFonts w:hint="eastAsia"/>
          <w:sz w:val="24"/>
          <w:szCs w:val="24"/>
        </w:rPr>
        <w:t xml:space="preserve">building a harmonious society - </w:t>
      </w:r>
      <w:r w:rsidRPr="00F40E8C">
        <w:rPr>
          <w:sz w:val="24"/>
          <w:szCs w:val="24"/>
        </w:rPr>
        <w:t>"scientific</w:t>
      </w:r>
      <w:r w:rsidR="00E04D3E">
        <w:rPr>
          <w:rFonts w:hint="eastAsia"/>
          <w:sz w:val="24"/>
          <w:szCs w:val="24"/>
        </w:rPr>
        <w:t xml:space="preserve"> </w:t>
      </w:r>
      <w:r w:rsidRPr="00F40E8C">
        <w:rPr>
          <w:sz w:val="24"/>
          <w:szCs w:val="24"/>
        </w:rPr>
        <w:t>development</w:t>
      </w:r>
      <w:r w:rsidR="00E04D3E">
        <w:rPr>
          <w:rFonts w:hint="eastAsia"/>
          <w:sz w:val="24"/>
          <w:szCs w:val="24"/>
        </w:rPr>
        <w:t xml:space="preserve"> concept</w:t>
      </w:r>
      <w:r w:rsidRPr="00F40E8C">
        <w:rPr>
          <w:sz w:val="24"/>
          <w:szCs w:val="24"/>
        </w:rPr>
        <w:t>" (Hu, 2006) has emerged, shifting China's primary focus from purely economic growth to a more balanced Confucian approach that addresses social issues while maintaining economic growth (J.P. Gies et al., 2009). This indicates that the Chinese government views CSR adoption as a crucial step, emphasizing policies that support sustainable development, corporate competitiveness, corporate image, and China's global reputation.</w:t>
      </w:r>
    </w:p>
    <w:p w14:paraId="09B3D567" w14:textId="77777777" w:rsidR="00E24AC6" w:rsidRDefault="00E24AC6" w:rsidP="00A419D8">
      <w:pPr>
        <w:spacing w:line="360" w:lineRule="auto"/>
        <w:jc w:val="both"/>
        <w:rPr>
          <w:sz w:val="24"/>
          <w:szCs w:val="24"/>
        </w:rPr>
      </w:pPr>
    </w:p>
    <w:p w14:paraId="1D8CEAB7" w14:textId="4ACB4C18" w:rsidR="00A419D8" w:rsidRPr="00A419D8" w:rsidRDefault="00E24AC6" w:rsidP="00A419D8">
      <w:pPr>
        <w:spacing w:line="360" w:lineRule="auto"/>
        <w:jc w:val="both"/>
        <w:rPr>
          <w:sz w:val="24"/>
          <w:szCs w:val="24"/>
        </w:rPr>
      </w:pPr>
      <w:r>
        <w:rPr>
          <w:rFonts w:hint="eastAsia"/>
          <w:sz w:val="24"/>
          <w:szCs w:val="24"/>
        </w:rPr>
        <w:t>In summary, b</w:t>
      </w:r>
      <w:r w:rsidR="00A419D8" w:rsidRPr="00A419D8">
        <w:rPr>
          <w:sz w:val="24"/>
          <w:szCs w:val="24"/>
        </w:rPr>
        <w:t>oth Russia and China have deep-rooted traditions of CSR shaped by their historical and political contexts. In Russia, CSR originates from the Soviet era, where enterprises provided extensive social benefits to employees and communities. This practice continues, with large enterprises playing a significant role in social programs, supported by government encouragement.</w:t>
      </w:r>
      <w:r w:rsidR="00A10450">
        <w:rPr>
          <w:rFonts w:hint="eastAsia"/>
          <w:sz w:val="24"/>
          <w:szCs w:val="24"/>
        </w:rPr>
        <w:t xml:space="preserve"> </w:t>
      </w:r>
      <w:r w:rsidR="00A419D8" w:rsidRPr="00A419D8">
        <w:rPr>
          <w:sz w:val="24"/>
          <w:szCs w:val="24"/>
        </w:rPr>
        <w:t>In China, CSR concepts are linked to ancient Confucian principles emphasizing righteousness over profit. During the socialist planned-economy period, SOEs provided comprehensive social services. The Chinese government has consistently promoted CSR through campaigns and policies, focusing on creating a harmonious society and sustainable development.</w:t>
      </w:r>
    </w:p>
    <w:p w14:paraId="60AEB040" w14:textId="0DFCA201" w:rsidR="00A419D8" w:rsidRDefault="00A419D8" w:rsidP="00A419D8">
      <w:pPr>
        <w:spacing w:line="360" w:lineRule="auto"/>
        <w:jc w:val="both"/>
        <w:rPr>
          <w:sz w:val="24"/>
          <w:szCs w:val="24"/>
        </w:rPr>
      </w:pPr>
      <w:r w:rsidRPr="00A419D8">
        <w:rPr>
          <w:sz w:val="24"/>
          <w:szCs w:val="24"/>
        </w:rPr>
        <w:t>Given these histories, both countries have a strong foundation for CSR driven by state influence</w:t>
      </w:r>
      <w:r w:rsidR="00A10450">
        <w:rPr>
          <w:rFonts w:hint="eastAsia"/>
          <w:sz w:val="24"/>
          <w:szCs w:val="24"/>
        </w:rPr>
        <w:t>.</w:t>
      </w:r>
    </w:p>
    <w:p w14:paraId="79B36E67" w14:textId="0A780ED4" w:rsidR="00A419D8" w:rsidRDefault="00A419D8" w:rsidP="00A419D8">
      <w:pPr>
        <w:spacing w:line="360" w:lineRule="auto"/>
        <w:jc w:val="both"/>
        <w:rPr>
          <w:sz w:val="24"/>
          <w:szCs w:val="24"/>
        </w:rPr>
      </w:pPr>
    </w:p>
    <w:p w14:paraId="259F14B4" w14:textId="77777777" w:rsidR="005F3B6A" w:rsidRDefault="005F3B6A" w:rsidP="00A419D8">
      <w:pPr>
        <w:spacing w:line="360" w:lineRule="auto"/>
        <w:jc w:val="both"/>
        <w:rPr>
          <w:sz w:val="24"/>
          <w:szCs w:val="24"/>
        </w:rPr>
      </w:pPr>
    </w:p>
    <w:p w14:paraId="6F4A6C6C" w14:textId="136407E1" w:rsidR="00A419D8" w:rsidRDefault="00943EF7" w:rsidP="00A419D8">
      <w:pPr>
        <w:spacing w:line="360" w:lineRule="auto"/>
        <w:jc w:val="both"/>
        <w:rPr>
          <w:sz w:val="24"/>
          <w:szCs w:val="24"/>
        </w:rPr>
      </w:pPr>
      <w:r w:rsidRPr="00AD166B">
        <w:rPr>
          <w:b/>
          <w:bCs/>
          <w:i/>
          <w:iCs/>
        </w:rPr>
        <w:t>Summary of the chapter</w:t>
      </w:r>
    </w:p>
    <w:p w14:paraId="07827426" w14:textId="77777777" w:rsidR="003E7CBB" w:rsidRDefault="003E7CBB" w:rsidP="005F3B6A">
      <w:pPr>
        <w:spacing w:line="360" w:lineRule="auto"/>
        <w:jc w:val="both"/>
        <w:rPr>
          <w:sz w:val="24"/>
          <w:szCs w:val="24"/>
        </w:rPr>
      </w:pPr>
    </w:p>
    <w:p w14:paraId="2EE83E8E" w14:textId="78EB89B5" w:rsidR="003E7CBB" w:rsidRPr="00B13D5F" w:rsidRDefault="005F3B6A" w:rsidP="003E7CBB">
      <w:pPr>
        <w:pStyle w:val="a9"/>
        <w:numPr>
          <w:ilvl w:val="0"/>
          <w:numId w:val="28"/>
        </w:numPr>
        <w:spacing w:line="360" w:lineRule="auto"/>
        <w:ind w:hanging="720"/>
        <w:jc w:val="both"/>
        <w:rPr>
          <w:b/>
          <w:bCs/>
          <w:sz w:val="24"/>
          <w:szCs w:val="24"/>
        </w:rPr>
      </w:pPr>
      <w:r w:rsidRPr="00B13D5F">
        <w:rPr>
          <w:b/>
          <w:bCs/>
          <w:sz w:val="24"/>
          <w:szCs w:val="24"/>
        </w:rPr>
        <w:t>Russia and China: Choice of Countries for Analysis</w:t>
      </w:r>
    </w:p>
    <w:p w14:paraId="7BB7EA25" w14:textId="77777777" w:rsidR="00B13D5F" w:rsidRDefault="005F3B6A" w:rsidP="005F3B6A">
      <w:pPr>
        <w:spacing w:line="360" w:lineRule="auto"/>
        <w:jc w:val="both"/>
        <w:rPr>
          <w:sz w:val="24"/>
          <w:szCs w:val="24"/>
        </w:rPr>
      </w:pPr>
      <w:r w:rsidRPr="005F3B6A">
        <w:rPr>
          <w:sz w:val="24"/>
          <w:szCs w:val="24"/>
        </w:rPr>
        <w:t xml:space="preserve">The examination of CSR in Russia and China is motivated by their unique historical and political contexts. Studies by Mohd (2007), </w:t>
      </w:r>
      <w:proofErr w:type="spellStart"/>
      <w:r w:rsidRPr="005F3B6A">
        <w:rPr>
          <w:sz w:val="24"/>
          <w:szCs w:val="24"/>
        </w:rPr>
        <w:t>Nugraheni</w:t>
      </w:r>
      <w:proofErr w:type="spellEnd"/>
      <w:r w:rsidRPr="005F3B6A">
        <w:rPr>
          <w:sz w:val="24"/>
          <w:szCs w:val="24"/>
        </w:rPr>
        <w:t xml:space="preserve"> et al. (2022), and Irina (2020) shed light on the relationship between ownership structure and CSR disclosure, with a particular focus on state-owned enterprises (SOEs). In Russia, large enterprises inherit a tradition of providing extensive social benefits, influenced by the strong presence of the state. Similarly, in China, the concept of CSR is deeply rooted in ancient Confucian principles, with SOEs historically playing a central role in social welfare. Meanwhile, Hsu et al. (2021) emphasize the environmental capacity of SOEs, highlighting their potential to address environmental issues more effectively. This research aims to build on these insights, especially focusing on the role of government influence in shaping CSR practices in emerging economies like China and Russia, where SOEs exhibit significant environmental capabilities compared to non-SOEs.</w:t>
      </w:r>
    </w:p>
    <w:p w14:paraId="32146B9E" w14:textId="77777777" w:rsidR="00B13D5F" w:rsidRDefault="00B13D5F" w:rsidP="005F3B6A">
      <w:pPr>
        <w:spacing w:line="360" w:lineRule="auto"/>
        <w:jc w:val="both"/>
        <w:rPr>
          <w:sz w:val="24"/>
          <w:szCs w:val="24"/>
        </w:rPr>
      </w:pPr>
    </w:p>
    <w:p w14:paraId="6ACD4109" w14:textId="0292C90F" w:rsidR="005F3B6A" w:rsidRPr="00E17620" w:rsidRDefault="005F3B6A" w:rsidP="00E17620">
      <w:pPr>
        <w:pStyle w:val="a9"/>
        <w:numPr>
          <w:ilvl w:val="0"/>
          <w:numId w:val="28"/>
        </w:numPr>
        <w:spacing w:line="360" w:lineRule="auto"/>
        <w:ind w:hanging="720"/>
        <w:jc w:val="both"/>
        <w:rPr>
          <w:b/>
          <w:bCs/>
          <w:sz w:val="24"/>
          <w:szCs w:val="24"/>
        </w:rPr>
      </w:pPr>
      <w:r w:rsidRPr="00E17620">
        <w:rPr>
          <w:b/>
          <w:bCs/>
          <w:sz w:val="24"/>
          <w:szCs w:val="24"/>
        </w:rPr>
        <w:t>CSR and Role of the State in Russia</w:t>
      </w:r>
    </w:p>
    <w:p w14:paraId="5F44DF2B" w14:textId="77777777" w:rsidR="005F3B6A" w:rsidRPr="005F3B6A" w:rsidRDefault="005F3B6A" w:rsidP="005F3B6A">
      <w:pPr>
        <w:spacing w:line="360" w:lineRule="auto"/>
        <w:jc w:val="both"/>
        <w:rPr>
          <w:sz w:val="24"/>
          <w:szCs w:val="24"/>
        </w:rPr>
      </w:pPr>
      <w:r w:rsidRPr="005F3B6A">
        <w:rPr>
          <w:sz w:val="24"/>
          <w:szCs w:val="24"/>
        </w:rPr>
        <w:t>Russian CSR is deeply influenced by historical legacies, particularly from the Soviet era, where state-controlled enterprises provided extensive social benefits. Recentralization of governmental power has shifted responsibility to local governments, leading to increased reliance on corporate social investment. Despite this, international pressures and government initiatives have prompted some large Russian companies to engage in CSR activities, emphasizing transparency and environmental reporting. This chapter underscores the evolving landscape of CSR in Russia, characterized by a blend of historical legacies, international influences, and government encouragement.</w:t>
      </w:r>
    </w:p>
    <w:p w14:paraId="703259D9" w14:textId="77777777" w:rsidR="005F3B6A" w:rsidRPr="005F3B6A" w:rsidRDefault="005F3B6A" w:rsidP="005F3B6A">
      <w:pPr>
        <w:spacing w:line="360" w:lineRule="auto"/>
        <w:jc w:val="both"/>
        <w:rPr>
          <w:sz w:val="24"/>
          <w:szCs w:val="24"/>
        </w:rPr>
      </w:pPr>
    </w:p>
    <w:p w14:paraId="56ADC2E1" w14:textId="27CCAD51" w:rsidR="005F3B6A" w:rsidRPr="00E17620" w:rsidRDefault="005F3B6A" w:rsidP="00E17620">
      <w:pPr>
        <w:pStyle w:val="a9"/>
        <w:numPr>
          <w:ilvl w:val="0"/>
          <w:numId w:val="28"/>
        </w:numPr>
        <w:spacing w:line="360" w:lineRule="auto"/>
        <w:ind w:hanging="720"/>
        <w:jc w:val="both"/>
        <w:rPr>
          <w:b/>
          <w:bCs/>
          <w:sz w:val="24"/>
          <w:szCs w:val="24"/>
        </w:rPr>
      </w:pPr>
      <w:r w:rsidRPr="00E17620">
        <w:rPr>
          <w:b/>
          <w:bCs/>
          <w:sz w:val="24"/>
          <w:szCs w:val="24"/>
        </w:rPr>
        <w:t>CSR and Role of the State in China</w:t>
      </w:r>
    </w:p>
    <w:p w14:paraId="631A250D" w14:textId="77777777" w:rsidR="005F3B6A" w:rsidRPr="005F3B6A" w:rsidRDefault="005F3B6A" w:rsidP="005F3B6A">
      <w:pPr>
        <w:spacing w:line="360" w:lineRule="auto"/>
        <w:jc w:val="both"/>
        <w:rPr>
          <w:sz w:val="24"/>
          <w:szCs w:val="24"/>
        </w:rPr>
      </w:pPr>
      <w:r w:rsidRPr="005F3B6A">
        <w:rPr>
          <w:sz w:val="24"/>
          <w:szCs w:val="24"/>
        </w:rPr>
        <w:t>In China, CSR practices are rooted in ancient philosophy and shaped by state intervention. Confucian principles emphasize righteousness over profit, aligning with the traditional Chinese approach to CSR. State-owned enterprises historically played a crucial role in providing social services, reflecting Maoist ideals of serving the people. Over time, economic reforms and government initiatives have aimed to promote CSR, with a focus on building a harmonious society and achieving sustainable development. This section highlights the evolving nature of CSR in China, influenced by historical traditions, economic reforms, and government policies aimed at achieving social harmony and global competitiveness.</w:t>
      </w:r>
    </w:p>
    <w:p w14:paraId="7D0C5277" w14:textId="77777777" w:rsidR="005F3B6A" w:rsidRPr="005F3B6A" w:rsidRDefault="005F3B6A" w:rsidP="005F3B6A">
      <w:pPr>
        <w:spacing w:line="360" w:lineRule="auto"/>
        <w:jc w:val="both"/>
        <w:rPr>
          <w:sz w:val="24"/>
          <w:szCs w:val="24"/>
        </w:rPr>
      </w:pPr>
    </w:p>
    <w:p w14:paraId="5CC48AE7" w14:textId="673185E8" w:rsidR="005F3B6A" w:rsidRPr="00E17620" w:rsidRDefault="005F3B6A" w:rsidP="005F3B6A">
      <w:pPr>
        <w:spacing w:line="360" w:lineRule="auto"/>
        <w:jc w:val="both"/>
        <w:rPr>
          <w:b/>
          <w:bCs/>
          <w:sz w:val="24"/>
          <w:szCs w:val="24"/>
        </w:rPr>
      </w:pPr>
      <w:r w:rsidRPr="00E17620">
        <w:rPr>
          <w:b/>
          <w:bCs/>
          <w:sz w:val="24"/>
          <w:szCs w:val="24"/>
        </w:rPr>
        <w:t>Conclusion</w:t>
      </w:r>
    </w:p>
    <w:p w14:paraId="31947CB3" w14:textId="7B119A81" w:rsidR="00A419D8" w:rsidRDefault="005F3B6A" w:rsidP="005F3B6A">
      <w:pPr>
        <w:spacing w:line="360" w:lineRule="auto"/>
        <w:jc w:val="both"/>
        <w:rPr>
          <w:sz w:val="24"/>
          <w:szCs w:val="24"/>
        </w:rPr>
      </w:pPr>
      <w:r w:rsidRPr="005F3B6A">
        <w:rPr>
          <w:sz w:val="24"/>
          <w:szCs w:val="24"/>
        </w:rPr>
        <w:t>The examination of CSR in Russia and China underscores the complex interplay between historical legacies, government intervention, and global influences. While both countries exhibit deep-rooted traditions of CSR, shaped by their unique socio-political contexts, they also face evolving challenges and opportunities in the modern era. The role of state-owned enterprises emerges as a significant factor, with their capacity to address environmental issues and their historical role in providing social welfare. Moving forward, understanding the dynamics of CSR in these countries can provide valuable insights into the evolving landscape of corporate responsibility in emerging economies.</w:t>
      </w:r>
    </w:p>
    <w:p w14:paraId="2AFB147B" w14:textId="77777777" w:rsidR="00A419D8" w:rsidRDefault="00A419D8" w:rsidP="00A419D8">
      <w:pPr>
        <w:spacing w:line="360" w:lineRule="auto"/>
        <w:jc w:val="both"/>
        <w:rPr>
          <w:sz w:val="24"/>
          <w:szCs w:val="24"/>
        </w:rPr>
      </w:pPr>
    </w:p>
    <w:p w14:paraId="5EC81FC5" w14:textId="77777777" w:rsidR="002C086E" w:rsidRDefault="002C086E" w:rsidP="00A419D8">
      <w:pPr>
        <w:spacing w:line="360" w:lineRule="auto"/>
        <w:jc w:val="both"/>
        <w:rPr>
          <w:sz w:val="24"/>
          <w:szCs w:val="24"/>
        </w:rPr>
      </w:pPr>
    </w:p>
    <w:p w14:paraId="13A60785" w14:textId="77777777" w:rsidR="002C086E" w:rsidRDefault="002C086E" w:rsidP="00A419D8">
      <w:pPr>
        <w:spacing w:line="360" w:lineRule="auto"/>
        <w:jc w:val="both"/>
        <w:rPr>
          <w:sz w:val="24"/>
          <w:szCs w:val="24"/>
        </w:rPr>
      </w:pPr>
    </w:p>
    <w:p w14:paraId="1DCEA99A" w14:textId="77777777" w:rsidR="002C086E" w:rsidRDefault="002C086E" w:rsidP="00A419D8">
      <w:pPr>
        <w:spacing w:line="360" w:lineRule="auto"/>
        <w:jc w:val="both"/>
        <w:rPr>
          <w:sz w:val="24"/>
          <w:szCs w:val="24"/>
        </w:rPr>
      </w:pPr>
    </w:p>
    <w:p w14:paraId="05E61A00" w14:textId="77777777" w:rsidR="002C086E" w:rsidRDefault="002C086E" w:rsidP="00A419D8">
      <w:pPr>
        <w:spacing w:line="360" w:lineRule="auto"/>
        <w:jc w:val="both"/>
        <w:rPr>
          <w:sz w:val="24"/>
          <w:szCs w:val="24"/>
        </w:rPr>
      </w:pPr>
    </w:p>
    <w:p w14:paraId="52B80EDE" w14:textId="77777777" w:rsidR="00E17620" w:rsidRDefault="00E17620" w:rsidP="00A419D8">
      <w:pPr>
        <w:spacing w:line="360" w:lineRule="auto"/>
        <w:jc w:val="both"/>
        <w:rPr>
          <w:sz w:val="24"/>
          <w:szCs w:val="24"/>
        </w:rPr>
      </w:pPr>
    </w:p>
    <w:p w14:paraId="1A7B0D98" w14:textId="77777777" w:rsidR="00E17620" w:rsidRDefault="00E17620" w:rsidP="00A419D8">
      <w:pPr>
        <w:spacing w:line="360" w:lineRule="auto"/>
        <w:jc w:val="both"/>
        <w:rPr>
          <w:sz w:val="24"/>
          <w:szCs w:val="24"/>
        </w:rPr>
      </w:pPr>
    </w:p>
    <w:p w14:paraId="5646D3FE" w14:textId="77777777" w:rsidR="00E17620" w:rsidRDefault="00E17620" w:rsidP="00A419D8">
      <w:pPr>
        <w:spacing w:line="360" w:lineRule="auto"/>
        <w:jc w:val="both"/>
        <w:rPr>
          <w:sz w:val="24"/>
          <w:szCs w:val="24"/>
        </w:rPr>
      </w:pPr>
    </w:p>
    <w:p w14:paraId="2E084A39" w14:textId="77777777" w:rsidR="00E17620" w:rsidRDefault="00E17620" w:rsidP="00A419D8">
      <w:pPr>
        <w:spacing w:line="360" w:lineRule="auto"/>
        <w:jc w:val="both"/>
        <w:rPr>
          <w:sz w:val="24"/>
          <w:szCs w:val="24"/>
        </w:rPr>
      </w:pPr>
    </w:p>
    <w:p w14:paraId="0F67E047" w14:textId="77777777" w:rsidR="00E17620" w:rsidRDefault="00E17620" w:rsidP="00A419D8">
      <w:pPr>
        <w:spacing w:line="360" w:lineRule="auto"/>
        <w:jc w:val="both"/>
        <w:rPr>
          <w:sz w:val="24"/>
          <w:szCs w:val="24"/>
        </w:rPr>
      </w:pPr>
    </w:p>
    <w:p w14:paraId="59B7EE6C" w14:textId="77777777" w:rsidR="00E17620" w:rsidRDefault="00E17620" w:rsidP="00A419D8">
      <w:pPr>
        <w:spacing w:line="360" w:lineRule="auto"/>
        <w:jc w:val="both"/>
        <w:rPr>
          <w:sz w:val="24"/>
          <w:szCs w:val="24"/>
        </w:rPr>
      </w:pPr>
    </w:p>
    <w:p w14:paraId="11AD83B6" w14:textId="77777777" w:rsidR="00E17620" w:rsidRDefault="00E17620" w:rsidP="00A419D8">
      <w:pPr>
        <w:spacing w:line="360" w:lineRule="auto"/>
        <w:jc w:val="both"/>
        <w:rPr>
          <w:sz w:val="24"/>
          <w:szCs w:val="24"/>
        </w:rPr>
      </w:pPr>
    </w:p>
    <w:p w14:paraId="6978A371" w14:textId="77777777" w:rsidR="00E17620" w:rsidRDefault="00E17620" w:rsidP="00A419D8">
      <w:pPr>
        <w:spacing w:line="360" w:lineRule="auto"/>
        <w:jc w:val="both"/>
        <w:rPr>
          <w:sz w:val="24"/>
          <w:szCs w:val="24"/>
        </w:rPr>
      </w:pPr>
    </w:p>
    <w:p w14:paraId="5AA5BC7C" w14:textId="77777777" w:rsidR="00E17620" w:rsidRDefault="00E17620" w:rsidP="00A419D8">
      <w:pPr>
        <w:spacing w:line="360" w:lineRule="auto"/>
        <w:jc w:val="both"/>
        <w:rPr>
          <w:sz w:val="24"/>
          <w:szCs w:val="24"/>
        </w:rPr>
      </w:pPr>
    </w:p>
    <w:p w14:paraId="2825789B" w14:textId="77777777" w:rsidR="00E17620" w:rsidRDefault="00E17620" w:rsidP="00A419D8">
      <w:pPr>
        <w:spacing w:line="360" w:lineRule="auto"/>
        <w:jc w:val="both"/>
        <w:rPr>
          <w:sz w:val="24"/>
          <w:szCs w:val="24"/>
        </w:rPr>
      </w:pPr>
    </w:p>
    <w:p w14:paraId="6308747D" w14:textId="77777777" w:rsidR="00E17620" w:rsidRDefault="00E17620" w:rsidP="00A419D8">
      <w:pPr>
        <w:spacing w:line="360" w:lineRule="auto"/>
        <w:jc w:val="both"/>
        <w:rPr>
          <w:sz w:val="24"/>
          <w:szCs w:val="24"/>
        </w:rPr>
      </w:pPr>
    </w:p>
    <w:p w14:paraId="2534B674" w14:textId="77777777" w:rsidR="00E17620" w:rsidRDefault="00E17620" w:rsidP="00A419D8">
      <w:pPr>
        <w:spacing w:line="360" w:lineRule="auto"/>
        <w:jc w:val="both"/>
        <w:rPr>
          <w:sz w:val="24"/>
          <w:szCs w:val="24"/>
        </w:rPr>
      </w:pPr>
    </w:p>
    <w:p w14:paraId="62046854" w14:textId="77777777" w:rsidR="00E17620" w:rsidRDefault="00E17620" w:rsidP="00A419D8">
      <w:pPr>
        <w:spacing w:line="360" w:lineRule="auto"/>
        <w:jc w:val="both"/>
        <w:rPr>
          <w:sz w:val="24"/>
          <w:szCs w:val="24"/>
        </w:rPr>
      </w:pPr>
    </w:p>
    <w:p w14:paraId="59A29D78" w14:textId="77777777" w:rsidR="00E17620" w:rsidRDefault="00E17620" w:rsidP="00A419D8">
      <w:pPr>
        <w:spacing w:line="360" w:lineRule="auto"/>
        <w:jc w:val="both"/>
        <w:rPr>
          <w:sz w:val="24"/>
          <w:szCs w:val="24"/>
        </w:rPr>
      </w:pPr>
    </w:p>
    <w:p w14:paraId="42ED6FEA" w14:textId="77777777" w:rsidR="00E17620" w:rsidRDefault="00E17620" w:rsidP="00A419D8">
      <w:pPr>
        <w:spacing w:line="360" w:lineRule="auto"/>
        <w:jc w:val="both"/>
        <w:rPr>
          <w:sz w:val="24"/>
          <w:szCs w:val="24"/>
        </w:rPr>
      </w:pPr>
    </w:p>
    <w:p w14:paraId="2BF79D3D" w14:textId="77777777" w:rsidR="00E17620" w:rsidRDefault="00E17620" w:rsidP="00A419D8">
      <w:pPr>
        <w:spacing w:line="360" w:lineRule="auto"/>
        <w:jc w:val="both"/>
        <w:rPr>
          <w:sz w:val="24"/>
          <w:szCs w:val="24"/>
        </w:rPr>
      </w:pPr>
    </w:p>
    <w:p w14:paraId="4A64FC3D" w14:textId="77777777" w:rsidR="00E17620" w:rsidRDefault="00E17620" w:rsidP="00A419D8">
      <w:pPr>
        <w:spacing w:line="360" w:lineRule="auto"/>
        <w:jc w:val="both"/>
        <w:rPr>
          <w:sz w:val="24"/>
          <w:szCs w:val="24"/>
        </w:rPr>
      </w:pPr>
    </w:p>
    <w:p w14:paraId="0B562E0A" w14:textId="77777777" w:rsidR="00E17620" w:rsidRDefault="00E17620" w:rsidP="00A419D8">
      <w:pPr>
        <w:spacing w:line="360" w:lineRule="auto"/>
        <w:jc w:val="both"/>
        <w:rPr>
          <w:sz w:val="24"/>
          <w:szCs w:val="24"/>
        </w:rPr>
      </w:pPr>
    </w:p>
    <w:p w14:paraId="460607B1" w14:textId="77777777" w:rsidR="00E17620" w:rsidRDefault="00E17620" w:rsidP="00A419D8">
      <w:pPr>
        <w:spacing w:line="360" w:lineRule="auto"/>
        <w:jc w:val="both"/>
        <w:rPr>
          <w:sz w:val="24"/>
          <w:szCs w:val="24"/>
        </w:rPr>
      </w:pPr>
    </w:p>
    <w:p w14:paraId="687056E7" w14:textId="77777777" w:rsidR="00E17620" w:rsidRDefault="00E17620" w:rsidP="00A419D8">
      <w:pPr>
        <w:spacing w:line="360" w:lineRule="auto"/>
        <w:jc w:val="both"/>
        <w:rPr>
          <w:sz w:val="24"/>
          <w:szCs w:val="24"/>
        </w:rPr>
      </w:pPr>
    </w:p>
    <w:p w14:paraId="55D421CB" w14:textId="77777777" w:rsidR="00E17620" w:rsidRDefault="00E17620" w:rsidP="00A419D8">
      <w:pPr>
        <w:spacing w:line="360" w:lineRule="auto"/>
        <w:jc w:val="both"/>
        <w:rPr>
          <w:sz w:val="24"/>
          <w:szCs w:val="24"/>
        </w:rPr>
      </w:pPr>
    </w:p>
    <w:p w14:paraId="0D289B3A" w14:textId="77777777" w:rsidR="00E17620" w:rsidRDefault="00E17620" w:rsidP="00A419D8">
      <w:pPr>
        <w:spacing w:line="360" w:lineRule="auto"/>
        <w:jc w:val="both"/>
        <w:rPr>
          <w:sz w:val="24"/>
          <w:szCs w:val="24"/>
        </w:rPr>
      </w:pPr>
    </w:p>
    <w:p w14:paraId="25299937" w14:textId="77777777" w:rsidR="00E17620" w:rsidRPr="00A419D8" w:rsidRDefault="00E17620" w:rsidP="00A419D8">
      <w:pPr>
        <w:spacing w:line="360" w:lineRule="auto"/>
        <w:jc w:val="both"/>
        <w:rPr>
          <w:sz w:val="24"/>
          <w:szCs w:val="24"/>
        </w:rPr>
      </w:pPr>
    </w:p>
    <w:p w14:paraId="3093AAE2" w14:textId="3317E9A5" w:rsidR="00291B49" w:rsidRPr="009869AD" w:rsidRDefault="005D7278" w:rsidP="005D7278">
      <w:pPr>
        <w:pStyle w:val="1"/>
        <w:jc w:val="left"/>
        <w:rPr>
          <w:rFonts w:ascii="Times New Roman" w:hAnsi="Times New Roman"/>
          <w:sz w:val="32"/>
          <w:szCs w:val="32"/>
        </w:rPr>
      </w:pPr>
      <w:bookmarkStart w:id="12" w:name="_Toc167663316"/>
      <w:r>
        <w:rPr>
          <w:rFonts w:ascii="Times New Roman" w:hAnsi="Times New Roman" w:hint="eastAsia"/>
          <w:sz w:val="32"/>
          <w:szCs w:val="32"/>
          <w:lang w:eastAsia="ja-JP"/>
        </w:rPr>
        <w:t xml:space="preserve">Chapter 3. </w:t>
      </w:r>
      <w:r w:rsidR="00FA06C6">
        <w:rPr>
          <w:rFonts w:ascii="Times New Roman" w:hAnsi="Times New Roman"/>
          <w:sz w:val="32"/>
          <w:szCs w:val="32"/>
          <w:lang w:eastAsia="ja-JP"/>
        </w:rPr>
        <w:t>E</w:t>
      </w:r>
      <w:r w:rsidR="00FA06C6" w:rsidRPr="00B10856">
        <w:rPr>
          <w:rFonts w:ascii="Times New Roman" w:hAnsi="Times New Roman"/>
          <w:sz w:val="32"/>
          <w:szCs w:val="32"/>
        </w:rPr>
        <w:t>mp</w:t>
      </w:r>
      <w:r w:rsidR="00FA06C6">
        <w:rPr>
          <w:rFonts w:ascii="Times New Roman" w:hAnsi="Times New Roman"/>
          <w:sz w:val="32"/>
          <w:szCs w:val="32"/>
          <w:lang w:eastAsia="ja-JP"/>
        </w:rPr>
        <w:t>irical</w:t>
      </w:r>
      <w:r w:rsidR="00FA06C6" w:rsidRPr="00B10856">
        <w:rPr>
          <w:rFonts w:ascii="Times New Roman" w:hAnsi="Times New Roman"/>
          <w:sz w:val="32"/>
          <w:szCs w:val="32"/>
        </w:rPr>
        <w:t xml:space="preserve"> </w:t>
      </w:r>
      <w:r w:rsidR="00B10856" w:rsidRPr="00B10856">
        <w:rPr>
          <w:rFonts w:ascii="Times New Roman" w:hAnsi="Times New Roman"/>
          <w:sz w:val="32"/>
          <w:szCs w:val="32"/>
        </w:rPr>
        <w:t>Research</w:t>
      </w:r>
      <w:bookmarkEnd w:id="12"/>
      <w:r w:rsidR="00B10856" w:rsidRPr="00217639">
        <w:rPr>
          <w:rFonts w:ascii="Times New Roman" w:hAnsi="Times New Roman"/>
          <w:sz w:val="32"/>
          <w:szCs w:val="32"/>
        </w:rPr>
        <w:t xml:space="preserve"> </w:t>
      </w:r>
    </w:p>
    <w:p w14:paraId="2A57AED0" w14:textId="138141FC" w:rsidR="00291B49" w:rsidRPr="00E646C5" w:rsidRDefault="009869AD" w:rsidP="009869AD">
      <w:pPr>
        <w:spacing w:line="360" w:lineRule="auto"/>
        <w:jc w:val="both"/>
        <w:rPr>
          <w:sz w:val="24"/>
          <w:szCs w:val="24"/>
        </w:rPr>
      </w:pPr>
      <w:r w:rsidRPr="00E646C5">
        <w:rPr>
          <w:sz w:val="24"/>
          <w:szCs w:val="24"/>
        </w:rPr>
        <w:t>In the following section, I will develop an explanation of CSR disclosure by selecting highly relevant factors that influence CSR</w:t>
      </w:r>
      <w:r w:rsidRPr="00E646C5">
        <w:rPr>
          <w:rFonts w:hint="eastAsia"/>
          <w:sz w:val="24"/>
          <w:szCs w:val="24"/>
        </w:rPr>
        <w:t xml:space="preserve"> disclosure </w:t>
      </w:r>
      <w:r w:rsidRPr="00E646C5">
        <w:rPr>
          <w:sz w:val="24"/>
          <w:szCs w:val="24"/>
        </w:rPr>
        <w:t xml:space="preserve">based on the theoretical framework presented in the previous </w:t>
      </w:r>
      <w:r w:rsidRPr="00E646C5">
        <w:rPr>
          <w:rFonts w:hint="eastAsia"/>
          <w:sz w:val="24"/>
          <w:szCs w:val="24"/>
        </w:rPr>
        <w:t>chapter</w:t>
      </w:r>
      <w:r w:rsidRPr="00E646C5">
        <w:rPr>
          <w:sz w:val="24"/>
          <w:szCs w:val="24"/>
        </w:rPr>
        <w:t xml:space="preserve">. For each variable, the anticipated relationship with CSR disclosure will </w:t>
      </w:r>
      <w:r w:rsidRPr="00E646C5">
        <w:rPr>
          <w:rFonts w:hint="eastAsia"/>
          <w:sz w:val="24"/>
          <w:szCs w:val="24"/>
        </w:rPr>
        <w:t xml:space="preserve">be </w:t>
      </w:r>
      <w:r w:rsidRPr="00E646C5">
        <w:rPr>
          <w:sz w:val="24"/>
          <w:szCs w:val="24"/>
        </w:rPr>
        <w:t>discuss</w:t>
      </w:r>
      <w:r w:rsidRPr="00E646C5">
        <w:rPr>
          <w:rFonts w:hint="eastAsia"/>
          <w:sz w:val="24"/>
          <w:szCs w:val="24"/>
        </w:rPr>
        <w:t xml:space="preserve">ed, </w:t>
      </w:r>
      <w:r w:rsidRPr="00E646C5">
        <w:rPr>
          <w:sz w:val="24"/>
          <w:szCs w:val="24"/>
        </w:rPr>
        <w:t>based on existing literature.</w:t>
      </w:r>
    </w:p>
    <w:p w14:paraId="712B3101" w14:textId="77777777" w:rsidR="009869AD" w:rsidRDefault="009869AD" w:rsidP="00217639"/>
    <w:p w14:paraId="2D454EA3" w14:textId="77777777" w:rsidR="009869AD" w:rsidRPr="00217639" w:rsidRDefault="009869AD" w:rsidP="00217639"/>
    <w:p w14:paraId="2D247CD3" w14:textId="77777777" w:rsidR="00B10856" w:rsidRDefault="00B10856" w:rsidP="00B10856">
      <w:pPr>
        <w:pStyle w:val="2"/>
        <w:numPr>
          <w:ilvl w:val="1"/>
          <w:numId w:val="6"/>
        </w:numPr>
        <w:tabs>
          <w:tab w:val="clear" w:pos="708"/>
          <w:tab w:val="clear" w:pos="1416"/>
        </w:tabs>
        <w:ind w:left="990" w:hanging="630"/>
        <w:jc w:val="left"/>
        <w:rPr>
          <w:rFonts w:ascii="Times New Roman" w:hAnsi="Times New Roman"/>
          <w:i/>
          <w:iCs/>
          <w:sz w:val="32"/>
          <w:szCs w:val="32"/>
        </w:rPr>
      </w:pPr>
      <w:bookmarkStart w:id="13" w:name="_Toc167663317"/>
      <w:r w:rsidRPr="00B10856">
        <w:rPr>
          <w:rFonts w:ascii="Times New Roman" w:hAnsi="Times New Roman"/>
          <w:i/>
          <w:iCs/>
          <w:sz w:val="32"/>
          <w:szCs w:val="32"/>
        </w:rPr>
        <w:t>Hypothesis</w:t>
      </w:r>
      <w:bookmarkEnd w:id="13"/>
    </w:p>
    <w:p w14:paraId="38F8C77E" w14:textId="77777777" w:rsidR="00BB55ED" w:rsidRDefault="00BB55ED" w:rsidP="00BB55ED">
      <w:pPr>
        <w:rPr>
          <w:lang w:eastAsia="en-US"/>
        </w:rPr>
      </w:pPr>
    </w:p>
    <w:p w14:paraId="6BEF3352" w14:textId="66133BE3" w:rsidR="00983FD2" w:rsidRPr="005E373F" w:rsidRDefault="00983FD2" w:rsidP="00983FD2">
      <w:pPr>
        <w:spacing w:line="360" w:lineRule="auto"/>
        <w:jc w:val="both"/>
        <w:rPr>
          <w:b/>
          <w:bCs/>
          <w:sz w:val="24"/>
          <w:szCs w:val="24"/>
        </w:rPr>
      </w:pPr>
      <w:r w:rsidRPr="005E373F">
        <w:rPr>
          <w:b/>
          <w:bCs/>
          <w:sz w:val="24"/>
          <w:szCs w:val="24"/>
        </w:rPr>
        <w:t>Ownership Structure (SOEs / non-SOEs)</w:t>
      </w:r>
    </w:p>
    <w:p w14:paraId="0E1B2151" w14:textId="334530FB" w:rsidR="00983FD2" w:rsidRPr="00330EB4" w:rsidRDefault="00983FD2" w:rsidP="00983FD2">
      <w:pPr>
        <w:spacing w:line="360" w:lineRule="auto"/>
        <w:jc w:val="both"/>
        <w:rPr>
          <w:sz w:val="24"/>
          <w:szCs w:val="24"/>
        </w:rPr>
      </w:pPr>
      <w:r w:rsidRPr="005E373F">
        <w:rPr>
          <w:sz w:val="24"/>
          <w:szCs w:val="24"/>
        </w:rPr>
        <w:t xml:space="preserve">According to stakeholder theory, the actions of SOEs should align with the expectations of their stakeholders. The organization's ownership structure and dependence </w:t>
      </w:r>
      <w:r w:rsidR="000E2212">
        <w:rPr>
          <w:sz w:val="24"/>
          <w:szCs w:val="24"/>
        </w:rPr>
        <w:t xml:space="preserve">can be </w:t>
      </w:r>
      <w:r w:rsidR="00CE4E6B">
        <w:rPr>
          <w:sz w:val="24"/>
          <w:szCs w:val="24"/>
        </w:rPr>
        <w:t xml:space="preserve">determinant factor of </w:t>
      </w:r>
      <w:r w:rsidRPr="005E373F">
        <w:rPr>
          <w:sz w:val="24"/>
          <w:szCs w:val="24"/>
        </w:rPr>
        <w:t>a few large investors or numerous investors affecting disclosure policies (Tagesson et al., 200</w:t>
      </w:r>
      <w:r w:rsidR="000654B8" w:rsidRPr="005E373F">
        <w:rPr>
          <w:sz w:val="24"/>
          <w:szCs w:val="24"/>
        </w:rPr>
        <w:t>9</w:t>
      </w:r>
      <w:r w:rsidRPr="005E373F">
        <w:rPr>
          <w:sz w:val="24"/>
          <w:szCs w:val="24"/>
        </w:rPr>
        <w:t>; Cormier et al., 2005)</w:t>
      </w:r>
      <w:r w:rsidR="008E2230">
        <w:rPr>
          <w:sz w:val="24"/>
          <w:szCs w:val="24"/>
        </w:rPr>
        <w:t xml:space="preserve">, since enterprise </w:t>
      </w:r>
      <w:r w:rsidR="00A76B13" w:rsidRPr="00A76B13">
        <w:rPr>
          <w:sz w:val="24"/>
          <w:szCs w:val="24"/>
        </w:rPr>
        <w:t xml:space="preserve">implementing CSR are perceived as more attractive to investors (Coffey &amp; Fryxell, 1991). </w:t>
      </w:r>
      <w:r w:rsidR="00A76B13" w:rsidRPr="00CF4E6C">
        <w:rPr>
          <w:sz w:val="24"/>
          <w:szCs w:val="24"/>
        </w:rPr>
        <w:t>In</w:t>
      </w:r>
      <w:r w:rsidR="00330EB4" w:rsidRPr="00CF4E6C">
        <w:rPr>
          <w:sz w:val="24"/>
          <w:szCs w:val="24"/>
        </w:rPr>
        <w:t xml:space="preserve"> the</w:t>
      </w:r>
      <w:r w:rsidR="00A76B13" w:rsidRPr="00CF4E6C">
        <w:rPr>
          <w:sz w:val="24"/>
          <w:szCs w:val="24"/>
        </w:rPr>
        <w:t xml:space="preserve"> cases of higher levels of </w:t>
      </w:r>
      <w:r w:rsidR="008B283B" w:rsidRPr="00CF4E6C">
        <w:rPr>
          <w:sz w:val="24"/>
          <w:szCs w:val="24"/>
        </w:rPr>
        <w:t>state-owned</w:t>
      </w:r>
      <w:r w:rsidR="00FB68F0" w:rsidRPr="00CF4E6C">
        <w:rPr>
          <w:sz w:val="24"/>
          <w:szCs w:val="24"/>
        </w:rPr>
        <w:t xml:space="preserve"> enterprise</w:t>
      </w:r>
      <w:r w:rsidR="00A76B13" w:rsidRPr="00CF4E6C">
        <w:rPr>
          <w:sz w:val="24"/>
          <w:szCs w:val="24"/>
        </w:rPr>
        <w:t xml:space="preserve">, it can be argued that management actively </w:t>
      </w:r>
      <w:r w:rsidR="003C17E3" w:rsidRPr="00CF4E6C">
        <w:rPr>
          <w:sz w:val="24"/>
          <w:szCs w:val="24"/>
        </w:rPr>
        <w:t xml:space="preserve">try to </w:t>
      </w:r>
      <w:r w:rsidR="00A76B13" w:rsidRPr="00CF4E6C">
        <w:rPr>
          <w:sz w:val="24"/>
          <w:szCs w:val="24"/>
        </w:rPr>
        <w:t xml:space="preserve">respond to external </w:t>
      </w:r>
      <w:r w:rsidR="000F6E64" w:rsidRPr="00CF4E6C">
        <w:rPr>
          <w:sz w:val="24"/>
          <w:szCs w:val="24"/>
        </w:rPr>
        <w:t>demands, including the current trend of CSR</w:t>
      </w:r>
      <w:r w:rsidR="008C3C08" w:rsidRPr="00CF4E6C">
        <w:rPr>
          <w:sz w:val="24"/>
          <w:szCs w:val="24"/>
        </w:rPr>
        <w:t>. Based on these assertions, the following hypothesis is proposed:</w:t>
      </w:r>
      <w:r w:rsidRPr="00330EB4">
        <w:rPr>
          <w:i/>
          <w:iCs/>
          <w:sz w:val="24"/>
          <w:szCs w:val="24"/>
        </w:rPr>
        <w:t xml:space="preserve"> </w:t>
      </w:r>
      <w:r w:rsidR="00533280" w:rsidRPr="00330EB4">
        <w:rPr>
          <w:i/>
          <w:iCs/>
          <w:sz w:val="24"/>
          <w:szCs w:val="24"/>
        </w:rPr>
        <w:t xml:space="preserve"> </w:t>
      </w:r>
    </w:p>
    <w:p w14:paraId="7C53F3D5" w14:textId="4D36A560" w:rsidR="00C124C4" w:rsidRDefault="00C124C4" w:rsidP="00983FD2">
      <w:pPr>
        <w:spacing w:line="360" w:lineRule="auto"/>
        <w:jc w:val="both"/>
        <w:rPr>
          <w:i/>
          <w:iCs/>
          <w:sz w:val="24"/>
          <w:szCs w:val="24"/>
        </w:rPr>
      </w:pPr>
      <w:r w:rsidRPr="00330EB4">
        <w:rPr>
          <w:i/>
          <w:iCs/>
          <w:sz w:val="24"/>
          <w:szCs w:val="24"/>
        </w:rPr>
        <w:t xml:space="preserve">H1. State ownership of enterprises is positively related to their CSR </w:t>
      </w:r>
      <w:r w:rsidR="00705FAB" w:rsidRPr="00330EB4">
        <w:rPr>
          <w:i/>
          <w:iCs/>
          <w:sz w:val="24"/>
          <w:szCs w:val="24"/>
        </w:rPr>
        <w:t>dis</w:t>
      </w:r>
      <w:r w:rsidR="00DE3343" w:rsidRPr="00330EB4">
        <w:rPr>
          <w:i/>
          <w:iCs/>
          <w:sz w:val="24"/>
          <w:szCs w:val="24"/>
        </w:rPr>
        <w:t>closure</w:t>
      </w:r>
      <w:r w:rsidRPr="00330EB4">
        <w:rPr>
          <w:i/>
          <w:iCs/>
          <w:sz w:val="24"/>
          <w:szCs w:val="24"/>
        </w:rPr>
        <w:t>.</w:t>
      </w:r>
    </w:p>
    <w:p w14:paraId="169DE855" w14:textId="77777777" w:rsidR="005E373F" w:rsidRDefault="005E373F" w:rsidP="00983FD2">
      <w:pPr>
        <w:spacing w:line="360" w:lineRule="auto"/>
        <w:jc w:val="both"/>
        <w:rPr>
          <w:sz w:val="24"/>
          <w:szCs w:val="24"/>
        </w:rPr>
      </w:pPr>
    </w:p>
    <w:p w14:paraId="25664DAF" w14:textId="0B47490B" w:rsidR="00983FD2" w:rsidRPr="005E373F" w:rsidRDefault="00C124C4" w:rsidP="00983FD2">
      <w:pPr>
        <w:spacing w:line="360" w:lineRule="auto"/>
        <w:jc w:val="both"/>
        <w:rPr>
          <w:b/>
          <w:bCs/>
          <w:sz w:val="24"/>
          <w:szCs w:val="24"/>
        </w:rPr>
      </w:pPr>
      <w:r>
        <w:rPr>
          <w:b/>
          <w:bCs/>
          <w:sz w:val="24"/>
          <w:szCs w:val="24"/>
        </w:rPr>
        <w:t>Influence of the industry type</w:t>
      </w:r>
    </w:p>
    <w:p w14:paraId="54C7A15B" w14:textId="1CDD4708" w:rsidR="002B0C18" w:rsidRDefault="008C3C08" w:rsidP="00090A80">
      <w:pPr>
        <w:spacing w:line="360" w:lineRule="auto"/>
        <w:jc w:val="both"/>
        <w:rPr>
          <w:sz w:val="24"/>
          <w:szCs w:val="24"/>
        </w:rPr>
      </w:pPr>
      <w:r w:rsidRPr="008C3C08">
        <w:rPr>
          <w:sz w:val="24"/>
          <w:szCs w:val="24"/>
        </w:rPr>
        <w:t xml:space="preserve">According to legitimacy theory, companies operating in environmentally sensitive industries or those well-known to the public with </w:t>
      </w:r>
      <w:r w:rsidR="007D5490">
        <w:rPr>
          <w:sz w:val="24"/>
          <w:szCs w:val="24"/>
        </w:rPr>
        <w:t>significant</w:t>
      </w:r>
      <w:r w:rsidRPr="008C3C08">
        <w:rPr>
          <w:sz w:val="24"/>
          <w:szCs w:val="24"/>
        </w:rPr>
        <w:t xml:space="preserve"> environmental impacts </w:t>
      </w:r>
      <w:r w:rsidR="007D5490">
        <w:rPr>
          <w:sz w:val="24"/>
          <w:szCs w:val="24"/>
        </w:rPr>
        <w:t xml:space="preserve">tend </w:t>
      </w:r>
      <w:r w:rsidRPr="008C3C08">
        <w:rPr>
          <w:sz w:val="24"/>
          <w:szCs w:val="24"/>
        </w:rPr>
        <w:t>to disclose more social responsibility information (</w:t>
      </w:r>
      <w:proofErr w:type="spellStart"/>
      <w:r w:rsidRPr="008C3C08">
        <w:rPr>
          <w:sz w:val="24"/>
          <w:szCs w:val="24"/>
        </w:rPr>
        <w:t>Reverte</w:t>
      </w:r>
      <w:proofErr w:type="spellEnd"/>
      <w:r w:rsidRPr="008C3C08">
        <w:rPr>
          <w:sz w:val="24"/>
          <w:szCs w:val="24"/>
        </w:rPr>
        <w:t xml:space="preserve">, 2009). Deegan &amp; Jeffry (2006) indicate that companies </w:t>
      </w:r>
      <w:r w:rsidR="007D5490">
        <w:rPr>
          <w:sz w:val="24"/>
          <w:szCs w:val="24"/>
        </w:rPr>
        <w:t>belonging to</w:t>
      </w:r>
      <w:r w:rsidRPr="008C3C08">
        <w:rPr>
          <w:sz w:val="24"/>
          <w:szCs w:val="24"/>
        </w:rPr>
        <w:t xml:space="preserve"> different industries </w:t>
      </w:r>
      <w:r w:rsidR="007D5490">
        <w:rPr>
          <w:sz w:val="24"/>
          <w:szCs w:val="24"/>
        </w:rPr>
        <w:t>exhibit</w:t>
      </w:r>
      <w:r w:rsidRPr="008C3C08">
        <w:rPr>
          <w:sz w:val="24"/>
          <w:szCs w:val="24"/>
        </w:rPr>
        <w:t xml:space="preserve"> significant </w:t>
      </w:r>
      <w:r w:rsidR="007D5490">
        <w:rPr>
          <w:sz w:val="24"/>
          <w:szCs w:val="24"/>
        </w:rPr>
        <w:t xml:space="preserve">differences </w:t>
      </w:r>
      <w:r w:rsidRPr="008C3C08">
        <w:rPr>
          <w:sz w:val="24"/>
          <w:szCs w:val="24"/>
        </w:rPr>
        <w:t xml:space="preserve">in the level and type of disclosure. </w:t>
      </w:r>
      <w:r w:rsidR="004F5CE0">
        <w:rPr>
          <w:sz w:val="24"/>
          <w:szCs w:val="24"/>
        </w:rPr>
        <w:t xml:space="preserve">And </w:t>
      </w:r>
      <w:r w:rsidRPr="008C3C08">
        <w:rPr>
          <w:sz w:val="24"/>
          <w:szCs w:val="24"/>
        </w:rPr>
        <w:t>various empirical studies have found a positive and significant relationship between CSR disclosure</w:t>
      </w:r>
      <w:r w:rsidR="004F5CE0">
        <w:rPr>
          <w:sz w:val="24"/>
          <w:szCs w:val="24"/>
        </w:rPr>
        <w:t xml:space="preserve"> </w:t>
      </w:r>
      <w:r w:rsidRPr="008C3C08">
        <w:rPr>
          <w:sz w:val="24"/>
          <w:szCs w:val="24"/>
        </w:rPr>
        <w:t xml:space="preserve">and industry type (Wanderley et al., 2008). </w:t>
      </w:r>
      <w:r w:rsidR="004F5EF9">
        <w:rPr>
          <w:rFonts w:hint="eastAsia"/>
          <w:sz w:val="24"/>
          <w:szCs w:val="24"/>
        </w:rPr>
        <w:t>H</w:t>
      </w:r>
      <w:r w:rsidR="004F5EF9" w:rsidRPr="004F5EF9">
        <w:rPr>
          <w:sz w:val="24"/>
          <w:szCs w:val="24"/>
        </w:rPr>
        <w:t xml:space="preserve">igh resource industries </w:t>
      </w:r>
      <w:r w:rsidR="00B85871">
        <w:rPr>
          <w:rFonts w:hint="eastAsia"/>
          <w:sz w:val="24"/>
          <w:szCs w:val="24"/>
        </w:rPr>
        <w:t xml:space="preserve">(i.e., oil, </w:t>
      </w:r>
      <w:r w:rsidR="00234E95">
        <w:rPr>
          <w:rFonts w:hint="eastAsia"/>
          <w:sz w:val="24"/>
          <w:szCs w:val="24"/>
        </w:rPr>
        <w:t>mining industry</w:t>
      </w:r>
      <w:r w:rsidR="00B85871">
        <w:rPr>
          <w:rFonts w:hint="eastAsia"/>
          <w:sz w:val="24"/>
          <w:szCs w:val="24"/>
        </w:rPr>
        <w:t xml:space="preserve">) </w:t>
      </w:r>
      <w:r w:rsidR="004F5EF9" w:rsidRPr="004F5EF9">
        <w:rPr>
          <w:sz w:val="24"/>
          <w:szCs w:val="24"/>
        </w:rPr>
        <w:t xml:space="preserve">are more environmentally </w:t>
      </w:r>
      <w:r w:rsidR="004F5EF9" w:rsidRPr="004F5EF9">
        <w:rPr>
          <w:sz w:val="24"/>
          <w:szCs w:val="24"/>
        </w:rPr>
        <w:t>harmful,</w:t>
      </w:r>
      <w:r w:rsidR="004F5EF9" w:rsidRPr="004F5EF9">
        <w:rPr>
          <w:sz w:val="24"/>
          <w:szCs w:val="24"/>
        </w:rPr>
        <w:t xml:space="preserve"> and the moderation is stronger, than for low resource industries</w:t>
      </w:r>
      <w:r w:rsidR="004F5EF9">
        <w:rPr>
          <w:rFonts w:hint="eastAsia"/>
          <w:sz w:val="24"/>
          <w:szCs w:val="24"/>
        </w:rPr>
        <w:t xml:space="preserve">. </w:t>
      </w:r>
      <w:r w:rsidRPr="008C3C08">
        <w:rPr>
          <w:sz w:val="24"/>
          <w:szCs w:val="24"/>
        </w:rPr>
        <w:t>This could potentially impact CSR disclosure performance.</w:t>
      </w:r>
      <w:r w:rsidR="002B0C18">
        <w:rPr>
          <w:sz w:val="24"/>
          <w:szCs w:val="24"/>
        </w:rPr>
        <w:t xml:space="preserve"> </w:t>
      </w:r>
      <w:r w:rsidRPr="008C3C08">
        <w:rPr>
          <w:sz w:val="24"/>
          <w:szCs w:val="24"/>
        </w:rPr>
        <w:t>Based on these assertions, the following hypothesis is proposed:</w:t>
      </w:r>
    </w:p>
    <w:p w14:paraId="31F4312A" w14:textId="5D05D743" w:rsidR="00940DDF" w:rsidRDefault="00C124C4" w:rsidP="00090A80">
      <w:pPr>
        <w:spacing w:line="360" w:lineRule="auto"/>
        <w:jc w:val="both"/>
        <w:rPr>
          <w:i/>
          <w:iCs/>
          <w:sz w:val="24"/>
          <w:szCs w:val="24"/>
        </w:rPr>
      </w:pPr>
      <w:r>
        <w:rPr>
          <w:i/>
          <w:iCs/>
          <w:sz w:val="24"/>
          <w:szCs w:val="24"/>
        </w:rPr>
        <w:t xml:space="preserve">H2. </w:t>
      </w:r>
      <w:r w:rsidR="0060726F" w:rsidRPr="0060726F">
        <w:rPr>
          <w:i/>
          <w:iCs/>
          <w:sz w:val="24"/>
          <w:szCs w:val="24"/>
        </w:rPr>
        <w:t>Industry type positively moderates the relationship between SOE and CSR disclosure, such that in resource intensive industries this relationship becomes stronger</w:t>
      </w:r>
      <w:r w:rsidR="0060726F">
        <w:rPr>
          <w:i/>
          <w:iCs/>
          <w:sz w:val="24"/>
          <w:szCs w:val="24"/>
        </w:rPr>
        <w:t>.</w:t>
      </w:r>
    </w:p>
    <w:p w14:paraId="032710A4" w14:textId="77777777" w:rsidR="002B0C18" w:rsidRDefault="002B0C18" w:rsidP="00983FD2">
      <w:pPr>
        <w:spacing w:line="360" w:lineRule="auto"/>
        <w:jc w:val="both"/>
        <w:rPr>
          <w:sz w:val="24"/>
          <w:szCs w:val="24"/>
        </w:rPr>
      </w:pPr>
    </w:p>
    <w:p w14:paraId="4FBDC615" w14:textId="65A84334" w:rsidR="00983FD2" w:rsidRPr="002B0C18" w:rsidRDefault="00596EAF" w:rsidP="00983FD2">
      <w:pPr>
        <w:spacing w:line="360" w:lineRule="auto"/>
        <w:jc w:val="both"/>
        <w:rPr>
          <w:b/>
          <w:bCs/>
          <w:sz w:val="24"/>
          <w:szCs w:val="24"/>
        </w:rPr>
      </w:pPr>
      <w:r w:rsidRPr="002B0C18">
        <w:rPr>
          <w:rFonts w:hint="eastAsia"/>
          <w:b/>
          <w:bCs/>
          <w:sz w:val="24"/>
          <w:szCs w:val="24"/>
        </w:rPr>
        <w:t>Size of commissioners</w:t>
      </w:r>
      <w:r w:rsidR="008C3C08" w:rsidRPr="002B0C18">
        <w:rPr>
          <w:rFonts w:hint="eastAsia"/>
          <w:b/>
          <w:bCs/>
          <w:sz w:val="24"/>
          <w:szCs w:val="24"/>
        </w:rPr>
        <w:t xml:space="preserve"> (independent directors)</w:t>
      </w:r>
    </w:p>
    <w:p w14:paraId="697C6112" w14:textId="794A9212" w:rsidR="008C3C08" w:rsidRPr="00C15FA3" w:rsidRDefault="008C3C08" w:rsidP="00C15FA3">
      <w:pPr>
        <w:spacing w:line="360" w:lineRule="auto"/>
        <w:jc w:val="both"/>
        <w:rPr>
          <w:sz w:val="24"/>
          <w:szCs w:val="24"/>
        </w:rPr>
      </w:pPr>
      <w:r w:rsidRPr="00C15FA3">
        <w:rPr>
          <w:sz w:val="24"/>
          <w:szCs w:val="24"/>
        </w:rPr>
        <w:t xml:space="preserve">The size of the board of independent directors </w:t>
      </w:r>
      <w:r w:rsidR="008F236F" w:rsidRPr="00C15FA3">
        <w:rPr>
          <w:rFonts w:hint="eastAsia"/>
          <w:sz w:val="24"/>
          <w:szCs w:val="24"/>
        </w:rPr>
        <w:t>can be</w:t>
      </w:r>
      <w:r w:rsidRPr="00C15FA3">
        <w:rPr>
          <w:sz w:val="24"/>
          <w:szCs w:val="24"/>
        </w:rPr>
        <w:t xml:space="preserve"> </w:t>
      </w:r>
      <w:r w:rsidR="008F236F" w:rsidRPr="00C15FA3">
        <w:rPr>
          <w:rFonts w:hint="eastAsia"/>
          <w:sz w:val="24"/>
          <w:szCs w:val="24"/>
        </w:rPr>
        <w:t>moderator</w:t>
      </w:r>
      <w:r w:rsidRPr="00C15FA3">
        <w:rPr>
          <w:sz w:val="24"/>
          <w:szCs w:val="24"/>
        </w:rPr>
        <w:t xml:space="preserve"> variable related to CSR. According to </w:t>
      </w:r>
      <w:proofErr w:type="spellStart"/>
      <w:r w:rsidRPr="00C15FA3">
        <w:rPr>
          <w:sz w:val="24"/>
          <w:szCs w:val="24"/>
        </w:rPr>
        <w:t>Sembiring</w:t>
      </w:r>
      <w:proofErr w:type="spellEnd"/>
      <w:r w:rsidRPr="00C15FA3">
        <w:rPr>
          <w:sz w:val="24"/>
          <w:szCs w:val="24"/>
        </w:rPr>
        <w:t xml:space="preserve"> (2005), the more independent directors there are, the more effective </w:t>
      </w:r>
      <w:r w:rsidR="00C15FA3" w:rsidRPr="00C15FA3">
        <w:rPr>
          <w:rFonts w:hint="eastAsia"/>
          <w:sz w:val="24"/>
          <w:szCs w:val="24"/>
        </w:rPr>
        <w:t>the control and monitoring conducted</w:t>
      </w:r>
      <w:r w:rsidRPr="00C15FA3">
        <w:rPr>
          <w:sz w:val="24"/>
          <w:szCs w:val="24"/>
        </w:rPr>
        <w:t xml:space="preserve"> by the CEO will be. </w:t>
      </w:r>
      <w:r w:rsidR="00C15FA3" w:rsidRPr="00C15FA3">
        <w:rPr>
          <w:sz w:val="24"/>
          <w:szCs w:val="24"/>
        </w:rPr>
        <w:t>And</w:t>
      </w:r>
      <w:r w:rsidR="00C15FA3" w:rsidRPr="00C15FA3">
        <w:rPr>
          <w:rFonts w:hint="eastAsia"/>
          <w:sz w:val="24"/>
          <w:szCs w:val="24"/>
        </w:rPr>
        <w:t xml:space="preserve"> t</w:t>
      </w:r>
      <w:r w:rsidRPr="00C15FA3">
        <w:rPr>
          <w:sz w:val="24"/>
          <w:szCs w:val="24"/>
        </w:rPr>
        <w:t xml:space="preserve">he presence of independent directors further enhances the effectiveness of </w:t>
      </w:r>
      <w:r w:rsidR="00C15FA3" w:rsidRPr="00C15FA3">
        <w:rPr>
          <w:rFonts w:hint="eastAsia"/>
          <w:sz w:val="24"/>
          <w:szCs w:val="24"/>
        </w:rPr>
        <w:t>supervision</w:t>
      </w:r>
      <w:r w:rsidRPr="00C15FA3">
        <w:rPr>
          <w:sz w:val="24"/>
          <w:szCs w:val="24"/>
        </w:rPr>
        <w:t>.</w:t>
      </w:r>
    </w:p>
    <w:p w14:paraId="4BF61E41" w14:textId="4DA8DCFF" w:rsidR="008C3C08" w:rsidRPr="00C15FA3" w:rsidRDefault="008C3C08" w:rsidP="00C15FA3">
      <w:pPr>
        <w:spacing w:line="360" w:lineRule="auto"/>
        <w:jc w:val="both"/>
        <w:rPr>
          <w:sz w:val="24"/>
          <w:szCs w:val="24"/>
        </w:rPr>
      </w:pPr>
      <w:r w:rsidRPr="00C15FA3">
        <w:rPr>
          <w:sz w:val="24"/>
          <w:szCs w:val="24"/>
        </w:rPr>
        <w:t xml:space="preserve">From the perspective of stakeholder theory, a larger board with more independent directors is likely to incorporate a wider range of perspectives and stakeholder opinions, thereby increasing the likelihood of effective CSR implementation and disclosure. </w:t>
      </w:r>
      <w:r w:rsidR="008F236F" w:rsidRPr="00C15FA3">
        <w:rPr>
          <w:sz w:val="24"/>
          <w:szCs w:val="24"/>
        </w:rPr>
        <w:t>Although</w:t>
      </w:r>
      <w:r w:rsidRPr="00C15FA3">
        <w:rPr>
          <w:sz w:val="24"/>
          <w:szCs w:val="24"/>
        </w:rPr>
        <w:t xml:space="preserve"> </w:t>
      </w:r>
      <w:r w:rsidR="008F236F" w:rsidRPr="00C15FA3">
        <w:rPr>
          <w:rFonts w:hint="eastAsia"/>
          <w:sz w:val="24"/>
          <w:szCs w:val="24"/>
        </w:rPr>
        <w:t xml:space="preserve">if </w:t>
      </w:r>
      <w:r w:rsidR="00C15FA3" w:rsidRPr="00C15FA3">
        <w:rPr>
          <w:rFonts w:hint="eastAsia"/>
          <w:sz w:val="24"/>
          <w:szCs w:val="24"/>
        </w:rPr>
        <w:t xml:space="preserve">there is a leadership with </w:t>
      </w:r>
      <w:r w:rsidRPr="00C15FA3">
        <w:rPr>
          <w:sz w:val="24"/>
          <w:szCs w:val="24"/>
        </w:rPr>
        <w:t xml:space="preserve">a high moral sense, it is likely that the company is properly implementing CSR, if the leadership is solely focused on shareholder satisfaction or personal performance achievements, CSR policies might only serve as a </w:t>
      </w:r>
      <w:r w:rsidR="008F236F" w:rsidRPr="00C15FA3">
        <w:rPr>
          <w:sz w:val="24"/>
          <w:szCs w:val="24"/>
        </w:rPr>
        <w:t>pretense</w:t>
      </w:r>
      <w:r w:rsidRPr="00C15FA3">
        <w:rPr>
          <w:sz w:val="24"/>
          <w:szCs w:val="24"/>
        </w:rPr>
        <w:t xml:space="preserve">. </w:t>
      </w:r>
      <w:r w:rsidR="00C15FA3" w:rsidRPr="00C15FA3">
        <w:rPr>
          <w:rFonts w:hint="eastAsia"/>
          <w:sz w:val="24"/>
          <w:szCs w:val="24"/>
        </w:rPr>
        <w:t>Having</w:t>
      </w:r>
      <w:r w:rsidRPr="00C15FA3">
        <w:rPr>
          <w:sz w:val="24"/>
          <w:szCs w:val="24"/>
        </w:rPr>
        <w:t xml:space="preserve"> more independent directors on the board</w:t>
      </w:r>
      <w:r w:rsidR="00C15FA3" w:rsidRPr="00C15FA3">
        <w:rPr>
          <w:rFonts w:hint="eastAsia"/>
          <w:sz w:val="24"/>
          <w:szCs w:val="24"/>
        </w:rPr>
        <w:t xml:space="preserve"> would be a </w:t>
      </w:r>
      <w:r w:rsidRPr="00C15FA3">
        <w:rPr>
          <w:sz w:val="24"/>
          <w:szCs w:val="24"/>
        </w:rPr>
        <w:t>greater the opportunity for the company to disclose social information,</w:t>
      </w:r>
      <w:r w:rsidR="00C15FA3" w:rsidRPr="00C15FA3">
        <w:rPr>
          <w:rFonts w:hint="eastAsia"/>
          <w:sz w:val="24"/>
          <w:szCs w:val="24"/>
        </w:rPr>
        <w:t xml:space="preserve"> with</w:t>
      </w:r>
      <w:r w:rsidR="008F236F" w:rsidRPr="00C15FA3">
        <w:rPr>
          <w:rFonts w:hint="eastAsia"/>
          <w:sz w:val="24"/>
          <w:szCs w:val="24"/>
        </w:rPr>
        <w:t xml:space="preserve"> </w:t>
      </w:r>
      <w:r w:rsidRPr="00C15FA3">
        <w:rPr>
          <w:sz w:val="24"/>
          <w:szCs w:val="24"/>
        </w:rPr>
        <w:t>influenc</w:t>
      </w:r>
      <w:r w:rsidR="008F236F" w:rsidRPr="00C15FA3">
        <w:rPr>
          <w:rFonts w:hint="eastAsia"/>
          <w:sz w:val="24"/>
          <w:szCs w:val="24"/>
        </w:rPr>
        <w:t>ing</w:t>
      </w:r>
      <w:r w:rsidRPr="00C15FA3">
        <w:rPr>
          <w:sz w:val="24"/>
          <w:szCs w:val="24"/>
        </w:rPr>
        <w:t xml:space="preserve"> managers to disclose such information. This is consistent with </w:t>
      </w:r>
      <w:proofErr w:type="spellStart"/>
      <w:r w:rsidRPr="00C15FA3">
        <w:rPr>
          <w:sz w:val="24"/>
          <w:szCs w:val="24"/>
        </w:rPr>
        <w:t>Sembiring's</w:t>
      </w:r>
      <w:proofErr w:type="spellEnd"/>
      <w:r w:rsidRPr="00C15FA3">
        <w:rPr>
          <w:sz w:val="24"/>
          <w:szCs w:val="24"/>
        </w:rPr>
        <w:t xml:space="preserve"> (2005) findings that the proportion of independent directors impacts the degree of corporate responsibility disclosure.</w:t>
      </w:r>
      <w:r w:rsidR="00C15FA3" w:rsidRPr="00C15FA3">
        <w:rPr>
          <w:rFonts w:hint="eastAsia"/>
          <w:sz w:val="24"/>
          <w:szCs w:val="24"/>
        </w:rPr>
        <w:t xml:space="preserve"> </w:t>
      </w:r>
      <w:r w:rsidR="00960976" w:rsidRPr="00960976">
        <w:rPr>
          <w:sz w:val="24"/>
          <w:szCs w:val="24"/>
        </w:rPr>
        <w:t>Based on these assertions, the following hypothesis is proposed</w:t>
      </w:r>
      <w:r w:rsidRPr="00C15FA3">
        <w:rPr>
          <w:sz w:val="24"/>
          <w:szCs w:val="24"/>
        </w:rPr>
        <w:t>:</w:t>
      </w:r>
    </w:p>
    <w:p w14:paraId="37A3F4D6" w14:textId="602D8E27" w:rsidR="00C77686" w:rsidRPr="00686EBC" w:rsidRDefault="00C77686" w:rsidP="00C15FA3">
      <w:pPr>
        <w:spacing w:line="360" w:lineRule="auto"/>
        <w:jc w:val="both"/>
        <w:rPr>
          <w:i/>
          <w:iCs/>
          <w:sz w:val="24"/>
          <w:szCs w:val="24"/>
        </w:rPr>
      </w:pPr>
      <w:r>
        <w:rPr>
          <w:i/>
          <w:iCs/>
          <w:sz w:val="24"/>
          <w:szCs w:val="24"/>
        </w:rPr>
        <w:t xml:space="preserve">H3. </w:t>
      </w:r>
      <w:r w:rsidR="0060726F">
        <w:rPr>
          <w:i/>
          <w:iCs/>
          <w:sz w:val="24"/>
          <w:szCs w:val="24"/>
        </w:rPr>
        <w:t>Number of</w:t>
      </w:r>
      <w:r>
        <w:rPr>
          <w:i/>
          <w:iCs/>
          <w:sz w:val="24"/>
          <w:szCs w:val="24"/>
        </w:rPr>
        <w:t xml:space="preserve"> independent directors </w:t>
      </w:r>
      <w:r w:rsidRPr="00C77686">
        <w:rPr>
          <w:i/>
          <w:iCs/>
          <w:sz w:val="24"/>
          <w:szCs w:val="24"/>
        </w:rPr>
        <w:t>positively moderate</w:t>
      </w:r>
      <w:r w:rsidR="00705FAB">
        <w:rPr>
          <w:i/>
          <w:iCs/>
          <w:sz w:val="24"/>
          <w:szCs w:val="24"/>
        </w:rPr>
        <w:t>s</w:t>
      </w:r>
      <w:r w:rsidRPr="00C77686">
        <w:rPr>
          <w:i/>
          <w:iCs/>
          <w:sz w:val="24"/>
          <w:szCs w:val="24"/>
        </w:rPr>
        <w:t xml:space="preserve"> the relationships between SOE and CSR </w:t>
      </w:r>
      <w:r w:rsidR="0060726F">
        <w:rPr>
          <w:i/>
          <w:iCs/>
          <w:sz w:val="24"/>
          <w:szCs w:val="24"/>
        </w:rPr>
        <w:t>disclosure, such that in c</w:t>
      </w:r>
      <w:r w:rsidR="007D62B0">
        <w:rPr>
          <w:i/>
          <w:iCs/>
          <w:sz w:val="24"/>
          <w:szCs w:val="24"/>
        </w:rPr>
        <w:t xml:space="preserve">ompanies with </w:t>
      </w:r>
      <w:r w:rsidR="0060726F">
        <w:rPr>
          <w:i/>
          <w:iCs/>
          <w:sz w:val="24"/>
          <w:szCs w:val="24"/>
        </w:rPr>
        <w:t xml:space="preserve">high number of independent directors </w:t>
      </w:r>
      <w:r w:rsidR="007D62B0" w:rsidRPr="007D62B0">
        <w:rPr>
          <w:i/>
          <w:iCs/>
          <w:sz w:val="24"/>
          <w:szCs w:val="24"/>
        </w:rPr>
        <w:t>this relationship becomes stronger.</w:t>
      </w:r>
    </w:p>
    <w:p w14:paraId="3DB02077" w14:textId="77777777" w:rsidR="00096FEC" w:rsidRDefault="00096FEC" w:rsidP="00BB55ED"/>
    <w:p w14:paraId="75C45977" w14:textId="6ACC8A81" w:rsidR="00C77686" w:rsidRDefault="00C77686" w:rsidP="00BB55ED">
      <w:r>
        <w:t xml:space="preserve">Control Variables </w:t>
      </w:r>
    </w:p>
    <w:p w14:paraId="7957BB70" w14:textId="77777777" w:rsidR="00983FD2" w:rsidRPr="001B67D6" w:rsidRDefault="00983FD2" w:rsidP="00983FD2">
      <w:pPr>
        <w:spacing w:line="360" w:lineRule="auto"/>
        <w:jc w:val="both"/>
        <w:rPr>
          <w:b/>
          <w:bCs/>
          <w:sz w:val="24"/>
          <w:szCs w:val="24"/>
          <w:lang w:eastAsia="en-US"/>
        </w:rPr>
      </w:pPr>
      <w:r w:rsidRPr="001B67D6">
        <w:rPr>
          <w:b/>
          <w:bCs/>
          <w:sz w:val="24"/>
          <w:szCs w:val="24"/>
          <w:lang w:eastAsia="en-US"/>
        </w:rPr>
        <w:t>Age of Firm</w:t>
      </w:r>
    </w:p>
    <w:p w14:paraId="27B0AD36" w14:textId="4A4EB4CF" w:rsidR="001B67D6" w:rsidRDefault="008C3C08" w:rsidP="001B67D6">
      <w:pPr>
        <w:spacing w:line="360" w:lineRule="auto"/>
        <w:jc w:val="both"/>
        <w:rPr>
          <w:sz w:val="24"/>
          <w:szCs w:val="24"/>
          <w:lang w:eastAsia="en-US"/>
        </w:rPr>
      </w:pPr>
      <w:r w:rsidRPr="008C3C08">
        <w:rPr>
          <w:sz w:val="24"/>
          <w:szCs w:val="24"/>
          <w:lang w:eastAsia="en-US"/>
        </w:rPr>
        <w:t xml:space="preserve">The </w:t>
      </w:r>
      <w:r w:rsidR="001B67D6">
        <w:rPr>
          <w:rFonts w:hint="eastAsia"/>
          <w:sz w:val="24"/>
          <w:szCs w:val="24"/>
        </w:rPr>
        <w:t>age</w:t>
      </w:r>
      <w:r w:rsidRPr="008C3C08">
        <w:rPr>
          <w:sz w:val="24"/>
          <w:szCs w:val="24"/>
          <w:lang w:eastAsia="en-US"/>
        </w:rPr>
        <w:t xml:space="preserve"> of a company</w:t>
      </w:r>
      <w:r w:rsidR="001B67D6">
        <w:rPr>
          <w:rFonts w:hint="eastAsia"/>
          <w:sz w:val="24"/>
          <w:szCs w:val="24"/>
        </w:rPr>
        <w:t xml:space="preserve"> may function </w:t>
      </w:r>
      <w:r w:rsidRPr="008C3C08">
        <w:rPr>
          <w:sz w:val="24"/>
          <w:szCs w:val="24"/>
          <w:lang w:eastAsia="en-US"/>
        </w:rPr>
        <w:t xml:space="preserve">as a control variable when evaluating </w:t>
      </w:r>
      <w:r w:rsidR="001B67D6">
        <w:rPr>
          <w:rFonts w:hint="eastAsia"/>
          <w:sz w:val="24"/>
          <w:szCs w:val="24"/>
        </w:rPr>
        <w:t>differences</w:t>
      </w:r>
      <w:r w:rsidRPr="008C3C08">
        <w:rPr>
          <w:sz w:val="24"/>
          <w:szCs w:val="24"/>
          <w:lang w:eastAsia="en-US"/>
        </w:rPr>
        <w:t xml:space="preserve"> in CSR disclosure performance </w:t>
      </w:r>
      <w:r w:rsidR="001B67D6">
        <w:rPr>
          <w:rFonts w:hint="eastAsia"/>
          <w:sz w:val="24"/>
          <w:szCs w:val="24"/>
        </w:rPr>
        <w:t>of enterprise</w:t>
      </w:r>
      <w:r w:rsidRPr="008C3C08">
        <w:rPr>
          <w:sz w:val="24"/>
          <w:szCs w:val="24"/>
          <w:lang w:eastAsia="en-US"/>
        </w:rPr>
        <w:t xml:space="preserve">. This factor signifies the duration for which a company has been operational. Organizational legitimacy is enhanced when it </w:t>
      </w:r>
      <w:r w:rsidR="001B67D6">
        <w:rPr>
          <w:rFonts w:hint="eastAsia"/>
          <w:sz w:val="24"/>
          <w:szCs w:val="24"/>
        </w:rPr>
        <w:t xml:space="preserve">is accepted and reflects desirable </w:t>
      </w:r>
      <w:r w:rsidRPr="008C3C08">
        <w:rPr>
          <w:sz w:val="24"/>
          <w:szCs w:val="24"/>
          <w:lang w:eastAsia="en-US"/>
        </w:rPr>
        <w:t>norms, standards, and values (Suchman, 1995). According to stakeholder theory, as companies mature, they are anticipated to cultivate relationships with a broader spectrum of stakeholders. With this expanded stakeholder base, the importance of CSR disclosure as a means of engaging with stakeholders m</w:t>
      </w:r>
      <w:r w:rsidR="001B67D6">
        <w:rPr>
          <w:rFonts w:hint="eastAsia"/>
          <w:sz w:val="24"/>
          <w:szCs w:val="24"/>
        </w:rPr>
        <w:t>ay</w:t>
      </w:r>
      <w:r w:rsidRPr="008C3C08">
        <w:rPr>
          <w:sz w:val="24"/>
          <w:szCs w:val="24"/>
          <w:lang w:eastAsia="en-US"/>
        </w:rPr>
        <w:t xml:space="preserve"> rise, potentially enabling the organization to </w:t>
      </w:r>
      <w:r w:rsidR="001B67D6">
        <w:rPr>
          <w:rFonts w:hint="eastAsia"/>
          <w:sz w:val="24"/>
          <w:szCs w:val="24"/>
        </w:rPr>
        <w:t xml:space="preserve">provide more or better resources and returns for success and survival </w:t>
      </w:r>
      <w:r w:rsidRPr="008C3C08">
        <w:rPr>
          <w:sz w:val="24"/>
          <w:szCs w:val="24"/>
          <w:lang w:eastAsia="en-US"/>
        </w:rPr>
        <w:t xml:space="preserve">(Parsa &amp; </w:t>
      </w:r>
      <w:proofErr w:type="spellStart"/>
      <w:r w:rsidRPr="008C3C08">
        <w:rPr>
          <w:sz w:val="24"/>
          <w:szCs w:val="24"/>
          <w:lang w:eastAsia="en-US"/>
        </w:rPr>
        <w:t>Kouhy</w:t>
      </w:r>
      <w:proofErr w:type="spellEnd"/>
      <w:r w:rsidRPr="008C3C08">
        <w:rPr>
          <w:sz w:val="24"/>
          <w:szCs w:val="24"/>
          <w:lang w:eastAsia="en-US"/>
        </w:rPr>
        <w:t xml:space="preserve">, 2008). This could impact CSR disclosure performance. </w:t>
      </w:r>
      <w:r w:rsidR="001B67D6" w:rsidRPr="008C3C08">
        <w:rPr>
          <w:sz w:val="24"/>
          <w:szCs w:val="24"/>
          <w:lang w:eastAsia="en-US"/>
        </w:rPr>
        <w:t xml:space="preserve">Incorporating this variable </w:t>
      </w:r>
      <w:r w:rsidR="001B67D6">
        <w:rPr>
          <w:rFonts w:hint="eastAsia"/>
          <w:sz w:val="24"/>
          <w:szCs w:val="24"/>
        </w:rPr>
        <w:t xml:space="preserve">in </w:t>
      </w:r>
      <w:r w:rsidR="001B67D6">
        <w:rPr>
          <w:sz w:val="24"/>
          <w:szCs w:val="24"/>
        </w:rPr>
        <w:t>control</w:t>
      </w:r>
      <w:r w:rsidR="001B67D6">
        <w:rPr>
          <w:rFonts w:hint="eastAsia"/>
          <w:sz w:val="24"/>
          <w:szCs w:val="24"/>
        </w:rPr>
        <w:t xml:space="preserve"> variable, allows for</w:t>
      </w:r>
      <w:r w:rsidR="001B67D6" w:rsidRPr="008C3C08">
        <w:rPr>
          <w:sz w:val="24"/>
          <w:szCs w:val="24"/>
          <w:lang w:eastAsia="en-US"/>
        </w:rPr>
        <w:t xml:space="preserve"> isolating the impacts stemming from variations </w:t>
      </w:r>
      <w:r w:rsidR="001B67D6">
        <w:rPr>
          <w:rFonts w:hint="eastAsia"/>
          <w:sz w:val="24"/>
          <w:szCs w:val="24"/>
        </w:rPr>
        <w:t>of</w:t>
      </w:r>
      <w:r w:rsidR="001B67D6" w:rsidRPr="008C3C08">
        <w:rPr>
          <w:sz w:val="24"/>
          <w:szCs w:val="24"/>
          <w:lang w:eastAsia="en-US"/>
        </w:rPr>
        <w:t xml:space="preserve"> corporate</w:t>
      </w:r>
      <w:r w:rsidR="001B67D6">
        <w:rPr>
          <w:rFonts w:hint="eastAsia"/>
          <w:sz w:val="24"/>
          <w:szCs w:val="24"/>
        </w:rPr>
        <w:t xml:space="preserve"> age</w:t>
      </w:r>
      <w:r w:rsidR="001B67D6" w:rsidRPr="008C3C08">
        <w:rPr>
          <w:sz w:val="24"/>
          <w:szCs w:val="24"/>
          <w:lang w:eastAsia="en-US"/>
        </w:rPr>
        <w:t>.</w:t>
      </w:r>
    </w:p>
    <w:p w14:paraId="069ED737" w14:textId="6360326A" w:rsidR="00983FD2" w:rsidRPr="00AE14D5" w:rsidRDefault="00983FD2" w:rsidP="00983FD2">
      <w:pPr>
        <w:spacing w:line="360" w:lineRule="auto"/>
        <w:jc w:val="both"/>
        <w:rPr>
          <w:b/>
          <w:bCs/>
          <w:sz w:val="24"/>
          <w:szCs w:val="24"/>
          <w:lang w:eastAsia="en-US"/>
        </w:rPr>
      </w:pPr>
      <w:r w:rsidRPr="00AE14D5">
        <w:rPr>
          <w:b/>
          <w:bCs/>
          <w:sz w:val="24"/>
          <w:szCs w:val="24"/>
          <w:lang w:eastAsia="en-US"/>
        </w:rPr>
        <w:t>Financial Performance</w:t>
      </w:r>
    </w:p>
    <w:p w14:paraId="07F08C0B" w14:textId="62A59CD7" w:rsidR="008C3C08" w:rsidRDefault="00AE14D5" w:rsidP="00983FD2">
      <w:pPr>
        <w:spacing w:line="360" w:lineRule="auto"/>
        <w:jc w:val="both"/>
        <w:rPr>
          <w:sz w:val="24"/>
          <w:szCs w:val="24"/>
          <w:lang w:eastAsia="en-US"/>
        </w:rPr>
      </w:pPr>
      <w:r>
        <w:rPr>
          <w:sz w:val="24"/>
          <w:szCs w:val="24"/>
          <w:lang w:eastAsia="en-US"/>
        </w:rPr>
        <w:t>High</w:t>
      </w:r>
      <w:r w:rsidR="008C3C08" w:rsidRPr="008C3C08">
        <w:rPr>
          <w:sz w:val="24"/>
          <w:szCs w:val="24"/>
          <w:lang w:eastAsia="en-US"/>
        </w:rPr>
        <w:t xml:space="preserve"> financial performance can furnish </w:t>
      </w:r>
      <w:r>
        <w:rPr>
          <w:sz w:val="24"/>
          <w:szCs w:val="24"/>
          <w:lang w:eastAsia="en-US"/>
        </w:rPr>
        <w:t>more</w:t>
      </w:r>
      <w:r w:rsidR="008C3C08" w:rsidRPr="008C3C08">
        <w:rPr>
          <w:sz w:val="24"/>
          <w:szCs w:val="24"/>
          <w:lang w:eastAsia="en-US"/>
        </w:rPr>
        <w:t xml:space="preserve"> resources for CSR </w:t>
      </w:r>
      <w:r>
        <w:rPr>
          <w:sz w:val="24"/>
          <w:szCs w:val="24"/>
          <w:lang w:eastAsia="en-US"/>
        </w:rPr>
        <w:t>activities</w:t>
      </w:r>
      <w:r w:rsidR="008C3C08" w:rsidRPr="008C3C08">
        <w:rPr>
          <w:sz w:val="24"/>
          <w:szCs w:val="24"/>
          <w:lang w:eastAsia="en-US"/>
        </w:rPr>
        <w:t xml:space="preserve">, whereas weak financial performance </w:t>
      </w:r>
      <w:r>
        <w:rPr>
          <w:sz w:val="24"/>
          <w:szCs w:val="24"/>
          <w:lang w:eastAsia="en-US"/>
        </w:rPr>
        <w:t>may constrain</w:t>
      </w:r>
      <w:r w:rsidR="008C3C08" w:rsidRPr="008C3C08">
        <w:rPr>
          <w:sz w:val="24"/>
          <w:szCs w:val="24"/>
          <w:lang w:eastAsia="en-US"/>
        </w:rPr>
        <w:t xml:space="preserve"> CSR </w:t>
      </w:r>
      <w:r>
        <w:rPr>
          <w:sz w:val="24"/>
          <w:szCs w:val="24"/>
          <w:lang w:eastAsia="en-US"/>
        </w:rPr>
        <w:t>initiatives</w:t>
      </w:r>
      <w:r w:rsidR="008C3C08" w:rsidRPr="008C3C08">
        <w:rPr>
          <w:sz w:val="24"/>
          <w:szCs w:val="24"/>
          <w:lang w:eastAsia="en-US"/>
        </w:rPr>
        <w:t xml:space="preserve">. As per </w:t>
      </w:r>
      <w:proofErr w:type="spellStart"/>
      <w:r w:rsidR="008C3C08" w:rsidRPr="008C3C08">
        <w:rPr>
          <w:sz w:val="24"/>
          <w:szCs w:val="24"/>
          <w:lang w:eastAsia="en-US"/>
        </w:rPr>
        <w:t>Sembiring</w:t>
      </w:r>
      <w:proofErr w:type="spellEnd"/>
      <w:r w:rsidR="008C3C08" w:rsidRPr="008C3C08">
        <w:rPr>
          <w:sz w:val="24"/>
          <w:szCs w:val="24"/>
          <w:lang w:eastAsia="en-US"/>
        </w:rPr>
        <w:t xml:space="preserve"> (2005), there </w:t>
      </w:r>
      <w:r>
        <w:rPr>
          <w:rFonts w:hint="eastAsia"/>
          <w:sz w:val="24"/>
          <w:szCs w:val="24"/>
        </w:rPr>
        <w:t>is</w:t>
      </w:r>
      <w:r w:rsidR="008C3C08" w:rsidRPr="008C3C08">
        <w:rPr>
          <w:sz w:val="24"/>
          <w:szCs w:val="24"/>
          <w:lang w:eastAsia="en-US"/>
        </w:rPr>
        <w:t xml:space="preserve"> a </w:t>
      </w:r>
      <w:r>
        <w:rPr>
          <w:rFonts w:hint="eastAsia"/>
          <w:sz w:val="24"/>
          <w:szCs w:val="24"/>
        </w:rPr>
        <w:t>positive correlation</w:t>
      </w:r>
      <w:r w:rsidR="008C3C08" w:rsidRPr="008C3C08">
        <w:rPr>
          <w:sz w:val="24"/>
          <w:szCs w:val="24"/>
          <w:lang w:eastAsia="en-US"/>
        </w:rPr>
        <w:t xml:space="preserve"> between corporate CSR performance and financial performance, indicating that as companies yield profits, they </w:t>
      </w:r>
      <w:r>
        <w:rPr>
          <w:rFonts w:hint="eastAsia"/>
          <w:sz w:val="24"/>
          <w:szCs w:val="24"/>
        </w:rPr>
        <w:t>may</w:t>
      </w:r>
      <w:r w:rsidR="008C3C08" w:rsidRPr="008C3C08">
        <w:rPr>
          <w:sz w:val="24"/>
          <w:szCs w:val="24"/>
          <w:lang w:eastAsia="en-US"/>
        </w:rPr>
        <w:t xml:space="preserve"> </w:t>
      </w:r>
      <w:r>
        <w:rPr>
          <w:rFonts w:hint="eastAsia"/>
          <w:sz w:val="24"/>
          <w:szCs w:val="24"/>
        </w:rPr>
        <w:t>engage</w:t>
      </w:r>
      <w:r w:rsidR="008C3C08" w:rsidRPr="008C3C08">
        <w:rPr>
          <w:sz w:val="24"/>
          <w:szCs w:val="24"/>
          <w:lang w:eastAsia="en-US"/>
        </w:rPr>
        <w:t xml:space="preserve"> in a broader array of CSR initiatives to </w:t>
      </w:r>
      <w:r>
        <w:rPr>
          <w:rFonts w:hint="eastAsia"/>
          <w:sz w:val="24"/>
          <w:szCs w:val="24"/>
        </w:rPr>
        <w:t>maintain</w:t>
      </w:r>
      <w:r w:rsidR="008C3C08" w:rsidRPr="008C3C08">
        <w:rPr>
          <w:sz w:val="24"/>
          <w:szCs w:val="24"/>
          <w:lang w:eastAsia="en-US"/>
        </w:rPr>
        <w:t xml:space="preserve"> or </w:t>
      </w:r>
      <w:r>
        <w:rPr>
          <w:rFonts w:hint="eastAsia"/>
          <w:sz w:val="24"/>
          <w:szCs w:val="24"/>
        </w:rPr>
        <w:t>enhance</w:t>
      </w:r>
      <w:r w:rsidR="008C3C08" w:rsidRPr="008C3C08">
        <w:rPr>
          <w:sz w:val="24"/>
          <w:szCs w:val="24"/>
          <w:lang w:eastAsia="en-US"/>
        </w:rPr>
        <w:t xml:space="preserve"> legitimacy. Incorporating this variable </w:t>
      </w:r>
      <w:r>
        <w:rPr>
          <w:rFonts w:hint="eastAsia"/>
          <w:sz w:val="24"/>
          <w:szCs w:val="24"/>
        </w:rPr>
        <w:t xml:space="preserve">in </w:t>
      </w:r>
      <w:r>
        <w:rPr>
          <w:sz w:val="24"/>
          <w:szCs w:val="24"/>
        </w:rPr>
        <w:t>control</w:t>
      </w:r>
      <w:r>
        <w:rPr>
          <w:rFonts w:hint="eastAsia"/>
          <w:sz w:val="24"/>
          <w:szCs w:val="24"/>
        </w:rPr>
        <w:t xml:space="preserve"> variable, allows for</w:t>
      </w:r>
      <w:r w:rsidR="008C3C08" w:rsidRPr="008C3C08">
        <w:rPr>
          <w:sz w:val="24"/>
          <w:szCs w:val="24"/>
          <w:lang w:eastAsia="en-US"/>
        </w:rPr>
        <w:t xml:space="preserve"> isolating the impacts stemming from variations in corporate financial performance.</w:t>
      </w:r>
    </w:p>
    <w:p w14:paraId="7B8F9D8D" w14:textId="77777777" w:rsidR="001B67D6" w:rsidRDefault="001B67D6" w:rsidP="00BB55ED">
      <w:pPr>
        <w:rPr>
          <w:lang w:eastAsia="en-US"/>
        </w:rPr>
      </w:pPr>
    </w:p>
    <w:p w14:paraId="340075C3" w14:textId="77777777" w:rsidR="001B67D6" w:rsidRDefault="001B67D6" w:rsidP="00BB55ED">
      <w:pPr>
        <w:rPr>
          <w:lang w:eastAsia="en-US"/>
        </w:rPr>
      </w:pPr>
    </w:p>
    <w:p w14:paraId="23C82F2C" w14:textId="480AA18D" w:rsidR="00C15FA3" w:rsidRPr="00FF160E" w:rsidRDefault="002B0C18" w:rsidP="00FF160E">
      <w:pPr>
        <w:jc w:val="center"/>
        <w:rPr>
          <w:i/>
          <w:iCs/>
          <w:lang w:eastAsia="en-US"/>
        </w:rPr>
      </w:pPr>
      <w:r w:rsidRPr="002B0C18">
        <w:rPr>
          <w:i/>
          <w:iCs/>
          <w:lang w:eastAsia="en-US"/>
        </w:rPr>
        <w:t xml:space="preserve">Figure </w:t>
      </w:r>
      <w:r w:rsidR="00B8175B">
        <w:rPr>
          <w:rFonts w:hint="eastAsia"/>
          <w:i/>
          <w:iCs/>
        </w:rPr>
        <w:t>5</w:t>
      </w:r>
      <w:r>
        <w:rPr>
          <w:i/>
          <w:iCs/>
          <w:lang w:eastAsia="en-US"/>
        </w:rPr>
        <w:t>. Hypothetical conceptual framework</w:t>
      </w:r>
    </w:p>
    <w:p w14:paraId="4572A063" w14:textId="77777777" w:rsidR="00C15FA3" w:rsidRDefault="00C15FA3" w:rsidP="00BB55ED">
      <w:pPr>
        <w:rPr>
          <w:lang w:eastAsia="en-US"/>
        </w:rPr>
      </w:pPr>
    </w:p>
    <w:p w14:paraId="190BAFB9" w14:textId="42290FE5" w:rsidR="00C15FA3" w:rsidRDefault="00FF160E" w:rsidP="00BB55ED">
      <w:pPr>
        <w:rPr>
          <w:lang w:eastAsia="en-US"/>
        </w:rPr>
      </w:pPr>
      <w:r>
        <w:rPr>
          <w:noProof/>
          <w:lang w:eastAsia="en-US"/>
        </w:rPr>
        <w:drawing>
          <wp:inline distT="0" distB="0" distL="0" distR="0" wp14:anchorId="1A56A4B2" wp14:editId="55F33D9B">
            <wp:extent cx="5822696" cy="2516602"/>
            <wp:effectExtent l="0" t="0" r="6985" b="0"/>
            <wp:docPr id="19585240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9904" cy="2524039"/>
                    </a:xfrm>
                    <a:prstGeom prst="rect">
                      <a:avLst/>
                    </a:prstGeom>
                    <a:noFill/>
                  </pic:spPr>
                </pic:pic>
              </a:graphicData>
            </a:graphic>
          </wp:inline>
        </w:drawing>
      </w:r>
    </w:p>
    <w:p w14:paraId="576B29A5" w14:textId="77777777" w:rsidR="00C15FA3" w:rsidRDefault="00C15FA3" w:rsidP="00BB55ED">
      <w:pPr>
        <w:rPr>
          <w:lang w:eastAsia="en-US"/>
        </w:rPr>
      </w:pPr>
    </w:p>
    <w:p w14:paraId="39AA3F29" w14:textId="77777777" w:rsidR="00E20363" w:rsidRDefault="00E20363" w:rsidP="00BB55ED">
      <w:pPr>
        <w:rPr>
          <w:lang w:eastAsia="en-US"/>
        </w:rPr>
      </w:pPr>
    </w:p>
    <w:p w14:paraId="38487542" w14:textId="77777777" w:rsidR="00FF160E" w:rsidRDefault="00FF160E" w:rsidP="00BB55ED">
      <w:pPr>
        <w:rPr>
          <w:lang w:eastAsia="en-US"/>
        </w:rPr>
      </w:pPr>
    </w:p>
    <w:p w14:paraId="53F6D119" w14:textId="77777777" w:rsidR="00FF160E" w:rsidRDefault="00FF160E" w:rsidP="00BB55ED">
      <w:pPr>
        <w:rPr>
          <w:lang w:eastAsia="en-US"/>
        </w:rPr>
      </w:pPr>
    </w:p>
    <w:p w14:paraId="7E6DB768" w14:textId="77777777" w:rsidR="00FF160E" w:rsidRDefault="00FF160E" w:rsidP="00BB55ED">
      <w:pPr>
        <w:rPr>
          <w:lang w:eastAsia="en-US"/>
        </w:rPr>
      </w:pPr>
    </w:p>
    <w:p w14:paraId="4A74641C" w14:textId="77777777" w:rsidR="00FF160E" w:rsidRDefault="00FF160E" w:rsidP="00BB55ED">
      <w:pPr>
        <w:rPr>
          <w:lang w:eastAsia="en-US"/>
        </w:rPr>
      </w:pPr>
    </w:p>
    <w:p w14:paraId="375FA418" w14:textId="77777777" w:rsidR="00E20363" w:rsidRDefault="00E20363" w:rsidP="00BB55ED">
      <w:pPr>
        <w:rPr>
          <w:lang w:eastAsia="en-US"/>
        </w:rPr>
      </w:pPr>
    </w:p>
    <w:p w14:paraId="540DE3CB" w14:textId="77777777" w:rsidR="00E20363" w:rsidRDefault="00E20363" w:rsidP="00BB55ED">
      <w:pPr>
        <w:rPr>
          <w:lang w:eastAsia="en-US"/>
        </w:rPr>
      </w:pPr>
    </w:p>
    <w:p w14:paraId="019AA38D" w14:textId="77777777" w:rsidR="00E20363" w:rsidRDefault="00E20363" w:rsidP="00BB55ED">
      <w:pPr>
        <w:rPr>
          <w:lang w:eastAsia="en-US"/>
        </w:rPr>
      </w:pPr>
    </w:p>
    <w:p w14:paraId="666F7B45" w14:textId="77777777" w:rsidR="00C15FA3" w:rsidRDefault="00C15FA3" w:rsidP="00BB55ED">
      <w:pPr>
        <w:rPr>
          <w:lang w:eastAsia="en-US"/>
        </w:rPr>
      </w:pPr>
    </w:p>
    <w:p w14:paraId="04301469" w14:textId="77777777" w:rsidR="00FF160E" w:rsidRDefault="00FF160E" w:rsidP="00BB55ED">
      <w:pPr>
        <w:rPr>
          <w:lang w:eastAsia="en-US"/>
        </w:rPr>
      </w:pPr>
    </w:p>
    <w:p w14:paraId="6373758B" w14:textId="77777777" w:rsidR="00FF160E" w:rsidRDefault="00FF160E" w:rsidP="00BB55ED">
      <w:pPr>
        <w:rPr>
          <w:lang w:eastAsia="en-US"/>
        </w:rPr>
      </w:pPr>
    </w:p>
    <w:p w14:paraId="673774BD" w14:textId="77777777" w:rsidR="00C15FA3" w:rsidRDefault="00C15FA3" w:rsidP="00BB55ED">
      <w:pPr>
        <w:rPr>
          <w:lang w:eastAsia="en-US"/>
        </w:rPr>
      </w:pPr>
    </w:p>
    <w:p w14:paraId="2E5D7066" w14:textId="77777777" w:rsidR="00001C16" w:rsidRPr="00BB55ED" w:rsidRDefault="00001C16" w:rsidP="00BB55ED">
      <w:pPr>
        <w:rPr>
          <w:lang w:eastAsia="en-US"/>
        </w:rPr>
      </w:pPr>
    </w:p>
    <w:p w14:paraId="2C2CBC5E" w14:textId="77777777" w:rsidR="00B10856" w:rsidRDefault="00B10856" w:rsidP="00B10856">
      <w:pPr>
        <w:pStyle w:val="2"/>
        <w:numPr>
          <w:ilvl w:val="1"/>
          <w:numId w:val="6"/>
        </w:numPr>
        <w:tabs>
          <w:tab w:val="clear" w:pos="708"/>
          <w:tab w:val="clear" w:pos="1416"/>
        </w:tabs>
        <w:ind w:left="990" w:hanging="630"/>
        <w:jc w:val="left"/>
        <w:rPr>
          <w:rFonts w:ascii="Times New Roman" w:hAnsi="Times New Roman"/>
          <w:i/>
          <w:iCs/>
          <w:sz w:val="32"/>
          <w:szCs w:val="32"/>
        </w:rPr>
      </w:pPr>
      <w:bookmarkStart w:id="14" w:name="_Toc167663318"/>
      <w:r w:rsidRPr="00B10856">
        <w:rPr>
          <w:rFonts w:ascii="Times New Roman" w:hAnsi="Times New Roman"/>
          <w:i/>
          <w:iCs/>
          <w:sz w:val="32"/>
          <w:szCs w:val="32"/>
        </w:rPr>
        <w:t>Research Methodology and Data Collection</w:t>
      </w:r>
      <w:bookmarkEnd w:id="14"/>
    </w:p>
    <w:p w14:paraId="51EECD48" w14:textId="677A1F34" w:rsidR="005A4B51" w:rsidRPr="00DD2773" w:rsidRDefault="00F639C8" w:rsidP="00F639C8">
      <w:pPr>
        <w:spacing w:line="360" w:lineRule="auto"/>
        <w:jc w:val="both"/>
        <w:rPr>
          <w:sz w:val="24"/>
          <w:szCs w:val="24"/>
        </w:rPr>
      </w:pPr>
      <w:r w:rsidRPr="00DD2773">
        <w:rPr>
          <w:rFonts w:hint="eastAsia"/>
          <w:sz w:val="24"/>
          <w:szCs w:val="24"/>
        </w:rPr>
        <w:t>T</w:t>
      </w:r>
      <w:r w:rsidR="005A4B51" w:rsidRPr="00DD2773">
        <w:rPr>
          <w:sz w:val="24"/>
          <w:szCs w:val="24"/>
        </w:rPr>
        <w:t>his study consist</w:t>
      </w:r>
      <w:r w:rsidRPr="00DD2773">
        <w:rPr>
          <w:rFonts w:hint="eastAsia"/>
          <w:sz w:val="24"/>
          <w:szCs w:val="24"/>
        </w:rPr>
        <w:t>s</w:t>
      </w:r>
      <w:r w:rsidR="005A4B51" w:rsidRPr="00DD2773">
        <w:rPr>
          <w:sz w:val="24"/>
          <w:szCs w:val="24"/>
        </w:rPr>
        <w:t xml:space="preserve"> of annual </w:t>
      </w:r>
      <w:r w:rsidRPr="00DD2773">
        <w:rPr>
          <w:rFonts w:hint="eastAsia"/>
          <w:sz w:val="24"/>
          <w:szCs w:val="24"/>
        </w:rPr>
        <w:t xml:space="preserve">/ sustainability </w:t>
      </w:r>
      <w:r w:rsidR="005A4B51" w:rsidRPr="00DD2773">
        <w:rPr>
          <w:sz w:val="24"/>
          <w:szCs w:val="24"/>
        </w:rPr>
        <w:t xml:space="preserve">reports </w:t>
      </w:r>
      <w:r w:rsidRPr="00DD2773">
        <w:rPr>
          <w:sz w:val="24"/>
          <w:szCs w:val="24"/>
        </w:rPr>
        <w:t>spanning three years from 2020 to 2023</w:t>
      </w:r>
      <w:r w:rsidRPr="00DD2773">
        <w:rPr>
          <w:rFonts w:hint="eastAsia"/>
          <w:sz w:val="24"/>
          <w:szCs w:val="24"/>
        </w:rPr>
        <w:t xml:space="preserve"> </w:t>
      </w:r>
      <w:r w:rsidR="005A4B51" w:rsidRPr="00DD2773">
        <w:rPr>
          <w:sz w:val="24"/>
          <w:szCs w:val="24"/>
        </w:rPr>
        <w:t>from a</w:t>
      </w:r>
      <w:r w:rsidRPr="00DD2773">
        <w:rPr>
          <w:rFonts w:hint="eastAsia"/>
          <w:sz w:val="24"/>
          <w:szCs w:val="24"/>
        </w:rPr>
        <w:t>round</w:t>
      </w:r>
      <w:r w:rsidR="005A4B51" w:rsidRPr="00DD2773">
        <w:rPr>
          <w:sz w:val="24"/>
          <w:szCs w:val="24"/>
        </w:rPr>
        <w:t xml:space="preserve"> </w:t>
      </w:r>
      <w:r w:rsidR="0071753B">
        <w:rPr>
          <w:rFonts w:hint="eastAsia"/>
          <w:sz w:val="24"/>
          <w:szCs w:val="24"/>
        </w:rPr>
        <w:t>77</w:t>
      </w:r>
      <w:r w:rsidR="005A4B51" w:rsidRPr="00DD2773">
        <w:rPr>
          <w:sz w:val="24"/>
          <w:szCs w:val="24"/>
        </w:rPr>
        <w:t xml:space="preserve"> </w:t>
      </w:r>
      <w:r w:rsidRPr="00DD2773">
        <w:rPr>
          <w:rFonts w:hint="eastAsia"/>
          <w:sz w:val="24"/>
          <w:szCs w:val="24"/>
        </w:rPr>
        <w:t xml:space="preserve">Russian and Chinese SOEs and non-SOEs </w:t>
      </w:r>
      <w:r w:rsidR="005A4B51" w:rsidRPr="00DD2773">
        <w:rPr>
          <w:sz w:val="24"/>
          <w:szCs w:val="24"/>
        </w:rPr>
        <w:t>companies</w:t>
      </w:r>
      <w:r w:rsidRPr="00DD2773">
        <w:rPr>
          <w:rFonts w:hint="eastAsia"/>
          <w:sz w:val="24"/>
          <w:szCs w:val="24"/>
        </w:rPr>
        <w:t>,</w:t>
      </w:r>
      <w:r w:rsidR="005A4B51" w:rsidRPr="00DD2773">
        <w:rPr>
          <w:sz w:val="24"/>
          <w:szCs w:val="24"/>
        </w:rPr>
        <w:t xml:space="preserve"> and w</w:t>
      </w:r>
      <w:r w:rsidRPr="00DD2773">
        <w:rPr>
          <w:rFonts w:hint="eastAsia"/>
          <w:sz w:val="24"/>
          <w:szCs w:val="24"/>
        </w:rPr>
        <w:t>ere</w:t>
      </w:r>
      <w:r w:rsidR="005A4B51" w:rsidRPr="00DD2773">
        <w:rPr>
          <w:sz w:val="24"/>
          <w:szCs w:val="24"/>
        </w:rPr>
        <w:t xml:space="preserve"> analyzed</w:t>
      </w:r>
      <w:r w:rsidRPr="00DD2773">
        <w:rPr>
          <w:rFonts w:hint="eastAsia"/>
          <w:sz w:val="24"/>
          <w:szCs w:val="24"/>
        </w:rPr>
        <w:t xml:space="preserve">, with </w:t>
      </w:r>
      <w:r w:rsidR="005A4B51" w:rsidRPr="00DD2773">
        <w:rPr>
          <w:sz w:val="24"/>
          <w:szCs w:val="24"/>
        </w:rPr>
        <w:t>using multiple regression analysis.</w:t>
      </w:r>
      <w:r w:rsidRPr="00DD2773">
        <w:rPr>
          <w:rFonts w:hint="eastAsia"/>
          <w:sz w:val="24"/>
          <w:szCs w:val="24"/>
        </w:rPr>
        <w:t xml:space="preserve"> C</w:t>
      </w:r>
      <w:r w:rsidR="005A4B51" w:rsidRPr="00DD2773">
        <w:rPr>
          <w:sz w:val="24"/>
          <w:szCs w:val="24"/>
        </w:rPr>
        <w:t xml:space="preserve">ompanies that did not have complete </w:t>
      </w:r>
      <w:r w:rsidRPr="00DD2773">
        <w:rPr>
          <w:rFonts w:hint="eastAsia"/>
          <w:sz w:val="24"/>
          <w:szCs w:val="24"/>
        </w:rPr>
        <w:t>sustainability</w:t>
      </w:r>
      <w:r w:rsidR="005A4B51" w:rsidRPr="00DD2773">
        <w:rPr>
          <w:sz w:val="24"/>
          <w:szCs w:val="24"/>
        </w:rPr>
        <w:t xml:space="preserve"> reports</w:t>
      </w:r>
      <w:r w:rsidRPr="00DD2773">
        <w:rPr>
          <w:rFonts w:hint="eastAsia"/>
          <w:sz w:val="24"/>
          <w:szCs w:val="24"/>
        </w:rPr>
        <w:t xml:space="preserve"> or targeted data</w:t>
      </w:r>
      <w:r w:rsidR="005A4B51" w:rsidRPr="00DD2773">
        <w:rPr>
          <w:sz w:val="24"/>
          <w:szCs w:val="24"/>
        </w:rPr>
        <w:t xml:space="preserve"> available</w:t>
      </w:r>
      <w:r w:rsidRPr="00DD2773">
        <w:rPr>
          <w:rFonts w:hint="eastAsia"/>
          <w:sz w:val="24"/>
          <w:szCs w:val="24"/>
        </w:rPr>
        <w:t xml:space="preserve"> were</w:t>
      </w:r>
      <w:r w:rsidR="005A4B51" w:rsidRPr="00DD2773">
        <w:rPr>
          <w:sz w:val="24"/>
          <w:szCs w:val="24"/>
        </w:rPr>
        <w:t xml:space="preserve"> discontinued</w:t>
      </w:r>
      <w:r w:rsidRPr="00DD2773">
        <w:rPr>
          <w:rFonts w:hint="eastAsia"/>
          <w:sz w:val="24"/>
          <w:szCs w:val="24"/>
        </w:rPr>
        <w:t xml:space="preserve"> </w:t>
      </w:r>
      <w:r w:rsidR="005A4B51" w:rsidRPr="00DD2773">
        <w:rPr>
          <w:sz w:val="24"/>
          <w:szCs w:val="24"/>
        </w:rPr>
        <w:t>or excluded.</w:t>
      </w:r>
    </w:p>
    <w:p w14:paraId="18BCE2EE" w14:textId="77777777" w:rsidR="00215C05" w:rsidRPr="00DD2773" w:rsidRDefault="00215C05" w:rsidP="00215C05">
      <w:pPr>
        <w:spacing w:line="360" w:lineRule="auto"/>
        <w:jc w:val="both"/>
        <w:rPr>
          <w:sz w:val="24"/>
          <w:szCs w:val="24"/>
        </w:rPr>
      </w:pPr>
    </w:p>
    <w:p w14:paraId="7BDF6C88" w14:textId="3F14AC35" w:rsidR="00B316E2" w:rsidRPr="00DD2773" w:rsidRDefault="005A4B51" w:rsidP="00B316E2">
      <w:pPr>
        <w:spacing w:line="360" w:lineRule="auto"/>
        <w:jc w:val="both"/>
        <w:rPr>
          <w:sz w:val="24"/>
          <w:szCs w:val="24"/>
        </w:rPr>
      </w:pPr>
      <w:r w:rsidRPr="00DD2773">
        <w:rPr>
          <w:sz w:val="24"/>
          <w:szCs w:val="24"/>
        </w:rPr>
        <w:t>In this paper, qua</w:t>
      </w:r>
      <w:r w:rsidR="00F639C8" w:rsidRPr="00DD2773">
        <w:rPr>
          <w:rFonts w:hint="eastAsia"/>
          <w:sz w:val="24"/>
          <w:szCs w:val="24"/>
        </w:rPr>
        <w:t>ntitative</w:t>
      </w:r>
      <w:r w:rsidRPr="00DD2773">
        <w:rPr>
          <w:sz w:val="24"/>
          <w:szCs w:val="24"/>
        </w:rPr>
        <w:t xml:space="preserve"> content analysis </w:t>
      </w:r>
      <w:r w:rsidR="00215C05" w:rsidRPr="00DD2773">
        <w:rPr>
          <w:sz w:val="24"/>
          <w:szCs w:val="24"/>
        </w:rPr>
        <w:t>was</w:t>
      </w:r>
      <w:r w:rsidRPr="00DD2773">
        <w:rPr>
          <w:sz w:val="24"/>
          <w:szCs w:val="24"/>
        </w:rPr>
        <w:t xml:space="preserve"> adopted to </w:t>
      </w:r>
      <w:r w:rsidR="00215C05" w:rsidRPr="00DD2773">
        <w:rPr>
          <w:rFonts w:hint="eastAsia"/>
          <w:sz w:val="24"/>
          <w:szCs w:val="24"/>
        </w:rPr>
        <w:t>examine</w:t>
      </w:r>
      <w:r w:rsidRPr="00DD2773">
        <w:rPr>
          <w:sz w:val="24"/>
          <w:szCs w:val="24"/>
        </w:rPr>
        <w:t xml:space="preserve"> </w:t>
      </w:r>
      <w:r w:rsidR="00215C05" w:rsidRPr="00DD2773">
        <w:rPr>
          <w:rFonts w:hint="eastAsia"/>
          <w:sz w:val="24"/>
          <w:szCs w:val="24"/>
        </w:rPr>
        <w:t xml:space="preserve">relationship between </w:t>
      </w:r>
      <w:r w:rsidR="00215C05" w:rsidRPr="00DD2773">
        <w:rPr>
          <w:sz w:val="24"/>
          <w:szCs w:val="24"/>
        </w:rPr>
        <w:t>ownership</w:t>
      </w:r>
      <w:r w:rsidR="00215C05" w:rsidRPr="00DD2773">
        <w:rPr>
          <w:rFonts w:hint="eastAsia"/>
          <w:sz w:val="24"/>
          <w:szCs w:val="24"/>
        </w:rPr>
        <w:t xml:space="preserve"> structure of company (SOEs and non-SOEs) and </w:t>
      </w:r>
      <w:r w:rsidRPr="00DD2773">
        <w:rPr>
          <w:sz w:val="24"/>
          <w:szCs w:val="24"/>
        </w:rPr>
        <w:t>CSR disclosure levels</w:t>
      </w:r>
      <w:r w:rsidR="00215C05" w:rsidRPr="00DD2773">
        <w:rPr>
          <w:rFonts w:hint="eastAsia"/>
          <w:sz w:val="24"/>
          <w:szCs w:val="24"/>
        </w:rPr>
        <w:t>, with consideration of moderator and control variables,</w:t>
      </w:r>
      <w:r w:rsidRPr="00DD2773">
        <w:rPr>
          <w:sz w:val="24"/>
          <w:szCs w:val="24"/>
        </w:rPr>
        <w:t xml:space="preserve"> in Russia and China.</w:t>
      </w:r>
      <w:r w:rsidR="005C10DC" w:rsidRPr="00DD2773">
        <w:rPr>
          <w:rFonts w:hint="eastAsia"/>
          <w:sz w:val="24"/>
          <w:szCs w:val="24"/>
        </w:rPr>
        <w:t xml:space="preserve"> </w:t>
      </w:r>
      <w:r w:rsidRPr="00DD2773">
        <w:rPr>
          <w:sz w:val="24"/>
          <w:szCs w:val="24"/>
        </w:rPr>
        <w:t xml:space="preserve">Content analysis involved extracting and analyzing the textual content from sustainability </w:t>
      </w:r>
      <w:r w:rsidR="005C10DC" w:rsidRPr="00DD2773">
        <w:rPr>
          <w:rFonts w:hint="eastAsia"/>
          <w:sz w:val="24"/>
          <w:szCs w:val="24"/>
        </w:rPr>
        <w:t xml:space="preserve">and annual </w:t>
      </w:r>
      <w:r w:rsidRPr="00DD2773">
        <w:rPr>
          <w:sz w:val="24"/>
          <w:szCs w:val="24"/>
        </w:rPr>
        <w:t xml:space="preserve">reports of sample companies. </w:t>
      </w:r>
      <w:r w:rsidR="00D7414A" w:rsidRPr="00DD2773">
        <w:rPr>
          <w:sz w:val="24"/>
          <w:szCs w:val="24"/>
        </w:rPr>
        <w:t xml:space="preserve">Previous researchers have suggested that content analysis provides effective results for CSR disclosure in both developing countries (Ali &amp; </w:t>
      </w:r>
      <w:proofErr w:type="spellStart"/>
      <w:r w:rsidR="00D7414A" w:rsidRPr="00DD2773">
        <w:rPr>
          <w:sz w:val="24"/>
          <w:szCs w:val="24"/>
        </w:rPr>
        <w:t>Frynas</w:t>
      </w:r>
      <w:proofErr w:type="spellEnd"/>
      <w:r w:rsidR="00D7414A" w:rsidRPr="00DD2773">
        <w:rPr>
          <w:sz w:val="24"/>
          <w:szCs w:val="24"/>
        </w:rPr>
        <w:t xml:space="preserve">, 2018; Belal &amp; Cooper, 2011) and developed countries (Ali et al., 2017; </w:t>
      </w:r>
      <w:proofErr w:type="spellStart"/>
      <w:r w:rsidR="00D7414A" w:rsidRPr="00DD2773">
        <w:rPr>
          <w:sz w:val="24"/>
          <w:szCs w:val="24"/>
        </w:rPr>
        <w:t>Gamerschlag</w:t>
      </w:r>
      <w:proofErr w:type="spellEnd"/>
      <w:r w:rsidR="00D7414A" w:rsidRPr="00DD2773">
        <w:rPr>
          <w:sz w:val="24"/>
          <w:szCs w:val="24"/>
        </w:rPr>
        <w:t xml:space="preserve"> et al., 2011). The texts of </w:t>
      </w:r>
      <w:r w:rsidR="00B316E2" w:rsidRPr="00DD2773">
        <w:rPr>
          <w:rFonts w:hint="eastAsia"/>
          <w:sz w:val="24"/>
          <w:szCs w:val="24"/>
        </w:rPr>
        <w:t xml:space="preserve">sustainability reports, </w:t>
      </w:r>
      <w:r w:rsidR="00D7414A" w:rsidRPr="00DD2773">
        <w:rPr>
          <w:sz w:val="24"/>
          <w:szCs w:val="24"/>
        </w:rPr>
        <w:t>annual report</w:t>
      </w:r>
      <w:r w:rsidR="00B316E2" w:rsidRPr="00DD2773">
        <w:rPr>
          <w:rFonts w:hint="eastAsia"/>
          <w:sz w:val="24"/>
          <w:szCs w:val="24"/>
        </w:rPr>
        <w:t>s,</w:t>
      </w:r>
      <w:r w:rsidR="00D7414A" w:rsidRPr="00DD2773">
        <w:rPr>
          <w:sz w:val="24"/>
          <w:szCs w:val="24"/>
        </w:rPr>
        <w:t xml:space="preserve"> and CSR reports were analyzed using SPSS software.</w:t>
      </w:r>
    </w:p>
    <w:p w14:paraId="045325C2" w14:textId="77777777" w:rsidR="00B316E2" w:rsidRPr="00615B18" w:rsidRDefault="00B316E2" w:rsidP="00B316E2">
      <w:pPr>
        <w:spacing w:line="360" w:lineRule="auto"/>
        <w:jc w:val="both"/>
        <w:rPr>
          <w:sz w:val="24"/>
          <w:szCs w:val="24"/>
        </w:rPr>
      </w:pPr>
    </w:p>
    <w:p w14:paraId="6AB4F8DF" w14:textId="157ED72B" w:rsidR="00805CD2" w:rsidRPr="00260DD3" w:rsidRDefault="00B316E2" w:rsidP="00260DD3">
      <w:pPr>
        <w:spacing w:line="360" w:lineRule="auto"/>
        <w:rPr>
          <w:sz w:val="24"/>
          <w:szCs w:val="24"/>
        </w:rPr>
      </w:pPr>
      <w:r w:rsidRPr="00B316E2">
        <w:rPr>
          <w:rFonts w:hint="eastAsia"/>
          <w:b/>
          <w:bCs/>
          <w:sz w:val="24"/>
          <w:szCs w:val="24"/>
        </w:rPr>
        <w:t>Dependent variable</w:t>
      </w:r>
    </w:p>
    <w:p w14:paraId="31E39BA6" w14:textId="224CD260" w:rsidR="00D7414A" w:rsidRPr="00DD2773" w:rsidRDefault="00805CD2" w:rsidP="00C1027E">
      <w:pPr>
        <w:spacing w:line="360" w:lineRule="auto"/>
        <w:jc w:val="both"/>
        <w:rPr>
          <w:sz w:val="24"/>
          <w:szCs w:val="24"/>
        </w:rPr>
      </w:pPr>
      <w:r w:rsidRPr="00DD2773">
        <w:rPr>
          <w:sz w:val="24"/>
          <w:szCs w:val="24"/>
        </w:rPr>
        <w:t>The disclosure index developed in this study measures the extent of qualitative information disclosure in sustainability reports and annual reports. Specifically, the study identifies the presence of disclosure items in each report. That is, once an instance of a specific checklist item is found, the search for that item stops immediately. The index adopts a binary approach</w:t>
      </w:r>
      <w:r w:rsidR="00260DD3" w:rsidRPr="00DD2773">
        <w:rPr>
          <w:rFonts w:hint="eastAsia"/>
          <w:sz w:val="24"/>
          <w:szCs w:val="24"/>
        </w:rPr>
        <w:t xml:space="preserve"> - 0/1,</w:t>
      </w:r>
      <w:r w:rsidRPr="00DD2773">
        <w:rPr>
          <w:sz w:val="24"/>
          <w:szCs w:val="24"/>
        </w:rPr>
        <w:t xml:space="preserve"> to scoring each disclosure item because it is concerned with the presence of disclosure, not just the</w:t>
      </w:r>
      <w:r w:rsidR="00260DD3" w:rsidRPr="00DD2773">
        <w:rPr>
          <w:rFonts w:hint="eastAsia"/>
          <w:sz w:val="24"/>
          <w:szCs w:val="24"/>
        </w:rPr>
        <w:t xml:space="preserve"> </w:t>
      </w:r>
      <w:r w:rsidRPr="00DD2773">
        <w:rPr>
          <w:sz w:val="24"/>
          <w:szCs w:val="24"/>
        </w:rPr>
        <w:t xml:space="preserve">frequency of data. This binary method aligns with many previous studies. Additionally, the study employs an unweighted approach to scoring each disclosure item, assuming that all items are of equal importance. </w:t>
      </w:r>
      <w:r w:rsidR="00CA552E" w:rsidRPr="00DD2773">
        <w:rPr>
          <w:rFonts w:hint="eastAsia"/>
          <w:sz w:val="24"/>
          <w:szCs w:val="24"/>
        </w:rPr>
        <w:t>In this method, t</w:t>
      </w:r>
      <w:r w:rsidR="00CA552E" w:rsidRPr="00DD2773">
        <w:rPr>
          <w:sz w:val="24"/>
          <w:szCs w:val="24"/>
        </w:rPr>
        <w:t xml:space="preserve">o assess the level of quality in CSR reports, nine criteria were identified in the relevance category of information disclosed by SOEs. Adopting this framework enables the calculation of indicators of disclosure quality. The evaluation of CSR disclosure quality is presented in </w:t>
      </w:r>
      <w:r w:rsidR="00C1027E" w:rsidRPr="00DD2773">
        <w:rPr>
          <w:rFonts w:hint="eastAsia"/>
          <w:sz w:val="24"/>
          <w:szCs w:val="24"/>
        </w:rPr>
        <w:t xml:space="preserve">Figure </w:t>
      </w:r>
      <w:r w:rsidR="00695A40">
        <w:rPr>
          <w:rFonts w:hint="eastAsia"/>
          <w:sz w:val="24"/>
          <w:szCs w:val="24"/>
        </w:rPr>
        <w:t>6</w:t>
      </w:r>
      <w:r w:rsidR="00CA552E" w:rsidRPr="00DD2773">
        <w:rPr>
          <w:sz w:val="24"/>
          <w:szCs w:val="24"/>
        </w:rPr>
        <w:t xml:space="preserve">, which combines different types of information and can be used as a valuable tool to assess the overall quality of corporate reporting practices, as argued by Bouten et al. (2011). </w:t>
      </w:r>
      <w:proofErr w:type="gramStart"/>
      <w:r w:rsidR="00C1027E" w:rsidRPr="00DD2773">
        <w:rPr>
          <w:sz w:val="24"/>
          <w:szCs w:val="24"/>
        </w:rPr>
        <w:t>Similar to</w:t>
      </w:r>
      <w:proofErr w:type="gramEnd"/>
      <w:r w:rsidR="00C1027E" w:rsidRPr="00DD2773">
        <w:rPr>
          <w:sz w:val="24"/>
          <w:szCs w:val="24"/>
        </w:rPr>
        <w:t xml:space="preserve"> the study by Prado-Lorenzo et al. (2008), each item was considered through a dummy variable, assigning a value of 1 if the corresponding initiative exists in the company and 0 if it does not. The quality level for each company is determined by the sum of numerical 1s for each item.</w:t>
      </w:r>
    </w:p>
    <w:p w14:paraId="56E791D5" w14:textId="77777777" w:rsidR="0048474F" w:rsidRDefault="0048474F" w:rsidP="0048474F">
      <w:pPr>
        <w:rPr>
          <w:sz w:val="24"/>
          <w:szCs w:val="24"/>
        </w:rPr>
      </w:pPr>
    </w:p>
    <w:p w14:paraId="5F3454BD" w14:textId="77777777" w:rsidR="001B03E8" w:rsidRDefault="001B03E8" w:rsidP="0048474F">
      <w:pPr>
        <w:rPr>
          <w:sz w:val="24"/>
          <w:szCs w:val="24"/>
        </w:rPr>
      </w:pPr>
    </w:p>
    <w:p w14:paraId="23A5B0F3" w14:textId="77777777" w:rsidR="001B03E8" w:rsidRDefault="001B03E8" w:rsidP="0048474F">
      <w:pPr>
        <w:rPr>
          <w:sz w:val="24"/>
          <w:szCs w:val="24"/>
        </w:rPr>
      </w:pPr>
    </w:p>
    <w:p w14:paraId="028E27D6" w14:textId="4C98CDFB" w:rsidR="0048474F" w:rsidRDefault="00937606" w:rsidP="0048474F">
      <w:pPr>
        <w:jc w:val="center"/>
        <w:rPr>
          <w:i/>
          <w:iCs/>
        </w:rPr>
      </w:pPr>
      <w:r w:rsidRPr="00937606">
        <w:rPr>
          <w:rFonts w:hint="eastAsia"/>
          <w:i/>
          <w:iCs/>
        </w:rPr>
        <w:t xml:space="preserve">Figure </w:t>
      </w:r>
      <w:r w:rsidR="00695A40">
        <w:rPr>
          <w:rFonts w:hint="eastAsia"/>
          <w:i/>
          <w:iCs/>
        </w:rPr>
        <w:t>6</w:t>
      </w:r>
      <w:r w:rsidRPr="00937606">
        <w:rPr>
          <w:rFonts w:hint="eastAsia"/>
          <w:i/>
          <w:iCs/>
        </w:rPr>
        <w:t xml:space="preserve">. </w:t>
      </w:r>
      <w:r w:rsidR="00141202">
        <w:rPr>
          <w:rFonts w:hint="eastAsia"/>
          <w:i/>
          <w:iCs/>
        </w:rPr>
        <w:t>Checklist</w:t>
      </w:r>
      <w:r w:rsidR="00141202" w:rsidRPr="00141202">
        <w:rPr>
          <w:i/>
          <w:iCs/>
        </w:rPr>
        <w:t xml:space="preserve"> of CSR Disclosure Information</w:t>
      </w:r>
    </w:p>
    <w:p w14:paraId="1566729E" w14:textId="0CD2803C" w:rsidR="00664824" w:rsidRPr="00937606" w:rsidRDefault="0001684E" w:rsidP="0048474F">
      <w:pPr>
        <w:rPr>
          <w:i/>
          <w:iCs/>
        </w:rPr>
      </w:pPr>
      <w:r w:rsidRPr="0001684E">
        <w:rPr>
          <w:noProof/>
          <w:sz w:val="24"/>
          <w:szCs w:val="24"/>
        </w:rPr>
        <w:drawing>
          <wp:inline distT="0" distB="0" distL="0" distR="0" wp14:anchorId="3AE6FA73" wp14:editId="2BF732B0">
            <wp:extent cx="5943600" cy="2962910"/>
            <wp:effectExtent l="0" t="0" r="0" b="0"/>
            <wp:docPr id="7" name="図 6" descr="テーブル&#10;&#10;低い精度で自動的に生成された説明">
              <a:extLst xmlns:a="http://schemas.openxmlformats.org/drawingml/2006/main">
                <a:ext uri="{FF2B5EF4-FFF2-40B4-BE49-F238E27FC236}">
                  <a16:creationId xmlns:a16="http://schemas.microsoft.com/office/drawing/2014/main" id="{E332A333-3815-C797-317A-9AE277F525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ーブル&#10;&#10;低い精度で自動的に生成された説明">
                      <a:extLst>
                        <a:ext uri="{FF2B5EF4-FFF2-40B4-BE49-F238E27FC236}">
                          <a16:creationId xmlns:a16="http://schemas.microsoft.com/office/drawing/2014/main" id="{E332A333-3815-C797-317A-9AE277F525D7}"/>
                        </a:ext>
                      </a:extLst>
                    </pic:cNvPr>
                    <pic:cNvPicPr>
                      <a:picLocks noChangeAspect="1"/>
                    </pic:cNvPicPr>
                  </pic:nvPicPr>
                  <pic:blipFill>
                    <a:blip r:embed="rId21"/>
                    <a:stretch>
                      <a:fillRect/>
                    </a:stretch>
                  </pic:blipFill>
                  <pic:spPr>
                    <a:xfrm>
                      <a:off x="0" y="0"/>
                      <a:ext cx="5943600" cy="2962910"/>
                    </a:xfrm>
                    <a:prstGeom prst="rect">
                      <a:avLst/>
                    </a:prstGeom>
                  </pic:spPr>
                </pic:pic>
              </a:graphicData>
            </a:graphic>
          </wp:inline>
        </w:drawing>
      </w:r>
      <w:r>
        <w:rPr>
          <w:sz w:val="24"/>
          <w:szCs w:val="24"/>
        </w:rPr>
        <w:br/>
      </w:r>
    </w:p>
    <w:p w14:paraId="17E127CA" w14:textId="77777777" w:rsidR="00B01050" w:rsidRDefault="00B01050" w:rsidP="00B01050">
      <w:pPr>
        <w:rPr>
          <w:sz w:val="24"/>
          <w:szCs w:val="24"/>
        </w:rPr>
      </w:pPr>
    </w:p>
    <w:p w14:paraId="49F228D6" w14:textId="5378E172" w:rsidR="00805CD2" w:rsidRPr="007979F5" w:rsidRDefault="00C1027E" w:rsidP="007979F5">
      <w:pPr>
        <w:spacing w:line="360" w:lineRule="auto"/>
        <w:rPr>
          <w:b/>
          <w:bCs/>
          <w:sz w:val="24"/>
          <w:szCs w:val="24"/>
        </w:rPr>
      </w:pPr>
      <w:r w:rsidRPr="00C1027E">
        <w:rPr>
          <w:rFonts w:hint="eastAsia"/>
          <w:b/>
          <w:bCs/>
          <w:sz w:val="24"/>
          <w:szCs w:val="24"/>
        </w:rPr>
        <w:t xml:space="preserve">Independent </w:t>
      </w:r>
      <w:r w:rsidRPr="00C1027E">
        <w:rPr>
          <w:b/>
          <w:bCs/>
          <w:sz w:val="24"/>
          <w:szCs w:val="24"/>
        </w:rPr>
        <w:t>Variable</w:t>
      </w:r>
    </w:p>
    <w:p w14:paraId="6A157561" w14:textId="35380EE1" w:rsidR="00805CD2" w:rsidRPr="00DD2773" w:rsidRDefault="00805CD2" w:rsidP="007979F5">
      <w:pPr>
        <w:spacing w:line="360" w:lineRule="auto"/>
        <w:jc w:val="both"/>
        <w:rPr>
          <w:sz w:val="24"/>
          <w:szCs w:val="24"/>
        </w:rPr>
      </w:pPr>
      <w:r w:rsidRPr="00DD2773">
        <w:rPr>
          <w:sz w:val="24"/>
          <w:szCs w:val="24"/>
        </w:rPr>
        <w:t xml:space="preserve">Ownership of companies (OWN) indicates whether government ownership is present, which is coded as 1, or private ownership, coded as </w:t>
      </w:r>
      <w:r w:rsidR="001F28FA">
        <w:rPr>
          <w:rFonts w:hint="eastAsia"/>
          <w:sz w:val="24"/>
          <w:szCs w:val="24"/>
        </w:rPr>
        <w:t>2</w:t>
      </w:r>
      <w:r w:rsidRPr="00DD2773">
        <w:rPr>
          <w:sz w:val="24"/>
          <w:szCs w:val="24"/>
        </w:rPr>
        <w:t xml:space="preserve">. Sector type (SEC) takes a value of 1 if SOEs operate in environmentally sensitive sectors, and 0 otherwise. Size of Commissioners (COM) represents the number of independent directors serving on the board, while Age of Firm (AGE) denotes the number of years since establishment. Financial Performance (FPER) corresponds to the Return on Assets (ROA) value for the relevant year. </w:t>
      </w:r>
    </w:p>
    <w:p w14:paraId="3B8E333B" w14:textId="77777777" w:rsidR="00805CD2" w:rsidRDefault="00805CD2" w:rsidP="00B01050">
      <w:pPr>
        <w:rPr>
          <w:sz w:val="24"/>
          <w:szCs w:val="24"/>
        </w:rPr>
      </w:pPr>
    </w:p>
    <w:p w14:paraId="7612C105" w14:textId="77777777" w:rsidR="00805CD2" w:rsidRDefault="00805CD2" w:rsidP="00B01050">
      <w:pPr>
        <w:rPr>
          <w:sz w:val="24"/>
          <w:szCs w:val="24"/>
        </w:rPr>
      </w:pPr>
    </w:p>
    <w:p w14:paraId="0569BE80" w14:textId="37998293" w:rsidR="00805CD2" w:rsidRPr="00615B18" w:rsidRDefault="001B03E8" w:rsidP="00B01050">
      <w:pPr>
        <w:rPr>
          <w:sz w:val="24"/>
          <w:szCs w:val="24"/>
        </w:rPr>
      </w:pPr>
      <m:oMathPara>
        <m:oMath>
          <m:r>
            <m:rPr>
              <m:nor/>
            </m:rPr>
            <w:rPr>
              <w:rFonts w:ascii="Cambria Math" w:cs="Times New Roman" w:hint="eastAsia"/>
              <w:i/>
              <w:iCs/>
            </w:rPr>
            <m:t xml:space="preserve">SUM </m:t>
          </m:r>
          <m:r>
            <m:rPr>
              <m:nor/>
            </m:rPr>
            <w:rPr>
              <w:rFonts w:ascii="Cambria Math" w:cs="Times New Roman" w:hint="eastAsia"/>
            </w:rPr>
            <m:t>(</m:t>
          </m:r>
          <m:r>
            <m:rPr>
              <m:nor/>
            </m:rPr>
            <w:rPr>
              <w:rFonts w:cs="Times New Roman"/>
            </w:rPr>
            <m:t>CSRD</m:t>
          </m:r>
          <m:r>
            <m:rPr>
              <m:nor/>
            </m:rPr>
            <w:rPr>
              <w:rFonts w:ascii="Cambria Math" w:cs="Times New Roman" w:hint="eastAsia"/>
            </w:rPr>
            <m:t>)</m:t>
          </m:r>
          <m:r>
            <w:rPr>
              <w:rFonts w:ascii="Cambria Math" w:hAnsi="Cambria Math" w:cs="Times New Roman"/>
              <w:position w:val="-4"/>
            </w:rPr>
            <m:t>i</m:t>
          </m:r>
          <m:r>
            <w:rPr>
              <w:rFonts w:ascii="Cambria Math" w:hAnsi="Cambria Math" w:cs="Times New Roman"/>
            </w:rPr>
            <m:t>= β</m:t>
          </m:r>
          <m:r>
            <w:rPr>
              <w:rFonts w:ascii="Cambria Math" w:hAnsi="Cambria Math" w:cs="Times New Roman"/>
              <w:position w:val="-4"/>
            </w:rPr>
            <m:t>0</m:t>
          </m:r>
          <m:r>
            <w:rPr>
              <w:rFonts w:ascii="Cambria Math" w:hAnsi="Cambria Math" w:cs="Times New Roman"/>
            </w:rPr>
            <m:t>+ β</m:t>
          </m:r>
          <m:r>
            <w:rPr>
              <w:rFonts w:ascii="Cambria Math" w:hAnsi="Cambria Math" w:cs="Times New Roman"/>
              <w:position w:val="-6"/>
            </w:rPr>
            <m:t>1</m:t>
          </m:r>
          <m:r>
            <w:rPr>
              <w:rFonts w:ascii="Cambria Math" w:hAnsi="Cambria Math" w:cs="Times New Roman"/>
            </w:rPr>
            <m:t>OWNi+ β2COMi+β3 SECi+</m:t>
          </m:r>
          <m:r>
            <m:rPr>
              <m:sty m:val="p"/>
            </m:rPr>
            <w:rPr>
              <w:rFonts w:ascii="Cambria Math" w:hAnsi="Cambria Math" w:cs="Times New Roman"/>
            </w:rPr>
            <w:br/>
          </m:r>
        </m:oMath>
        <m:oMath>
          <m:r>
            <w:rPr>
              <w:rFonts w:ascii="Cambria Math" w:hAnsi="Cambria Math" w:cs="Times New Roman"/>
            </w:rPr>
            <m:t xml:space="preserve">                                 β4AGEi +β5 FPERi+ εi</m:t>
          </m:r>
        </m:oMath>
      </m:oMathPara>
    </w:p>
    <w:p w14:paraId="44BADE74" w14:textId="77777777" w:rsidR="00D7414A" w:rsidRDefault="00D7414A" w:rsidP="00B01050">
      <w:pPr>
        <w:rPr>
          <w:sz w:val="24"/>
          <w:szCs w:val="24"/>
        </w:rPr>
      </w:pPr>
    </w:p>
    <w:p w14:paraId="3BAF1917" w14:textId="77777777" w:rsidR="00D7414A" w:rsidRPr="00D7414A" w:rsidRDefault="00D7414A" w:rsidP="00D7414A">
      <w:pPr>
        <w:rPr>
          <w:sz w:val="24"/>
          <w:szCs w:val="24"/>
        </w:rPr>
      </w:pPr>
    </w:p>
    <w:p w14:paraId="440D7246" w14:textId="36466310" w:rsidR="00664824" w:rsidRDefault="00D7414A" w:rsidP="00DD2773">
      <w:pPr>
        <w:spacing w:line="360" w:lineRule="auto"/>
        <w:jc w:val="both"/>
        <w:rPr>
          <w:sz w:val="24"/>
          <w:szCs w:val="24"/>
        </w:rPr>
      </w:pPr>
      <w:r w:rsidRPr="00DD2773">
        <w:rPr>
          <w:sz w:val="24"/>
          <w:szCs w:val="24"/>
        </w:rPr>
        <w:t xml:space="preserve">For company </w:t>
      </w:r>
      <w:proofErr w:type="spellStart"/>
      <w:r w:rsidRPr="00DD2773">
        <w:rPr>
          <w:sz w:val="24"/>
          <w:szCs w:val="24"/>
        </w:rPr>
        <w:t>i</w:t>
      </w:r>
      <w:proofErr w:type="spellEnd"/>
      <w:r w:rsidRPr="00DD2773">
        <w:rPr>
          <w:sz w:val="24"/>
          <w:szCs w:val="24"/>
        </w:rPr>
        <w:t xml:space="preserve">, </w:t>
      </w:r>
      <w:r w:rsidR="003073D5">
        <w:rPr>
          <w:rFonts w:hint="eastAsia"/>
          <w:sz w:val="24"/>
          <w:szCs w:val="24"/>
        </w:rPr>
        <w:t>SUM</w:t>
      </w:r>
      <w:r w:rsidR="00DA1F9E">
        <w:rPr>
          <w:rFonts w:hint="eastAsia"/>
          <w:sz w:val="24"/>
          <w:szCs w:val="24"/>
        </w:rPr>
        <w:t xml:space="preserve"> </w:t>
      </w:r>
      <w:r w:rsidR="003073D5">
        <w:rPr>
          <w:rFonts w:hint="eastAsia"/>
          <w:sz w:val="24"/>
          <w:szCs w:val="24"/>
        </w:rPr>
        <w:t>(</w:t>
      </w:r>
      <w:r w:rsidRPr="00DD2773">
        <w:rPr>
          <w:sz w:val="24"/>
          <w:szCs w:val="24"/>
        </w:rPr>
        <w:t>CSRD</w:t>
      </w:r>
      <w:r w:rsidR="003073D5">
        <w:rPr>
          <w:rFonts w:hint="eastAsia"/>
          <w:sz w:val="24"/>
          <w:szCs w:val="24"/>
        </w:rPr>
        <w:t>)</w:t>
      </w:r>
      <w:r w:rsidRPr="00DD2773">
        <w:rPr>
          <w:sz w:val="24"/>
          <w:szCs w:val="24"/>
        </w:rPr>
        <w:t xml:space="preserve"> represents the dependent variable, while the independent variables include OWN, COM, SEC, AGE, and FPER. β0 represents the constant, and β1 through β8 denote the coefficients of each independent variable calculation. ε represents the error term, and </w:t>
      </w:r>
      <w:proofErr w:type="spellStart"/>
      <w:r w:rsidRPr="00DD2773">
        <w:rPr>
          <w:sz w:val="24"/>
          <w:szCs w:val="24"/>
        </w:rPr>
        <w:t>i</w:t>
      </w:r>
      <w:proofErr w:type="spellEnd"/>
      <w:r w:rsidRPr="00DD2773">
        <w:rPr>
          <w:sz w:val="24"/>
          <w:szCs w:val="24"/>
        </w:rPr>
        <w:t xml:space="preserve"> denotes the company number.</w:t>
      </w:r>
    </w:p>
    <w:p w14:paraId="6FEE9D26" w14:textId="77777777" w:rsidR="004246BE" w:rsidRDefault="004246BE" w:rsidP="00DD2773">
      <w:pPr>
        <w:spacing w:line="360" w:lineRule="auto"/>
        <w:jc w:val="both"/>
        <w:rPr>
          <w:sz w:val="24"/>
          <w:szCs w:val="24"/>
        </w:rPr>
      </w:pPr>
    </w:p>
    <w:p w14:paraId="29AC29C0" w14:textId="77777777" w:rsidR="00D72364" w:rsidRDefault="00D72364" w:rsidP="00DD2773">
      <w:pPr>
        <w:spacing w:line="360" w:lineRule="auto"/>
        <w:jc w:val="both"/>
        <w:rPr>
          <w:sz w:val="24"/>
          <w:szCs w:val="24"/>
        </w:rPr>
      </w:pPr>
    </w:p>
    <w:p w14:paraId="0C39F57A" w14:textId="77777777" w:rsidR="00D72364" w:rsidRDefault="00D72364" w:rsidP="00DD2773">
      <w:pPr>
        <w:spacing w:line="360" w:lineRule="auto"/>
        <w:jc w:val="both"/>
        <w:rPr>
          <w:sz w:val="24"/>
          <w:szCs w:val="24"/>
        </w:rPr>
      </w:pPr>
    </w:p>
    <w:p w14:paraId="3CF710F2" w14:textId="77777777" w:rsidR="00D72364" w:rsidRDefault="00D72364" w:rsidP="00DD2773">
      <w:pPr>
        <w:spacing w:line="360" w:lineRule="auto"/>
        <w:jc w:val="both"/>
        <w:rPr>
          <w:sz w:val="24"/>
          <w:szCs w:val="24"/>
        </w:rPr>
      </w:pPr>
    </w:p>
    <w:p w14:paraId="7AD8B9C2" w14:textId="77777777" w:rsidR="00D72364" w:rsidRDefault="00D72364" w:rsidP="00DD2773">
      <w:pPr>
        <w:spacing w:line="360" w:lineRule="auto"/>
        <w:jc w:val="both"/>
        <w:rPr>
          <w:sz w:val="24"/>
          <w:szCs w:val="24"/>
        </w:rPr>
      </w:pPr>
    </w:p>
    <w:p w14:paraId="30C053A7" w14:textId="77777777" w:rsidR="00D72364" w:rsidRDefault="00D72364" w:rsidP="00DD2773">
      <w:pPr>
        <w:spacing w:line="360" w:lineRule="auto"/>
        <w:jc w:val="both"/>
        <w:rPr>
          <w:sz w:val="24"/>
          <w:szCs w:val="24"/>
        </w:rPr>
      </w:pPr>
    </w:p>
    <w:p w14:paraId="475F83ED" w14:textId="77777777" w:rsidR="00D72364" w:rsidRDefault="00D72364" w:rsidP="00DD2773">
      <w:pPr>
        <w:spacing w:line="360" w:lineRule="auto"/>
        <w:jc w:val="both"/>
        <w:rPr>
          <w:sz w:val="24"/>
          <w:szCs w:val="24"/>
        </w:rPr>
      </w:pPr>
    </w:p>
    <w:p w14:paraId="7425CE47" w14:textId="77777777" w:rsidR="00D72364" w:rsidRDefault="00D72364" w:rsidP="00DD2773">
      <w:pPr>
        <w:spacing w:line="360" w:lineRule="auto"/>
        <w:jc w:val="both"/>
        <w:rPr>
          <w:sz w:val="24"/>
          <w:szCs w:val="24"/>
        </w:rPr>
      </w:pPr>
    </w:p>
    <w:p w14:paraId="42BA1235" w14:textId="77777777" w:rsidR="00D72364" w:rsidRDefault="00D72364" w:rsidP="00DD2773">
      <w:pPr>
        <w:spacing w:line="360" w:lineRule="auto"/>
        <w:jc w:val="both"/>
        <w:rPr>
          <w:sz w:val="24"/>
          <w:szCs w:val="24"/>
        </w:rPr>
      </w:pPr>
    </w:p>
    <w:p w14:paraId="392AEB01" w14:textId="77777777" w:rsidR="00D72364" w:rsidRDefault="00D72364" w:rsidP="00DD2773">
      <w:pPr>
        <w:spacing w:line="360" w:lineRule="auto"/>
        <w:jc w:val="both"/>
        <w:rPr>
          <w:sz w:val="24"/>
          <w:szCs w:val="24"/>
        </w:rPr>
      </w:pPr>
    </w:p>
    <w:p w14:paraId="4216758C" w14:textId="77777777" w:rsidR="00D72364" w:rsidRDefault="00D72364" w:rsidP="00DD2773">
      <w:pPr>
        <w:spacing w:line="360" w:lineRule="auto"/>
        <w:jc w:val="both"/>
        <w:rPr>
          <w:sz w:val="24"/>
          <w:szCs w:val="24"/>
        </w:rPr>
      </w:pPr>
    </w:p>
    <w:p w14:paraId="405C7525" w14:textId="77777777" w:rsidR="00D72364" w:rsidRDefault="00D72364" w:rsidP="00DD2773">
      <w:pPr>
        <w:spacing w:line="360" w:lineRule="auto"/>
        <w:jc w:val="both"/>
        <w:rPr>
          <w:sz w:val="24"/>
          <w:szCs w:val="24"/>
        </w:rPr>
      </w:pPr>
    </w:p>
    <w:p w14:paraId="432199CB" w14:textId="77777777" w:rsidR="00D72364" w:rsidRDefault="00D72364" w:rsidP="00DD2773">
      <w:pPr>
        <w:spacing w:line="360" w:lineRule="auto"/>
        <w:jc w:val="both"/>
        <w:rPr>
          <w:sz w:val="24"/>
          <w:szCs w:val="24"/>
        </w:rPr>
      </w:pPr>
    </w:p>
    <w:p w14:paraId="0E86D427" w14:textId="77777777" w:rsidR="00D72364" w:rsidRDefault="00D72364" w:rsidP="00DD2773">
      <w:pPr>
        <w:spacing w:line="360" w:lineRule="auto"/>
        <w:jc w:val="both"/>
        <w:rPr>
          <w:sz w:val="24"/>
          <w:szCs w:val="24"/>
        </w:rPr>
      </w:pPr>
    </w:p>
    <w:p w14:paraId="51546E0F" w14:textId="77777777" w:rsidR="00D72364" w:rsidRDefault="00D72364" w:rsidP="00DD2773">
      <w:pPr>
        <w:spacing w:line="360" w:lineRule="auto"/>
        <w:jc w:val="both"/>
        <w:rPr>
          <w:sz w:val="24"/>
          <w:szCs w:val="24"/>
        </w:rPr>
      </w:pPr>
    </w:p>
    <w:p w14:paraId="71290BC6" w14:textId="77777777" w:rsidR="00D72364" w:rsidRDefault="00D72364" w:rsidP="00DD2773">
      <w:pPr>
        <w:spacing w:line="360" w:lineRule="auto"/>
        <w:jc w:val="both"/>
        <w:rPr>
          <w:sz w:val="24"/>
          <w:szCs w:val="24"/>
        </w:rPr>
      </w:pPr>
    </w:p>
    <w:p w14:paraId="29C690DC" w14:textId="77777777" w:rsidR="00D72364" w:rsidRDefault="00D72364" w:rsidP="00DD2773">
      <w:pPr>
        <w:spacing w:line="360" w:lineRule="auto"/>
        <w:jc w:val="both"/>
        <w:rPr>
          <w:sz w:val="24"/>
          <w:szCs w:val="24"/>
        </w:rPr>
      </w:pPr>
    </w:p>
    <w:p w14:paraId="1AD5C0FE" w14:textId="77777777" w:rsidR="00D72364" w:rsidRDefault="00D72364" w:rsidP="00DD2773">
      <w:pPr>
        <w:spacing w:line="360" w:lineRule="auto"/>
        <w:jc w:val="both"/>
        <w:rPr>
          <w:sz w:val="24"/>
          <w:szCs w:val="24"/>
        </w:rPr>
      </w:pPr>
    </w:p>
    <w:p w14:paraId="26FD8477" w14:textId="77777777" w:rsidR="00D72364" w:rsidRDefault="00D72364" w:rsidP="00DD2773">
      <w:pPr>
        <w:spacing w:line="360" w:lineRule="auto"/>
        <w:jc w:val="both"/>
        <w:rPr>
          <w:sz w:val="24"/>
          <w:szCs w:val="24"/>
        </w:rPr>
      </w:pPr>
    </w:p>
    <w:p w14:paraId="450EEDF7" w14:textId="77777777" w:rsidR="00D72364" w:rsidRDefault="00D72364" w:rsidP="00DD2773">
      <w:pPr>
        <w:spacing w:line="360" w:lineRule="auto"/>
        <w:jc w:val="both"/>
        <w:rPr>
          <w:sz w:val="24"/>
          <w:szCs w:val="24"/>
        </w:rPr>
      </w:pPr>
    </w:p>
    <w:p w14:paraId="713E0D8C" w14:textId="77777777" w:rsidR="00D72364" w:rsidRDefault="00D72364" w:rsidP="00DD2773">
      <w:pPr>
        <w:spacing w:line="360" w:lineRule="auto"/>
        <w:jc w:val="both"/>
        <w:rPr>
          <w:sz w:val="24"/>
          <w:szCs w:val="24"/>
        </w:rPr>
      </w:pPr>
    </w:p>
    <w:p w14:paraId="6DA73F62" w14:textId="77777777" w:rsidR="00D72364" w:rsidRDefault="00D72364" w:rsidP="00DD2773">
      <w:pPr>
        <w:spacing w:line="360" w:lineRule="auto"/>
        <w:jc w:val="both"/>
        <w:rPr>
          <w:sz w:val="24"/>
          <w:szCs w:val="24"/>
        </w:rPr>
      </w:pPr>
    </w:p>
    <w:p w14:paraId="1FF9DDC3" w14:textId="77777777" w:rsidR="00D72364" w:rsidRDefault="00D72364" w:rsidP="00DD2773">
      <w:pPr>
        <w:spacing w:line="360" w:lineRule="auto"/>
        <w:jc w:val="both"/>
        <w:rPr>
          <w:sz w:val="24"/>
          <w:szCs w:val="24"/>
        </w:rPr>
      </w:pPr>
    </w:p>
    <w:p w14:paraId="2AEF3C5D" w14:textId="77777777" w:rsidR="00D72364" w:rsidRDefault="00D72364" w:rsidP="00DD2773">
      <w:pPr>
        <w:spacing w:line="360" w:lineRule="auto"/>
        <w:jc w:val="both"/>
        <w:rPr>
          <w:sz w:val="24"/>
          <w:szCs w:val="24"/>
        </w:rPr>
      </w:pPr>
    </w:p>
    <w:p w14:paraId="049BE689" w14:textId="77777777" w:rsidR="00D72364" w:rsidRDefault="00D72364" w:rsidP="00DD2773">
      <w:pPr>
        <w:spacing w:line="360" w:lineRule="auto"/>
        <w:jc w:val="both"/>
        <w:rPr>
          <w:sz w:val="24"/>
          <w:szCs w:val="24"/>
        </w:rPr>
      </w:pPr>
    </w:p>
    <w:p w14:paraId="3839CF60" w14:textId="77777777" w:rsidR="00D72364" w:rsidRDefault="00D72364" w:rsidP="00DD2773">
      <w:pPr>
        <w:spacing w:line="360" w:lineRule="auto"/>
        <w:jc w:val="both"/>
        <w:rPr>
          <w:sz w:val="24"/>
          <w:szCs w:val="24"/>
        </w:rPr>
      </w:pPr>
    </w:p>
    <w:p w14:paraId="429BD79E" w14:textId="77777777" w:rsidR="00D72364" w:rsidRDefault="00D72364" w:rsidP="00DD2773">
      <w:pPr>
        <w:spacing w:line="360" w:lineRule="auto"/>
        <w:jc w:val="both"/>
        <w:rPr>
          <w:sz w:val="24"/>
          <w:szCs w:val="24"/>
        </w:rPr>
      </w:pPr>
    </w:p>
    <w:p w14:paraId="288CB80A" w14:textId="77777777" w:rsidR="00D72364" w:rsidRDefault="00D72364" w:rsidP="00DD2773">
      <w:pPr>
        <w:spacing w:line="360" w:lineRule="auto"/>
        <w:jc w:val="both"/>
        <w:rPr>
          <w:sz w:val="24"/>
          <w:szCs w:val="24"/>
        </w:rPr>
      </w:pPr>
    </w:p>
    <w:p w14:paraId="2A1169DE" w14:textId="77777777" w:rsidR="004246BE" w:rsidRPr="00DD2773" w:rsidRDefault="004246BE" w:rsidP="00DD2773">
      <w:pPr>
        <w:spacing w:line="360" w:lineRule="auto"/>
        <w:jc w:val="both"/>
        <w:rPr>
          <w:sz w:val="24"/>
          <w:szCs w:val="24"/>
        </w:rPr>
      </w:pPr>
    </w:p>
    <w:p w14:paraId="2A029172" w14:textId="173A4443" w:rsidR="00B10856" w:rsidRDefault="00B10856" w:rsidP="00B10856">
      <w:pPr>
        <w:pStyle w:val="2"/>
        <w:numPr>
          <w:ilvl w:val="1"/>
          <w:numId w:val="6"/>
        </w:numPr>
        <w:tabs>
          <w:tab w:val="clear" w:pos="708"/>
          <w:tab w:val="clear" w:pos="1416"/>
        </w:tabs>
        <w:ind w:left="990" w:hanging="630"/>
        <w:jc w:val="left"/>
        <w:rPr>
          <w:rFonts w:ascii="Times New Roman" w:hAnsi="Times New Roman"/>
          <w:i/>
          <w:iCs/>
          <w:sz w:val="32"/>
          <w:szCs w:val="32"/>
        </w:rPr>
      </w:pPr>
      <w:bookmarkStart w:id="15" w:name="_Toc167663319"/>
      <w:r w:rsidRPr="00B10856">
        <w:rPr>
          <w:rFonts w:ascii="Times New Roman" w:hAnsi="Times New Roman"/>
          <w:i/>
          <w:iCs/>
          <w:sz w:val="32"/>
          <w:szCs w:val="32"/>
        </w:rPr>
        <w:t>Result and Discussion</w:t>
      </w:r>
      <w:bookmarkEnd w:id="15"/>
    </w:p>
    <w:p w14:paraId="3561CE5A" w14:textId="77777777" w:rsidR="004246BE" w:rsidRDefault="004246BE" w:rsidP="00BB55ED">
      <w:pPr>
        <w:rPr>
          <w:lang w:eastAsia="en-US"/>
        </w:rPr>
      </w:pPr>
    </w:p>
    <w:p w14:paraId="07303220" w14:textId="5BB4AF83" w:rsidR="00F74283" w:rsidRPr="00312D6B" w:rsidRDefault="00312D6B" w:rsidP="00DC7D1D">
      <w:pPr>
        <w:spacing w:line="360" w:lineRule="auto"/>
        <w:jc w:val="both"/>
        <w:rPr>
          <w:rFonts w:hint="eastAsia"/>
          <w:sz w:val="24"/>
          <w:szCs w:val="24"/>
        </w:rPr>
      </w:pPr>
      <w:r w:rsidRPr="00312D6B">
        <w:rPr>
          <w:rFonts w:hint="eastAsia"/>
          <w:sz w:val="24"/>
          <w:szCs w:val="24"/>
        </w:rPr>
        <w:t xml:space="preserve">In this section, </w:t>
      </w:r>
      <w:r w:rsidR="0071752E" w:rsidRPr="0071752E">
        <w:rPr>
          <w:sz w:val="24"/>
          <w:szCs w:val="24"/>
        </w:rPr>
        <w:t xml:space="preserve">the analysis primarily focuses on the combined data </w:t>
      </w:r>
      <w:r w:rsidR="0071752E">
        <w:rPr>
          <w:rFonts w:hint="eastAsia"/>
          <w:sz w:val="24"/>
          <w:szCs w:val="24"/>
        </w:rPr>
        <w:t>of</w:t>
      </w:r>
      <w:r w:rsidR="0071752E" w:rsidRPr="0071752E">
        <w:rPr>
          <w:sz w:val="24"/>
          <w:szCs w:val="24"/>
        </w:rPr>
        <w:t xml:space="preserve"> Russia and China. Additionally, supplementary analyses for each country individually are included later</w:t>
      </w:r>
      <w:r w:rsidR="00DC7D1D">
        <w:rPr>
          <w:rFonts w:hint="eastAsia"/>
          <w:sz w:val="24"/>
          <w:szCs w:val="24"/>
        </w:rPr>
        <w:t xml:space="preserve"> pages</w:t>
      </w:r>
      <w:r w:rsidR="0071752E" w:rsidRPr="0071752E">
        <w:rPr>
          <w:sz w:val="24"/>
          <w:szCs w:val="24"/>
        </w:rPr>
        <w:t>.</w:t>
      </w:r>
    </w:p>
    <w:p w14:paraId="3EF1A2CC" w14:textId="77777777" w:rsidR="00F74283" w:rsidRDefault="00F74283" w:rsidP="00BB55ED">
      <w:pPr>
        <w:rPr>
          <w:lang w:eastAsia="en-US"/>
        </w:rPr>
      </w:pPr>
    </w:p>
    <w:p w14:paraId="1870A0DE" w14:textId="77777777" w:rsidR="00F74283" w:rsidRDefault="00F74283" w:rsidP="00BB55ED">
      <w:pPr>
        <w:rPr>
          <w:lang w:eastAsia="en-US"/>
        </w:rPr>
      </w:pPr>
    </w:p>
    <w:p w14:paraId="0B927729" w14:textId="1ACC39EB" w:rsidR="00BB36AC" w:rsidRPr="00864C5B" w:rsidRDefault="00BB36AC" w:rsidP="00BB36AC">
      <w:pPr>
        <w:rPr>
          <w:b/>
          <w:bCs/>
          <w:i/>
          <w:iCs/>
          <w:lang w:eastAsia="en-US"/>
        </w:rPr>
      </w:pPr>
      <w:r w:rsidRPr="00864C5B">
        <w:rPr>
          <w:b/>
          <w:bCs/>
          <w:i/>
          <w:iCs/>
          <w:lang w:eastAsia="en-US"/>
        </w:rPr>
        <w:t>China</w:t>
      </w:r>
      <w:r>
        <w:rPr>
          <w:b/>
          <w:bCs/>
          <w:i/>
          <w:iCs/>
          <w:lang w:eastAsia="en-US"/>
        </w:rPr>
        <w:t xml:space="preserve"> and Russia</w:t>
      </w:r>
    </w:p>
    <w:p w14:paraId="4C02CC0E" w14:textId="711629EC" w:rsidR="005A6910" w:rsidRDefault="005A6910" w:rsidP="00BB55ED">
      <w:pPr>
        <w:rPr>
          <w:lang w:eastAsia="en-US"/>
        </w:rPr>
      </w:pPr>
    </w:p>
    <w:p w14:paraId="554C20CC" w14:textId="7BD454EA" w:rsidR="00AF4DCF" w:rsidRPr="005370DF" w:rsidRDefault="00DE2B9F" w:rsidP="00D55FC4">
      <w:pPr>
        <w:spacing w:line="360" w:lineRule="auto"/>
        <w:jc w:val="both"/>
        <w:rPr>
          <w:sz w:val="24"/>
          <w:szCs w:val="24"/>
        </w:rPr>
      </w:pPr>
      <w:r w:rsidRPr="005370DF">
        <w:rPr>
          <w:sz w:val="24"/>
          <w:szCs w:val="24"/>
        </w:rPr>
        <w:t xml:space="preserve">In this analysis, both correlation and causality </w:t>
      </w:r>
      <w:r w:rsidR="00A1695A">
        <w:rPr>
          <w:rFonts w:hint="eastAsia"/>
          <w:sz w:val="24"/>
          <w:szCs w:val="24"/>
        </w:rPr>
        <w:t>are examined</w:t>
      </w:r>
      <w:r w:rsidR="00BB273A">
        <w:rPr>
          <w:rFonts w:hint="eastAsia"/>
          <w:sz w:val="24"/>
          <w:szCs w:val="24"/>
        </w:rPr>
        <w:t xml:space="preserve"> through </w:t>
      </w:r>
      <w:r w:rsidR="005370DF" w:rsidRPr="005370DF">
        <w:rPr>
          <w:sz w:val="24"/>
          <w:szCs w:val="24"/>
          <w:lang w:eastAsia="en-US"/>
        </w:rPr>
        <w:t>data from both Russia and China</w:t>
      </w:r>
      <w:r w:rsidR="00BB273A">
        <w:rPr>
          <w:rFonts w:hint="eastAsia"/>
          <w:sz w:val="24"/>
          <w:szCs w:val="24"/>
        </w:rPr>
        <w:t xml:space="preserve"> combined</w:t>
      </w:r>
      <w:r w:rsidR="005370DF" w:rsidRPr="005370DF">
        <w:rPr>
          <w:sz w:val="24"/>
          <w:szCs w:val="24"/>
          <w:lang w:eastAsia="en-US"/>
        </w:rPr>
        <w:t xml:space="preserve">. Additionally, as a step </w:t>
      </w:r>
      <w:r w:rsidR="005370DF">
        <w:rPr>
          <w:rFonts w:hint="eastAsia"/>
          <w:sz w:val="24"/>
          <w:szCs w:val="24"/>
        </w:rPr>
        <w:t>of</w:t>
      </w:r>
      <w:r w:rsidR="005370DF" w:rsidRPr="005370DF">
        <w:rPr>
          <w:sz w:val="24"/>
          <w:szCs w:val="24"/>
          <w:lang w:eastAsia="en-US"/>
        </w:rPr>
        <w:t xml:space="preserve"> converting data into a binary </w:t>
      </w:r>
      <w:r w:rsidR="00891BCD">
        <w:rPr>
          <w:rFonts w:hint="eastAsia"/>
          <w:sz w:val="24"/>
          <w:szCs w:val="24"/>
        </w:rPr>
        <w:t>value</w:t>
      </w:r>
      <w:r w:rsidR="005370DF" w:rsidRPr="005370DF">
        <w:rPr>
          <w:sz w:val="24"/>
          <w:szCs w:val="24"/>
          <w:lang w:eastAsia="en-US"/>
        </w:rPr>
        <w:t>, "1" to China and "2" to Russia</w:t>
      </w:r>
      <w:r w:rsidR="003E293D">
        <w:rPr>
          <w:rFonts w:hint="eastAsia"/>
          <w:sz w:val="24"/>
          <w:szCs w:val="24"/>
        </w:rPr>
        <w:t xml:space="preserve"> are assigned</w:t>
      </w:r>
      <w:r w:rsidR="00891BCD">
        <w:rPr>
          <w:rFonts w:hint="eastAsia"/>
          <w:sz w:val="24"/>
          <w:szCs w:val="24"/>
        </w:rPr>
        <w:t xml:space="preserve"> in the </w:t>
      </w:r>
      <w:r w:rsidR="00891BCD">
        <w:rPr>
          <w:sz w:val="24"/>
          <w:szCs w:val="24"/>
        </w:rPr>
        <w:t>variable</w:t>
      </w:r>
      <w:r w:rsidR="00891BCD">
        <w:rPr>
          <w:rFonts w:hint="eastAsia"/>
          <w:sz w:val="24"/>
          <w:szCs w:val="24"/>
        </w:rPr>
        <w:t xml:space="preserve"> of Country</w:t>
      </w:r>
      <w:r w:rsidR="005370DF" w:rsidRPr="005370DF">
        <w:rPr>
          <w:sz w:val="24"/>
          <w:szCs w:val="24"/>
          <w:lang w:eastAsia="en-US"/>
        </w:rPr>
        <w:t>.</w:t>
      </w:r>
    </w:p>
    <w:p w14:paraId="0D58D1C3" w14:textId="77777777" w:rsidR="00BF7594" w:rsidRDefault="00BF7594" w:rsidP="00BB55ED">
      <w:pPr>
        <w:rPr>
          <w:lang w:eastAsia="en-US"/>
        </w:rPr>
      </w:pPr>
    </w:p>
    <w:p w14:paraId="31CBC2EA" w14:textId="1CE7EFB8" w:rsidR="00BF7594" w:rsidRPr="003E293D" w:rsidRDefault="00E16C90" w:rsidP="003E293D">
      <w:pPr>
        <w:spacing w:line="360" w:lineRule="auto"/>
        <w:jc w:val="both"/>
        <w:rPr>
          <w:b/>
          <w:bCs/>
          <w:i/>
          <w:iCs/>
          <w:sz w:val="24"/>
          <w:szCs w:val="24"/>
        </w:rPr>
      </w:pPr>
      <w:r w:rsidRPr="00B236CC">
        <w:rPr>
          <w:b/>
          <w:bCs/>
          <w:i/>
          <w:iCs/>
          <w:sz w:val="24"/>
          <w:szCs w:val="24"/>
        </w:rPr>
        <w:t>Descriptive Statistics</w:t>
      </w:r>
    </w:p>
    <w:p w14:paraId="378F5154" w14:textId="6C77CD15" w:rsidR="00FA4BF0" w:rsidRPr="003E293D" w:rsidRDefault="0060143C" w:rsidP="0081706C">
      <w:pPr>
        <w:spacing w:line="360" w:lineRule="auto"/>
        <w:jc w:val="both"/>
        <w:rPr>
          <w:sz w:val="24"/>
          <w:szCs w:val="24"/>
          <w:lang w:eastAsia="en-US"/>
        </w:rPr>
      </w:pPr>
      <w:r w:rsidRPr="003E293D">
        <w:rPr>
          <w:rFonts w:hint="eastAsia"/>
          <w:sz w:val="24"/>
          <w:szCs w:val="24"/>
        </w:rPr>
        <w:t xml:space="preserve">In </w:t>
      </w:r>
      <w:r w:rsidR="00FA4BF0" w:rsidRPr="003E293D">
        <w:rPr>
          <w:sz w:val="24"/>
          <w:szCs w:val="24"/>
          <w:lang w:eastAsia="en-US"/>
        </w:rPr>
        <w:t>CSR disclosure (SUM)</w:t>
      </w:r>
      <w:r w:rsidRPr="003E293D">
        <w:rPr>
          <w:rFonts w:hint="eastAsia"/>
          <w:sz w:val="24"/>
          <w:szCs w:val="24"/>
        </w:rPr>
        <w:t xml:space="preserve">, </w:t>
      </w:r>
      <w:r w:rsidR="00950C76" w:rsidRPr="003E293D">
        <w:rPr>
          <w:rFonts w:hint="eastAsia"/>
          <w:sz w:val="24"/>
          <w:szCs w:val="24"/>
        </w:rPr>
        <w:t>t</w:t>
      </w:r>
      <w:r w:rsidR="00FA4BF0" w:rsidRPr="003E293D">
        <w:rPr>
          <w:sz w:val="24"/>
          <w:szCs w:val="24"/>
          <w:lang w:eastAsia="en-US"/>
        </w:rPr>
        <w:t>he average value is 7.68, which is relatively high, and the standard deviation is 1.322, indicating variability in CSR disclosure scores among companies</w:t>
      </w:r>
      <w:r w:rsidR="002A6A4C">
        <w:rPr>
          <w:sz w:val="24"/>
          <w:szCs w:val="24"/>
          <w:lang w:eastAsia="en-US"/>
        </w:rPr>
        <w:t xml:space="preserve"> exists</w:t>
      </w:r>
      <w:r w:rsidR="00FA4BF0" w:rsidRPr="003E293D">
        <w:rPr>
          <w:sz w:val="24"/>
          <w:szCs w:val="24"/>
          <w:lang w:eastAsia="en-US"/>
        </w:rPr>
        <w:t>.</w:t>
      </w:r>
    </w:p>
    <w:p w14:paraId="1599B143" w14:textId="227BD58D" w:rsidR="00FA4BF0" w:rsidRPr="003E293D" w:rsidRDefault="00950C76" w:rsidP="0081706C">
      <w:pPr>
        <w:spacing w:line="360" w:lineRule="auto"/>
        <w:jc w:val="both"/>
        <w:rPr>
          <w:sz w:val="24"/>
          <w:szCs w:val="24"/>
          <w:lang w:eastAsia="en-US"/>
        </w:rPr>
      </w:pPr>
      <w:r w:rsidRPr="003E293D">
        <w:rPr>
          <w:rFonts w:hint="eastAsia"/>
          <w:sz w:val="24"/>
          <w:szCs w:val="24"/>
        </w:rPr>
        <w:t xml:space="preserve">In </w:t>
      </w:r>
      <w:r w:rsidR="00FA4BF0" w:rsidRPr="003E293D">
        <w:rPr>
          <w:sz w:val="24"/>
          <w:szCs w:val="24"/>
          <w:lang w:eastAsia="en-US"/>
        </w:rPr>
        <w:t>Ownership structure (T_OWN)</w:t>
      </w:r>
      <w:r w:rsidRPr="003E293D">
        <w:rPr>
          <w:rFonts w:hint="eastAsia"/>
          <w:sz w:val="24"/>
          <w:szCs w:val="24"/>
        </w:rPr>
        <w:t>, t</w:t>
      </w:r>
      <w:r w:rsidR="00FA4BF0" w:rsidRPr="003E293D">
        <w:rPr>
          <w:sz w:val="24"/>
          <w:szCs w:val="24"/>
          <w:lang w:eastAsia="en-US"/>
        </w:rPr>
        <w:t>he average value is 1.44, which is close to the midpoint between non-state-owned and state-owned enterprises. The standard deviation is 0.5, indicating moderate variability in the ownership structure of the companies.</w:t>
      </w:r>
    </w:p>
    <w:p w14:paraId="500957C2" w14:textId="2AB8B689" w:rsidR="00FA4BF0" w:rsidRPr="003E293D" w:rsidRDefault="00950C76" w:rsidP="0081706C">
      <w:pPr>
        <w:spacing w:line="360" w:lineRule="auto"/>
        <w:jc w:val="both"/>
        <w:rPr>
          <w:sz w:val="24"/>
          <w:szCs w:val="24"/>
          <w:lang w:eastAsia="en-US"/>
        </w:rPr>
      </w:pPr>
      <w:r w:rsidRPr="003E293D">
        <w:rPr>
          <w:rFonts w:hint="eastAsia"/>
          <w:sz w:val="24"/>
          <w:szCs w:val="24"/>
        </w:rPr>
        <w:t xml:space="preserve">As for </w:t>
      </w:r>
      <w:r w:rsidR="00FA4BF0" w:rsidRPr="003E293D">
        <w:rPr>
          <w:sz w:val="24"/>
          <w:szCs w:val="24"/>
          <w:lang w:eastAsia="en-US"/>
        </w:rPr>
        <w:t>Country (T_COUNTRY)</w:t>
      </w:r>
      <w:r w:rsidRPr="003E293D">
        <w:rPr>
          <w:rFonts w:hint="eastAsia"/>
          <w:sz w:val="24"/>
          <w:szCs w:val="24"/>
        </w:rPr>
        <w:t>, t</w:t>
      </w:r>
      <w:r w:rsidR="00FA4BF0" w:rsidRPr="003E293D">
        <w:rPr>
          <w:sz w:val="24"/>
          <w:szCs w:val="24"/>
          <w:lang w:eastAsia="en-US"/>
        </w:rPr>
        <w:t>he average value is 1.42,</w:t>
      </w:r>
      <w:r w:rsidR="000A60AB">
        <w:rPr>
          <w:sz w:val="24"/>
          <w:szCs w:val="24"/>
          <w:lang w:eastAsia="en-US"/>
        </w:rPr>
        <w:t xml:space="preserve"> and t</w:t>
      </w:r>
      <w:r w:rsidR="000A60AB" w:rsidRPr="003E293D">
        <w:rPr>
          <w:sz w:val="24"/>
          <w:szCs w:val="24"/>
          <w:lang w:eastAsia="en-US"/>
        </w:rPr>
        <w:t>he standard deviation is 0.496</w:t>
      </w:r>
      <w:r w:rsidR="000A60AB">
        <w:rPr>
          <w:sz w:val="24"/>
          <w:szCs w:val="24"/>
          <w:lang w:eastAsia="en-US"/>
        </w:rPr>
        <w:t>,</w:t>
      </w:r>
      <w:r w:rsidR="00FA4BF0" w:rsidRPr="003E293D">
        <w:rPr>
          <w:sz w:val="24"/>
          <w:szCs w:val="24"/>
          <w:lang w:eastAsia="en-US"/>
        </w:rPr>
        <w:t xml:space="preserve"> suggesting that there is an almost equal number of companies from China and Russia,</w:t>
      </w:r>
      <w:r w:rsidR="000A60AB">
        <w:rPr>
          <w:sz w:val="24"/>
          <w:szCs w:val="24"/>
          <w:lang w:eastAsia="en-US"/>
        </w:rPr>
        <w:t xml:space="preserve"> as well as</w:t>
      </w:r>
      <w:r w:rsidR="00FA4BF0" w:rsidRPr="003E293D">
        <w:rPr>
          <w:sz w:val="24"/>
          <w:szCs w:val="24"/>
          <w:lang w:eastAsia="en-US"/>
        </w:rPr>
        <w:t xml:space="preserve"> moderate variability in the nationality of the companies.</w:t>
      </w:r>
    </w:p>
    <w:p w14:paraId="5AC33F60" w14:textId="2E6AA820" w:rsidR="00FA4BF0" w:rsidRPr="003E293D" w:rsidRDefault="00950C76" w:rsidP="0081706C">
      <w:pPr>
        <w:spacing w:line="360" w:lineRule="auto"/>
        <w:jc w:val="both"/>
        <w:rPr>
          <w:sz w:val="24"/>
          <w:szCs w:val="24"/>
          <w:lang w:eastAsia="en-US"/>
        </w:rPr>
      </w:pPr>
      <w:r w:rsidRPr="003E293D">
        <w:rPr>
          <w:rFonts w:hint="eastAsia"/>
          <w:sz w:val="24"/>
          <w:szCs w:val="24"/>
        </w:rPr>
        <w:t xml:space="preserve">Regarding </w:t>
      </w:r>
      <w:r w:rsidR="00FA4BF0" w:rsidRPr="003E293D">
        <w:rPr>
          <w:sz w:val="24"/>
          <w:szCs w:val="24"/>
          <w:lang w:eastAsia="en-US"/>
        </w:rPr>
        <w:t>Age of firm (AGE)</w:t>
      </w:r>
      <w:r w:rsidRPr="003E293D">
        <w:rPr>
          <w:rFonts w:hint="eastAsia"/>
          <w:sz w:val="24"/>
          <w:szCs w:val="24"/>
        </w:rPr>
        <w:t>, t</w:t>
      </w:r>
      <w:r w:rsidR="00FA4BF0" w:rsidRPr="003E293D">
        <w:rPr>
          <w:sz w:val="24"/>
          <w:szCs w:val="24"/>
          <w:lang w:eastAsia="en-US"/>
        </w:rPr>
        <w:t>he average value is 39.34 years, indicating that the companies have been established for several decades</w:t>
      </w:r>
      <w:r w:rsidR="002A3D11">
        <w:rPr>
          <w:sz w:val="24"/>
          <w:szCs w:val="24"/>
          <w:lang w:eastAsia="en-US"/>
        </w:rPr>
        <w:t xml:space="preserve"> in average</w:t>
      </w:r>
      <w:r w:rsidR="00FA4BF0" w:rsidRPr="003E293D">
        <w:rPr>
          <w:sz w:val="24"/>
          <w:szCs w:val="24"/>
          <w:lang w:eastAsia="en-US"/>
        </w:rPr>
        <w:t>. The standard deviation is 29.451 years, showing wide variability in the age of the companies.</w:t>
      </w:r>
    </w:p>
    <w:p w14:paraId="6D6D6B7B" w14:textId="62237CC9" w:rsidR="00FA4BF0" w:rsidRPr="003E293D" w:rsidRDefault="00950C76" w:rsidP="0081706C">
      <w:pPr>
        <w:spacing w:line="360" w:lineRule="auto"/>
        <w:jc w:val="both"/>
        <w:rPr>
          <w:sz w:val="24"/>
          <w:szCs w:val="24"/>
          <w:lang w:eastAsia="en-US"/>
        </w:rPr>
      </w:pPr>
      <w:r w:rsidRPr="003E293D">
        <w:rPr>
          <w:rFonts w:hint="eastAsia"/>
          <w:sz w:val="24"/>
          <w:szCs w:val="24"/>
        </w:rPr>
        <w:t xml:space="preserve">About </w:t>
      </w:r>
      <w:r w:rsidR="00FA4BF0" w:rsidRPr="003E293D">
        <w:rPr>
          <w:sz w:val="24"/>
          <w:szCs w:val="24"/>
          <w:lang w:eastAsia="en-US"/>
        </w:rPr>
        <w:t>ROA (Return on Assets)</w:t>
      </w:r>
      <w:r w:rsidRPr="003E293D">
        <w:rPr>
          <w:rFonts w:hint="eastAsia"/>
          <w:sz w:val="24"/>
          <w:szCs w:val="24"/>
        </w:rPr>
        <w:t>, t</w:t>
      </w:r>
      <w:r w:rsidR="00FA4BF0" w:rsidRPr="003E293D">
        <w:rPr>
          <w:sz w:val="24"/>
          <w:szCs w:val="24"/>
          <w:lang w:eastAsia="en-US"/>
        </w:rPr>
        <w:t>he average value is 7.849%, which is considered relatively healthy depending on the industry. However, the standard deviation is 13.1804%, indicating significant variability in ROA among companies.</w:t>
      </w:r>
    </w:p>
    <w:p w14:paraId="246ED653" w14:textId="6BCA3AF8" w:rsidR="00FA4BF0" w:rsidRPr="003E293D" w:rsidRDefault="00950C76" w:rsidP="0081706C">
      <w:pPr>
        <w:spacing w:line="360" w:lineRule="auto"/>
        <w:jc w:val="both"/>
        <w:rPr>
          <w:sz w:val="24"/>
          <w:szCs w:val="24"/>
          <w:lang w:eastAsia="en-US"/>
        </w:rPr>
      </w:pPr>
      <w:r w:rsidRPr="003E293D">
        <w:rPr>
          <w:rFonts w:hint="eastAsia"/>
          <w:sz w:val="24"/>
          <w:szCs w:val="24"/>
        </w:rPr>
        <w:t xml:space="preserve">In </w:t>
      </w:r>
      <w:r w:rsidR="00FA4BF0" w:rsidRPr="003E293D">
        <w:rPr>
          <w:sz w:val="24"/>
          <w:szCs w:val="24"/>
          <w:lang w:eastAsia="en-US"/>
        </w:rPr>
        <w:t>Independent director (DIRECTOR)</w:t>
      </w:r>
      <w:r w:rsidRPr="003E293D">
        <w:rPr>
          <w:rFonts w:hint="eastAsia"/>
          <w:sz w:val="24"/>
          <w:szCs w:val="24"/>
        </w:rPr>
        <w:t>, t</w:t>
      </w:r>
      <w:r w:rsidR="00FA4BF0" w:rsidRPr="003E293D">
        <w:rPr>
          <w:sz w:val="24"/>
          <w:szCs w:val="24"/>
          <w:lang w:eastAsia="en-US"/>
        </w:rPr>
        <w:t>he average value is 4.18, indicating that each company typically has about 4 independent directors. The standard deviation is 1.364, showing some variability in the number of independent directors.</w:t>
      </w:r>
    </w:p>
    <w:p w14:paraId="1248EF8B" w14:textId="1FA55940" w:rsidR="00AF4DCF" w:rsidRPr="003E293D" w:rsidRDefault="00950C76" w:rsidP="0081706C">
      <w:pPr>
        <w:spacing w:line="360" w:lineRule="auto"/>
        <w:jc w:val="both"/>
        <w:rPr>
          <w:rFonts w:hint="eastAsia"/>
          <w:sz w:val="24"/>
          <w:szCs w:val="24"/>
        </w:rPr>
      </w:pPr>
      <w:r w:rsidRPr="003E293D">
        <w:rPr>
          <w:sz w:val="24"/>
          <w:szCs w:val="24"/>
        </w:rPr>
        <w:t>Regarding</w:t>
      </w:r>
      <w:r w:rsidRPr="003E293D">
        <w:rPr>
          <w:rFonts w:hint="eastAsia"/>
          <w:sz w:val="24"/>
          <w:szCs w:val="24"/>
        </w:rPr>
        <w:t xml:space="preserve"> </w:t>
      </w:r>
      <w:r w:rsidR="00FA4BF0" w:rsidRPr="003E293D">
        <w:rPr>
          <w:sz w:val="24"/>
          <w:szCs w:val="24"/>
          <w:lang w:eastAsia="en-US"/>
        </w:rPr>
        <w:t>Type of industry (INDUSTRY)</w:t>
      </w:r>
      <w:r w:rsidRPr="003E293D">
        <w:rPr>
          <w:rFonts w:hint="eastAsia"/>
          <w:sz w:val="24"/>
          <w:szCs w:val="24"/>
        </w:rPr>
        <w:t>, t</w:t>
      </w:r>
      <w:r w:rsidR="00FA4BF0" w:rsidRPr="003E293D">
        <w:rPr>
          <w:sz w:val="24"/>
          <w:szCs w:val="24"/>
          <w:lang w:eastAsia="en-US"/>
        </w:rPr>
        <w:t xml:space="preserve">he average value is 0.40, indicating that </w:t>
      </w:r>
      <w:proofErr w:type="gramStart"/>
      <w:r w:rsidR="00FA4BF0" w:rsidRPr="003E293D">
        <w:rPr>
          <w:sz w:val="24"/>
          <w:szCs w:val="24"/>
          <w:lang w:eastAsia="en-US"/>
        </w:rPr>
        <w:t>a majority of</w:t>
      </w:r>
      <w:proofErr w:type="gramEnd"/>
      <w:r w:rsidR="00FA4BF0" w:rsidRPr="003E293D">
        <w:rPr>
          <w:sz w:val="24"/>
          <w:szCs w:val="24"/>
          <w:lang w:eastAsia="en-US"/>
        </w:rPr>
        <w:t xml:space="preserve"> companies are in industries not sensitive to CSR. However, the standard deviation is 0.494, indicating </w:t>
      </w:r>
      <w:r w:rsidR="00F74283" w:rsidRPr="003E293D">
        <w:rPr>
          <w:sz w:val="24"/>
          <w:szCs w:val="24"/>
          <w:lang w:eastAsia="en-US"/>
        </w:rPr>
        <w:t>a</w:t>
      </w:r>
      <w:r w:rsidR="00FA4BF0" w:rsidRPr="003E293D">
        <w:rPr>
          <w:sz w:val="24"/>
          <w:szCs w:val="24"/>
          <w:lang w:eastAsia="en-US"/>
        </w:rPr>
        <w:t xml:space="preserve"> </w:t>
      </w:r>
      <w:r w:rsidR="00E64ED3">
        <w:rPr>
          <w:sz w:val="24"/>
          <w:szCs w:val="24"/>
          <w:lang w:eastAsia="en-US"/>
        </w:rPr>
        <w:t xml:space="preserve">moderate variability </w:t>
      </w:r>
      <w:r w:rsidR="0081706C">
        <w:rPr>
          <w:sz w:val="24"/>
          <w:szCs w:val="24"/>
          <w:lang w:eastAsia="en-US"/>
        </w:rPr>
        <w:t xml:space="preserve">in </w:t>
      </w:r>
      <w:r w:rsidR="00FA4BF0" w:rsidRPr="003E293D">
        <w:rPr>
          <w:sz w:val="24"/>
          <w:szCs w:val="24"/>
          <w:lang w:eastAsia="en-US"/>
        </w:rPr>
        <w:t>types of industries.</w:t>
      </w:r>
      <w:r w:rsidR="00F74283">
        <w:rPr>
          <w:rFonts w:hint="eastAsia"/>
          <w:sz w:val="24"/>
          <w:szCs w:val="24"/>
        </w:rPr>
        <w:t xml:space="preserve"> (</w:t>
      </w:r>
      <w:r w:rsidR="00695A40">
        <w:rPr>
          <w:rFonts w:hint="eastAsia"/>
          <w:sz w:val="24"/>
          <w:szCs w:val="24"/>
        </w:rPr>
        <w:t>s</w:t>
      </w:r>
      <w:r w:rsidR="00F74283">
        <w:rPr>
          <w:rFonts w:hint="eastAsia"/>
          <w:sz w:val="24"/>
          <w:szCs w:val="24"/>
        </w:rPr>
        <w:t xml:space="preserve">ee Figure </w:t>
      </w:r>
      <w:r w:rsidR="00695A40">
        <w:rPr>
          <w:rFonts w:hint="eastAsia"/>
          <w:sz w:val="24"/>
          <w:szCs w:val="24"/>
        </w:rPr>
        <w:t>7</w:t>
      </w:r>
      <w:r w:rsidR="00F74283">
        <w:rPr>
          <w:rFonts w:hint="eastAsia"/>
          <w:sz w:val="24"/>
          <w:szCs w:val="24"/>
        </w:rPr>
        <w:t>)</w:t>
      </w:r>
    </w:p>
    <w:p w14:paraId="287C44D3" w14:textId="1529E435" w:rsidR="00A20EEF" w:rsidRPr="00F74283" w:rsidRDefault="003E293D" w:rsidP="00F74283">
      <w:pPr>
        <w:jc w:val="center"/>
        <w:rPr>
          <w:rFonts w:hint="eastAsia"/>
          <w:i/>
          <w:iCs/>
        </w:rPr>
      </w:pPr>
      <w:r w:rsidRPr="00F74283">
        <w:rPr>
          <w:i/>
          <w:iCs/>
          <w:noProof/>
          <w:lang w:eastAsia="en-US"/>
        </w:rPr>
        <w:drawing>
          <wp:anchor distT="0" distB="0" distL="114300" distR="114300" simplePos="0" relativeHeight="251653632" behindDoc="0" locked="0" layoutInCell="1" allowOverlap="1" wp14:anchorId="1C90AC6F" wp14:editId="0109D36C">
            <wp:simplePos x="0" y="0"/>
            <wp:positionH relativeFrom="margin">
              <wp:align>center</wp:align>
            </wp:positionH>
            <wp:positionV relativeFrom="paragraph">
              <wp:posOffset>262001</wp:posOffset>
            </wp:positionV>
            <wp:extent cx="3411855" cy="2212340"/>
            <wp:effectExtent l="0" t="0" r="0" b="0"/>
            <wp:wrapTopAndBottom/>
            <wp:docPr id="16382042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1855" cy="2212340"/>
                    </a:xfrm>
                    <a:prstGeom prst="rect">
                      <a:avLst/>
                    </a:prstGeom>
                    <a:noFill/>
                  </pic:spPr>
                </pic:pic>
              </a:graphicData>
            </a:graphic>
            <wp14:sizeRelH relativeFrom="margin">
              <wp14:pctWidth>0</wp14:pctWidth>
            </wp14:sizeRelH>
            <wp14:sizeRelV relativeFrom="margin">
              <wp14:pctHeight>0</wp14:pctHeight>
            </wp14:sizeRelV>
          </wp:anchor>
        </w:drawing>
      </w:r>
      <w:r w:rsidR="00F74283" w:rsidRPr="00F74283">
        <w:rPr>
          <w:rFonts w:hint="eastAsia"/>
          <w:i/>
          <w:iCs/>
        </w:rPr>
        <w:t xml:space="preserve">Figure </w:t>
      </w:r>
      <w:r w:rsidR="00695A40">
        <w:rPr>
          <w:rFonts w:hint="eastAsia"/>
          <w:i/>
          <w:iCs/>
        </w:rPr>
        <w:t>7</w:t>
      </w:r>
      <w:r w:rsidR="006039D6">
        <w:rPr>
          <w:rFonts w:hint="eastAsia"/>
          <w:i/>
          <w:iCs/>
        </w:rPr>
        <w:t>.</w:t>
      </w:r>
    </w:p>
    <w:p w14:paraId="4A21B632" w14:textId="77777777" w:rsidR="003E293D" w:rsidRDefault="003E293D" w:rsidP="00BB55ED">
      <w:pPr>
        <w:rPr>
          <w:lang w:eastAsia="en-US"/>
        </w:rPr>
      </w:pPr>
    </w:p>
    <w:p w14:paraId="35313650" w14:textId="77777777" w:rsidR="007D55ED" w:rsidRDefault="007D55ED" w:rsidP="00BB55ED">
      <w:pPr>
        <w:rPr>
          <w:lang w:eastAsia="en-US"/>
        </w:rPr>
      </w:pPr>
    </w:p>
    <w:p w14:paraId="62A13B91" w14:textId="50605BD3" w:rsidR="00BB36AC" w:rsidRPr="00BE5C87" w:rsidRDefault="00BB36AC" w:rsidP="00BE5C87">
      <w:pPr>
        <w:spacing w:line="360" w:lineRule="auto"/>
        <w:rPr>
          <w:b/>
          <w:bCs/>
          <w:i/>
          <w:iCs/>
          <w:sz w:val="24"/>
          <w:szCs w:val="24"/>
        </w:rPr>
      </w:pPr>
      <w:r w:rsidRPr="004C1D4A">
        <w:rPr>
          <w:b/>
          <w:bCs/>
          <w:i/>
          <w:iCs/>
          <w:sz w:val="24"/>
          <w:szCs w:val="24"/>
        </w:rPr>
        <w:t>Correlation</w:t>
      </w:r>
    </w:p>
    <w:p w14:paraId="7B468188" w14:textId="30A20582" w:rsidR="00F95138" w:rsidRDefault="0068470C" w:rsidP="00BE1080">
      <w:pPr>
        <w:spacing w:line="360" w:lineRule="auto"/>
        <w:jc w:val="both"/>
        <w:rPr>
          <w:sz w:val="24"/>
          <w:szCs w:val="24"/>
          <w:lang w:eastAsia="en-US"/>
        </w:rPr>
      </w:pPr>
      <w:r w:rsidRPr="003E293D">
        <w:rPr>
          <w:sz w:val="24"/>
          <w:szCs w:val="24"/>
          <w:lang w:eastAsia="en-US"/>
        </w:rPr>
        <w:t>For Ownership revision and CSR disclosure (SUM), the Pearson correlation coefficient is 0.</w:t>
      </w:r>
      <w:r w:rsidR="00E62BEE" w:rsidRPr="003E293D">
        <w:rPr>
          <w:sz w:val="24"/>
          <w:szCs w:val="24"/>
          <w:lang w:eastAsia="en-US"/>
        </w:rPr>
        <w:t>220</w:t>
      </w:r>
      <w:r w:rsidRPr="003E293D">
        <w:rPr>
          <w:sz w:val="24"/>
          <w:szCs w:val="24"/>
          <w:lang w:eastAsia="en-US"/>
        </w:rPr>
        <w:t xml:space="preserve">, indicating a weak positive relationship between ownership structure and CSR disclosure. </w:t>
      </w:r>
      <w:r w:rsidR="009862B0" w:rsidRPr="003E293D">
        <w:rPr>
          <w:sz w:val="24"/>
          <w:szCs w:val="24"/>
          <w:lang w:eastAsia="en-US"/>
        </w:rPr>
        <w:t>And</w:t>
      </w:r>
      <w:r w:rsidRPr="003E293D">
        <w:rPr>
          <w:sz w:val="24"/>
          <w:szCs w:val="24"/>
          <w:lang w:eastAsia="en-US"/>
        </w:rPr>
        <w:t xml:space="preserve"> the significance level of 0.0</w:t>
      </w:r>
      <w:r w:rsidR="009862B0" w:rsidRPr="003E293D">
        <w:rPr>
          <w:sz w:val="24"/>
          <w:szCs w:val="24"/>
          <w:lang w:eastAsia="en-US"/>
        </w:rPr>
        <w:t>27</w:t>
      </w:r>
      <w:r w:rsidRPr="003E293D">
        <w:rPr>
          <w:sz w:val="24"/>
          <w:szCs w:val="24"/>
          <w:lang w:eastAsia="en-US"/>
        </w:rPr>
        <w:t xml:space="preserve"> suggests that this correlation is statistically significant.</w:t>
      </w:r>
      <w:r w:rsidR="009862B0" w:rsidRPr="003E293D">
        <w:rPr>
          <w:sz w:val="24"/>
          <w:szCs w:val="24"/>
          <w:lang w:eastAsia="en-US"/>
        </w:rPr>
        <w:br/>
      </w:r>
      <w:r w:rsidR="005F16B0">
        <w:rPr>
          <w:sz w:val="24"/>
          <w:szCs w:val="24"/>
          <w:lang w:eastAsia="en-US"/>
        </w:rPr>
        <w:t xml:space="preserve">For Country </w:t>
      </w:r>
      <w:r w:rsidR="00F95138">
        <w:rPr>
          <w:sz w:val="24"/>
          <w:szCs w:val="24"/>
          <w:lang w:eastAsia="en-US"/>
        </w:rPr>
        <w:t xml:space="preserve">and CSR disclosure, </w:t>
      </w:r>
      <w:r w:rsidR="00F95138" w:rsidRPr="003E293D">
        <w:rPr>
          <w:sz w:val="24"/>
          <w:szCs w:val="24"/>
          <w:lang w:eastAsia="en-US"/>
        </w:rPr>
        <w:t xml:space="preserve">the Pearson correlation coefficient is </w:t>
      </w:r>
      <w:r w:rsidR="00742B99">
        <w:rPr>
          <w:sz w:val="24"/>
          <w:szCs w:val="24"/>
          <w:lang w:eastAsia="en-US"/>
        </w:rPr>
        <w:t xml:space="preserve">- </w:t>
      </w:r>
      <w:r w:rsidR="00F95138" w:rsidRPr="003E293D">
        <w:rPr>
          <w:sz w:val="24"/>
          <w:szCs w:val="24"/>
          <w:lang w:eastAsia="en-US"/>
        </w:rPr>
        <w:t>0.</w:t>
      </w:r>
      <w:r w:rsidR="00742B99">
        <w:rPr>
          <w:sz w:val="24"/>
          <w:szCs w:val="24"/>
          <w:lang w:eastAsia="en-US"/>
        </w:rPr>
        <w:t>393</w:t>
      </w:r>
      <w:r w:rsidR="00F95138" w:rsidRPr="003E293D">
        <w:rPr>
          <w:sz w:val="24"/>
          <w:szCs w:val="24"/>
          <w:lang w:eastAsia="en-US"/>
        </w:rPr>
        <w:t xml:space="preserve">, indicating a weak </w:t>
      </w:r>
      <w:r w:rsidR="00742B99">
        <w:rPr>
          <w:sz w:val="24"/>
          <w:szCs w:val="24"/>
          <w:lang w:eastAsia="en-US"/>
        </w:rPr>
        <w:t>negative</w:t>
      </w:r>
      <w:r w:rsidR="00F95138" w:rsidRPr="003E293D">
        <w:rPr>
          <w:sz w:val="24"/>
          <w:szCs w:val="24"/>
          <w:lang w:eastAsia="en-US"/>
        </w:rPr>
        <w:t xml:space="preserve"> relationship between </w:t>
      </w:r>
      <w:r w:rsidR="00742B99">
        <w:rPr>
          <w:sz w:val="24"/>
          <w:szCs w:val="24"/>
          <w:lang w:eastAsia="en-US"/>
        </w:rPr>
        <w:t>country</w:t>
      </w:r>
      <w:r w:rsidR="002229FE">
        <w:rPr>
          <w:sz w:val="24"/>
          <w:szCs w:val="24"/>
          <w:lang w:eastAsia="en-US"/>
        </w:rPr>
        <w:t xml:space="preserve"> </w:t>
      </w:r>
      <w:r w:rsidR="00F95138" w:rsidRPr="003E293D">
        <w:rPr>
          <w:sz w:val="24"/>
          <w:szCs w:val="24"/>
          <w:lang w:eastAsia="en-US"/>
        </w:rPr>
        <w:t>and CSR disclosure. And the significance level of 0.0</w:t>
      </w:r>
      <w:r w:rsidR="002229FE">
        <w:rPr>
          <w:sz w:val="24"/>
          <w:szCs w:val="24"/>
          <w:lang w:eastAsia="en-US"/>
        </w:rPr>
        <w:t>00</w:t>
      </w:r>
      <w:r w:rsidR="00F95138" w:rsidRPr="003E293D">
        <w:rPr>
          <w:sz w:val="24"/>
          <w:szCs w:val="24"/>
          <w:lang w:eastAsia="en-US"/>
        </w:rPr>
        <w:t xml:space="preserve"> suggests that this correlation is statistically significant.</w:t>
      </w:r>
    </w:p>
    <w:p w14:paraId="5F9A6648" w14:textId="247AD090" w:rsidR="00F7522C" w:rsidRPr="003E293D" w:rsidRDefault="0068470C" w:rsidP="00BE1080">
      <w:pPr>
        <w:spacing w:line="360" w:lineRule="auto"/>
        <w:jc w:val="both"/>
        <w:rPr>
          <w:sz w:val="24"/>
          <w:szCs w:val="24"/>
          <w:lang w:eastAsia="en-US"/>
        </w:rPr>
      </w:pPr>
      <w:r w:rsidRPr="003E293D">
        <w:rPr>
          <w:sz w:val="24"/>
          <w:szCs w:val="24"/>
          <w:lang w:eastAsia="en-US"/>
        </w:rPr>
        <w:t>For Age of Firm and CSR disclosure, the Pearson correlation coefficient is 0.</w:t>
      </w:r>
      <w:r w:rsidR="00765356">
        <w:rPr>
          <w:sz w:val="24"/>
          <w:szCs w:val="24"/>
          <w:lang w:eastAsia="en-US"/>
        </w:rPr>
        <w:t>97</w:t>
      </w:r>
      <w:r w:rsidRPr="003E293D">
        <w:rPr>
          <w:sz w:val="24"/>
          <w:szCs w:val="24"/>
          <w:lang w:eastAsia="en-US"/>
        </w:rPr>
        <w:t xml:space="preserve">, indicating a </w:t>
      </w:r>
      <w:r w:rsidR="00DA5326">
        <w:rPr>
          <w:sz w:val="24"/>
          <w:szCs w:val="24"/>
          <w:lang w:eastAsia="en-US"/>
        </w:rPr>
        <w:t>strong</w:t>
      </w:r>
      <w:r w:rsidRPr="003E293D">
        <w:rPr>
          <w:sz w:val="24"/>
          <w:szCs w:val="24"/>
          <w:lang w:eastAsia="en-US"/>
        </w:rPr>
        <w:t xml:space="preserve"> positive relationship between company age and CSR disclosure, but not statistically significant with a significance level of 0.</w:t>
      </w:r>
      <w:r w:rsidR="00F7522C">
        <w:rPr>
          <w:sz w:val="24"/>
          <w:szCs w:val="24"/>
          <w:lang w:eastAsia="en-US"/>
        </w:rPr>
        <w:t>20</w:t>
      </w:r>
      <w:r w:rsidRPr="003E293D">
        <w:rPr>
          <w:sz w:val="24"/>
          <w:szCs w:val="24"/>
          <w:lang w:eastAsia="en-US"/>
        </w:rPr>
        <w:t>.</w:t>
      </w:r>
    </w:p>
    <w:p w14:paraId="117FCABC" w14:textId="379C299D" w:rsidR="008841E6" w:rsidRDefault="0068470C" w:rsidP="00BE1080">
      <w:pPr>
        <w:spacing w:line="360" w:lineRule="auto"/>
        <w:jc w:val="both"/>
        <w:rPr>
          <w:sz w:val="24"/>
          <w:szCs w:val="24"/>
          <w:lang w:eastAsia="en-US"/>
        </w:rPr>
      </w:pPr>
      <w:r w:rsidRPr="003E293D">
        <w:rPr>
          <w:sz w:val="24"/>
          <w:szCs w:val="24"/>
          <w:lang w:eastAsia="en-US"/>
        </w:rPr>
        <w:t xml:space="preserve">For ROA and CSR disclosure, the Pearson correlation coefficient is </w:t>
      </w:r>
      <w:r w:rsidR="00F7522C">
        <w:rPr>
          <w:sz w:val="24"/>
          <w:szCs w:val="24"/>
          <w:lang w:eastAsia="en-US"/>
        </w:rPr>
        <w:t xml:space="preserve">- </w:t>
      </w:r>
      <w:r w:rsidRPr="003E293D">
        <w:rPr>
          <w:sz w:val="24"/>
          <w:szCs w:val="24"/>
          <w:lang w:eastAsia="en-US"/>
        </w:rPr>
        <w:t>0.</w:t>
      </w:r>
      <w:r w:rsidR="00F7522C">
        <w:rPr>
          <w:sz w:val="24"/>
          <w:szCs w:val="24"/>
          <w:lang w:eastAsia="en-US"/>
        </w:rPr>
        <w:t>1</w:t>
      </w:r>
      <w:r w:rsidRPr="003E293D">
        <w:rPr>
          <w:sz w:val="24"/>
          <w:szCs w:val="24"/>
          <w:lang w:eastAsia="en-US"/>
        </w:rPr>
        <w:t xml:space="preserve">0, indicating a very weak </w:t>
      </w:r>
      <w:r w:rsidR="00F7522C">
        <w:rPr>
          <w:sz w:val="24"/>
          <w:szCs w:val="24"/>
          <w:lang w:eastAsia="en-US"/>
        </w:rPr>
        <w:t>negative</w:t>
      </w:r>
      <w:r w:rsidRPr="003E293D">
        <w:rPr>
          <w:sz w:val="24"/>
          <w:szCs w:val="24"/>
          <w:lang w:eastAsia="en-US"/>
        </w:rPr>
        <w:t xml:space="preserve"> relationship, </w:t>
      </w:r>
      <w:r w:rsidR="00F7522C">
        <w:rPr>
          <w:sz w:val="24"/>
          <w:szCs w:val="24"/>
          <w:lang w:eastAsia="en-US"/>
        </w:rPr>
        <w:t>and</w:t>
      </w:r>
      <w:r w:rsidRPr="003E293D">
        <w:rPr>
          <w:sz w:val="24"/>
          <w:szCs w:val="24"/>
          <w:lang w:eastAsia="en-US"/>
        </w:rPr>
        <w:t xml:space="preserve"> not statistically significant with a significance level of 0.</w:t>
      </w:r>
      <w:r w:rsidR="008841E6">
        <w:rPr>
          <w:sz w:val="24"/>
          <w:szCs w:val="24"/>
          <w:lang w:eastAsia="en-US"/>
        </w:rPr>
        <w:t>464</w:t>
      </w:r>
      <w:r w:rsidRPr="003E293D">
        <w:rPr>
          <w:sz w:val="24"/>
          <w:szCs w:val="24"/>
          <w:lang w:eastAsia="en-US"/>
        </w:rPr>
        <w:t>.</w:t>
      </w:r>
    </w:p>
    <w:p w14:paraId="349FB484" w14:textId="519E7EF8" w:rsidR="00321EB2" w:rsidRDefault="0068470C" w:rsidP="00BE1080">
      <w:pPr>
        <w:spacing w:line="360" w:lineRule="auto"/>
        <w:jc w:val="both"/>
        <w:rPr>
          <w:sz w:val="24"/>
          <w:szCs w:val="24"/>
          <w:lang w:eastAsia="en-US"/>
        </w:rPr>
      </w:pPr>
      <w:r w:rsidRPr="003E293D">
        <w:rPr>
          <w:sz w:val="24"/>
          <w:szCs w:val="24"/>
          <w:lang w:eastAsia="en-US"/>
        </w:rPr>
        <w:t>For Independent director and CSR disclosure, the Pearson correlation coefficient is 0.1</w:t>
      </w:r>
      <w:r w:rsidR="006222D3">
        <w:rPr>
          <w:sz w:val="24"/>
          <w:szCs w:val="24"/>
          <w:lang w:eastAsia="en-US"/>
        </w:rPr>
        <w:t>21</w:t>
      </w:r>
      <w:r w:rsidRPr="003E293D">
        <w:rPr>
          <w:sz w:val="24"/>
          <w:szCs w:val="24"/>
          <w:lang w:eastAsia="en-US"/>
        </w:rPr>
        <w:t>, indicating a weak positive relationship, but not statistically significant with a significance level of 0.1</w:t>
      </w:r>
      <w:r w:rsidR="00321EB2">
        <w:rPr>
          <w:sz w:val="24"/>
          <w:szCs w:val="24"/>
          <w:lang w:eastAsia="en-US"/>
        </w:rPr>
        <w:t>48</w:t>
      </w:r>
      <w:r w:rsidRPr="003E293D">
        <w:rPr>
          <w:sz w:val="24"/>
          <w:szCs w:val="24"/>
          <w:lang w:eastAsia="en-US"/>
        </w:rPr>
        <w:t>.</w:t>
      </w:r>
    </w:p>
    <w:p w14:paraId="41CB77DA" w14:textId="0FF16C91" w:rsidR="00321EB2" w:rsidRPr="003E293D" w:rsidRDefault="0068470C" w:rsidP="00BE1080">
      <w:pPr>
        <w:spacing w:line="360" w:lineRule="auto"/>
        <w:jc w:val="both"/>
        <w:rPr>
          <w:sz w:val="24"/>
          <w:szCs w:val="24"/>
          <w:lang w:eastAsia="en-US"/>
        </w:rPr>
      </w:pPr>
      <w:r w:rsidRPr="003E293D">
        <w:rPr>
          <w:sz w:val="24"/>
          <w:szCs w:val="24"/>
          <w:lang w:eastAsia="en-US"/>
        </w:rPr>
        <w:t xml:space="preserve">For Type of Industry and CSR disclosure, the Pearson correlation coefficient is </w:t>
      </w:r>
      <w:r w:rsidR="00321EB2">
        <w:rPr>
          <w:sz w:val="24"/>
          <w:szCs w:val="24"/>
          <w:lang w:eastAsia="en-US"/>
        </w:rPr>
        <w:t xml:space="preserve">- </w:t>
      </w:r>
      <w:r w:rsidRPr="003E293D">
        <w:rPr>
          <w:sz w:val="24"/>
          <w:szCs w:val="24"/>
          <w:lang w:eastAsia="en-US"/>
        </w:rPr>
        <w:t>0.0</w:t>
      </w:r>
      <w:r w:rsidR="00321EB2">
        <w:rPr>
          <w:sz w:val="24"/>
          <w:szCs w:val="24"/>
          <w:lang w:eastAsia="en-US"/>
        </w:rPr>
        <w:t>39</w:t>
      </w:r>
      <w:r w:rsidRPr="003E293D">
        <w:rPr>
          <w:sz w:val="24"/>
          <w:szCs w:val="24"/>
          <w:lang w:eastAsia="en-US"/>
        </w:rPr>
        <w:t xml:space="preserve">, indicating a very weak </w:t>
      </w:r>
      <w:r w:rsidR="00321EB2">
        <w:rPr>
          <w:sz w:val="24"/>
          <w:szCs w:val="24"/>
          <w:lang w:eastAsia="en-US"/>
        </w:rPr>
        <w:t>negative</w:t>
      </w:r>
      <w:r w:rsidRPr="003E293D">
        <w:rPr>
          <w:sz w:val="24"/>
          <w:szCs w:val="24"/>
          <w:lang w:eastAsia="en-US"/>
        </w:rPr>
        <w:t xml:space="preserve"> relationship, </w:t>
      </w:r>
      <w:r w:rsidR="00321EB2">
        <w:rPr>
          <w:sz w:val="24"/>
          <w:szCs w:val="24"/>
          <w:lang w:eastAsia="en-US"/>
        </w:rPr>
        <w:t>and</w:t>
      </w:r>
      <w:r w:rsidRPr="003E293D">
        <w:rPr>
          <w:sz w:val="24"/>
          <w:szCs w:val="24"/>
          <w:lang w:eastAsia="en-US"/>
        </w:rPr>
        <w:t xml:space="preserve"> not statistically significant with a significance level of 0.</w:t>
      </w:r>
      <w:r w:rsidR="00321EB2">
        <w:rPr>
          <w:sz w:val="24"/>
          <w:szCs w:val="24"/>
          <w:lang w:eastAsia="en-US"/>
        </w:rPr>
        <w:t>368</w:t>
      </w:r>
      <w:r w:rsidRPr="003E293D">
        <w:rPr>
          <w:sz w:val="24"/>
          <w:szCs w:val="24"/>
          <w:lang w:eastAsia="en-US"/>
        </w:rPr>
        <w:t>. (</w:t>
      </w:r>
      <w:r w:rsidR="00695A40">
        <w:rPr>
          <w:rFonts w:hint="eastAsia"/>
          <w:sz w:val="24"/>
          <w:szCs w:val="24"/>
        </w:rPr>
        <w:t>s</w:t>
      </w:r>
      <w:r w:rsidRPr="003E293D">
        <w:rPr>
          <w:sz w:val="24"/>
          <w:szCs w:val="24"/>
          <w:lang w:eastAsia="en-US"/>
        </w:rPr>
        <w:t xml:space="preserve">ee Figure </w:t>
      </w:r>
      <w:r w:rsidR="00695A40">
        <w:rPr>
          <w:rFonts w:hint="eastAsia"/>
          <w:sz w:val="24"/>
          <w:szCs w:val="24"/>
        </w:rPr>
        <w:t>8</w:t>
      </w:r>
      <w:r w:rsidRPr="003E293D">
        <w:rPr>
          <w:sz w:val="24"/>
          <w:szCs w:val="24"/>
          <w:lang w:eastAsia="en-US"/>
        </w:rPr>
        <w:t>)</w:t>
      </w:r>
    </w:p>
    <w:p w14:paraId="7C9F40F3" w14:textId="6C8352BA" w:rsidR="00475890" w:rsidRDefault="0068470C" w:rsidP="00BE1080">
      <w:pPr>
        <w:spacing w:line="360" w:lineRule="auto"/>
        <w:jc w:val="both"/>
        <w:rPr>
          <w:sz w:val="24"/>
          <w:szCs w:val="24"/>
          <w:lang w:eastAsia="en-US"/>
        </w:rPr>
      </w:pPr>
      <w:r w:rsidRPr="003E293D">
        <w:rPr>
          <w:sz w:val="24"/>
          <w:szCs w:val="24"/>
          <w:lang w:eastAsia="en-US"/>
        </w:rPr>
        <w:t>These results show weak positive</w:t>
      </w:r>
      <w:r w:rsidR="001D563F">
        <w:rPr>
          <w:sz w:val="24"/>
          <w:szCs w:val="24"/>
          <w:lang w:eastAsia="en-US"/>
        </w:rPr>
        <w:t xml:space="preserve"> and negative</w:t>
      </w:r>
      <w:r w:rsidRPr="003E293D">
        <w:rPr>
          <w:sz w:val="24"/>
          <w:szCs w:val="24"/>
          <w:lang w:eastAsia="en-US"/>
        </w:rPr>
        <w:t xml:space="preserve"> correlations between each variable and CSR disclosure. </w:t>
      </w:r>
      <w:r w:rsidR="00BE1080">
        <w:rPr>
          <w:sz w:val="24"/>
          <w:szCs w:val="24"/>
          <w:lang w:eastAsia="en-US"/>
        </w:rPr>
        <w:t xml:space="preserve">But </w:t>
      </w:r>
      <w:r w:rsidR="00623E9C">
        <w:rPr>
          <w:sz w:val="24"/>
          <w:szCs w:val="24"/>
          <w:lang w:eastAsia="en-US"/>
        </w:rPr>
        <w:t xml:space="preserve">variables of </w:t>
      </w:r>
      <w:r w:rsidRPr="003E293D">
        <w:rPr>
          <w:sz w:val="24"/>
          <w:szCs w:val="24"/>
          <w:lang w:eastAsia="en-US"/>
        </w:rPr>
        <w:t xml:space="preserve">statistically significant correlation </w:t>
      </w:r>
      <w:r w:rsidR="00623E9C">
        <w:rPr>
          <w:sz w:val="24"/>
          <w:szCs w:val="24"/>
          <w:lang w:eastAsia="en-US"/>
        </w:rPr>
        <w:t xml:space="preserve">being </w:t>
      </w:r>
      <w:r w:rsidRPr="003E293D">
        <w:rPr>
          <w:sz w:val="24"/>
          <w:szCs w:val="24"/>
          <w:lang w:eastAsia="en-US"/>
        </w:rPr>
        <w:t xml:space="preserve">observed </w:t>
      </w:r>
      <w:r w:rsidR="00623E9C">
        <w:rPr>
          <w:sz w:val="24"/>
          <w:szCs w:val="24"/>
          <w:lang w:eastAsia="en-US"/>
        </w:rPr>
        <w:t>are</w:t>
      </w:r>
      <w:r w:rsidRPr="003E293D">
        <w:rPr>
          <w:sz w:val="24"/>
          <w:szCs w:val="24"/>
          <w:lang w:eastAsia="en-US"/>
        </w:rPr>
        <w:t xml:space="preserve"> with the </w:t>
      </w:r>
      <w:r w:rsidR="00623E9C">
        <w:rPr>
          <w:sz w:val="24"/>
          <w:szCs w:val="24"/>
          <w:lang w:eastAsia="en-US"/>
        </w:rPr>
        <w:t>Ownership revision, and Country</w:t>
      </w:r>
      <w:r w:rsidRPr="003E293D">
        <w:rPr>
          <w:sz w:val="24"/>
          <w:szCs w:val="24"/>
          <w:lang w:eastAsia="en-US"/>
        </w:rPr>
        <w:t>.</w:t>
      </w:r>
    </w:p>
    <w:p w14:paraId="49FF00EE" w14:textId="2D0F8361" w:rsidR="00DC7D1D" w:rsidRPr="00DC7D1D" w:rsidRDefault="00DC7D1D" w:rsidP="00DC7D1D">
      <w:pPr>
        <w:spacing w:line="360" w:lineRule="auto"/>
        <w:jc w:val="center"/>
        <w:rPr>
          <w:rFonts w:hint="eastAsia"/>
          <w:i/>
          <w:iCs/>
        </w:rPr>
      </w:pPr>
      <w:r w:rsidRPr="00DC7D1D">
        <w:rPr>
          <w:rFonts w:hint="eastAsia"/>
          <w:i/>
          <w:iCs/>
        </w:rPr>
        <w:t xml:space="preserve">Figure </w:t>
      </w:r>
      <w:r w:rsidR="00695A40">
        <w:rPr>
          <w:rFonts w:hint="eastAsia"/>
          <w:i/>
          <w:iCs/>
        </w:rPr>
        <w:t>8</w:t>
      </w:r>
      <w:r w:rsidRPr="00DC7D1D">
        <w:rPr>
          <w:rFonts w:hint="eastAsia"/>
          <w:i/>
          <w:iCs/>
        </w:rPr>
        <w:t>.</w:t>
      </w:r>
    </w:p>
    <w:p w14:paraId="118B8394" w14:textId="4920B58C" w:rsidR="00BB36AC" w:rsidRDefault="0086515C" w:rsidP="00BB55ED">
      <w:pPr>
        <w:rPr>
          <w:lang w:eastAsia="en-US"/>
        </w:rPr>
      </w:pPr>
      <w:r>
        <w:rPr>
          <w:noProof/>
          <w:lang w:eastAsia="en-US"/>
        </w:rPr>
        <w:drawing>
          <wp:inline distT="0" distB="0" distL="0" distR="0" wp14:anchorId="1CD02390" wp14:editId="7EB92032">
            <wp:extent cx="5915025" cy="4094416"/>
            <wp:effectExtent l="0" t="0" r="0" b="1905"/>
            <wp:docPr id="100515488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1265" cy="4105658"/>
                    </a:xfrm>
                    <a:prstGeom prst="rect">
                      <a:avLst/>
                    </a:prstGeom>
                    <a:noFill/>
                  </pic:spPr>
                </pic:pic>
              </a:graphicData>
            </a:graphic>
          </wp:inline>
        </w:drawing>
      </w:r>
    </w:p>
    <w:p w14:paraId="2C4627B7" w14:textId="77777777" w:rsidR="003F53FE" w:rsidRDefault="003F53FE" w:rsidP="00383397">
      <w:pPr>
        <w:autoSpaceDE w:val="0"/>
        <w:autoSpaceDN w:val="0"/>
        <w:adjustRightInd w:val="0"/>
        <w:spacing w:line="360" w:lineRule="auto"/>
        <w:rPr>
          <w:rFonts w:cs="Times New Roman"/>
          <w:b/>
          <w:bCs/>
          <w:i/>
          <w:iCs/>
          <w:sz w:val="24"/>
          <w:szCs w:val="24"/>
        </w:rPr>
      </w:pPr>
    </w:p>
    <w:p w14:paraId="286B4C56" w14:textId="77777777" w:rsidR="00BE1080" w:rsidRDefault="00BE1080" w:rsidP="00383397">
      <w:pPr>
        <w:autoSpaceDE w:val="0"/>
        <w:autoSpaceDN w:val="0"/>
        <w:adjustRightInd w:val="0"/>
        <w:spacing w:line="360" w:lineRule="auto"/>
        <w:rPr>
          <w:rFonts w:cs="Times New Roman"/>
          <w:b/>
          <w:bCs/>
          <w:i/>
          <w:iCs/>
          <w:sz w:val="24"/>
          <w:szCs w:val="24"/>
        </w:rPr>
      </w:pPr>
    </w:p>
    <w:p w14:paraId="6A4009EA" w14:textId="77777777" w:rsidR="00BE1080" w:rsidRDefault="00BE1080" w:rsidP="00383397">
      <w:pPr>
        <w:autoSpaceDE w:val="0"/>
        <w:autoSpaceDN w:val="0"/>
        <w:adjustRightInd w:val="0"/>
        <w:spacing w:line="360" w:lineRule="auto"/>
        <w:rPr>
          <w:rFonts w:cs="Times New Roman"/>
          <w:b/>
          <w:bCs/>
          <w:i/>
          <w:iCs/>
          <w:sz w:val="24"/>
          <w:szCs w:val="24"/>
        </w:rPr>
      </w:pPr>
    </w:p>
    <w:p w14:paraId="059EA295" w14:textId="77777777" w:rsidR="00BE1080" w:rsidRDefault="00BE1080" w:rsidP="00383397">
      <w:pPr>
        <w:autoSpaceDE w:val="0"/>
        <w:autoSpaceDN w:val="0"/>
        <w:adjustRightInd w:val="0"/>
        <w:spacing w:line="360" w:lineRule="auto"/>
        <w:rPr>
          <w:rFonts w:cs="Times New Roman"/>
          <w:b/>
          <w:bCs/>
          <w:i/>
          <w:iCs/>
          <w:sz w:val="24"/>
          <w:szCs w:val="24"/>
        </w:rPr>
      </w:pPr>
    </w:p>
    <w:p w14:paraId="0D11FFE0" w14:textId="77777777" w:rsidR="00BE1080" w:rsidRDefault="00BE1080" w:rsidP="00383397">
      <w:pPr>
        <w:autoSpaceDE w:val="0"/>
        <w:autoSpaceDN w:val="0"/>
        <w:adjustRightInd w:val="0"/>
        <w:spacing w:line="360" w:lineRule="auto"/>
        <w:rPr>
          <w:rFonts w:cs="Times New Roman"/>
          <w:b/>
          <w:bCs/>
          <w:i/>
          <w:iCs/>
          <w:sz w:val="24"/>
          <w:szCs w:val="24"/>
        </w:rPr>
      </w:pPr>
    </w:p>
    <w:p w14:paraId="0A2E48A6" w14:textId="652E46A8" w:rsidR="00383397" w:rsidRPr="002D5881" w:rsidRDefault="00383397" w:rsidP="002D5881">
      <w:pPr>
        <w:autoSpaceDE w:val="0"/>
        <w:autoSpaceDN w:val="0"/>
        <w:adjustRightInd w:val="0"/>
        <w:spacing w:line="360" w:lineRule="auto"/>
        <w:rPr>
          <w:rFonts w:cs="Times New Roman"/>
          <w:sz w:val="24"/>
          <w:szCs w:val="24"/>
        </w:rPr>
      </w:pPr>
      <w:r w:rsidRPr="00953C1B">
        <w:rPr>
          <w:rFonts w:cs="Times New Roman"/>
          <w:b/>
          <w:bCs/>
          <w:i/>
          <w:iCs/>
          <w:sz w:val="24"/>
          <w:szCs w:val="24"/>
        </w:rPr>
        <w:t>Model</w:t>
      </w:r>
    </w:p>
    <w:p w14:paraId="0225E196" w14:textId="77777777" w:rsidR="002D5881" w:rsidRPr="002D5881" w:rsidRDefault="002D5881" w:rsidP="002D5881">
      <w:pPr>
        <w:spacing w:line="360" w:lineRule="auto"/>
        <w:jc w:val="both"/>
        <w:rPr>
          <w:sz w:val="24"/>
          <w:szCs w:val="24"/>
          <w:lang w:eastAsia="en-US"/>
        </w:rPr>
      </w:pPr>
      <w:r w:rsidRPr="002D5881">
        <w:rPr>
          <w:sz w:val="24"/>
          <w:szCs w:val="24"/>
          <w:lang w:eastAsia="en-US"/>
        </w:rPr>
        <w:t>The model's R (correlation coefficient) is 0.474, indicating a moderate positive relationship between independent variables and the dependent variable. The R Square (coefficient of determination) is 0.225, indicating that the independent variables explain approximately 22.5% of the variation in the dependent variable.</w:t>
      </w:r>
    </w:p>
    <w:p w14:paraId="5D5A9C5C" w14:textId="039F9808" w:rsidR="00383397" w:rsidRDefault="002D5881" w:rsidP="002D5881">
      <w:pPr>
        <w:spacing w:line="360" w:lineRule="auto"/>
        <w:jc w:val="both"/>
        <w:rPr>
          <w:sz w:val="24"/>
          <w:szCs w:val="24"/>
          <w:lang w:eastAsia="en-US"/>
        </w:rPr>
      </w:pPr>
      <w:r w:rsidRPr="002D5881">
        <w:rPr>
          <w:sz w:val="24"/>
          <w:szCs w:val="24"/>
          <w:lang w:eastAsia="en-US"/>
        </w:rPr>
        <w:t>From these results, it can be concluded that while there is a moderate positive relationship between independent and dependent variables, the correlation is statistically small. Therefore, the independent variables may not have a significant impact on CSR disclosure. (</w:t>
      </w:r>
      <w:r w:rsidR="00695A40">
        <w:rPr>
          <w:rFonts w:hint="eastAsia"/>
          <w:sz w:val="24"/>
          <w:szCs w:val="24"/>
        </w:rPr>
        <w:t>s</w:t>
      </w:r>
      <w:r w:rsidR="008829A0">
        <w:rPr>
          <w:rFonts w:hint="eastAsia"/>
          <w:sz w:val="24"/>
          <w:szCs w:val="24"/>
        </w:rPr>
        <w:t xml:space="preserve">ee </w:t>
      </w:r>
      <w:r w:rsidRPr="002D5881">
        <w:rPr>
          <w:sz w:val="24"/>
          <w:szCs w:val="24"/>
          <w:lang w:eastAsia="en-US"/>
        </w:rPr>
        <w:t xml:space="preserve">Figure </w:t>
      </w:r>
      <w:r w:rsidR="00695A40">
        <w:rPr>
          <w:rFonts w:hint="eastAsia"/>
          <w:sz w:val="24"/>
          <w:szCs w:val="24"/>
        </w:rPr>
        <w:t>9</w:t>
      </w:r>
      <w:r w:rsidRPr="002D5881">
        <w:rPr>
          <w:sz w:val="24"/>
          <w:szCs w:val="24"/>
          <w:lang w:eastAsia="en-US"/>
        </w:rPr>
        <w:t>)</w:t>
      </w:r>
    </w:p>
    <w:p w14:paraId="76536D16" w14:textId="77777777" w:rsidR="008829A0" w:rsidRPr="002D5881" w:rsidRDefault="008829A0" w:rsidP="002D5881">
      <w:pPr>
        <w:spacing w:line="360" w:lineRule="auto"/>
        <w:jc w:val="both"/>
        <w:rPr>
          <w:sz w:val="24"/>
          <w:szCs w:val="24"/>
          <w:lang w:eastAsia="en-US"/>
        </w:rPr>
      </w:pPr>
    </w:p>
    <w:p w14:paraId="411A3A8D" w14:textId="6979F74B" w:rsidR="002D5881" w:rsidRPr="008829A0" w:rsidRDefault="008829A0" w:rsidP="008829A0">
      <w:pPr>
        <w:jc w:val="center"/>
        <w:rPr>
          <w:rFonts w:hint="eastAsia"/>
          <w:i/>
          <w:iCs/>
        </w:rPr>
      </w:pPr>
      <w:r>
        <w:rPr>
          <w:noProof/>
          <w:lang w:eastAsia="en-US"/>
        </w:rPr>
        <w:drawing>
          <wp:anchor distT="0" distB="0" distL="114300" distR="114300" simplePos="0" relativeHeight="251656704" behindDoc="0" locked="0" layoutInCell="1" allowOverlap="1" wp14:anchorId="4C90918B" wp14:editId="3A9770F2">
            <wp:simplePos x="0" y="0"/>
            <wp:positionH relativeFrom="margin">
              <wp:align>center</wp:align>
            </wp:positionH>
            <wp:positionV relativeFrom="paragraph">
              <wp:posOffset>292202</wp:posOffset>
            </wp:positionV>
            <wp:extent cx="5125554" cy="1790700"/>
            <wp:effectExtent l="0" t="0" r="0" b="0"/>
            <wp:wrapTopAndBottom/>
            <wp:docPr id="11639916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5554" cy="1790700"/>
                    </a:xfrm>
                    <a:prstGeom prst="rect">
                      <a:avLst/>
                    </a:prstGeom>
                    <a:noFill/>
                  </pic:spPr>
                </pic:pic>
              </a:graphicData>
            </a:graphic>
          </wp:anchor>
        </w:drawing>
      </w:r>
      <w:r w:rsidRPr="008829A0">
        <w:rPr>
          <w:rFonts w:hint="eastAsia"/>
          <w:i/>
          <w:iCs/>
        </w:rPr>
        <w:t xml:space="preserve">Figure </w:t>
      </w:r>
      <w:r w:rsidR="00695A40">
        <w:rPr>
          <w:rFonts w:hint="eastAsia"/>
          <w:i/>
          <w:iCs/>
        </w:rPr>
        <w:t>9</w:t>
      </w:r>
      <w:r w:rsidRPr="008829A0">
        <w:rPr>
          <w:rFonts w:hint="eastAsia"/>
          <w:i/>
          <w:iCs/>
        </w:rPr>
        <w:t>.</w:t>
      </w:r>
    </w:p>
    <w:p w14:paraId="088E2A13" w14:textId="46CF1B7A" w:rsidR="0086515C" w:rsidRDefault="0086515C" w:rsidP="00BB55ED">
      <w:pPr>
        <w:rPr>
          <w:lang w:eastAsia="en-US"/>
        </w:rPr>
      </w:pPr>
    </w:p>
    <w:p w14:paraId="406F5951" w14:textId="26FD742E" w:rsidR="0086515C" w:rsidRDefault="0086515C" w:rsidP="00BB55ED">
      <w:pPr>
        <w:rPr>
          <w:lang w:eastAsia="en-US"/>
        </w:rPr>
      </w:pPr>
    </w:p>
    <w:p w14:paraId="77E9023B" w14:textId="77777777" w:rsidR="0086515C" w:rsidRDefault="0086515C" w:rsidP="00BB55ED">
      <w:pPr>
        <w:rPr>
          <w:lang w:eastAsia="en-US"/>
        </w:rPr>
      </w:pPr>
    </w:p>
    <w:p w14:paraId="56A5176A" w14:textId="77777777" w:rsidR="0086515C" w:rsidRDefault="0086515C" w:rsidP="00BB55ED">
      <w:pPr>
        <w:rPr>
          <w:lang w:eastAsia="en-US"/>
        </w:rPr>
      </w:pPr>
    </w:p>
    <w:p w14:paraId="6F8D378E" w14:textId="5EB0BD7B" w:rsidR="00383397" w:rsidRPr="00017804" w:rsidRDefault="00383397" w:rsidP="00017804">
      <w:pPr>
        <w:spacing w:line="360" w:lineRule="auto"/>
        <w:rPr>
          <w:sz w:val="24"/>
          <w:szCs w:val="24"/>
        </w:rPr>
      </w:pPr>
      <w:r w:rsidRPr="00D43A0C">
        <w:rPr>
          <w:b/>
          <w:bCs/>
          <w:i/>
          <w:iCs/>
          <w:sz w:val="24"/>
          <w:szCs w:val="24"/>
        </w:rPr>
        <w:t>Causality</w:t>
      </w:r>
    </w:p>
    <w:p w14:paraId="72010D17" w14:textId="343378E3" w:rsidR="00FA757F" w:rsidRDefault="00017804" w:rsidP="00F741F8">
      <w:pPr>
        <w:spacing w:line="360" w:lineRule="auto"/>
        <w:jc w:val="both"/>
        <w:rPr>
          <w:sz w:val="24"/>
          <w:szCs w:val="24"/>
          <w:lang w:eastAsia="en-US"/>
        </w:rPr>
      </w:pPr>
      <w:r w:rsidRPr="00017804">
        <w:rPr>
          <w:sz w:val="24"/>
          <w:szCs w:val="24"/>
          <w:lang w:eastAsia="en-US"/>
        </w:rPr>
        <w:t xml:space="preserve">For Ownership revision, the unstandardized coefficient B is </w:t>
      </w:r>
      <w:r w:rsidR="00B2656F">
        <w:rPr>
          <w:sz w:val="24"/>
          <w:szCs w:val="24"/>
          <w:lang w:eastAsia="en-US"/>
        </w:rPr>
        <w:t>0</w:t>
      </w:r>
      <w:r w:rsidRPr="00017804">
        <w:rPr>
          <w:sz w:val="24"/>
          <w:szCs w:val="24"/>
          <w:lang w:eastAsia="en-US"/>
        </w:rPr>
        <w:t>.</w:t>
      </w:r>
      <w:r w:rsidR="00B2656F">
        <w:rPr>
          <w:sz w:val="24"/>
          <w:szCs w:val="24"/>
          <w:lang w:eastAsia="en-US"/>
        </w:rPr>
        <w:t>401</w:t>
      </w:r>
      <w:r w:rsidRPr="00017804">
        <w:rPr>
          <w:sz w:val="24"/>
          <w:szCs w:val="24"/>
          <w:lang w:eastAsia="en-US"/>
        </w:rPr>
        <w:t xml:space="preserve">, indicating that a one-unit change in ownership structure (from non-SOE to SOE) increases the CSR disclosure score by an average of </w:t>
      </w:r>
      <w:r w:rsidR="00B2656F">
        <w:rPr>
          <w:sz w:val="24"/>
          <w:szCs w:val="24"/>
          <w:lang w:eastAsia="en-US"/>
        </w:rPr>
        <w:t>0</w:t>
      </w:r>
      <w:r w:rsidRPr="00017804">
        <w:rPr>
          <w:sz w:val="24"/>
          <w:szCs w:val="24"/>
          <w:lang w:eastAsia="en-US"/>
        </w:rPr>
        <w:t>.</w:t>
      </w:r>
      <w:r w:rsidR="00B2656F">
        <w:rPr>
          <w:sz w:val="24"/>
          <w:szCs w:val="24"/>
          <w:lang w:eastAsia="en-US"/>
        </w:rPr>
        <w:t>401</w:t>
      </w:r>
      <w:r w:rsidRPr="00017804">
        <w:rPr>
          <w:sz w:val="24"/>
          <w:szCs w:val="24"/>
          <w:lang w:eastAsia="en-US"/>
        </w:rPr>
        <w:t xml:space="preserve"> points. However, with a t-value of 1.2</w:t>
      </w:r>
      <w:r w:rsidR="00CB4BBB">
        <w:rPr>
          <w:sz w:val="24"/>
          <w:szCs w:val="24"/>
          <w:lang w:eastAsia="en-US"/>
        </w:rPr>
        <w:t>0</w:t>
      </w:r>
      <w:r w:rsidRPr="00017804">
        <w:rPr>
          <w:sz w:val="24"/>
          <w:szCs w:val="24"/>
          <w:lang w:eastAsia="en-US"/>
        </w:rPr>
        <w:t>1 and a p-value (Sig.) of 0.233, this coefficient is not statistically significant.</w:t>
      </w:r>
    </w:p>
    <w:p w14:paraId="069DEDB7" w14:textId="607F0FA1" w:rsidR="00AE2FD6" w:rsidRDefault="00FA757F" w:rsidP="00F741F8">
      <w:pPr>
        <w:spacing w:line="360" w:lineRule="auto"/>
        <w:jc w:val="both"/>
        <w:rPr>
          <w:sz w:val="24"/>
          <w:szCs w:val="24"/>
          <w:lang w:eastAsia="en-US"/>
        </w:rPr>
      </w:pPr>
      <w:r w:rsidRPr="00017804">
        <w:rPr>
          <w:sz w:val="24"/>
          <w:szCs w:val="24"/>
          <w:lang w:eastAsia="en-US"/>
        </w:rPr>
        <w:t xml:space="preserve">For </w:t>
      </w:r>
      <w:r>
        <w:rPr>
          <w:sz w:val="24"/>
          <w:szCs w:val="24"/>
          <w:lang w:eastAsia="en-US"/>
        </w:rPr>
        <w:t>Country</w:t>
      </w:r>
      <w:r w:rsidRPr="00017804">
        <w:rPr>
          <w:sz w:val="24"/>
          <w:szCs w:val="24"/>
          <w:lang w:eastAsia="en-US"/>
        </w:rPr>
        <w:t xml:space="preserve">, the unstandardized coefficient B is </w:t>
      </w:r>
      <w:r w:rsidR="0070558D">
        <w:rPr>
          <w:sz w:val="24"/>
          <w:szCs w:val="24"/>
          <w:lang w:eastAsia="en-US"/>
        </w:rPr>
        <w:t>- 1</w:t>
      </w:r>
      <w:r w:rsidRPr="00017804">
        <w:rPr>
          <w:sz w:val="24"/>
          <w:szCs w:val="24"/>
          <w:lang w:eastAsia="en-US"/>
        </w:rPr>
        <w:t>.0</w:t>
      </w:r>
      <w:r w:rsidR="0070558D">
        <w:rPr>
          <w:sz w:val="24"/>
          <w:szCs w:val="24"/>
          <w:lang w:eastAsia="en-US"/>
        </w:rPr>
        <w:t>53</w:t>
      </w:r>
      <w:r w:rsidRPr="00017804">
        <w:rPr>
          <w:sz w:val="24"/>
          <w:szCs w:val="24"/>
          <w:lang w:eastAsia="en-US"/>
        </w:rPr>
        <w:t xml:space="preserve">, indicating that a one-unit change in </w:t>
      </w:r>
      <w:r w:rsidR="0070558D">
        <w:rPr>
          <w:sz w:val="24"/>
          <w:szCs w:val="24"/>
          <w:lang w:eastAsia="en-US"/>
        </w:rPr>
        <w:t>country</w:t>
      </w:r>
      <w:r w:rsidR="003E5887">
        <w:rPr>
          <w:sz w:val="24"/>
          <w:szCs w:val="24"/>
          <w:lang w:eastAsia="en-US"/>
        </w:rPr>
        <w:t xml:space="preserve"> </w:t>
      </w:r>
      <w:r w:rsidR="0070558D">
        <w:rPr>
          <w:sz w:val="24"/>
          <w:szCs w:val="24"/>
          <w:lang w:eastAsia="en-US"/>
        </w:rPr>
        <w:t>decrease</w:t>
      </w:r>
      <w:r w:rsidRPr="00017804">
        <w:rPr>
          <w:sz w:val="24"/>
          <w:szCs w:val="24"/>
          <w:lang w:eastAsia="en-US"/>
        </w:rPr>
        <w:t xml:space="preserve"> the CSR disclosure score by an average of </w:t>
      </w:r>
      <w:r w:rsidR="0070558D">
        <w:rPr>
          <w:sz w:val="24"/>
          <w:szCs w:val="24"/>
          <w:lang w:eastAsia="en-US"/>
        </w:rPr>
        <w:t>1</w:t>
      </w:r>
      <w:r w:rsidRPr="00017804">
        <w:rPr>
          <w:sz w:val="24"/>
          <w:szCs w:val="24"/>
          <w:lang w:eastAsia="en-US"/>
        </w:rPr>
        <w:t>.0</w:t>
      </w:r>
      <w:r w:rsidR="0070558D">
        <w:rPr>
          <w:sz w:val="24"/>
          <w:szCs w:val="24"/>
          <w:lang w:eastAsia="en-US"/>
        </w:rPr>
        <w:t>53</w:t>
      </w:r>
      <w:r w:rsidRPr="00017804">
        <w:rPr>
          <w:sz w:val="24"/>
          <w:szCs w:val="24"/>
          <w:lang w:eastAsia="en-US"/>
        </w:rPr>
        <w:t xml:space="preserve"> points.</w:t>
      </w:r>
      <w:r w:rsidR="00385E0E">
        <w:rPr>
          <w:sz w:val="24"/>
          <w:szCs w:val="24"/>
          <w:lang w:eastAsia="en-US"/>
        </w:rPr>
        <w:t xml:space="preserve"> </w:t>
      </w:r>
      <w:r w:rsidR="009D26C4" w:rsidRPr="00017804">
        <w:rPr>
          <w:sz w:val="24"/>
          <w:szCs w:val="24"/>
          <w:lang w:eastAsia="en-US"/>
        </w:rPr>
        <w:t xml:space="preserve">With a t-value of </w:t>
      </w:r>
      <w:r w:rsidR="009D26C4">
        <w:rPr>
          <w:rFonts w:hint="eastAsia"/>
          <w:sz w:val="24"/>
          <w:szCs w:val="24"/>
        </w:rPr>
        <w:t>-3</w:t>
      </w:r>
      <w:r w:rsidR="009D26C4" w:rsidRPr="00017804">
        <w:rPr>
          <w:sz w:val="24"/>
          <w:szCs w:val="24"/>
          <w:lang w:eastAsia="en-US"/>
        </w:rPr>
        <w:t>.</w:t>
      </w:r>
      <w:r w:rsidR="009D26C4">
        <w:rPr>
          <w:rFonts w:hint="eastAsia"/>
          <w:sz w:val="24"/>
          <w:szCs w:val="24"/>
        </w:rPr>
        <w:t>328</w:t>
      </w:r>
      <w:r w:rsidR="009D26C4" w:rsidRPr="00017804">
        <w:rPr>
          <w:sz w:val="24"/>
          <w:szCs w:val="24"/>
          <w:lang w:eastAsia="en-US"/>
        </w:rPr>
        <w:t xml:space="preserve"> and a p-value (Sig.) of 0.</w:t>
      </w:r>
      <w:r w:rsidR="009D26C4">
        <w:rPr>
          <w:rFonts w:hint="eastAsia"/>
          <w:sz w:val="24"/>
          <w:szCs w:val="24"/>
        </w:rPr>
        <w:t>001</w:t>
      </w:r>
      <w:r w:rsidR="009D26C4" w:rsidRPr="00017804">
        <w:rPr>
          <w:sz w:val="24"/>
          <w:szCs w:val="24"/>
          <w:lang w:eastAsia="en-US"/>
        </w:rPr>
        <w:t>, th</w:t>
      </w:r>
      <w:r w:rsidR="00C148CE">
        <w:rPr>
          <w:rFonts w:hint="eastAsia"/>
          <w:sz w:val="24"/>
          <w:szCs w:val="24"/>
        </w:rPr>
        <w:t>is</w:t>
      </w:r>
      <w:r w:rsidR="009D26C4" w:rsidRPr="00017804">
        <w:rPr>
          <w:sz w:val="24"/>
          <w:szCs w:val="24"/>
          <w:lang w:eastAsia="en-US"/>
        </w:rPr>
        <w:t xml:space="preserve"> coefficient </w:t>
      </w:r>
      <w:r w:rsidR="00C148CE">
        <w:rPr>
          <w:rFonts w:hint="eastAsia"/>
          <w:sz w:val="24"/>
          <w:szCs w:val="24"/>
        </w:rPr>
        <w:t>is</w:t>
      </w:r>
      <w:r w:rsidR="009D26C4" w:rsidRPr="00017804">
        <w:rPr>
          <w:sz w:val="24"/>
          <w:szCs w:val="24"/>
          <w:lang w:eastAsia="en-US"/>
        </w:rPr>
        <w:t xml:space="preserve"> statistically significant.</w:t>
      </w:r>
    </w:p>
    <w:p w14:paraId="0906F742" w14:textId="2FF7B9C2" w:rsidR="00C148CE" w:rsidRDefault="00017804" w:rsidP="00F741F8">
      <w:pPr>
        <w:spacing w:line="360" w:lineRule="auto"/>
        <w:jc w:val="both"/>
        <w:rPr>
          <w:sz w:val="24"/>
          <w:szCs w:val="24"/>
          <w:lang w:eastAsia="en-US"/>
        </w:rPr>
      </w:pPr>
      <w:r w:rsidRPr="00017804">
        <w:rPr>
          <w:sz w:val="24"/>
          <w:szCs w:val="24"/>
          <w:lang w:eastAsia="en-US"/>
        </w:rPr>
        <w:t xml:space="preserve">For Age of Firm, the unstandardized coefficient B is 0.01, indicating that a one-unit change in company age increases the CSR disclosure score by an average of 0.01points. With a t-value of </w:t>
      </w:r>
      <w:r w:rsidR="000D406A">
        <w:rPr>
          <w:rFonts w:hint="eastAsia"/>
          <w:sz w:val="24"/>
          <w:szCs w:val="24"/>
        </w:rPr>
        <w:t>0</w:t>
      </w:r>
      <w:r w:rsidRPr="00017804">
        <w:rPr>
          <w:sz w:val="24"/>
          <w:szCs w:val="24"/>
          <w:lang w:eastAsia="en-US"/>
        </w:rPr>
        <w:t>.</w:t>
      </w:r>
      <w:r w:rsidR="000D406A">
        <w:rPr>
          <w:rFonts w:hint="eastAsia"/>
          <w:sz w:val="24"/>
          <w:szCs w:val="24"/>
        </w:rPr>
        <w:t>182</w:t>
      </w:r>
      <w:r w:rsidRPr="00017804">
        <w:rPr>
          <w:sz w:val="24"/>
          <w:szCs w:val="24"/>
          <w:lang w:eastAsia="en-US"/>
        </w:rPr>
        <w:t xml:space="preserve"> and a p-value (Sig.) of 0.</w:t>
      </w:r>
      <w:r w:rsidR="000D406A">
        <w:rPr>
          <w:rFonts w:hint="eastAsia"/>
          <w:sz w:val="24"/>
          <w:szCs w:val="24"/>
        </w:rPr>
        <w:t>856</w:t>
      </w:r>
      <w:r w:rsidRPr="00017804">
        <w:rPr>
          <w:sz w:val="24"/>
          <w:szCs w:val="24"/>
          <w:lang w:eastAsia="en-US"/>
        </w:rPr>
        <w:t>, th</w:t>
      </w:r>
      <w:r w:rsidR="00C148CE">
        <w:rPr>
          <w:rFonts w:hint="eastAsia"/>
          <w:sz w:val="24"/>
          <w:szCs w:val="24"/>
        </w:rPr>
        <w:t>is</w:t>
      </w:r>
      <w:r w:rsidRPr="00017804">
        <w:rPr>
          <w:sz w:val="24"/>
          <w:szCs w:val="24"/>
          <w:lang w:eastAsia="en-US"/>
        </w:rPr>
        <w:t xml:space="preserve"> coefficient</w:t>
      </w:r>
      <w:r w:rsidR="00C148CE">
        <w:rPr>
          <w:rFonts w:hint="eastAsia"/>
          <w:sz w:val="24"/>
          <w:szCs w:val="24"/>
        </w:rPr>
        <w:t xml:space="preserve"> is</w:t>
      </w:r>
      <w:r w:rsidRPr="00017804">
        <w:rPr>
          <w:sz w:val="24"/>
          <w:szCs w:val="24"/>
          <w:lang w:eastAsia="en-US"/>
        </w:rPr>
        <w:t xml:space="preserve"> not statistically significant.</w:t>
      </w:r>
    </w:p>
    <w:p w14:paraId="5A1CD0BD" w14:textId="77777777" w:rsidR="00134672" w:rsidRDefault="00017804" w:rsidP="00F741F8">
      <w:pPr>
        <w:spacing w:line="360" w:lineRule="auto"/>
        <w:jc w:val="both"/>
        <w:rPr>
          <w:sz w:val="24"/>
          <w:szCs w:val="24"/>
          <w:lang w:eastAsia="en-US"/>
        </w:rPr>
      </w:pPr>
      <w:r w:rsidRPr="00017804">
        <w:rPr>
          <w:sz w:val="24"/>
          <w:szCs w:val="24"/>
          <w:lang w:eastAsia="en-US"/>
        </w:rPr>
        <w:t>For ROA, the unstandardized coefficient B is 0.0</w:t>
      </w:r>
      <w:r w:rsidR="00C148CE">
        <w:rPr>
          <w:rFonts w:hint="eastAsia"/>
          <w:sz w:val="24"/>
          <w:szCs w:val="24"/>
        </w:rPr>
        <w:t>17</w:t>
      </w:r>
      <w:r w:rsidRPr="00017804">
        <w:rPr>
          <w:sz w:val="24"/>
          <w:szCs w:val="24"/>
          <w:lang w:eastAsia="en-US"/>
        </w:rPr>
        <w:t>, indicating that a one-unit change in ROA increases the CSR disclosure score by an average of 0.0</w:t>
      </w:r>
      <w:r w:rsidR="005E45B7">
        <w:rPr>
          <w:rFonts w:hint="eastAsia"/>
          <w:sz w:val="24"/>
          <w:szCs w:val="24"/>
        </w:rPr>
        <w:t>17</w:t>
      </w:r>
      <w:r w:rsidRPr="00017804">
        <w:rPr>
          <w:sz w:val="24"/>
          <w:szCs w:val="24"/>
          <w:lang w:eastAsia="en-US"/>
        </w:rPr>
        <w:t xml:space="preserve"> points. With a t-value of </w:t>
      </w:r>
      <w:r w:rsidR="005E45B7">
        <w:rPr>
          <w:rFonts w:hint="eastAsia"/>
          <w:sz w:val="24"/>
          <w:szCs w:val="24"/>
        </w:rPr>
        <w:t>1</w:t>
      </w:r>
      <w:r w:rsidRPr="00017804">
        <w:rPr>
          <w:sz w:val="24"/>
          <w:szCs w:val="24"/>
          <w:lang w:eastAsia="en-US"/>
        </w:rPr>
        <w:t>.3</w:t>
      </w:r>
      <w:r w:rsidR="005E45B7">
        <w:rPr>
          <w:rFonts w:hint="eastAsia"/>
          <w:sz w:val="24"/>
          <w:szCs w:val="24"/>
        </w:rPr>
        <w:t>26</w:t>
      </w:r>
      <w:r w:rsidRPr="00017804">
        <w:rPr>
          <w:sz w:val="24"/>
          <w:szCs w:val="24"/>
          <w:lang w:eastAsia="en-US"/>
        </w:rPr>
        <w:t xml:space="preserve"> and a p-value (Sig.) of 0.</w:t>
      </w:r>
      <w:r w:rsidR="005E45B7">
        <w:rPr>
          <w:rFonts w:hint="eastAsia"/>
          <w:sz w:val="24"/>
          <w:szCs w:val="24"/>
        </w:rPr>
        <w:t>189</w:t>
      </w:r>
      <w:r w:rsidRPr="00017804">
        <w:rPr>
          <w:sz w:val="24"/>
          <w:szCs w:val="24"/>
          <w:lang w:eastAsia="en-US"/>
        </w:rPr>
        <w:t>, this coefficient is</w:t>
      </w:r>
      <w:r w:rsidR="002C05A3">
        <w:rPr>
          <w:rFonts w:hint="eastAsia"/>
          <w:sz w:val="24"/>
          <w:szCs w:val="24"/>
        </w:rPr>
        <w:t xml:space="preserve"> not</w:t>
      </w:r>
      <w:r w:rsidRPr="00017804">
        <w:rPr>
          <w:sz w:val="24"/>
          <w:szCs w:val="24"/>
          <w:lang w:eastAsia="en-US"/>
        </w:rPr>
        <w:t xml:space="preserve"> statistically significant.</w:t>
      </w:r>
    </w:p>
    <w:p w14:paraId="106D55B4" w14:textId="0E53DC5A" w:rsidR="00134672" w:rsidRPr="00017804" w:rsidRDefault="00017804" w:rsidP="00F741F8">
      <w:pPr>
        <w:spacing w:line="360" w:lineRule="auto"/>
        <w:jc w:val="both"/>
        <w:rPr>
          <w:sz w:val="24"/>
          <w:szCs w:val="24"/>
          <w:lang w:eastAsia="en-US"/>
        </w:rPr>
      </w:pPr>
      <w:r w:rsidRPr="00017804">
        <w:rPr>
          <w:sz w:val="24"/>
          <w:szCs w:val="24"/>
          <w:lang w:eastAsia="en-US"/>
        </w:rPr>
        <w:t>For Independent director, the unstandardized coefficient B is 0.</w:t>
      </w:r>
      <w:r w:rsidR="00A1260C">
        <w:rPr>
          <w:rFonts w:hint="eastAsia"/>
          <w:sz w:val="24"/>
          <w:szCs w:val="24"/>
        </w:rPr>
        <w:t>059</w:t>
      </w:r>
      <w:r w:rsidRPr="00017804">
        <w:rPr>
          <w:sz w:val="24"/>
          <w:szCs w:val="24"/>
          <w:lang w:eastAsia="en-US"/>
        </w:rPr>
        <w:t>, indicating that a one-unit change in the number of independent directors increases the CSR disclosure score by an average of 0.</w:t>
      </w:r>
      <w:r w:rsidR="00A1260C">
        <w:rPr>
          <w:rFonts w:hint="eastAsia"/>
          <w:sz w:val="24"/>
          <w:szCs w:val="24"/>
        </w:rPr>
        <w:t>059</w:t>
      </w:r>
      <w:r w:rsidRPr="00017804">
        <w:rPr>
          <w:sz w:val="24"/>
          <w:szCs w:val="24"/>
          <w:lang w:eastAsia="en-US"/>
        </w:rPr>
        <w:t xml:space="preserve"> points. With a t-value of 0.</w:t>
      </w:r>
      <w:r w:rsidR="00A1260C">
        <w:rPr>
          <w:rFonts w:hint="eastAsia"/>
          <w:sz w:val="24"/>
          <w:szCs w:val="24"/>
        </w:rPr>
        <w:t>543</w:t>
      </w:r>
      <w:r w:rsidRPr="00017804">
        <w:rPr>
          <w:sz w:val="24"/>
          <w:szCs w:val="24"/>
          <w:lang w:eastAsia="en-US"/>
        </w:rPr>
        <w:t xml:space="preserve"> and a p-value (Sig.) of 0.</w:t>
      </w:r>
      <w:r w:rsidR="00134672">
        <w:rPr>
          <w:rFonts w:hint="eastAsia"/>
          <w:sz w:val="24"/>
          <w:szCs w:val="24"/>
        </w:rPr>
        <w:t>589</w:t>
      </w:r>
      <w:r w:rsidRPr="00017804">
        <w:rPr>
          <w:sz w:val="24"/>
          <w:szCs w:val="24"/>
          <w:lang w:eastAsia="en-US"/>
        </w:rPr>
        <w:t>, this coefficient is not statistically significant.</w:t>
      </w:r>
    </w:p>
    <w:p w14:paraId="4D4D7AD7" w14:textId="29A2F0AB" w:rsidR="00134672" w:rsidRDefault="00017804" w:rsidP="00F741F8">
      <w:pPr>
        <w:spacing w:line="360" w:lineRule="auto"/>
        <w:jc w:val="both"/>
        <w:rPr>
          <w:sz w:val="24"/>
          <w:szCs w:val="24"/>
          <w:lang w:eastAsia="en-US"/>
        </w:rPr>
      </w:pPr>
      <w:r w:rsidRPr="00017804">
        <w:rPr>
          <w:sz w:val="24"/>
          <w:szCs w:val="24"/>
          <w:lang w:eastAsia="en-US"/>
        </w:rPr>
        <w:t xml:space="preserve">For Type of Industry, the unstandardized coefficient B is </w:t>
      </w:r>
      <w:r w:rsidR="00134672">
        <w:rPr>
          <w:rFonts w:hint="eastAsia"/>
          <w:sz w:val="24"/>
          <w:szCs w:val="24"/>
        </w:rPr>
        <w:t xml:space="preserve">- </w:t>
      </w:r>
      <w:r w:rsidRPr="00017804">
        <w:rPr>
          <w:sz w:val="24"/>
          <w:szCs w:val="24"/>
          <w:lang w:eastAsia="en-US"/>
        </w:rPr>
        <w:t>0.0</w:t>
      </w:r>
      <w:r w:rsidR="00134672">
        <w:rPr>
          <w:rFonts w:hint="eastAsia"/>
          <w:sz w:val="24"/>
          <w:szCs w:val="24"/>
        </w:rPr>
        <w:t>21</w:t>
      </w:r>
      <w:r w:rsidRPr="00017804">
        <w:rPr>
          <w:sz w:val="24"/>
          <w:szCs w:val="24"/>
          <w:lang w:eastAsia="en-US"/>
        </w:rPr>
        <w:t xml:space="preserve">, indicating that a one-unit change in industry type </w:t>
      </w:r>
      <w:r w:rsidR="00A92514">
        <w:rPr>
          <w:rFonts w:hint="eastAsia"/>
          <w:sz w:val="24"/>
          <w:szCs w:val="24"/>
        </w:rPr>
        <w:t>decreases</w:t>
      </w:r>
      <w:r w:rsidRPr="00017804">
        <w:rPr>
          <w:sz w:val="24"/>
          <w:szCs w:val="24"/>
          <w:lang w:eastAsia="en-US"/>
        </w:rPr>
        <w:t xml:space="preserve"> the CSR disclosure score by an average of 0.0</w:t>
      </w:r>
      <w:r w:rsidR="00A92514">
        <w:rPr>
          <w:rFonts w:hint="eastAsia"/>
          <w:sz w:val="24"/>
          <w:szCs w:val="24"/>
        </w:rPr>
        <w:t>21</w:t>
      </w:r>
      <w:r w:rsidRPr="00017804">
        <w:rPr>
          <w:sz w:val="24"/>
          <w:szCs w:val="24"/>
          <w:lang w:eastAsia="en-US"/>
        </w:rPr>
        <w:t xml:space="preserve"> points. With a t-value of </w:t>
      </w:r>
      <w:r w:rsidR="00A92514">
        <w:rPr>
          <w:rFonts w:hint="eastAsia"/>
          <w:sz w:val="24"/>
          <w:szCs w:val="24"/>
        </w:rPr>
        <w:t xml:space="preserve">- </w:t>
      </w:r>
      <w:r w:rsidRPr="00017804">
        <w:rPr>
          <w:sz w:val="24"/>
          <w:szCs w:val="24"/>
          <w:lang w:eastAsia="en-US"/>
        </w:rPr>
        <w:t>0.</w:t>
      </w:r>
      <w:r w:rsidR="00A92514">
        <w:rPr>
          <w:rFonts w:hint="eastAsia"/>
          <w:sz w:val="24"/>
          <w:szCs w:val="24"/>
        </w:rPr>
        <w:t>066</w:t>
      </w:r>
      <w:r w:rsidRPr="00017804">
        <w:rPr>
          <w:sz w:val="24"/>
          <w:szCs w:val="24"/>
          <w:lang w:eastAsia="en-US"/>
        </w:rPr>
        <w:t xml:space="preserve"> and a p-value (Sig.) of 0.</w:t>
      </w:r>
      <w:r w:rsidR="00F741F8">
        <w:rPr>
          <w:rFonts w:hint="eastAsia"/>
          <w:sz w:val="24"/>
          <w:szCs w:val="24"/>
        </w:rPr>
        <w:t>948</w:t>
      </w:r>
      <w:r w:rsidRPr="00017804">
        <w:rPr>
          <w:sz w:val="24"/>
          <w:szCs w:val="24"/>
          <w:lang w:eastAsia="en-US"/>
        </w:rPr>
        <w:t xml:space="preserve">, this coefficient is not statistically significant. </w:t>
      </w:r>
    </w:p>
    <w:p w14:paraId="1E9C5AAB" w14:textId="2F6BD8B8" w:rsidR="00017804" w:rsidRPr="00017804" w:rsidRDefault="00017804" w:rsidP="00F741F8">
      <w:pPr>
        <w:spacing w:line="360" w:lineRule="auto"/>
        <w:jc w:val="both"/>
        <w:rPr>
          <w:sz w:val="24"/>
          <w:szCs w:val="24"/>
          <w:lang w:eastAsia="en-US"/>
        </w:rPr>
      </w:pPr>
      <w:r w:rsidRPr="00017804">
        <w:rPr>
          <w:sz w:val="24"/>
          <w:szCs w:val="24"/>
          <w:lang w:eastAsia="en-US"/>
        </w:rPr>
        <w:t xml:space="preserve">A regression model was created to examine whether the independent variables have an impact on CSR disclosure. The results indicate that none of these independent variables but only </w:t>
      </w:r>
      <w:r w:rsidR="00F741F8">
        <w:rPr>
          <w:rFonts w:hint="eastAsia"/>
          <w:sz w:val="24"/>
          <w:szCs w:val="24"/>
        </w:rPr>
        <w:t>Country</w:t>
      </w:r>
      <w:r w:rsidRPr="00017804">
        <w:rPr>
          <w:sz w:val="24"/>
          <w:szCs w:val="24"/>
          <w:lang w:eastAsia="en-US"/>
        </w:rPr>
        <w:t xml:space="preserve"> ha</w:t>
      </w:r>
      <w:r w:rsidR="00F741F8">
        <w:rPr>
          <w:rFonts w:hint="eastAsia"/>
          <w:sz w:val="24"/>
          <w:szCs w:val="24"/>
        </w:rPr>
        <w:t>s</w:t>
      </w:r>
      <w:r w:rsidRPr="00017804">
        <w:rPr>
          <w:sz w:val="24"/>
          <w:szCs w:val="24"/>
          <w:lang w:eastAsia="en-US"/>
        </w:rPr>
        <w:t xml:space="preserve"> a statistically significant impact on CSR disclosure (see Figure 1</w:t>
      </w:r>
      <w:r w:rsidR="00695A40">
        <w:rPr>
          <w:rFonts w:hint="eastAsia"/>
          <w:sz w:val="24"/>
          <w:szCs w:val="24"/>
        </w:rPr>
        <w:t>0</w:t>
      </w:r>
      <w:r w:rsidRPr="00017804">
        <w:rPr>
          <w:sz w:val="24"/>
          <w:szCs w:val="24"/>
          <w:lang w:eastAsia="en-US"/>
        </w:rPr>
        <w:t>).</w:t>
      </w:r>
    </w:p>
    <w:p w14:paraId="3761E1B2" w14:textId="77777777" w:rsidR="008829A0" w:rsidRDefault="008829A0" w:rsidP="00BB55ED">
      <w:pPr>
        <w:rPr>
          <w:lang w:eastAsia="en-US"/>
        </w:rPr>
      </w:pPr>
    </w:p>
    <w:p w14:paraId="002C2DA6" w14:textId="7AFA3FA1" w:rsidR="00383397" w:rsidRPr="008829A0" w:rsidRDefault="00F741F8" w:rsidP="008829A0">
      <w:pPr>
        <w:jc w:val="center"/>
        <w:rPr>
          <w:rFonts w:hint="eastAsia"/>
          <w:i/>
          <w:iCs/>
        </w:rPr>
      </w:pPr>
      <w:r w:rsidRPr="008829A0">
        <w:rPr>
          <w:i/>
          <w:iCs/>
          <w:noProof/>
          <w:lang w:eastAsia="en-US"/>
        </w:rPr>
        <w:drawing>
          <wp:anchor distT="0" distB="0" distL="114300" distR="114300" simplePos="0" relativeHeight="251661824" behindDoc="0" locked="0" layoutInCell="1" allowOverlap="1" wp14:anchorId="5FE29A13" wp14:editId="6E52B554">
            <wp:simplePos x="0" y="0"/>
            <wp:positionH relativeFrom="column">
              <wp:posOffset>-15720</wp:posOffset>
            </wp:positionH>
            <wp:positionV relativeFrom="paragraph">
              <wp:posOffset>300946</wp:posOffset>
            </wp:positionV>
            <wp:extent cx="5901055" cy="2924175"/>
            <wp:effectExtent l="0" t="0" r="4445" b="9525"/>
            <wp:wrapTopAndBottom/>
            <wp:docPr id="83549046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1055" cy="2924175"/>
                    </a:xfrm>
                    <a:prstGeom prst="rect">
                      <a:avLst/>
                    </a:prstGeom>
                    <a:noFill/>
                  </pic:spPr>
                </pic:pic>
              </a:graphicData>
            </a:graphic>
          </wp:anchor>
        </w:drawing>
      </w:r>
      <w:r w:rsidR="008829A0" w:rsidRPr="008829A0">
        <w:rPr>
          <w:rFonts w:hint="eastAsia"/>
          <w:i/>
          <w:iCs/>
        </w:rPr>
        <w:t>Figure 1</w:t>
      </w:r>
      <w:r w:rsidR="00695A40">
        <w:rPr>
          <w:rFonts w:hint="eastAsia"/>
          <w:i/>
          <w:iCs/>
        </w:rPr>
        <w:t>0</w:t>
      </w:r>
      <w:r w:rsidR="008829A0" w:rsidRPr="008829A0">
        <w:rPr>
          <w:rFonts w:hint="eastAsia"/>
          <w:i/>
          <w:iCs/>
        </w:rPr>
        <w:t>.</w:t>
      </w:r>
    </w:p>
    <w:p w14:paraId="43E32C05" w14:textId="6C338D8C" w:rsidR="005A4AA3" w:rsidRDefault="005A4AA3" w:rsidP="00BB55ED">
      <w:pPr>
        <w:rPr>
          <w:lang w:eastAsia="en-US"/>
        </w:rPr>
      </w:pPr>
    </w:p>
    <w:p w14:paraId="2927756E" w14:textId="77777777" w:rsidR="00532FF8" w:rsidRDefault="00532FF8" w:rsidP="00BB55ED">
      <w:pPr>
        <w:rPr>
          <w:lang w:eastAsia="en-US"/>
        </w:rPr>
      </w:pPr>
    </w:p>
    <w:p w14:paraId="3BAED248" w14:textId="39E17AB4" w:rsidR="00017804" w:rsidRDefault="007602A0" w:rsidP="00293B79">
      <w:pPr>
        <w:spacing w:line="360" w:lineRule="auto"/>
        <w:rPr>
          <w:b/>
          <w:bCs/>
          <w:i/>
          <w:iCs/>
          <w:sz w:val="24"/>
          <w:szCs w:val="24"/>
          <w:lang w:eastAsia="en-US"/>
        </w:rPr>
      </w:pPr>
      <w:r w:rsidRPr="00017804">
        <w:rPr>
          <w:b/>
          <w:bCs/>
          <w:i/>
          <w:iCs/>
          <w:sz w:val="24"/>
          <w:szCs w:val="24"/>
          <w:lang w:eastAsia="en-US"/>
        </w:rPr>
        <w:t>Multicollinearity statistics</w:t>
      </w:r>
    </w:p>
    <w:p w14:paraId="1333B38F" w14:textId="7BF019F2" w:rsidR="00B52409" w:rsidRPr="00306080" w:rsidRDefault="006237C5" w:rsidP="006237C5">
      <w:pPr>
        <w:spacing w:line="360" w:lineRule="auto"/>
        <w:jc w:val="both"/>
        <w:rPr>
          <w:rFonts w:hint="eastAsia"/>
          <w:sz w:val="24"/>
          <w:szCs w:val="24"/>
        </w:rPr>
      </w:pPr>
      <w:r w:rsidRPr="00306080">
        <w:rPr>
          <w:sz w:val="24"/>
          <w:szCs w:val="24"/>
          <w:lang w:eastAsia="en-US"/>
        </w:rPr>
        <w:t>Considering the possibility that the large number of independent variables may increase statistical significance, we conducted a multicollinearity diagnosis. As a result, the Collinearity statistics show that all VIF values are below 10</w:t>
      </w:r>
      <w:r w:rsidRPr="00306080">
        <w:rPr>
          <w:rFonts w:hint="eastAsia"/>
          <w:sz w:val="24"/>
          <w:szCs w:val="24"/>
        </w:rPr>
        <w:t xml:space="preserve"> (every value is around 1)</w:t>
      </w:r>
      <w:r w:rsidRPr="00306080">
        <w:rPr>
          <w:sz w:val="24"/>
          <w:szCs w:val="24"/>
          <w:lang w:eastAsia="en-US"/>
        </w:rPr>
        <w:t>, indicating that the possibility of multicollinearity is low.</w:t>
      </w:r>
      <w:r w:rsidR="008829A0">
        <w:rPr>
          <w:rFonts w:hint="eastAsia"/>
          <w:sz w:val="24"/>
          <w:szCs w:val="24"/>
        </w:rPr>
        <w:t xml:space="preserve"> (see Figure 1</w:t>
      </w:r>
      <w:r w:rsidR="00695A40">
        <w:rPr>
          <w:rFonts w:hint="eastAsia"/>
          <w:sz w:val="24"/>
          <w:szCs w:val="24"/>
        </w:rPr>
        <w:t>1</w:t>
      </w:r>
      <w:r w:rsidR="008829A0">
        <w:rPr>
          <w:rFonts w:hint="eastAsia"/>
          <w:sz w:val="24"/>
          <w:szCs w:val="24"/>
        </w:rPr>
        <w:t>)</w:t>
      </w:r>
    </w:p>
    <w:p w14:paraId="540215E0" w14:textId="4C2B7A8F" w:rsidR="00E037F6" w:rsidRPr="008829A0" w:rsidRDefault="00E037F6" w:rsidP="008829A0">
      <w:pPr>
        <w:jc w:val="center"/>
        <w:rPr>
          <w:i/>
          <w:iCs/>
          <w:lang w:eastAsia="en-US"/>
        </w:rPr>
      </w:pPr>
      <w:r w:rsidRPr="008829A0">
        <w:rPr>
          <w:i/>
          <w:iCs/>
          <w:noProof/>
          <w:lang w:eastAsia="en-US"/>
        </w:rPr>
        <w:drawing>
          <wp:anchor distT="0" distB="0" distL="114300" distR="114300" simplePos="0" relativeHeight="251662848" behindDoc="0" locked="0" layoutInCell="1" allowOverlap="1" wp14:anchorId="64BE4ECC" wp14:editId="285F1E77">
            <wp:simplePos x="0" y="0"/>
            <wp:positionH relativeFrom="margin">
              <wp:align>center</wp:align>
            </wp:positionH>
            <wp:positionV relativeFrom="paragraph">
              <wp:posOffset>341630</wp:posOffset>
            </wp:positionV>
            <wp:extent cx="5828179" cy="2304552"/>
            <wp:effectExtent l="0" t="0" r="1270" b="635"/>
            <wp:wrapTopAndBottom/>
            <wp:docPr id="126748972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8179" cy="2304552"/>
                    </a:xfrm>
                    <a:prstGeom prst="rect">
                      <a:avLst/>
                    </a:prstGeom>
                    <a:noFill/>
                  </pic:spPr>
                </pic:pic>
              </a:graphicData>
            </a:graphic>
          </wp:anchor>
        </w:drawing>
      </w:r>
      <w:r w:rsidR="008829A0" w:rsidRPr="008829A0">
        <w:rPr>
          <w:rFonts w:hint="eastAsia"/>
          <w:i/>
          <w:iCs/>
        </w:rPr>
        <w:t>Figure 1</w:t>
      </w:r>
      <w:r w:rsidR="00695A40">
        <w:rPr>
          <w:rFonts w:hint="eastAsia"/>
          <w:i/>
          <w:iCs/>
        </w:rPr>
        <w:t>1</w:t>
      </w:r>
      <w:r w:rsidR="008829A0" w:rsidRPr="008829A0">
        <w:rPr>
          <w:rFonts w:hint="eastAsia"/>
          <w:i/>
          <w:iCs/>
        </w:rPr>
        <w:t xml:space="preserve">. </w:t>
      </w:r>
      <w:r w:rsidR="008F3D1E" w:rsidRPr="008829A0">
        <w:rPr>
          <w:i/>
          <w:iCs/>
          <w:lang w:eastAsia="en-US"/>
        </w:rPr>
        <w:br/>
      </w:r>
    </w:p>
    <w:p w14:paraId="0B251291" w14:textId="77777777" w:rsidR="00E037F6" w:rsidRDefault="00E037F6" w:rsidP="00BB55ED">
      <w:pPr>
        <w:rPr>
          <w:lang w:eastAsia="en-US"/>
        </w:rPr>
      </w:pPr>
    </w:p>
    <w:p w14:paraId="183D3201" w14:textId="69AEADCD" w:rsidR="00E037F6" w:rsidRDefault="009B55FC" w:rsidP="009B55FC">
      <w:pPr>
        <w:spacing w:line="360" w:lineRule="auto"/>
        <w:jc w:val="both"/>
        <w:rPr>
          <w:sz w:val="24"/>
          <w:szCs w:val="24"/>
        </w:rPr>
      </w:pPr>
      <w:r w:rsidRPr="009B55FC">
        <w:rPr>
          <w:sz w:val="24"/>
          <w:szCs w:val="24"/>
          <w:lang w:eastAsia="en-US"/>
        </w:rPr>
        <w:t>Although multicollinearity was not observed</w:t>
      </w:r>
      <w:r w:rsidRPr="009B55FC">
        <w:rPr>
          <w:rFonts w:hint="eastAsia"/>
          <w:sz w:val="24"/>
          <w:szCs w:val="24"/>
        </w:rPr>
        <w:t xml:space="preserve"> previously</w:t>
      </w:r>
      <w:r w:rsidRPr="009B55FC">
        <w:rPr>
          <w:sz w:val="24"/>
          <w:szCs w:val="24"/>
          <w:lang w:eastAsia="en-US"/>
        </w:rPr>
        <w:t xml:space="preserve">, it is possible that statistical significance is not being properly displayed due to other reasons (i.e., model overfitting). </w:t>
      </w:r>
      <w:proofErr w:type="gramStart"/>
      <w:r w:rsidRPr="009B55FC">
        <w:rPr>
          <w:sz w:val="24"/>
          <w:szCs w:val="24"/>
          <w:lang w:eastAsia="en-US"/>
        </w:rPr>
        <w:t>In light of</w:t>
      </w:r>
      <w:proofErr w:type="gramEnd"/>
      <w:r w:rsidRPr="009B55FC">
        <w:rPr>
          <w:sz w:val="24"/>
          <w:szCs w:val="24"/>
          <w:lang w:eastAsia="en-US"/>
        </w:rPr>
        <w:t xml:space="preserve"> this, </w:t>
      </w:r>
      <w:r w:rsidR="00CA46DE">
        <w:rPr>
          <w:rFonts w:hint="eastAsia"/>
          <w:sz w:val="24"/>
          <w:szCs w:val="24"/>
        </w:rPr>
        <w:t>I</w:t>
      </w:r>
      <w:r w:rsidRPr="009B55FC">
        <w:rPr>
          <w:sz w:val="24"/>
          <w:szCs w:val="24"/>
          <w:lang w:eastAsia="en-US"/>
        </w:rPr>
        <w:t xml:space="preserve"> reduced the number of independent variables and conducted regression analysis using only </w:t>
      </w:r>
      <w:r w:rsidR="00CA46DE">
        <w:rPr>
          <w:sz w:val="24"/>
          <w:szCs w:val="24"/>
        </w:rPr>
        <w:t>“</w:t>
      </w:r>
      <w:r w:rsidRPr="009B55FC">
        <w:rPr>
          <w:sz w:val="24"/>
          <w:szCs w:val="24"/>
          <w:lang w:eastAsia="en-US"/>
        </w:rPr>
        <w:t>Ownership</w:t>
      </w:r>
      <w:r w:rsidR="00CA46DE">
        <w:rPr>
          <w:sz w:val="24"/>
          <w:szCs w:val="24"/>
        </w:rPr>
        <w:t>”</w:t>
      </w:r>
      <w:r w:rsidRPr="009B55FC">
        <w:rPr>
          <w:sz w:val="24"/>
          <w:szCs w:val="24"/>
          <w:lang w:eastAsia="en-US"/>
        </w:rPr>
        <w:t xml:space="preserve">, </w:t>
      </w:r>
      <w:r w:rsidR="00CA46DE">
        <w:rPr>
          <w:sz w:val="24"/>
          <w:szCs w:val="24"/>
        </w:rPr>
        <w:t>“</w:t>
      </w:r>
      <w:r w:rsidRPr="009B55FC">
        <w:rPr>
          <w:sz w:val="24"/>
          <w:szCs w:val="24"/>
          <w:lang w:eastAsia="en-US"/>
        </w:rPr>
        <w:t>Type of Industry</w:t>
      </w:r>
      <w:r w:rsidR="00CA46DE">
        <w:rPr>
          <w:sz w:val="24"/>
          <w:szCs w:val="24"/>
        </w:rPr>
        <w:t>”</w:t>
      </w:r>
      <w:r w:rsidRPr="009B55FC">
        <w:rPr>
          <w:sz w:val="24"/>
          <w:szCs w:val="24"/>
          <w:lang w:eastAsia="en-US"/>
        </w:rPr>
        <w:t xml:space="preserve">, </w:t>
      </w:r>
      <w:r w:rsidR="00CA46DE">
        <w:rPr>
          <w:sz w:val="24"/>
          <w:szCs w:val="24"/>
        </w:rPr>
        <w:t>“</w:t>
      </w:r>
      <w:r w:rsidRPr="009B55FC">
        <w:rPr>
          <w:sz w:val="24"/>
          <w:szCs w:val="24"/>
          <w:lang w:eastAsia="en-US"/>
        </w:rPr>
        <w:t>Number of Independent Directors</w:t>
      </w:r>
      <w:r w:rsidR="00CA46DE">
        <w:rPr>
          <w:sz w:val="24"/>
          <w:szCs w:val="24"/>
        </w:rPr>
        <w:t>”</w:t>
      </w:r>
      <w:r w:rsidRPr="009B55FC">
        <w:rPr>
          <w:sz w:val="24"/>
          <w:szCs w:val="24"/>
          <w:lang w:eastAsia="en-US"/>
        </w:rPr>
        <w:t xml:space="preserve">, and </w:t>
      </w:r>
      <w:r w:rsidR="00CA46DE">
        <w:rPr>
          <w:sz w:val="24"/>
          <w:szCs w:val="24"/>
        </w:rPr>
        <w:t>“</w:t>
      </w:r>
      <w:r w:rsidRPr="009B55FC">
        <w:rPr>
          <w:sz w:val="24"/>
          <w:szCs w:val="24"/>
          <w:lang w:eastAsia="en-US"/>
        </w:rPr>
        <w:t>ROA</w:t>
      </w:r>
      <w:r w:rsidR="00CA46DE">
        <w:rPr>
          <w:sz w:val="24"/>
          <w:szCs w:val="24"/>
        </w:rPr>
        <w:t>”</w:t>
      </w:r>
      <w:r w:rsidRPr="009B55FC">
        <w:rPr>
          <w:sz w:val="24"/>
          <w:szCs w:val="24"/>
          <w:lang w:eastAsia="en-US"/>
        </w:rPr>
        <w:t>. As a result, statistical significance was observed between Ownership and CSR disclosure (0.048), with the t-value also being greater than 2 in absolute terms. Furthermore, the unstandardized coefficient B was 0.637, indicating that a one-unit change in ownership increases the CSR disclosure score by an average of 0.637 points.</w:t>
      </w:r>
      <w:r w:rsidR="008829A0">
        <w:rPr>
          <w:rFonts w:hint="eastAsia"/>
          <w:sz w:val="24"/>
          <w:szCs w:val="24"/>
        </w:rPr>
        <w:t xml:space="preserve"> (</w:t>
      </w:r>
      <w:r w:rsidR="00695A40">
        <w:rPr>
          <w:rFonts w:hint="eastAsia"/>
          <w:sz w:val="24"/>
          <w:szCs w:val="24"/>
        </w:rPr>
        <w:t>s</w:t>
      </w:r>
      <w:r w:rsidR="008829A0">
        <w:rPr>
          <w:rFonts w:hint="eastAsia"/>
          <w:sz w:val="24"/>
          <w:szCs w:val="24"/>
        </w:rPr>
        <w:t>ee Figure 1</w:t>
      </w:r>
      <w:r w:rsidR="00695A40">
        <w:rPr>
          <w:rFonts w:hint="eastAsia"/>
          <w:sz w:val="24"/>
          <w:szCs w:val="24"/>
        </w:rPr>
        <w:t>2</w:t>
      </w:r>
      <w:r w:rsidR="008829A0">
        <w:rPr>
          <w:rFonts w:hint="eastAsia"/>
          <w:sz w:val="24"/>
          <w:szCs w:val="24"/>
        </w:rPr>
        <w:t>)</w:t>
      </w:r>
    </w:p>
    <w:p w14:paraId="61595E7B" w14:textId="7A628994" w:rsidR="008829A0" w:rsidRPr="008829A0" w:rsidRDefault="008829A0" w:rsidP="008829A0">
      <w:pPr>
        <w:spacing w:line="360" w:lineRule="auto"/>
        <w:jc w:val="center"/>
        <w:rPr>
          <w:rFonts w:hint="eastAsia"/>
          <w:i/>
          <w:iCs/>
        </w:rPr>
      </w:pPr>
      <w:r w:rsidRPr="008829A0">
        <w:rPr>
          <w:i/>
          <w:iCs/>
          <w:noProof/>
          <w:sz w:val="32"/>
          <w:szCs w:val="32"/>
          <w:lang w:eastAsia="en-US"/>
        </w:rPr>
        <w:drawing>
          <wp:anchor distT="0" distB="0" distL="114300" distR="114300" simplePos="0" relativeHeight="251667968" behindDoc="0" locked="0" layoutInCell="1" allowOverlap="1" wp14:anchorId="6B4ED72E" wp14:editId="51EA5E0F">
            <wp:simplePos x="0" y="0"/>
            <wp:positionH relativeFrom="margin">
              <wp:align>right</wp:align>
            </wp:positionH>
            <wp:positionV relativeFrom="paragraph">
              <wp:posOffset>361411</wp:posOffset>
            </wp:positionV>
            <wp:extent cx="5845772" cy="2460812"/>
            <wp:effectExtent l="0" t="0" r="3175" b="0"/>
            <wp:wrapTopAndBottom/>
            <wp:docPr id="189139330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5772" cy="2460812"/>
                    </a:xfrm>
                    <a:prstGeom prst="rect">
                      <a:avLst/>
                    </a:prstGeom>
                    <a:noFill/>
                  </pic:spPr>
                </pic:pic>
              </a:graphicData>
            </a:graphic>
          </wp:anchor>
        </w:drawing>
      </w:r>
      <w:r w:rsidRPr="008829A0">
        <w:rPr>
          <w:rFonts w:hint="eastAsia"/>
          <w:i/>
          <w:iCs/>
        </w:rPr>
        <w:t>Figure 1</w:t>
      </w:r>
      <w:r w:rsidR="00695A40">
        <w:rPr>
          <w:rFonts w:hint="eastAsia"/>
          <w:i/>
          <w:iCs/>
        </w:rPr>
        <w:t>2</w:t>
      </w:r>
      <w:r w:rsidR="006039D6">
        <w:rPr>
          <w:rFonts w:hint="eastAsia"/>
          <w:i/>
          <w:iCs/>
        </w:rPr>
        <w:t>.</w:t>
      </w:r>
    </w:p>
    <w:p w14:paraId="15489ADC" w14:textId="77777777" w:rsidR="006D7454" w:rsidRPr="006D7454" w:rsidRDefault="006D7454" w:rsidP="00BB55ED">
      <w:pPr>
        <w:rPr>
          <w:b/>
          <w:bCs/>
          <w:i/>
          <w:iCs/>
          <w:sz w:val="24"/>
          <w:szCs w:val="24"/>
          <w:lang w:eastAsia="en-US"/>
        </w:rPr>
      </w:pPr>
    </w:p>
    <w:p w14:paraId="1D167F10" w14:textId="5007961F" w:rsidR="009D74DB" w:rsidRDefault="00BB3BB6" w:rsidP="00BB55ED">
      <w:pPr>
        <w:rPr>
          <w:b/>
          <w:bCs/>
          <w:i/>
          <w:iCs/>
          <w:sz w:val="24"/>
          <w:szCs w:val="24"/>
        </w:rPr>
      </w:pPr>
      <w:r w:rsidRPr="006D7454">
        <w:rPr>
          <w:rFonts w:hint="eastAsia"/>
          <w:b/>
          <w:bCs/>
          <w:i/>
          <w:iCs/>
          <w:sz w:val="24"/>
          <w:szCs w:val="24"/>
        </w:rPr>
        <w:t>Moderat</w:t>
      </w:r>
      <w:r w:rsidR="006D7454" w:rsidRPr="006D7454">
        <w:rPr>
          <w:rFonts w:hint="eastAsia"/>
          <w:b/>
          <w:bCs/>
          <w:i/>
          <w:iCs/>
          <w:sz w:val="24"/>
          <w:szCs w:val="24"/>
        </w:rPr>
        <w:t>ion</w:t>
      </w:r>
      <w:r w:rsidRPr="006D7454">
        <w:rPr>
          <w:rFonts w:hint="eastAsia"/>
          <w:b/>
          <w:bCs/>
          <w:i/>
          <w:iCs/>
          <w:sz w:val="24"/>
          <w:szCs w:val="24"/>
        </w:rPr>
        <w:t xml:space="preserve"> analysis</w:t>
      </w:r>
    </w:p>
    <w:p w14:paraId="66F79E27" w14:textId="32AD69D1" w:rsidR="009B08E8" w:rsidRDefault="009B08E8" w:rsidP="009D74DB">
      <w:pPr>
        <w:spacing w:line="360" w:lineRule="auto"/>
        <w:jc w:val="both"/>
        <w:rPr>
          <w:rFonts w:hint="eastAsia"/>
        </w:rPr>
      </w:pPr>
    </w:p>
    <w:p w14:paraId="60528823" w14:textId="1371A96E" w:rsidR="00150C41" w:rsidRDefault="009B08E8" w:rsidP="009D6D05">
      <w:pPr>
        <w:spacing w:line="360" w:lineRule="auto"/>
        <w:jc w:val="both"/>
        <w:rPr>
          <w:rFonts w:hint="eastAsia"/>
          <w:sz w:val="24"/>
          <w:szCs w:val="24"/>
        </w:rPr>
      </w:pPr>
      <w:r>
        <w:rPr>
          <w:rFonts w:hint="eastAsia"/>
          <w:sz w:val="24"/>
          <w:szCs w:val="24"/>
        </w:rPr>
        <w:t xml:space="preserve">Regarding the </w:t>
      </w:r>
      <w:r w:rsidR="00B128B7">
        <w:rPr>
          <w:rFonts w:hint="eastAsia"/>
          <w:sz w:val="24"/>
          <w:szCs w:val="24"/>
        </w:rPr>
        <w:t>m</w:t>
      </w:r>
      <w:r w:rsidR="00B128B7" w:rsidRPr="00B128B7">
        <w:rPr>
          <w:sz w:val="24"/>
          <w:szCs w:val="24"/>
        </w:rPr>
        <w:t>oderation analysis of the relationship between ownership structure and CSR disclosure by the industry variable</w:t>
      </w:r>
      <w:r w:rsidR="00B128B7">
        <w:rPr>
          <w:rFonts w:hint="eastAsia"/>
          <w:sz w:val="24"/>
          <w:szCs w:val="24"/>
        </w:rPr>
        <w:t xml:space="preserve">, </w:t>
      </w:r>
      <w:r w:rsidR="009D6D05">
        <w:rPr>
          <w:rFonts w:hint="eastAsia"/>
          <w:sz w:val="24"/>
          <w:szCs w:val="24"/>
        </w:rPr>
        <w:t xml:space="preserve">a </w:t>
      </w:r>
      <w:r w:rsidR="009D6D05" w:rsidRPr="009D6D05">
        <w:rPr>
          <w:sz w:val="24"/>
          <w:szCs w:val="24"/>
        </w:rPr>
        <w:t xml:space="preserve"> new variable (</w:t>
      </w:r>
      <w:proofErr w:type="spellStart"/>
      <w:r w:rsidR="009D6D05" w:rsidRPr="009D6D05">
        <w:rPr>
          <w:sz w:val="24"/>
          <w:szCs w:val="24"/>
        </w:rPr>
        <w:t>Interaction_OWN_INDUSTRY</w:t>
      </w:r>
      <w:proofErr w:type="spellEnd"/>
      <w:r w:rsidR="009D6D05" w:rsidRPr="009D6D05">
        <w:rPr>
          <w:sz w:val="24"/>
          <w:szCs w:val="24"/>
        </w:rPr>
        <w:t xml:space="preserve">) was generated by calculating </w:t>
      </w:r>
      <w:r w:rsidR="00300ECB">
        <w:rPr>
          <w:rFonts w:hint="eastAsia"/>
          <w:sz w:val="24"/>
          <w:szCs w:val="24"/>
        </w:rPr>
        <w:t xml:space="preserve">variable of </w:t>
      </w:r>
      <w:r w:rsidR="00300ECB">
        <w:rPr>
          <w:sz w:val="24"/>
          <w:szCs w:val="24"/>
        </w:rPr>
        <w:t>“</w:t>
      </w:r>
      <w:r w:rsidR="009D6D05" w:rsidRPr="009D6D05">
        <w:rPr>
          <w:sz w:val="24"/>
          <w:szCs w:val="24"/>
        </w:rPr>
        <w:t>ownership structure</w:t>
      </w:r>
      <w:r w:rsidR="00300ECB">
        <w:rPr>
          <w:sz w:val="24"/>
          <w:szCs w:val="24"/>
        </w:rPr>
        <w:t>”</w:t>
      </w:r>
      <w:r w:rsidR="009D6D05" w:rsidRPr="009D6D05">
        <w:rPr>
          <w:sz w:val="24"/>
          <w:szCs w:val="24"/>
        </w:rPr>
        <w:t xml:space="preserve"> </w:t>
      </w:r>
      <w:r w:rsidR="00300ECB">
        <w:rPr>
          <w:rFonts w:hint="eastAsia"/>
          <w:sz w:val="24"/>
          <w:szCs w:val="24"/>
        </w:rPr>
        <w:t>times</w:t>
      </w:r>
      <w:r w:rsidR="009D6D05" w:rsidRPr="009D6D05">
        <w:rPr>
          <w:sz w:val="24"/>
          <w:szCs w:val="24"/>
        </w:rPr>
        <w:t xml:space="preserve"> </w:t>
      </w:r>
      <w:r w:rsidR="00300ECB">
        <w:rPr>
          <w:sz w:val="24"/>
          <w:szCs w:val="24"/>
        </w:rPr>
        <w:t>“</w:t>
      </w:r>
      <w:r w:rsidR="00300ECB">
        <w:rPr>
          <w:rFonts w:hint="eastAsia"/>
          <w:sz w:val="24"/>
          <w:szCs w:val="24"/>
        </w:rPr>
        <w:t xml:space="preserve">type of </w:t>
      </w:r>
      <w:r w:rsidR="009D6D05" w:rsidRPr="009D6D05">
        <w:rPr>
          <w:sz w:val="24"/>
          <w:szCs w:val="24"/>
        </w:rPr>
        <w:t>industry</w:t>
      </w:r>
      <w:r w:rsidR="00300ECB">
        <w:rPr>
          <w:sz w:val="24"/>
          <w:szCs w:val="24"/>
        </w:rPr>
        <w:t>”</w:t>
      </w:r>
      <w:r w:rsidR="009D6D05" w:rsidRPr="009D6D05">
        <w:rPr>
          <w:sz w:val="24"/>
          <w:szCs w:val="24"/>
        </w:rPr>
        <w:t xml:space="preserve">. This variable, along with ownership structure and type of industry, </w:t>
      </w:r>
      <w:r w:rsidR="00DC7806">
        <w:rPr>
          <w:rFonts w:hint="eastAsia"/>
          <w:sz w:val="24"/>
          <w:szCs w:val="24"/>
        </w:rPr>
        <w:t>are</w:t>
      </w:r>
      <w:r w:rsidR="009D6D05" w:rsidRPr="009D6D05">
        <w:rPr>
          <w:sz w:val="24"/>
          <w:szCs w:val="24"/>
        </w:rPr>
        <w:t xml:space="preserve"> used as independent variables to conduct a moderation analysis.</w:t>
      </w:r>
    </w:p>
    <w:p w14:paraId="2B50AD08" w14:textId="77777777" w:rsidR="00150C41" w:rsidRDefault="00150C41" w:rsidP="009D74DB">
      <w:pPr>
        <w:spacing w:line="360" w:lineRule="auto"/>
        <w:jc w:val="both"/>
        <w:rPr>
          <w:sz w:val="24"/>
          <w:szCs w:val="24"/>
        </w:rPr>
      </w:pPr>
    </w:p>
    <w:p w14:paraId="3AA00AEC" w14:textId="4EF4EAC6" w:rsidR="009D74DB" w:rsidRPr="009D74DB" w:rsidRDefault="00300ECB" w:rsidP="009D74DB">
      <w:pPr>
        <w:spacing w:line="360" w:lineRule="auto"/>
        <w:jc w:val="both"/>
        <w:rPr>
          <w:sz w:val="24"/>
          <w:szCs w:val="24"/>
        </w:rPr>
      </w:pPr>
      <w:r>
        <w:rPr>
          <w:rFonts w:hint="eastAsia"/>
          <w:sz w:val="24"/>
          <w:szCs w:val="24"/>
        </w:rPr>
        <w:t xml:space="preserve">As Model Summary, </w:t>
      </w:r>
      <w:r w:rsidR="00B128B7">
        <w:rPr>
          <w:rFonts w:hint="eastAsia"/>
          <w:sz w:val="24"/>
          <w:szCs w:val="24"/>
        </w:rPr>
        <w:t>t</w:t>
      </w:r>
      <w:r w:rsidR="009D74DB" w:rsidRPr="009D74DB">
        <w:rPr>
          <w:sz w:val="24"/>
          <w:szCs w:val="24"/>
          <w:lang w:eastAsia="en-US"/>
        </w:rPr>
        <w:t>he model's R (correlation coefficient) is 0.</w:t>
      </w:r>
      <w:r w:rsidR="008B7D07">
        <w:rPr>
          <w:rFonts w:hint="eastAsia"/>
          <w:sz w:val="24"/>
          <w:szCs w:val="24"/>
        </w:rPr>
        <w:t>222</w:t>
      </w:r>
      <w:r w:rsidR="009D74DB" w:rsidRPr="009D74DB">
        <w:rPr>
          <w:sz w:val="24"/>
          <w:szCs w:val="24"/>
          <w:lang w:eastAsia="en-US"/>
        </w:rPr>
        <w:t xml:space="preserve">, indicating a moderate </w:t>
      </w:r>
      <w:r w:rsidR="00DE5400">
        <w:rPr>
          <w:rFonts w:hint="eastAsia"/>
          <w:sz w:val="24"/>
          <w:szCs w:val="24"/>
        </w:rPr>
        <w:t>relationship</w:t>
      </w:r>
      <w:r w:rsidR="009D74DB" w:rsidRPr="009D74DB">
        <w:rPr>
          <w:sz w:val="24"/>
          <w:szCs w:val="24"/>
          <w:lang w:eastAsia="en-US"/>
        </w:rPr>
        <w:t xml:space="preserve"> between independent variables and the dependent variable. The R Square (coefficient of determination) is 0.</w:t>
      </w:r>
      <w:r w:rsidR="00DE5400">
        <w:rPr>
          <w:rFonts w:hint="eastAsia"/>
          <w:sz w:val="24"/>
          <w:szCs w:val="24"/>
        </w:rPr>
        <w:t>49</w:t>
      </w:r>
      <w:r w:rsidR="009D74DB" w:rsidRPr="009D74DB">
        <w:rPr>
          <w:sz w:val="24"/>
          <w:szCs w:val="24"/>
          <w:lang w:eastAsia="en-US"/>
        </w:rPr>
        <w:t xml:space="preserve">, indicating that the independent variables explain approximately </w:t>
      </w:r>
      <w:r w:rsidR="0056372A">
        <w:rPr>
          <w:rFonts w:hint="eastAsia"/>
          <w:sz w:val="24"/>
          <w:szCs w:val="24"/>
        </w:rPr>
        <w:t>4</w:t>
      </w:r>
      <w:r w:rsidR="009D74DB" w:rsidRPr="009D74DB">
        <w:rPr>
          <w:sz w:val="24"/>
          <w:szCs w:val="24"/>
          <w:lang w:eastAsia="en-US"/>
        </w:rPr>
        <w:t>.</w:t>
      </w:r>
      <w:r w:rsidR="0056372A">
        <w:rPr>
          <w:rFonts w:hint="eastAsia"/>
          <w:sz w:val="24"/>
          <w:szCs w:val="24"/>
        </w:rPr>
        <w:t>9</w:t>
      </w:r>
      <w:r w:rsidR="00F24071">
        <w:rPr>
          <w:rFonts w:hint="eastAsia"/>
          <w:sz w:val="24"/>
          <w:szCs w:val="24"/>
        </w:rPr>
        <w:t xml:space="preserve"> </w:t>
      </w:r>
      <w:r w:rsidR="009D74DB" w:rsidRPr="009D74DB">
        <w:rPr>
          <w:sz w:val="24"/>
          <w:szCs w:val="24"/>
          <w:lang w:eastAsia="en-US"/>
        </w:rPr>
        <w:t>% of the variation in the dependent variable.</w:t>
      </w:r>
    </w:p>
    <w:p w14:paraId="6B276C25" w14:textId="623A83DA" w:rsidR="009D74DB" w:rsidRPr="009D74DB" w:rsidRDefault="009D74DB" w:rsidP="009D74DB">
      <w:pPr>
        <w:spacing w:line="360" w:lineRule="auto"/>
        <w:jc w:val="both"/>
        <w:rPr>
          <w:sz w:val="24"/>
          <w:szCs w:val="24"/>
          <w:lang w:eastAsia="en-US"/>
        </w:rPr>
      </w:pPr>
      <w:r w:rsidRPr="009D74DB">
        <w:rPr>
          <w:sz w:val="24"/>
          <w:szCs w:val="24"/>
          <w:lang w:eastAsia="en-US"/>
        </w:rPr>
        <w:t xml:space="preserve">From these results, it can be concluded that while there is a moderate relationship between independent and dependent variables, the correlation </w:t>
      </w:r>
      <w:r w:rsidR="004747AE">
        <w:rPr>
          <w:rFonts w:hint="eastAsia"/>
          <w:sz w:val="24"/>
          <w:szCs w:val="24"/>
        </w:rPr>
        <w:t xml:space="preserve">(R Square) </w:t>
      </w:r>
      <w:r w:rsidRPr="009D74DB">
        <w:rPr>
          <w:sz w:val="24"/>
          <w:szCs w:val="24"/>
          <w:lang w:eastAsia="en-US"/>
        </w:rPr>
        <w:t>is statistically small. Therefore, the independent variables may not have a significant impact on CSR disclosure. (</w:t>
      </w:r>
      <w:r w:rsidR="00695A40">
        <w:rPr>
          <w:rFonts w:hint="eastAsia"/>
          <w:sz w:val="24"/>
          <w:szCs w:val="24"/>
        </w:rPr>
        <w:t>s</w:t>
      </w:r>
      <w:r w:rsidR="00545E72">
        <w:rPr>
          <w:rFonts w:hint="eastAsia"/>
          <w:sz w:val="24"/>
          <w:szCs w:val="24"/>
        </w:rPr>
        <w:t xml:space="preserve">ee </w:t>
      </w:r>
      <w:r w:rsidRPr="009D74DB">
        <w:rPr>
          <w:sz w:val="24"/>
          <w:szCs w:val="24"/>
          <w:lang w:eastAsia="en-US"/>
        </w:rPr>
        <w:t>Figure 1</w:t>
      </w:r>
      <w:r w:rsidR="00695A40">
        <w:rPr>
          <w:rFonts w:hint="eastAsia"/>
          <w:sz w:val="24"/>
          <w:szCs w:val="24"/>
        </w:rPr>
        <w:t>3</w:t>
      </w:r>
      <w:r w:rsidRPr="009D74DB">
        <w:rPr>
          <w:sz w:val="24"/>
          <w:szCs w:val="24"/>
          <w:lang w:eastAsia="en-US"/>
        </w:rPr>
        <w:t>)</w:t>
      </w:r>
    </w:p>
    <w:p w14:paraId="5DA9FC55" w14:textId="77777777" w:rsidR="00545E72" w:rsidRDefault="00545E72" w:rsidP="00BB55ED">
      <w:pPr>
        <w:rPr>
          <w:lang w:eastAsia="en-US"/>
        </w:rPr>
      </w:pPr>
    </w:p>
    <w:p w14:paraId="0AC6CBA8" w14:textId="406FD454" w:rsidR="0086515C" w:rsidRPr="00545E72" w:rsidRDefault="00867C29" w:rsidP="00545E72">
      <w:pPr>
        <w:jc w:val="center"/>
        <w:rPr>
          <w:i/>
          <w:iCs/>
          <w:lang w:eastAsia="en-US"/>
        </w:rPr>
      </w:pPr>
      <w:r w:rsidRPr="00545E72">
        <w:rPr>
          <w:i/>
          <w:iCs/>
          <w:noProof/>
          <w:lang w:eastAsia="en-US"/>
        </w:rPr>
        <w:drawing>
          <wp:anchor distT="0" distB="0" distL="114300" distR="114300" simplePos="0" relativeHeight="251671040" behindDoc="0" locked="0" layoutInCell="1" allowOverlap="1" wp14:anchorId="1DFC9A75" wp14:editId="1158978F">
            <wp:simplePos x="0" y="0"/>
            <wp:positionH relativeFrom="margin">
              <wp:align>center</wp:align>
            </wp:positionH>
            <wp:positionV relativeFrom="paragraph">
              <wp:posOffset>391770</wp:posOffset>
            </wp:positionV>
            <wp:extent cx="3762375" cy="1314450"/>
            <wp:effectExtent l="0" t="0" r="9525" b="0"/>
            <wp:wrapTopAndBottom/>
            <wp:docPr id="210081047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2375" cy="1314450"/>
                    </a:xfrm>
                    <a:prstGeom prst="rect">
                      <a:avLst/>
                    </a:prstGeom>
                    <a:noFill/>
                  </pic:spPr>
                </pic:pic>
              </a:graphicData>
            </a:graphic>
          </wp:anchor>
        </w:drawing>
      </w:r>
      <w:r w:rsidR="00545E72" w:rsidRPr="00545E72">
        <w:rPr>
          <w:rFonts w:hint="eastAsia"/>
          <w:i/>
          <w:iCs/>
        </w:rPr>
        <w:t>Figure 1</w:t>
      </w:r>
      <w:r w:rsidR="00695A40">
        <w:rPr>
          <w:rFonts w:hint="eastAsia"/>
          <w:i/>
          <w:iCs/>
        </w:rPr>
        <w:t>3.</w:t>
      </w:r>
      <w:r w:rsidR="008F3D1E" w:rsidRPr="00545E72">
        <w:rPr>
          <w:i/>
          <w:iCs/>
          <w:lang w:eastAsia="en-US"/>
        </w:rPr>
        <w:br/>
      </w:r>
    </w:p>
    <w:p w14:paraId="446DA30A" w14:textId="17A52560" w:rsidR="0086515C" w:rsidRDefault="0086515C" w:rsidP="00BB55ED">
      <w:pPr>
        <w:rPr>
          <w:lang w:eastAsia="en-US"/>
        </w:rPr>
      </w:pPr>
    </w:p>
    <w:p w14:paraId="23DFA851" w14:textId="77777777" w:rsidR="00A366AF" w:rsidRDefault="00A366AF" w:rsidP="00BB55ED">
      <w:pPr>
        <w:rPr>
          <w:lang w:eastAsia="en-US"/>
        </w:rPr>
      </w:pPr>
    </w:p>
    <w:p w14:paraId="5B5F6722" w14:textId="7B357AF8" w:rsidR="007010EC" w:rsidRPr="007010EC" w:rsidRDefault="00C662CB" w:rsidP="00705720">
      <w:pPr>
        <w:spacing w:line="360" w:lineRule="auto"/>
        <w:jc w:val="both"/>
        <w:rPr>
          <w:sz w:val="24"/>
          <w:szCs w:val="24"/>
          <w:lang w:eastAsia="en-US"/>
        </w:rPr>
      </w:pPr>
      <w:r w:rsidRPr="00C662CB">
        <w:rPr>
          <w:sz w:val="24"/>
          <w:szCs w:val="24"/>
          <w:lang w:eastAsia="en-US"/>
        </w:rPr>
        <w:t>Regarding the coefficient</w:t>
      </w:r>
      <w:r w:rsidR="00107449">
        <w:rPr>
          <w:rFonts w:hint="eastAsia"/>
          <w:sz w:val="24"/>
          <w:szCs w:val="24"/>
        </w:rPr>
        <w:t xml:space="preserve"> of this analysis</w:t>
      </w:r>
      <w:r w:rsidRPr="00C662CB">
        <w:rPr>
          <w:sz w:val="24"/>
          <w:szCs w:val="24"/>
          <w:lang w:eastAsia="en-US"/>
        </w:rPr>
        <w:t>,</w:t>
      </w:r>
      <w:r w:rsidR="00107449">
        <w:rPr>
          <w:rFonts w:hint="eastAsia"/>
          <w:sz w:val="24"/>
          <w:szCs w:val="24"/>
        </w:rPr>
        <w:t xml:space="preserve"> </w:t>
      </w:r>
      <w:r w:rsidRPr="00C662CB">
        <w:rPr>
          <w:sz w:val="24"/>
          <w:szCs w:val="24"/>
          <w:lang w:eastAsia="en-US"/>
        </w:rPr>
        <w:t xml:space="preserve"> </w:t>
      </w:r>
    </w:p>
    <w:p w14:paraId="5F3CBF15" w14:textId="21081016" w:rsidR="007010EC" w:rsidRPr="007010EC" w:rsidRDefault="0060574F" w:rsidP="00705720">
      <w:pPr>
        <w:spacing w:line="360" w:lineRule="auto"/>
        <w:jc w:val="both"/>
        <w:rPr>
          <w:sz w:val="24"/>
          <w:szCs w:val="24"/>
          <w:lang w:eastAsia="en-US"/>
        </w:rPr>
      </w:pPr>
      <w:r>
        <w:rPr>
          <w:rFonts w:hint="eastAsia"/>
          <w:sz w:val="24"/>
          <w:szCs w:val="24"/>
        </w:rPr>
        <w:t xml:space="preserve">Regarding </w:t>
      </w:r>
      <w:r w:rsidR="007010EC" w:rsidRPr="007010EC">
        <w:rPr>
          <w:sz w:val="24"/>
          <w:szCs w:val="24"/>
          <w:lang w:eastAsia="en-US"/>
        </w:rPr>
        <w:t xml:space="preserve">Constant (B = 6.875, p &lt; </w:t>
      </w:r>
      <w:r w:rsidR="008B3639">
        <w:rPr>
          <w:rFonts w:hint="eastAsia"/>
          <w:sz w:val="24"/>
          <w:szCs w:val="24"/>
        </w:rPr>
        <w:t>0</w:t>
      </w:r>
      <w:r w:rsidR="007010EC" w:rsidRPr="007010EC">
        <w:rPr>
          <w:sz w:val="24"/>
          <w:szCs w:val="24"/>
          <w:lang w:eastAsia="en-US"/>
        </w:rPr>
        <w:t>.001)</w:t>
      </w:r>
      <w:r>
        <w:rPr>
          <w:rFonts w:hint="eastAsia"/>
          <w:sz w:val="24"/>
          <w:szCs w:val="24"/>
        </w:rPr>
        <w:t xml:space="preserve">, </w:t>
      </w:r>
      <w:r w:rsidR="00875F03">
        <w:rPr>
          <w:rFonts w:hint="eastAsia"/>
          <w:sz w:val="24"/>
          <w:szCs w:val="24"/>
        </w:rPr>
        <w:t>t</w:t>
      </w:r>
      <w:r w:rsidR="007010EC" w:rsidRPr="007010EC">
        <w:rPr>
          <w:sz w:val="24"/>
          <w:szCs w:val="24"/>
          <w:lang w:eastAsia="en-US"/>
        </w:rPr>
        <w:t>he constant term is significant, suggesting that when all independent variables are zero, the baseline level of CSR disclosure is 6.875.</w:t>
      </w:r>
    </w:p>
    <w:p w14:paraId="7490D851" w14:textId="697C7527" w:rsidR="007010EC" w:rsidRPr="007010EC" w:rsidRDefault="00B01D57" w:rsidP="00705720">
      <w:pPr>
        <w:spacing w:line="360" w:lineRule="auto"/>
        <w:jc w:val="both"/>
        <w:rPr>
          <w:sz w:val="24"/>
          <w:szCs w:val="24"/>
          <w:lang w:eastAsia="en-US"/>
        </w:rPr>
      </w:pPr>
      <w:r>
        <w:rPr>
          <w:rFonts w:hint="eastAsia"/>
          <w:sz w:val="24"/>
          <w:szCs w:val="24"/>
        </w:rPr>
        <w:t xml:space="preserve">About </w:t>
      </w:r>
      <w:r w:rsidR="007010EC" w:rsidRPr="007010EC">
        <w:rPr>
          <w:sz w:val="24"/>
          <w:szCs w:val="24"/>
          <w:lang w:eastAsia="en-US"/>
        </w:rPr>
        <w:t xml:space="preserve">Ownership Structure (T_OWN) (B = </w:t>
      </w:r>
      <w:r w:rsidR="008B3639">
        <w:rPr>
          <w:rFonts w:hint="eastAsia"/>
          <w:sz w:val="24"/>
          <w:szCs w:val="24"/>
        </w:rPr>
        <w:t>0</w:t>
      </w:r>
      <w:r w:rsidR="007010EC" w:rsidRPr="007010EC">
        <w:rPr>
          <w:sz w:val="24"/>
          <w:szCs w:val="24"/>
          <w:lang w:eastAsia="en-US"/>
        </w:rPr>
        <w:t xml:space="preserve">.578, p = </w:t>
      </w:r>
      <w:r w:rsidR="008B3639">
        <w:rPr>
          <w:rFonts w:hint="eastAsia"/>
          <w:sz w:val="24"/>
          <w:szCs w:val="24"/>
        </w:rPr>
        <w:t>0</w:t>
      </w:r>
      <w:r w:rsidR="007010EC" w:rsidRPr="007010EC">
        <w:rPr>
          <w:sz w:val="24"/>
          <w:szCs w:val="24"/>
          <w:lang w:eastAsia="en-US"/>
        </w:rPr>
        <w:t>.060)</w:t>
      </w:r>
      <w:r>
        <w:rPr>
          <w:rFonts w:hint="eastAsia"/>
          <w:sz w:val="24"/>
          <w:szCs w:val="24"/>
        </w:rPr>
        <w:t xml:space="preserve">, </w:t>
      </w:r>
      <w:r w:rsidR="00875F03">
        <w:rPr>
          <w:rFonts w:hint="eastAsia"/>
          <w:sz w:val="24"/>
          <w:szCs w:val="24"/>
        </w:rPr>
        <w:t>t</w:t>
      </w:r>
      <w:r w:rsidR="007010EC" w:rsidRPr="007010EC">
        <w:rPr>
          <w:sz w:val="24"/>
          <w:szCs w:val="24"/>
          <w:lang w:eastAsia="en-US"/>
        </w:rPr>
        <w:t xml:space="preserve">he coefficient for ownership structure is </w:t>
      </w:r>
      <w:r w:rsidR="008B3639">
        <w:rPr>
          <w:rFonts w:hint="eastAsia"/>
          <w:sz w:val="24"/>
          <w:szCs w:val="24"/>
        </w:rPr>
        <w:t>0</w:t>
      </w:r>
      <w:r w:rsidR="007010EC" w:rsidRPr="007010EC">
        <w:rPr>
          <w:sz w:val="24"/>
          <w:szCs w:val="24"/>
          <w:lang w:eastAsia="en-US"/>
        </w:rPr>
        <w:t>.578. This suggests that being a state-owned enterprise (SOE, coded as 2) is associated with a 0.578 increase in the CSR disclosure score compared to non-SOEs (coded as 1), holding other factors constant. However, this effect is not statistically significant at the conventional 0.05 level.</w:t>
      </w:r>
    </w:p>
    <w:p w14:paraId="12BF5DB1" w14:textId="338D8A28" w:rsidR="007010EC" w:rsidRPr="007010EC" w:rsidRDefault="00380582" w:rsidP="00705720">
      <w:pPr>
        <w:spacing w:line="360" w:lineRule="auto"/>
        <w:jc w:val="both"/>
        <w:rPr>
          <w:sz w:val="24"/>
          <w:szCs w:val="24"/>
          <w:lang w:eastAsia="en-US"/>
        </w:rPr>
      </w:pPr>
      <w:r>
        <w:rPr>
          <w:rFonts w:hint="eastAsia"/>
          <w:sz w:val="24"/>
          <w:szCs w:val="24"/>
        </w:rPr>
        <w:t xml:space="preserve">Concerning </w:t>
      </w:r>
      <w:r w:rsidR="007010EC" w:rsidRPr="007010EC">
        <w:rPr>
          <w:sz w:val="24"/>
          <w:szCs w:val="24"/>
          <w:lang w:eastAsia="en-US"/>
        </w:rPr>
        <w:t>Type of Industry (INDUSTRY) (B = -</w:t>
      </w:r>
      <w:r w:rsidR="008B3639">
        <w:rPr>
          <w:rFonts w:hint="eastAsia"/>
          <w:sz w:val="24"/>
          <w:szCs w:val="24"/>
        </w:rPr>
        <w:t>0</w:t>
      </w:r>
      <w:r w:rsidR="007010EC" w:rsidRPr="007010EC">
        <w:rPr>
          <w:sz w:val="24"/>
          <w:szCs w:val="24"/>
          <w:lang w:eastAsia="en-US"/>
        </w:rPr>
        <w:t xml:space="preserve">.084, p = </w:t>
      </w:r>
      <w:r w:rsidR="008B3639">
        <w:rPr>
          <w:rFonts w:hint="eastAsia"/>
          <w:sz w:val="24"/>
          <w:szCs w:val="24"/>
        </w:rPr>
        <w:t>0</w:t>
      </w:r>
      <w:r w:rsidR="007010EC" w:rsidRPr="007010EC">
        <w:rPr>
          <w:sz w:val="24"/>
          <w:szCs w:val="24"/>
          <w:lang w:eastAsia="en-US"/>
        </w:rPr>
        <w:t>.786)</w:t>
      </w:r>
      <w:r>
        <w:rPr>
          <w:rFonts w:hint="eastAsia"/>
          <w:sz w:val="24"/>
          <w:szCs w:val="24"/>
        </w:rPr>
        <w:t>, t</w:t>
      </w:r>
      <w:r w:rsidR="007010EC" w:rsidRPr="007010EC">
        <w:rPr>
          <w:sz w:val="24"/>
          <w:szCs w:val="24"/>
          <w:lang w:eastAsia="en-US"/>
        </w:rPr>
        <w:t>he coefficient for industry type is -</w:t>
      </w:r>
      <w:r w:rsidR="008B3639">
        <w:rPr>
          <w:rFonts w:hint="eastAsia"/>
          <w:sz w:val="24"/>
          <w:szCs w:val="24"/>
        </w:rPr>
        <w:t>0</w:t>
      </w:r>
      <w:r w:rsidR="007010EC" w:rsidRPr="007010EC">
        <w:rPr>
          <w:sz w:val="24"/>
          <w:szCs w:val="24"/>
          <w:lang w:eastAsia="en-US"/>
        </w:rPr>
        <w:t>.084</w:t>
      </w:r>
      <w:r w:rsidR="008B3639">
        <w:rPr>
          <w:rFonts w:hint="eastAsia"/>
          <w:sz w:val="24"/>
          <w:szCs w:val="24"/>
        </w:rPr>
        <w:t xml:space="preserve"> with </w:t>
      </w:r>
      <w:proofErr w:type="gramStart"/>
      <w:r w:rsidR="008B3639">
        <w:rPr>
          <w:rFonts w:hint="eastAsia"/>
          <w:sz w:val="24"/>
          <w:szCs w:val="24"/>
        </w:rPr>
        <w:t>no</w:t>
      </w:r>
      <w:proofErr w:type="gramEnd"/>
      <w:r w:rsidR="008B3639">
        <w:rPr>
          <w:rFonts w:hint="eastAsia"/>
          <w:sz w:val="24"/>
          <w:szCs w:val="24"/>
        </w:rPr>
        <w:t xml:space="preserve"> statistically significant (0.786)</w:t>
      </w:r>
      <w:r w:rsidR="007010EC" w:rsidRPr="007010EC">
        <w:rPr>
          <w:sz w:val="24"/>
          <w:szCs w:val="24"/>
          <w:lang w:eastAsia="en-US"/>
        </w:rPr>
        <w:t>. This indicates that being in a CSR-sensitive sector does not have a significant impact on CSR disclosure scores when other variables are controlled.</w:t>
      </w:r>
    </w:p>
    <w:p w14:paraId="5279FD02" w14:textId="4219F237" w:rsidR="007010EC" w:rsidRPr="007010EC" w:rsidRDefault="00380582" w:rsidP="00705720">
      <w:pPr>
        <w:spacing w:line="360" w:lineRule="auto"/>
        <w:jc w:val="both"/>
        <w:rPr>
          <w:rFonts w:hint="eastAsia"/>
          <w:sz w:val="24"/>
          <w:szCs w:val="24"/>
        </w:rPr>
      </w:pPr>
      <w:proofErr w:type="gramStart"/>
      <w:r>
        <w:rPr>
          <w:rFonts w:hint="eastAsia"/>
          <w:sz w:val="24"/>
          <w:szCs w:val="24"/>
        </w:rPr>
        <w:t>In regard to</w:t>
      </w:r>
      <w:proofErr w:type="gramEnd"/>
      <w:r>
        <w:rPr>
          <w:rFonts w:hint="eastAsia"/>
          <w:sz w:val="24"/>
          <w:szCs w:val="24"/>
        </w:rPr>
        <w:t xml:space="preserve"> </w:t>
      </w:r>
      <w:r w:rsidR="007010EC" w:rsidRPr="007010EC">
        <w:rPr>
          <w:sz w:val="24"/>
          <w:szCs w:val="24"/>
          <w:lang w:eastAsia="en-US"/>
        </w:rPr>
        <w:t>Interaction Term (</w:t>
      </w:r>
      <w:proofErr w:type="spellStart"/>
      <w:r w:rsidR="007010EC" w:rsidRPr="007010EC">
        <w:rPr>
          <w:sz w:val="24"/>
          <w:szCs w:val="24"/>
          <w:lang w:eastAsia="en-US"/>
        </w:rPr>
        <w:t>Interaction_OWN_INDUSTRY</w:t>
      </w:r>
      <w:proofErr w:type="spellEnd"/>
      <w:r w:rsidR="007010EC" w:rsidRPr="007010EC">
        <w:rPr>
          <w:sz w:val="24"/>
          <w:szCs w:val="24"/>
          <w:lang w:eastAsia="en-US"/>
        </w:rPr>
        <w:t>) (B = -</w:t>
      </w:r>
      <w:r w:rsidR="008B3639">
        <w:rPr>
          <w:rFonts w:hint="eastAsia"/>
          <w:sz w:val="24"/>
          <w:szCs w:val="24"/>
        </w:rPr>
        <w:t>0</w:t>
      </w:r>
      <w:r w:rsidR="007010EC" w:rsidRPr="007010EC">
        <w:rPr>
          <w:sz w:val="24"/>
          <w:szCs w:val="24"/>
          <w:lang w:eastAsia="en-US"/>
        </w:rPr>
        <w:t xml:space="preserve">.018, p = </w:t>
      </w:r>
      <w:r w:rsidR="008B3639">
        <w:rPr>
          <w:rFonts w:hint="eastAsia"/>
          <w:sz w:val="24"/>
          <w:szCs w:val="24"/>
        </w:rPr>
        <w:t>0</w:t>
      </w:r>
      <w:r w:rsidR="007010EC" w:rsidRPr="007010EC">
        <w:rPr>
          <w:sz w:val="24"/>
          <w:szCs w:val="24"/>
          <w:lang w:eastAsia="en-US"/>
        </w:rPr>
        <w:t>.906)</w:t>
      </w:r>
      <w:r>
        <w:rPr>
          <w:rFonts w:hint="eastAsia"/>
          <w:sz w:val="24"/>
          <w:szCs w:val="24"/>
        </w:rPr>
        <w:t>, t</w:t>
      </w:r>
      <w:r w:rsidR="007010EC" w:rsidRPr="007010EC">
        <w:rPr>
          <w:sz w:val="24"/>
          <w:szCs w:val="24"/>
          <w:lang w:eastAsia="en-US"/>
        </w:rPr>
        <w:t xml:space="preserve">he interaction term between ownership structure and industry type has a coefficient of -.018, </w:t>
      </w:r>
      <w:r w:rsidR="0011045F">
        <w:rPr>
          <w:sz w:val="24"/>
          <w:szCs w:val="24"/>
          <w:lang w:eastAsia="en-US"/>
        </w:rPr>
        <w:t>but</w:t>
      </w:r>
      <w:r w:rsidR="007010EC" w:rsidRPr="007010EC">
        <w:rPr>
          <w:sz w:val="24"/>
          <w:szCs w:val="24"/>
          <w:lang w:eastAsia="en-US"/>
        </w:rPr>
        <w:t xml:space="preserve"> not statistically significant (p = </w:t>
      </w:r>
      <w:r w:rsidR="008B3639">
        <w:rPr>
          <w:rFonts w:hint="eastAsia"/>
          <w:sz w:val="24"/>
          <w:szCs w:val="24"/>
        </w:rPr>
        <w:t>0</w:t>
      </w:r>
      <w:r w:rsidR="007010EC" w:rsidRPr="007010EC">
        <w:rPr>
          <w:sz w:val="24"/>
          <w:szCs w:val="24"/>
          <w:lang w:eastAsia="en-US"/>
        </w:rPr>
        <w:t>.906). This suggests that the type of industry does not significantly moderate the relationship between ownership structure and CSR disclosure.</w:t>
      </w:r>
      <w:r w:rsidR="00545E72">
        <w:rPr>
          <w:rFonts w:hint="eastAsia"/>
          <w:sz w:val="24"/>
          <w:szCs w:val="24"/>
        </w:rPr>
        <w:t xml:space="preserve"> (</w:t>
      </w:r>
      <w:r w:rsidR="00695A40">
        <w:rPr>
          <w:rFonts w:hint="eastAsia"/>
          <w:sz w:val="24"/>
          <w:szCs w:val="24"/>
        </w:rPr>
        <w:t>s</w:t>
      </w:r>
      <w:r w:rsidR="00545E72">
        <w:rPr>
          <w:rFonts w:hint="eastAsia"/>
          <w:sz w:val="24"/>
          <w:szCs w:val="24"/>
        </w:rPr>
        <w:t>ee Figure 1</w:t>
      </w:r>
      <w:r w:rsidR="00695A40">
        <w:rPr>
          <w:rFonts w:hint="eastAsia"/>
          <w:sz w:val="24"/>
          <w:szCs w:val="24"/>
        </w:rPr>
        <w:t>4</w:t>
      </w:r>
      <w:r w:rsidR="00545E72">
        <w:rPr>
          <w:rFonts w:hint="eastAsia"/>
          <w:sz w:val="24"/>
          <w:szCs w:val="24"/>
        </w:rPr>
        <w:t>)</w:t>
      </w:r>
    </w:p>
    <w:p w14:paraId="2CEC07ED" w14:textId="77777777" w:rsidR="007010EC" w:rsidRDefault="007010EC" w:rsidP="007010EC">
      <w:pPr>
        <w:rPr>
          <w:sz w:val="24"/>
          <w:szCs w:val="24"/>
          <w:lang w:eastAsia="en-US"/>
        </w:rPr>
      </w:pPr>
    </w:p>
    <w:p w14:paraId="025EC3EC" w14:textId="307F18FF" w:rsidR="00545E72" w:rsidRPr="00545E72" w:rsidRDefault="00545E72" w:rsidP="00545E72">
      <w:pPr>
        <w:jc w:val="center"/>
        <w:rPr>
          <w:rFonts w:hint="eastAsia"/>
          <w:i/>
          <w:iCs/>
        </w:rPr>
      </w:pPr>
      <w:r w:rsidRPr="00545E72">
        <w:rPr>
          <w:rFonts w:hint="eastAsia"/>
          <w:i/>
          <w:iCs/>
        </w:rPr>
        <w:t>Figure 1</w:t>
      </w:r>
      <w:r w:rsidR="00695A40">
        <w:rPr>
          <w:rFonts w:hint="eastAsia"/>
          <w:i/>
          <w:iCs/>
        </w:rPr>
        <w:t>4.</w:t>
      </w:r>
    </w:p>
    <w:p w14:paraId="4A2AF593" w14:textId="550E4D01" w:rsidR="00A366AF" w:rsidRDefault="00A366AF" w:rsidP="00BB55ED">
      <w:pPr>
        <w:rPr>
          <w:lang w:eastAsia="en-US"/>
        </w:rPr>
      </w:pPr>
      <w:r>
        <w:rPr>
          <w:noProof/>
          <w:lang w:eastAsia="en-US"/>
        </w:rPr>
        <w:drawing>
          <wp:inline distT="0" distB="0" distL="0" distR="0" wp14:anchorId="60B2227B" wp14:editId="088AEF63">
            <wp:extent cx="5953125" cy="2143125"/>
            <wp:effectExtent l="0" t="0" r="9525" b="9525"/>
            <wp:docPr id="145408940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3125" cy="2143125"/>
                    </a:xfrm>
                    <a:prstGeom prst="rect">
                      <a:avLst/>
                    </a:prstGeom>
                    <a:noFill/>
                  </pic:spPr>
                </pic:pic>
              </a:graphicData>
            </a:graphic>
          </wp:inline>
        </w:drawing>
      </w:r>
    </w:p>
    <w:p w14:paraId="2900591F" w14:textId="77777777" w:rsidR="00A366AF" w:rsidRDefault="00A366AF" w:rsidP="00BB55ED">
      <w:pPr>
        <w:rPr>
          <w:lang w:eastAsia="en-US"/>
        </w:rPr>
      </w:pPr>
    </w:p>
    <w:p w14:paraId="6171EFF0" w14:textId="77777777" w:rsidR="00A366AF" w:rsidRDefault="00A366AF" w:rsidP="00BB55ED">
      <w:pPr>
        <w:rPr>
          <w:lang w:eastAsia="en-US"/>
        </w:rPr>
      </w:pPr>
    </w:p>
    <w:p w14:paraId="0C05B592" w14:textId="77777777" w:rsidR="00BA0B5A" w:rsidRDefault="00BA0B5A" w:rsidP="00BA0B5A">
      <w:pPr>
        <w:rPr>
          <w:lang w:eastAsia="en-US"/>
        </w:rPr>
      </w:pPr>
    </w:p>
    <w:p w14:paraId="4C8B7CFC" w14:textId="77777777" w:rsidR="004E695C" w:rsidRDefault="004E695C" w:rsidP="00BA0B5A">
      <w:pPr>
        <w:rPr>
          <w:lang w:eastAsia="en-US"/>
        </w:rPr>
      </w:pPr>
    </w:p>
    <w:p w14:paraId="19FC6B33" w14:textId="77777777" w:rsidR="004E695C" w:rsidRDefault="004E695C" w:rsidP="00BA0B5A">
      <w:pPr>
        <w:rPr>
          <w:lang w:eastAsia="en-US"/>
        </w:rPr>
      </w:pPr>
    </w:p>
    <w:p w14:paraId="1045154B" w14:textId="77777777" w:rsidR="004E695C" w:rsidRDefault="004E695C" w:rsidP="00BA0B5A">
      <w:pPr>
        <w:rPr>
          <w:lang w:eastAsia="en-US"/>
        </w:rPr>
      </w:pPr>
    </w:p>
    <w:p w14:paraId="73D72541" w14:textId="77777777" w:rsidR="004E695C" w:rsidRDefault="004E695C" w:rsidP="00BA0B5A">
      <w:pPr>
        <w:rPr>
          <w:lang w:eastAsia="en-US"/>
        </w:rPr>
      </w:pPr>
    </w:p>
    <w:p w14:paraId="34F6B97D" w14:textId="77777777" w:rsidR="004E695C" w:rsidRDefault="004E695C" w:rsidP="00BA0B5A">
      <w:pPr>
        <w:rPr>
          <w:lang w:eastAsia="en-US"/>
        </w:rPr>
      </w:pPr>
    </w:p>
    <w:p w14:paraId="66A6C5B1" w14:textId="77777777" w:rsidR="004E695C" w:rsidRDefault="004E695C" w:rsidP="00BA0B5A">
      <w:pPr>
        <w:rPr>
          <w:lang w:eastAsia="en-US"/>
        </w:rPr>
      </w:pPr>
    </w:p>
    <w:p w14:paraId="054F34C1" w14:textId="77777777" w:rsidR="004E695C" w:rsidRDefault="004E695C" w:rsidP="00BA0B5A">
      <w:pPr>
        <w:rPr>
          <w:lang w:eastAsia="en-US"/>
        </w:rPr>
      </w:pPr>
    </w:p>
    <w:p w14:paraId="14B868D4" w14:textId="77777777" w:rsidR="004E695C" w:rsidRDefault="004E695C" w:rsidP="00BA0B5A">
      <w:pPr>
        <w:rPr>
          <w:lang w:eastAsia="en-US"/>
        </w:rPr>
      </w:pPr>
    </w:p>
    <w:p w14:paraId="1591F47C" w14:textId="77777777" w:rsidR="004E695C" w:rsidRDefault="004E695C" w:rsidP="00BA0B5A">
      <w:pPr>
        <w:rPr>
          <w:lang w:eastAsia="en-US"/>
        </w:rPr>
      </w:pPr>
    </w:p>
    <w:p w14:paraId="560A77F0" w14:textId="77777777" w:rsidR="004E695C" w:rsidRDefault="004E695C" w:rsidP="00BA0B5A">
      <w:pPr>
        <w:rPr>
          <w:lang w:eastAsia="en-US"/>
        </w:rPr>
      </w:pPr>
    </w:p>
    <w:p w14:paraId="503098A8" w14:textId="77777777" w:rsidR="004E695C" w:rsidRDefault="004E695C" w:rsidP="00BA0B5A">
      <w:pPr>
        <w:rPr>
          <w:lang w:eastAsia="en-US"/>
        </w:rPr>
      </w:pPr>
    </w:p>
    <w:p w14:paraId="4DE396AC" w14:textId="77777777" w:rsidR="00BA0B5A" w:rsidRDefault="00BA0B5A" w:rsidP="00BA0B5A">
      <w:pPr>
        <w:rPr>
          <w:lang w:eastAsia="en-US"/>
        </w:rPr>
      </w:pPr>
    </w:p>
    <w:p w14:paraId="4595EB8D" w14:textId="02D30495" w:rsidR="00121CE8" w:rsidRPr="00571F37" w:rsidRDefault="007215D7" w:rsidP="0005674B">
      <w:pPr>
        <w:spacing w:line="360" w:lineRule="auto"/>
        <w:jc w:val="both"/>
        <w:rPr>
          <w:sz w:val="24"/>
          <w:szCs w:val="24"/>
        </w:rPr>
      </w:pPr>
      <w:r w:rsidRPr="00571F37">
        <w:rPr>
          <w:rFonts w:hint="eastAsia"/>
          <w:sz w:val="24"/>
          <w:szCs w:val="24"/>
        </w:rPr>
        <w:t>R</w:t>
      </w:r>
      <w:r w:rsidR="00121CE8" w:rsidRPr="00571F37">
        <w:rPr>
          <w:sz w:val="24"/>
          <w:szCs w:val="24"/>
          <w:lang w:eastAsia="en-US"/>
        </w:rPr>
        <w:t xml:space="preserve">egarding the moderation analysis of the relationship between ownership structure and CSR disclosure by the </w:t>
      </w:r>
      <w:r w:rsidR="00BA0B5A" w:rsidRPr="00571F37">
        <w:rPr>
          <w:rFonts w:hint="eastAsia"/>
          <w:sz w:val="24"/>
          <w:szCs w:val="24"/>
        </w:rPr>
        <w:t>number of independent director</w:t>
      </w:r>
      <w:r w:rsidR="00121CE8" w:rsidRPr="00571F37">
        <w:rPr>
          <w:sz w:val="24"/>
          <w:szCs w:val="24"/>
          <w:lang w:eastAsia="en-US"/>
        </w:rPr>
        <w:t xml:space="preserve"> variable, </w:t>
      </w:r>
      <w:r w:rsidRPr="00571F37">
        <w:rPr>
          <w:rFonts w:hint="eastAsia"/>
          <w:sz w:val="24"/>
          <w:szCs w:val="24"/>
        </w:rPr>
        <w:t>i</w:t>
      </w:r>
      <w:r w:rsidRPr="00571F37">
        <w:rPr>
          <w:sz w:val="24"/>
          <w:szCs w:val="24"/>
          <w:lang w:eastAsia="en-US"/>
        </w:rPr>
        <w:t xml:space="preserve">n a manner </w:t>
      </w:r>
      <w:proofErr w:type="gramStart"/>
      <w:r w:rsidRPr="00571F37">
        <w:rPr>
          <w:sz w:val="24"/>
          <w:szCs w:val="24"/>
          <w:lang w:eastAsia="en-US"/>
        </w:rPr>
        <w:t>similar to</w:t>
      </w:r>
      <w:proofErr w:type="gramEnd"/>
      <w:r w:rsidRPr="00571F37">
        <w:rPr>
          <w:sz w:val="24"/>
          <w:szCs w:val="24"/>
          <w:lang w:eastAsia="en-US"/>
        </w:rPr>
        <w:t xml:space="preserve"> the previous investigation</w:t>
      </w:r>
      <w:r w:rsidRPr="00571F37">
        <w:rPr>
          <w:rFonts w:hint="eastAsia"/>
          <w:sz w:val="24"/>
          <w:szCs w:val="24"/>
        </w:rPr>
        <w:t xml:space="preserve">, </w:t>
      </w:r>
      <w:r w:rsidR="00121CE8" w:rsidRPr="00571F37">
        <w:rPr>
          <w:sz w:val="24"/>
          <w:szCs w:val="24"/>
          <w:lang w:eastAsia="en-US"/>
        </w:rPr>
        <w:t>a  new variable</w:t>
      </w:r>
      <w:r w:rsidR="0005674B" w:rsidRPr="00571F37">
        <w:rPr>
          <w:rFonts w:hint="eastAsia"/>
          <w:sz w:val="24"/>
          <w:szCs w:val="24"/>
        </w:rPr>
        <w:t xml:space="preserve"> </w:t>
      </w:r>
      <w:r w:rsidR="00121CE8" w:rsidRPr="00571F37">
        <w:rPr>
          <w:sz w:val="24"/>
          <w:szCs w:val="24"/>
          <w:lang w:eastAsia="en-US"/>
        </w:rPr>
        <w:t>(</w:t>
      </w:r>
      <w:proofErr w:type="spellStart"/>
      <w:r w:rsidR="00121CE8" w:rsidRPr="00571F37">
        <w:rPr>
          <w:sz w:val="24"/>
          <w:szCs w:val="24"/>
          <w:lang w:eastAsia="en-US"/>
        </w:rPr>
        <w:t>Interaction_OWN_IN</w:t>
      </w:r>
      <w:r w:rsidR="00BA0B5A" w:rsidRPr="00571F37">
        <w:rPr>
          <w:rFonts w:hint="eastAsia"/>
          <w:sz w:val="24"/>
          <w:szCs w:val="24"/>
        </w:rPr>
        <w:t>DEPENDENT</w:t>
      </w:r>
      <w:proofErr w:type="spellEnd"/>
      <w:r w:rsidR="00121CE8" w:rsidRPr="00571F37">
        <w:rPr>
          <w:sz w:val="24"/>
          <w:szCs w:val="24"/>
          <w:lang w:eastAsia="en-US"/>
        </w:rPr>
        <w:t>) was generated by calculating variable of “ownership structure” times “</w:t>
      </w:r>
      <w:r w:rsidRPr="00571F37">
        <w:rPr>
          <w:rFonts w:hint="eastAsia"/>
          <w:sz w:val="24"/>
          <w:szCs w:val="24"/>
        </w:rPr>
        <w:t>number</w:t>
      </w:r>
      <w:r w:rsidR="00121CE8" w:rsidRPr="00571F37">
        <w:rPr>
          <w:sz w:val="24"/>
          <w:szCs w:val="24"/>
          <w:lang w:eastAsia="en-US"/>
        </w:rPr>
        <w:t xml:space="preserve"> of in</w:t>
      </w:r>
      <w:r w:rsidR="00DC7806" w:rsidRPr="00571F37">
        <w:rPr>
          <w:rFonts w:hint="eastAsia"/>
          <w:sz w:val="24"/>
          <w:szCs w:val="24"/>
        </w:rPr>
        <w:t xml:space="preserve">dependent </w:t>
      </w:r>
      <w:r w:rsidR="00DC7806" w:rsidRPr="00571F37">
        <w:rPr>
          <w:sz w:val="24"/>
          <w:szCs w:val="24"/>
        </w:rPr>
        <w:t>directors</w:t>
      </w:r>
      <w:r w:rsidR="00121CE8" w:rsidRPr="00571F37">
        <w:rPr>
          <w:sz w:val="24"/>
          <w:szCs w:val="24"/>
          <w:lang w:eastAsia="en-US"/>
        </w:rPr>
        <w:t xml:space="preserve">”. This variable, along with ownership structure and </w:t>
      </w:r>
      <w:r w:rsidR="00DC7806" w:rsidRPr="00571F37">
        <w:rPr>
          <w:rFonts w:hint="eastAsia"/>
          <w:sz w:val="24"/>
          <w:szCs w:val="24"/>
        </w:rPr>
        <w:t>number</w:t>
      </w:r>
      <w:r w:rsidR="00121CE8" w:rsidRPr="00571F37">
        <w:rPr>
          <w:sz w:val="24"/>
          <w:szCs w:val="24"/>
          <w:lang w:eastAsia="en-US"/>
        </w:rPr>
        <w:t xml:space="preserve"> of i</w:t>
      </w:r>
      <w:r w:rsidR="00DC7806" w:rsidRPr="00571F37">
        <w:rPr>
          <w:rFonts w:hint="eastAsia"/>
          <w:sz w:val="24"/>
          <w:szCs w:val="24"/>
        </w:rPr>
        <w:t xml:space="preserve">ndependent </w:t>
      </w:r>
      <w:r w:rsidR="00DC7806" w:rsidRPr="00571F37">
        <w:rPr>
          <w:sz w:val="24"/>
          <w:szCs w:val="24"/>
        </w:rPr>
        <w:t>directors</w:t>
      </w:r>
      <w:r w:rsidR="00121CE8" w:rsidRPr="00571F37">
        <w:rPr>
          <w:sz w:val="24"/>
          <w:szCs w:val="24"/>
          <w:lang w:eastAsia="en-US"/>
        </w:rPr>
        <w:t xml:space="preserve">, </w:t>
      </w:r>
      <w:r w:rsidR="00DC7806" w:rsidRPr="00571F37">
        <w:rPr>
          <w:rFonts w:hint="eastAsia"/>
          <w:sz w:val="24"/>
          <w:szCs w:val="24"/>
        </w:rPr>
        <w:t>are</w:t>
      </w:r>
      <w:r w:rsidR="00121CE8" w:rsidRPr="00571F37">
        <w:rPr>
          <w:sz w:val="24"/>
          <w:szCs w:val="24"/>
          <w:lang w:eastAsia="en-US"/>
        </w:rPr>
        <w:t xml:space="preserve"> used as independent variables to conduct a moderation analysis.</w:t>
      </w:r>
    </w:p>
    <w:p w14:paraId="237A526C" w14:textId="77777777" w:rsidR="00121CE8" w:rsidRDefault="00121CE8" w:rsidP="00121CE8">
      <w:pPr>
        <w:rPr>
          <w:lang w:eastAsia="en-US"/>
        </w:rPr>
      </w:pPr>
    </w:p>
    <w:p w14:paraId="26B8B6AD" w14:textId="77777777" w:rsidR="00121CE8" w:rsidRPr="00571F37" w:rsidRDefault="00121CE8" w:rsidP="00571F37">
      <w:pPr>
        <w:spacing w:line="360" w:lineRule="auto"/>
        <w:jc w:val="both"/>
        <w:rPr>
          <w:sz w:val="24"/>
          <w:szCs w:val="24"/>
          <w:lang w:eastAsia="en-US"/>
        </w:rPr>
      </w:pPr>
      <w:r w:rsidRPr="00571F37">
        <w:rPr>
          <w:sz w:val="24"/>
          <w:szCs w:val="24"/>
          <w:lang w:eastAsia="en-US"/>
        </w:rPr>
        <w:t>As Model Summary, the model's R (correlation coefficient) is 0.222, indicating a moderate relationship between independent variables and the dependent variable. The R Square (coefficient of determination) is 0.49, indicating that the independent variables explain approximately 4.9 % of the variation in the dependent variable.</w:t>
      </w:r>
    </w:p>
    <w:p w14:paraId="1744E297" w14:textId="4502B6B8" w:rsidR="00121CE8" w:rsidRPr="00571F37" w:rsidRDefault="00121CE8" w:rsidP="00571F37">
      <w:pPr>
        <w:spacing w:line="360" w:lineRule="auto"/>
        <w:jc w:val="both"/>
        <w:rPr>
          <w:sz w:val="24"/>
          <w:szCs w:val="24"/>
          <w:lang w:eastAsia="en-US"/>
        </w:rPr>
      </w:pPr>
      <w:r w:rsidRPr="00571F37">
        <w:rPr>
          <w:sz w:val="24"/>
          <w:szCs w:val="24"/>
          <w:lang w:eastAsia="en-US"/>
        </w:rPr>
        <w:t>From these results, it can be concluded that while there is a moderate relationship between independent and dependent variables, the correlation (R Square) is statistically small. Therefore, the independent variables may not have a significant impact on CSR disclosure. (</w:t>
      </w:r>
      <w:r w:rsidR="00695A40">
        <w:rPr>
          <w:rFonts w:hint="eastAsia"/>
          <w:sz w:val="24"/>
          <w:szCs w:val="24"/>
        </w:rPr>
        <w:t>s</w:t>
      </w:r>
      <w:r w:rsidR="00545E72">
        <w:rPr>
          <w:rFonts w:hint="eastAsia"/>
          <w:sz w:val="24"/>
          <w:szCs w:val="24"/>
        </w:rPr>
        <w:t xml:space="preserve">ee </w:t>
      </w:r>
      <w:r w:rsidRPr="00571F37">
        <w:rPr>
          <w:sz w:val="24"/>
          <w:szCs w:val="24"/>
          <w:lang w:eastAsia="en-US"/>
        </w:rPr>
        <w:t>Figure 1</w:t>
      </w:r>
      <w:r w:rsidR="00695A40">
        <w:rPr>
          <w:rFonts w:hint="eastAsia"/>
          <w:sz w:val="24"/>
          <w:szCs w:val="24"/>
        </w:rPr>
        <w:t>5</w:t>
      </w:r>
      <w:r w:rsidRPr="00571F37">
        <w:rPr>
          <w:sz w:val="24"/>
          <w:szCs w:val="24"/>
          <w:lang w:eastAsia="en-US"/>
        </w:rPr>
        <w:t>)</w:t>
      </w:r>
    </w:p>
    <w:p w14:paraId="48B5893B" w14:textId="4A1F8BF8" w:rsidR="00121CE8" w:rsidRPr="00545E72" w:rsidRDefault="00545E72" w:rsidP="00545E72">
      <w:pPr>
        <w:jc w:val="center"/>
        <w:rPr>
          <w:rFonts w:hint="eastAsia"/>
          <w:i/>
          <w:iCs/>
        </w:rPr>
      </w:pPr>
      <w:r>
        <w:rPr>
          <w:lang w:eastAsia="en-US"/>
        </w:rPr>
        <w:br/>
      </w:r>
      <w:r w:rsidRPr="00545E72">
        <w:rPr>
          <w:rFonts w:hint="eastAsia"/>
          <w:i/>
          <w:iCs/>
        </w:rPr>
        <w:t>Figure 1</w:t>
      </w:r>
      <w:r w:rsidR="00695A40">
        <w:rPr>
          <w:rFonts w:hint="eastAsia"/>
          <w:i/>
          <w:iCs/>
        </w:rPr>
        <w:t>5.</w:t>
      </w:r>
    </w:p>
    <w:p w14:paraId="775E761F" w14:textId="3BC0845A" w:rsidR="00121CE8" w:rsidRDefault="0005674B" w:rsidP="00121CE8">
      <w:pPr>
        <w:rPr>
          <w:lang w:eastAsia="en-US"/>
        </w:rPr>
      </w:pPr>
      <w:r>
        <w:rPr>
          <w:noProof/>
          <w:lang w:eastAsia="en-US"/>
        </w:rPr>
        <w:drawing>
          <wp:anchor distT="0" distB="0" distL="114300" distR="114300" simplePos="0" relativeHeight="251674112" behindDoc="0" locked="0" layoutInCell="1" allowOverlap="1" wp14:anchorId="69C77F14" wp14:editId="63A24F8D">
            <wp:simplePos x="0" y="0"/>
            <wp:positionH relativeFrom="margin">
              <wp:align>center</wp:align>
            </wp:positionH>
            <wp:positionV relativeFrom="paragraph">
              <wp:posOffset>162560</wp:posOffset>
            </wp:positionV>
            <wp:extent cx="3762375" cy="1314450"/>
            <wp:effectExtent l="0" t="0" r="9525" b="0"/>
            <wp:wrapTopAndBottom/>
            <wp:docPr id="1233461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2375" cy="1314450"/>
                    </a:xfrm>
                    <a:prstGeom prst="rect">
                      <a:avLst/>
                    </a:prstGeom>
                    <a:noFill/>
                  </pic:spPr>
                </pic:pic>
              </a:graphicData>
            </a:graphic>
          </wp:anchor>
        </w:drawing>
      </w:r>
    </w:p>
    <w:p w14:paraId="7DE66D5B" w14:textId="5892FCD0" w:rsidR="00121CE8" w:rsidRDefault="00121CE8" w:rsidP="00121CE8">
      <w:pPr>
        <w:rPr>
          <w:lang w:eastAsia="en-US"/>
        </w:rPr>
      </w:pPr>
    </w:p>
    <w:p w14:paraId="0BFE440F" w14:textId="3D6DB9BA" w:rsidR="00121CE8" w:rsidRDefault="00121CE8" w:rsidP="00121CE8">
      <w:pPr>
        <w:rPr>
          <w:lang w:eastAsia="en-US"/>
        </w:rPr>
      </w:pPr>
    </w:p>
    <w:p w14:paraId="34859AA3" w14:textId="07C11540" w:rsidR="00121CE8" w:rsidRPr="008D36D9" w:rsidRDefault="00121CE8" w:rsidP="00710405">
      <w:pPr>
        <w:spacing w:line="360" w:lineRule="auto"/>
        <w:rPr>
          <w:sz w:val="24"/>
          <w:szCs w:val="24"/>
          <w:lang w:eastAsia="en-US"/>
        </w:rPr>
      </w:pPr>
      <w:r w:rsidRPr="008D36D9">
        <w:rPr>
          <w:sz w:val="24"/>
          <w:szCs w:val="24"/>
          <w:lang w:eastAsia="en-US"/>
        </w:rPr>
        <w:t xml:space="preserve">Regarding the coefficient of this analysis,  </w:t>
      </w:r>
    </w:p>
    <w:p w14:paraId="048A38FC" w14:textId="3BA93C6D" w:rsidR="00121CE8" w:rsidRPr="008D36D9" w:rsidRDefault="00121CE8" w:rsidP="00710405">
      <w:pPr>
        <w:spacing w:line="360" w:lineRule="auto"/>
        <w:jc w:val="both"/>
        <w:rPr>
          <w:sz w:val="24"/>
          <w:szCs w:val="24"/>
          <w:lang w:eastAsia="en-US"/>
        </w:rPr>
      </w:pPr>
      <w:r w:rsidRPr="008D36D9">
        <w:rPr>
          <w:sz w:val="24"/>
          <w:szCs w:val="24"/>
          <w:lang w:eastAsia="en-US"/>
        </w:rPr>
        <w:t>Regarding Constant (B = 6.</w:t>
      </w:r>
      <w:r w:rsidR="00C05BF2">
        <w:rPr>
          <w:rFonts w:hint="eastAsia"/>
          <w:sz w:val="24"/>
          <w:szCs w:val="24"/>
        </w:rPr>
        <w:t>346</w:t>
      </w:r>
      <w:r w:rsidRPr="008D36D9">
        <w:rPr>
          <w:sz w:val="24"/>
          <w:szCs w:val="24"/>
          <w:lang w:eastAsia="en-US"/>
        </w:rPr>
        <w:t xml:space="preserve">, p &lt; </w:t>
      </w:r>
      <w:r w:rsidR="009F63F0">
        <w:rPr>
          <w:rFonts w:hint="eastAsia"/>
          <w:sz w:val="24"/>
          <w:szCs w:val="24"/>
        </w:rPr>
        <w:t>0</w:t>
      </w:r>
      <w:r w:rsidRPr="008D36D9">
        <w:rPr>
          <w:sz w:val="24"/>
          <w:szCs w:val="24"/>
          <w:lang w:eastAsia="en-US"/>
        </w:rPr>
        <w:t>.00</w:t>
      </w:r>
      <w:r w:rsidR="00C05BF2">
        <w:rPr>
          <w:rFonts w:hint="eastAsia"/>
          <w:sz w:val="24"/>
          <w:szCs w:val="24"/>
        </w:rPr>
        <w:t>0</w:t>
      </w:r>
      <w:r w:rsidRPr="008D36D9">
        <w:rPr>
          <w:sz w:val="24"/>
          <w:szCs w:val="24"/>
          <w:lang w:eastAsia="en-US"/>
        </w:rPr>
        <w:t>), the constant term is significant, suggesting that when all independent variables are zero, the baseline level of CSR disclosure is 6.</w:t>
      </w:r>
      <w:r w:rsidR="00C05BF2">
        <w:rPr>
          <w:rFonts w:hint="eastAsia"/>
          <w:sz w:val="24"/>
          <w:szCs w:val="24"/>
        </w:rPr>
        <w:t>346</w:t>
      </w:r>
      <w:r w:rsidRPr="008D36D9">
        <w:rPr>
          <w:sz w:val="24"/>
          <w:szCs w:val="24"/>
          <w:lang w:eastAsia="en-US"/>
        </w:rPr>
        <w:t>.</w:t>
      </w:r>
    </w:p>
    <w:p w14:paraId="45B8BFE3" w14:textId="7437ED79" w:rsidR="00121CE8" w:rsidRPr="008D36D9" w:rsidRDefault="00121CE8" w:rsidP="00710405">
      <w:pPr>
        <w:spacing w:line="360" w:lineRule="auto"/>
        <w:jc w:val="both"/>
        <w:rPr>
          <w:sz w:val="24"/>
          <w:szCs w:val="24"/>
          <w:lang w:eastAsia="en-US"/>
        </w:rPr>
      </w:pPr>
      <w:r w:rsidRPr="008D36D9">
        <w:rPr>
          <w:sz w:val="24"/>
          <w:szCs w:val="24"/>
          <w:lang w:eastAsia="en-US"/>
        </w:rPr>
        <w:t xml:space="preserve">About Ownership Structure (T_OWN) (B = </w:t>
      </w:r>
      <w:r w:rsidR="00CF7E84">
        <w:rPr>
          <w:sz w:val="24"/>
          <w:szCs w:val="24"/>
          <w:lang w:eastAsia="en-US"/>
        </w:rPr>
        <w:t>0</w:t>
      </w:r>
      <w:r w:rsidRPr="008D36D9">
        <w:rPr>
          <w:sz w:val="24"/>
          <w:szCs w:val="24"/>
          <w:lang w:eastAsia="en-US"/>
        </w:rPr>
        <w:t>.57</w:t>
      </w:r>
      <w:r w:rsidR="00E3655D">
        <w:rPr>
          <w:rFonts w:hint="eastAsia"/>
          <w:sz w:val="24"/>
          <w:szCs w:val="24"/>
        </w:rPr>
        <w:t>5</w:t>
      </w:r>
      <w:r w:rsidRPr="008D36D9">
        <w:rPr>
          <w:sz w:val="24"/>
          <w:szCs w:val="24"/>
          <w:lang w:eastAsia="en-US"/>
        </w:rPr>
        <w:t xml:space="preserve">, p = </w:t>
      </w:r>
      <w:r w:rsidR="00CF7E84">
        <w:rPr>
          <w:sz w:val="24"/>
          <w:szCs w:val="24"/>
          <w:lang w:eastAsia="en-US"/>
        </w:rPr>
        <w:t>0</w:t>
      </w:r>
      <w:r w:rsidRPr="008D36D9">
        <w:rPr>
          <w:sz w:val="24"/>
          <w:szCs w:val="24"/>
          <w:lang w:eastAsia="en-US"/>
        </w:rPr>
        <w:t>.0</w:t>
      </w:r>
      <w:r w:rsidR="00E3655D">
        <w:rPr>
          <w:rFonts w:hint="eastAsia"/>
          <w:sz w:val="24"/>
          <w:szCs w:val="24"/>
        </w:rPr>
        <w:t>58</w:t>
      </w:r>
      <w:r w:rsidRPr="008D36D9">
        <w:rPr>
          <w:sz w:val="24"/>
          <w:szCs w:val="24"/>
          <w:lang w:eastAsia="en-US"/>
        </w:rPr>
        <w:t xml:space="preserve">), the coefficient for ownership structure is </w:t>
      </w:r>
      <w:r w:rsidR="00CF7E84">
        <w:rPr>
          <w:sz w:val="24"/>
          <w:szCs w:val="24"/>
          <w:lang w:eastAsia="en-US"/>
        </w:rPr>
        <w:t>0</w:t>
      </w:r>
      <w:r w:rsidRPr="008D36D9">
        <w:rPr>
          <w:sz w:val="24"/>
          <w:szCs w:val="24"/>
          <w:lang w:eastAsia="en-US"/>
        </w:rPr>
        <w:t>.57</w:t>
      </w:r>
      <w:r w:rsidR="00E3655D">
        <w:rPr>
          <w:rFonts w:hint="eastAsia"/>
          <w:sz w:val="24"/>
          <w:szCs w:val="24"/>
        </w:rPr>
        <w:t>5</w:t>
      </w:r>
      <w:r w:rsidR="00CF7E84">
        <w:rPr>
          <w:sz w:val="24"/>
          <w:szCs w:val="24"/>
          <w:lang w:eastAsia="en-US"/>
        </w:rPr>
        <w:t xml:space="preserve">. </w:t>
      </w:r>
      <w:r w:rsidRPr="008D36D9">
        <w:rPr>
          <w:sz w:val="24"/>
          <w:szCs w:val="24"/>
          <w:lang w:eastAsia="en-US"/>
        </w:rPr>
        <w:t>This suggests that being a state-owned enterprise (SOE, coded as 2) is associated with a 0.578 increase in the CSR disclosure score compared to non-SOEs (coded as 1), holding other factors constant. However, this effect is not statistically significant at the conventional 0.05 level.</w:t>
      </w:r>
    </w:p>
    <w:p w14:paraId="5BA644F9" w14:textId="41C4B66A" w:rsidR="00121CE8" w:rsidRPr="008D36D9" w:rsidRDefault="00121CE8" w:rsidP="00710405">
      <w:pPr>
        <w:spacing w:line="360" w:lineRule="auto"/>
        <w:jc w:val="both"/>
        <w:rPr>
          <w:sz w:val="24"/>
          <w:szCs w:val="24"/>
          <w:lang w:eastAsia="en-US"/>
        </w:rPr>
      </w:pPr>
      <w:r w:rsidRPr="008D36D9">
        <w:rPr>
          <w:sz w:val="24"/>
          <w:szCs w:val="24"/>
          <w:lang w:eastAsia="en-US"/>
        </w:rPr>
        <w:t xml:space="preserve">Concerning </w:t>
      </w:r>
      <w:r w:rsidR="00CE6F08">
        <w:rPr>
          <w:rFonts w:hint="eastAsia"/>
          <w:sz w:val="24"/>
          <w:szCs w:val="24"/>
        </w:rPr>
        <w:t>Number</w:t>
      </w:r>
      <w:r w:rsidRPr="008D36D9">
        <w:rPr>
          <w:sz w:val="24"/>
          <w:szCs w:val="24"/>
          <w:lang w:eastAsia="en-US"/>
        </w:rPr>
        <w:t xml:space="preserve"> of </w:t>
      </w:r>
      <w:r w:rsidR="00CE6F08">
        <w:rPr>
          <w:rFonts w:hint="eastAsia"/>
          <w:sz w:val="24"/>
          <w:szCs w:val="24"/>
        </w:rPr>
        <w:t xml:space="preserve">independent director </w:t>
      </w:r>
      <w:r w:rsidRPr="008D36D9">
        <w:rPr>
          <w:sz w:val="24"/>
          <w:szCs w:val="24"/>
          <w:lang w:eastAsia="en-US"/>
        </w:rPr>
        <w:t>(</w:t>
      </w:r>
      <w:r w:rsidR="00CE6F08">
        <w:rPr>
          <w:rFonts w:hint="eastAsia"/>
          <w:sz w:val="24"/>
          <w:szCs w:val="24"/>
        </w:rPr>
        <w:t>DIRECTOR</w:t>
      </w:r>
      <w:r w:rsidRPr="008D36D9">
        <w:rPr>
          <w:sz w:val="24"/>
          <w:szCs w:val="24"/>
          <w:lang w:eastAsia="en-US"/>
        </w:rPr>
        <w:t xml:space="preserve">) (B = </w:t>
      </w:r>
      <w:r w:rsidR="00F678CF">
        <w:rPr>
          <w:rFonts w:hint="eastAsia"/>
          <w:sz w:val="24"/>
          <w:szCs w:val="24"/>
        </w:rPr>
        <w:t>0</w:t>
      </w:r>
      <w:r w:rsidRPr="008D36D9">
        <w:rPr>
          <w:sz w:val="24"/>
          <w:szCs w:val="24"/>
          <w:lang w:eastAsia="en-US"/>
        </w:rPr>
        <w:t>.</w:t>
      </w:r>
      <w:r w:rsidR="00F678CF">
        <w:rPr>
          <w:rFonts w:hint="eastAsia"/>
          <w:sz w:val="24"/>
          <w:szCs w:val="24"/>
        </w:rPr>
        <w:t>119</w:t>
      </w:r>
      <w:r w:rsidRPr="008D36D9">
        <w:rPr>
          <w:sz w:val="24"/>
          <w:szCs w:val="24"/>
          <w:lang w:eastAsia="en-US"/>
        </w:rPr>
        <w:t xml:space="preserve">, p = </w:t>
      </w:r>
      <w:r w:rsidR="00F678CF">
        <w:rPr>
          <w:rFonts w:hint="eastAsia"/>
          <w:sz w:val="24"/>
          <w:szCs w:val="24"/>
        </w:rPr>
        <w:t>0</w:t>
      </w:r>
      <w:r w:rsidRPr="008D36D9">
        <w:rPr>
          <w:sz w:val="24"/>
          <w:szCs w:val="24"/>
          <w:lang w:eastAsia="en-US"/>
        </w:rPr>
        <w:t>.</w:t>
      </w:r>
      <w:r w:rsidR="00F678CF">
        <w:rPr>
          <w:rFonts w:hint="eastAsia"/>
          <w:sz w:val="24"/>
          <w:szCs w:val="24"/>
        </w:rPr>
        <w:t>281</w:t>
      </w:r>
      <w:r w:rsidRPr="008D36D9">
        <w:rPr>
          <w:sz w:val="24"/>
          <w:szCs w:val="24"/>
          <w:lang w:eastAsia="en-US"/>
        </w:rPr>
        <w:t xml:space="preserve">), the coefficient for industry type is </w:t>
      </w:r>
      <w:r w:rsidR="00F678CF">
        <w:rPr>
          <w:rFonts w:hint="eastAsia"/>
          <w:sz w:val="24"/>
          <w:szCs w:val="24"/>
        </w:rPr>
        <w:t>0</w:t>
      </w:r>
      <w:r w:rsidRPr="008D36D9">
        <w:rPr>
          <w:sz w:val="24"/>
          <w:szCs w:val="24"/>
          <w:lang w:eastAsia="en-US"/>
        </w:rPr>
        <w:t>.</w:t>
      </w:r>
      <w:r w:rsidR="00F678CF">
        <w:rPr>
          <w:rFonts w:hint="eastAsia"/>
          <w:sz w:val="24"/>
          <w:szCs w:val="24"/>
        </w:rPr>
        <w:t>119</w:t>
      </w:r>
      <w:r w:rsidRPr="008D36D9">
        <w:rPr>
          <w:sz w:val="24"/>
          <w:szCs w:val="24"/>
          <w:lang w:eastAsia="en-US"/>
        </w:rPr>
        <w:t xml:space="preserve">, </w:t>
      </w:r>
      <w:r w:rsidR="00F678CF">
        <w:rPr>
          <w:rFonts w:hint="eastAsia"/>
          <w:sz w:val="24"/>
          <w:szCs w:val="24"/>
        </w:rPr>
        <w:t>and</w:t>
      </w:r>
      <w:r w:rsidRPr="008D36D9">
        <w:rPr>
          <w:sz w:val="24"/>
          <w:szCs w:val="24"/>
          <w:lang w:eastAsia="en-US"/>
        </w:rPr>
        <w:t xml:space="preserve"> is not statistically significant (p = </w:t>
      </w:r>
      <w:r w:rsidR="00F678CF">
        <w:rPr>
          <w:rFonts w:hint="eastAsia"/>
          <w:sz w:val="24"/>
          <w:szCs w:val="24"/>
        </w:rPr>
        <w:t>0</w:t>
      </w:r>
      <w:r w:rsidRPr="008D36D9">
        <w:rPr>
          <w:sz w:val="24"/>
          <w:szCs w:val="24"/>
          <w:lang w:eastAsia="en-US"/>
        </w:rPr>
        <w:t>.</w:t>
      </w:r>
      <w:r w:rsidR="00F678CF">
        <w:rPr>
          <w:rFonts w:hint="eastAsia"/>
          <w:sz w:val="24"/>
          <w:szCs w:val="24"/>
        </w:rPr>
        <w:t>281</w:t>
      </w:r>
      <w:r w:rsidRPr="008D36D9">
        <w:rPr>
          <w:sz w:val="24"/>
          <w:szCs w:val="24"/>
          <w:lang w:eastAsia="en-US"/>
        </w:rPr>
        <w:t xml:space="preserve">). This indicates that </w:t>
      </w:r>
      <w:r w:rsidR="00272E0D">
        <w:rPr>
          <w:rFonts w:hint="eastAsia"/>
          <w:sz w:val="24"/>
          <w:szCs w:val="24"/>
        </w:rPr>
        <w:t xml:space="preserve">number of independent </w:t>
      </w:r>
      <w:r w:rsidR="00272E0D">
        <w:rPr>
          <w:sz w:val="24"/>
          <w:szCs w:val="24"/>
        </w:rPr>
        <w:t>directors</w:t>
      </w:r>
      <w:r w:rsidRPr="008D36D9">
        <w:rPr>
          <w:sz w:val="24"/>
          <w:szCs w:val="24"/>
          <w:lang w:eastAsia="en-US"/>
        </w:rPr>
        <w:t xml:space="preserve"> does not have a significant impact on CSR disclosure scores when other variables are controlled.</w:t>
      </w:r>
    </w:p>
    <w:p w14:paraId="12C8D151" w14:textId="68072929" w:rsidR="00BA6056" w:rsidRDefault="00121CE8" w:rsidP="00710405">
      <w:pPr>
        <w:spacing w:line="360" w:lineRule="auto"/>
        <w:jc w:val="both"/>
        <w:rPr>
          <w:sz w:val="24"/>
          <w:szCs w:val="24"/>
        </w:rPr>
      </w:pPr>
      <w:proofErr w:type="gramStart"/>
      <w:r w:rsidRPr="008D36D9">
        <w:rPr>
          <w:sz w:val="24"/>
          <w:szCs w:val="24"/>
          <w:lang w:eastAsia="en-US"/>
        </w:rPr>
        <w:t>In regard to</w:t>
      </w:r>
      <w:proofErr w:type="gramEnd"/>
      <w:r w:rsidRPr="008D36D9">
        <w:rPr>
          <w:sz w:val="24"/>
          <w:szCs w:val="24"/>
          <w:lang w:eastAsia="en-US"/>
        </w:rPr>
        <w:t xml:space="preserve"> Interaction Term (</w:t>
      </w:r>
      <w:proofErr w:type="spellStart"/>
      <w:r w:rsidRPr="008D36D9">
        <w:rPr>
          <w:sz w:val="24"/>
          <w:szCs w:val="24"/>
          <w:lang w:eastAsia="en-US"/>
        </w:rPr>
        <w:t>Interaction_OWN_I</w:t>
      </w:r>
      <w:r w:rsidR="007C42EC">
        <w:rPr>
          <w:rFonts w:hint="eastAsia"/>
          <w:sz w:val="24"/>
          <w:szCs w:val="24"/>
        </w:rPr>
        <w:t>NDEPENDENT</w:t>
      </w:r>
      <w:proofErr w:type="spellEnd"/>
      <w:r w:rsidRPr="008D36D9">
        <w:rPr>
          <w:sz w:val="24"/>
          <w:szCs w:val="24"/>
          <w:lang w:eastAsia="en-US"/>
        </w:rPr>
        <w:t>) (B =</w:t>
      </w:r>
      <w:r w:rsidR="007C42EC">
        <w:rPr>
          <w:rFonts w:hint="eastAsia"/>
          <w:sz w:val="24"/>
          <w:szCs w:val="24"/>
        </w:rPr>
        <w:t xml:space="preserve"> 0</w:t>
      </w:r>
      <w:r w:rsidRPr="008D36D9">
        <w:rPr>
          <w:sz w:val="24"/>
          <w:szCs w:val="24"/>
          <w:lang w:eastAsia="en-US"/>
        </w:rPr>
        <w:t>.</w:t>
      </w:r>
      <w:r w:rsidR="007C42EC">
        <w:rPr>
          <w:rFonts w:hint="eastAsia"/>
          <w:sz w:val="24"/>
          <w:szCs w:val="24"/>
        </w:rPr>
        <w:t>109</w:t>
      </w:r>
      <w:r w:rsidRPr="008D36D9">
        <w:rPr>
          <w:sz w:val="24"/>
          <w:szCs w:val="24"/>
          <w:lang w:eastAsia="en-US"/>
        </w:rPr>
        <w:t xml:space="preserve">, p = </w:t>
      </w:r>
      <w:r w:rsidR="007C42EC">
        <w:rPr>
          <w:rFonts w:hint="eastAsia"/>
          <w:sz w:val="24"/>
          <w:szCs w:val="24"/>
        </w:rPr>
        <w:t>0</w:t>
      </w:r>
      <w:r w:rsidRPr="008D36D9">
        <w:rPr>
          <w:sz w:val="24"/>
          <w:szCs w:val="24"/>
          <w:lang w:eastAsia="en-US"/>
        </w:rPr>
        <w:t>.</w:t>
      </w:r>
      <w:r w:rsidR="007C42EC">
        <w:rPr>
          <w:rFonts w:hint="eastAsia"/>
          <w:sz w:val="24"/>
          <w:szCs w:val="24"/>
        </w:rPr>
        <w:t>475</w:t>
      </w:r>
      <w:r w:rsidRPr="008D36D9">
        <w:rPr>
          <w:sz w:val="24"/>
          <w:szCs w:val="24"/>
          <w:lang w:eastAsia="en-US"/>
        </w:rPr>
        <w:t xml:space="preserve">), the interaction term between ownership structure and </w:t>
      </w:r>
      <w:r w:rsidR="002A775F">
        <w:rPr>
          <w:sz w:val="24"/>
          <w:szCs w:val="24"/>
          <w:lang w:eastAsia="en-US"/>
        </w:rPr>
        <w:t xml:space="preserve">number of independent </w:t>
      </w:r>
      <w:r w:rsidR="0011045F">
        <w:rPr>
          <w:sz w:val="24"/>
          <w:szCs w:val="24"/>
          <w:lang w:eastAsia="en-US"/>
        </w:rPr>
        <w:t>directors</w:t>
      </w:r>
      <w:r w:rsidRPr="008D36D9">
        <w:rPr>
          <w:sz w:val="24"/>
          <w:szCs w:val="24"/>
          <w:lang w:eastAsia="en-US"/>
        </w:rPr>
        <w:t xml:space="preserve"> has a coefficient of </w:t>
      </w:r>
      <w:r w:rsidR="007C42EC">
        <w:rPr>
          <w:rFonts w:hint="eastAsia"/>
          <w:sz w:val="24"/>
          <w:szCs w:val="24"/>
        </w:rPr>
        <w:t>0</w:t>
      </w:r>
      <w:r w:rsidRPr="008D36D9">
        <w:rPr>
          <w:sz w:val="24"/>
          <w:szCs w:val="24"/>
          <w:lang w:eastAsia="en-US"/>
        </w:rPr>
        <w:t>.</w:t>
      </w:r>
      <w:r w:rsidR="007C42EC">
        <w:rPr>
          <w:rFonts w:hint="eastAsia"/>
          <w:sz w:val="24"/>
          <w:szCs w:val="24"/>
        </w:rPr>
        <w:t>109</w:t>
      </w:r>
      <w:r w:rsidRPr="008D36D9">
        <w:rPr>
          <w:sz w:val="24"/>
          <w:szCs w:val="24"/>
          <w:lang w:eastAsia="en-US"/>
        </w:rPr>
        <w:t xml:space="preserve">, </w:t>
      </w:r>
      <w:r w:rsidR="0011045F">
        <w:rPr>
          <w:sz w:val="24"/>
          <w:szCs w:val="24"/>
          <w:lang w:eastAsia="en-US"/>
        </w:rPr>
        <w:t>but</w:t>
      </w:r>
      <w:r w:rsidRPr="008D36D9">
        <w:rPr>
          <w:sz w:val="24"/>
          <w:szCs w:val="24"/>
          <w:lang w:eastAsia="en-US"/>
        </w:rPr>
        <w:t xml:space="preserve"> not statistically significant (p = </w:t>
      </w:r>
      <w:r w:rsidR="007C42EC">
        <w:rPr>
          <w:rFonts w:hint="eastAsia"/>
          <w:sz w:val="24"/>
          <w:szCs w:val="24"/>
        </w:rPr>
        <w:t>0</w:t>
      </w:r>
      <w:r w:rsidRPr="008D36D9">
        <w:rPr>
          <w:sz w:val="24"/>
          <w:szCs w:val="24"/>
          <w:lang w:eastAsia="en-US"/>
        </w:rPr>
        <w:t>.</w:t>
      </w:r>
      <w:r w:rsidR="007C42EC">
        <w:rPr>
          <w:rFonts w:hint="eastAsia"/>
          <w:sz w:val="24"/>
          <w:szCs w:val="24"/>
        </w:rPr>
        <w:t>475</w:t>
      </w:r>
      <w:r w:rsidRPr="008D36D9">
        <w:rPr>
          <w:sz w:val="24"/>
          <w:szCs w:val="24"/>
          <w:lang w:eastAsia="en-US"/>
        </w:rPr>
        <w:t xml:space="preserve">). This suggests that the </w:t>
      </w:r>
      <w:r w:rsidR="007C42EC">
        <w:rPr>
          <w:rFonts w:hint="eastAsia"/>
          <w:sz w:val="24"/>
          <w:szCs w:val="24"/>
        </w:rPr>
        <w:t>number</w:t>
      </w:r>
      <w:r w:rsidRPr="008D36D9">
        <w:rPr>
          <w:sz w:val="24"/>
          <w:szCs w:val="24"/>
          <w:lang w:eastAsia="en-US"/>
        </w:rPr>
        <w:t xml:space="preserve"> of </w:t>
      </w:r>
      <w:r w:rsidR="007C42EC">
        <w:rPr>
          <w:rFonts w:hint="eastAsia"/>
          <w:sz w:val="24"/>
          <w:szCs w:val="24"/>
        </w:rPr>
        <w:t xml:space="preserve">independent </w:t>
      </w:r>
      <w:r w:rsidR="0011045F">
        <w:rPr>
          <w:sz w:val="24"/>
          <w:szCs w:val="24"/>
        </w:rPr>
        <w:t>directors</w:t>
      </w:r>
      <w:r w:rsidRPr="008D36D9">
        <w:rPr>
          <w:sz w:val="24"/>
          <w:szCs w:val="24"/>
          <w:lang w:eastAsia="en-US"/>
        </w:rPr>
        <w:t xml:space="preserve"> does not significantly moderate the relationship between ownership structure and CSR disclosure.</w:t>
      </w:r>
      <w:r w:rsidR="00545E72">
        <w:rPr>
          <w:rFonts w:hint="eastAsia"/>
          <w:sz w:val="24"/>
          <w:szCs w:val="24"/>
        </w:rPr>
        <w:t xml:space="preserve"> (</w:t>
      </w:r>
      <w:r w:rsidR="00695A40">
        <w:rPr>
          <w:rFonts w:hint="eastAsia"/>
          <w:sz w:val="24"/>
          <w:szCs w:val="24"/>
        </w:rPr>
        <w:t>s</w:t>
      </w:r>
      <w:r w:rsidR="00545E72">
        <w:rPr>
          <w:rFonts w:hint="eastAsia"/>
          <w:sz w:val="24"/>
          <w:szCs w:val="24"/>
        </w:rPr>
        <w:t>ee Figure 1</w:t>
      </w:r>
      <w:r w:rsidR="00695A40">
        <w:rPr>
          <w:rFonts w:hint="eastAsia"/>
          <w:sz w:val="24"/>
          <w:szCs w:val="24"/>
        </w:rPr>
        <w:t>6</w:t>
      </w:r>
      <w:r w:rsidR="00545E72">
        <w:rPr>
          <w:rFonts w:hint="eastAsia"/>
          <w:sz w:val="24"/>
          <w:szCs w:val="24"/>
        </w:rPr>
        <w:t>)</w:t>
      </w:r>
    </w:p>
    <w:p w14:paraId="32FB8D23" w14:textId="77777777" w:rsidR="00545E72" w:rsidRPr="008D36D9" w:rsidRDefault="00545E72" w:rsidP="00710405">
      <w:pPr>
        <w:spacing w:line="360" w:lineRule="auto"/>
        <w:jc w:val="both"/>
        <w:rPr>
          <w:rFonts w:hint="eastAsia"/>
          <w:sz w:val="24"/>
          <w:szCs w:val="24"/>
        </w:rPr>
      </w:pPr>
    </w:p>
    <w:p w14:paraId="5ABB44A1" w14:textId="2BDB4F80" w:rsidR="009F2CF6" w:rsidRDefault="00545E72" w:rsidP="00695A40">
      <w:pPr>
        <w:jc w:val="center"/>
        <w:rPr>
          <w:i/>
          <w:iCs/>
        </w:rPr>
      </w:pPr>
      <w:r w:rsidRPr="00545E72">
        <w:rPr>
          <w:rFonts w:hint="eastAsia"/>
          <w:i/>
          <w:iCs/>
        </w:rPr>
        <w:t>Figure 1</w:t>
      </w:r>
      <w:r w:rsidR="00695A40">
        <w:rPr>
          <w:rFonts w:hint="eastAsia"/>
          <w:i/>
          <w:iCs/>
        </w:rPr>
        <w:t>6</w:t>
      </w:r>
    </w:p>
    <w:p w14:paraId="5C535F82" w14:textId="77777777" w:rsidR="00695A40" w:rsidRPr="00695A40" w:rsidRDefault="00695A40" w:rsidP="00695A40">
      <w:pPr>
        <w:jc w:val="center"/>
        <w:rPr>
          <w:i/>
          <w:iCs/>
        </w:rPr>
      </w:pPr>
    </w:p>
    <w:p w14:paraId="12ECB25D" w14:textId="604CAB7A" w:rsidR="00BA6056" w:rsidRDefault="009F2CF6" w:rsidP="00BB55ED">
      <w:pPr>
        <w:rPr>
          <w:lang w:eastAsia="en-US"/>
        </w:rPr>
      </w:pPr>
      <w:r>
        <w:rPr>
          <w:noProof/>
          <w:lang w:eastAsia="en-US"/>
        </w:rPr>
        <w:drawing>
          <wp:inline distT="0" distB="0" distL="0" distR="0" wp14:anchorId="316D20D5" wp14:editId="5963AF65">
            <wp:extent cx="5953125" cy="2143125"/>
            <wp:effectExtent l="0" t="0" r="9525" b="9525"/>
            <wp:docPr id="4990392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3125" cy="2143125"/>
                    </a:xfrm>
                    <a:prstGeom prst="rect">
                      <a:avLst/>
                    </a:prstGeom>
                    <a:noFill/>
                  </pic:spPr>
                </pic:pic>
              </a:graphicData>
            </a:graphic>
          </wp:inline>
        </w:drawing>
      </w:r>
    </w:p>
    <w:p w14:paraId="4FDC04A9" w14:textId="77777777" w:rsidR="00BA6056" w:rsidRDefault="00BA6056" w:rsidP="00BB55ED">
      <w:pPr>
        <w:rPr>
          <w:lang w:eastAsia="en-US"/>
        </w:rPr>
      </w:pPr>
    </w:p>
    <w:p w14:paraId="58508B21" w14:textId="77777777" w:rsidR="0086515C" w:rsidRDefault="0086515C" w:rsidP="00BB55ED">
      <w:pPr>
        <w:rPr>
          <w:lang w:eastAsia="en-US"/>
        </w:rPr>
      </w:pPr>
    </w:p>
    <w:p w14:paraId="69F6053F" w14:textId="77777777" w:rsidR="00E85BC9" w:rsidRDefault="00E85BC9" w:rsidP="00BB55ED">
      <w:pPr>
        <w:rPr>
          <w:lang w:eastAsia="en-US"/>
        </w:rPr>
      </w:pPr>
    </w:p>
    <w:p w14:paraId="5A954A71" w14:textId="77777777" w:rsidR="004E695C" w:rsidRDefault="004E695C" w:rsidP="00BB55ED">
      <w:pPr>
        <w:rPr>
          <w:lang w:eastAsia="en-US"/>
        </w:rPr>
      </w:pPr>
    </w:p>
    <w:p w14:paraId="700DA187" w14:textId="77777777" w:rsidR="004E695C" w:rsidRDefault="004E695C" w:rsidP="00BB55ED">
      <w:pPr>
        <w:rPr>
          <w:lang w:eastAsia="en-US"/>
        </w:rPr>
      </w:pPr>
    </w:p>
    <w:p w14:paraId="0E0DDF8D" w14:textId="77777777" w:rsidR="004E695C" w:rsidRDefault="004E695C" w:rsidP="00BB55ED">
      <w:pPr>
        <w:rPr>
          <w:lang w:eastAsia="en-US"/>
        </w:rPr>
      </w:pPr>
    </w:p>
    <w:p w14:paraId="24E38F05" w14:textId="77777777" w:rsidR="004E695C" w:rsidRDefault="004E695C" w:rsidP="00BB55ED">
      <w:pPr>
        <w:rPr>
          <w:lang w:eastAsia="en-US"/>
        </w:rPr>
      </w:pPr>
    </w:p>
    <w:p w14:paraId="170BB442" w14:textId="77777777" w:rsidR="004E695C" w:rsidRDefault="004E695C" w:rsidP="00BB55ED">
      <w:pPr>
        <w:rPr>
          <w:lang w:eastAsia="en-US"/>
        </w:rPr>
      </w:pPr>
    </w:p>
    <w:p w14:paraId="539DD0A6" w14:textId="77777777" w:rsidR="004E695C" w:rsidRDefault="004E695C" w:rsidP="00BB55ED">
      <w:pPr>
        <w:rPr>
          <w:lang w:eastAsia="en-US"/>
        </w:rPr>
      </w:pPr>
    </w:p>
    <w:p w14:paraId="6DA13F2B" w14:textId="77777777" w:rsidR="004E695C" w:rsidRDefault="004E695C" w:rsidP="00BB55ED">
      <w:pPr>
        <w:rPr>
          <w:lang w:eastAsia="en-US"/>
        </w:rPr>
      </w:pPr>
    </w:p>
    <w:p w14:paraId="70FDF867" w14:textId="77777777" w:rsidR="004E695C" w:rsidRDefault="004E695C" w:rsidP="00BB55ED">
      <w:pPr>
        <w:rPr>
          <w:lang w:eastAsia="en-US"/>
        </w:rPr>
      </w:pPr>
    </w:p>
    <w:p w14:paraId="6C36534C" w14:textId="77777777" w:rsidR="004E695C" w:rsidRDefault="004E695C" w:rsidP="00BB55ED">
      <w:pPr>
        <w:rPr>
          <w:lang w:eastAsia="en-US"/>
        </w:rPr>
      </w:pPr>
    </w:p>
    <w:p w14:paraId="0E665962" w14:textId="77777777" w:rsidR="004E695C" w:rsidRDefault="004E695C" w:rsidP="00BB55ED">
      <w:pPr>
        <w:rPr>
          <w:lang w:eastAsia="en-US"/>
        </w:rPr>
      </w:pPr>
    </w:p>
    <w:p w14:paraId="2E720348" w14:textId="77777777" w:rsidR="00E85BC9" w:rsidRDefault="00E85BC9" w:rsidP="00BB55ED">
      <w:pPr>
        <w:rPr>
          <w:lang w:eastAsia="en-US"/>
        </w:rPr>
      </w:pPr>
    </w:p>
    <w:p w14:paraId="17F8D604" w14:textId="77777777" w:rsidR="00411808" w:rsidRDefault="00411808" w:rsidP="004E695C">
      <w:pPr>
        <w:spacing w:line="360" w:lineRule="auto"/>
        <w:jc w:val="both"/>
        <w:rPr>
          <w:lang w:eastAsia="en-US"/>
        </w:rPr>
      </w:pPr>
    </w:p>
    <w:p w14:paraId="186A0204" w14:textId="7B94D694" w:rsidR="005A6910" w:rsidRPr="004E695C" w:rsidRDefault="00383397" w:rsidP="004E695C">
      <w:pPr>
        <w:spacing w:line="360" w:lineRule="auto"/>
        <w:jc w:val="both"/>
        <w:rPr>
          <w:sz w:val="24"/>
          <w:szCs w:val="24"/>
        </w:rPr>
      </w:pPr>
      <w:r w:rsidRPr="007C57B3">
        <w:rPr>
          <w:b/>
          <w:bCs/>
          <w:i/>
          <w:iCs/>
          <w:sz w:val="24"/>
          <w:szCs w:val="24"/>
        </w:rPr>
        <w:t>Result</w:t>
      </w:r>
    </w:p>
    <w:p w14:paraId="6D2237FB" w14:textId="1C1A381A" w:rsidR="00DC460B" w:rsidRPr="00DC460B" w:rsidRDefault="004E695C" w:rsidP="00DC460B">
      <w:pPr>
        <w:spacing w:line="360" w:lineRule="auto"/>
        <w:jc w:val="both"/>
        <w:rPr>
          <w:sz w:val="24"/>
          <w:szCs w:val="24"/>
        </w:rPr>
      </w:pPr>
      <w:r w:rsidRPr="00DC460B">
        <w:rPr>
          <w:sz w:val="24"/>
          <w:szCs w:val="24"/>
          <w:lang w:eastAsia="en-US"/>
        </w:rPr>
        <w:t>Regarding Hypothesis H1, the above results show that in the correlation analysis, weak positive correlations were observed between Ownership</w:t>
      </w:r>
      <w:r w:rsidR="00435D64" w:rsidRPr="00DC460B">
        <w:rPr>
          <w:rFonts w:hint="eastAsia"/>
          <w:sz w:val="24"/>
          <w:szCs w:val="24"/>
        </w:rPr>
        <w:t xml:space="preserve"> </w:t>
      </w:r>
      <w:r w:rsidRPr="00DC460B">
        <w:rPr>
          <w:sz w:val="24"/>
          <w:szCs w:val="24"/>
          <w:lang w:eastAsia="en-US"/>
        </w:rPr>
        <w:t>and CSR disclosure (0.</w:t>
      </w:r>
      <w:r w:rsidR="00366919" w:rsidRPr="00DC460B">
        <w:rPr>
          <w:rFonts w:hint="eastAsia"/>
          <w:sz w:val="24"/>
          <w:szCs w:val="24"/>
        </w:rPr>
        <w:t>220</w:t>
      </w:r>
      <w:r w:rsidRPr="00DC460B">
        <w:rPr>
          <w:sz w:val="24"/>
          <w:szCs w:val="24"/>
          <w:lang w:eastAsia="en-US"/>
        </w:rPr>
        <w:t>),</w:t>
      </w:r>
      <w:r w:rsidR="00366919" w:rsidRPr="00DC460B">
        <w:rPr>
          <w:rFonts w:hint="eastAsia"/>
          <w:sz w:val="24"/>
          <w:szCs w:val="24"/>
        </w:rPr>
        <w:t xml:space="preserve"> with </w:t>
      </w:r>
      <w:r w:rsidRPr="00DC460B">
        <w:rPr>
          <w:sz w:val="24"/>
          <w:szCs w:val="24"/>
          <w:lang w:eastAsia="en-US"/>
        </w:rPr>
        <w:t>statistical significan</w:t>
      </w:r>
      <w:r w:rsidR="00366919" w:rsidRPr="00DC460B">
        <w:rPr>
          <w:rFonts w:hint="eastAsia"/>
          <w:sz w:val="24"/>
          <w:szCs w:val="24"/>
        </w:rPr>
        <w:t>ce of 0.027</w:t>
      </w:r>
      <w:r w:rsidRPr="00DC460B">
        <w:rPr>
          <w:sz w:val="24"/>
          <w:szCs w:val="24"/>
          <w:lang w:eastAsia="en-US"/>
        </w:rPr>
        <w:t>.</w:t>
      </w:r>
    </w:p>
    <w:p w14:paraId="09951E06" w14:textId="77777777" w:rsidR="008A23FB" w:rsidRDefault="004E695C" w:rsidP="008A23FB">
      <w:pPr>
        <w:spacing w:line="360" w:lineRule="auto"/>
        <w:jc w:val="both"/>
        <w:rPr>
          <w:sz w:val="24"/>
          <w:szCs w:val="24"/>
        </w:rPr>
      </w:pPr>
      <w:r w:rsidRPr="008A23FB">
        <w:rPr>
          <w:sz w:val="24"/>
          <w:szCs w:val="24"/>
          <w:lang w:eastAsia="en-US"/>
        </w:rPr>
        <w:t xml:space="preserve">In the causality analysis, </w:t>
      </w:r>
      <w:r w:rsidR="00F73FDA" w:rsidRPr="008A23FB">
        <w:rPr>
          <w:rFonts w:hint="eastAsia"/>
          <w:sz w:val="24"/>
          <w:szCs w:val="24"/>
        </w:rPr>
        <w:t>i</w:t>
      </w:r>
      <w:r w:rsidR="0054153D" w:rsidRPr="008A23FB">
        <w:rPr>
          <w:sz w:val="24"/>
          <w:szCs w:val="24"/>
          <w:lang w:eastAsia="en-US"/>
        </w:rPr>
        <w:t xml:space="preserve">nitially, a comprehensive model was developed with independent variables </w:t>
      </w:r>
      <w:r w:rsidR="00237D06" w:rsidRPr="008A23FB">
        <w:rPr>
          <w:rFonts w:hint="eastAsia"/>
          <w:sz w:val="24"/>
          <w:szCs w:val="24"/>
        </w:rPr>
        <w:t xml:space="preserve">- </w:t>
      </w:r>
      <w:r w:rsidR="0054153D" w:rsidRPr="008A23FB">
        <w:rPr>
          <w:sz w:val="24"/>
          <w:szCs w:val="24"/>
          <w:lang w:eastAsia="en-US"/>
        </w:rPr>
        <w:t xml:space="preserve">including ownership structure, </w:t>
      </w:r>
      <w:r w:rsidR="00237D06" w:rsidRPr="008A23FB">
        <w:rPr>
          <w:rFonts w:hint="eastAsia"/>
          <w:sz w:val="24"/>
          <w:szCs w:val="24"/>
        </w:rPr>
        <w:t xml:space="preserve">country, </w:t>
      </w:r>
      <w:r w:rsidR="0054153D" w:rsidRPr="008A23FB">
        <w:rPr>
          <w:sz w:val="24"/>
          <w:szCs w:val="24"/>
          <w:lang w:eastAsia="en-US"/>
        </w:rPr>
        <w:t>age of the firm, ROA, number of independent directors, and type of industry, and the dependent variable being CSR disclosure. This model did not yield statistically significant</w:t>
      </w:r>
      <w:r w:rsidR="007710B2" w:rsidRPr="008A23FB">
        <w:rPr>
          <w:rFonts w:hint="eastAsia"/>
          <w:sz w:val="24"/>
          <w:szCs w:val="24"/>
        </w:rPr>
        <w:t xml:space="preserve"> </w:t>
      </w:r>
      <w:r w:rsidR="00F73FDA" w:rsidRPr="008A23FB">
        <w:rPr>
          <w:rFonts w:hint="eastAsia"/>
          <w:sz w:val="24"/>
          <w:szCs w:val="24"/>
        </w:rPr>
        <w:t>(p = 0.2333)</w:t>
      </w:r>
      <w:r w:rsidR="0054153D" w:rsidRPr="008A23FB">
        <w:rPr>
          <w:sz w:val="24"/>
          <w:szCs w:val="24"/>
          <w:lang w:eastAsia="en-US"/>
        </w:rPr>
        <w:t>. However, a refined model</w:t>
      </w:r>
      <w:r w:rsidR="00237D06" w:rsidRPr="008A23FB">
        <w:rPr>
          <w:rFonts w:hint="eastAsia"/>
          <w:sz w:val="24"/>
          <w:szCs w:val="24"/>
        </w:rPr>
        <w:t xml:space="preserve"> - </w:t>
      </w:r>
      <w:r w:rsidR="0054153D" w:rsidRPr="008A23FB">
        <w:rPr>
          <w:sz w:val="24"/>
          <w:szCs w:val="24"/>
          <w:lang w:eastAsia="en-US"/>
        </w:rPr>
        <w:t xml:space="preserve">reducing the independent variables to ownership structure, ROA, number of independent directors, and type of industry, did show statistical significance for ownership </w:t>
      </w:r>
      <w:r w:rsidR="00252E3D" w:rsidRPr="008A23FB">
        <w:rPr>
          <w:rFonts w:hint="eastAsia"/>
          <w:sz w:val="24"/>
          <w:szCs w:val="24"/>
        </w:rPr>
        <w:t>structure (p = 0.048)</w:t>
      </w:r>
      <w:r w:rsidR="00EA6D30" w:rsidRPr="008A23FB">
        <w:rPr>
          <w:rFonts w:hint="eastAsia"/>
          <w:sz w:val="24"/>
          <w:szCs w:val="24"/>
        </w:rPr>
        <w:t xml:space="preserve">, with </w:t>
      </w:r>
      <w:r w:rsidR="00EA6D30" w:rsidRPr="008A23FB">
        <w:rPr>
          <w:sz w:val="24"/>
          <w:szCs w:val="24"/>
        </w:rPr>
        <w:t xml:space="preserve">the unstandardized coefficient B </w:t>
      </w:r>
      <w:r w:rsidR="00EA6D30" w:rsidRPr="008A23FB">
        <w:rPr>
          <w:rFonts w:hint="eastAsia"/>
          <w:sz w:val="24"/>
          <w:szCs w:val="24"/>
        </w:rPr>
        <w:t>being</w:t>
      </w:r>
      <w:r w:rsidR="00EA6D30" w:rsidRPr="008A23FB">
        <w:rPr>
          <w:sz w:val="24"/>
          <w:szCs w:val="24"/>
        </w:rPr>
        <w:t xml:space="preserve"> 0.637, indicating that a one-unit change in ownership increases the CSR disclosure score by an average of 0.637 points.</w:t>
      </w:r>
    </w:p>
    <w:p w14:paraId="0848F833" w14:textId="6A90BCE3" w:rsidR="00012685" w:rsidRPr="008A23FB" w:rsidRDefault="00012685" w:rsidP="008A23FB">
      <w:pPr>
        <w:spacing w:line="360" w:lineRule="auto"/>
        <w:jc w:val="both"/>
        <w:rPr>
          <w:rFonts w:hint="eastAsia"/>
          <w:sz w:val="24"/>
          <w:szCs w:val="24"/>
        </w:rPr>
      </w:pPr>
      <w:r w:rsidRPr="008A23FB">
        <w:rPr>
          <w:sz w:val="24"/>
          <w:szCs w:val="24"/>
          <w:lang w:eastAsia="en-US"/>
        </w:rPr>
        <w:t xml:space="preserve">The lack of significance in the </w:t>
      </w:r>
      <w:r w:rsidRPr="008A23FB">
        <w:rPr>
          <w:rFonts w:hint="eastAsia"/>
          <w:sz w:val="24"/>
          <w:szCs w:val="24"/>
        </w:rPr>
        <w:t xml:space="preserve">initial </w:t>
      </w:r>
      <w:r w:rsidRPr="008A23FB">
        <w:rPr>
          <w:sz w:val="24"/>
          <w:szCs w:val="24"/>
          <w:lang w:eastAsia="en-US"/>
        </w:rPr>
        <w:t xml:space="preserve">comprehensive model suggests that when a broader range of variables is considered, the individual impact of ownership structure on CSR disclosure may be obscured by other factors. However, upon reducing the number of variables, the positive relationship between state ownership and CSR disclosure becomes evident. This indicates that state ownership does indeed play a significant role in CSR disclosure, but its effect is more </w:t>
      </w:r>
      <w:r w:rsidR="00650D24" w:rsidRPr="008A23FB">
        <w:rPr>
          <w:rFonts w:hint="eastAsia"/>
          <w:sz w:val="24"/>
          <w:szCs w:val="24"/>
        </w:rPr>
        <w:t xml:space="preserve">distinct </w:t>
      </w:r>
      <w:r w:rsidRPr="008A23FB">
        <w:rPr>
          <w:sz w:val="24"/>
          <w:szCs w:val="24"/>
          <w:lang w:eastAsia="en-US"/>
        </w:rPr>
        <w:t>when fewer variables are included in the model.</w:t>
      </w:r>
      <w:r w:rsidR="004A5CA5">
        <w:rPr>
          <w:rFonts w:hint="eastAsia"/>
          <w:sz w:val="24"/>
          <w:szCs w:val="24"/>
        </w:rPr>
        <w:t xml:space="preserve"> </w:t>
      </w:r>
      <w:r w:rsidR="008D2D09">
        <w:rPr>
          <w:sz w:val="24"/>
          <w:szCs w:val="24"/>
        </w:rPr>
        <w:t>Thus,</w:t>
      </w:r>
      <w:r w:rsidR="0002347E">
        <w:rPr>
          <w:rFonts w:hint="eastAsia"/>
          <w:sz w:val="24"/>
          <w:szCs w:val="24"/>
        </w:rPr>
        <w:t xml:space="preserve"> Hypothesis H1, stating that </w:t>
      </w:r>
      <w:r w:rsidR="00DD0ACA" w:rsidRPr="00B05BA7">
        <w:rPr>
          <w:i/>
          <w:iCs/>
          <w:sz w:val="24"/>
          <w:szCs w:val="24"/>
        </w:rPr>
        <w:t>State ownership of enterprises is positively related to their CSR disclosure</w:t>
      </w:r>
      <w:r w:rsidR="00B05BA7">
        <w:rPr>
          <w:rFonts w:hint="eastAsia"/>
          <w:sz w:val="24"/>
          <w:szCs w:val="24"/>
        </w:rPr>
        <w:t xml:space="preserve">, is </w:t>
      </w:r>
      <w:r w:rsidR="00B05BA7">
        <w:rPr>
          <w:sz w:val="24"/>
          <w:szCs w:val="24"/>
        </w:rPr>
        <w:t>confirmed</w:t>
      </w:r>
      <w:r w:rsidR="00B05BA7">
        <w:rPr>
          <w:rFonts w:hint="eastAsia"/>
          <w:sz w:val="24"/>
          <w:szCs w:val="24"/>
        </w:rPr>
        <w:t xml:space="preserve">. </w:t>
      </w:r>
    </w:p>
    <w:p w14:paraId="0E32EB23" w14:textId="78454493" w:rsidR="00383397" w:rsidRDefault="004E695C" w:rsidP="008A23FB">
      <w:pPr>
        <w:spacing w:line="360" w:lineRule="auto"/>
        <w:jc w:val="both"/>
        <w:rPr>
          <w:lang w:eastAsia="en-US"/>
        </w:rPr>
      </w:pPr>
      <w:r w:rsidRPr="008A23FB">
        <w:rPr>
          <w:sz w:val="24"/>
          <w:szCs w:val="24"/>
          <w:lang w:eastAsia="en-US"/>
        </w:rPr>
        <w:t>For Hypotheses H2 and H3, the coefficients were not statistically significant</w:t>
      </w:r>
      <w:r w:rsidR="008A23FB" w:rsidRPr="008A23FB">
        <w:rPr>
          <w:rFonts w:hint="eastAsia"/>
          <w:sz w:val="24"/>
          <w:szCs w:val="24"/>
        </w:rPr>
        <w:t xml:space="preserve"> in moderation analysis</w:t>
      </w:r>
      <w:r w:rsidRPr="008A23FB">
        <w:rPr>
          <w:sz w:val="24"/>
          <w:szCs w:val="24"/>
          <w:lang w:eastAsia="en-US"/>
        </w:rPr>
        <w:t>. Therefore, the null hypotheses for H2, stating</w:t>
      </w:r>
      <w:r w:rsidRPr="0002347E">
        <w:rPr>
          <w:sz w:val="24"/>
          <w:szCs w:val="24"/>
          <w:lang w:eastAsia="en-US"/>
        </w:rPr>
        <w:t xml:space="preserve"> that</w:t>
      </w:r>
      <w:r w:rsidRPr="008A23FB">
        <w:rPr>
          <w:i/>
          <w:iCs/>
          <w:sz w:val="24"/>
          <w:szCs w:val="24"/>
          <w:lang w:eastAsia="en-US"/>
        </w:rPr>
        <w:t xml:space="preserve"> industry type positively moderates the relationship between SOE and CSR disclosure in resource-intensive industries</w:t>
      </w:r>
      <w:r w:rsidRPr="008A23FB">
        <w:rPr>
          <w:sz w:val="24"/>
          <w:szCs w:val="24"/>
          <w:lang w:eastAsia="en-US"/>
        </w:rPr>
        <w:t xml:space="preserve">, and H3, stating </w:t>
      </w:r>
      <w:r w:rsidRPr="0002347E">
        <w:rPr>
          <w:sz w:val="24"/>
          <w:szCs w:val="24"/>
          <w:lang w:eastAsia="en-US"/>
        </w:rPr>
        <w:t>that</w:t>
      </w:r>
      <w:r w:rsidRPr="008A23FB">
        <w:rPr>
          <w:i/>
          <w:iCs/>
          <w:sz w:val="24"/>
          <w:szCs w:val="24"/>
          <w:lang w:eastAsia="en-US"/>
        </w:rPr>
        <w:t xml:space="preserve"> the number of independent directors positively moderates the relationship between SOE and CSR disclosure in companies with a high number of independent directors</w:t>
      </w:r>
      <w:r w:rsidRPr="008A23FB">
        <w:rPr>
          <w:sz w:val="24"/>
          <w:szCs w:val="24"/>
          <w:lang w:eastAsia="en-US"/>
        </w:rPr>
        <w:t>, are also rejected.</w:t>
      </w:r>
      <w:r w:rsidR="008F3D1E" w:rsidRPr="008A23FB">
        <w:rPr>
          <w:sz w:val="24"/>
          <w:szCs w:val="24"/>
          <w:lang w:eastAsia="en-US"/>
        </w:rPr>
        <w:br/>
      </w:r>
      <w:r w:rsidR="008F3D1E">
        <w:rPr>
          <w:lang w:eastAsia="en-US"/>
        </w:rPr>
        <w:br/>
      </w:r>
      <w:r w:rsidR="008F3D1E">
        <w:rPr>
          <w:lang w:eastAsia="en-US"/>
        </w:rPr>
        <w:br/>
      </w:r>
    </w:p>
    <w:p w14:paraId="10A48B8D" w14:textId="77777777" w:rsidR="00991179" w:rsidRDefault="00991179" w:rsidP="00BB55ED">
      <w:pPr>
        <w:rPr>
          <w:lang w:eastAsia="en-US"/>
        </w:rPr>
      </w:pPr>
    </w:p>
    <w:p w14:paraId="3F54ADB2" w14:textId="77777777" w:rsidR="00991179" w:rsidRDefault="00991179" w:rsidP="00BB55ED">
      <w:pPr>
        <w:rPr>
          <w:lang w:eastAsia="en-US"/>
        </w:rPr>
      </w:pPr>
    </w:p>
    <w:p w14:paraId="7D398803" w14:textId="77777777" w:rsidR="00991179" w:rsidRDefault="00991179" w:rsidP="00BB55ED">
      <w:pPr>
        <w:rPr>
          <w:lang w:eastAsia="en-US"/>
        </w:rPr>
      </w:pPr>
    </w:p>
    <w:p w14:paraId="514D1064" w14:textId="77777777" w:rsidR="00A73DD7" w:rsidRDefault="00A73DD7" w:rsidP="00BB55ED">
      <w:pPr>
        <w:rPr>
          <w:lang w:eastAsia="en-US"/>
        </w:rPr>
      </w:pPr>
    </w:p>
    <w:p w14:paraId="41A10D89" w14:textId="7A957794" w:rsidR="004246BE" w:rsidRPr="00864C5B" w:rsidRDefault="004246BE" w:rsidP="00BB55ED">
      <w:pPr>
        <w:rPr>
          <w:b/>
          <w:bCs/>
          <w:i/>
          <w:iCs/>
          <w:lang w:eastAsia="en-US"/>
        </w:rPr>
      </w:pPr>
      <w:r w:rsidRPr="00864C5B">
        <w:rPr>
          <w:b/>
          <w:bCs/>
          <w:i/>
          <w:iCs/>
          <w:lang w:eastAsia="en-US"/>
        </w:rPr>
        <w:t>China</w:t>
      </w:r>
    </w:p>
    <w:p w14:paraId="5C2932BA" w14:textId="77777777" w:rsidR="00864C5B" w:rsidRDefault="00864C5B" w:rsidP="00FC2F59">
      <w:pPr>
        <w:jc w:val="both"/>
        <w:rPr>
          <w:sz w:val="24"/>
          <w:szCs w:val="24"/>
        </w:rPr>
      </w:pPr>
    </w:p>
    <w:p w14:paraId="3CB759A0" w14:textId="3866D572" w:rsidR="00864C5B" w:rsidRPr="00D72364" w:rsidRDefault="005E64B3" w:rsidP="00D2322F">
      <w:pPr>
        <w:spacing w:line="360" w:lineRule="auto"/>
        <w:jc w:val="both"/>
        <w:rPr>
          <w:sz w:val="24"/>
          <w:szCs w:val="24"/>
        </w:rPr>
      </w:pPr>
      <w:r w:rsidRPr="005E64B3">
        <w:rPr>
          <w:sz w:val="24"/>
          <w:szCs w:val="24"/>
        </w:rPr>
        <w:t>As a supplementary analysis,</w:t>
      </w:r>
      <w:r>
        <w:rPr>
          <w:rFonts w:hint="eastAsia"/>
          <w:sz w:val="24"/>
          <w:szCs w:val="24"/>
        </w:rPr>
        <w:t xml:space="preserve"> data </w:t>
      </w:r>
      <w:r w:rsidR="00FC2F59">
        <w:rPr>
          <w:rFonts w:hint="eastAsia"/>
          <w:sz w:val="24"/>
          <w:szCs w:val="24"/>
        </w:rPr>
        <w:t xml:space="preserve">of each country </w:t>
      </w:r>
      <w:r>
        <w:rPr>
          <w:rFonts w:hint="eastAsia"/>
          <w:sz w:val="24"/>
          <w:szCs w:val="24"/>
        </w:rPr>
        <w:t>is also analyzed</w:t>
      </w:r>
      <w:r w:rsidR="00FC2F59">
        <w:rPr>
          <w:rFonts w:hint="eastAsia"/>
          <w:sz w:val="24"/>
          <w:szCs w:val="24"/>
        </w:rPr>
        <w:t xml:space="preserve"> separately</w:t>
      </w:r>
      <w:r>
        <w:rPr>
          <w:rFonts w:hint="eastAsia"/>
          <w:sz w:val="24"/>
          <w:szCs w:val="24"/>
        </w:rPr>
        <w:t xml:space="preserve">. </w:t>
      </w:r>
      <w:r w:rsidR="00FC2F59">
        <w:rPr>
          <w:rFonts w:hint="eastAsia"/>
          <w:sz w:val="24"/>
          <w:szCs w:val="24"/>
        </w:rPr>
        <w:t>I</w:t>
      </w:r>
      <w:r w:rsidR="00864C5B" w:rsidRPr="00D72364">
        <w:rPr>
          <w:sz w:val="24"/>
          <w:szCs w:val="24"/>
        </w:rPr>
        <w:t xml:space="preserve">n this analysis, both correlation and causality </w:t>
      </w:r>
      <w:r w:rsidR="00FC2F59">
        <w:rPr>
          <w:rFonts w:hint="eastAsia"/>
          <w:sz w:val="24"/>
          <w:szCs w:val="24"/>
        </w:rPr>
        <w:t xml:space="preserve">are examined. </w:t>
      </w:r>
    </w:p>
    <w:p w14:paraId="1FE158EC" w14:textId="77777777" w:rsidR="00362EAC" w:rsidRDefault="00362EAC" w:rsidP="000A42F4"/>
    <w:p w14:paraId="3AE5DEB0" w14:textId="0E86D016" w:rsidR="0083743B" w:rsidRPr="00612C51" w:rsidRDefault="00612C51" w:rsidP="00612C51">
      <w:pPr>
        <w:spacing w:line="360" w:lineRule="auto"/>
        <w:jc w:val="both"/>
        <w:rPr>
          <w:b/>
          <w:bCs/>
          <w:i/>
          <w:iCs/>
          <w:sz w:val="24"/>
          <w:szCs w:val="24"/>
        </w:rPr>
      </w:pPr>
      <w:r w:rsidRPr="00B236CC">
        <w:rPr>
          <w:b/>
          <w:bCs/>
          <w:i/>
          <w:iCs/>
          <w:sz w:val="24"/>
          <w:szCs w:val="24"/>
        </w:rPr>
        <w:t>Descriptive Statistics</w:t>
      </w:r>
    </w:p>
    <w:p w14:paraId="0FBAE1B0" w14:textId="3EFAE9BD" w:rsidR="000A42F4" w:rsidRPr="00D72364" w:rsidRDefault="0038111A" w:rsidP="00832A94">
      <w:pPr>
        <w:spacing w:line="360" w:lineRule="auto"/>
        <w:jc w:val="both"/>
        <w:rPr>
          <w:sz w:val="24"/>
          <w:szCs w:val="24"/>
        </w:rPr>
      </w:pPr>
      <w:r w:rsidRPr="00D72364">
        <w:rPr>
          <w:sz w:val="24"/>
          <w:szCs w:val="24"/>
        </w:rPr>
        <w:t>In the CSR disclosure (SUM), the mean CSR disclosure score is 8.11, with a standard deviation of 1.210. This indicates that CSR disclosure scores of companies in this sample are moderately high, with relatively little variation from the mean score.</w:t>
      </w:r>
    </w:p>
    <w:p w14:paraId="02AB48ED" w14:textId="2AF77860" w:rsidR="00DC40AD" w:rsidRPr="00D72364" w:rsidRDefault="00720A51" w:rsidP="00832A94">
      <w:pPr>
        <w:spacing w:line="360" w:lineRule="auto"/>
        <w:jc w:val="both"/>
        <w:rPr>
          <w:sz w:val="24"/>
          <w:szCs w:val="24"/>
        </w:rPr>
      </w:pPr>
      <w:r>
        <w:rPr>
          <w:rFonts w:hint="eastAsia"/>
          <w:sz w:val="24"/>
          <w:szCs w:val="24"/>
        </w:rPr>
        <w:t>About</w:t>
      </w:r>
      <w:r w:rsidR="009D1C70" w:rsidRPr="00D72364">
        <w:rPr>
          <w:sz w:val="24"/>
          <w:szCs w:val="24"/>
        </w:rPr>
        <w:t xml:space="preserve"> ownership structure, the mean value for the coded ownership structure, with non-SOEs coded as </w:t>
      </w:r>
      <w:r w:rsidR="008A21B7">
        <w:rPr>
          <w:sz w:val="24"/>
          <w:szCs w:val="24"/>
        </w:rPr>
        <w:t>“</w:t>
      </w:r>
      <w:r w:rsidR="009D1C70" w:rsidRPr="00D72364">
        <w:rPr>
          <w:sz w:val="24"/>
          <w:szCs w:val="24"/>
        </w:rPr>
        <w:t>1</w:t>
      </w:r>
      <w:r w:rsidR="008A21B7">
        <w:rPr>
          <w:sz w:val="24"/>
          <w:szCs w:val="24"/>
        </w:rPr>
        <w:t>”</w:t>
      </w:r>
      <w:r w:rsidR="009D1C70" w:rsidRPr="00D72364">
        <w:rPr>
          <w:sz w:val="24"/>
          <w:szCs w:val="24"/>
        </w:rPr>
        <w:t xml:space="preserve"> and SOEs as</w:t>
      </w:r>
      <w:r w:rsidR="008A21B7">
        <w:rPr>
          <w:sz w:val="24"/>
          <w:szCs w:val="24"/>
        </w:rPr>
        <w:t xml:space="preserve"> “</w:t>
      </w:r>
      <w:r w:rsidR="009D1C70" w:rsidRPr="00D72364">
        <w:rPr>
          <w:sz w:val="24"/>
          <w:szCs w:val="24"/>
        </w:rPr>
        <w:t>2</w:t>
      </w:r>
      <w:r w:rsidR="008A21B7">
        <w:rPr>
          <w:sz w:val="24"/>
          <w:szCs w:val="24"/>
        </w:rPr>
        <w:t>”</w:t>
      </w:r>
      <w:r w:rsidR="009D1C70" w:rsidRPr="00D72364">
        <w:rPr>
          <w:sz w:val="24"/>
          <w:szCs w:val="24"/>
        </w:rPr>
        <w:t>, is 1.56, suggesting that non-SOEs are more common in this sample. The low standard deviation of 0.503 indicates limited variation in ownership structure within this group.</w:t>
      </w:r>
    </w:p>
    <w:p w14:paraId="12E9505C" w14:textId="239A687A" w:rsidR="00832A94" w:rsidRDefault="009D1C70" w:rsidP="00832A94">
      <w:pPr>
        <w:spacing w:line="360" w:lineRule="auto"/>
        <w:jc w:val="both"/>
        <w:rPr>
          <w:sz w:val="24"/>
          <w:szCs w:val="24"/>
        </w:rPr>
      </w:pPr>
      <w:r w:rsidRPr="00D72364">
        <w:rPr>
          <w:sz w:val="24"/>
          <w:szCs w:val="24"/>
        </w:rPr>
        <w:t>Regarding the age of firms, the mean number of years since establishment is 39.78, with a standard deviation of 25.584, indicating a wide range of company ages in the sample.</w:t>
      </w:r>
      <w:r w:rsidRPr="00D72364">
        <w:rPr>
          <w:sz w:val="24"/>
          <w:szCs w:val="24"/>
        </w:rPr>
        <w:br/>
      </w:r>
      <w:r w:rsidR="00720A51">
        <w:rPr>
          <w:rFonts w:hint="eastAsia"/>
          <w:sz w:val="24"/>
          <w:szCs w:val="24"/>
        </w:rPr>
        <w:t>In</w:t>
      </w:r>
      <w:r w:rsidR="00B343AF" w:rsidRPr="00D72364">
        <w:rPr>
          <w:sz w:val="24"/>
          <w:szCs w:val="24"/>
        </w:rPr>
        <w:t xml:space="preserve"> ROA, the mean asset profitability rate is 4.287%, with a standard deviation of 5.9383%, indicating a wide range of ROA values across the sample.</w:t>
      </w:r>
    </w:p>
    <w:p w14:paraId="100B439E" w14:textId="77777777" w:rsidR="00832A94" w:rsidRDefault="00B343AF" w:rsidP="00832A94">
      <w:pPr>
        <w:spacing w:line="360" w:lineRule="auto"/>
        <w:jc w:val="both"/>
        <w:rPr>
          <w:sz w:val="24"/>
          <w:szCs w:val="24"/>
        </w:rPr>
      </w:pPr>
      <w:r w:rsidRPr="00D72364">
        <w:rPr>
          <w:sz w:val="24"/>
          <w:szCs w:val="24"/>
        </w:rPr>
        <w:t xml:space="preserve">In terms of the number of independent directors, the mean value is 4.33, with a standard deviation of 1.108, suggesting </w:t>
      </w:r>
      <w:r w:rsidR="00575DA9">
        <w:rPr>
          <w:sz w:val="24"/>
          <w:szCs w:val="24"/>
        </w:rPr>
        <w:t xml:space="preserve">a </w:t>
      </w:r>
      <w:r w:rsidRPr="00D72364">
        <w:rPr>
          <w:sz w:val="24"/>
          <w:szCs w:val="24"/>
        </w:rPr>
        <w:t>relatively little variation.</w:t>
      </w:r>
    </w:p>
    <w:p w14:paraId="6D895F7D" w14:textId="527C6492" w:rsidR="00832A94" w:rsidRDefault="00720A51" w:rsidP="00832A94">
      <w:pPr>
        <w:spacing w:line="360" w:lineRule="auto"/>
        <w:jc w:val="both"/>
        <w:rPr>
          <w:sz w:val="24"/>
          <w:szCs w:val="24"/>
        </w:rPr>
      </w:pPr>
      <w:r>
        <w:rPr>
          <w:rFonts w:hint="eastAsia"/>
          <w:sz w:val="24"/>
          <w:szCs w:val="24"/>
        </w:rPr>
        <w:t>Regarding</w:t>
      </w:r>
      <w:r w:rsidR="00B343AF" w:rsidRPr="00D72364">
        <w:rPr>
          <w:sz w:val="24"/>
          <w:szCs w:val="24"/>
        </w:rPr>
        <w:t xml:space="preserve"> the type of industry, where CSR-sensitive sectors are coded as </w:t>
      </w:r>
      <w:r w:rsidR="0083743B">
        <w:rPr>
          <w:sz w:val="24"/>
          <w:szCs w:val="24"/>
        </w:rPr>
        <w:t>“</w:t>
      </w:r>
      <w:r w:rsidR="00B343AF" w:rsidRPr="00D72364">
        <w:rPr>
          <w:sz w:val="24"/>
          <w:szCs w:val="24"/>
        </w:rPr>
        <w:t>1</w:t>
      </w:r>
      <w:r w:rsidR="0083743B">
        <w:rPr>
          <w:sz w:val="24"/>
          <w:szCs w:val="24"/>
        </w:rPr>
        <w:t>”</w:t>
      </w:r>
      <w:r w:rsidR="00B343AF" w:rsidRPr="00D72364">
        <w:rPr>
          <w:sz w:val="24"/>
          <w:szCs w:val="24"/>
        </w:rPr>
        <w:t xml:space="preserve"> and non-sensitive sectors as </w:t>
      </w:r>
      <w:r w:rsidR="0083743B">
        <w:rPr>
          <w:sz w:val="24"/>
          <w:szCs w:val="24"/>
        </w:rPr>
        <w:t>“</w:t>
      </w:r>
      <w:r w:rsidR="00B343AF" w:rsidRPr="00D72364">
        <w:rPr>
          <w:sz w:val="24"/>
          <w:szCs w:val="24"/>
        </w:rPr>
        <w:t>0</w:t>
      </w:r>
      <w:r w:rsidR="0083743B">
        <w:rPr>
          <w:sz w:val="24"/>
          <w:szCs w:val="24"/>
        </w:rPr>
        <w:t>”</w:t>
      </w:r>
      <w:r w:rsidR="00B343AF" w:rsidRPr="00D72364">
        <w:rPr>
          <w:sz w:val="24"/>
          <w:szCs w:val="24"/>
        </w:rPr>
        <w:t xml:space="preserve">, the mean value is </w:t>
      </w:r>
      <w:r w:rsidR="0083743B">
        <w:rPr>
          <w:sz w:val="24"/>
          <w:szCs w:val="24"/>
        </w:rPr>
        <w:t>0</w:t>
      </w:r>
      <w:r w:rsidR="00B343AF" w:rsidRPr="00D72364">
        <w:rPr>
          <w:sz w:val="24"/>
          <w:szCs w:val="24"/>
        </w:rPr>
        <w:t xml:space="preserve">.31, indicating that </w:t>
      </w:r>
      <w:proofErr w:type="gramStart"/>
      <w:r w:rsidR="00B343AF" w:rsidRPr="00D72364">
        <w:rPr>
          <w:sz w:val="24"/>
          <w:szCs w:val="24"/>
        </w:rPr>
        <w:t>the majority of</w:t>
      </w:r>
      <w:proofErr w:type="gramEnd"/>
      <w:r w:rsidR="00B343AF" w:rsidRPr="00D72364">
        <w:rPr>
          <w:sz w:val="24"/>
          <w:szCs w:val="24"/>
        </w:rPr>
        <w:t xml:space="preserve"> companies in this sample belong to non-sensitive sectors regarding CSR. (</w:t>
      </w:r>
      <w:r w:rsidR="00695A40">
        <w:rPr>
          <w:rFonts w:hint="eastAsia"/>
          <w:sz w:val="24"/>
          <w:szCs w:val="24"/>
        </w:rPr>
        <w:t>s</w:t>
      </w:r>
      <w:r w:rsidR="00B343AF" w:rsidRPr="00D72364">
        <w:rPr>
          <w:sz w:val="24"/>
          <w:szCs w:val="24"/>
        </w:rPr>
        <w:t xml:space="preserve">ee Figure </w:t>
      </w:r>
      <w:r w:rsidR="00411808">
        <w:rPr>
          <w:rFonts w:hint="eastAsia"/>
          <w:sz w:val="24"/>
          <w:szCs w:val="24"/>
        </w:rPr>
        <w:t>1</w:t>
      </w:r>
      <w:r w:rsidR="00695A40">
        <w:rPr>
          <w:rFonts w:hint="eastAsia"/>
          <w:sz w:val="24"/>
          <w:szCs w:val="24"/>
        </w:rPr>
        <w:t>7</w:t>
      </w:r>
      <w:r w:rsidR="00B343AF" w:rsidRPr="00D72364">
        <w:rPr>
          <w:sz w:val="24"/>
          <w:szCs w:val="24"/>
        </w:rPr>
        <w:t>)</w:t>
      </w:r>
    </w:p>
    <w:p w14:paraId="7E2E1972" w14:textId="4A2124D6" w:rsidR="00DC3719" w:rsidRPr="00D72364" w:rsidRDefault="00141C28" w:rsidP="00832A94">
      <w:pPr>
        <w:spacing w:line="360" w:lineRule="auto"/>
        <w:jc w:val="both"/>
        <w:rPr>
          <w:sz w:val="24"/>
          <w:szCs w:val="24"/>
        </w:rPr>
      </w:pPr>
      <w:r w:rsidRPr="00D72364">
        <w:rPr>
          <w:sz w:val="24"/>
          <w:szCs w:val="24"/>
        </w:rPr>
        <w:t xml:space="preserve">From these findings, it can be concluded that in the Chinese sample, most companies are non-SOEs, with many being less sensitive to CSR. Additionally, there is wide variation in the establishment years and ROA among companies, while CSR disclosure and the number of independent directors </w:t>
      </w:r>
      <w:r w:rsidR="00612C51" w:rsidRPr="00D72364">
        <w:rPr>
          <w:sz w:val="24"/>
          <w:szCs w:val="24"/>
        </w:rPr>
        <w:t>is</w:t>
      </w:r>
      <w:r w:rsidR="00612C51">
        <w:rPr>
          <w:sz w:val="24"/>
          <w:szCs w:val="24"/>
        </w:rPr>
        <w:t xml:space="preserve"> </w:t>
      </w:r>
      <w:r w:rsidRPr="00D72364">
        <w:rPr>
          <w:sz w:val="24"/>
          <w:szCs w:val="24"/>
        </w:rPr>
        <w:t>little variation.</w:t>
      </w:r>
    </w:p>
    <w:p w14:paraId="4B22D8F4" w14:textId="5778B649" w:rsidR="004246BE" w:rsidRPr="00411808" w:rsidRDefault="000A42F4" w:rsidP="00DC3719">
      <w:pPr>
        <w:jc w:val="center"/>
        <w:rPr>
          <w:rFonts w:hint="eastAsia"/>
          <w:i/>
          <w:iCs/>
        </w:rPr>
      </w:pPr>
      <w:r w:rsidRPr="00411808">
        <w:rPr>
          <w:i/>
          <w:iCs/>
          <w:noProof/>
          <w:lang w:eastAsia="en-US"/>
        </w:rPr>
        <w:drawing>
          <wp:anchor distT="0" distB="0" distL="114300" distR="114300" simplePos="0" relativeHeight="251641344" behindDoc="0" locked="0" layoutInCell="1" allowOverlap="1" wp14:anchorId="1A84B6F9" wp14:editId="3457DD0F">
            <wp:simplePos x="0" y="0"/>
            <wp:positionH relativeFrom="margin">
              <wp:align>center</wp:align>
            </wp:positionH>
            <wp:positionV relativeFrom="paragraph">
              <wp:posOffset>241024</wp:posOffset>
            </wp:positionV>
            <wp:extent cx="3853180" cy="1868170"/>
            <wp:effectExtent l="0" t="0" r="0" b="0"/>
            <wp:wrapTopAndBottom/>
            <wp:docPr id="52264857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3180" cy="1868170"/>
                    </a:xfrm>
                    <a:prstGeom prst="rect">
                      <a:avLst/>
                    </a:prstGeom>
                    <a:noFill/>
                  </pic:spPr>
                </pic:pic>
              </a:graphicData>
            </a:graphic>
            <wp14:sizeRelH relativeFrom="margin">
              <wp14:pctWidth>0</wp14:pctWidth>
            </wp14:sizeRelH>
            <wp14:sizeRelV relativeFrom="margin">
              <wp14:pctHeight>0</wp14:pctHeight>
            </wp14:sizeRelV>
          </wp:anchor>
        </w:drawing>
      </w:r>
      <w:r w:rsidR="00DC3719" w:rsidRPr="00411808">
        <w:rPr>
          <w:rFonts w:hint="eastAsia"/>
          <w:i/>
          <w:iCs/>
        </w:rPr>
        <w:t xml:space="preserve">Figure </w:t>
      </w:r>
      <w:r w:rsidR="00411808" w:rsidRPr="00411808">
        <w:rPr>
          <w:rFonts w:hint="eastAsia"/>
          <w:i/>
          <w:iCs/>
        </w:rPr>
        <w:t>1</w:t>
      </w:r>
      <w:r w:rsidR="00695A40">
        <w:rPr>
          <w:rFonts w:hint="eastAsia"/>
          <w:i/>
          <w:iCs/>
        </w:rPr>
        <w:t>7</w:t>
      </w:r>
      <w:r w:rsidR="00411808" w:rsidRPr="00411808">
        <w:rPr>
          <w:rFonts w:hint="eastAsia"/>
          <w:i/>
          <w:iCs/>
        </w:rPr>
        <w:t>.</w:t>
      </w:r>
    </w:p>
    <w:p w14:paraId="455CBD3D" w14:textId="7A9F63D4" w:rsidR="00716423" w:rsidRPr="00D72364" w:rsidRDefault="004A183E" w:rsidP="00832A94">
      <w:pPr>
        <w:spacing w:line="360" w:lineRule="auto"/>
        <w:rPr>
          <w:sz w:val="24"/>
          <w:szCs w:val="24"/>
        </w:rPr>
      </w:pPr>
      <w:r w:rsidRPr="00D72364">
        <w:rPr>
          <w:sz w:val="24"/>
          <w:szCs w:val="24"/>
        </w:rPr>
        <w:br/>
      </w:r>
    </w:p>
    <w:p w14:paraId="2C205246" w14:textId="6F9BA074" w:rsidR="004B245F" w:rsidRPr="004C1D4A" w:rsidRDefault="004B245F" w:rsidP="00832A94">
      <w:pPr>
        <w:spacing w:line="360" w:lineRule="auto"/>
        <w:rPr>
          <w:b/>
          <w:bCs/>
          <w:i/>
          <w:iCs/>
          <w:sz w:val="24"/>
          <w:szCs w:val="24"/>
        </w:rPr>
      </w:pPr>
      <w:r w:rsidRPr="004C1D4A">
        <w:rPr>
          <w:b/>
          <w:bCs/>
          <w:i/>
          <w:iCs/>
          <w:sz w:val="24"/>
          <w:szCs w:val="24"/>
        </w:rPr>
        <w:t>Correlation</w:t>
      </w:r>
    </w:p>
    <w:p w14:paraId="70E6AE5F" w14:textId="38BEB098" w:rsidR="00141C28" w:rsidRPr="00D72364" w:rsidRDefault="005E1096" w:rsidP="00832A94">
      <w:pPr>
        <w:spacing w:line="360" w:lineRule="auto"/>
        <w:jc w:val="both"/>
        <w:rPr>
          <w:sz w:val="24"/>
          <w:szCs w:val="24"/>
        </w:rPr>
      </w:pPr>
      <w:r w:rsidRPr="00D72364">
        <w:rPr>
          <w:sz w:val="24"/>
          <w:szCs w:val="24"/>
        </w:rPr>
        <w:t>For Ownership revision and CSR disclosure (SUM), the Pearson correlation coefficient is 0.195, indicating a weak positive relationship between ownership structure and CSR disclosure. However, the significance level</w:t>
      </w:r>
      <w:r w:rsidR="004C1D4A">
        <w:rPr>
          <w:sz w:val="24"/>
          <w:szCs w:val="24"/>
        </w:rPr>
        <w:t xml:space="preserve"> </w:t>
      </w:r>
      <w:r w:rsidRPr="00D72364">
        <w:rPr>
          <w:sz w:val="24"/>
          <w:szCs w:val="24"/>
        </w:rPr>
        <w:t>of 0.099 suggests that this correlation is not statistically significant.</w:t>
      </w:r>
    </w:p>
    <w:p w14:paraId="103E0E1B" w14:textId="77777777" w:rsidR="00832A94" w:rsidRDefault="005E1096" w:rsidP="00832A94">
      <w:pPr>
        <w:spacing w:line="360" w:lineRule="auto"/>
        <w:jc w:val="both"/>
        <w:rPr>
          <w:sz w:val="24"/>
          <w:szCs w:val="24"/>
        </w:rPr>
      </w:pPr>
      <w:r w:rsidRPr="00D72364">
        <w:rPr>
          <w:sz w:val="24"/>
          <w:szCs w:val="24"/>
        </w:rPr>
        <w:t xml:space="preserve">For Age of Firm and CSR disclosure (SUM), the Pearson correlation coefficient is 0.320, indicating a moderate positive relationship between company age and CSR disclosure, </w:t>
      </w:r>
      <w:r w:rsidR="006917A3">
        <w:rPr>
          <w:sz w:val="24"/>
          <w:szCs w:val="24"/>
        </w:rPr>
        <w:t xml:space="preserve">but not </w:t>
      </w:r>
      <w:r w:rsidRPr="00D72364">
        <w:rPr>
          <w:sz w:val="24"/>
          <w:szCs w:val="24"/>
        </w:rPr>
        <w:t>statistically significant with a significance level of 0.016.</w:t>
      </w:r>
    </w:p>
    <w:p w14:paraId="5E1D5340" w14:textId="1B08A26A" w:rsidR="00832A94" w:rsidRDefault="00855147" w:rsidP="00832A94">
      <w:pPr>
        <w:spacing w:line="360" w:lineRule="auto"/>
        <w:jc w:val="both"/>
        <w:rPr>
          <w:sz w:val="24"/>
          <w:szCs w:val="24"/>
        </w:rPr>
      </w:pPr>
      <w:r w:rsidRPr="00D72364">
        <w:rPr>
          <w:sz w:val="24"/>
          <w:szCs w:val="24"/>
        </w:rPr>
        <w:t xml:space="preserve">For ROA and CSR disclosure (SUM), the Pearson correlation coefficient is 0.240, indicating a very weak positive relationship, </w:t>
      </w:r>
      <w:r w:rsidR="00355F3B">
        <w:rPr>
          <w:sz w:val="24"/>
          <w:szCs w:val="24"/>
        </w:rPr>
        <w:t xml:space="preserve">but </w:t>
      </w:r>
      <w:r w:rsidRPr="00D72364">
        <w:rPr>
          <w:sz w:val="24"/>
          <w:szCs w:val="24"/>
        </w:rPr>
        <w:t>not statistically significant with a significance level of 0.056.</w:t>
      </w:r>
      <w:r w:rsidR="005E1096" w:rsidRPr="00D72364">
        <w:rPr>
          <w:sz w:val="24"/>
          <w:szCs w:val="24"/>
        </w:rPr>
        <w:br/>
      </w:r>
      <w:r w:rsidRPr="00D72364">
        <w:rPr>
          <w:sz w:val="24"/>
          <w:szCs w:val="24"/>
        </w:rPr>
        <w:t xml:space="preserve">For Independent director and CSR disclosure (SUM), the Pearson correlation coefficient is 0.158, indicating a weak positive relationship, </w:t>
      </w:r>
      <w:r w:rsidR="00355F3B">
        <w:rPr>
          <w:sz w:val="24"/>
          <w:szCs w:val="24"/>
        </w:rPr>
        <w:t xml:space="preserve">but </w:t>
      </w:r>
      <w:r w:rsidRPr="00D72364">
        <w:rPr>
          <w:sz w:val="24"/>
          <w:szCs w:val="24"/>
        </w:rPr>
        <w:t>not statistically significant</w:t>
      </w:r>
      <w:r w:rsidR="00C46A8C">
        <w:rPr>
          <w:sz w:val="24"/>
          <w:szCs w:val="24"/>
        </w:rPr>
        <w:t xml:space="preserve"> </w:t>
      </w:r>
      <w:r w:rsidRPr="00D72364">
        <w:rPr>
          <w:sz w:val="24"/>
          <w:szCs w:val="24"/>
        </w:rPr>
        <w:t>with a significance level of 0.15.</w:t>
      </w:r>
      <w:r w:rsidRPr="00D72364">
        <w:rPr>
          <w:sz w:val="24"/>
          <w:szCs w:val="24"/>
        </w:rPr>
        <w:br/>
      </w:r>
      <w:r w:rsidR="00A41F57" w:rsidRPr="00D72364">
        <w:rPr>
          <w:sz w:val="24"/>
          <w:szCs w:val="24"/>
        </w:rPr>
        <w:t xml:space="preserve">For Type of Industry and CSR disclosure (SUM), the Pearson correlation coefficient is 0.058, indicating a very weak positive relationship, </w:t>
      </w:r>
      <w:r w:rsidR="004C4833">
        <w:rPr>
          <w:sz w:val="24"/>
          <w:szCs w:val="24"/>
        </w:rPr>
        <w:t>but</w:t>
      </w:r>
      <w:r w:rsidR="00A41F57" w:rsidRPr="00D72364">
        <w:rPr>
          <w:sz w:val="24"/>
          <w:szCs w:val="24"/>
        </w:rPr>
        <w:t xml:space="preserve"> not statistically significant with a significance level of 0.353. (</w:t>
      </w:r>
      <w:r w:rsidR="00695A40">
        <w:rPr>
          <w:rFonts w:hint="eastAsia"/>
          <w:sz w:val="24"/>
          <w:szCs w:val="24"/>
        </w:rPr>
        <w:t>s</w:t>
      </w:r>
      <w:r w:rsidR="00A41F57" w:rsidRPr="00D72364">
        <w:rPr>
          <w:sz w:val="24"/>
          <w:szCs w:val="24"/>
        </w:rPr>
        <w:t xml:space="preserve">ee Figure </w:t>
      </w:r>
      <w:r w:rsidR="00411808">
        <w:rPr>
          <w:rFonts w:hint="eastAsia"/>
          <w:sz w:val="24"/>
          <w:szCs w:val="24"/>
        </w:rPr>
        <w:t>1</w:t>
      </w:r>
      <w:r w:rsidR="00695A40">
        <w:rPr>
          <w:rFonts w:hint="eastAsia"/>
          <w:sz w:val="24"/>
          <w:szCs w:val="24"/>
        </w:rPr>
        <w:t>8</w:t>
      </w:r>
      <w:r w:rsidR="00A41F57" w:rsidRPr="00D72364">
        <w:rPr>
          <w:sz w:val="24"/>
          <w:szCs w:val="24"/>
        </w:rPr>
        <w:t>)</w:t>
      </w:r>
    </w:p>
    <w:p w14:paraId="2B70A2B0" w14:textId="4CD552D4" w:rsidR="009E4A5E" w:rsidRPr="00D72364" w:rsidRDefault="009E4A5E" w:rsidP="00832A94">
      <w:pPr>
        <w:spacing w:line="360" w:lineRule="auto"/>
        <w:jc w:val="both"/>
        <w:rPr>
          <w:rFonts w:hint="eastAsia"/>
          <w:sz w:val="24"/>
          <w:szCs w:val="24"/>
        </w:rPr>
      </w:pPr>
      <w:r w:rsidRPr="00D72364">
        <w:rPr>
          <w:sz w:val="24"/>
          <w:szCs w:val="24"/>
        </w:rPr>
        <w:t>These results show weak to moderate positive correlations between each variable and CSR disclosure. However, the only statistically significant correlation observed is with the age of the firm.</w:t>
      </w:r>
      <w:r w:rsidR="00411808">
        <w:rPr>
          <w:rFonts w:hint="eastAsia"/>
          <w:sz w:val="24"/>
          <w:szCs w:val="24"/>
        </w:rPr>
        <w:t xml:space="preserve"> </w:t>
      </w:r>
    </w:p>
    <w:p w14:paraId="57621859" w14:textId="1B1E07CA" w:rsidR="00C35B04" w:rsidRDefault="00C35B04" w:rsidP="001732CB">
      <w:pPr>
        <w:rPr>
          <w:sz w:val="24"/>
          <w:szCs w:val="24"/>
        </w:rPr>
      </w:pPr>
    </w:p>
    <w:p w14:paraId="0F7B1E1A" w14:textId="77777777" w:rsidR="00832A94" w:rsidRDefault="00832A94" w:rsidP="001732CB">
      <w:pPr>
        <w:rPr>
          <w:sz w:val="24"/>
          <w:szCs w:val="24"/>
        </w:rPr>
      </w:pPr>
    </w:p>
    <w:p w14:paraId="549820EA" w14:textId="77777777" w:rsidR="00832A94" w:rsidRPr="00D72364" w:rsidRDefault="00832A94" w:rsidP="001732CB">
      <w:pPr>
        <w:rPr>
          <w:sz w:val="24"/>
          <w:szCs w:val="24"/>
        </w:rPr>
      </w:pPr>
    </w:p>
    <w:p w14:paraId="65A3006F" w14:textId="77777777" w:rsidR="00C35B04" w:rsidRPr="00D72364" w:rsidRDefault="00C35B04" w:rsidP="00BB55ED">
      <w:pPr>
        <w:rPr>
          <w:sz w:val="24"/>
          <w:szCs w:val="24"/>
        </w:rPr>
      </w:pPr>
    </w:p>
    <w:p w14:paraId="0772656B" w14:textId="0FE2EE7A" w:rsidR="006E0AA5" w:rsidRPr="00411808" w:rsidRDefault="006E0AA5" w:rsidP="006E0AA5">
      <w:pPr>
        <w:jc w:val="center"/>
        <w:rPr>
          <w:rFonts w:hint="eastAsia"/>
          <w:i/>
          <w:iCs/>
        </w:rPr>
      </w:pPr>
      <w:r w:rsidRPr="00411808">
        <w:rPr>
          <w:rFonts w:hint="eastAsia"/>
          <w:i/>
          <w:iCs/>
        </w:rPr>
        <w:t xml:space="preserve">Figure </w:t>
      </w:r>
      <w:r w:rsidR="00411808" w:rsidRPr="00411808">
        <w:rPr>
          <w:rFonts w:hint="eastAsia"/>
          <w:i/>
          <w:iCs/>
        </w:rPr>
        <w:t>1</w:t>
      </w:r>
      <w:r w:rsidR="00695A40">
        <w:rPr>
          <w:rFonts w:hint="eastAsia"/>
          <w:i/>
          <w:iCs/>
        </w:rPr>
        <w:t>8</w:t>
      </w:r>
      <w:r w:rsidR="00411808" w:rsidRPr="00411808">
        <w:rPr>
          <w:rFonts w:hint="eastAsia"/>
          <w:i/>
          <w:iCs/>
        </w:rPr>
        <w:t>.</w:t>
      </w:r>
    </w:p>
    <w:p w14:paraId="24155619" w14:textId="3D5B5E16" w:rsidR="00AE1BDA" w:rsidRPr="00D72364" w:rsidRDefault="00C35B04" w:rsidP="00BB55ED">
      <w:pPr>
        <w:rPr>
          <w:sz w:val="24"/>
          <w:szCs w:val="24"/>
          <w:lang w:eastAsia="en-US"/>
        </w:rPr>
      </w:pPr>
      <w:r w:rsidRPr="00D72364">
        <w:rPr>
          <w:noProof/>
          <w:sz w:val="24"/>
          <w:szCs w:val="24"/>
          <w:lang w:eastAsia="en-US"/>
        </w:rPr>
        <w:drawing>
          <wp:inline distT="0" distB="0" distL="0" distR="0" wp14:anchorId="4F0EB5A5" wp14:editId="4EFEC0C8">
            <wp:extent cx="5863168" cy="3277594"/>
            <wp:effectExtent l="0" t="0" r="4445" b="0"/>
            <wp:docPr id="155834958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7981" cy="3297055"/>
                    </a:xfrm>
                    <a:prstGeom prst="rect">
                      <a:avLst/>
                    </a:prstGeom>
                    <a:noFill/>
                  </pic:spPr>
                </pic:pic>
              </a:graphicData>
            </a:graphic>
          </wp:inline>
        </w:drawing>
      </w:r>
    </w:p>
    <w:p w14:paraId="206136E8" w14:textId="77777777" w:rsidR="00104DAE" w:rsidRDefault="00104DAE" w:rsidP="009E4A5E">
      <w:pPr>
        <w:autoSpaceDE w:val="0"/>
        <w:autoSpaceDN w:val="0"/>
        <w:adjustRightInd w:val="0"/>
        <w:spacing w:line="400" w:lineRule="atLeast"/>
        <w:rPr>
          <w:sz w:val="24"/>
          <w:szCs w:val="24"/>
          <w:lang w:eastAsia="en-US"/>
        </w:rPr>
      </w:pPr>
    </w:p>
    <w:p w14:paraId="0511724F" w14:textId="77777777" w:rsidR="00104DAE" w:rsidRDefault="00104DAE" w:rsidP="009E4A5E">
      <w:pPr>
        <w:autoSpaceDE w:val="0"/>
        <w:autoSpaceDN w:val="0"/>
        <w:adjustRightInd w:val="0"/>
        <w:spacing w:line="400" w:lineRule="atLeast"/>
        <w:rPr>
          <w:rFonts w:cs="Times New Roman"/>
          <w:sz w:val="24"/>
          <w:szCs w:val="24"/>
        </w:rPr>
      </w:pPr>
    </w:p>
    <w:p w14:paraId="2494D678" w14:textId="0240A548" w:rsidR="009E4A5E" w:rsidRPr="00D72364" w:rsidRDefault="00953C1B" w:rsidP="00832A94">
      <w:pPr>
        <w:autoSpaceDE w:val="0"/>
        <w:autoSpaceDN w:val="0"/>
        <w:adjustRightInd w:val="0"/>
        <w:spacing w:line="360" w:lineRule="auto"/>
        <w:rPr>
          <w:rFonts w:cs="Times New Roman"/>
          <w:sz w:val="24"/>
          <w:szCs w:val="24"/>
        </w:rPr>
      </w:pPr>
      <w:r w:rsidRPr="00953C1B">
        <w:rPr>
          <w:rFonts w:cs="Times New Roman"/>
          <w:b/>
          <w:bCs/>
          <w:i/>
          <w:iCs/>
          <w:sz w:val="24"/>
          <w:szCs w:val="24"/>
        </w:rPr>
        <w:t>Model</w:t>
      </w:r>
    </w:p>
    <w:p w14:paraId="76330183" w14:textId="77777777" w:rsidR="00D96150" w:rsidRDefault="009E4A5E" w:rsidP="00832A94">
      <w:pPr>
        <w:autoSpaceDE w:val="0"/>
        <w:autoSpaceDN w:val="0"/>
        <w:adjustRightInd w:val="0"/>
        <w:spacing w:line="360" w:lineRule="auto"/>
        <w:jc w:val="both"/>
        <w:rPr>
          <w:rFonts w:cs="Times New Roman"/>
          <w:sz w:val="24"/>
          <w:szCs w:val="24"/>
        </w:rPr>
      </w:pPr>
      <w:bookmarkStart w:id="16" w:name="_Hlk168070838"/>
      <w:r w:rsidRPr="00D72364">
        <w:rPr>
          <w:rFonts w:cs="Times New Roman"/>
          <w:sz w:val="24"/>
          <w:szCs w:val="24"/>
        </w:rPr>
        <w:t>The model's R (correlation coefficient) is 0.474, indicating a moderate positive relationship between independent variables and the dependent variable.</w:t>
      </w:r>
      <w:r w:rsidR="00104DAE">
        <w:rPr>
          <w:rFonts w:cs="Times New Roman"/>
          <w:sz w:val="24"/>
          <w:szCs w:val="24"/>
        </w:rPr>
        <w:t xml:space="preserve"> </w:t>
      </w:r>
      <w:r w:rsidRPr="00D72364">
        <w:rPr>
          <w:rFonts w:cs="Times New Roman"/>
          <w:sz w:val="24"/>
          <w:szCs w:val="24"/>
        </w:rPr>
        <w:t>The R Square (coefficient of determination) is 0.225, indicating that the independent variables explain approximately 22.5% of the variation in the dependent variable.</w:t>
      </w:r>
    </w:p>
    <w:p w14:paraId="44257C7C" w14:textId="6F414D62" w:rsidR="00B062FB" w:rsidRPr="00D96150" w:rsidRDefault="009E4A5E" w:rsidP="00832A94">
      <w:pPr>
        <w:autoSpaceDE w:val="0"/>
        <w:autoSpaceDN w:val="0"/>
        <w:adjustRightInd w:val="0"/>
        <w:spacing w:line="360" w:lineRule="auto"/>
        <w:jc w:val="both"/>
        <w:rPr>
          <w:rFonts w:cs="Times New Roman"/>
          <w:sz w:val="24"/>
          <w:szCs w:val="24"/>
        </w:rPr>
      </w:pPr>
      <w:r w:rsidRPr="00D72364">
        <w:rPr>
          <w:sz w:val="24"/>
          <w:szCs w:val="24"/>
        </w:rPr>
        <w:t>From these results, it can be concluded that while there is a moderate positive relationship between independent and dependent variables, the correlation is statistically small. Therefore, the independent variables may not have a significant impact on CSR disclosure. (</w:t>
      </w:r>
      <w:r w:rsidR="00695A40">
        <w:rPr>
          <w:rFonts w:hint="eastAsia"/>
          <w:sz w:val="24"/>
          <w:szCs w:val="24"/>
        </w:rPr>
        <w:t xml:space="preserve">see </w:t>
      </w:r>
      <w:r w:rsidRPr="00D72364">
        <w:rPr>
          <w:sz w:val="24"/>
          <w:szCs w:val="24"/>
        </w:rPr>
        <w:t xml:space="preserve">Figure </w:t>
      </w:r>
      <w:r w:rsidR="00695A40">
        <w:rPr>
          <w:rFonts w:hint="eastAsia"/>
          <w:sz w:val="24"/>
          <w:szCs w:val="24"/>
        </w:rPr>
        <w:t>19</w:t>
      </w:r>
      <w:r w:rsidRPr="00D72364">
        <w:rPr>
          <w:sz w:val="24"/>
          <w:szCs w:val="24"/>
        </w:rPr>
        <w:t>)</w:t>
      </w:r>
    </w:p>
    <w:bookmarkEnd w:id="16"/>
    <w:p w14:paraId="5180ACCB" w14:textId="77777777" w:rsidR="00B062FB" w:rsidRPr="00D72364" w:rsidRDefault="00B062FB" w:rsidP="00832A94">
      <w:pPr>
        <w:jc w:val="both"/>
        <w:rPr>
          <w:sz w:val="24"/>
          <w:szCs w:val="24"/>
        </w:rPr>
      </w:pPr>
    </w:p>
    <w:p w14:paraId="4DB15CAA" w14:textId="78B896E5" w:rsidR="009C1B4E" w:rsidRPr="00411808" w:rsidRDefault="00AE1BDA" w:rsidP="00832A94">
      <w:pPr>
        <w:jc w:val="center"/>
        <w:rPr>
          <w:rFonts w:hint="eastAsia"/>
          <w:i/>
          <w:iCs/>
        </w:rPr>
      </w:pPr>
      <w:r w:rsidRPr="00411808">
        <w:rPr>
          <w:noProof/>
          <w:lang w:eastAsia="en-US"/>
        </w:rPr>
        <w:drawing>
          <wp:anchor distT="0" distB="0" distL="114300" distR="114300" simplePos="0" relativeHeight="251642368" behindDoc="0" locked="0" layoutInCell="1" allowOverlap="1" wp14:anchorId="74FF2E93" wp14:editId="0F89A74C">
            <wp:simplePos x="0" y="0"/>
            <wp:positionH relativeFrom="margin">
              <wp:align>center</wp:align>
            </wp:positionH>
            <wp:positionV relativeFrom="paragraph">
              <wp:posOffset>294591</wp:posOffset>
            </wp:positionV>
            <wp:extent cx="5172075" cy="1680210"/>
            <wp:effectExtent l="0" t="0" r="9525" b="0"/>
            <wp:wrapTopAndBottom/>
            <wp:docPr id="132326306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2075" cy="1680210"/>
                    </a:xfrm>
                    <a:prstGeom prst="rect">
                      <a:avLst/>
                    </a:prstGeom>
                    <a:noFill/>
                  </pic:spPr>
                </pic:pic>
              </a:graphicData>
            </a:graphic>
            <wp14:sizeRelH relativeFrom="margin">
              <wp14:pctWidth>0</wp14:pctWidth>
            </wp14:sizeRelH>
            <wp14:sizeRelV relativeFrom="margin">
              <wp14:pctHeight>0</wp14:pctHeight>
            </wp14:sizeRelV>
          </wp:anchor>
        </w:drawing>
      </w:r>
      <w:r w:rsidRPr="00411808">
        <w:rPr>
          <w:rFonts w:hint="eastAsia"/>
          <w:i/>
          <w:iCs/>
        </w:rPr>
        <w:t xml:space="preserve">Figure </w:t>
      </w:r>
      <w:r w:rsidR="00695A40">
        <w:rPr>
          <w:rFonts w:hint="eastAsia"/>
          <w:i/>
          <w:iCs/>
        </w:rPr>
        <w:t>19</w:t>
      </w:r>
      <w:r w:rsidR="00411808" w:rsidRPr="00411808">
        <w:rPr>
          <w:rFonts w:hint="eastAsia"/>
          <w:i/>
          <w:iCs/>
        </w:rPr>
        <w:t>.</w:t>
      </w:r>
    </w:p>
    <w:p w14:paraId="3299A252" w14:textId="38283F54" w:rsidR="00D96150" w:rsidRPr="00D72364" w:rsidRDefault="00D96150" w:rsidP="00D96150">
      <w:pPr>
        <w:spacing w:line="360" w:lineRule="auto"/>
        <w:rPr>
          <w:sz w:val="24"/>
          <w:szCs w:val="24"/>
        </w:rPr>
      </w:pPr>
      <w:r w:rsidRPr="00D43A0C">
        <w:rPr>
          <w:b/>
          <w:bCs/>
          <w:i/>
          <w:iCs/>
          <w:sz w:val="24"/>
          <w:szCs w:val="24"/>
        </w:rPr>
        <w:t>Causality</w:t>
      </w:r>
    </w:p>
    <w:p w14:paraId="2FF63292" w14:textId="77777777" w:rsidR="00832A94" w:rsidRDefault="009C1B4E" w:rsidP="00832A94">
      <w:pPr>
        <w:spacing w:line="360" w:lineRule="auto"/>
        <w:jc w:val="both"/>
        <w:rPr>
          <w:sz w:val="24"/>
          <w:szCs w:val="24"/>
        </w:rPr>
      </w:pPr>
      <w:r w:rsidRPr="00D72364">
        <w:rPr>
          <w:sz w:val="24"/>
          <w:szCs w:val="24"/>
        </w:rPr>
        <w:t>For Ownership revision, the unstandardized coefficient B is 0.510, indicating that a one-unit change in ownership structure (from non-SOE to SOE) increases the CSR disclosure score by an average of 0.510 points. However, with a t-value of 1.211 and a p-value (Sig.) of 0.233, this coefficient is not statistically significant</w:t>
      </w:r>
      <w:r w:rsidR="005E7519">
        <w:rPr>
          <w:sz w:val="24"/>
          <w:szCs w:val="24"/>
        </w:rPr>
        <w:t>.</w:t>
      </w:r>
    </w:p>
    <w:p w14:paraId="6A6DDBDD" w14:textId="77777777" w:rsidR="00832A94" w:rsidRDefault="009C1B4E" w:rsidP="00832A94">
      <w:pPr>
        <w:spacing w:line="360" w:lineRule="auto"/>
        <w:jc w:val="both"/>
        <w:rPr>
          <w:sz w:val="24"/>
          <w:szCs w:val="24"/>
        </w:rPr>
      </w:pPr>
      <w:r w:rsidRPr="00D72364">
        <w:rPr>
          <w:sz w:val="24"/>
          <w:szCs w:val="24"/>
        </w:rPr>
        <w:t>For Age of Firm, the unstandardized coefficient B is 0.011, indicating that a one-unit change in company age increases the CSR disclosure score by an average of 0.011 points. With a t-value of 1.486 and a p-value (Sig.) of 0.145, this coefficient is not statistically significant.</w:t>
      </w:r>
      <w:r w:rsidR="00DD37DF" w:rsidRPr="00D72364">
        <w:rPr>
          <w:sz w:val="24"/>
          <w:szCs w:val="24"/>
        </w:rPr>
        <w:br/>
        <w:t>For ROA, the unstandardized coefficient B is 0.073, indicating that a one-unit change in ROA increases the CSR disclosure score by an average of 0.073 points. With a t-value of 2.273 and a p-value (Sig.) of 0.029, this coefficient is statistically significant.</w:t>
      </w:r>
    </w:p>
    <w:p w14:paraId="1DBB6B7C" w14:textId="77777777" w:rsidR="00832A94" w:rsidRDefault="00971498" w:rsidP="00832A94">
      <w:pPr>
        <w:spacing w:line="360" w:lineRule="auto"/>
        <w:jc w:val="both"/>
        <w:rPr>
          <w:sz w:val="24"/>
          <w:szCs w:val="24"/>
        </w:rPr>
      </w:pPr>
      <w:r w:rsidRPr="00D72364">
        <w:rPr>
          <w:sz w:val="24"/>
          <w:szCs w:val="24"/>
        </w:rPr>
        <w:t>For Independent director, the unstandardized coefficient B is 0.141, indicating that a one-unit change in the number of independent directors increases the CSR disclosure score by an average of 0.141 points. With a t-value of 0.892 and a p-value (Sig.) of 0.378, this coefficient is not statistically significant.</w:t>
      </w:r>
    </w:p>
    <w:p w14:paraId="24D8FAA7" w14:textId="77AE2D83" w:rsidR="007B77A4" w:rsidRPr="00D72364" w:rsidRDefault="00971498" w:rsidP="00832A94">
      <w:pPr>
        <w:spacing w:line="360" w:lineRule="auto"/>
        <w:jc w:val="both"/>
        <w:rPr>
          <w:sz w:val="24"/>
          <w:szCs w:val="24"/>
        </w:rPr>
      </w:pPr>
      <w:r w:rsidRPr="00D72364">
        <w:rPr>
          <w:sz w:val="24"/>
          <w:szCs w:val="24"/>
        </w:rPr>
        <w:t xml:space="preserve">For Type of Industry, the unstandardized coefficient B is 0.079, indicating that a one-unit change in industry type increases the CSR disclosure score by an average of 0.079 points. With a t-value of 0.211 and a p-value (Sig.) of 0.834, this coefficient is not statistically significant. </w:t>
      </w:r>
      <w:r w:rsidRPr="00D72364">
        <w:rPr>
          <w:sz w:val="24"/>
          <w:szCs w:val="24"/>
        </w:rPr>
        <w:br/>
      </w:r>
      <w:r w:rsidR="007B77A4" w:rsidRPr="007B77A4">
        <w:rPr>
          <w:sz w:val="24"/>
          <w:szCs w:val="24"/>
        </w:rPr>
        <w:t>A regression model was created to examine whether the independent variables have an impact on CSR disclosure. The results indicate that none of these independent variables</w:t>
      </w:r>
      <w:r w:rsidR="00652B9F">
        <w:rPr>
          <w:sz w:val="24"/>
          <w:szCs w:val="24"/>
        </w:rPr>
        <w:t xml:space="preserve"> but only ROA </w:t>
      </w:r>
      <w:r w:rsidR="007B77A4" w:rsidRPr="007B77A4">
        <w:rPr>
          <w:sz w:val="24"/>
          <w:szCs w:val="24"/>
        </w:rPr>
        <w:t xml:space="preserve">have a statistically significant impact on CSR disclosure (see Figure </w:t>
      </w:r>
      <w:r w:rsidR="00F51D6E">
        <w:rPr>
          <w:rFonts w:hint="eastAsia"/>
          <w:sz w:val="24"/>
          <w:szCs w:val="24"/>
        </w:rPr>
        <w:t>2</w:t>
      </w:r>
      <w:r w:rsidR="00695A40">
        <w:rPr>
          <w:rFonts w:hint="eastAsia"/>
          <w:sz w:val="24"/>
          <w:szCs w:val="24"/>
        </w:rPr>
        <w:t>0</w:t>
      </w:r>
      <w:r w:rsidR="007B77A4" w:rsidRPr="007B77A4">
        <w:rPr>
          <w:sz w:val="24"/>
          <w:szCs w:val="24"/>
        </w:rPr>
        <w:t>).</w:t>
      </w:r>
    </w:p>
    <w:p w14:paraId="62E46366" w14:textId="4A785D31" w:rsidR="00AE1BDA" w:rsidRPr="00D72364" w:rsidRDefault="00AE1BDA" w:rsidP="00BB55ED">
      <w:pPr>
        <w:rPr>
          <w:sz w:val="24"/>
          <w:szCs w:val="24"/>
        </w:rPr>
      </w:pPr>
    </w:p>
    <w:p w14:paraId="12794654" w14:textId="6E0BC4E7" w:rsidR="003B4EFE" w:rsidRPr="00F51D6E" w:rsidRDefault="00D904D6" w:rsidP="00D904D6">
      <w:pPr>
        <w:jc w:val="center"/>
        <w:rPr>
          <w:rFonts w:hint="eastAsia"/>
          <w:i/>
          <w:iCs/>
        </w:rPr>
      </w:pPr>
      <w:r w:rsidRPr="00F51D6E">
        <w:rPr>
          <w:i/>
          <w:iCs/>
          <w:noProof/>
          <w:lang w:eastAsia="en-US"/>
        </w:rPr>
        <w:drawing>
          <wp:anchor distT="0" distB="0" distL="114300" distR="114300" simplePos="0" relativeHeight="251643392" behindDoc="0" locked="0" layoutInCell="1" allowOverlap="1" wp14:anchorId="38ACD24A" wp14:editId="07C2AAF8">
            <wp:simplePos x="0" y="0"/>
            <wp:positionH relativeFrom="margin">
              <wp:align>center</wp:align>
            </wp:positionH>
            <wp:positionV relativeFrom="paragraph">
              <wp:posOffset>328310</wp:posOffset>
            </wp:positionV>
            <wp:extent cx="6253784" cy="1862488"/>
            <wp:effectExtent l="0" t="0" r="0" b="4445"/>
            <wp:wrapTopAndBottom/>
            <wp:docPr id="151990915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53784" cy="1862488"/>
                    </a:xfrm>
                    <a:prstGeom prst="rect">
                      <a:avLst/>
                    </a:prstGeom>
                    <a:noFill/>
                  </pic:spPr>
                </pic:pic>
              </a:graphicData>
            </a:graphic>
          </wp:anchor>
        </w:drawing>
      </w:r>
      <w:r w:rsidRPr="00F51D6E">
        <w:rPr>
          <w:rFonts w:hint="eastAsia"/>
          <w:i/>
          <w:iCs/>
        </w:rPr>
        <w:t xml:space="preserve">Figure </w:t>
      </w:r>
      <w:r w:rsidR="00F51D6E" w:rsidRPr="00F51D6E">
        <w:rPr>
          <w:rFonts w:hint="eastAsia"/>
          <w:i/>
          <w:iCs/>
        </w:rPr>
        <w:t>2</w:t>
      </w:r>
      <w:r w:rsidR="00695A40">
        <w:rPr>
          <w:rFonts w:hint="eastAsia"/>
          <w:i/>
          <w:iCs/>
        </w:rPr>
        <w:t>0</w:t>
      </w:r>
      <w:r w:rsidR="00F51D6E" w:rsidRPr="00F51D6E">
        <w:rPr>
          <w:rFonts w:hint="eastAsia"/>
          <w:i/>
          <w:iCs/>
        </w:rPr>
        <w:t>.</w:t>
      </w:r>
    </w:p>
    <w:p w14:paraId="2D08AF20" w14:textId="77777777" w:rsidR="008A24D9" w:rsidRPr="00D72364" w:rsidRDefault="008A24D9" w:rsidP="00BB55ED">
      <w:pPr>
        <w:rPr>
          <w:b/>
          <w:bCs/>
          <w:sz w:val="24"/>
          <w:szCs w:val="24"/>
        </w:rPr>
      </w:pPr>
    </w:p>
    <w:p w14:paraId="78501BAC" w14:textId="3A1748B7" w:rsidR="00EF1B79" w:rsidRDefault="00EF1B79" w:rsidP="00832A94">
      <w:pPr>
        <w:spacing w:line="360" w:lineRule="auto"/>
        <w:jc w:val="both"/>
        <w:rPr>
          <w:sz w:val="24"/>
          <w:szCs w:val="24"/>
        </w:rPr>
      </w:pPr>
      <w:r w:rsidRPr="007C57B3">
        <w:rPr>
          <w:b/>
          <w:bCs/>
          <w:i/>
          <w:iCs/>
          <w:sz w:val="24"/>
          <w:szCs w:val="24"/>
        </w:rPr>
        <w:t>Result</w:t>
      </w:r>
    </w:p>
    <w:p w14:paraId="462EAFC1" w14:textId="77777777" w:rsidR="007B42C3" w:rsidRPr="007B42C3" w:rsidRDefault="007B42C3" w:rsidP="00832A94">
      <w:pPr>
        <w:spacing w:line="360" w:lineRule="auto"/>
        <w:jc w:val="both"/>
        <w:rPr>
          <w:sz w:val="24"/>
          <w:szCs w:val="24"/>
        </w:rPr>
      </w:pPr>
      <w:r w:rsidRPr="007B42C3">
        <w:rPr>
          <w:sz w:val="24"/>
          <w:szCs w:val="24"/>
        </w:rPr>
        <w:t>In the correlation analysis, a moderate positive correlation (0.320) between Age of Firm and CSR disclosure was observed and found to be statistically significant (0.016). Although weak positive correlations were found between Ownership, Industry type, Number of independent directors, and CSR disclosure (0.195, 0.058, and 0.159, respectively), none of these were statistically significant.</w:t>
      </w:r>
    </w:p>
    <w:p w14:paraId="0819568F" w14:textId="77777777" w:rsidR="007B42C3" w:rsidRPr="007B42C3" w:rsidRDefault="007B42C3" w:rsidP="00832A94">
      <w:pPr>
        <w:spacing w:line="360" w:lineRule="auto"/>
        <w:jc w:val="both"/>
        <w:rPr>
          <w:sz w:val="24"/>
          <w:szCs w:val="24"/>
        </w:rPr>
      </w:pPr>
    </w:p>
    <w:p w14:paraId="49BB710E" w14:textId="7BD3116F" w:rsidR="007B42C3" w:rsidRDefault="007B42C3" w:rsidP="00832A94">
      <w:pPr>
        <w:spacing w:line="360" w:lineRule="auto"/>
        <w:jc w:val="both"/>
        <w:rPr>
          <w:sz w:val="24"/>
          <w:szCs w:val="24"/>
        </w:rPr>
      </w:pPr>
      <w:r w:rsidRPr="007B42C3">
        <w:rPr>
          <w:sz w:val="24"/>
          <w:szCs w:val="24"/>
        </w:rPr>
        <w:t xml:space="preserve">In the causality analysis, the Unstandardized Coefficients B for all independent variables showed positive values, indicating positive relationships, but only ROA was statistically significant. Based on these findings, the null hypothesis H1, that state </w:t>
      </w:r>
      <w:r w:rsidR="00C91127">
        <w:rPr>
          <w:sz w:val="24"/>
          <w:szCs w:val="24"/>
        </w:rPr>
        <w:t xml:space="preserve">that </w:t>
      </w:r>
      <w:r w:rsidRPr="00C91127">
        <w:rPr>
          <w:i/>
          <w:iCs/>
          <w:sz w:val="24"/>
          <w:szCs w:val="24"/>
        </w:rPr>
        <w:t>ownership of enterprises is positively related to their CSR disclosure</w:t>
      </w:r>
      <w:r w:rsidRPr="007B42C3">
        <w:rPr>
          <w:sz w:val="24"/>
          <w:szCs w:val="24"/>
        </w:rPr>
        <w:t>, is rejected.</w:t>
      </w:r>
    </w:p>
    <w:p w14:paraId="3C9915FB" w14:textId="77777777" w:rsidR="007B42C3" w:rsidRPr="00D72364" w:rsidRDefault="007B42C3" w:rsidP="00832A94">
      <w:pPr>
        <w:spacing w:line="360" w:lineRule="auto"/>
        <w:jc w:val="both"/>
        <w:rPr>
          <w:sz w:val="24"/>
          <w:szCs w:val="24"/>
        </w:rPr>
      </w:pPr>
    </w:p>
    <w:p w14:paraId="74801810" w14:textId="77777777" w:rsidR="00832A94" w:rsidRDefault="006D3742" w:rsidP="00832A94">
      <w:pPr>
        <w:spacing w:line="360" w:lineRule="auto"/>
        <w:jc w:val="both"/>
        <w:rPr>
          <w:sz w:val="24"/>
          <w:szCs w:val="24"/>
        </w:rPr>
      </w:pPr>
      <w:r w:rsidRPr="006D3742">
        <w:rPr>
          <w:sz w:val="24"/>
          <w:szCs w:val="24"/>
        </w:rPr>
        <w:t xml:space="preserve">Regarding hypotheses H2 and H3, the coefficients were not statistically significant. Therefore, the null hypotheses H2, which states </w:t>
      </w:r>
      <w:r w:rsidRPr="00D676C5">
        <w:rPr>
          <w:i/>
          <w:iCs/>
          <w:sz w:val="24"/>
          <w:szCs w:val="24"/>
        </w:rPr>
        <w:t>that industry type positively moderates the relationship between SOE and CSR disclosure, making this relationship stronger in resource-intensive industries</w:t>
      </w:r>
      <w:r w:rsidRPr="006D3742">
        <w:rPr>
          <w:sz w:val="24"/>
          <w:szCs w:val="24"/>
        </w:rPr>
        <w:t xml:space="preserve">, and H3, which states that </w:t>
      </w:r>
      <w:r w:rsidRPr="00D676C5">
        <w:rPr>
          <w:i/>
          <w:iCs/>
          <w:sz w:val="24"/>
          <w:szCs w:val="24"/>
        </w:rPr>
        <w:t>the number of independent directors positively moderates the relationship between SOE and CSR disclosure, making this relationship stronger in companies with a high number of independent directors</w:t>
      </w:r>
      <w:r w:rsidRPr="006D3742">
        <w:rPr>
          <w:sz w:val="24"/>
          <w:szCs w:val="24"/>
        </w:rPr>
        <w:t>, are rejected.</w:t>
      </w:r>
    </w:p>
    <w:p w14:paraId="6D940D2E" w14:textId="77777777" w:rsidR="00832A94" w:rsidRDefault="00832A94" w:rsidP="00832A94">
      <w:pPr>
        <w:spacing w:line="360" w:lineRule="auto"/>
        <w:jc w:val="both"/>
        <w:rPr>
          <w:sz w:val="24"/>
          <w:szCs w:val="24"/>
        </w:rPr>
      </w:pPr>
    </w:p>
    <w:p w14:paraId="3A0B5ECD" w14:textId="44E03E89" w:rsidR="007746B4" w:rsidRPr="00832A94" w:rsidRDefault="008F7B53" w:rsidP="00832A94">
      <w:pPr>
        <w:spacing w:line="360" w:lineRule="auto"/>
        <w:jc w:val="both"/>
        <w:rPr>
          <w:sz w:val="24"/>
          <w:szCs w:val="24"/>
        </w:rPr>
      </w:pPr>
      <w:r w:rsidRPr="00D72364">
        <w:rPr>
          <w:sz w:val="24"/>
          <w:szCs w:val="24"/>
          <w:lang w:eastAsia="en-US"/>
        </w:rPr>
        <w:t>As a supplementary note, when comparing coefficients with control variables</w:t>
      </w:r>
      <w:r w:rsidR="00BE4746">
        <w:rPr>
          <w:sz w:val="24"/>
          <w:szCs w:val="24"/>
          <w:lang w:eastAsia="en-US"/>
        </w:rPr>
        <w:t xml:space="preserve"> of </w:t>
      </w:r>
      <w:r w:rsidRPr="00D72364">
        <w:rPr>
          <w:sz w:val="24"/>
          <w:szCs w:val="24"/>
          <w:lang w:eastAsia="en-US"/>
        </w:rPr>
        <w:t>Ownership, ROA, and Age of firm (</w:t>
      </w:r>
      <w:r w:rsidR="00695A40">
        <w:rPr>
          <w:rFonts w:hint="eastAsia"/>
          <w:sz w:val="24"/>
          <w:szCs w:val="24"/>
        </w:rPr>
        <w:t>s</w:t>
      </w:r>
      <w:r w:rsidRPr="00D72364">
        <w:rPr>
          <w:sz w:val="24"/>
          <w:szCs w:val="24"/>
          <w:lang w:eastAsia="en-US"/>
        </w:rPr>
        <w:t xml:space="preserve">ee Figure </w:t>
      </w:r>
      <w:r w:rsidR="00276D0E">
        <w:rPr>
          <w:rFonts w:hint="eastAsia"/>
          <w:sz w:val="24"/>
          <w:szCs w:val="24"/>
        </w:rPr>
        <w:t>2</w:t>
      </w:r>
      <w:r w:rsidR="00695A40">
        <w:rPr>
          <w:rFonts w:hint="eastAsia"/>
          <w:sz w:val="24"/>
          <w:szCs w:val="24"/>
        </w:rPr>
        <w:t>1</w:t>
      </w:r>
      <w:r w:rsidRPr="00D72364">
        <w:rPr>
          <w:sz w:val="24"/>
          <w:szCs w:val="24"/>
          <w:lang w:eastAsia="en-US"/>
        </w:rPr>
        <w:t>), adding independent director as a control variable (</w:t>
      </w:r>
      <w:r w:rsidR="00695A40">
        <w:rPr>
          <w:rFonts w:hint="eastAsia"/>
          <w:sz w:val="24"/>
          <w:szCs w:val="24"/>
        </w:rPr>
        <w:t>s</w:t>
      </w:r>
      <w:r w:rsidRPr="00D72364">
        <w:rPr>
          <w:sz w:val="24"/>
          <w:szCs w:val="24"/>
          <w:lang w:eastAsia="en-US"/>
        </w:rPr>
        <w:t xml:space="preserve">ee Figure </w:t>
      </w:r>
      <w:r w:rsidR="00276D0E">
        <w:rPr>
          <w:rFonts w:hint="eastAsia"/>
          <w:sz w:val="24"/>
          <w:szCs w:val="24"/>
        </w:rPr>
        <w:t>2</w:t>
      </w:r>
      <w:r w:rsidR="00695A40">
        <w:rPr>
          <w:rFonts w:hint="eastAsia"/>
          <w:sz w:val="24"/>
          <w:szCs w:val="24"/>
        </w:rPr>
        <w:t>2</w:t>
      </w:r>
      <w:r w:rsidRPr="00D72364">
        <w:rPr>
          <w:sz w:val="24"/>
          <w:szCs w:val="24"/>
          <w:lang w:eastAsia="en-US"/>
        </w:rPr>
        <w:t>), and adding type of industry as a control variable (</w:t>
      </w:r>
      <w:r w:rsidR="00695A40">
        <w:rPr>
          <w:rFonts w:hint="eastAsia"/>
          <w:sz w:val="24"/>
          <w:szCs w:val="24"/>
        </w:rPr>
        <w:t>s</w:t>
      </w:r>
      <w:r w:rsidRPr="00D72364">
        <w:rPr>
          <w:sz w:val="24"/>
          <w:szCs w:val="24"/>
          <w:lang w:eastAsia="en-US"/>
        </w:rPr>
        <w:t xml:space="preserve">ee Figure </w:t>
      </w:r>
      <w:r w:rsidR="00F51D6E">
        <w:rPr>
          <w:rFonts w:hint="eastAsia"/>
          <w:sz w:val="24"/>
          <w:szCs w:val="24"/>
        </w:rPr>
        <w:t>2</w:t>
      </w:r>
      <w:r w:rsidR="00695A40">
        <w:rPr>
          <w:rFonts w:hint="eastAsia"/>
          <w:sz w:val="24"/>
          <w:szCs w:val="24"/>
        </w:rPr>
        <w:t>3</w:t>
      </w:r>
      <w:r w:rsidRPr="00D72364">
        <w:rPr>
          <w:sz w:val="24"/>
          <w:szCs w:val="24"/>
          <w:lang w:eastAsia="en-US"/>
        </w:rPr>
        <w:t>), the unstandardized coefficients B for ownership decrease when including independent director and type of industry.</w:t>
      </w:r>
      <w:r w:rsidRPr="00D72364">
        <w:rPr>
          <w:sz w:val="24"/>
          <w:szCs w:val="24"/>
          <w:lang w:eastAsia="en-US"/>
        </w:rPr>
        <w:br/>
      </w:r>
    </w:p>
    <w:p w14:paraId="54C3FB3A" w14:textId="51A38B54" w:rsidR="007746B4" w:rsidRPr="00173E9B" w:rsidRDefault="00E06FE7" w:rsidP="00173E9B">
      <w:pPr>
        <w:jc w:val="center"/>
        <w:rPr>
          <w:rFonts w:hint="eastAsia"/>
          <w:i/>
          <w:iCs/>
        </w:rPr>
      </w:pPr>
      <w:r>
        <w:rPr>
          <w:noProof/>
          <w:lang w:eastAsia="en-US"/>
        </w:rPr>
        <w:drawing>
          <wp:anchor distT="0" distB="0" distL="114300" distR="114300" simplePos="0" relativeHeight="251658251" behindDoc="0" locked="0" layoutInCell="1" allowOverlap="1" wp14:anchorId="29F80D4B" wp14:editId="369EE75F">
            <wp:simplePos x="0" y="0"/>
            <wp:positionH relativeFrom="margin">
              <wp:align>center</wp:align>
            </wp:positionH>
            <wp:positionV relativeFrom="paragraph">
              <wp:posOffset>287014</wp:posOffset>
            </wp:positionV>
            <wp:extent cx="5162550" cy="1828800"/>
            <wp:effectExtent l="0" t="0" r="0" b="0"/>
            <wp:wrapTopAndBottom/>
            <wp:docPr id="18252630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2550" cy="1828800"/>
                    </a:xfrm>
                    <a:prstGeom prst="rect">
                      <a:avLst/>
                    </a:prstGeom>
                    <a:noFill/>
                  </pic:spPr>
                </pic:pic>
              </a:graphicData>
            </a:graphic>
          </wp:anchor>
        </w:drawing>
      </w:r>
      <w:r w:rsidRPr="00E06FE7">
        <w:rPr>
          <w:i/>
          <w:iCs/>
          <w:lang w:eastAsia="en-US"/>
        </w:rPr>
        <w:t xml:space="preserve">Figure </w:t>
      </w:r>
      <w:r w:rsidR="00F51D6E">
        <w:rPr>
          <w:rFonts w:hint="eastAsia"/>
          <w:i/>
          <w:iCs/>
        </w:rPr>
        <w:t>2</w:t>
      </w:r>
      <w:r w:rsidR="00695A40">
        <w:rPr>
          <w:rFonts w:hint="eastAsia"/>
          <w:i/>
          <w:iCs/>
        </w:rPr>
        <w:t>1</w:t>
      </w:r>
      <w:r w:rsidR="00F51D6E">
        <w:rPr>
          <w:rFonts w:hint="eastAsia"/>
          <w:i/>
          <w:iCs/>
        </w:rPr>
        <w:t>.</w:t>
      </w:r>
    </w:p>
    <w:p w14:paraId="42D44D92" w14:textId="77777777" w:rsidR="00E20363" w:rsidRDefault="00E20363" w:rsidP="00730796">
      <w:pPr>
        <w:rPr>
          <w:i/>
          <w:iCs/>
          <w:lang w:eastAsia="en-US"/>
        </w:rPr>
      </w:pPr>
    </w:p>
    <w:p w14:paraId="5F9BF16B" w14:textId="4F785239" w:rsidR="00B83225" w:rsidRPr="00F800E5" w:rsidRDefault="00E20363" w:rsidP="00F800E5">
      <w:pPr>
        <w:jc w:val="center"/>
        <w:rPr>
          <w:rFonts w:hint="eastAsia"/>
          <w:i/>
          <w:iCs/>
        </w:rPr>
      </w:pPr>
      <w:r w:rsidRPr="00552E09">
        <w:rPr>
          <w:i/>
          <w:iCs/>
          <w:noProof/>
          <w:lang w:eastAsia="en-US"/>
        </w:rPr>
        <w:drawing>
          <wp:anchor distT="0" distB="0" distL="114300" distR="114300" simplePos="0" relativeHeight="251658252" behindDoc="0" locked="0" layoutInCell="1" allowOverlap="1" wp14:anchorId="225530CA" wp14:editId="39513D04">
            <wp:simplePos x="0" y="0"/>
            <wp:positionH relativeFrom="margin">
              <wp:align>center</wp:align>
            </wp:positionH>
            <wp:positionV relativeFrom="paragraph">
              <wp:posOffset>387350</wp:posOffset>
            </wp:positionV>
            <wp:extent cx="5095240" cy="1911985"/>
            <wp:effectExtent l="0" t="0" r="0" b="0"/>
            <wp:wrapTopAndBottom/>
            <wp:docPr id="7361950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5240" cy="1911985"/>
                    </a:xfrm>
                    <a:prstGeom prst="rect">
                      <a:avLst/>
                    </a:prstGeom>
                    <a:noFill/>
                  </pic:spPr>
                </pic:pic>
              </a:graphicData>
            </a:graphic>
          </wp:anchor>
        </w:drawing>
      </w:r>
      <w:r w:rsidR="00173E9B">
        <w:rPr>
          <w:i/>
          <w:iCs/>
          <w:lang w:eastAsia="en-US"/>
        </w:rPr>
        <w:t>F</w:t>
      </w:r>
      <w:r w:rsidR="00173E9B" w:rsidRPr="00E06FE7">
        <w:rPr>
          <w:i/>
          <w:iCs/>
          <w:lang w:eastAsia="en-US"/>
        </w:rPr>
        <w:t xml:space="preserve">igure </w:t>
      </w:r>
      <w:r w:rsidR="00276D0E">
        <w:rPr>
          <w:rFonts w:hint="eastAsia"/>
          <w:i/>
          <w:iCs/>
        </w:rPr>
        <w:t>2</w:t>
      </w:r>
      <w:r w:rsidR="00695A40">
        <w:rPr>
          <w:rFonts w:hint="eastAsia"/>
          <w:i/>
          <w:iCs/>
        </w:rPr>
        <w:t>2</w:t>
      </w:r>
      <w:r w:rsidR="00276D0E">
        <w:rPr>
          <w:rFonts w:hint="eastAsia"/>
          <w:i/>
          <w:iCs/>
        </w:rPr>
        <w:t>.</w:t>
      </w:r>
    </w:p>
    <w:p w14:paraId="44DAE877" w14:textId="712F5F7B" w:rsidR="00E20363" w:rsidRDefault="00E20363" w:rsidP="00552E09">
      <w:pPr>
        <w:jc w:val="center"/>
        <w:rPr>
          <w:i/>
          <w:iCs/>
          <w:lang w:eastAsia="en-US"/>
        </w:rPr>
      </w:pPr>
    </w:p>
    <w:p w14:paraId="73368CC0" w14:textId="77777777" w:rsidR="00E20363" w:rsidRDefault="00E20363" w:rsidP="00E20363">
      <w:pPr>
        <w:rPr>
          <w:i/>
          <w:iCs/>
          <w:lang w:eastAsia="en-US"/>
        </w:rPr>
      </w:pPr>
    </w:p>
    <w:p w14:paraId="09B621DF" w14:textId="05519317" w:rsidR="00DD54CA" w:rsidRPr="00552E09" w:rsidRDefault="00552E09" w:rsidP="00552E09">
      <w:pPr>
        <w:jc w:val="center"/>
        <w:rPr>
          <w:rFonts w:hint="eastAsia"/>
          <w:i/>
          <w:iCs/>
        </w:rPr>
      </w:pPr>
      <w:r w:rsidRPr="00552E09">
        <w:rPr>
          <w:i/>
          <w:iCs/>
          <w:lang w:eastAsia="en-US"/>
        </w:rPr>
        <w:t xml:space="preserve">Figure </w:t>
      </w:r>
      <w:r w:rsidR="00276D0E">
        <w:rPr>
          <w:rFonts w:hint="eastAsia"/>
          <w:i/>
          <w:iCs/>
        </w:rPr>
        <w:t>2</w:t>
      </w:r>
      <w:r w:rsidR="00695A40">
        <w:rPr>
          <w:rFonts w:hint="eastAsia"/>
          <w:i/>
          <w:iCs/>
        </w:rPr>
        <w:t>3</w:t>
      </w:r>
      <w:r w:rsidR="00276D0E">
        <w:rPr>
          <w:rFonts w:hint="eastAsia"/>
          <w:i/>
          <w:iCs/>
        </w:rPr>
        <w:t>.</w:t>
      </w:r>
    </w:p>
    <w:p w14:paraId="761BA3FA" w14:textId="749D770A" w:rsidR="00F85429" w:rsidRDefault="00E20363" w:rsidP="00BB55ED">
      <w:pPr>
        <w:rPr>
          <w:lang w:eastAsia="en-US"/>
        </w:rPr>
      </w:pPr>
      <w:r>
        <w:rPr>
          <w:noProof/>
          <w:lang w:eastAsia="en-US"/>
        </w:rPr>
        <w:drawing>
          <wp:anchor distT="0" distB="0" distL="114300" distR="114300" simplePos="0" relativeHeight="251658253" behindDoc="0" locked="0" layoutInCell="1" allowOverlap="1" wp14:anchorId="265787A7" wp14:editId="57ECA6E7">
            <wp:simplePos x="0" y="0"/>
            <wp:positionH relativeFrom="margin">
              <wp:align>center</wp:align>
            </wp:positionH>
            <wp:positionV relativeFrom="paragraph">
              <wp:posOffset>286630</wp:posOffset>
            </wp:positionV>
            <wp:extent cx="5114925" cy="1828800"/>
            <wp:effectExtent l="0" t="0" r="9525" b="0"/>
            <wp:wrapTopAndBottom/>
            <wp:docPr id="976708779"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4925" cy="1828800"/>
                    </a:xfrm>
                    <a:prstGeom prst="rect">
                      <a:avLst/>
                    </a:prstGeom>
                    <a:noFill/>
                  </pic:spPr>
                </pic:pic>
              </a:graphicData>
            </a:graphic>
          </wp:anchor>
        </w:drawing>
      </w:r>
    </w:p>
    <w:p w14:paraId="36317ABB" w14:textId="1D0B6D2D" w:rsidR="00F85429" w:rsidRDefault="00F85429" w:rsidP="00BB55ED">
      <w:pPr>
        <w:rPr>
          <w:lang w:eastAsia="en-US"/>
        </w:rPr>
      </w:pPr>
    </w:p>
    <w:p w14:paraId="5DB05702" w14:textId="2190ECAD" w:rsidR="00283567" w:rsidRPr="00EA723F" w:rsidRDefault="00283567" w:rsidP="00BB55ED">
      <w:pPr>
        <w:rPr>
          <w:lang w:eastAsia="en-US"/>
        </w:rPr>
      </w:pPr>
    </w:p>
    <w:p w14:paraId="39FB0C15" w14:textId="77777777" w:rsidR="004129BD" w:rsidRDefault="004129BD" w:rsidP="00BB55ED">
      <w:pPr>
        <w:rPr>
          <w:b/>
          <w:bCs/>
          <w:lang w:eastAsia="en-US"/>
        </w:rPr>
      </w:pPr>
    </w:p>
    <w:p w14:paraId="5EC8D9D1" w14:textId="77777777" w:rsidR="00832A94" w:rsidRDefault="00832A94" w:rsidP="00BB55ED">
      <w:pPr>
        <w:rPr>
          <w:b/>
          <w:bCs/>
          <w:lang w:eastAsia="en-US"/>
        </w:rPr>
      </w:pPr>
    </w:p>
    <w:p w14:paraId="24EF2053" w14:textId="77777777" w:rsidR="00832A94" w:rsidRDefault="00832A94" w:rsidP="00BB55ED">
      <w:pPr>
        <w:rPr>
          <w:b/>
          <w:bCs/>
          <w:lang w:eastAsia="en-US"/>
        </w:rPr>
      </w:pPr>
    </w:p>
    <w:p w14:paraId="1A377963" w14:textId="77777777" w:rsidR="00832A94" w:rsidRDefault="00832A94" w:rsidP="00BB55ED">
      <w:pPr>
        <w:rPr>
          <w:b/>
          <w:bCs/>
          <w:lang w:eastAsia="en-US"/>
        </w:rPr>
      </w:pPr>
    </w:p>
    <w:p w14:paraId="5AAB0E7B" w14:textId="77777777" w:rsidR="00832A94" w:rsidRDefault="00832A94" w:rsidP="00BB55ED">
      <w:pPr>
        <w:rPr>
          <w:b/>
          <w:bCs/>
          <w:lang w:eastAsia="en-US"/>
        </w:rPr>
      </w:pPr>
    </w:p>
    <w:p w14:paraId="08502FA5" w14:textId="77777777" w:rsidR="00832A94" w:rsidRDefault="00832A94" w:rsidP="00BB55ED">
      <w:pPr>
        <w:rPr>
          <w:b/>
          <w:bCs/>
          <w:lang w:eastAsia="en-US"/>
        </w:rPr>
      </w:pPr>
    </w:p>
    <w:p w14:paraId="515A513B" w14:textId="77777777" w:rsidR="00832A94" w:rsidRDefault="00832A94" w:rsidP="00BB55ED">
      <w:pPr>
        <w:rPr>
          <w:b/>
          <w:bCs/>
          <w:lang w:eastAsia="en-US"/>
        </w:rPr>
      </w:pPr>
    </w:p>
    <w:p w14:paraId="286AE44A" w14:textId="77777777" w:rsidR="00832A94" w:rsidRDefault="00832A94" w:rsidP="00BB55ED">
      <w:pPr>
        <w:rPr>
          <w:b/>
          <w:bCs/>
          <w:lang w:eastAsia="en-US"/>
        </w:rPr>
      </w:pPr>
    </w:p>
    <w:p w14:paraId="42DE3D54" w14:textId="77777777" w:rsidR="00832A94" w:rsidRDefault="00832A94" w:rsidP="00BB55ED">
      <w:pPr>
        <w:rPr>
          <w:b/>
          <w:bCs/>
          <w:lang w:eastAsia="en-US"/>
        </w:rPr>
      </w:pPr>
    </w:p>
    <w:p w14:paraId="4EC45DA5" w14:textId="77777777" w:rsidR="00832A94" w:rsidRDefault="00832A94" w:rsidP="00BB55ED">
      <w:pPr>
        <w:rPr>
          <w:b/>
          <w:bCs/>
          <w:lang w:eastAsia="en-US"/>
        </w:rPr>
      </w:pPr>
    </w:p>
    <w:p w14:paraId="42871327" w14:textId="77777777" w:rsidR="00832A94" w:rsidRDefault="00832A94" w:rsidP="00BB55ED">
      <w:pPr>
        <w:rPr>
          <w:b/>
          <w:bCs/>
          <w:lang w:eastAsia="en-US"/>
        </w:rPr>
      </w:pPr>
    </w:p>
    <w:p w14:paraId="580582A8" w14:textId="77777777" w:rsidR="00832A94" w:rsidRDefault="00832A94" w:rsidP="00BB55ED">
      <w:pPr>
        <w:rPr>
          <w:b/>
          <w:bCs/>
          <w:lang w:eastAsia="en-US"/>
        </w:rPr>
      </w:pPr>
    </w:p>
    <w:p w14:paraId="45DE6E66" w14:textId="04342E3C" w:rsidR="00FF6616" w:rsidRPr="00D904D6" w:rsidRDefault="00302FD8" w:rsidP="00BB55ED">
      <w:pPr>
        <w:rPr>
          <w:b/>
          <w:bCs/>
          <w:lang w:eastAsia="en-US"/>
        </w:rPr>
      </w:pPr>
      <w:r w:rsidRPr="00D904D6">
        <w:rPr>
          <w:b/>
          <w:bCs/>
          <w:lang w:eastAsia="en-US"/>
        </w:rPr>
        <w:t xml:space="preserve">Russia </w:t>
      </w:r>
    </w:p>
    <w:p w14:paraId="54DEBEC4" w14:textId="2D967CE9" w:rsidR="00FF6616" w:rsidRDefault="00FF6616" w:rsidP="00BB55ED">
      <w:pPr>
        <w:rPr>
          <w:lang w:eastAsia="en-US"/>
        </w:rPr>
      </w:pPr>
    </w:p>
    <w:p w14:paraId="3199CB2B" w14:textId="77777777" w:rsidR="00276B10" w:rsidRDefault="0038505F" w:rsidP="00D72364">
      <w:pPr>
        <w:spacing w:line="360" w:lineRule="auto"/>
        <w:jc w:val="both"/>
        <w:rPr>
          <w:b/>
          <w:bCs/>
          <w:i/>
          <w:iCs/>
          <w:sz w:val="24"/>
          <w:szCs w:val="24"/>
        </w:rPr>
      </w:pPr>
      <w:r w:rsidRPr="00B236CC">
        <w:rPr>
          <w:b/>
          <w:bCs/>
          <w:i/>
          <w:iCs/>
          <w:sz w:val="24"/>
          <w:szCs w:val="24"/>
        </w:rPr>
        <w:t>Descriptive Statistics</w:t>
      </w:r>
    </w:p>
    <w:p w14:paraId="08E6F249" w14:textId="74140CC8" w:rsidR="00276B10" w:rsidRDefault="00B158EC" w:rsidP="00D72364">
      <w:pPr>
        <w:spacing w:line="360" w:lineRule="auto"/>
        <w:jc w:val="both"/>
        <w:rPr>
          <w:sz w:val="24"/>
          <w:szCs w:val="24"/>
        </w:rPr>
      </w:pPr>
      <w:r w:rsidRPr="00B158EC">
        <w:rPr>
          <w:sz w:val="24"/>
          <w:szCs w:val="24"/>
        </w:rPr>
        <w:t>For CSR disclosure (SUM), the average value is 7.06, with a standard deviation of 1.243. This indicates that the CSR disclosure scores of the companies in this sample are moderately high and do not vary widely from the mean.</w:t>
      </w:r>
    </w:p>
    <w:p w14:paraId="15B72A18" w14:textId="6D230965" w:rsidR="002C3199" w:rsidRPr="008C0CAA" w:rsidRDefault="00CF0A7D" w:rsidP="00276B10">
      <w:pPr>
        <w:spacing w:line="360" w:lineRule="auto"/>
        <w:jc w:val="both"/>
        <w:rPr>
          <w:sz w:val="24"/>
          <w:szCs w:val="24"/>
        </w:rPr>
      </w:pPr>
      <w:r w:rsidRPr="00CF0A7D">
        <w:rPr>
          <w:sz w:val="24"/>
          <w:szCs w:val="24"/>
        </w:rPr>
        <w:t xml:space="preserve">Regarding ownership structure (OWN), where non-SOEs are coded as </w:t>
      </w:r>
      <w:r w:rsidR="00276B10">
        <w:rPr>
          <w:sz w:val="24"/>
          <w:szCs w:val="24"/>
        </w:rPr>
        <w:t>“</w:t>
      </w:r>
      <w:r w:rsidRPr="00CF0A7D">
        <w:rPr>
          <w:sz w:val="24"/>
          <w:szCs w:val="24"/>
        </w:rPr>
        <w:t>1</w:t>
      </w:r>
      <w:r w:rsidR="00276B10">
        <w:rPr>
          <w:sz w:val="24"/>
          <w:szCs w:val="24"/>
        </w:rPr>
        <w:t>”</w:t>
      </w:r>
      <w:r w:rsidRPr="00CF0A7D">
        <w:rPr>
          <w:sz w:val="24"/>
          <w:szCs w:val="24"/>
        </w:rPr>
        <w:t xml:space="preserve"> and SOEs as </w:t>
      </w:r>
      <w:r w:rsidR="00276B10">
        <w:rPr>
          <w:sz w:val="24"/>
          <w:szCs w:val="24"/>
        </w:rPr>
        <w:t>“</w:t>
      </w:r>
      <w:r w:rsidRPr="00CF0A7D">
        <w:rPr>
          <w:sz w:val="24"/>
          <w:szCs w:val="24"/>
        </w:rPr>
        <w:t>2</w:t>
      </w:r>
      <w:r w:rsidR="00276B10">
        <w:rPr>
          <w:sz w:val="24"/>
          <w:szCs w:val="24"/>
        </w:rPr>
        <w:t>”</w:t>
      </w:r>
      <w:r w:rsidRPr="00CF0A7D">
        <w:rPr>
          <w:sz w:val="24"/>
          <w:szCs w:val="24"/>
        </w:rPr>
        <w:t>, the average value is 1.28. This suggests that non-SOEs are more common than SOEs in this sample. The low standard deviation of 0.457 indicates limited variation in ownership structure within this group.</w:t>
      </w:r>
    </w:p>
    <w:p w14:paraId="64952537" w14:textId="77777777" w:rsidR="00276B10" w:rsidRDefault="00CF0A7D" w:rsidP="00276B10">
      <w:pPr>
        <w:spacing w:line="360" w:lineRule="auto"/>
        <w:jc w:val="both"/>
        <w:rPr>
          <w:sz w:val="24"/>
          <w:szCs w:val="24"/>
        </w:rPr>
      </w:pPr>
      <w:r w:rsidRPr="00CF0A7D">
        <w:rPr>
          <w:sz w:val="24"/>
          <w:szCs w:val="24"/>
        </w:rPr>
        <w:t>For ROA (Return on Assets), the average value is 12.858% with a standard deviation of 18.2081%. This shows a wide range in ROA among the companies in this sample.</w:t>
      </w:r>
    </w:p>
    <w:p w14:paraId="161A1A05" w14:textId="6B706C6B" w:rsidR="00276B10" w:rsidRDefault="002E1747" w:rsidP="00276B10">
      <w:pPr>
        <w:spacing w:line="360" w:lineRule="auto"/>
        <w:jc w:val="both"/>
        <w:rPr>
          <w:sz w:val="24"/>
          <w:szCs w:val="24"/>
        </w:rPr>
      </w:pPr>
      <w:r w:rsidRPr="002E1747">
        <w:rPr>
          <w:sz w:val="24"/>
          <w:szCs w:val="24"/>
        </w:rPr>
        <w:t>The average number of independent directors is 3.97, with a standard deviation of 1.656. This suggests that the number of independent directors in the companies in this sample does not vary widely from the mean.</w:t>
      </w:r>
    </w:p>
    <w:p w14:paraId="35723CB5" w14:textId="679A6A61" w:rsidR="00B9122D" w:rsidRPr="008929F8" w:rsidRDefault="002E1747" w:rsidP="00276B10">
      <w:pPr>
        <w:spacing w:line="360" w:lineRule="auto"/>
        <w:jc w:val="both"/>
        <w:rPr>
          <w:sz w:val="24"/>
          <w:szCs w:val="24"/>
        </w:rPr>
      </w:pPr>
      <w:r w:rsidRPr="002E1747">
        <w:rPr>
          <w:sz w:val="24"/>
          <w:szCs w:val="24"/>
        </w:rPr>
        <w:t xml:space="preserve">Regarding the age of the firm, the average number of years from establishment to the present is 38.72, with a standard deviation of 34.594 years. This indicates a wide range in the age of the companies in this </w:t>
      </w:r>
      <w:r w:rsidR="00792E53" w:rsidRPr="002E1747">
        <w:rPr>
          <w:sz w:val="24"/>
          <w:szCs w:val="24"/>
        </w:rPr>
        <w:t>sample. This</w:t>
      </w:r>
      <w:r w:rsidRPr="002E1747">
        <w:rPr>
          <w:sz w:val="24"/>
          <w:szCs w:val="24"/>
        </w:rPr>
        <w:t xml:space="preserve"> indicates a wide range in the age of the companies in this sample.</w:t>
      </w:r>
      <w:r>
        <w:rPr>
          <w:sz w:val="24"/>
          <w:szCs w:val="24"/>
        </w:rPr>
        <w:br/>
      </w:r>
      <w:r w:rsidRPr="000F69E1">
        <w:rPr>
          <w:sz w:val="24"/>
          <w:szCs w:val="24"/>
        </w:rPr>
        <w:t xml:space="preserve">For industry type, coded as </w:t>
      </w:r>
      <w:r w:rsidR="00276B10">
        <w:rPr>
          <w:sz w:val="24"/>
          <w:szCs w:val="24"/>
        </w:rPr>
        <w:t>“</w:t>
      </w:r>
      <w:r w:rsidRPr="000F69E1">
        <w:rPr>
          <w:sz w:val="24"/>
          <w:szCs w:val="24"/>
        </w:rPr>
        <w:t>1</w:t>
      </w:r>
      <w:r w:rsidR="00276B10">
        <w:rPr>
          <w:sz w:val="24"/>
          <w:szCs w:val="24"/>
        </w:rPr>
        <w:t>”</w:t>
      </w:r>
      <w:r w:rsidRPr="000F69E1">
        <w:rPr>
          <w:sz w:val="24"/>
          <w:szCs w:val="24"/>
        </w:rPr>
        <w:t xml:space="preserve"> for CSR-sensitive sectors and </w:t>
      </w:r>
      <w:r w:rsidR="00276B10">
        <w:rPr>
          <w:sz w:val="24"/>
          <w:szCs w:val="24"/>
        </w:rPr>
        <w:t>“</w:t>
      </w:r>
      <w:r w:rsidRPr="000F69E1">
        <w:rPr>
          <w:sz w:val="24"/>
          <w:szCs w:val="24"/>
        </w:rPr>
        <w:t>0</w:t>
      </w:r>
      <w:r w:rsidR="00276B10">
        <w:rPr>
          <w:sz w:val="24"/>
          <w:szCs w:val="24"/>
        </w:rPr>
        <w:t>”</w:t>
      </w:r>
      <w:r w:rsidRPr="000F69E1">
        <w:rPr>
          <w:sz w:val="24"/>
          <w:szCs w:val="24"/>
        </w:rPr>
        <w:t xml:space="preserve"> for non-sensitive sectors, the average value is 0.53. This suggests that </w:t>
      </w:r>
      <w:proofErr w:type="gramStart"/>
      <w:r w:rsidRPr="000F69E1">
        <w:rPr>
          <w:sz w:val="24"/>
          <w:szCs w:val="24"/>
        </w:rPr>
        <w:t>a majority of</w:t>
      </w:r>
      <w:proofErr w:type="gramEnd"/>
      <w:r w:rsidRPr="000F69E1">
        <w:rPr>
          <w:sz w:val="24"/>
          <w:szCs w:val="24"/>
        </w:rPr>
        <w:t xml:space="preserve"> the companies in this sample belong to CSR-sensitive sectors (see Figure </w:t>
      </w:r>
      <w:r w:rsidR="00840CC6">
        <w:rPr>
          <w:rFonts w:hint="eastAsia"/>
          <w:sz w:val="24"/>
          <w:szCs w:val="24"/>
        </w:rPr>
        <w:t>2</w:t>
      </w:r>
      <w:r w:rsidR="00695A40">
        <w:rPr>
          <w:rFonts w:hint="eastAsia"/>
          <w:sz w:val="24"/>
          <w:szCs w:val="24"/>
        </w:rPr>
        <w:t>4</w:t>
      </w:r>
      <w:r w:rsidRPr="000F69E1">
        <w:rPr>
          <w:sz w:val="24"/>
          <w:szCs w:val="24"/>
        </w:rPr>
        <w:t>).</w:t>
      </w:r>
    </w:p>
    <w:p w14:paraId="7740708A" w14:textId="1C4A0061" w:rsidR="00B9122D" w:rsidRDefault="00B45C9B" w:rsidP="00276B10">
      <w:pPr>
        <w:spacing w:line="360" w:lineRule="auto"/>
        <w:jc w:val="both"/>
        <w:rPr>
          <w:sz w:val="24"/>
          <w:szCs w:val="24"/>
        </w:rPr>
      </w:pPr>
      <w:r w:rsidRPr="00B45C9B">
        <w:rPr>
          <w:sz w:val="24"/>
          <w:szCs w:val="24"/>
        </w:rPr>
        <w:t xml:space="preserve">From these findings, it is evident that in the Russian sample, </w:t>
      </w:r>
      <w:proofErr w:type="gramStart"/>
      <w:r w:rsidRPr="00B45C9B">
        <w:rPr>
          <w:sz w:val="24"/>
          <w:szCs w:val="24"/>
        </w:rPr>
        <w:t>the majority of</w:t>
      </w:r>
      <w:proofErr w:type="gramEnd"/>
      <w:r w:rsidRPr="00B45C9B">
        <w:rPr>
          <w:sz w:val="24"/>
          <w:szCs w:val="24"/>
        </w:rPr>
        <w:t xml:space="preserve"> companies are non-SOEs, and many belong to CSR-sensitive industries. Additionally, while the establishment year and ROA of companies vary widely, CSR disclosure and the number of independent directors </w:t>
      </w:r>
      <w:r w:rsidR="00B236CC" w:rsidRPr="00B45C9B">
        <w:rPr>
          <w:sz w:val="24"/>
          <w:szCs w:val="24"/>
        </w:rPr>
        <w:t>does</w:t>
      </w:r>
      <w:r w:rsidRPr="00B45C9B">
        <w:rPr>
          <w:sz w:val="24"/>
          <w:szCs w:val="24"/>
        </w:rPr>
        <w:t xml:space="preserve"> not vary significantly from the mean.</w:t>
      </w:r>
    </w:p>
    <w:p w14:paraId="787CF409" w14:textId="77777777" w:rsidR="00B9122D" w:rsidRDefault="00B9122D" w:rsidP="00276B10">
      <w:pPr>
        <w:spacing w:line="360" w:lineRule="auto"/>
        <w:rPr>
          <w:sz w:val="24"/>
          <w:szCs w:val="24"/>
        </w:rPr>
      </w:pPr>
    </w:p>
    <w:p w14:paraId="1EEBF193" w14:textId="77777777" w:rsidR="002E623E" w:rsidRDefault="002E623E" w:rsidP="00276B10">
      <w:pPr>
        <w:spacing w:line="360" w:lineRule="auto"/>
        <w:rPr>
          <w:sz w:val="24"/>
          <w:szCs w:val="24"/>
        </w:rPr>
      </w:pPr>
    </w:p>
    <w:p w14:paraId="65EB9087" w14:textId="77777777" w:rsidR="002E623E" w:rsidRDefault="002E623E" w:rsidP="00276B10">
      <w:pPr>
        <w:spacing w:line="360" w:lineRule="auto"/>
        <w:rPr>
          <w:sz w:val="24"/>
          <w:szCs w:val="24"/>
        </w:rPr>
      </w:pPr>
    </w:p>
    <w:p w14:paraId="42D5D114" w14:textId="77777777" w:rsidR="002E623E" w:rsidRDefault="002E623E" w:rsidP="00276B10">
      <w:pPr>
        <w:spacing w:line="360" w:lineRule="auto"/>
        <w:rPr>
          <w:sz w:val="24"/>
          <w:szCs w:val="24"/>
        </w:rPr>
      </w:pPr>
    </w:p>
    <w:p w14:paraId="0D849381" w14:textId="77777777" w:rsidR="002E623E" w:rsidRDefault="002E623E" w:rsidP="00276B10">
      <w:pPr>
        <w:spacing w:line="360" w:lineRule="auto"/>
        <w:rPr>
          <w:sz w:val="24"/>
          <w:szCs w:val="24"/>
        </w:rPr>
      </w:pPr>
    </w:p>
    <w:p w14:paraId="5F85C58E" w14:textId="77777777" w:rsidR="002E623E" w:rsidRPr="00321293" w:rsidRDefault="002E623E" w:rsidP="00276B10">
      <w:pPr>
        <w:spacing w:line="360" w:lineRule="auto"/>
        <w:rPr>
          <w:sz w:val="24"/>
          <w:szCs w:val="24"/>
        </w:rPr>
      </w:pPr>
    </w:p>
    <w:p w14:paraId="3B741AFA" w14:textId="75676896" w:rsidR="00FF6616" w:rsidRPr="00B9122D" w:rsidRDefault="002E623E" w:rsidP="002E623E">
      <w:pPr>
        <w:tabs>
          <w:tab w:val="left" w:pos="3583"/>
          <w:tab w:val="center" w:pos="4680"/>
        </w:tabs>
        <w:rPr>
          <w:i/>
          <w:iCs/>
        </w:rPr>
      </w:pPr>
      <w:r>
        <w:rPr>
          <w:i/>
          <w:iCs/>
        </w:rPr>
        <w:tab/>
      </w:r>
      <w:r>
        <w:rPr>
          <w:i/>
          <w:iCs/>
        </w:rPr>
        <w:tab/>
      </w:r>
      <w:r w:rsidR="00D904D6" w:rsidRPr="00D904D6">
        <w:rPr>
          <w:rFonts w:hint="eastAsia"/>
          <w:i/>
          <w:iCs/>
        </w:rPr>
        <w:t xml:space="preserve">Figure </w:t>
      </w:r>
      <w:r w:rsidR="00840CC6">
        <w:rPr>
          <w:rFonts w:hint="eastAsia"/>
          <w:i/>
          <w:iCs/>
        </w:rPr>
        <w:t>2</w:t>
      </w:r>
      <w:r w:rsidR="00695A40">
        <w:rPr>
          <w:rFonts w:hint="eastAsia"/>
          <w:i/>
          <w:iCs/>
        </w:rPr>
        <w:t>4</w:t>
      </w:r>
      <w:r w:rsidR="00840CC6">
        <w:rPr>
          <w:rFonts w:hint="eastAsia"/>
          <w:i/>
          <w:iCs/>
        </w:rPr>
        <w:t>.</w:t>
      </w:r>
    </w:p>
    <w:p w14:paraId="194FC64F" w14:textId="475A9671" w:rsidR="00321293" w:rsidRDefault="00B9122D" w:rsidP="00BB55ED">
      <w:r>
        <w:rPr>
          <w:noProof/>
          <w:lang w:eastAsia="en-US"/>
        </w:rPr>
        <w:drawing>
          <wp:anchor distT="0" distB="0" distL="114300" distR="114300" simplePos="0" relativeHeight="251658247" behindDoc="0" locked="0" layoutInCell="1" allowOverlap="1" wp14:anchorId="3CB5CF42" wp14:editId="0D150EA9">
            <wp:simplePos x="0" y="0"/>
            <wp:positionH relativeFrom="column">
              <wp:posOffset>1118439</wp:posOffset>
            </wp:positionH>
            <wp:positionV relativeFrom="paragraph">
              <wp:posOffset>196052</wp:posOffset>
            </wp:positionV>
            <wp:extent cx="3543300" cy="1685925"/>
            <wp:effectExtent l="0" t="0" r="0" b="9525"/>
            <wp:wrapTopAndBottom/>
            <wp:docPr id="54240037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3300" cy="1685925"/>
                    </a:xfrm>
                    <a:prstGeom prst="rect">
                      <a:avLst/>
                    </a:prstGeom>
                    <a:noFill/>
                  </pic:spPr>
                </pic:pic>
              </a:graphicData>
            </a:graphic>
          </wp:anchor>
        </w:drawing>
      </w:r>
    </w:p>
    <w:p w14:paraId="030FE2A3" w14:textId="77777777" w:rsidR="00FC329C" w:rsidRDefault="00FC329C" w:rsidP="00545D5C"/>
    <w:p w14:paraId="1315DB42" w14:textId="74B075FB" w:rsidR="00276B10" w:rsidRDefault="00B45C9B" w:rsidP="00276B10">
      <w:pPr>
        <w:spacing w:line="360" w:lineRule="auto"/>
        <w:jc w:val="both"/>
        <w:rPr>
          <w:sz w:val="24"/>
          <w:szCs w:val="24"/>
        </w:rPr>
      </w:pPr>
      <w:r>
        <w:rPr>
          <w:sz w:val="24"/>
          <w:szCs w:val="24"/>
        </w:rPr>
        <w:br/>
      </w:r>
      <w:r w:rsidR="00C519C6" w:rsidRPr="00C519C6">
        <w:rPr>
          <w:b/>
          <w:bCs/>
          <w:i/>
          <w:iCs/>
          <w:sz w:val="24"/>
          <w:szCs w:val="24"/>
        </w:rPr>
        <w:t>C</w:t>
      </w:r>
      <w:r w:rsidRPr="00C519C6">
        <w:rPr>
          <w:b/>
          <w:bCs/>
          <w:i/>
          <w:iCs/>
          <w:sz w:val="24"/>
          <w:szCs w:val="24"/>
        </w:rPr>
        <w:t>orrelation</w:t>
      </w:r>
      <w:r w:rsidR="00C519C6" w:rsidRPr="00C519C6">
        <w:rPr>
          <w:b/>
          <w:bCs/>
          <w:i/>
          <w:iCs/>
          <w:sz w:val="24"/>
          <w:szCs w:val="24"/>
        </w:rPr>
        <w:br/>
      </w:r>
      <w:r w:rsidR="00276B10">
        <w:rPr>
          <w:sz w:val="24"/>
          <w:szCs w:val="24"/>
        </w:rPr>
        <w:t>F</w:t>
      </w:r>
      <w:r w:rsidRPr="00B45C9B">
        <w:rPr>
          <w:sz w:val="24"/>
          <w:szCs w:val="24"/>
        </w:rPr>
        <w:t xml:space="preserve">or ownership structure (OWN) and CSR disclosure (SUM), the Pearson correlation coefficient is 0.025. This indicates almost no correlation between </w:t>
      </w:r>
      <w:r w:rsidR="002659C6">
        <w:rPr>
          <w:sz w:val="24"/>
          <w:szCs w:val="24"/>
        </w:rPr>
        <w:t>these t</w:t>
      </w:r>
      <w:r w:rsidR="00C348D7">
        <w:rPr>
          <w:sz w:val="24"/>
          <w:szCs w:val="24"/>
        </w:rPr>
        <w:t>wo</w:t>
      </w:r>
      <w:r w:rsidRPr="00B45C9B">
        <w:rPr>
          <w:sz w:val="24"/>
          <w:szCs w:val="24"/>
        </w:rPr>
        <w:t>. The significance level</w:t>
      </w:r>
      <w:r w:rsidR="00B42F09">
        <w:rPr>
          <w:sz w:val="24"/>
          <w:szCs w:val="24"/>
        </w:rPr>
        <w:t xml:space="preserve"> </w:t>
      </w:r>
      <w:r w:rsidRPr="00B45C9B">
        <w:rPr>
          <w:sz w:val="24"/>
          <w:szCs w:val="24"/>
        </w:rPr>
        <w:t>is 0.446, which exceeds the common thresholds (e.g., .05 or .01), indicating that this correlation is not statistically significant.</w:t>
      </w:r>
    </w:p>
    <w:p w14:paraId="2A821E6E" w14:textId="77777777" w:rsidR="00276B10" w:rsidRDefault="00D047CD" w:rsidP="00276B10">
      <w:pPr>
        <w:spacing w:line="360" w:lineRule="auto"/>
        <w:jc w:val="both"/>
        <w:rPr>
          <w:sz w:val="24"/>
          <w:szCs w:val="24"/>
        </w:rPr>
      </w:pPr>
      <w:r w:rsidRPr="00D047CD">
        <w:rPr>
          <w:sz w:val="24"/>
          <w:szCs w:val="24"/>
        </w:rPr>
        <w:t>For ROA and CSR disclosure (SUM), the Pearson correlation coefficient is 0.112, suggesting a weak positive correlation between ROA and CSR disclosure. However, the significance level is 0.271, which exceeds common thresholds, indicating that this correlation is not statistically significant.</w:t>
      </w:r>
      <w:r>
        <w:rPr>
          <w:sz w:val="24"/>
          <w:szCs w:val="24"/>
        </w:rPr>
        <w:br/>
      </w:r>
      <w:r w:rsidRPr="00D047CD">
        <w:rPr>
          <w:sz w:val="24"/>
          <w:szCs w:val="24"/>
        </w:rPr>
        <w:t>For the number of independent directors and CSR disclosure (SUM), the Pearson correlation coefficient is 0.001, indicating almost no correlation. The significance level is 0.498, which exceeds common thresholds, indicating that this correlation is not statistically significant.</w:t>
      </w:r>
      <w:r>
        <w:rPr>
          <w:sz w:val="24"/>
          <w:szCs w:val="24"/>
        </w:rPr>
        <w:br/>
      </w:r>
      <w:r w:rsidR="000F50BE" w:rsidRPr="000F50BE">
        <w:rPr>
          <w:sz w:val="24"/>
          <w:szCs w:val="24"/>
        </w:rPr>
        <w:t>For the age of the firm and CSR disclosure (SUM), the Pearson correlation coefficient is -0.127, indicating a weak negative correlation. The significance level is 0.244, which exceeds common thresholds, indicating that this correlation is not statistically significant.</w:t>
      </w:r>
    </w:p>
    <w:p w14:paraId="196798C6" w14:textId="5CD618A8" w:rsidR="00545D5C" w:rsidRPr="00B60C33" w:rsidRDefault="001109C1" w:rsidP="00276B10">
      <w:pPr>
        <w:spacing w:line="360" w:lineRule="auto"/>
        <w:jc w:val="both"/>
        <w:rPr>
          <w:sz w:val="24"/>
          <w:szCs w:val="24"/>
        </w:rPr>
      </w:pPr>
      <w:r w:rsidRPr="001109C1">
        <w:rPr>
          <w:sz w:val="24"/>
          <w:szCs w:val="24"/>
        </w:rPr>
        <w:t>For industry type and CSR disclosure (SUM), the Pearson correlation coefficient is 0.048, indicating almost no correlation. The significance level is 0.397, which exceeds common thresholds, indicating that this correlation is not statistically significant.</w:t>
      </w:r>
    </w:p>
    <w:p w14:paraId="294A7D9B" w14:textId="00D75C14" w:rsidR="008F08A4" w:rsidRPr="00B236CC" w:rsidRDefault="001109C1" w:rsidP="00276B10">
      <w:pPr>
        <w:spacing w:line="360" w:lineRule="auto"/>
        <w:jc w:val="both"/>
        <w:rPr>
          <w:sz w:val="24"/>
          <w:szCs w:val="24"/>
        </w:rPr>
      </w:pPr>
      <w:r w:rsidRPr="00B236CC">
        <w:rPr>
          <w:sz w:val="24"/>
          <w:szCs w:val="24"/>
        </w:rPr>
        <w:t>These results show that while there are weak to moderate positive and negative relationships between each variable and CSR disclosure, none of the correlations are statistically significant (</w:t>
      </w:r>
      <w:r w:rsidR="00695A40">
        <w:rPr>
          <w:rFonts w:hint="eastAsia"/>
          <w:sz w:val="24"/>
          <w:szCs w:val="24"/>
        </w:rPr>
        <w:t>s</w:t>
      </w:r>
      <w:r w:rsidRPr="00B236CC">
        <w:rPr>
          <w:sz w:val="24"/>
          <w:szCs w:val="24"/>
        </w:rPr>
        <w:t xml:space="preserve">ee Figure </w:t>
      </w:r>
      <w:r w:rsidR="00840CC6">
        <w:rPr>
          <w:rFonts w:hint="eastAsia"/>
          <w:sz w:val="24"/>
          <w:szCs w:val="24"/>
        </w:rPr>
        <w:t>2</w:t>
      </w:r>
      <w:r w:rsidR="00695A40">
        <w:rPr>
          <w:rFonts w:hint="eastAsia"/>
          <w:sz w:val="24"/>
          <w:szCs w:val="24"/>
        </w:rPr>
        <w:t>5</w:t>
      </w:r>
      <w:r w:rsidRPr="00B236CC">
        <w:rPr>
          <w:sz w:val="24"/>
          <w:szCs w:val="24"/>
        </w:rPr>
        <w:t>).</w:t>
      </w:r>
    </w:p>
    <w:p w14:paraId="3110B639" w14:textId="58529C67" w:rsidR="008F08A4" w:rsidRPr="00F32B6E" w:rsidRDefault="00F32B6E" w:rsidP="00F32B6E">
      <w:pPr>
        <w:jc w:val="center"/>
        <w:rPr>
          <w:i/>
          <w:iCs/>
        </w:rPr>
      </w:pPr>
      <w:r>
        <w:rPr>
          <w:noProof/>
          <w:lang w:eastAsia="en-US"/>
        </w:rPr>
        <w:drawing>
          <wp:anchor distT="0" distB="0" distL="114300" distR="114300" simplePos="0" relativeHeight="251658248" behindDoc="0" locked="0" layoutInCell="1" allowOverlap="1" wp14:anchorId="30C8E1E3" wp14:editId="147E54A4">
            <wp:simplePos x="0" y="0"/>
            <wp:positionH relativeFrom="margin">
              <wp:align>left</wp:align>
            </wp:positionH>
            <wp:positionV relativeFrom="paragraph">
              <wp:posOffset>325755</wp:posOffset>
            </wp:positionV>
            <wp:extent cx="6002079" cy="3477011"/>
            <wp:effectExtent l="0" t="0" r="0" b="9525"/>
            <wp:wrapTopAndBottom/>
            <wp:docPr id="190031106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2079" cy="3477011"/>
                    </a:xfrm>
                    <a:prstGeom prst="rect">
                      <a:avLst/>
                    </a:prstGeom>
                    <a:noFill/>
                  </pic:spPr>
                </pic:pic>
              </a:graphicData>
            </a:graphic>
          </wp:anchor>
        </w:drawing>
      </w:r>
      <w:r w:rsidRPr="00F32B6E">
        <w:rPr>
          <w:rFonts w:hint="eastAsia"/>
          <w:i/>
          <w:iCs/>
        </w:rPr>
        <w:t xml:space="preserve">Figure </w:t>
      </w:r>
      <w:r w:rsidR="00840CC6">
        <w:rPr>
          <w:rFonts w:hint="eastAsia"/>
          <w:i/>
          <w:iCs/>
        </w:rPr>
        <w:t>2</w:t>
      </w:r>
      <w:r w:rsidR="00695A40">
        <w:rPr>
          <w:rFonts w:hint="eastAsia"/>
          <w:i/>
          <w:iCs/>
        </w:rPr>
        <w:t>5</w:t>
      </w:r>
      <w:r w:rsidR="00840CC6">
        <w:rPr>
          <w:rFonts w:hint="eastAsia"/>
          <w:i/>
          <w:iCs/>
        </w:rPr>
        <w:t>.</w:t>
      </w:r>
    </w:p>
    <w:p w14:paraId="450B3FBC" w14:textId="3419D67E" w:rsidR="008F08A4" w:rsidRDefault="008F08A4" w:rsidP="00BB55ED"/>
    <w:p w14:paraId="7E4DF63D" w14:textId="1C7CD5CD" w:rsidR="00AA5D23" w:rsidRDefault="00AA5D23" w:rsidP="00276B10">
      <w:pPr>
        <w:autoSpaceDE w:val="0"/>
        <w:autoSpaceDN w:val="0"/>
        <w:adjustRightInd w:val="0"/>
        <w:spacing w:line="360" w:lineRule="auto"/>
        <w:jc w:val="both"/>
        <w:rPr>
          <w:sz w:val="24"/>
          <w:szCs w:val="24"/>
        </w:rPr>
      </w:pPr>
      <w:r>
        <w:rPr>
          <w:b/>
          <w:bCs/>
          <w:i/>
          <w:iCs/>
          <w:sz w:val="24"/>
          <w:szCs w:val="24"/>
        </w:rPr>
        <w:t>Model</w:t>
      </w:r>
      <w:r w:rsidR="001109C1" w:rsidRPr="001109C1">
        <w:rPr>
          <w:sz w:val="24"/>
          <w:szCs w:val="24"/>
        </w:rPr>
        <w:t xml:space="preserve"> </w:t>
      </w:r>
      <w:r w:rsidR="00D43A0C">
        <w:rPr>
          <w:sz w:val="24"/>
          <w:szCs w:val="24"/>
        </w:rPr>
        <w:br/>
      </w:r>
      <w:r w:rsidR="001109C1" w:rsidRPr="001109C1">
        <w:rPr>
          <w:sz w:val="24"/>
          <w:szCs w:val="24"/>
        </w:rPr>
        <w:t>the model shows an R (correlation coefficient) of 0.211, indicating a weak positive relationship between the independent and dependent variables. The R Square (coefficient of determination) is 0.045, indicating that the independent variables explain about 4.5% of the variation in the dependent variable.</w:t>
      </w:r>
    </w:p>
    <w:p w14:paraId="789CC460" w14:textId="258D7359" w:rsidR="004C45AB" w:rsidRPr="00AA5D23" w:rsidRDefault="009258A9" w:rsidP="00276B10">
      <w:pPr>
        <w:autoSpaceDE w:val="0"/>
        <w:autoSpaceDN w:val="0"/>
        <w:adjustRightInd w:val="0"/>
        <w:spacing w:line="360" w:lineRule="auto"/>
        <w:jc w:val="both"/>
        <w:rPr>
          <w:sz w:val="24"/>
          <w:szCs w:val="24"/>
        </w:rPr>
      </w:pPr>
      <w:r w:rsidRPr="0038505F">
        <w:rPr>
          <w:sz w:val="24"/>
          <w:szCs w:val="24"/>
        </w:rPr>
        <w:t>These results suggest that while there is a weak positive relationship between the independent and dependent variables, this relationship is statistically very small. Therefore, it is possible that the independent variables do not have a significant impact on CSR disclosure (</w:t>
      </w:r>
      <w:r w:rsidR="00695A40">
        <w:rPr>
          <w:rFonts w:hint="eastAsia"/>
          <w:sz w:val="24"/>
          <w:szCs w:val="24"/>
        </w:rPr>
        <w:t>s</w:t>
      </w:r>
      <w:r w:rsidRPr="0038505F">
        <w:rPr>
          <w:sz w:val="24"/>
          <w:szCs w:val="24"/>
        </w:rPr>
        <w:t xml:space="preserve">ee Figure </w:t>
      </w:r>
      <w:r w:rsidR="00840CC6">
        <w:rPr>
          <w:rFonts w:hint="eastAsia"/>
          <w:sz w:val="24"/>
          <w:szCs w:val="24"/>
        </w:rPr>
        <w:t>2</w:t>
      </w:r>
      <w:r w:rsidR="00695A40">
        <w:rPr>
          <w:rFonts w:hint="eastAsia"/>
          <w:sz w:val="24"/>
          <w:szCs w:val="24"/>
        </w:rPr>
        <w:t>6</w:t>
      </w:r>
      <w:r w:rsidRPr="0038505F">
        <w:rPr>
          <w:sz w:val="24"/>
          <w:szCs w:val="24"/>
        </w:rPr>
        <w:t>).</w:t>
      </w:r>
      <w:r w:rsidR="001109C1">
        <w:br/>
      </w:r>
      <w:r w:rsidR="001109C1">
        <w:br/>
      </w:r>
    </w:p>
    <w:p w14:paraId="1024EF48" w14:textId="0A154E0B" w:rsidR="00A172EE" w:rsidRPr="004C45AB" w:rsidRDefault="004C45AB" w:rsidP="004C45AB">
      <w:pPr>
        <w:jc w:val="center"/>
        <w:rPr>
          <w:i/>
          <w:iCs/>
        </w:rPr>
      </w:pPr>
      <w:r w:rsidRPr="004C45AB">
        <w:rPr>
          <w:i/>
          <w:iCs/>
          <w:noProof/>
          <w:lang w:eastAsia="en-US"/>
        </w:rPr>
        <w:drawing>
          <wp:anchor distT="0" distB="0" distL="114300" distR="114300" simplePos="0" relativeHeight="251658249" behindDoc="0" locked="0" layoutInCell="1" allowOverlap="1" wp14:anchorId="0315168C" wp14:editId="2104BFF1">
            <wp:simplePos x="0" y="0"/>
            <wp:positionH relativeFrom="margin">
              <wp:align>center</wp:align>
            </wp:positionH>
            <wp:positionV relativeFrom="paragraph">
              <wp:posOffset>336097</wp:posOffset>
            </wp:positionV>
            <wp:extent cx="4523105" cy="1469390"/>
            <wp:effectExtent l="0" t="0" r="0" b="0"/>
            <wp:wrapTopAndBottom/>
            <wp:docPr id="136873358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3105" cy="1469390"/>
                    </a:xfrm>
                    <a:prstGeom prst="rect">
                      <a:avLst/>
                    </a:prstGeom>
                    <a:noFill/>
                  </pic:spPr>
                </pic:pic>
              </a:graphicData>
            </a:graphic>
            <wp14:sizeRelH relativeFrom="margin">
              <wp14:pctWidth>0</wp14:pctWidth>
            </wp14:sizeRelH>
            <wp14:sizeRelV relativeFrom="margin">
              <wp14:pctHeight>0</wp14:pctHeight>
            </wp14:sizeRelV>
          </wp:anchor>
        </w:drawing>
      </w:r>
      <w:r w:rsidRPr="004C45AB">
        <w:rPr>
          <w:rFonts w:hint="eastAsia"/>
          <w:i/>
          <w:iCs/>
        </w:rPr>
        <w:t xml:space="preserve">Figure </w:t>
      </w:r>
      <w:r w:rsidR="00840CC6">
        <w:rPr>
          <w:rFonts w:hint="eastAsia"/>
          <w:i/>
          <w:iCs/>
        </w:rPr>
        <w:t>2</w:t>
      </w:r>
      <w:r w:rsidR="00695A40">
        <w:rPr>
          <w:rFonts w:hint="eastAsia"/>
          <w:i/>
          <w:iCs/>
        </w:rPr>
        <w:t>6</w:t>
      </w:r>
      <w:r w:rsidR="00840CC6">
        <w:rPr>
          <w:rFonts w:hint="eastAsia"/>
          <w:i/>
          <w:iCs/>
        </w:rPr>
        <w:t>.</w:t>
      </w:r>
    </w:p>
    <w:p w14:paraId="1A037636" w14:textId="77777777" w:rsidR="008F08A4" w:rsidRDefault="008F08A4" w:rsidP="00BB55ED"/>
    <w:p w14:paraId="31498D0D" w14:textId="77777777" w:rsidR="00A172EE" w:rsidRDefault="00A172EE" w:rsidP="00BB55ED"/>
    <w:p w14:paraId="07F45D14" w14:textId="77777777" w:rsidR="000A04C7" w:rsidRDefault="000A04C7" w:rsidP="00BB55ED"/>
    <w:p w14:paraId="58E9202B" w14:textId="2CE53209" w:rsidR="00357CB2" w:rsidRDefault="00AA5D23" w:rsidP="00D72364">
      <w:pPr>
        <w:spacing w:line="360" w:lineRule="auto"/>
        <w:rPr>
          <w:sz w:val="24"/>
          <w:szCs w:val="24"/>
        </w:rPr>
      </w:pPr>
      <w:r w:rsidRPr="00D43A0C">
        <w:rPr>
          <w:b/>
          <w:bCs/>
          <w:i/>
          <w:iCs/>
          <w:sz w:val="24"/>
          <w:szCs w:val="24"/>
        </w:rPr>
        <w:t>Causality</w:t>
      </w:r>
    </w:p>
    <w:p w14:paraId="3249E7DD" w14:textId="77777777" w:rsidR="00276B10" w:rsidRDefault="009258A9" w:rsidP="00D72364">
      <w:pPr>
        <w:spacing w:line="360" w:lineRule="auto"/>
        <w:jc w:val="both"/>
        <w:rPr>
          <w:sz w:val="24"/>
          <w:szCs w:val="24"/>
        </w:rPr>
      </w:pPr>
      <w:r w:rsidRPr="009258A9">
        <w:rPr>
          <w:sz w:val="24"/>
          <w:szCs w:val="24"/>
        </w:rPr>
        <w:t>As for the analysis results in causality, the unstandardized coefficient (B) for ownership structure (OWN) is 0.360, indicating that a one-unit change in ownership structure (from non-SOE to SOE) would increase the CSR disclosure score by an average of 0.360 points. The t-value for this coefficient is 0.602, and the p-value (Sig.) is 0.552. These values indicate that this coefficient is not statistically significant</w:t>
      </w:r>
      <w:r w:rsidR="00F77F06">
        <w:rPr>
          <w:sz w:val="24"/>
          <w:szCs w:val="24"/>
        </w:rPr>
        <w:t>.</w:t>
      </w:r>
    </w:p>
    <w:p w14:paraId="3F424CB1" w14:textId="77777777" w:rsidR="00276B10" w:rsidRDefault="00C44516" w:rsidP="00276B10">
      <w:pPr>
        <w:spacing w:line="360" w:lineRule="auto"/>
        <w:jc w:val="both"/>
        <w:rPr>
          <w:sz w:val="24"/>
          <w:szCs w:val="24"/>
        </w:rPr>
      </w:pPr>
      <w:r w:rsidRPr="00C44516">
        <w:rPr>
          <w:sz w:val="24"/>
          <w:szCs w:val="24"/>
        </w:rPr>
        <w:t>The unstandardized coefficient (B) for the age of the firm is -0.007, indicating that a one-unit change in the firm's age would decrease the CSR disclosure score by an average of 0.007 points. The t-value for this coefficient is -0.899, and the p-value (Sig.) is 0.377. These values indicate that this coefficient is not statistically significant.</w:t>
      </w:r>
    </w:p>
    <w:p w14:paraId="10EA4E9F" w14:textId="77777777" w:rsidR="00276B10" w:rsidRDefault="00C44516" w:rsidP="00276B10">
      <w:pPr>
        <w:spacing w:line="360" w:lineRule="auto"/>
        <w:jc w:val="both"/>
        <w:rPr>
          <w:sz w:val="24"/>
          <w:szCs w:val="24"/>
        </w:rPr>
      </w:pPr>
      <w:r w:rsidRPr="00C44516">
        <w:rPr>
          <w:sz w:val="24"/>
          <w:szCs w:val="24"/>
        </w:rPr>
        <w:t>The unstandardized coefficient (B) for ROA is 0.011, indicating that a one-unit change in ROA would increase the CSR disclosure score by an average of 0.011 points. The t-value for this coefficient is 0.727, and the p-value (Sig.) is 0.474. These values indicate that this coefficient is not statistically significant.</w:t>
      </w:r>
    </w:p>
    <w:p w14:paraId="4C3CB74F" w14:textId="07D6D214" w:rsidR="000A04C7" w:rsidRPr="00C86871" w:rsidRDefault="00C44516" w:rsidP="00276B10">
      <w:pPr>
        <w:spacing w:line="360" w:lineRule="auto"/>
        <w:jc w:val="both"/>
        <w:rPr>
          <w:sz w:val="24"/>
          <w:szCs w:val="24"/>
        </w:rPr>
      </w:pPr>
      <w:r w:rsidRPr="00C44516">
        <w:rPr>
          <w:sz w:val="24"/>
          <w:szCs w:val="24"/>
        </w:rPr>
        <w:t xml:space="preserve">The unstandardized coefficient (B) for the number of independent directors is 0.063, indicating that a one-unit change in the number of independent directors would </w:t>
      </w:r>
      <w:r w:rsidR="00320874">
        <w:rPr>
          <w:sz w:val="24"/>
          <w:szCs w:val="24"/>
        </w:rPr>
        <w:t>increase</w:t>
      </w:r>
      <w:r w:rsidRPr="00C44516">
        <w:rPr>
          <w:sz w:val="24"/>
          <w:szCs w:val="24"/>
        </w:rPr>
        <w:t xml:space="preserve"> the CSR disclosure score by an average of 0.063 points. The t-value for this coefficient is 0.376, and the p-value (Sig.) is 0.710. These values indicate that this coefficient is not statistically significant.</w:t>
      </w:r>
      <w:r>
        <w:rPr>
          <w:sz w:val="24"/>
          <w:szCs w:val="24"/>
        </w:rPr>
        <w:br/>
      </w:r>
      <w:r w:rsidR="00847A92" w:rsidRPr="00847A92">
        <w:rPr>
          <w:sz w:val="24"/>
          <w:szCs w:val="24"/>
        </w:rPr>
        <w:t>The unstandardized coefficient (B) for industry type is -0.156, indicating that a one-unit change in industry type would decrease the CSR disclosure score by an average of 0.156 points. The t-value for this coefficient is -0.272, and the p-value (Sig.) is 0.788. These values indicate that this coefficient is not statistically significant.</w:t>
      </w:r>
    </w:p>
    <w:p w14:paraId="11F2CB1F" w14:textId="714F76AD" w:rsidR="003B7180" w:rsidRDefault="00847A92" w:rsidP="00276B10">
      <w:pPr>
        <w:spacing w:line="360" w:lineRule="auto"/>
        <w:jc w:val="both"/>
        <w:rPr>
          <w:sz w:val="24"/>
          <w:szCs w:val="24"/>
        </w:rPr>
      </w:pPr>
      <w:r w:rsidRPr="00847A92">
        <w:rPr>
          <w:sz w:val="24"/>
          <w:szCs w:val="24"/>
        </w:rPr>
        <w:t xml:space="preserve">A regression model was created to examine whether the </w:t>
      </w:r>
      <w:r w:rsidR="0072657D">
        <w:rPr>
          <w:sz w:val="24"/>
          <w:szCs w:val="24"/>
        </w:rPr>
        <w:t>independent</w:t>
      </w:r>
      <w:r w:rsidRPr="00847A92">
        <w:rPr>
          <w:sz w:val="24"/>
          <w:szCs w:val="24"/>
        </w:rPr>
        <w:t xml:space="preserve"> variables</w:t>
      </w:r>
      <w:r w:rsidR="00B2482F">
        <w:rPr>
          <w:sz w:val="24"/>
          <w:szCs w:val="24"/>
        </w:rPr>
        <w:t xml:space="preserve"> </w:t>
      </w:r>
      <w:r w:rsidRPr="00847A92">
        <w:rPr>
          <w:sz w:val="24"/>
          <w:szCs w:val="24"/>
        </w:rPr>
        <w:t xml:space="preserve">have an impact on CSR disclosure. The results indicate that none of these </w:t>
      </w:r>
      <w:r w:rsidR="0072657D">
        <w:rPr>
          <w:sz w:val="24"/>
          <w:szCs w:val="24"/>
        </w:rPr>
        <w:t>independent</w:t>
      </w:r>
      <w:r w:rsidRPr="00847A92">
        <w:rPr>
          <w:sz w:val="24"/>
          <w:szCs w:val="24"/>
        </w:rPr>
        <w:t xml:space="preserve"> variables have a statistically significant impact on CSR disclosure (</w:t>
      </w:r>
      <w:r w:rsidR="00695A40">
        <w:rPr>
          <w:rFonts w:hint="eastAsia"/>
          <w:sz w:val="24"/>
          <w:szCs w:val="24"/>
        </w:rPr>
        <w:t>s</w:t>
      </w:r>
      <w:r w:rsidRPr="00847A92">
        <w:rPr>
          <w:sz w:val="24"/>
          <w:szCs w:val="24"/>
        </w:rPr>
        <w:t xml:space="preserve">ee Figure </w:t>
      </w:r>
      <w:r w:rsidR="00840CC6">
        <w:rPr>
          <w:rFonts w:hint="eastAsia"/>
          <w:sz w:val="24"/>
          <w:szCs w:val="24"/>
        </w:rPr>
        <w:t>2</w:t>
      </w:r>
      <w:r w:rsidR="00695A40">
        <w:rPr>
          <w:rFonts w:hint="eastAsia"/>
          <w:sz w:val="24"/>
          <w:szCs w:val="24"/>
        </w:rPr>
        <w:t>7</w:t>
      </w:r>
      <w:r w:rsidRPr="00847A92">
        <w:rPr>
          <w:sz w:val="24"/>
          <w:szCs w:val="24"/>
        </w:rPr>
        <w:t>).</w:t>
      </w:r>
    </w:p>
    <w:p w14:paraId="33C046FC" w14:textId="77777777" w:rsidR="009312C5" w:rsidRPr="009312C5" w:rsidRDefault="009312C5" w:rsidP="00BB55ED">
      <w:pPr>
        <w:rPr>
          <w:sz w:val="24"/>
          <w:szCs w:val="24"/>
        </w:rPr>
      </w:pPr>
    </w:p>
    <w:p w14:paraId="5048A7DC" w14:textId="6858E0B2" w:rsidR="003B7180" w:rsidRPr="009312C5" w:rsidRDefault="009312C5" w:rsidP="009312C5">
      <w:pPr>
        <w:jc w:val="center"/>
        <w:rPr>
          <w:i/>
          <w:iCs/>
        </w:rPr>
      </w:pPr>
      <w:r w:rsidRPr="009312C5">
        <w:rPr>
          <w:i/>
          <w:iCs/>
          <w:noProof/>
          <w:sz w:val="24"/>
          <w:szCs w:val="24"/>
          <w:lang w:eastAsia="en-US"/>
        </w:rPr>
        <w:drawing>
          <wp:anchor distT="0" distB="0" distL="114300" distR="114300" simplePos="0" relativeHeight="251658250" behindDoc="0" locked="0" layoutInCell="1" allowOverlap="1" wp14:anchorId="481CFAB3" wp14:editId="1DB7C6B2">
            <wp:simplePos x="0" y="0"/>
            <wp:positionH relativeFrom="margin">
              <wp:align>center</wp:align>
            </wp:positionH>
            <wp:positionV relativeFrom="paragraph">
              <wp:posOffset>326521</wp:posOffset>
            </wp:positionV>
            <wp:extent cx="5715000" cy="2209800"/>
            <wp:effectExtent l="0" t="0" r="0" b="0"/>
            <wp:wrapTopAndBottom/>
            <wp:docPr id="65375339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2209800"/>
                    </a:xfrm>
                    <a:prstGeom prst="rect">
                      <a:avLst/>
                    </a:prstGeom>
                    <a:noFill/>
                  </pic:spPr>
                </pic:pic>
              </a:graphicData>
            </a:graphic>
          </wp:anchor>
        </w:drawing>
      </w:r>
      <w:r w:rsidRPr="009312C5">
        <w:rPr>
          <w:rFonts w:hint="eastAsia"/>
          <w:i/>
          <w:iCs/>
        </w:rPr>
        <w:t xml:space="preserve">Figure </w:t>
      </w:r>
      <w:r w:rsidR="00840CC6">
        <w:rPr>
          <w:rFonts w:hint="eastAsia"/>
          <w:i/>
          <w:iCs/>
        </w:rPr>
        <w:t>2</w:t>
      </w:r>
      <w:r w:rsidR="00695A40">
        <w:rPr>
          <w:rFonts w:hint="eastAsia"/>
          <w:i/>
          <w:iCs/>
        </w:rPr>
        <w:t>7</w:t>
      </w:r>
      <w:r w:rsidR="00840CC6">
        <w:rPr>
          <w:rFonts w:hint="eastAsia"/>
          <w:i/>
          <w:iCs/>
        </w:rPr>
        <w:t>.</w:t>
      </w:r>
    </w:p>
    <w:p w14:paraId="0C970D23" w14:textId="77777777" w:rsidR="003B7180" w:rsidRDefault="003B7180" w:rsidP="00BB55ED"/>
    <w:p w14:paraId="29751F51" w14:textId="77777777" w:rsidR="000A04C7" w:rsidRDefault="000A04C7" w:rsidP="00BB55ED"/>
    <w:p w14:paraId="22693642" w14:textId="6C3A42AA" w:rsidR="00503C6F" w:rsidRDefault="007C57B3" w:rsidP="00276B10">
      <w:pPr>
        <w:spacing w:line="360" w:lineRule="auto"/>
        <w:jc w:val="both"/>
        <w:rPr>
          <w:sz w:val="24"/>
          <w:szCs w:val="24"/>
        </w:rPr>
      </w:pPr>
      <w:r w:rsidRPr="007C57B3">
        <w:rPr>
          <w:b/>
          <w:bCs/>
          <w:i/>
          <w:iCs/>
          <w:sz w:val="24"/>
          <w:szCs w:val="24"/>
        </w:rPr>
        <w:t>Result</w:t>
      </w:r>
      <w:r>
        <w:rPr>
          <w:sz w:val="24"/>
          <w:szCs w:val="24"/>
        </w:rPr>
        <w:br/>
      </w:r>
      <w:r w:rsidR="00A13E63" w:rsidRPr="00A13E63">
        <w:rPr>
          <w:sz w:val="24"/>
          <w:szCs w:val="24"/>
        </w:rPr>
        <w:t xml:space="preserve">Regarding Hypothesis H1, the above results show that in the correlation analysis, weak positive correlations were observed between Ownership, Industry type, Number of independent directors, and CSR disclosure (0.025, 0.048, 0.001, respectively), but none were statistically significant. In the causality analysis, the unstandardized coefficients for age of the firm and type of industry were negative, while the others were positive. However, none of these results were statistically significant. Therefore, the null hypothesis for H1, stating that </w:t>
      </w:r>
      <w:r w:rsidR="00A13E63" w:rsidRPr="00733838">
        <w:rPr>
          <w:i/>
          <w:iCs/>
          <w:sz w:val="24"/>
          <w:szCs w:val="24"/>
        </w:rPr>
        <w:t>state ownership of enterprises is positively related to their CSR disclosure</w:t>
      </w:r>
      <w:r w:rsidR="00A13E63" w:rsidRPr="00A13E63">
        <w:rPr>
          <w:sz w:val="24"/>
          <w:szCs w:val="24"/>
        </w:rPr>
        <w:t>, is rejected.</w:t>
      </w:r>
    </w:p>
    <w:p w14:paraId="3953348E" w14:textId="77777777" w:rsidR="00503C6F" w:rsidRDefault="00503C6F" w:rsidP="00276B10">
      <w:pPr>
        <w:spacing w:line="360" w:lineRule="auto"/>
        <w:jc w:val="both"/>
        <w:rPr>
          <w:sz w:val="24"/>
          <w:szCs w:val="24"/>
        </w:rPr>
      </w:pPr>
    </w:p>
    <w:p w14:paraId="40DF3244" w14:textId="646F0604" w:rsidR="00503C6F" w:rsidRDefault="00A13E63" w:rsidP="00276B10">
      <w:pPr>
        <w:spacing w:line="360" w:lineRule="auto"/>
        <w:jc w:val="both"/>
        <w:rPr>
          <w:sz w:val="24"/>
          <w:szCs w:val="24"/>
        </w:rPr>
      </w:pPr>
      <w:r w:rsidRPr="00A13E63">
        <w:rPr>
          <w:sz w:val="24"/>
          <w:szCs w:val="24"/>
        </w:rPr>
        <w:t xml:space="preserve">For Hypotheses H2 and H3, the coefficients were not statistically significant. Therefore, the null hypotheses for H2, stating that </w:t>
      </w:r>
      <w:r w:rsidRPr="005547BE">
        <w:rPr>
          <w:i/>
          <w:iCs/>
          <w:sz w:val="24"/>
          <w:szCs w:val="24"/>
        </w:rPr>
        <w:t>industry type positively moderates the relationship between SOE and CSR disclosure in resource-intensive industries</w:t>
      </w:r>
      <w:r w:rsidRPr="00A13E63">
        <w:rPr>
          <w:sz w:val="24"/>
          <w:szCs w:val="24"/>
        </w:rPr>
        <w:t xml:space="preserve">, and H3, stating </w:t>
      </w:r>
      <w:r w:rsidRPr="005547BE">
        <w:rPr>
          <w:i/>
          <w:iCs/>
          <w:sz w:val="24"/>
          <w:szCs w:val="24"/>
        </w:rPr>
        <w:t>that the number of independent directors positively moderates the relationship between SOE and CSR disclosure in companies with a high number of independent directors</w:t>
      </w:r>
      <w:r w:rsidRPr="00A13E63">
        <w:rPr>
          <w:sz w:val="24"/>
          <w:szCs w:val="24"/>
        </w:rPr>
        <w:t>, are also rejected.</w:t>
      </w:r>
    </w:p>
    <w:p w14:paraId="60BA85F9" w14:textId="36664AC5" w:rsidR="00503C6F" w:rsidRDefault="00A13E63" w:rsidP="00276B10">
      <w:pPr>
        <w:spacing w:line="360" w:lineRule="auto"/>
        <w:jc w:val="both"/>
        <w:rPr>
          <w:sz w:val="24"/>
          <w:szCs w:val="24"/>
        </w:rPr>
      </w:pPr>
      <w:r>
        <w:rPr>
          <w:sz w:val="24"/>
          <w:szCs w:val="24"/>
        </w:rPr>
        <w:br/>
      </w:r>
      <w:r w:rsidRPr="00A13E63">
        <w:rPr>
          <w:sz w:val="24"/>
          <w:szCs w:val="24"/>
        </w:rPr>
        <w:t xml:space="preserve">As a supplementary note, regarding the </w:t>
      </w:r>
      <w:r w:rsidR="00DC768C">
        <w:rPr>
          <w:sz w:val="24"/>
          <w:szCs w:val="24"/>
        </w:rPr>
        <w:t>causal relationship</w:t>
      </w:r>
      <w:r w:rsidRPr="00A13E63">
        <w:rPr>
          <w:sz w:val="24"/>
          <w:szCs w:val="24"/>
        </w:rPr>
        <w:t xml:space="preserve">, comparing patterns of control variables </w:t>
      </w:r>
      <w:r w:rsidR="00A96045">
        <w:rPr>
          <w:sz w:val="24"/>
          <w:szCs w:val="24"/>
        </w:rPr>
        <w:t xml:space="preserve">of </w:t>
      </w:r>
      <w:r w:rsidRPr="00A13E63">
        <w:rPr>
          <w:sz w:val="24"/>
          <w:szCs w:val="24"/>
        </w:rPr>
        <w:t>Ownership, ROA, Age of the firm (</w:t>
      </w:r>
      <w:r w:rsidR="00695A40">
        <w:rPr>
          <w:rFonts w:hint="eastAsia"/>
          <w:sz w:val="24"/>
          <w:szCs w:val="24"/>
        </w:rPr>
        <w:t>s</w:t>
      </w:r>
      <w:r w:rsidRPr="00A13E63">
        <w:rPr>
          <w:sz w:val="24"/>
          <w:szCs w:val="24"/>
        </w:rPr>
        <w:t xml:space="preserve">ee Figure </w:t>
      </w:r>
      <w:r w:rsidR="009A6986">
        <w:rPr>
          <w:rFonts w:hint="eastAsia"/>
          <w:sz w:val="24"/>
          <w:szCs w:val="24"/>
        </w:rPr>
        <w:t>2</w:t>
      </w:r>
      <w:r w:rsidR="00695A40">
        <w:rPr>
          <w:rFonts w:hint="eastAsia"/>
          <w:sz w:val="24"/>
          <w:szCs w:val="24"/>
        </w:rPr>
        <w:t>8</w:t>
      </w:r>
      <w:r w:rsidRPr="00A13E63">
        <w:rPr>
          <w:sz w:val="24"/>
          <w:szCs w:val="24"/>
        </w:rPr>
        <w:t>), adding independent director as a control variable (</w:t>
      </w:r>
      <w:r w:rsidR="00695A40">
        <w:rPr>
          <w:rFonts w:hint="eastAsia"/>
          <w:sz w:val="24"/>
          <w:szCs w:val="24"/>
        </w:rPr>
        <w:t>s</w:t>
      </w:r>
      <w:r w:rsidRPr="00A13E63">
        <w:rPr>
          <w:sz w:val="24"/>
          <w:szCs w:val="24"/>
        </w:rPr>
        <w:t xml:space="preserve">ee Figure </w:t>
      </w:r>
      <w:r w:rsidR="00695A40">
        <w:rPr>
          <w:rFonts w:hint="eastAsia"/>
          <w:sz w:val="24"/>
          <w:szCs w:val="24"/>
        </w:rPr>
        <w:t>29</w:t>
      </w:r>
      <w:r w:rsidRPr="00A13E63">
        <w:rPr>
          <w:sz w:val="24"/>
          <w:szCs w:val="24"/>
        </w:rPr>
        <w:t>), and adding type of industry as a control variable (</w:t>
      </w:r>
      <w:r w:rsidR="00695A40">
        <w:rPr>
          <w:rFonts w:hint="eastAsia"/>
          <w:sz w:val="24"/>
          <w:szCs w:val="24"/>
        </w:rPr>
        <w:t>s</w:t>
      </w:r>
      <w:r w:rsidRPr="00A13E63">
        <w:rPr>
          <w:sz w:val="24"/>
          <w:szCs w:val="24"/>
        </w:rPr>
        <w:t xml:space="preserve">ee Figure </w:t>
      </w:r>
      <w:r w:rsidR="009A6986">
        <w:rPr>
          <w:rFonts w:hint="eastAsia"/>
          <w:sz w:val="24"/>
          <w:szCs w:val="24"/>
        </w:rPr>
        <w:t>3</w:t>
      </w:r>
      <w:r w:rsidR="00695A40">
        <w:rPr>
          <w:rFonts w:hint="eastAsia"/>
          <w:sz w:val="24"/>
          <w:szCs w:val="24"/>
        </w:rPr>
        <w:t>0</w:t>
      </w:r>
      <w:r w:rsidRPr="00A13E63">
        <w:rPr>
          <w:sz w:val="24"/>
          <w:szCs w:val="24"/>
        </w:rPr>
        <w:t xml:space="preserve">), the unstandardized coefficients B for ownership increased with the independent director </w:t>
      </w:r>
      <w:r w:rsidR="00276B10">
        <w:rPr>
          <w:sz w:val="24"/>
          <w:szCs w:val="24"/>
        </w:rPr>
        <w:t xml:space="preserve">but </w:t>
      </w:r>
      <w:r w:rsidRPr="00A13E63">
        <w:rPr>
          <w:sz w:val="24"/>
          <w:szCs w:val="24"/>
        </w:rPr>
        <w:t>showed no change with the type of industry.</w:t>
      </w:r>
    </w:p>
    <w:p w14:paraId="3145778C" w14:textId="0430A24B" w:rsidR="00503C6F" w:rsidRPr="003659B3" w:rsidRDefault="00503C6F" w:rsidP="00E07318">
      <w:pPr>
        <w:rPr>
          <w:i/>
          <w:iCs/>
        </w:rPr>
      </w:pPr>
    </w:p>
    <w:p w14:paraId="3E217B4B" w14:textId="3117AC49" w:rsidR="00E07318" w:rsidRPr="003659B3" w:rsidRDefault="00CB0C91" w:rsidP="00CB0C91">
      <w:pPr>
        <w:jc w:val="center"/>
        <w:rPr>
          <w:i/>
          <w:iCs/>
        </w:rPr>
      </w:pPr>
      <w:r>
        <w:rPr>
          <w:i/>
          <w:iCs/>
          <w:noProof/>
        </w:rPr>
        <w:drawing>
          <wp:anchor distT="0" distB="0" distL="114300" distR="114300" simplePos="0" relativeHeight="251658254" behindDoc="0" locked="0" layoutInCell="1" allowOverlap="1" wp14:anchorId="18892479" wp14:editId="0C0E521B">
            <wp:simplePos x="0" y="0"/>
            <wp:positionH relativeFrom="margin">
              <wp:align>center</wp:align>
            </wp:positionH>
            <wp:positionV relativeFrom="paragraph">
              <wp:posOffset>257810</wp:posOffset>
            </wp:positionV>
            <wp:extent cx="5124450" cy="1828800"/>
            <wp:effectExtent l="0" t="0" r="0" b="0"/>
            <wp:wrapTopAndBottom/>
            <wp:docPr id="297489996"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24450" cy="1828800"/>
                    </a:xfrm>
                    <a:prstGeom prst="rect">
                      <a:avLst/>
                    </a:prstGeom>
                    <a:noFill/>
                  </pic:spPr>
                </pic:pic>
              </a:graphicData>
            </a:graphic>
          </wp:anchor>
        </w:drawing>
      </w:r>
      <w:r w:rsidR="003659B3" w:rsidRPr="003659B3">
        <w:rPr>
          <w:rFonts w:hint="eastAsia"/>
          <w:i/>
          <w:iCs/>
        </w:rPr>
        <w:t xml:space="preserve">Figure </w:t>
      </w:r>
      <w:r w:rsidR="009A6986">
        <w:rPr>
          <w:rFonts w:hint="eastAsia"/>
          <w:i/>
          <w:iCs/>
        </w:rPr>
        <w:t>2</w:t>
      </w:r>
      <w:r w:rsidR="00695A40">
        <w:rPr>
          <w:rFonts w:hint="eastAsia"/>
          <w:i/>
          <w:iCs/>
        </w:rPr>
        <w:t>8</w:t>
      </w:r>
      <w:r w:rsidR="009A6986">
        <w:rPr>
          <w:rFonts w:hint="eastAsia"/>
          <w:i/>
          <w:iCs/>
        </w:rPr>
        <w:t>.</w:t>
      </w:r>
    </w:p>
    <w:p w14:paraId="16C2140E" w14:textId="256B631B" w:rsidR="003659B3" w:rsidRDefault="003659B3" w:rsidP="003659B3">
      <w:pPr>
        <w:jc w:val="center"/>
        <w:rPr>
          <w:i/>
          <w:iCs/>
        </w:rPr>
      </w:pPr>
      <w:r w:rsidRPr="003659B3">
        <w:rPr>
          <w:rFonts w:hint="eastAsia"/>
          <w:i/>
          <w:iCs/>
        </w:rPr>
        <w:t xml:space="preserve">Figure </w:t>
      </w:r>
      <w:r w:rsidR="00695A40">
        <w:rPr>
          <w:rFonts w:hint="eastAsia"/>
          <w:i/>
          <w:iCs/>
        </w:rPr>
        <w:t>29</w:t>
      </w:r>
      <w:r w:rsidR="009A6986">
        <w:rPr>
          <w:rFonts w:hint="eastAsia"/>
          <w:i/>
          <w:iCs/>
        </w:rPr>
        <w:t>.</w:t>
      </w:r>
    </w:p>
    <w:p w14:paraId="38E5BE94" w14:textId="1EA0CAA3" w:rsidR="003659B3" w:rsidRPr="003659B3" w:rsidRDefault="00CB0C91" w:rsidP="00CB0C91">
      <w:pPr>
        <w:jc w:val="center"/>
        <w:rPr>
          <w:i/>
          <w:iCs/>
        </w:rPr>
      </w:pPr>
      <w:r>
        <w:rPr>
          <w:i/>
          <w:iCs/>
          <w:noProof/>
        </w:rPr>
        <w:drawing>
          <wp:inline distT="0" distB="0" distL="0" distR="0" wp14:anchorId="3221262D" wp14:editId="43FA5947">
            <wp:extent cx="5175849" cy="1828800"/>
            <wp:effectExtent l="0" t="0" r="6350" b="0"/>
            <wp:docPr id="1474279947"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3197" cy="1831396"/>
                    </a:xfrm>
                    <a:prstGeom prst="rect">
                      <a:avLst/>
                    </a:prstGeom>
                    <a:noFill/>
                  </pic:spPr>
                </pic:pic>
              </a:graphicData>
            </a:graphic>
          </wp:inline>
        </w:drawing>
      </w:r>
    </w:p>
    <w:p w14:paraId="6897EA3E" w14:textId="73C3969E" w:rsidR="003659B3" w:rsidRPr="003659B3" w:rsidRDefault="000B5E69" w:rsidP="003659B3">
      <w:pPr>
        <w:jc w:val="center"/>
        <w:rPr>
          <w:i/>
          <w:iCs/>
        </w:rPr>
      </w:pPr>
      <w:r>
        <w:rPr>
          <w:noProof/>
        </w:rPr>
        <w:drawing>
          <wp:anchor distT="0" distB="0" distL="114300" distR="114300" simplePos="0" relativeHeight="251658255" behindDoc="0" locked="0" layoutInCell="1" allowOverlap="1" wp14:anchorId="1A8FEF34" wp14:editId="19B1821A">
            <wp:simplePos x="0" y="0"/>
            <wp:positionH relativeFrom="margin">
              <wp:align>center</wp:align>
            </wp:positionH>
            <wp:positionV relativeFrom="paragraph">
              <wp:posOffset>342900</wp:posOffset>
            </wp:positionV>
            <wp:extent cx="5381625" cy="2019300"/>
            <wp:effectExtent l="0" t="0" r="9525" b="0"/>
            <wp:wrapTopAndBottom/>
            <wp:docPr id="149789948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81625" cy="2019300"/>
                    </a:xfrm>
                    <a:prstGeom prst="rect">
                      <a:avLst/>
                    </a:prstGeom>
                    <a:noFill/>
                  </pic:spPr>
                </pic:pic>
              </a:graphicData>
            </a:graphic>
          </wp:anchor>
        </w:drawing>
      </w:r>
      <w:r w:rsidR="003659B3" w:rsidRPr="003659B3">
        <w:rPr>
          <w:rFonts w:hint="eastAsia"/>
          <w:i/>
          <w:iCs/>
        </w:rPr>
        <w:t xml:space="preserve">Figure </w:t>
      </w:r>
      <w:r w:rsidR="009A6986">
        <w:rPr>
          <w:rFonts w:hint="eastAsia"/>
          <w:i/>
          <w:iCs/>
        </w:rPr>
        <w:t>3</w:t>
      </w:r>
      <w:r w:rsidR="00695A40">
        <w:rPr>
          <w:rFonts w:hint="eastAsia"/>
          <w:i/>
          <w:iCs/>
        </w:rPr>
        <w:t>0</w:t>
      </w:r>
      <w:r w:rsidR="009A6986">
        <w:rPr>
          <w:rFonts w:hint="eastAsia"/>
          <w:i/>
          <w:iCs/>
        </w:rPr>
        <w:t>.</w:t>
      </w:r>
    </w:p>
    <w:p w14:paraId="36B8AE27" w14:textId="7DC1B427" w:rsidR="00503C6F" w:rsidRDefault="00503C6F" w:rsidP="00BB55ED"/>
    <w:p w14:paraId="0402065B" w14:textId="77777777" w:rsidR="00276B10" w:rsidRPr="00BB55ED" w:rsidRDefault="00276B10" w:rsidP="00BB55ED">
      <w:pPr>
        <w:rPr>
          <w:lang w:eastAsia="en-US"/>
        </w:rPr>
      </w:pPr>
    </w:p>
    <w:p w14:paraId="17461E50" w14:textId="000A0D78" w:rsidR="00BA14DD" w:rsidRPr="00BA14DD" w:rsidRDefault="005D7278" w:rsidP="00BA14DD">
      <w:pPr>
        <w:pStyle w:val="1"/>
        <w:jc w:val="left"/>
        <w:rPr>
          <w:rFonts w:ascii="Times New Roman" w:hAnsi="Times New Roman"/>
          <w:sz w:val="32"/>
          <w:szCs w:val="32"/>
        </w:rPr>
      </w:pPr>
      <w:bookmarkStart w:id="17" w:name="_Toc167663320"/>
      <w:r>
        <w:rPr>
          <w:rFonts w:ascii="Times New Roman" w:hAnsi="Times New Roman" w:hint="eastAsia"/>
          <w:sz w:val="32"/>
          <w:szCs w:val="32"/>
          <w:lang w:eastAsia="ja-JP"/>
        </w:rPr>
        <w:t xml:space="preserve">Chapter 4. </w:t>
      </w:r>
      <w:r w:rsidR="00B10856" w:rsidRPr="00B10856">
        <w:rPr>
          <w:rFonts w:ascii="Times New Roman" w:hAnsi="Times New Roman"/>
          <w:sz w:val="32"/>
          <w:szCs w:val="32"/>
        </w:rPr>
        <w:t>Conclusion</w:t>
      </w:r>
      <w:bookmarkEnd w:id="17"/>
    </w:p>
    <w:p w14:paraId="4051385F" w14:textId="2B7F70FE" w:rsidR="00814470" w:rsidRPr="00BA14DD" w:rsidRDefault="00BA14DD" w:rsidP="00EE13DD">
      <w:pPr>
        <w:spacing w:line="360" w:lineRule="auto"/>
        <w:jc w:val="both"/>
        <w:rPr>
          <w:sz w:val="24"/>
          <w:szCs w:val="24"/>
        </w:rPr>
      </w:pPr>
      <w:r w:rsidRPr="00BA14DD">
        <w:rPr>
          <w:sz w:val="24"/>
          <w:szCs w:val="24"/>
        </w:rPr>
        <w:t xml:space="preserve">In this study, </w:t>
      </w:r>
      <w:r w:rsidR="00354FED">
        <w:rPr>
          <w:rFonts w:hint="eastAsia"/>
          <w:sz w:val="24"/>
          <w:szCs w:val="24"/>
        </w:rPr>
        <w:t>I</w:t>
      </w:r>
      <w:r w:rsidRPr="00BA14DD">
        <w:rPr>
          <w:sz w:val="24"/>
          <w:szCs w:val="24"/>
        </w:rPr>
        <w:t xml:space="preserve"> utilized publicly available data obtained from the annual reports and sustainability reports of companies in Russia and China to investigate the relationship between CSR disclosure and various independent variables through content analysis and statistical tests. As a result, significant insights into the dynamics of CSR disclosure in different national contexts were gained.</w:t>
      </w:r>
    </w:p>
    <w:p w14:paraId="1F919BA3" w14:textId="77777777" w:rsidR="005C51E2" w:rsidRDefault="005C51E2" w:rsidP="00EE13DD">
      <w:pPr>
        <w:spacing w:line="360" w:lineRule="auto"/>
        <w:jc w:val="both"/>
        <w:rPr>
          <w:sz w:val="24"/>
          <w:szCs w:val="24"/>
        </w:rPr>
      </w:pPr>
    </w:p>
    <w:p w14:paraId="43A2AA5A" w14:textId="1B0C1D44" w:rsidR="005C51E2" w:rsidRPr="005C51E2" w:rsidRDefault="005C51E2" w:rsidP="005C51E2">
      <w:pPr>
        <w:spacing w:line="360" w:lineRule="auto"/>
        <w:jc w:val="both"/>
        <w:rPr>
          <w:sz w:val="24"/>
          <w:szCs w:val="24"/>
        </w:rPr>
      </w:pPr>
      <w:r w:rsidRPr="005C51E2">
        <w:rPr>
          <w:sz w:val="24"/>
          <w:szCs w:val="24"/>
        </w:rPr>
        <w:t xml:space="preserve">In Hypothesis 1 (H1) of this study, regression analysis was conducted on integrated data </w:t>
      </w:r>
      <w:r w:rsidR="00080A12">
        <w:rPr>
          <w:rFonts w:hint="eastAsia"/>
          <w:sz w:val="24"/>
          <w:szCs w:val="24"/>
        </w:rPr>
        <w:t xml:space="preserve">of </w:t>
      </w:r>
      <w:r w:rsidRPr="005C51E2">
        <w:rPr>
          <w:sz w:val="24"/>
          <w:szCs w:val="24"/>
        </w:rPr>
        <w:t xml:space="preserve">China and Russia, with State Ownership, ROA, Number of independent directors, and Type of industry as independent variables. In the case of Ownership, the Unstandardized Coefficient B showed  0.637, </w:t>
      </w:r>
      <w:r w:rsidR="00301A2A">
        <w:rPr>
          <w:rFonts w:hint="eastAsia"/>
          <w:sz w:val="24"/>
          <w:szCs w:val="24"/>
        </w:rPr>
        <w:t>with</w:t>
      </w:r>
      <w:r w:rsidRPr="005C51E2">
        <w:rPr>
          <w:sz w:val="24"/>
          <w:szCs w:val="24"/>
        </w:rPr>
        <w:t xml:space="preserve"> statistical significan</w:t>
      </w:r>
      <w:r w:rsidR="00301A2A">
        <w:rPr>
          <w:rFonts w:hint="eastAsia"/>
          <w:sz w:val="24"/>
          <w:szCs w:val="24"/>
        </w:rPr>
        <w:t>ce</w:t>
      </w:r>
      <w:r w:rsidRPr="005C51E2">
        <w:rPr>
          <w:sz w:val="24"/>
          <w:szCs w:val="24"/>
        </w:rPr>
        <w:t xml:space="preserve"> (P=0.048). This implies that when the ownership structure shifts from non-</w:t>
      </w:r>
      <w:r w:rsidRPr="005C51E2">
        <w:rPr>
          <w:sz w:val="24"/>
          <w:szCs w:val="24"/>
        </w:rPr>
        <w:t>state-owned</w:t>
      </w:r>
      <w:r w:rsidRPr="005C51E2">
        <w:rPr>
          <w:sz w:val="24"/>
          <w:szCs w:val="24"/>
        </w:rPr>
        <w:t xml:space="preserve"> enterprise to state owned enterprise, the total CSR disclosure increases by 0.637 points. </w:t>
      </w:r>
    </w:p>
    <w:p w14:paraId="6BAC425D" w14:textId="5C9A6023" w:rsidR="005C51E2" w:rsidRDefault="005C51E2" w:rsidP="005C51E2">
      <w:pPr>
        <w:spacing w:line="360" w:lineRule="auto"/>
        <w:jc w:val="both"/>
        <w:rPr>
          <w:sz w:val="24"/>
          <w:szCs w:val="24"/>
        </w:rPr>
      </w:pPr>
      <w:r w:rsidRPr="005C51E2">
        <w:rPr>
          <w:sz w:val="24"/>
          <w:szCs w:val="24"/>
        </w:rPr>
        <w:t xml:space="preserve">On the other hand, Hypotheses 2 (H2) and 3 (H3) demonstrated that the type of industry and the number of independent directors </w:t>
      </w:r>
      <w:r w:rsidRPr="005C51E2">
        <w:rPr>
          <w:sz w:val="24"/>
          <w:szCs w:val="24"/>
        </w:rPr>
        <w:t>does</w:t>
      </w:r>
      <w:r w:rsidRPr="005C51E2">
        <w:rPr>
          <w:sz w:val="24"/>
          <w:szCs w:val="24"/>
        </w:rPr>
        <w:t xml:space="preserve"> not significantly moderate the relationship between ownership structure and CSR disclosure. These results suggest that while ownership structure is significant as a determinant of CSR disclosure, factors such as industry type and the number of independent directors do not play a </w:t>
      </w:r>
      <w:r w:rsidR="00EF728A">
        <w:rPr>
          <w:rFonts w:hint="eastAsia"/>
          <w:sz w:val="24"/>
          <w:szCs w:val="24"/>
        </w:rPr>
        <w:t>mediating</w:t>
      </w:r>
      <w:r w:rsidRPr="005C51E2">
        <w:rPr>
          <w:sz w:val="24"/>
          <w:szCs w:val="24"/>
        </w:rPr>
        <w:t xml:space="preserve"> role in this relationship.</w:t>
      </w:r>
    </w:p>
    <w:p w14:paraId="1A8BF550" w14:textId="37B67F56" w:rsidR="00CF3529" w:rsidRDefault="0050081F" w:rsidP="00EE13DD">
      <w:pPr>
        <w:spacing w:line="360" w:lineRule="auto"/>
        <w:jc w:val="both"/>
        <w:rPr>
          <w:rFonts w:hint="eastAsia"/>
          <w:sz w:val="24"/>
          <w:szCs w:val="24"/>
        </w:rPr>
      </w:pPr>
      <w:r>
        <w:rPr>
          <w:rFonts w:hint="eastAsia"/>
          <w:sz w:val="24"/>
          <w:szCs w:val="24"/>
        </w:rPr>
        <w:t xml:space="preserve">However, </w:t>
      </w:r>
      <w:r w:rsidR="00CF3529">
        <w:rPr>
          <w:rFonts w:hint="eastAsia"/>
          <w:sz w:val="24"/>
          <w:szCs w:val="24"/>
        </w:rPr>
        <w:t xml:space="preserve">in each separated </w:t>
      </w:r>
      <w:r w:rsidR="007F5066">
        <w:rPr>
          <w:rFonts w:hint="eastAsia"/>
          <w:sz w:val="24"/>
          <w:szCs w:val="24"/>
        </w:rPr>
        <w:t xml:space="preserve">study of </w:t>
      </w:r>
      <w:r w:rsidR="00CF3529">
        <w:rPr>
          <w:rFonts w:hint="eastAsia"/>
          <w:sz w:val="24"/>
          <w:szCs w:val="24"/>
        </w:rPr>
        <w:t>Russia and China</w:t>
      </w:r>
      <w:r w:rsidR="007F5066">
        <w:rPr>
          <w:rFonts w:hint="eastAsia"/>
          <w:sz w:val="24"/>
          <w:szCs w:val="24"/>
        </w:rPr>
        <w:t xml:space="preserve">, there are no statistical significance on </w:t>
      </w:r>
      <w:r w:rsidR="00326AC4">
        <w:rPr>
          <w:sz w:val="24"/>
          <w:szCs w:val="24"/>
        </w:rPr>
        <w:t>these hypotheses</w:t>
      </w:r>
      <w:r>
        <w:rPr>
          <w:rFonts w:hint="eastAsia"/>
          <w:sz w:val="24"/>
          <w:szCs w:val="24"/>
        </w:rPr>
        <w:t xml:space="preserve"> although</w:t>
      </w:r>
      <w:r w:rsidR="00140E24">
        <w:rPr>
          <w:rFonts w:hint="eastAsia"/>
          <w:sz w:val="24"/>
          <w:szCs w:val="24"/>
        </w:rPr>
        <w:t>, in the case of China,</w:t>
      </w:r>
      <w:r>
        <w:rPr>
          <w:rFonts w:hint="eastAsia"/>
          <w:sz w:val="24"/>
          <w:szCs w:val="24"/>
        </w:rPr>
        <w:t xml:space="preserve"> there </w:t>
      </w:r>
      <w:r w:rsidR="00A47791">
        <w:rPr>
          <w:rFonts w:hint="eastAsia"/>
          <w:sz w:val="24"/>
          <w:szCs w:val="24"/>
        </w:rPr>
        <w:t>are</w:t>
      </w:r>
      <w:r>
        <w:rPr>
          <w:rFonts w:hint="eastAsia"/>
          <w:sz w:val="24"/>
          <w:szCs w:val="24"/>
        </w:rPr>
        <w:t xml:space="preserve"> </w:t>
      </w:r>
      <w:r w:rsidR="00E31758">
        <w:rPr>
          <w:rFonts w:hint="eastAsia"/>
          <w:sz w:val="24"/>
          <w:szCs w:val="24"/>
        </w:rPr>
        <w:t xml:space="preserve">correlation between </w:t>
      </w:r>
      <w:r w:rsidR="006E7807" w:rsidRPr="006E7807">
        <w:rPr>
          <w:sz w:val="24"/>
          <w:szCs w:val="24"/>
        </w:rPr>
        <w:t>Firm age</w:t>
      </w:r>
      <w:r w:rsidR="00E31758">
        <w:rPr>
          <w:rFonts w:hint="eastAsia"/>
          <w:sz w:val="24"/>
          <w:szCs w:val="24"/>
        </w:rPr>
        <w:t xml:space="preserve"> and CSR disclosure</w:t>
      </w:r>
      <w:r w:rsidR="000368C9">
        <w:rPr>
          <w:rFonts w:hint="eastAsia"/>
          <w:sz w:val="24"/>
          <w:szCs w:val="24"/>
        </w:rPr>
        <w:t xml:space="preserve">, and causal relationship between </w:t>
      </w:r>
      <w:r w:rsidR="00DE575F">
        <w:rPr>
          <w:rFonts w:hint="eastAsia"/>
          <w:sz w:val="24"/>
          <w:szCs w:val="24"/>
        </w:rPr>
        <w:t>ROA and CSR disclosure</w:t>
      </w:r>
      <w:r w:rsidR="00A47791">
        <w:rPr>
          <w:rFonts w:hint="eastAsia"/>
          <w:sz w:val="24"/>
          <w:szCs w:val="24"/>
        </w:rPr>
        <w:t>, with statistical significance</w:t>
      </w:r>
      <w:r w:rsidR="00E31758">
        <w:rPr>
          <w:rFonts w:hint="eastAsia"/>
          <w:sz w:val="24"/>
          <w:szCs w:val="24"/>
        </w:rPr>
        <w:t>.</w:t>
      </w:r>
    </w:p>
    <w:p w14:paraId="7CDA3895" w14:textId="755FF53B" w:rsidR="00EE13DD" w:rsidRPr="00EE13DD" w:rsidRDefault="00CF3529" w:rsidP="00EE13DD">
      <w:pPr>
        <w:spacing w:line="360" w:lineRule="auto"/>
        <w:jc w:val="both"/>
        <w:rPr>
          <w:sz w:val="24"/>
          <w:szCs w:val="24"/>
        </w:rPr>
      </w:pPr>
      <w:r>
        <w:rPr>
          <w:sz w:val="24"/>
          <w:szCs w:val="24"/>
        </w:rPr>
        <w:br/>
      </w:r>
      <w:r w:rsidR="00FF6796">
        <w:rPr>
          <w:sz w:val="24"/>
          <w:szCs w:val="24"/>
        </w:rPr>
        <w:br/>
      </w:r>
      <w:r w:rsidR="00C319BF" w:rsidRPr="00C319BF">
        <w:rPr>
          <w:rFonts w:hint="eastAsia"/>
          <w:b/>
          <w:bCs/>
          <w:i/>
          <w:iCs/>
          <w:sz w:val="24"/>
          <w:szCs w:val="24"/>
        </w:rPr>
        <w:t>Implication</w:t>
      </w:r>
      <w:r w:rsidR="00C319BF">
        <w:rPr>
          <w:sz w:val="24"/>
          <w:szCs w:val="24"/>
        </w:rPr>
        <w:br/>
      </w:r>
      <w:r w:rsidR="00EE13DD" w:rsidRPr="00EE13DD">
        <w:rPr>
          <w:sz w:val="24"/>
          <w:szCs w:val="24"/>
        </w:rPr>
        <w:t xml:space="preserve">The findings of this study provide several important implications for policymakers and researchers. For policymakers, it is indicated that to promote CSR disclosure, </w:t>
      </w:r>
      <w:r w:rsidR="00045F6A">
        <w:rPr>
          <w:rFonts w:hint="eastAsia"/>
          <w:sz w:val="24"/>
          <w:szCs w:val="24"/>
        </w:rPr>
        <w:t xml:space="preserve">state-owned </w:t>
      </w:r>
      <w:r>
        <w:rPr>
          <w:rFonts w:hint="eastAsia"/>
          <w:sz w:val="24"/>
          <w:szCs w:val="24"/>
        </w:rPr>
        <w:t>has impact. This mechanism</w:t>
      </w:r>
      <w:r w:rsidRPr="005C51E2">
        <w:rPr>
          <w:sz w:val="24"/>
          <w:szCs w:val="24"/>
        </w:rPr>
        <w:t xml:space="preserve"> can be </w:t>
      </w:r>
      <w:r>
        <w:rPr>
          <w:rFonts w:hint="eastAsia"/>
          <w:sz w:val="24"/>
          <w:szCs w:val="24"/>
        </w:rPr>
        <w:t>understood</w:t>
      </w:r>
      <w:r w:rsidRPr="005C51E2">
        <w:rPr>
          <w:sz w:val="24"/>
          <w:szCs w:val="24"/>
        </w:rPr>
        <w:t xml:space="preserve"> that in Russia and China, the CSR priorities of state-owned enterprises align with government agendas, leading to an increase in CSR disclosure movements in state-owned enterprises.</w:t>
      </w:r>
      <w:r w:rsidR="00326AC4">
        <w:rPr>
          <w:rFonts w:hint="eastAsia"/>
          <w:sz w:val="24"/>
          <w:szCs w:val="24"/>
        </w:rPr>
        <w:t xml:space="preserve"> However, </w:t>
      </w:r>
      <w:r w:rsidR="00EE13DD" w:rsidRPr="00EE13DD">
        <w:rPr>
          <w:sz w:val="24"/>
          <w:szCs w:val="24"/>
        </w:rPr>
        <w:t>attention should not only be directed towards state-owned enterprises but also consider other company characteristics and external pressures. Especially in countries like Russia, where factors under investigation showed no significant influence, tailored strategies may be necessary</w:t>
      </w:r>
      <w:r w:rsidR="00BB5FA1">
        <w:rPr>
          <w:rFonts w:hint="eastAsia"/>
          <w:sz w:val="24"/>
          <w:szCs w:val="24"/>
        </w:rPr>
        <w:t xml:space="preserve"> for this case</w:t>
      </w:r>
      <w:r w:rsidR="00EE13DD" w:rsidRPr="00EE13DD">
        <w:rPr>
          <w:sz w:val="24"/>
          <w:szCs w:val="24"/>
        </w:rPr>
        <w:t>. In the case of China, a positive correlation was observed between the establishment year of the company and CSR disclosure, and furthermore, a causal relationship was confirmed between ROA and CSR disclosure. Therefore, to promote CSR, it is necessary to understand how these factors influence CSR disclosure and develop strategies to enhance CSR disclosure while considering these factors.</w:t>
      </w:r>
    </w:p>
    <w:p w14:paraId="7A502531" w14:textId="7446E87C" w:rsidR="00814470" w:rsidRDefault="00EE13DD" w:rsidP="00EE13DD">
      <w:pPr>
        <w:spacing w:line="360" w:lineRule="auto"/>
        <w:jc w:val="both"/>
        <w:rPr>
          <w:sz w:val="24"/>
          <w:szCs w:val="24"/>
        </w:rPr>
      </w:pPr>
      <w:r w:rsidRPr="00EE13DD">
        <w:rPr>
          <w:sz w:val="24"/>
          <w:szCs w:val="24"/>
        </w:rPr>
        <w:t>Theoretically, this study provides a new perspective on the relationship between ownership structure and CSR disclosure. The conclusion that state-owned enterprises play an important role in CSR</w:t>
      </w:r>
      <w:r w:rsidR="00D5209A">
        <w:rPr>
          <w:rFonts w:hint="eastAsia"/>
          <w:sz w:val="24"/>
          <w:szCs w:val="24"/>
        </w:rPr>
        <w:t xml:space="preserve"> disclosure, which</w:t>
      </w:r>
      <w:r w:rsidRPr="00EE13DD">
        <w:rPr>
          <w:sz w:val="24"/>
          <w:szCs w:val="24"/>
        </w:rPr>
        <w:t xml:space="preserve"> aligns with many previous studies. Additionally, it is suggested that to understand the relationship between CSR disclosure and various predictive factors, other factors such as external factors should be considered according to each country's situation.</w:t>
      </w:r>
    </w:p>
    <w:p w14:paraId="082488A2" w14:textId="2637BE09" w:rsidR="00E5629A" w:rsidRDefault="0098308B" w:rsidP="0058394C">
      <w:pPr>
        <w:spacing w:line="360" w:lineRule="auto"/>
        <w:jc w:val="both"/>
        <w:rPr>
          <w:sz w:val="24"/>
          <w:szCs w:val="24"/>
        </w:rPr>
      </w:pPr>
      <w:r>
        <w:rPr>
          <w:sz w:val="24"/>
          <w:szCs w:val="24"/>
        </w:rPr>
        <w:br/>
      </w:r>
      <w:r w:rsidR="00AF721F" w:rsidRPr="00E5629A">
        <w:rPr>
          <w:b/>
          <w:bCs/>
          <w:i/>
          <w:iCs/>
          <w:sz w:val="24"/>
          <w:szCs w:val="24"/>
        </w:rPr>
        <w:t>Future Research</w:t>
      </w:r>
      <w:r w:rsidR="00AF721F">
        <w:rPr>
          <w:sz w:val="24"/>
          <w:szCs w:val="24"/>
        </w:rPr>
        <w:t xml:space="preserve"> </w:t>
      </w:r>
    </w:p>
    <w:p w14:paraId="665F247D" w14:textId="115304E4" w:rsidR="0058394C" w:rsidRPr="0058394C" w:rsidRDefault="0058394C" w:rsidP="0058394C">
      <w:pPr>
        <w:spacing w:line="360" w:lineRule="auto"/>
        <w:jc w:val="both"/>
        <w:rPr>
          <w:sz w:val="24"/>
          <w:szCs w:val="24"/>
        </w:rPr>
      </w:pPr>
      <w:r w:rsidRPr="0058394C">
        <w:rPr>
          <w:sz w:val="24"/>
          <w:szCs w:val="24"/>
        </w:rPr>
        <w:t>Future research is recommended in three main areas. First, exploring additional</w:t>
      </w:r>
      <w:r w:rsidR="005B4A5A">
        <w:rPr>
          <w:rFonts w:hint="eastAsia"/>
          <w:sz w:val="24"/>
          <w:szCs w:val="24"/>
        </w:rPr>
        <w:t xml:space="preserve"> external</w:t>
      </w:r>
      <w:r w:rsidRPr="0058394C">
        <w:rPr>
          <w:sz w:val="24"/>
          <w:szCs w:val="24"/>
        </w:rPr>
        <w:t xml:space="preserve"> factors that may influence CSR disclosure, such as market competition, regulatory pressure, and stakeholder activities, could provide a more comprehensive understanding of the drivers of CSR disclosure.</w:t>
      </w:r>
    </w:p>
    <w:p w14:paraId="20BB3077" w14:textId="5C3BB982" w:rsidR="0058394C" w:rsidRPr="0058394C" w:rsidRDefault="0058394C" w:rsidP="0058394C">
      <w:pPr>
        <w:spacing w:line="360" w:lineRule="auto"/>
        <w:jc w:val="both"/>
        <w:rPr>
          <w:sz w:val="24"/>
          <w:szCs w:val="24"/>
        </w:rPr>
      </w:pPr>
      <w:r w:rsidRPr="0058394C">
        <w:rPr>
          <w:sz w:val="24"/>
          <w:szCs w:val="24"/>
        </w:rPr>
        <w:t>Second, a deeper investigation into factors showing correlation or causality with CSR disclosure, such as the positive correlation between company age and CSR disclosure or the positive causal relationship between ROA and CSR disclosure, is needed. Future research should</w:t>
      </w:r>
      <w:r w:rsidR="005E6F81">
        <w:rPr>
          <w:rFonts w:hint="eastAsia"/>
          <w:sz w:val="24"/>
          <w:szCs w:val="24"/>
        </w:rPr>
        <w:t xml:space="preserve"> investigate</w:t>
      </w:r>
      <w:r w:rsidRPr="0058394C">
        <w:rPr>
          <w:sz w:val="24"/>
          <w:szCs w:val="24"/>
        </w:rPr>
        <w:t xml:space="preserve"> into w</w:t>
      </w:r>
      <w:r w:rsidR="005E6F81">
        <w:rPr>
          <w:rFonts w:hint="eastAsia"/>
          <w:sz w:val="24"/>
          <w:szCs w:val="24"/>
        </w:rPr>
        <w:t>hat</w:t>
      </w:r>
      <w:r w:rsidRPr="0058394C">
        <w:rPr>
          <w:sz w:val="24"/>
          <w:szCs w:val="24"/>
        </w:rPr>
        <w:t xml:space="preserve"> specific elements within company age </w:t>
      </w:r>
      <w:r w:rsidR="005E6F81">
        <w:rPr>
          <w:rFonts w:hint="eastAsia"/>
          <w:sz w:val="24"/>
          <w:szCs w:val="24"/>
        </w:rPr>
        <w:t>and</w:t>
      </w:r>
      <w:r w:rsidRPr="0058394C">
        <w:rPr>
          <w:sz w:val="24"/>
          <w:szCs w:val="24"/>
        </w:rPr>
        <w:t xml:space="preserve"> ROA</w:t>
      </w:r>
      <w:r w:rsidR="00E94DE0">
        <w:rPr>
          <w:rFonts w:hint="eastAsia"/>
          <w:sz w:val="24"/>
          <w:szCs w:val="24"/>
        </w:rPr>
        <w:t>,</w:t>
      </w:r>
      <w:r w:rsidRPr="0058394C">
        <w:rPr>
          <w:sz w:val="24"/>
          <w:szCs w:val="24"/>
        </w:rPr>
        <w:t xml:space="preserve"> impact CSR disclosure.</w:t>
      </w:r>
    </w:p>
    <w:p w14:paraId="2DE68E90" w14:textId="42662827" w:rsidR="0058394C" w:rsidRDefault="0058394C" w:rsidP="0058394C">
      <w:pPr>
        <w:spacing w:line="360" w:lineRule="auto"/>
        <w:jc w:val="both"/>
        <w:rPr>
          <w:sz w:val="24"/>
          <w:szCs w:val="24"/>
        </w:rPr>
      </w:pPr>
      <w:r w:rsidRPr="0058394C">
        <w:rPr>
          <w:sz w:val="24"/>
          <w:szCs w:val="24"/>
        </w:rPr>
        <w:t xml:space="preserve">Third, additional longitudinal studies focusing on Russian companies are recommended. The recent availability or lack of data from Russian companies may be influenced by recent geopolitical </w:t>
      </w:r>
      <w:r w:rsidR="003B0152">
        <w:rPr>
          <w:rFonts w:hint="eastAsia"/>
          <w:sz w:val="24"/>
          <w:szCs w:val="24"/>
        </w:rPr>
        <w:t>situation</w:t>
      </w:r>
      <w:r w:rsidRPr="0058394C">
        <w:rPr>
          <w:sz w:val="24"/>
          <w:szCs w:val="24"/>
        </w:rPr>
        <w:t>, affecting profitability and investment in CSR activities. Continuous research is needed to clarify trends in Russia.</w:t>
      </w:r>
    </w:p>
    <w:p w14:paraId="2F45F303" w14:textId="6C0F9C28" w:rsidR="00E5629A" w:rsidRDefault="0098308B" w:rsidP="0058394C">
      <w:pPr>
        <w:spacing w:line="360" w:lineRule="auto"/>
        <w:jc w:val="both"/>
        <w:rPr>
          <w:sz w:val="24"/>
          <w:szCs w:val="24"/>
        </w:rPr>
      </w:pPr>
      <w:r>
        <w:rPr>
          <w:sz w:val="24"/>
          <w:szCs w:val="24"/>
        </w:rPr>
        <w:br/>
      </w:r>
      <w:r w:rsidR="00E5629A" w:rsidRPr="00E5629A">
        <w:rPr>
          <w:b/>
          <w:bCs/>
          <w:i/>
          <w:iCs/>
          <w:sz w:val="24"/>
          <w:szCs w:val="24"/>
        </w:rPr>
        <w:t>Limitation</w:t>
      </w:r>
    </w:p>
    <w:p w14:paraId="69E4817D" w14:textId="77777777" w:rsidR="00E5629A" w:rsidRDefault="00E8349E" w:rsidP="00793FCC">
      <w:pPr>
        <w:spacing w:line="360" w:lineRule="auto"/>
        <w:jc w:val="both"/>
        <w:rPr>
          <w:sz w:val="24"/>
          <w:szCs w:val="24"/>
        </w:rPr>
      </w:pPr>
      <w:r w:rsidRPr="00E8349E">
        <w:rPr>
          <w:sz w:val="24"/>
          <w:szCs w:val="24"/>
        </w:rPr>
        <w:t xml:space="preserve">Focusing on companies in Russia </w:t>
      </w:r>
      <w:r w:rsidR="00865799">
        <w:rPr>
          <w:sz w:val="24"/>
          <w:szCs w:val="24"/>
        </w:rPr>
        <w:t xml:space="preserve">and China </w:t>
      </w:r>
      <w:r w:rsidRPr="00E8349E">
        <w:rPr>
          <w:sz w:val="24"/>
          <w:szCs w:val="24"/>
        </w:rPr>
        <w:t xml:space="preserve">may limit the generalizability of the results. Different countries with varied regulatory and cultural environments might yield different outcomes. Although content analysis was used to measure CSR disclosure, this method </w:t>
      </w:r>
      <w:r w:rsidR="001F1A50">
        <w:rPr>
          <w:sz w:val="24"/>
          <w:szCs w:val="24"/>
        </w:rPr>
        <w:t>may</w:t>
      </w:r>
      <w:r w:rsidRPr="00E8349E">
        <w:rPr>
          <w:sz w:val="24"/>
          <w:szCs w:val="24"/>
        </w:rPr>
        <w:t xml:space="preserve"> not capture the full scope of CSR activities undertaken by companies. Employing more detailed and diverse assessment methods could offer a richer understanding of CSR practices.</w:t>
      </w:r>
    </w:p>
    <w:p w14:paraId="33B0977E" w14:textId="7E4883A1" w:rsidR="00CC7455" w:rsidRDefault="00CC7455" w:rsidP="00E5629A">
      <w:pPr>
        <w:jc w:val="both"/>
        <w:rPr>
          <w:sz w:val="24"/>
          <w:szCs w:val="24"/>
        </w:rPr>
      </w:pPr>
    </w:p>
    <w:p w14:paraId="1D8665EB" w14:textId="0FEAE700" w:rsidR="00587BD3" w:rsidRPr="00E5629A" w:rsidRDefault="00E5629A" w:rsidP="00EA2745">
      <w:pPr>
        <w:spacing w:line="360" w:lineRule="auto"/>
        <w:rPr>
          <w:b/>
          <w:bCs/>
          <w:i/>
          <w:iCs/>
          <w:sz w:val="24"/>
          <w:szCs w:val="24"/>
        </w:rPr>
      </w:pPr>
      <w:r w:rsidRPr="00E5629A">
        <w:rPr>
          <w:b/>
          <w:bCs/>
          <w:i/>
          <w:iCs/>
          <w:sz w:val="24"/>
          <w:szCs w:val="24"/>
        </w:rPr>
        <w:t>Summary</w:t>
      </w:r>
    </w:p>
    <w:p w14:paraId="660995FE" w14:textId="17762617" w:rsidR="00587BD3" w:rsidRDefault="00DA151B" w:rsidP="005C51E2">
      <w:pPr>
        <w:spacing w:line="360" w:lineRule="auto"/>
        <w:jc w:val="both"/>
        <w:rPr>
          <w:sz w:val="24"/>
          <w:szCs w:val="24"/>
        </w:rPr>
      </w:pPr>
      <w:r w:rsidRPr="00DA151B">
        <w:rPr>
          <w:sz w:val="24"/>
          <w:szCs w:val="24"/>
        </w:rPr>
        <w:t xml:space="preserve">This study contributes to understanding the determinants of CSR disclosure in SOEs and non-SOEs in Russia and China. It emphasizes the complexity of this relationship and suggests that further extensive and detailed research is necessary for a complete understanding. Policymakers and corporate managers are shown to be able to </w:t>
      </w:r>
      <w:r w:rsidR="00D55180" w:rsidRPr="00D55180">
        <w:rPr>
          <w:sz w:val="24"/>
          <w:szCs w:val="24"/>
        </w:rPr>
        <w:t xml:space="preserve">indeed proceed with more effective </w:t>
      </w:r>
      <w:r w:rsidR="00D55180">
        <w:rPr>
          <w:rFonts w:hint="eastAsia"/>
          <w:sz w:val="24"/>
          <w:szCs w:val="24"/>
        </w:rPr>
        <w:t>CSR disclosure</w:t>
      </w:r>
      <w:r w:rsidR="00D55180" w:rsidRPr="00D55180">
        <w:rPr>
          <w:sz w:val="24"/>
          <w:szCs w:val="24"/>
        </w:rPr>
        <w:t xml:space="preserve"> while considering the role of state-owned enterprises in CSR disclosure.</w:t>
      </w:r>
      <w:r w:rsidR="00D55180">
        <w:rPr>
          <w:rFonts w:hint="eastAsia"/>
          <w:sz w:val="24"/>
          <w:szCs w:val="24"/>
        </w:rPr>
        <w:t xml:space="preserve"> </w:t>
      </w:r>
      <w:r w:rsidRPr="00DA151B">
        <w:rPr>
          <w:sz w:val="24"/>
          <w:szCs w:val="24"/>
        </w:rPr>
        <w:t>The insights gained from this study pave the way for further exploration based on these findings, revealing the multifaceted nature of CSR in different contexts for future research.</w:t>
      </w:r>
    </w:p>
    <w:p w14:paraId="6D40D962" w14:textId="77777777" w:rsidR="001C69A2" w:rsidRDefault="001C69A2" w:rsidP="00BB55ED">
      <w:pPr>
        <w:rPr>
          <w:sz w:val="24"/>
          <w:szCs w:val="24"/>
        </w:rPr>
      </w:pPr>
    </w:p>
    <w:p w14:paraId="1C29090E" w14:textId="77777777" w:rsidR="001C69A2" w:rsidRDefault="001C69A2" w:rsidP="00BB55ED">
      <w:pPr>
        <w:rPr>
          <w:sz w:val="24"/>
          <w:szCs w:val="24"/>
        </w:rPr>
      </w:pPr>
    </w:p>
    <w:p w14:paraId="4353B434" w14:textId="77777777" w:rsidR="001C69A2" w:rsidRDefault="001C69A2" w:rsidP="00BB55ED">
      <w:pPr>
        <w:rPr>
          <w:sz w:val="24"/>
          <w:szCs w:val="24"/>
        </w:rPr>
      </w:pPr>
    </w:p>
    <w:p w14:paraId="7592EADD" w14:textId="77777777" w:rsidR="001C69A2" w:rsidRDefault="001C69A2" w:rsidP="00BB55ED">
      <w:pPr>
        <w:rPr>
          <w:sz w:val="24"/>
          <w:szCs w:val="24"/>
        </w:rPr>
      </w:pPr>
    </w:p>
    <w:p w14:paraId="392A330D" w14:textId="77777777" w:rsidR="006E563E" w:rsidRDefault="006E563E" w:rsidP="00BB55ED">
      <w:pPr>
        <w:rPr>
          <w:sz w:val="24"/>
          <w:szCs w:val="24"/>
        </w:rPr>
      </w:pPr>
    </w:p>
    <w:p w14:paraId="273BC7C9" w14:textId="77777777" w:rsidR="006E563E" w:rsidRDefault="006E563E" w:rsidP="00BB55ED">
      <w:pPr>
        <w:rPr>
          <w:sz w:val="24"/>
          <w:szCs w:val="24"/>
        </w:rPr>
      </w:pPr>
    </w:p>
    <w:p w14:paraId="3F01D3CF" w14:textId="77777777" w:rsidR="006E563E" w:rsidRDefault="006E563E" w:rsidP="00BB55ED">
      <w:pPr>
        <w:rPr>
          <w:sz w:val="24"/>
          <w:szCs w:val="24"/>
        </w:rPr>
      </w:pPr>
    </w:p>
    <w:p w14:paraId="38965E9A" w14:textId="77777777" w:rsidR="006E563E" w:rsidRDefault="006E563E" w:rsidP="00BB55ED">
      <w:pPr>
        <w:rPr>
          <w:sz w:val="24"/>
          <w:szCs w:val="24"/>
        </w:rPr>
      </w:pPr>
    </w:p>
    <w:p w14:paraId="5FC4D8B9" w14:textId="77777777" w:rsidR="006E563E" w:rsidRDefault="006E563E" w:rsidP="00BB55ED">
      <w:pPr>
        <w:rPr>
          <w:sz w:val="24"/>
          <w:szCs w:val="24"/>
        </w:rPr>
      </w:pPr>
    </w:p>
    <w:p w14:paraId="3088E4A5" w14:textId="77777777" w:rsidR="006E563E" w:rsidRDefault="006E563E" w:rsidP="00BB55ED">
      <w:pPr>
        <w:rPr>
          <w:sz w:val="24"/>
          <w:szCs w:val="24"/>
        </w:rPr>
      </w:pPr>
    </w:p>
    <w:p w14:paraId="54526B3D" w14:textId="77777777" w:rsidR="006E563E" w:rsidRDefault="006E563E" w:rsidP="00BB55ED">
      <w:pPr>
        <w:rPr>
          <w:sz w:val="24"/>
          <w:szCs w:val="24"/>
        </w:rPr>
      </w:pPr>
    </w:p>
    <w:p w14:paraId="364DAE4C" w14:textId="77777777" w:rsidR="00814470" w:rsidRDefault="00814470" w:rsidP="00BB55ED">
      <w:pPr>
        <w:rPr>
          <w:sz w:val="24"/>
          <w:szCs w:val="24"/>
        </w:rPr>
      </w:pPr>
    </w:p>
    <w:p w14:paraId="59290310" w14:textId="77777777" w:rsidR="00814470" w:rsidRDefault="00814470" w:rsidP="00BB55ED">
      <w:pPr>
        <w:rPr>
          <w:sz w:val="24"/>
          <w:szCs w:val="24"/>
        </w:rPr>
      </w:pPr>
    </w:p>
    <w:p w14:paraId="392EEDEF" w14:textId="77777777" w:rsidR="00814470" w:rsidRDefault="00814470" w:rsidP="00BB55ED">
      <w:pPr>
        <w:rPr>
          <w:sz w:val="24"/>
          <w:szCs w:val="24"/>
        </w:rPr>
      </w:pPr>
    </w:p>
    <w:p w14:paraId="12E9C20B" w14:textId="77777777" w:rsidR="00814470" w:rsidRDefault="00814470" w:rsidP="00BB55ED">
      <w:pPr>
        <w:rPr>
          <w:sz w:val="24"/>
          <w:szCs w:val="24"/>
        </w:rPr>
      </w:pPr>
    </w:p>
    <w:p w14:paraId="4022CE87" w14:textId="77777777" w:rsidR="00814470" w:rsidRDefault="00814470" w:rsidP="00BB55ED">
      <w:pPr>
        <w:rPr>
          <w:sz w:val="24"/>
          <w:szCs w:val="24"/>
        </w:rPr>
      </w:pPr>
    </w:p>
    <w:p w14:paraId="20A2BA1C" w14:textId="77777777" w:rsidR="00814470" w:rsidRDefault="00814470" w:rsidP="00BB55ED">
      <w:pPr>
        <w:rPr>
          <w:sz w:val="24"/>
          <w:szCs w:val="24"/>
        </w:rPr>
      </w:pPr>
    </w:p>
    <w:p w14:paraId="7D42B71E" w14:textId="77777777" w:rsidR="00814470" w:rsidRDefault="00814470" w:rsidP="00BB55ED">
      <w:pPr>
        <w:rPr>
          <w:sz w:val="24"/>
          <w:szCs w:val="24"/>
        </w:rPr>
      </w:pPr>
    </w:p>
    <w:p w14:paraId="2BCE3443" w14:textId="77777777" w:rsidR="00814470" w:rsidRDefault="00814470" w:rsidP="00BB55ED">
      <w:pPr>
        <w:rPr>
          <w:sz w:val="24"/>
          <w:szCs w:val="24"/>
        </w:rPr>
      </w:pPr>
    </w:p>
    <w:p w14:paraId="428DA0A8" w14:textId="77777777" w:rsidR="00814470" w:rsidRDefault="00814470" w:rsidP="00BB55ED">
      <w:pPr>
        <w:rPr>
          <w:sz w:val="24"/>
          <w:szCs w:val="24"/>
        </w:rPr>
      </w:pPr>
    </w:p>
    <w:p w14:paraId="4A130EC4" w14:textId="77777777" w:rsidR="00814470" w:rsidRDefault="00814470" w:rsidP="00BB55ED">
      <w:pPr>
        <w:rPr>
          <w:sz w:val="24"/>
          <w:szCs w:val="24"/>
        </w:rPr>
      </w:pPr>
    </w:p>
    <w:p w14:paraId="69EACD62" w14:textId="77777777" w:rsidR="00814470" w:rsidRDefault="00814470" w:rsidP="00BB55ED">
      <w:pPr>
        <w:rPr>
          <w:sz w:val="24"/>
          <w:szCs w:val="24"/>
        </w:rPr>
      </w:pPr>
    </w:p>
    <w:p w14:paraId="018FCA90" w14:textId="77777777" w:rsidR="00814470" w:rsidRDefault="00814470" w:rsidP="00BB55ED">
      <w:pPr>
        <w:rPr>
          <w:sz w:val="24"/>
          <w:szCs w:val="24"/>
        </w:rPr>
      </w:pPr>
    </w:p>
    <w:p w14:paraId="22AC9907" w14:textId="77777777" w:rsidR="00814470" w:rsidRDefault="00814470" w:rsidP="00BB55ED">
      <w:pPr>
        <w:rPr>
          <w:sz w:val="24"/>
          <w:szCs w:val="24"/>
        </w:rPr>
      </w:pPr>
    </w:p>
    <w:p w14:paraId="49093D45" w14:textId="77777777" w:rsidR="00814470" w:rsidRDefault="00814470" w:rsidP="00BB55ED">
      <w:pPr>
        <w:rPr>
          <w:sz w:val="24"/>
          <w:szCs w:val="24"/>
        </w:rPr>
      </w:pPr>
    </w:p>
    <w:p w14:paraId="47C2516E" w14:textId="77777777" w:rsidR="005C51E2" w:rsidRDefault="005C51E2" w:rsidP="00BB55ED">
      <w:pPr>
        <w:rPr>
          <w:sz w:val="24"/>
          <w:szCs w:val="24"/>
        </w:rPr>
      </w:pPr>
    </w:p>
    <w:p w14:paraId="0BC76489" w14:textId="77777777" w:rsidR="005C51E2" w:rsidRDefault="005C51E2" w:rsidP="00BB55ED">
      <w:pPr>
        <w:rPr>
          <w:sz w:val="24"/>
          <w:szCs w:val="24"/>
        </w:rPr>
      </w:pPr>
    </w:p>
    <w:p w14:paraId="771540FE" w14:textId="77777777" w:rsidR="005C51E2" w:rsidRDefault="005C51E2" w:rsidP="00BB55ED">
      <w:pPr>
        <w:rPr>
          <w:sz w:val="24"/>
          <w:szCs w:val="24"/>
        </w:rPr>
      </w:pPr>
    </w:p>
    <w:p w14:paraId="0076F005" w14:textId="77777777" w:rsidR="005C51E2" w:rsidRDefault="005C51E2" w:rsidP="00BB55ED">
      <w:pPr>
        <w:rPr>
          <w:sz w:val="24"/>
          <w:szCs w:val="24"/>
        </w:rPr>
      </w:pPr>
    </w:p>
    <w:p w14:paraId="2B431E8D" w14:textId="77777777" w:rsidR="005C51E2" w:rsidRDefault="005C51E2" w:rsidP="00BB55ED">
      <w:pPr>
        <w:rPr>
          <w:sz w:val="24"/>
          <w:szCs w:val="24"/>
        </w:rPr>
      </w:pPr>
    </w:p>
    <w:p w14:paraId="63B96B93" w14:textId="77777777" w:rsidR="005C51E2" w:rsidRDefault="005C51E2" w:rsidP="00BB55ED">
      <w:pPr>
        <w:rPr>
          <w:sz w:val="24"/>
          <w:szCs w:val="24"/>
        </w:rPr>
      </w:pPr>
    </w:p>
    <w:p w14:paraId="2E0BAA89" w14:textId="77777777" w:rsidR="005C51E2" w:rsidRDefault="005C51E2" w:rsidP="00BB55ED">
      <w:pPr>
        <w:rPr>
          <w:sz w:val="24"/>
          <w:szCs w:val="24"/>
        </w:rPr>
      </w:pPr>
    </w:p>
    <w:p w14:paraId="02D3BAAD" w14:textId="77777777" w:rsidR="005C51E2" w:rsidRDefault="005C51E2" w:rsidP="00BB55ED">
      <w:pPr>
        <w:rPr>
          <w:sz w:val="24"/>
          <w:szCs w:val="24"/>
        </w:rPr>
      </w:pPr>
    </w:p>
    <w:p w14:paraId="33C92D16" w14:textId="77777777" w:rsidR="00587BD3" w:rsidRDefault="00587BD3" w:rsidP="00BB55ED">
      <w:pPr>
        <w:rPr>
          <w:sz w:val="24"/>
          <w:szCs w:val="24"/>
        </w:rPr>
      </w:pPr>
    </w:p>
    <w:p w14:paraId="201BB699" w14:textId="2932BDD9" w:rsidR="00B00EBD" w:rsidRPr="006C79D8" w:rsidRDefault="00B10856" w:rsidP="00367E14">
      <w:pPr>
        <w:pStyle w:val="1"/>
        <w:jc w:val="left"/>
        <w:rPr>
          <w:rFonts w:ascii="Times New Roman" w:hAnsi="Times New Roman"/>
          <w:sz w:val="32"/>
          <w:szCs w:val="32"/>
        </w:rPr>
      </w:pPr>
      <w:bookmarkStart w:id="18" w:name="_Toc167663321"/>
      <w:r>
        <w:rPr>
          <w:rFonts w:ascii="Times New Roman" w:hAnsi="Times New Roman"/>
          <w:sz w:val="32"/>
          <w:szCs w:val="32"/>
        </w:rPr>
        <w:t>Reference</w:t>
      </w:r>
      <w:bookmarkEnd w:id="18"/>
    </w:p>
    <w:p w14:paraId="79C07377" w14:textId="2C0E416E" w:rsidR="005579CB" w:rsidRPr="00AF1B51" w:rsidRDefault="005579CB" w:rsidP="005579CB">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Global Footprint Network (2019). Earth Overshoot Day 2019 is July 29th, the earliest ever.</w:t>
      </w:r>
      <w:hyperlink r:id="rId46" w:history="1">
        <w:r w:rsidRPr="00AF1B51">
          <w:rPr>
            <w:rStyle w:val="a8"/>
            <w:rFonts w:cs="Times New Roman"/>
            <w:sz w:val="24"/>
            <w:szCs w:val="24"/>
            <w:shd w:val="clear" w:color="auto" w:fill="FFFFFF"/>
          </w:rPr>
          <w:t>https://www.footprintnetwork.org/2019/06/26/press-release-june-2019-earth-overshoot-day/</w:t>
        </w:r>
      </w:hyperlink>
    </w:p>
    <w:p w14:paraId="6A02FC37" w14:textId="42F995A4" w:rsidR="006C79D8" w:rsidRPr="00AF1B51" w:rsidRDefault="006C79D8" w:rsidP="008566C9">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 xml:space="preserve">Fatima T, Elbanna S. Corporate Social Responsibility (CSR) Implementation: A Review and a Research Agenda Towards an Integrative Framework. J Bus Ethics. 2023;183(1):105-121. </w:t>
      </w:r>
      <w:proofErr w:type="spellStart"/>
      <w:r w:rsidRPr="00AF1B51">
        <w:rPr>
          <w:rFonts w:cs="Times New Roman"/>
          <w:color w:val="212121"/>
          <w:sz w:val="24"/>
          <w:szCs w:val="24"/>
          <w:shd w:val="clear" w:color="auto" w:fill="FFFFFF"/>
        </w:rPr>
        <w:t>doi</w:t>
      </w:r>
      <w:proofErr w:type="spellEnd"/>
      <w:r w:rsidRPr="00AF1B51">
        <w:rPr>
          <w:rFonts w:cs="Times New Roman"/>
          <w:color w:val="212121"/>
          <w:sz w:val="24"/>
          <w:szCs w:val="24"/>
          <w:shd w:val="clear" w:color="auto" w:fill="FFFFFF"/>
        </w:rPr>
        <w:t xml:space="preserve">: 10.1007/s10551-022-05047-8. </w:t>
      </w:r>
      <w:proofErr w:type="spellStart"/>
      <w:r w:rsidRPr="00AF1B51">
        <w:rPr>
          <w:rFonts w:cs="Times New Roman"/>
          <w:color w:val="212121"/>
          <w:sz w:val="24"/>
          <w:szCs w:val="24"/>
          <w:shd w:val="clear" w:color="auto" w:fill="FFFFFF"/>
        </w:rPr>
        <w:t>Epub</w:t>
      </w:r>
      <w:proofErr w:type="spellEnd"/>
      <w:r w:rsidRPr="00AF1B51">
        <w:rPr>
          <w:rFonts w:cs="Times New Roman"/>
          <w:color w:val="212121"/>
          <w:sz w:val="24"/>
          <w:szCs w:val="24"/>
          <w:shd w:val="clear" w:color="auto" w:fill="FFFFFF"/>
        </w:rPr>
        <w:t xml:space="preserve"> 2022 Feb 2. PMID: 35125567; PMCID: PMC8807959.</w:t>
      </w:r>
    </w:p>
    <w:p w14:paraId="70C28901" w14:textId="77777777" w:rsidR="006C79D8" w:rsidRPr="00AF1B51" w:rsidRDefault="006C79D8" w:rsidP="008566C9">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22222"/>
          <w:sz w:val="24"/>
          <w:szCs w:val="24"/>
          <w:shd w:val="clear" w:color="auto" w:fill="FFFFFF"/>
        </w:rPr>
        <w:t xml:space="preserve">Homayoun, S.; Mashayekhi, B.; </w:t>
      </w:r>
      <w:proofErr w:type="spellStart"/>
      <w:r w:rsidRPr="00AF1B51">
        <w:rPr>
          <w:rFonts w:cs="Times New Roman"/>
          <w:color w:val="222222"/>
          <w:sz w:val="24"/>
          <w:szCs w:val="24"/>
          <w:shd w:val="clear" w:color="auto" w:fill="FFFFFF"/>
        </w:rPr>
        <w:t>Jahangard</w:t>
      </w:r>
      <w:proofErr w:type="spellEnd"/>
      <w:r w:rsidRPr="00AF1B51">
        <w:rPr>
          <w:rFonts w:cs="Times New Roman"/>
          <w:color w:val="222222"/>
          <w:sz w:val="24"/>
          <w:szCs w:val="24"/>
          <w:shd w:val="clear" w:color="auto" w:fill="FFFFFF"/>
        </w:rPr>
        <w:t xml:space="preserve">, A.; </w:t>
      </w:r>
      <w:proofErr w:type="spellStart"/>
      <w:r w:rsidRPr="00AF1B51">
        <w:rPr>
          <w:rFonts w:cs="Times New Roman"/>
          <w:color w:val="222222"/>
          <w:sz w:val="24"/>
          <w:szCs w:val="24"/>
          <w:shd w:val="clear" w:color="auto" w:fill="FFFFFF"/>
        </w:rPr>
        <w:t>Samavat</w:t>
      </w:r>
      <w:proofErr w:type="spellEnd"/>
      <w:r w:rsidRPr="00AF1B51">
        <w:rPr>
          <w:rFonts w:cs="Times New Roman"/>
          <w:color w:val="222222"/>
          <w:sz w:val="24"/>
          <w:szCs w:val="24"/>
          <w:shd w:val="clear" w:color="auto" w:fill="FFFFFF"/>
        </w:rPr>
        <w:t>, M.; Rezaee, Z. The Controversial Link between CSR and Financial Performance: The Mediating Role of Green Innovation. </w:t>
      </w:r>
      <w:r w:rsidRPr="00AF1B51">
        <w:rPr>
          <w:rStyle w:val="af3"/>
          <w:rFonts w:cs="Times New Roman"/>
          <w:color w:val="222222"/>
          <w:sz w:val="24"/>
          <w:szCs w:val="24"/>
          <w:shd w:val="clear" w:color="auto" w:fill="FFFFFF"/>
        </w:rPr>
        <w:t>Sustainability</w:t>
      </w:r>
      <w:r w:rsidRPr="00AF1B51">
        <w:rPr>
          <w:rFonts w:cs="Times New Roman"/>
          <w:color w:val="222222"/>
          <w:sz w:val="24"/>
          <w:szCs w:val="24"/>
          <w:shd w:val="clear" w:color="auto" w:fill="FFFFFF"/>
        </w:rPr>
        <w:t> </w:t>
      </w:r>
      <w:r w:rsidRPr="00AF1B51">
        <w:rPr>
          <w:rFonts w:cs="Times New Roman"/>
          <w:b/>
          <w:bCs/>
          <w:color w:val="222222"/>
          <w:sz w:val="24"/>
          <w:szCs w:val="24"/>
          <w:shd w:val="clear" w:color="auto" w:fill="FFFFFF"/>
        </w:rPr>
        <w:t>2023</w:t>
      </w:r>
      <w:r w:rsidRPr="00AF1B51">
        <w:rPr>
          <w:rFonts w:cs="Times New Roman"/>
          <w:color w:val="222222"/>
          <w:sz w:val="24"/>
          <w:szCs w:val="24"/>
          <w:shd w:val="clear" w:color="auto" w:fill="FFFFFF"/>
        </w:rPr>
        <w:t>, </w:t>
      </w:r>
      <w:r w:rsidRPr="00AF1B51">
        <w:rPr>
          <w:rStyle w:val="af3"/>
          <w:rFonts w:cs="Times New Roman"/>
          <w:color w:val="222222"/>
          <w:sz w:val="24"/>
          <w:szCs w:val="24"/>
          <w:shd w:val="clear" w:color="auto" w:fill="FFFFFF"/>
        </w:rPr>
        <w:t>15</w:t>
      </w:r>
      <w:r w:rsidRPr="00AF1B51">
        <w:rPr>
          <w:rFonts w:cs="Times New Roman"/>
          <w:color w:val="222222"/>
          <w:sz w:val="24"/>
          <w:szCs w:val="24"/>
          <w:shd w:val="clear" w:color="auto" w:fill="FFFFFF"/>
        </w:rPr>
        <w:t xml:space="preserve">, 10650. </w:t>
      </w:r>
      <w:hyperlink r:id="rId47" w:history="1">
        <w:r w:rsidRPr="00AF1B51">
          <w:rPr>
            <w:rStyle w:val="a8"/>
            <w:rFonts w:cs="Times New Roman"/>
            <w:sz w:val="24"/>
            <w:szCs w:val="24"/>
            <w:shd w:val="clear" w:color="auto" w:fill="FFFFFF"/>
          </w:rPr>
          <w:t>https://doi.org/10.3390/su151310650</w:t>
        </w:r>
      </w:hyperlink>
    </w:p>
    <w:p w14:paraId="4799C25F" w14:textId="03839B7F" w:rsidR="006C79D8" w:rsidRPr="00AF1B51" w:rsidRDefault="006C79D8" w:rsidP="008566C9">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Cunha, Sara &amp; Proença, Teresa &amp; Ferreira, Marisa. (2022). Employees Perceptions about Corporate Social Responsibility—Understanding CSR and Job Engagement through Meaningfulness, Bottom-Up Approach, and Calling Orientation. Sustainability. 14. 10.3390/su142114606.</w:t>
      </w:r>
    </w:p>
    <w:p w14:paraId="39AA37CE" w14:textId="1B00EB17" w:rsidR="006C79D8" w:rsidRPr="00AF1B51" w:rsidRDefault="00E940D7" w:rsidP="008566C9">
      <w:pPr>
        <w:pStyle w:val="a9"/>
        <w:numPr>
          <w:ilvl w:val="0"/>
          <w:numId w:val="17"/>
        </w:numPr>
        <w:jc w:val="both"/>
        <w:rPr>
          <w:rFonts w:cs="Times New Roman"/>
          <w:color w:val="212121"/>
          <w:sz w:val="24"/>
          <w:szCs w:val="24"/>
          <w:shd w:val="clear" w:color="auto" w:fill="FFFFFF"/>
        </w:rPr>
      </w:pPr>
      <w:r w:rsidRPr="00AF1B51">
        <w:rPr>
          <w:rFonts w:cs="Times New Roman"/>
          <w:color w:val="212121"/>
          <w:sz w:val="24"/>
          <w:szCs w:val="24"/>
          <w:shd w:val="clear" w:color="auto" w:fill="FFFFFF"/>
        </w:rPr>
        <w:t xml:space="preserve">Yan R, Li X and Zhu X (2022) The Impact of Corporate Social Responsibility on Sustainable Innovation: A Case in China’s Heavy Pollution Industry. Front. Psychol. 13:946570. </w:t>
      </w:r>
      <w:proofErr w:type="spellStart"/>
      <w:r w:rsidRPr="00AF1B51">
        <w:rPr>
          <w:rFonts w:cs="Times New Roman"/>
          <w:color w:val="212121"/>
          <w:sz w:val="24"/>
          <w:szCs w:val="24"/>
          <w:shd w:val="clear" w:color="auto" w:fill="FFFFFF"/>
        </w:rPr>
        <w:t>doi</w:t>
      </w:r>
      <w:proofErr w:type="spellEnd"/>
      <w:r w:rsidRPr="00AF1B51">
        <w:rPr>
          <w:rFonts w:cs="Times New Roman"/>
          <w:color w:val="212121"/>
          <w:sz w:val="24"/>
          <w:szCs w:val="24"/>
          <w:shd w:val="clear" w:color="auto" w:fill="FFFFFF"/>
        </w:rPr>
        <w:t>: 10.3389/fpsyg.2022.946570</w:t>
      </w:r>
    </w:p>
    <w:p w14:paraId="6884B668" w14:textId="3ADE4040" w:rsidR="00E940D7" w:rsidRPr="00AF1B51" w:rsidRDefault="00E940D7" w:rsidP="008566C9">
      <w:pPr>
        <w:pStyle w:val="a9"/>
        <w:numPr>
          <w:ilvl w:val="0"/>
          <w:numId w:val="17"/>
        </w:numPr>
        <w:spacing w:after="160" w:line="278" w:lineRule="auto"/>
        <w:jc w:val="both"/>
        <w:rPr>
          <w:rFonts w:cs="Times New Roman"/>
          <w:color w:val="212121"/>
          <w:sz w:val="24"/>
          <w:szCs w:val="24"/>
          <w:shd w:val="clear" w:color="auto" w:fill="FFFFFF"/>
        </w:rPr>
      </w:pPr>
      <w:proofErr w:type="spellStart"/>
      <w:r w:rsidRPr="00AF1B51">
        <w:rPr>
          <w:rFonts w:cs="Times New Roman"/>
          <w:color w:val="212121"/>
          <w:sz w:val="24"/>
          <w:szCs w:val="24"/>
          <w:shd w:val="clear" w:color="auto" w:fill="FFFFFF"/>
        </w:rPr>
        <w:t>Dentchev</w:t>
      </w:r>
      <w:proofErr w:type="spellEnd"/>
      <w:r w:rsidRPr="00AF1B51">
        <w:rPr>
          <w:rFonts w:cs="Times New Roman"/>
          <w:color w:val="212121"/>
          <w:sz w:val="24"/>
          <w:szCs w:val="24"/>
          <w:shd w:val="clear" w:color="auto" w:fill="FFFFFF"/>
        </w:rPr>
        <w:t xml:space="preserve">, N. A., </w:t>
      </w:r>
      <w:proofErr w:type="spellStart"/>
      <w:r w:rsidRPr="00AF1B51">
        <w:rPr>
          <w:rFonts w:cs="Times New Roman"/>
          <w:color w:val="212121"/>
          <w:sz w:val="24"/>
          <w:szCs w:val="24"/>
          <w:shd w:val="clear" w:color="auto" w:fill="FFFFFF"/>
        </w:rPr>
        <w:t>Haezendonck</w:t>
      </w:r>
      <w:proofErr w:type="spellEnd"/>
      <w:r w:rsidRPr="00AF1B51">
        <w:rPr>
          <w:rFonts w:cs="Times New Roman"/>
          <w:color w:val="212121"/>
          <w:sz w:val="24"/>
          <w:szCs w:val="24"/>
          <w:shd w:val="clear" w:color="auto" w:fill="FFFFFF"/>
        </w:rPr>
        <w:t xml:space="preserve">, E. and van Balen, M. (2015). The role of governments in </w:t>
      </w:r>
      <w:proofErr w:type="spellStart"/>
      <w:r w:rsidRPr="00AF1B51">
        <w:rPr>
          <w:rFonts w:cs="Times New Roman"/>
          <w:color w:val="212121"/>
          <w:sz w:val="24"/>
          <w:szCs w:val="24"/>
          <w:shd w:val="clear" w:color="auto" w:fill="FFFFFF"/>
        </w:rPr>
        <w:t>thebusiness</w:t>
      </w:r>
      <w:proofErr w:type="spellEnd"/>
      <w:r w:rsidRPr="00AF1B51">
        <w:rPr>
          <w:rFonts w:cs="Times New Roman"/>
          <w:color w:val="212121"/>
          <w:sz w:val="24"/>
          <w:szCs w:val="24"/>
          <w:shd w:val="clear" w:color="auto" w:fill="FFFFFF"/>
        </w:rPr>
        <w:t xml:space="preserve"> and society debate. Business &amp; Society doi.org/10.1177/0007650315586179.</w:t>
      </w:r>
    </w:p>
    <w:p w14:paraId="67D318D7" w14:textId="77777777" w:rsidR="008B6AD8" w:rsidRPr="00AF1B51" w:rsidRDefault="00E940D7" w:rsidP="008566C9">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Jackson, G., Bartosch, J., Avetisyan, E., Kinderman, D., &amp; Knudsen, J. S. (2020). Mandatory non-financial disclosure and its influence on CSR: An international comparison. Journal of Business Ethics, 162, 323-342.</w:t>
      </w:r>
    </w:p>
    <w:p w14:paraId="18454F80" w14:textId="77777777" w:rsidR="008B6AD8" w:rsidRPr="00AF1B51" w:rsidRDefault="008B6AD8" w:rsidP="008566C9">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 xml:space="preserve">Fox, T., H. </w:t>
      </w:r>
      <w:proofErr w:type="gramStart"/>
      <w:r w:rsidRPr="00AF1B51">
        <w:rPr>
          <w:rFonts w:cs="Times New Roman"/>
          <w:color w:val="212121"/>
          <w:sz w:val="24"/>
          <w:szCs w:val="24"/>
          <w:shd w:val="clear" w:color="auto" w:fill="FFFFFF"/>
        </w:rPr>
        <w:t>Ward</w:t>
      </w:r>
      <w:proofErr w:type="gramEnd"/>
      <w:r w:rsidRPr="00AF1B51">
        <w:rPr>
          <w:rFonts w:cs="Times New Roman"/>
          <w:color w:val="212121"/>
          <w:sz w:val="24"/>
          <w:szCs w:val="24"/>
          <w:shd w:val="clear" w:color="auto" w:fill="FFFFFF"/>
        </w:rPr>
        <w:t xml:space="preserve"> and B. Howard: 2002, Public Sector Roles in Strengthening Corporate Social Responsibility: A Baseline Study (The World Bank, Washington).</w:t>
      </w:r>
    </w:p>
    <w:p w14:paraId="30625740" w14:textId="66F9CD49" w:rsidR="00E940D7" w:rsidRPr="00AF1B51" w:rsidRDefault="00E940D7" w:rsidP="008566C9">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 xml:space="preserve">Beiner, S., </w:t>
      </w:r>
      <w:proofErr w:type="spellStart"/>
      <w:r w:rsidRPr="00AF1B51">
        <w:rPr>
          <w:rFonts w:cs="Times New Roman"/>
          <w:color w:val="212121"/>
          <w:sz w:val="24"/>
          <w:szCs w:val="24"/>
          <w:shd w:val="clear" w:color="auto" w:fill="FFFFFF"/>
        </w:rPr>
        <w:t>Drobetz</w:t>
      </w:r>
      <w:proofErr w:type="spellEnd"/>
      <w:r w:rsidRPr="00AF1B51">
        <w:rPr>
          <w:rFonts w:cs="Times New Roman"/>
          <w:color w:val="212121"/>
          <w:sz w:val="24"/>
          <w:szCs w:val="24"/>
          <w:shd w:val="clear" w:color="auto" w:fill="FFFFFF"/>
        </w:rPr>
        <w:t xml:space="preserve">, W., Schmid, M.M., Zimmerman, H., 2004. An integrated framework of corporate governance and firm valuation. Eur. </w:t>
      </w:r>
      <w:proofErr w:type="spellStart"/>
      <w:r w:rsidRPr="00AF1B51">
        <w:rPr>
          <w:rFonts w:cs="Times New Roman"/>
          <w:color w:val="212121"/>
          <w:sz w:val="24"/>
          <w:szCs w:val="24"/>
          <w:shd w:val="clear" w:color="auto" w:fill="FFFFFF"/>
        </w:rPr>
        <w:t>Financ</w:t>
      </w:r>
      <w:proofErr w:type="spellEnd"/>
      <w:r w:rsidRPr="00AF1B51">
        <w:rPr>
          <w:rFonts w:cs="Times New Roman"/>
          <w:color w:val="212121"/>
          <w:sz w:val="24"/>
          <w:szCs w:val="24"/>
          <w:shd w:val="clear" w:color="auto" w:fill="FFFFFF"/>
        </w:rPr>
        <w:t>. Manag. 12 (2), 249–283.</w:t>
      </w:r>
    </w:p>
    <w:p w14:paraId="5EA8D70B" w14:textId="77777777" w:rsidR="00E940D7" w:rsidRPr="00AF1B51" w:rsidRDefault="00E940D7" w:rsidP="008566C9">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 xml:space="preserve">Joh, S.W.(2003). Corporate governance and firm profitability: evidence from Korea before the economic crisis. J. </w:t>
      </w:r>
      <w:proofErr w:type="spellStart"/>
      <w:r w:rsidRPr="00AF1B51">
        <w:rPr>
          <w:rFonts w:cs="Times New Roman"/>
          <w:color w:val="212121"/>
          <w:sz w:val="24"/>
          <w:szCs w:val="24"/>
          <w:shd w:val="clear" w:color="auto" w:fill="FFFFFF"/>
        </w:rPr>
        <w:t>Financ</w:t>
      </w:r>
      <w:proofErr w:type="spellEnd"/>
      <w:r w:rsidRPr="00AF1B51">
        <w:rPr>
          <w:rFonts w:cs="Times New Roman"/>
          <w:color w:val="212121"/>
          <w:sz w:val="24"/>
          <w:szCs w:val="24"/>
          <w:shd w:val="clear" w:color="auto" w:fill="FFFFFF"/>
        </w:rPr>
        <w:t>. Econ. 68, 287–322.</w:t>
      </w:r>
    </w:p>
    <w:p w14:paraId="72834105" w14:textId="152053ED" w:rsidR="00E940D7" w:rsidRPr="00AF1B51" w:rsidRDefault="006B6F59" w:rsidP="008566C9">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Lu ,J. W., G e J., W u, W. &amp; Y an, S. (2023). Attention to Whom? State, Market, and the Scope of Corporate Social Responsibility Activities . Paper presented at the Academy of Management Conference , Boston</w:t>
      </w:r>
    </w:p>
    <w:p w14:paraId="6A6E8298" w14:textId="77777777" w:rsidR="004171FF" w:rsidRPr="00AF1B51" w:rsidRDefault="004171FF" w:rsidP="008566C9">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Freeman RE (1984) Strategic management: a stakeholder approach.</w:t>
      </w:r>
    </w:p>
    <w:p w14:paraId="7465ADE8" w14:textId="5A36A2C8" w:rsidR="003029C9" w:rsidRPr="00AF1B51" w:rsidRDefault="004171FF" w:rsidP="008566C9">
      <w:pPr>
        <w:pStyle w:val="a9"/>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Pitman Publishing, Boston</w:t>
      </w:r>
    </w:p>
    <w:p w14:paraId="658A05D5" w14:textId="77777777" w:rsidR="00B47114" w:rsidRPr="00AF1B51" w:rsidRDefault="00B47114" w:rsidP="008566C9">
      <w:pPr>
        <w:pStyle w:val="a9"/>
        <w:numPr>
          <w:ilvl w:val="0"/>
          <w:numId w:val="17"/>
        </w:numPr>
        <w:spacing w:after="160" w:line="278" w:lineRule="auto"/>
        <w:jc w:val="both"/>
        <w:rPr>
          <w:rFonts w:cs="Times New Roman"/>
          <w:color w:val="212121"/>
          <w:sz w:val="24"/>
          <w:szCs w:val="24"/>
          <w:shd w:val="clear" w:color="auto" w:fill="FFFFFF"/>
        </w:rPr>
      </w:pPr>
      <w:proofErr w:type="spellStart"/>
      <w:r w:rsidRPr="00AF1B51">
        <w:rPr>
          <w:rFonts w:cs="Times New Roman"/>
          <w:color w:val="212121"/>
          <w:sz w:val="24"/>
          <w:szCs w:val="24"/>
          <w:shd w:val="clear" w:color="auto" w:fill="FFFFFF"/>
        </w:rPr>
        <w:t>Minoja</w:t>
      </w:r>
      <w:proofErr w:type="spellEnd"/>
      <w:r w:rsidRPr="00AF1B51">
        <w:rPr>
          <w:rFonts w:cs="Times New Roman"/>
          <w:color w:val="212121"/>
          <w:sz w:val="24"/>
          <w:szCs w:val="24"/>
          <w:shd w:val="clear" w:color="auto" w:fill="FFFFFF"/>
        </w:rPr>
        <w:t xml:space="preserve"> M (2012) Stakeholder management theory, firm strategy, and ambidexterity. J Bus Ethics 109:67–82</w:t>
      </w:r>
    </w:p>
    <w:p w14:paraId="7B0EB6E2" w14:textId="77777777" w:rsidR="00B47114" w:rsidRPr="00AF1B51" w:rsidRDefault="00B47114" w:rsidP="008566C9">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Donaldson T, Preston LE (1995) The stakeholder theory of the corporation:</w:t>
      </w:r>
      <w:r w:rsidRPr="00AF1B51">
        <w:rPr>
          <w:rFonts w:cs="Times New Roman"/>
          <w:color w:val="212121"/>
          <w:sz w:val="24"/>
          <w:szCs w:val="24"/>
          <w:shd w:val="clear" w:color="auto" w:fill="FFFFFF"/>
        </w:rPr>
        <w:t xml:space="preserve">　</w:t>
      </w:r>
      <w:r w:rsidRPr="00AF1B51">
        <w:rPr>
          <w:rFonts w:cs="Times New Roman"/>
          <w:color w:val="212121"/>
          <w:sz w:val="24"/>
          <w:szCs w:val="24"/>
          <w:shd w:val="clear" w:color="auto" w:fill="FFFFFF"/>
        </w:rPr>
        <w:t xml:space="preserve">concepts, evidence, and implications. </w:t>
      </w:r>
      <w:proofErr w:type="spellStart"/>
      <w:r w:rsidRPr="00AF1B51">
        <w:rPr>
          <w:rFonts w:cs="Times New Roman"/>
          <w:color w:val="212121"/>
          <w:sz w:val="24"/>
          <w:szCs w:val="24"/>
          <w:shd w:val="clear" w:color="auto" w:fill="FFFFFF"/>
        </w:rPr>
        <w:t>Acad</w:t>
      </w:r>
      <w:proofErr w:type="spellEnd"/>
      <w:r w:rsidRPr="00AF1B51">
        <w:rPr>
          <w:rFonts w:cs="Times New Roman"/>
          <w:color w:val="212121"/>
          <w:sz w:val="24"/>
          <w:szCs w:val="24"/>
          <w:shd w:val="clear" w:color="auto" w:fill="FFFFFF"/>
        </w:rPr>
        <w:t xml:space="preserve"> Manag Rev 20:65-91</w:t>
      </w:r>
    </w:p>
    <w:p w14:paraId="79B7517B" w14:textId="77777777" w:rsidR="00BC11EC" w:rsidRPr="00AF1B51" w:rsidRDefault="00BC11EC" w:rsidP="00BC11E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 xml:space="preserve">Jordan Bar Am et al., 2022. “How to prepare for a sustainable future along the value chain”. McKinsey &amp; Company Website. </w:t>
      </w:r>
    </w:p>
    <w:p w14:paraId="4690F1B1" w14:textId="0B07DAEC" w:rsidR="00BC11EC" w:rsidRPr="00AF1B51" w:rsidRDefault="00C025B9" w:rsidP="00BC11EC">
      <w:pPr>
        <w:pStyle w:val="a9"/>
        <w:spacing w:after="160" w:line="278" w:lineRule="auto"/>
        <w:jc w:val="both"/>
        <w:rPr>
          <w:rFonts w:cs="Times New Roman"/>
          <w:color w:val="212121"/>
          <w:sz w:val="24"/>
          <w:szCs w:val="24"/>
          <w:shd w:val="clear" w:color="auto" w:fill="FFFFFF"/>
        </w:rPr>
      </w:pPr>
      <w:hyperlink r:id="rId48" w:history="1">
        <w:r w:rsidR="00BC11EC" w:rsidRPr="00AF1B51">
          <w:rPr>
            <w:rStyle w:val="a8"/>
            <w:rFonts w:cs="Times New Roman"/>
            <w:sz w:val="24"/>
            <w:szCs w:val="24"/>
            <w:shd w:val="clear" w:color="auto" w:fill="FFFFFF"/>
          </w:rPr>
          <w:t>https://www.mckinsey.com/industries/consumer-packaged-goods/our-insights/how-to-prepare-for-a-sustainable-future-along-the-value-chain</w:t>
        </w:r>
      </w:hyperlink>
    </w:p>
    <w:p w14:paraId="047366AD" w14:textId="23BC49B7" w:rsidR="004171FF" w:rsidRPr="00AF1B51" w:rsidRDefault="00B47114" w:rsidP="00A3235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 xml:space="preserve">Tim Stobierski (2021) 15 EYE-OPENING CORPORATE SOCIAL RESPONSIBILITY STATISTICS. </w:t>
      </w:r>
      <w:hyperlink r:id="rId49" w:history="1">
        <w:r w:rsidRPr="00AF1B51">
          <w:rPr>
            <w:rStyle w:val="a8"/>
            <w:rFonts w:cs="Times New Roman"/>
            <w:sz w:val="24"/>
            <w:szCs w:val="24"/>
            <w:shd w:val="clear" w:color="auto" w:fill="FFFFFF"/>
          </w:rPr>
          <w:t>https://online.hbs.edu/blog/post/corporate-social-responsibility-statistics</w:t>
        </w:r>
      </w:hyperlink>
    </w:p>
    <w:p w14:paraId="44226807" w14:textId="77777777" w:rsidR="008372F1" w:rsidRPr="00AF1B51" w:rsidRDefault="008372F1" w:rsidP="00A3235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 xml:space="preserve">Patten, D. M., &amp; Crampton, W. (2004). LEGITIMACY AND THE INTERNET: AN EXAMINATION OF CORPORATE WEB PAGE ENVIRONMENTAL DISCLOSURES. Advances in Environmental Accounting and Management,2, 31–57. </w:t>
      </w:r>
      <w:proofErr w:type="spellStart"/>
      <w:r w:rsidRPr="00AF1B51">
        <w:rPr>
          <w:rFonts w:cs="Times New Roman"/>
          <w:color w:val="212121"/>
          <w:sz w:val="24"/>
          <w:szCs w:val="24"/>
          <w:shd w:val="clear" w:color="auto" w:fill="FFFFFF"/>
        </w:rPr>
        <w:t>doi</w:t>
      </w:r>
      <w:proofErr w:type="spellEnd"/>
      <w:r w:rsidRPr="00AF1B51">
        <w:rPr>
          <w:rFonts w:cs="Times New Roman"/>
          <w:color w:val="212121"/>
          <w:sz w:val="24"/>
          <w:szCs w:val="24"/>
          <w:shd w:val="clear" w:color="auto" w:fill="FFFFFF"/>
        </w:rPr>
        <w:t>: https://doi.org/10.1016/S1479-3598(03)02002-8</w:t>
      </w:r>
    </w:p>
    <w:p w14:paraId="76FDAA55" w14:textId="77777777" w:rsidR="008372F1" w:rsidRPr="00AF1B51" w:rsidRDefault="008372F1" w:rsidP="00A3235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 xml:space="preserve">Deegan, C. (2002). The </w:t>
      </w:r>
      <w:proofErr w:type="spellStart"/>
      <w:r w:rsidRPr="00AF1B51">
        <w:rPr>
          <w:rFonts w:cs="Times New Roman"/>
          <w:color w:val="212121"/>
          <w:sz w:val="24"/>
          <w:szCs w:val="24"/>
          <w:shd w:val="clear" w:color="auto" w:fill="FFFFFF"/>
        </w:rPr>
        <w:t>legitimising</w:t>
      </w:r>
      <w:proofErr w:type="spellEnd"/>
      <w:r w:rsidRPr="00AF1B51">
        <w:rPr>
          <w:rFonts w:cs="Times New Roman"/>
          <w:color w:val="212121"/>
          <w:sz w:val="24"/>
          <w:szCs w:val="24"/>
          <w:shd w:val="clear" w:color="auto" w:fill="FFFFFF"/>
        </w:rPr>
        <w:t xml:space="preserve"> effect of social and environmental disclosures: A theoretical foundation. Accounting, Auditing and Accountability Journal, 15(3), 282–311. https://doi.org/https://doi.org/10.1108/09513570210435852</w:t>
      </w:r>
    </w:p>
    <w:p w14:paraId="7C7C7E41" w14:textId="77777777" w:rsidR="008372F1" w:rsidRPr="00AF1B51" w:rsidRDefault="008372F1" w:rsidP="00A3235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 xml:space="preserve">Neu, D., Warsame, H., &amp; </w:t>
      </w:r>
      <w:proofErr w:type="spellStart"/>
      <w:r w:rsidRPr="00AF1B51">
        <w:rPr>
          <w:rFonts w:cs="Times New Roman"/>
          <w:color w:val="212121"/>
          <w:sz w:val="24"/>
          <w:szCs w:val="24"/>
          <w:shd w:val="clear" w:color="auto" w:fill="FFFFFF"/>
        </w:rPr>
        <w:t>Pedwell</w:t>
      </w:r>
      <w:proofErr w:type="spellEnd"/>
      <w:r w:rsidRPr="00AF1B51">
        <w:rPr>
          <w:rFonts w:cs="Times New Roman"/>
          <w:color w:val="212121"/>
          <w:sz w:val="24"/>
          <w:szCs w:val="24"/>
          <w:shd w:val="clear" w:color="auto" w:fill="FFFFFF"/>
        </w:rPr>
        <w:t xml:space="preserve">, K. (1998). Managing Public Impressions: Environmental Disclosures in Annual Reports. Accounting, Organizations and Society,23(3), 265–282. </w:t>
      </w:r>
      <w:proofErr w:type="spellStart"/>
      <w:r w:rsidRPr="00AF1B51">
        <w:rPr>
          <w:rFonts w:cs="Times New Roman"/>
          <w:color w:val="212121"/>
          <w:sz w:val="24"/>
          <w:szCs w:val="24"/>
          <w:shd w:val="clear" w:color="auto" w:fill="FFFFFF"/>
        </w:rPr>
        <w:t>doi</w:t>
      </w:r>
      <w:proofErr w:type="spellEnd"/>
      <w:r w:rsidRPr="00AF1B51">
        <w:rPr>
          <w:rFonts w:cs="Times New Roman"/>
          <w:color w:val="212121"/>
          <w:sz w:val="24"/>
          <w:szCs w:val="24"/>
          <w:shd w:val="clear" w:color="auto" w:fill="FFFFFF"/>
        </w:rPr>
        <w:t>: https://doi.org/10.1016/S0361-3682(97)00008-1</w:t>
      </w:r>
    </w:p>
    <w:p w14:paraId="4F047BB9" w14:textId="77777777" w:rsidR="008372F1" w:rsidRPr="00AF1B51" w:rsidRDefault="008372F1" w:rsidP="00A3235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 xml:space="preserve">Suchman, M. (1995). Managing legitimacy: Strategic and institutional approaches. Academy of Management Review, 20(3), 57l–610. </w:t>
      </w:r>
      <w:proofErr w:type="spellStart"/>
      <w:r w:rsidRPr="00AF1B51">
        <w:rPr>
          <w:rFonts w:cs="Times New Roman"/>
          <w:color w:val="212121"/>
          <w:sz w:val="24"/>
          <w:szCs w:val="24"/>
          <w:shd w:val="clear" w:color="auto" w:fill="FFFFFF"/>
        </w:rPr>
        <w:t>doi</w:t>
      </w:r>
      <w:proofErr w:type="spellEnd"/>
      <w:r w:rsidRPr="00AF1B51">
        <w:rPr>
          <w:rFonts w:cs="Times New Roman"/>
          <w:color w:val="212121"/>
          <w:sz w:val="24"/>
          <w:szCs w:val="24"/>
          <w:shd w:val="clear" w:color="auto" w:fill="FFFFFF"/>
        </w:rPr>
        <w:t>: https://doi.org/10.5465/amr.1995.9508080331</w:t>
      </w:r>
    </w:p>
    <w:p w14:paraId="6AC92490" w14:textId="4923C9AA" w:rsidR="00B47114" w:rsidRPr="00AF1B51" w:rsidRDefault="004A36B1" w:rsidP="00A3235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Corporate Social Responsibility: Grasping Legitimacy, Reaching Sustainability Y. Handoko, “</w:t>
      </w:r>
      <w:proofErr w:type="spellStart"/>
      <w:r w:rsidRPr="00AF1B51">
        <w:rPr>
          <w:rFonts w:cs="Times New Roman"/>
          <w:color w:val="212121"/>
          <w:sz w:val="24"/>
          <w:szCs w:val="24"/>
          <w:shd w:val="clear" w:color="auto" w:fill="FFFFFF"/>
        </w:rPr>
        <w:t>Implementasi</w:t>
      </w:r>
      <w:proofErr w:type="spellEnd"/>
      <w:r w:rsidRPr="00AF1B51">
        <w:rPr>
          <w:rFonts w:cs="Times New Roman"/>
          <w:color w:val="212121"/>
          <w:sz w:val="24"/>
          <w:szCs w:val="24"/>
          <w:shd w:val="clear" w:color="auto" w:fill="FFFFFF"/>
        </w:rPr>
        <w:t xml:space="preserve"> Social and Environmental </w:t>
      </w:r>
      <w:proofErr w:type="spellStart"/>
      <w:r w:rsidRPr="00AF1B51">
        <w:rPr>
          <w:rFonts w:cs="Times New Roman"/>
          <w:color w:val="212121"/>
          <w:sz w:val="24"/>
          <w:szCs w:val="24"/>
          <w:shd w:val="clear" w:color="auto" w:fill="FFFFFF"/>
        </w:rPr>
        <w:t>Disclouse</w:t>
      </w:r>
      <w:proofErr w:type="spellEnd"/>
      <w:r w:rsidRPr="00AF1B51">
        <w:rPr>
          <w:rFonts w:cs="Times New Roman"/>
          <w:color w:val="212121"/>
          <w:sz w:val="24"/>
          <w:szCs w:val="24"/>
          <w:shd w:val="clear" w:color="auto" w:fill="FFFFFF"/>
        </w:rPr>
        <w:t xml:space="preserve"> </w:t>
      </w:r>
      <w:proofErr w:type="spellStart"/>
      <w:r w:rsidRPr="00AF1B51">
        <w:rPr>
          <w:rFonts w:cs="Times New Roman"/>
          <w:color w:val="212121"/>
          <w:sz w:val="24"/>
          <w:szCs w:val="24"/>
          <w:shd w:val="clear" w:color="auto" w:fill="FFFFFF"/>
        </w:rPr>
        <w:t>dalam</w:t>
      </w:r>
      <w:proofErr w:type="spellEnd"/>
      <w:r w:rsidRPr="00AF1B51">
        <w:rPr>
          <w:rFonts w:cs="Times New Roman"/>
          <w:color w:val="212121"/>
          <w:sz w:val="24"/>
          <w:szCs w:val="24"/>
          <w:shd w:val="clear" w:color="auto" w:fill="FFFFFF"/>
        </w:rPr>
        <w:t xml:space="preserve"> </w:t>
      </w:r>
      <w:proofErr w:type="spellStart"/>
      <w:r w:rsidRPr="00AF1B51">
        <w:rPr>
          <w:rFonts w:cs="Times New Roman"/>
          <w:color w:val="212121"/>
          <w:sz w:val="24"/>
          <w:szCs w:val="24"/>
          <w:shd w:val="clear" w:color="auto" w:fill="FFFFFF"/>
        </w:rPr>
        <w:t>Perspektif</w:t>
      </w:r>
      <w:proofErr w:type="spellEnd"/>
      <w:r w:rsidRPr="00AF1B51">
        <w:rPr>
          <w:rFonts w:cs="Times New Roman"/>
          <w:color w:val="212121"/>
          <w:sz w:val="24"/>
          <w:szCs w:val="24"/>
          <w:shd w:val="clear" w:color="auto" w:fill="FFFFFF"/>
        </w:rPr>
        <w:t xml:space="preserve"> </w:t>
      </w:r>
      <w:proofErr w:type="spellStart"/>
      <w:r w:rsidRPr="00AF1B51">
        <w:rPr>
          <w:rFonts w:cs="Times New Roman"/>
          <w:color w:val="212121"/>
          <w:sz w:val="24"/>
          <w:szCs w:val="24"/>
          <w:shd w:val="clear" w:color="auto" w:fill="FFFFFF"/>
        </w:rPr>
        <w:t>Teoritis</w:t>
      </w:r>
      <w:proofErr w:type="spellEnd"/>
      <w:r w:rsidRPr="00AF1B51">
        <w:rPr>
          <w:rFonts w:cs="Times New Roman"/>
          <w:color w:val="212121"/>
          <w:sz w:val="24"/>
          <w:szCs w:val="24"/>
          <w:shd w:val="clear" w:color="auto" w:fill="FFFFFF"/>
        </w:rPr>
        <w:t>,” J. JIBEKA, vol. 8, no. 2, 2014.</w:t>
      </w:r>
    </w:p>
    <w:p w14:paraId="79F93F11" w14:textId="4D701093" w:rsidR="004A36B1" w:rsidRPr="00AF1B51" w:rsidRDefault="004A36B1" w:rsidP="00A3235C">
      <w:pPr>
        <w:pStyle w:val="a9"/>
        <w:numPr>
          <w:ilvl w:val="0"/>
          <w:numId w:val="17"/>
        </w:numPr>
        <w:spacing w:after="160" w:line="278" w:lineRule="auto"/>
        <w:jc w:val="both"/>
        <w:rPr>
          <w:rFonts w:cs="Times New Roman"/>
          <w:color w:val="212121"/>
          <w:sz w:val="24"/>
          <w:szCs w:val="24"/>
          <w:shd w:val="clear" w:color="auto" w:fill="FFFFFF"/>
        </w:rPr>
      </w:pPr>
      <w:proofErr w:type="spellStart"/>
      <w:r w:rsidRPr="00AF1B51">
        <w:rPr>
          <w:rFonts w:cs="Times New Roman"/>
          <w:sz w:val="24"/>
          <w:szCs w:val="24"/>
        </w:rPr>
        <w:t>Haniffia</w:t>
      </w:r>
      <w:proofErr w:type="spellEnd"/>
      <w:r w:rsidRPr="00AF1B51">
        <w:rPr>
          <w:rFonts w:cs="Times New Roman"/>
          <w:sz w:val="24"/>
          <w:szCs w:val="24"/>
        </w:rPr>
        <w:t xml:space="preserve"> et al, “The impact of culture and governance on corporate social reporting,” J. Account. Public Policy, vol. 24, no. 5, pp. 391–430, 2005.</w:t>
      </w:r>
    </w:p>
    <w:p w14:paraId="3672D9AD" w14:textId="75626A16" w:rsidR="004A36B1" w:rsidRPr="00AF1B51" w:rsidRDefault="004A36B1" w:rsidP="00A3235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 xml:space="preserve">Wernerfelt, B. (1984), “A </w:t>
      </w:r>
      <w:proofErr w:type="gramStart"/>
      <w:r w:rsidRPr="00AF1B51">
        <w:rPr>
          <w:rFonts w:cs="Times New Roman"/>
          <w:color w:val="212121"/>
          <w:sz w:val="24"/>
          <w:szCs w:val="24"/>
          <w:shd w:val="clear" w:color="auto" w:fill="FFFFFF"/>
        </w:rPr>
        <w:t>resource based</w:t>
      </w:r>
      <w:proofErr w:type="gramEnd"/>
      <w:r w:rsidRPr="00AF1B51">
        <w:rPr>
          <w:rFonts w:cs="Times New Roman"/>
          <w:color w:val="212121"/>
          <w:sz w:val="24"/>
          <w:szCs w:val="24"/>
          <w:shd w:val="clear" w:color="auto" w:fill="FFFFFF"/>
        </w:rPr>
        <w:t xml:space="preserve"> view of the firm”, Strategic Management Journal, Vol. 5, pp. 171-80.</w:t>
      </w:r>
    </w:p>
    <w:p w14:paraId="690471DB" w14:textId="673CCC46" w:rsidR="005F77AE" w:rsidRPr="00AF1B51" w:rsidRDefault="005F77AE" w:rsidP="00A3235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Barney, P. (1991), “Firms resources and sustained competitive advantage”, Journal of Management, Vol. 17, pp. 99-120.</w:t>
      </w:r>
    </w:p>
    <w:p w14:paraId="50E465DA" w14:textId="0001E4A3" w:rsidR="005F77AE" w:rsidRPr="00AF1B51" w:rsidRDefault="005F77AE" w:rsidP="00A3235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 xml:space="preserve">Cho, H. and </w:t>
      </w:r>
      <w:proofErr w:type="spellStart"/>
      <w:r w:rsidRPr="00AF1B51">
        <w:rPr>
          <w:rFonts w:cs="Times New Roman"/>
          <w:color w:val="212121"/>
          <w:sz w:val="24"/>
          <w:szCs w:val="24"/>
          <w:shd w:val="clear" w:color="auto" w:fill="FFFFFF"/>
        </w:rPr>
        <w:t>Pucik</w:t>
      </w:r>
      <w:proofErr w:type="spellEnd"/>
      <w:r w:rsidRPr="00AF1B51">
        <w:rPr>
          <w:rFonts w:cs="Times New Roman"/>
          <w:color w:val="212121"/>
          <w:sz w:val="24"/>
          <w:szCs w:val="24"/>
          <w:shd w:val="clear" w:color="auto" w:fill="FFFFFF"/>
        </w:rPr>
        <w:t xml:space="preserve">, V. (2005), “Relationship between innovativeness, quality, growth, profitability, and market value”, Strategic Management Journal, Vol. 26, pp. 555-75. </w:t>
      </w:r>
    </w:p>
    <w:p w14:paraId="65242B05" w14:textId="77777777" w:rsidR="005F77AE" w:rsidRPr="00AF1B51" w:rsidRDefault="005F77AE" w:rsidP="00A3235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Castelo, M. and Lima, L. (2006), “Corporate social responsibility and resource-based perspectives”, Journal of Business Ethics, Vol. 69, pp. 111-32.</w:t>
      </w:r>
    </w:p>
    <w:p w14:paraId="2EB2EBAF" w14:textId="77777777" w:rsidR="005F77AE" w:rsidRPr="00AF1B51" w:rsidRDefault="005F77AE" w:rsidP="00A3235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Hart, S. (1995), “A natural resource-based view of the firm”, Academy of Management Review, Vol. 20, pp. 986-1014.</w:t>
      </w:r>
    </w:p>
    <w:p w14:paraId="21086694" w14:textId="77777777" w:rsidR="005F77AE" w:rsidRPr="00AF1B51" w:rsidRDefault="005F77AE" w:rsidP="00A3235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 xml:space="preserve">McWilliams, A., Van Fleet, D. and Cory, K. (2002), “Raising </w:t>
      </w:r>
      <w:proofErr w:type="gramStart"/>
      <w:r w:rsidRPr="00AF1B51">
        <w:rPr>
          <w:rFonts w:cs="Times New Roman"/>
          <w:color w:val="212121"/>
          <w:sz w:val="24"/>
          <w:szCs w:val="24"/>
          <w:shd w:val="clear" w:color="auto" w:fill="FFFFFF"/>
        </w:rPr>
        <w:t>rivals</w:t>
      </w:r>
      <w:proofErr w:type="gramEnd"/>
      <w:r w:rsidRPr="00AF1B51">
        <w:rPr>
          <w:rFonts w:cs="Times New Roman"/>
          <w:color w:val="212121"/>
          <w:sz w:val="24"/>
          <w:szCs w:val="24"/>
          <w:shd w:val="clear" w:color="auto" w:fill="FFFFFF"/>
        </w:rPr>
        <w:t xml:space="preserve"> costs through political strategy: an extension of the resource-based theory”, Journal of Management Studies, Vol. 39, pp. 707-23.</w:t>
      </w:r>
    </w:p>
    <w:p w14:paraId="5A53F29D" w14:textId="77777777" w:rsidR="005F77AE" w:rsidRPr="00AF1B51" w:rsidRDefault="005F77AE" w:rsidP="00A3235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 xml:space="preserve">Hedstrom, G., </w:t>
      </w:r>
      <w:proofErr w:type="spellStart"/>
      <w:r w:rsidRPr="00AF1B51">
        <w:rPr>
          <w:rFonts w:cs="Times New Roman"/>
          <w:color w:val="212121"/>
          <w:sz w:val="24"/>
          <w:szCs w:val="24"/>
          <w:shd w:val="clear" w:color="auto" w:fill="FFFFFF"/>
        </w:rPr>
        <w:t>Poltorzycki</w:t>
      </w:r>
      <w:proofErr w:type="spellEnd"/>
      <w:r w:rsidRPr="00AF1B51">
        <w:rPr>
          <w:rFonts w:cs="Times New Roman"/>
          <w:color w:val="212121"/>
          <w:sz w:val="24"/>
          <w:szCs w:val="24"/>
          <w:shd w:val="clear" w:color="auto" w:fill="FFFFFF"/>
        </w:rPr>
        <w:t xml:space="preserve">, S. and </w:t>
      </w:r>
      <w:proofErr w:type="spellStart"/>
      <w:r w:rsidRPr="00AF1B51">
        <w:rPr>
          <w:rFonts w:cs="Times New Roman"/>
          <w:color w:val="212121"/>
          <w:sz w:val="24"/>
          <w:szCs w:val="24"/>
          <w:shd w:val="clear" w:color="auto" w:fill="FFFFFF"/>
        </w:rPr>
        <w:t>Strob</w:t>
      </w:r>
      <w:proofErr w:type="spellEnd"/>
      <w:r w:rsidRPr="00AF1B51">
        <w:rPr>
          <w:rFonts w:cs="Times New Roman"/>
          <w:color w:val="212121"/>
          <w:sz w:val="24"/>
          <w:szCs w:val="24"/>
          <w:shd w:val="clear" w:color="auto" w:fill="FFFFFF"/>
        </w:rPr>
        <w:t>, P. (1998), “Sustainable development: the next generation of business opportunity”, available at: www.resourcesaver.com (accessed May 5, 2008).</w:t>
      </w:r>
    </w:p>
    <w:p w14:paraId="76E1BF15" w14:textId="777D40A3" w:rsidR="00C75C52" w:rsidRPr="00AF1B51" w:rsidRDefault="00C75C52" w:rsidP="00897077">
      <w:pPr>
        <w:pStyle w:val="a9"/>
        <w:numPr>
          <w:ilvl w:val="0"/>
          <w:numId w:val="17"/>
        </w:numPr>
        <w:spacing w:after="160" w:line="278" w:lineRule="auto"/>
        <w:rPr>
          <w:rFonts w:cs="Times New Roman"/>
          <w:color w:val="212121"/>
          <w:sz w:val="24"/>
          <w:szCs w:val="24"/>
          <w:shd w:val="clear" w:color="auto" w:fill="FFFFFF"/>
        </w:rPr>
      </w:pPr>
      <w:r w:rsidRPr="00AF1B51">
        <w:rPr>
          <w:rFonts w:cs="Times New Roman"/>
          <w:color w:val="212121"/>
          <w:sz w:val="24"/>
          <w:szCs w:val="24"/>
          <w:shd w:val="clear" w:color="auto" w:fill="FFFFFF"/>
        </w:rPr>
        <w:t xml:space="preserve">Noam </w:t>
      </w:r>
      <w:proofErr w:type="spellStart"/>
      <w:r w:rsidRPr="00AF1B51">
        <w:rPr>
          <w:rFonts w:cs="Times New Roman"/>
          <w:color w:val="212121"/>
          <w:sz w:val="24"/>
          <w:szCs w:val="24"/>
          <w:shd w:val="clear" w:color="auto" w:fill="FFFFFF"/>
        </w:rPr>
        <w:t>Noked</w:t>
      </w:r>
      <w:proofErr w:type="spellEnd"/>
      <w:r w:rsidRPr="00AF1B51">
        <w:rPr>
          <w:rFonts w:cs="Times New Roman"/>
          <w:color w:val="212121"/>
          <w:sz w:val="24"/>
          <w:szCs w:val="24"/>
          <w:shd w:val="clear" w:color="auto" w:fill="FFFFFF"/>
        </w:rPr>
        <w:t xml:space="preserve"> et al. (2013), “The Corporate Social Responsibility Report and Effective Stakeholder Engagement”, Harvard Law School Forum on Corporate Governance. </w:t>
      </w:r>
    </w:p>
    <w:p w14:paraId="498B22F9" w14:textId="30425158" w:rsidR="00C75C52" w:rsidRPr="00AF1B51" w:rsidRDefault="00C025B9" w:rsidP="00C75C52">
      <w:pPr>
        <w:pStyle w:val="a9"/>
        <w:spacing w:after="160" w:line="278" w:lineRule="auto"/>
        <w:rPr>
          <w:rFonts w:cs="Times New Roman"/>
          <w:sz w:val="24"/>
          <w:szCs w:val="24"/>
        </w:rPr>
      </w:pPr>
      <w:hyperlink r:id="rId50" w:history="1">
        <w:r w:rsidR="00C75C52" w:rsidRPr="00AF1B51">
          <w:rPr>
            <w:rStyle w:val="a8"/>
            <w:rFonts w:cs="Times New Roman"/>
            <w:sz w:val="24"/>
            <w:szCs w:val="24"/>
          </w:rPr>
          <w:t>https://corpgov.law.harvard.edu/2013/12/28/the-corporate-social-responsibility-report-and-effective-stakeholder-engagement/</w:t>
        </w:r>
      </w:hyperlink>
    </w:p>
    <w:p w14:paraId="45C53F29" w14:textId="6EB37D7B" w:rsidR="00897077" w:rsidRPr="00AF1B51" w:rsidRDefault="00897077" w:rsidP="00897077">
      <w:pPr>
        <w:pStyle w:val="a9"/>
        <w:numPr>
          <w:ilvl w:val="0"/>
          <w:numId w:val="17"/>
        </w:numPr>
        <w:spacing w:after="160" w:line="278" w:lineRule="auto"/>
        <w:rPr>
          <w:rFonts w:cs="Times New Roman"/>
          <w:color w:val="212121"/>
          <w:sz w:val="24"/>
          <w:szCs w:val="24"/>
          <w:shd w:val="clear" w:color="auto" w:fill="FFFFFF"/>
        </w:rPr>
      </w:pPr>
      <w:r w:rsidRPr="00AF1B51">
        <w:rPr>
          <w:rFonts w:cs="Times New Roman"/>
          <w:color w:val="212121"/>
          <w:sz w:val="24"/>
          <w:szCs w:val="24"/>
          <w:shd w:val="clear" w:color="auto" w:fill="FFFFFF"/>
        </w:rPr>
        <w:t xml:space="preserve">Matthew Bell (2021), “Why ESG performance is growing in importance for investors”, EY website, </w:t>
      </w:r>
      <w:hyperlink r:id="rId51" w:history="1">
        <w:r w:rsidRPr="00AF1B51">
          <w:rPr>
            <w:rStyle w:val="a8"/>
            <w:rFonts w:cs="Times New Roman"/>
            <w:sz w:val="24"/>
            <w:szCs w:val="24"/>
            <w:shd w:val="clear" w:color="auto" w:fill="FFFFFF"/>
          </w:rPr>
          <w:t>https://www.ey.com/en_us/insights/assurance/why-esg-performance-is-growing-in-importance-for-investors</w:t>
        </w:r>
      </w:hyperlink>
    </w:p>
    <w:p w14:paraId="45955994" w14:textId="0081570F" w:rsidR="00F94811" w:rsidRPr="00AF1B51" w:rsidRDefault="00F94811" w:rsidP="00F94811">
      <w:pPr>
        <w:pStyle w:val="a9"/>
        <w:numPr>
          <w:ilvl w:val="0"/>
          <w:numId w:val="17"/>
        </w:numPr>
        <w:spacing w:after="160" w:line="278" w:lineRule="auto"/>
        <w:rPr>
          <w:rFonts w:cs="Times New Roman"/>
          <w:color w:val="212121"/>
          <w:sz w:val="24"/>
          <w:szCs w:val="24"/>
          <w:shd w:val="clear" w:color="auto" w:fill="FFFFFF"/>
        </w:rPr>
      </w:pPr>
      <w:r w:rsidRPr="00AF1B51">
        <w:rPr>
          <w:rFonts w:cs="Times New Roman"/>
          <w:color w:val="212121"/>
          <w:sz w:val="24"/>
          <w:szCs w:val="24"/>
          <w:shd w:val="clear" w:color="auto" w:fill="FFFFFF"/>
        </w:rPr>
        <w:t xml:space="preserve">Jay et al. (2023), “Investors want to hear from companies about the value of sustainability”, McKinsey &amp; Company website, </w:t>
      </w:r>
      <w:hyperlink r:id="rId52" w:history="1">
        <w:r w:rsidRPr="00AF1B51">
          <w:rPr>
            <w:rStyle w:val="a8"/>
            <w:rFonts w:cs="Times New Roman"/>
            <w:sz w:val="24"/>
            <w:szCs w:val="24"/>
            <w:shd w:val="clear" w:color="auto" w:fill="FFFFFF"/>
          </w:rPr>
          <w:t>https://www.mckinsey.com/capabilities/strategy-and-corporate-finance/our-insights/investors-want-to-hear-from-companies-about-the-value-of-sustainability</w:t>
        </w:r>
      </w:hyperlink>
    </w:p>
    <w:p w14:paraId="5BA4D037" w14:textId="7BFC3B7C" w:rsidR="00117252" w:rsidRPr="00AF1B51" w:rsidRDefault="00117252" w:rsidP="009A040C">
      <w:pPr>
        <w:pStyle w:val="a9"/>
        <w:numPr>
          <w:ilvl w:val="0"/>
          <w:numId w:val="17"/>
        </w:numPr>
        <w:spacing w:after="160" w:line="278" w:lineRule="auto"/>
        <w:rPr>
          <w:rFonts w:cs="Times New Roman"/>
          <w:color w:val="212121"/>
          <w:sz w:val="24"/>
          <w:szCs w:val="24"/>
          <w:shd w:val="clear" w:color="auto" w:fill="FFFFFF"/>
        </w:rPr>
      </w:pPr>
      <w:r w:rsidRPr="00AF1B51">
        <w:rPr>
          <w:rFonts w:cs="Times New Roman"/>
          <w:color w:val="212121"/>
          <w:sz w:val="24"/>
          <w:szCs w:val="24"/>
          <w:shd w:val="clear" w:color="auto" w:fill="FFFFFF"/>
        </w:rPr>
        <w:t xml:space="preserve">Marsh McLennan website, “ESG AS A WORKFORCE STRATEGY” </w:t>
      </w:r>
      <w:hyperlink r:id="rId53" w:history="1">
        <w:r w:rsidRPr="00AF1B51">
          <w:rPr>
            <w:rStyle w:val="a8"/>
            <w:rFonts w:cs="Times New Roman"/>
            <w:sz w:val="24"/>
            <w:szCs w:val="24"/>
            <w:shd w:val="clear" w:color="auto" w:fill="FFFFFF"/>
          </w:rPr>
          <w:t>https://www.marshmclennan.com/insights/publications/2020/may/esg-as-a-workforce-strategy.html</w:t>
        </w:r>
      </w:hyperlink>
    </w:p>
    <w:p w14:paraId="12726E69" w14:textId="50095785" w:rsidR="00897077" w:rsidRPr="00AF1B51" w:rsidRDefault="009A040C" w:rsidP="004A36B1">
      <w:pPr>
        <w:pStyle w:val="a9"/>
        <w:numPr>
          <w:ilvl w:val="0"/>
          <w:numId w:val="17"/>
        </w:numPr>
        <w:spacing w:after="160" w:line="278" w:lineRule="auto"/>
        <w:rPr>
          <w:rFonts w:cs="Times New Roman"/>
          <w:color w:val="212121"/>
          <w:sz w:val="24"/>
          <w:szCs w:val="24"/>
          <w:shd w:val="clear" w:color="auto" w:fill="FFFFFF"/>
        </w:rPr>
      </w:pPr>
      <w:proofErr w:type="spellStart"/>
      <w:r w:rsidRPr="00AF1B51">
        <w:rPr>
          <w:rFonts w:cs="Times New Roman"/>
          <w:color w:val="212121"/>
          <w:sz w:val="24"/>
          <w:szCs w:val="24"/>
          <w:shd w:val="clear" w:color="auto" w:fill="FFFFFF"/>
        </w:rPr>
        <w:t>Boufounou</w:t>
      </w:r>
      <w:proofErr w:type="spellEnd"/>
      <w:r w:rsidRPr="00AF1B51">
        <w:rPr>
          <w:rFonts w:cs="Times New Roman"/>
          <w:color w:val="212121"/>
          <w:sz w:val="24"/>
          <w:szCs w:val="24"/>
          <w:shd w:val="clear" w:color="auto" w:fill="FFFFFF"/>
        </w:rPr>
        <w:t xml:space="preserve">, P., </w:t>
      </w:r>
      <w:proofErr w:type="spellStart"/>
      <w:r w:rsidRPr="00AF1B51">
        <w:rPr>
          <w:rFonts w:cs="Times New Roman"/>
          <w:color w:val="212121"/>
          <w:sz w:val="24"/>
          <w:szCs w:val="24"/>
          <w:shd w:val="clear" w:color="auto" w:fill="FFFFFF"/>
        </w:rPr>
        <w:t>Moustairas</w:t>
      </w:r>
      <w:proofErr w:type="spellEnd"/>
      <w:r w:rsidRPr="00AF1B51">
        <w:rPr>
          <w:rFonts w:cs="Times New Roman"/>
          <w:color w:val="212121"/>
          <w:sz w:val="24"/>
          <w:szCs w:val="24"/>
          <w:shd w:val="clear" w:color="auto" w:fill="FFFFFF"/>
        </w:rPr>
        <w:t xml:space="preserve">, Ι., </w:t>
      </w:r>
      <w:proofErr w:type="spellStart"/>
      <w:r w:rsidRPr="00AF1B51">
        <w:rPr>
          <w:rFonts w:cs="Times New Roman"/>
          <w:color w:val="212121"/>
          <w:sz w:val="24"/>
          <w:szCs w:val="24"/>
          <w:shd w:val="clear" w:color="auto" w:fill="FFFFFF"/>
        </w:rPr>
        <w:t>Toudas</w:t>
      </w:r>
      <w:proofErr w:type="spellEnd"/>
      <w:r w:rsidRPr="00AF1B51">
        <w:rPr>
          <w:rFonts w:cs="Times New Roman"/>
          <w:color w:val="212121"/>
          <w:sz w:val="24"/>
          <w:szCs w:val="24"/>
          <w:shd w:val="clear" w:color="auto" w:fill="FFFFFF"/>
        </w:rPr>
        <w:t xml:space="preserve">, K. et al. ESGs and Customer Choice: Some Empirical Evidence. </w:t>
      </w:r>
      <w:proofErr w:type="spellStart"/>
      <w:r w:rsidRPr="00AF1B51">
        <w:rPr>
          <w:rFonts w:cs="Times New Roman"/>
          <w:color w:val="212121"/>
          <w:sz w:val="24"/>
          <w:szCs w:val="24"/>
          <w:shd w:val="clear" w:color="auto" w:fill="FFFFFF"/>
        </w:rPr>
        <w:t>Circ.Econ.Sust</w:t>
      </w:r>
      <w:proofErr w:type="spellEnd"/>
      <w:r w:rsidRPr="00AF1B51">
        <w:rPr>
          <w:rFonts w:cs="Times New Roman"/>
          <w:color w:val="212121"/>
          <w:sz w:val="24"/>
          <w:szCs w:val="24"/>
          <w:shd w:val="clear" w:color="auto" w:fill="FFFFFF"/>
        </w:rPr>
        <w:t xml:space="preserve">. 3, 1841–1874 (2023). </w:t>
      </w:r>
      <w:hyperlink r:id="rId54" w:history="1">
        <w:r w:rsidRPr="00AF1B51">
          <w:rPr>
            <w:rStyle w:val="a8"/>
            <w:rFonts w:cs="Times New Roman"/>
            <w:sz w:val="24"/>
            <w:szCs w:val="24"/>
            <w:shd w:val="clear" w:color="auto" w:fill="FFFFFF"/>
          </w:rPr>
          <w:t>https://doi.org/10.1007/s43615-023-00251-8</w:t>
        </w:r>
      </w:hyperlink>
    </w:p>
    <w:p w14:paraId="1D6335B6" w14:textId="307E211D" w:rsidR="00BD3CC8" w:rsidRPr="00AF1B51" w:rsidRDefault="00BD3CC8" w:rsidP="00BD3CC8">
      <w:pPr>
        <w:pStyle w:val="a9"/>
        <w:numPr>
          <w:ilvl w:val="0"/>
          <w:numId w:val="17"/>
        </w:numPr>
        <w:spacing w:after="160" w:line="278" w:lineRule="auto"/>
        <w:rPr>
          <w:rFonts w:cs="Times New Roman"/>
          <w:color w:val="212121"/>
          <w:sz w:val="24"/>
          <w:szCs w:val="24"/>
          <w:shd w:val="clear" w:color="auto" w:fill="FFFFFF"/>
        </w:rPr>
      </w:pPr>
      <w:r w:rsidRPr="00AF1B51">
        <w:rPr>
          <w:rFonts w:cs="Times New Roman"/>
          <w:color w:val="212121"/>
          <w:sz w:val="24"/>
          <w:szCs w:val="24"/>
          <w:shd w:val="clear" w:color="auto" w:fill="FFFFFF"/>
        </w:rPr>
        <w:t xml:space="preserve">SOMPO Website. “Overview of Sustainability Communications and Policy”. </w:t>
      </w:r>
    </w:p>
    <w:p w14:paraId="23B12103" w14:textId="4DC0112D" w:rsidR="00E672D7" w:rsidRPr="00AF1B51" w:rsidRDefault="00C025B9" w:rsidP="00E672D7">
      <w:pPr>
        <w:pStyle w:val="a9"/>
        <w:spacing w:after="160" w:line="278" w:lineRule="auto"/>
        <w:rPr>
          <w:rFonts w:cs="Times New Roman"/>
          <w:color w:val="212121"/>
          <w:sz w:val="24"/>
          <w:szCs w:val="24"/>
          <w:shd w:val="clear" w:color="auto" w:fill="FFFFFF"/>
        </w:rPr>
      </w:pPr>
      <w:hyperlink r:id="rId55" w:history="1">
        <w:r w:rsidR="00BD3CC8" w:rsidRPr="00AF1B51">
          <w:rPr>
            <w:rStyle w:val="a8"/>
            <w:rFonts w:cs="Times New Roman"/>
            <w:sz w:val="24"/>
            <w:szCs w:val="24"/>
            <w:shd w:val="clear" w:color="auto" w:fill="FFFFFF"/>
          </w:rPr>
          <w:t>https://www.sompo-hd.com/en/csr/communications/policy/</w:t>
        </w:r>
      </w:hyperlink>
      <w:r w:rsidR="00BD3CC8" w:rsidRPr="00AF1B51">
        <w:rPr>
          <w:rFonts w:cs="Times New Roman"/>
          <w:color w:val="212121"/>
          <w:sz w:val="24"/>
          <w:szCs w:val="24"/>
          <w:shd w:val="clear" w:color="auto" w:fill="FFFFFF"/>
        </w:rPr>
        <w:t xml:space="preserve"> </w:t>
      </w:r>
    </w:p>
    <w:p w14:paraId="7664D71A" w14:textId="2420CF23" w:rsidR="00E672D7" w:rsidRPr="00AF1B51" w:rsidRDefault="00E672D7" w:rsidP="00E672D7">
      <w:pPr>
        <w:pStyle w:val="a9"/>
        <w:numPr>
          <w:ilvl w:val="0"/>
          <w:numId w:val="17"/>
        </w:numPr>
        <w:spacing w:after="160" w:line="278" w:lineRule="auto"/>
        <w:rPr>
          <w:rFonts w:cs="Times New Roman"/>
          <w:color w:val="212121"/>
          <w:sz w:val="24"/>
          <w:szCs w:val="24"/>
          <w:shd w:val="clear" w:color="auto" w:fill="FFFFFF"/>
        </w:rPr>
      </w:pPr>
      <w:r w:rsidRPr="00AF1B51">
        <w:rPr>
          <w:rFonts w:cs="Times New Roman"/>
          <w:color w:val="212121"/>
          <w:sz w:val="24"/>
          <w:szCs w:val="24"/>
          <w:shd w:val="clear" w:color="auto" w:fill="FFFFFF"/>
        </w:rPr>
        <w:t xml:space="preserve">Deloitte Website. “ESG Ratings: do they add value? How to get prepared?”. </w:t>
      </w:r>
      <w:r w:rsidRPr="00AF1B51">
        <w:rPr>
          <w:rFonts w:cs="Times New Roman"/>
          <w:color w:val="212121"/>
          <w:sz w:val="24"/>
          <w:szCs w:val="24"/>
          <w:shd w:val="clear" w:color="auto" w:fill="FFFFFF"/>
        </w:rPr>
        <w:br/>
      </w:r>
      <w:hyperlink r:id="rId56" w:history="1">
        <w:r w:rsidRPr="00AF1B51">
          <w:rPr>
            <w:rStyle w:val="a8"/>
            <w:rFonts w:cs="Times New Roman"/>
            <w:sz w:val="24"/>
            <w:szCs w:val="24"/>
            <w:shd w:val="clear" w:color="auto" w:fill="FFFFFF"/>
          </w:rPr>
          <w:t>https://www2.deloitte.com/ce/en/pages/about-deloitte/articles/esg-ratings-do-they-add-value.html</w:t>
        </w:r>
      </w:hyperlink>
    </w:p>
    <w:p w14:paraId="23D5296F" w14:textId="4FBADB29" w:rsidR="00BD3CC8" w:rsidRPr="00AF1B51" w:rsidRDefault="00D22E58" w:rsidP="00BD3CC8">
      <w:pPr>
        <w:pStyle w:val="a9"/>
        <w:numPr>
          <w:ilvl w:val="0"/>
          <w:numId w:val="17"/>
        </w:numPr>
        <w:spacing w:after="160" w:line="278" w:lineRule="auto"/>
        <w:rPr>
          <w:rFonts w:cs="Times New Roman"/>
          <w:color w:val="212121"/>
          <w:sz w:val="24"/>
          <w:szCs w:val="24"/>
          <w:shd w:val="clear" w:color="auto" w:fill="FFFFFF"/>
        </w:rPr>
      </w:pPr>
      <w:r w:rsidRPr="00AF1B51">
        <w:rPr>
          <w:rFonts w:cs="Times New Roman"/>
          <w:color w:val="212121"/>
          <w:sz w:val="24"/>
          <w:szCs w:val="24"/>
          <w:shd w:val="clear" w:color="auto" w:fill="FFFFFF"/>
        </w:rPr>
        <w:t xml:space="preserve">Betty Moy Huber et al. (2017), “ESG Reports and Ratings: What They Are, Why They Matter” Harvard Law School Forum on Corporate Governance. </w:t>
      </w:r>
      <w:hyperlink r:id="rId57" w:anchor="1" w:history="1">
        <w:r w:rsidR="00BD3CC8" w:rsidRPr="00AF1B51">
          <w:rPr>
            <w:rStyle w:val="a8"/>
            <w:rFonts w:cs="Times New Roman"/>
            <w:sz w:val="24"/>
            <w:szCs w:val="24"/>
            <w:shd w:val="clear" w:color="auto" w:fill="FFFFFF"/>
          </w:rPr>
          <w:t>https://corpgov.law.harvard.edu/2017/07/27/esg-reports-and-ratings-what-they-are-why-they-matter/#1</w:t>
        </w:r>
      </w:hyperlink>
    </w:p>
    <w:p w14:paraId="523EA21F" w14:textId="16599D31" w:rsidR="006106EB" w:rsidRPr="00AF1B51" w:rsidRDefault="006106EB" w:rsidP="006106EB">
      <w:pPr>
        <w:pStyle w:val="a9"/>
        <w:numPr>
          <w:ilvl w:val="0"/>
          <w:numId w:val="17"/>
        </w:numPr>
        <w:spacing w:after="160" w:line="278" w:lineRule="auto"/>
        <w:rPr>
          <w:rFonts w:cs="Times New Roman"/>
          <w:color w:val="212121"/>
          <w:sz w:val="24"/>
          <w:szCs w:val="24"/>
          <w:shd w:val="clear" w:color="auto" w:fill="FFFFFF"/>
        </w:rPr>
      </w:pPr>
      <w:r w:rsidRPr="00AF1B51">
        <w:rPr>
          <w:rFonts w:cs="Times New Roman"/>
          <w:color w:val="212121"/>
          <w:sz w:val="24"/>
          <w:szCs w:val="24"/>
          <w:shd w:val="clear" w:color="auto" w:fill="FFFFFF"/>
        </w:rPr>
        <w:t xml:space="preserve">Deloitte Polska (2022). “Comparing rating agencies and ESG methodologies”. </w:t>
      </w:r>
      <w:hyperlink r:id="rId58" w:history="1">
        <w:r w:rsidRPr="00AF1B51">
          <w:rPr>
            <w:rStyle w:val="a8"/>
            <w:rFonts w:cs="Times New Roman"/>
            <w:sz w:val="24"/>
            <w:szCs w:val="24"/>
            <w:shd w:val="clear" w:color="auto" w:fill="FFFFFF"/>
          </w:rPr>
          <w:t>https://www2.deloitte.com/content/dam/Deloitte/ce/Documents/about-deloitte/ce_table_ratings_esg_eng.pdf</w:t>
        </w:r>
      </w:hyperlink>
    </w:p>
    <w:p w14:paraId="7AEDF2C6" w14:textId="7DA45A7C" w:rsidR="009F1957" w:rsidRPr="00AF1B51" w:rsidRDefault="009F1957" w:rsidP="009F1957">
      <w:pPr>
        <w:pStyle w:val="a9"/>
        <w:numPr>
          <w:ilvl w:val="0"/>
          <w:numId w:val="17"/>
        </w:numPr>
        <w:spacing w:after="160" w:line="278" w:lineRule="auto"/>
        <w:rPr>
          <w:rFonts w:cs="Times New Roman"/>
          <w:color w:val="212121"/>
          <w:sz w:val="24"/>
          <w:szCs w:val="24"/>
          <w:shd w:val="clear" w:color="auto" w:fill="FFFFFF"/>
        </w:rPr>
      </w:pPr>
      <w:r w:rsidRPr="00AF1B51">
        <w:rPr>
          <w:rFonts w:cs="Times New Roman"/>
          <w:color w:val="212121"/>
          <w:sz w:val="24"/>
          <w:szCs w:val="24"/>
          <w:shd w:val="clear" w:color="auto" w:fill="FFFFFF"/>
        </w:rPr>
        <w:t xml:space="preserve">OECD (2020). “State-owned enterprises, sustainable finance and resilience”. OECD Business and Finance Outlook 2020 : Sustainable and Resilient Finance. </w:t>
      </w:r>
      <w:hyperlink r:id="rId59" w:history="1">
        <w:r w:rsidRPr="00AF1B51">
          <w:rPr>
            <w:rStyle w:val="a8"/>
            <w:rFonts w:cs="Times New Roman"/>
            <w:sz w:val="24"/>
            <w:szCs w:val="24"/>
            <w:shd w:val="clear" w:color="auto" w:fill="FFFFFF"/>
          </w:rPr>
          <w:t>https://www.oecd-ilibrary.org/sites/5ad33666-en/index.html?itemId=/content/component/5ad33666-en</w:t>
        </w:r>
      </w:hyperlink>
    </w:p>
    <w:p w14:paraId="0FD197A9" w14:textId="18C2D7E8" w:rsidR="006D0E5E" w:rsidRPr="00AF1B51" w:rsidRDefault="006D0E5E" w:rsidP="006D0E5E">
      <w:pPr>
        <w:pStyle w:val="a9"/>
        <w:numPr>
          <w:ilvl w:val="0"/>
          <w:numId w:val="17"/>
        </w:numPr>
        <w:spacing w:after="160" w:line="278" w:lineRule="auto"/>
        <w:rPr>
          <w:rFonts w:cs="Times New Roman"/>
          <w:color w:val="212121"/>
          <w:sz w:val="24"/>
          <w:szCs w:val="24"/>
          <w:shd w:val="clear" w:color="auto" w:fill="FFFFFF"/>
        </w:rPr>
      </w:pPr>
      <w:r w:rsidRPr="00AF1B51">
        <w:rPr>
          <w:rFonts w:cs="Times New Roman"/>
          <w:color w:val="212121"/>
          <w:sz w:val="24"/>
          <w:szCs w:val="24"/>
          <w:shd w:val="clear" w:color="auto" w:fill="FFFFFF"/>
        </w:rPr>
        <w:t xml:space="preserve">Mohd Ghazali, N.A. (2007), "Ownership structure and corporate social responsibility disclosure: some Malaysian evidence", Corporate Governance, Vol. 7 No. 3, pp. 251-266. </w:t>
      </w:r>
      <w:hyperlink r:id="rId60" w:history="1">
        <w:r w:rsidRPr="00AF1B51">
          <w:rPr>
            <w:rStyle w:val="a8"/>
            <w:rFonts w:cs="Times New Roman"/>
            <w:sz w:val="24"/>
            <w:szCs w:val="24"/>
            <w:shd w:val="clear" w:color="auto" w:fill="FFFFFF"/>
          </w:rPr>
          <w:t>https://doi.org/10.1108/14720700710756535</w:t>
        </w:r>
      </w:hyperlink>
    </w:p>
    <w:p w14:paraId="75913A4A" w14:textId="77777777" w:rsidR="006D0E5E" w:rsidRPr="00AF1B51" w:rsidRDefault="006D0E5E" w:rsidP="006D0E5E">
      <w:pPr>
        <w:pStyle w:val="a9"/>
        <w:numPr>
          <w:ilvl w:val="0"/>
          <w:numId w:val="17"/>
        </w:numPr>
        <w:spacing w:after="160" w:line="278" w:lineRule="auto"/>
        <w:rPr>
          <w:rFonts w:cs="Times New Roman"/>
          <w:color w:val="212121"/>
          <w:sz w:val="24"/>
          <w:szCs w:val="24"/>
          <w:shd w:val="clear" w:color="auto" w:fill="FFFFFF"/>
        </w:rPr>
      </w:pPr>
      <w:proofErr w:type="spellStart"/>
      <w:r w:rsidRPr="00AF1B51">
        <w:rPr>
          <w:rFonts w:cs="Times New Roman"/>
          <w:color w:val="212121"/>
          <w:sz w:val="24"/>
          <w:szCs w:val="24"/>
          <w:shd w:val="clear" w:color="auto" w:fill="FFFFFF"/>
        </w:rPr>
        <w:t>Nugraheni</w:t>
      </w:r>
      <w:proofErr w:type="spellEnd"/>
      <w:r w:rsidRPr="00AF1B51">
        <w:rPr>
          <w:rFonts w:cs="Times New Roman"/>
          <w:color w:val="212121"/>
          <w:sz w:val="24"/>
          <w:szCs w:val="24"/>
          <w:shd w:val="clear" w:color="auto" w:fill="FFFFFF"/>
        </w:rPr>
        <w:t xml:space="preserve">, P., </w:t>
      </w:r>
      <w:proofErr w:type="spellStart"/>
      <w:r w:rsidRPr="00AF1B51">
        <w:rPr>
          <w:rFonts w:cs="Times New Roman"/>
          <w:color w:val="212121"/>
          <w:sz w:val="24"/>
          <w:szCs w:val="24"/>
          <w:shd w:val="clear" w:color="auto" w:fill="FFFFFF"/>
        </w:rPr>
        <w:t>Indrasari</w:t>
      </w:r>
      <w:proofErr w:type="spellEnd"/>
      <w:r w:rsidRPr="00AF1B51">
        <w:rPr>
          <w:rFonts w:cs="Times New Roman"/>
          <w:color w:val="212121"/>
          <w:sz w:val="24"/>
          <w:szCs w:val="24"/>
          <w:shd w:val="clear" w:color="auto" w:fill="FFFFFF"/>
        </w:rPr>
        <w:t>, A., &amp; Hamzah, N. (2022). The Impact of Ownership Structure on CSR Disclosure: Evidence from Indonesia. Journal of Accounting and Investment, 23(2), 229-243</w:t>
      </w:r>
    </w:p>
    <w:p w14:paraId="28193B3E" w14:textId="606A96C3" w:rsidR="00BF0110" w:rsidRPr="00AF1B51" w:rsidRDefault="00BF0110" w:rsidP="00A419D8">
      <w:pPr>
        <w:pStyle w:val="a9"/>
        <w:numPr>
          <w:ilvl w:val="0"/>
          <w:numId w:val="17"/>
        </w:numPr>
        <w:spacing w:after="160" w:line="278" w:lineRule="auto"/>
        <w:rPr>
          <w:rFonts w:cs="Times New Roman"/>
          <w:color w:val="212121"/>
          <w:sz w:val="24"/>
          <w:szCs w:val="24"/>
          <w:shd w:val="clear" w:color="auto" w:fill="FFFFFF"/>
        </w:rPr>
      </w:pPr>
      <w:r w:rsidRPr="00AF1B51">
        <w:rPr>
          <w:rFonts w:cs="Times New Roman"/>
          <w:color w:val="212121"/>
          <w:sz w:val="24"/>
          <w:szCs w:val="24"/>
          <w:shd w:val="clear" w:color="auto" w:fill="FFFFFF"/>
        </w:rPr>
        <w:t xml:space="preserve">Irina </w:t>
      </w:r>
      <w:proofErr w:type="spellStart"/>
      <w:r w:rsidRPr="00AF1B51">
        <w:rPr>
          <w:rFonts w:cs="Times New Roman"/>
          <w:color w:val="212121"/>
          <w:sz w:val="24"/>
          <w:szCs w:val="24"/>
          <w:shd w:val="clear" w:color="auto" w:fill="FFFFFF"/>
        </w:rPr>
        <w:t>Ervits</w:t>
      </w:r>
      <w:proofErr w:type="spellEnd"/>
      <w:r w:rsidRPr="00AF1B51">
        <w:rPr>
          <w:rFonts w:cs="Times New Roman"/>
          <w:color w:val="212121"/>
          <w:sz w:val="24"/>
          <w:szCs w:val="24"/>
          <w:shd w:val="clear" w:color="auto" w:fill="FFFFFF"/>
        </w:rPr>
        <w:t xml:space="preserve"> (2020). “CSR reporting in China’s private and state‑owned</w:t>
      </w:r>
      <w:r w:rsidR="00A419D8" w:rsidRPr="00AF1B51">
        <w:rPr>
          <w:rFonts w:cs="Times New Roman"/>
          <w:color w:val="212121"/>
          <w:sz w:val="24"/>
          <w:szCs w:val="24"/>
          <w:shd w:val="clear" w:color="auto" w:fill="FFFFFF"/>
        </w:rPr>
        <w:t xml:space="preserve"> </w:t>
      </w:r>
      <w:r w:rsidRPr="00AF1B51">
        <w:rPr>
          <w:rFonts w:cs="Times New Roman"/>
          <w:color w:val="212121"/>
          <w:sz w:val="24"/>
          <w:szCs w:val="24"/>
          <w:shd w:val="clear" w:color="auto" w:fill="FFFFFF"/>
        </w:rPr>
        <w:t>enterprises: A mixed methods comparative analysis”. Asian Business &amp; Management (2023) 22:55 - 83</w:t>
      </w:r>
    </w:p>
    <w:p w14:paraId="244EF987" w14:textId="43E0F4B9" w:rsidR="00EE72EA" w:rsidRPr="00AF1B51" w:rsidRDefault="00EE72EA" w:rsidP="008E777C">
      <w:pPr>
        <w:pStyle w:val="a9"/>
        <w:numPr>
          <w:ilvl w:val="0"/>
          <w:numId w:val="17"/>
        </w:numPr>
        <w:spacing w:after="160" w:line="278" w:lineRule="auto"/>
        <w:rPr>
          <w:rFonts w:cs="Times New Roman"/>
          <w:color w:val="212121"/>
          <w:sz w:val="24"/>
          <w:szCs w:val="24"/>
          <w:shd w:val="clear" w:color="auto" w:fill="FFFFFF"/>
        </w:rPr>
      </w:pPr>
      <w:r w:rsidRPr="00AF1B51">
        <w:rPr>
          <w:rFonts w:cs="Times New Roman"/>
          <w:color w:val="212121"/>
          <w:sz w:val="24"/>
          <w:szCs w:val="24"/>
          <w:shd w:val="clear" w:color="auto" w:fill="FFFFFF"/>
        </w:rPr>
        <w:t>Hsu et al. (2021). “Leviathan Inc. and Corporate Environmental Engagement”</w:t>
      </w:r>
      <w:r w:rsidR="008E777C" w:rsidRPr="00AF1B51">
        <w:rPr>
          <w:rFonts w:cs="Times New Roman"/>
          <w:color w:val="212121"/>
          <w:sz w:val="24"/>
          <w:szCs w:val="24"/>
          <w:shd w:val="clear" w:color="auto" w:fill="FFFFFF"/>
        </w:rPr>
        <w:t xml:space="preserve">. </w:t>
      </w:r>
      <w:hyperlink r:id="rId61" w:history="1">
        <w:r w:rsidR="008E777C" w:rsidRPr="00AF1B51">
          <w:rPr>
            <w:rStyle w:val="a8"/>
            <w:rFonts w:cs="Times New Roman"/>
            <w:sz w:val="24"/>
            <w:szCs w:val="24"/>
            <w:shd w:val="clear" w:color="auto" w:fill="FFFFFF"/>
          </w:rPr>
          <w:t>https://pubsonline.informs.org/doi/abs/10.1287/mnsc.2021.4064</w:t>
        </w:r>
      </w:hyperlink>
    </w:p>
    <w:p w14:paraId="5049ADF8" w14:textId="77777777" w:rsidR="007B14A2" w:rsidRPr="00AF1B51" w:rsidRDefault="007B14A2" w:rsidP="001A254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Polishchuk, L. (2009), ‘‘Corporate social responsibility or government regulation? An analysis of institutional choice’’, Problems of Economic Transition, Vol. 52 No. 8, pp. 73-94.</w:t>
      </w:r>
    </w:p>
    <w:p w14:paraId="35A3D764" w14:textId="77777777" w:rsidR="007B14A2" w:rsidRPr="00AF1B51" w:rsidRDefault="007B14A2" w:rsidP="001A254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Kuznetsov, A., Kuznetsova, O. and Warren, R. (2009), ‘‘CSR and the legitimacy of business in transition economies: the case of Russia’’, Scandinavian Journal of Management, Vol. 25 No. 1, pp. 37-45.</w:t>
      </w:r>
    </w:p>
    <w:p w14:paraId="389D8D42" w14:textId="77777777" w:rsidR="006C18A0" w:rsidRPr="00AF1B51" w:rsidRDefault="007B14A2" w:rsidP="001A254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12121"/>
          <w:sz w:val="24"/>
          <w:szCs w:val="24"/>
          <w:shd w:val="clear" w:color="auto" w:fill="FFFFFF"/>
        </w:rPr>
        <w:t>Zavyalova, Elena &amp; Ostrovskaya, Elena (2020). Corporate social responsibility in Russia. SHS Web of Conferences. 89. 06008.</w:t>
      </w:r>
      <w:bookmarkStart w:id="19" w:name="_Hlk167030316"/>
    </w:p>
    <w:p w14:paraId="087D804B" w14:textId="77777777" w:rsidR="006C18A0" w:rsidRPr="00AF1B51" w:rsidRDefault="006C18A0" w:rsidP="001A254C">
      <w:pPr>
        <w:pStyle w:val="a9"/>
        <w:numPr>
          <w:ilvl w:val="0"/>
          <w:numId w:val="17"/>
        </w:numPr>
        <w:spacing w:after="160"/>
        <w:jc w:val="both"/>
        <w:rPr>
          <w:rFonts w:cs="Times New Roman"/>
          <w:color w:val="212121"/>
          <w:sz w:val="24"/>
          <w:szCs w:val="24"/>
          <w:shd w:val="clear" w:color="auto" w:fill="FFFFFF"/>
        </w:rPr>
      </w:pPr>
      <w:proofErr w:type="spellStart"/>
      <w:r w:rsidRPr="00AF1B51">
        <w:rPr>
          <w:rFonts w:cs="Times New Roman"/>
          <w:sz w:val="24"/>
          <w:szCs w:val="24"/>
        </w:rPr>
        <w:t>Avtonomov</w:t>
      </w:r>
      <w:proofErr w:type="spellEnd"/>
      <w:r w:rsidRPr="00AF1B51">
        <w:rPr>
          <w:rFonts w:cs="Times New Roman"/>
          <w:sz w:val="24"/>
          <w:szCs w:val="24"/>
        </w:rPr>
        <w:t xml:space="preserve">, V. (2006), ‘‘Balancing state, </w:t>
      </w:r>
      <w:proofErr w:type="gramStart"/>
      <w:r w:rsidRPr="00AF1B51">
        <w:rPr>
          <w:rFonts w:cs="Times New Roman"/>
          <w:sz w:val="24"/>
          <w:szCs w:val="24"/>
        </w:rPr>
        <w:t>market</w:t>
      </w:r>
      <w:proofErr w:type="gramEnd"/>
      <w:r w:rsidRPr="00AF1B51">
        <w:rPr>
          <w:rFonts w:cs="Times New Roman"/>
          <w:sz w:val="24"/>
          <w:szCs w:val="24"/>
        </w:rPr>
        <w:t xml:space="preserve"> and social justice: Russian experiences and lessons to learn’’, Journal of Business Ethics, Vol. 66 No. 1, pp. 3-9</w:t>
      </w:r>
      <w:bookmarkEnd w:id="19"/>
    </w:p>
    <w:p w14:paraId="543C23B4" w14:textId="58427489" w:rsidR="006C18A0" w:rsidRPr="00AF1B51" w:rsidRDefault="006C18A0" w:rsidP="001A254C">
      <w:pPr>
        <w:pStyle w:val="a9"/>
        <w:numPr>
          <w:ilvl w:val="0"/>
          <w:numId w:val="17"/>
        </w:numPr>
        <w:spacing w:after="160"/>
        <w:jc w:val="both"/>
        <w:rPr>
          <w:rFonts w:cs="Times New Roman"/>
          <w:color w:val="212121"/>
          <w:sz w:val="24"/>
          <w:szCs w:val="24"/>
          <w:shd w:val="clear" w:color="auto" w:fill="FFFFFF"/>
        </w:rPr>
      </w:pPr>
      <w:proofErr w:type="spellStart"/>
      <w:r w:rsidRPr="00AF1B51">
        <w:rPr>
          <w:rFonts w:cs="Times New Roman"/>
          <w:sz w:val="24"/>
          <w:szCs w:val="24"/>
        </w:rPr>
        <w:t>Apressyan</w:t>
      </w:r>
      <w:proofErr w:type="spellEnd"/>
      <w:r w:rsidRPr="00AF1B51">
        <w:rPr>
          <w:rFonts w:cs="Times New Roman"/>
          <w:sz w:val="24"/>
          <w:szCs w:val="24"/>
        </w:rPr>
        <w:t>, R.G. (1997), ‘‘Business ethics in Russia’’, Journal of Business Ethics, Vol. 16 No. 14, pp. 1561-70.</w:t>
      </w:r>
    </w:p>
    <w:p w14:paraId="22328E94" w14:textId="77777777" w:rsidR="006C18A0" w:rsidRPr="00AF1B51" w:rsidRDefault="006C18A0" w:rsidP="001A254C">
      <w:pPr>
        <w:pStyle w:val="a9"/>
        <w:numPr>
          <w:ilvl w:val="0"/>
          <w:numId w:val="17"/>
        </w:numPr>
        <w:spacing w:after="160"/>
        <w:jc w:val="both"/>
        <w:rPr>
          <w:rFonts w:cs="Times New Roman"/>
          <w:color w:val="212121"/>
          <w:sz w:val="24"/>
          <w:szCs w:val="24"/>
          <w:shd w:val="clear" w:color="auto" w:fill="FFFFFF"/>
        </w:rPr>
      </w:pPr>
      <w:r w:rsidRPr="00AF1B51">
        <w:rPr>
          <w:rFonts w:cs="Times New Roman"/>
          <w:color w:val="212121"/>
          <w:sz w:val="24"/>
          <w:szCs w:val="24"/>
          <w:shd w:val="clear" w:color="auto" w:fill="FFFFFF"/>
        </w:rPr>
        <w:t xml:space="preserve">A. Kuznetsov, O. Kuznetsova, R. Warren, </w:t>
      </w:r>
      <w:proofErr w:type="gramStart"/>
      <w:r w:rsidRPr="00AF1B51">
        <w:rPr>
          <w:rFonts w:cs="Times New Roman"/>
          <w:color w:val="212121"/>
          <w:sz w:val="24"/>
          <w:szCs w:val="24"/>
          <w:shd w:val="clear" w:color="auto" w:fill="FFFFFF"/>
        </w:rPr>
        <w:t>CSR</w:t>
      </w:r>
      <w:proofErr w:type="gramEnd"/>
      <w:r w:rsidRPr="00AF1B51">
        <w:rPr>
          <w:rFonts w:cs="Times New Roman"/>
          <w:color w:val="212121"/>
          <w:sz w:val="24"/>
          <w:szCs w:val="24"/>
          <w:shd w:val="clear" w:color="auto" w:fill="FFFFFF"/>
        </w:rPr>
        <w:t xml:space="preserve"> and the legitimacy of business in transition economies: The case of Russia, Scandinavian Journal of Management, Volume 25, Issue 1, 2009</w:t>
      </w:r>
    </w:p>
    <w:p w14:paraId="0197C030" w14:textId="77777777" w:rsidR="00AF1459" w:rsidRPr="00AF1B51" w:rsidRDefault="006C18A0" w:rsidP="001A254C">
      <w:pPr>
        <w:pStyle w:val="a9"/>
        <w:numPr>
          <w:ilvl w:val="0"/>
          <w:numId w:val="17"/>
        </w:numPr>
        <w:spacing w:after="160"/>
        <w:jc w:val="both"/>
        <w:rPr>
          <w:rFonts w:cs="Times New Roman"/>
          <w:color w:val="212121"/>
          <w:sz w:val="24"/>
          <w:szCs w:val="24"/>
          <w:shd w:val="clear" w:color="auto" w:fill="FFFFFF"/>
        </w:rPr>
      </w:pPr>
      <w:r w:rsidRPr="00AF1B51">
        <w:rPr>
          <w:rFonts w:cs="Times New Roman"/>
          <w:sz w:val="24"/>
          <w:szCs w:val="24"/>
        </w:rPr>
        <w:t>Soboleva, I. (2006), ‘‘Corporate social responsibility: global context and Russian realities’’, Problems of Economic Transition, Vol. 49 No. 8, pp. 82-95.</w:t>
      </w:r>
    </w:p>
    <w:p w14:paraId="409F43E1" w14:textId="25F34B2D" w:rsidR="00AF1459" w:rsidRPr="00AF1B51" w:rsidRDefault="00AF1459" w:rsidP="001A254C">
      <w:pPr>
        <w:pStyle w:val="a9"/>
        <w:numPr>
          <w:ilvl w:val="0"/>
          <w:numId w:val="17"/>
        </w:numPr>
        <w:spacing w:after="160"/>
        <w:jc w:val="both"/>
        <w:rPr>
          <w:rFonts w:cs="Times New Roman"/>
          <w:color w:val="212121"/>
          <w:sz w:val="24"/>
          <w:szCs w:val="24"/>
          <w:shd w:val="clear" w:color="auto" w:fill="FFFFFF"/>
        </w:rPr>
      </w:pPr>
      <w:r w:rsidRPr="00AF1B51">
        <w:rPr>
          <w:rFonts w:cs="Times New Roman"/>
          <w:color w:val="222222"/>
          <w:sz w:val="24"/>
          <w:szCs w:val="24"/>
          <w:shd w:val="clear" w:color="auto" w:fill="FFFFFF"/>
        </w:rPr>
        <w:t>Ren, F. The evolving thoughts of sustainable development and its use for reference in contemporary China. </w:t>
      </w:r>
      <w:r w:rsidRPr="00AF1B51">
        <w:rPr>
          <w:rStyle w:val="html-italic"/>
          <w:rFonts w:cs="Times New Roman"/>
          <w:i/>
          <w:iCs/>
          <w:color w:val="222222"/>
          <w:sz w:val="24"/>
          <w:szCs w:val="24"/>
          <w:shd w:val="clear" w:color="auto" w:fill="FFFFFF"/>
        </w:rPr>
        <w:t>Technol. Econ.</w:t>
      </w:r>
      <w:r w:rsidRPr="00AF1B51">
        <w:rPr>
          <w:rFonts w:cs="Times New Roman"/>
          <w:color w:val="222222"/>
          <w:sz w:val="24"/>
          <w:szCs w:val="24"/>
          <w:shd w:val="clear" w:color="auto" w:fill="FFFFFF"/>
        </w:rPr>
        <w:t> </w:t>
      </w:r>
      <w:r w:rsidRPr="00AF1B51">
        <w:rPr>
          <w:rFonts w:cs="Times New Roman"/>
          <w:b/>
          <w:bCs/>
          <w:color w:val="222222"/>
          <w:sz w:val="24"/>
          <w:szCs w:val="24"/>
          <w:shd w:val="clear" w:color="auto" w:fill="FFFFFF"/>
        </w:rPr>
        <w:t>2006</w:t>
      </w:r>
      <w:r w:rsidRPr="00AF1B51">
        <w:rPr>
          <w:rFonts w:cs="Times New Roman"/>
          <w:color w:val="222222"/>
          <w:sz w:val="24"/>
          <w:szCs w:val="24"/>
          <w:shd w:val="clear" w:color="auto" w:fill="FFFFFF"/>
        </w:rPr>
        <w:t>, </w:t>
      </w:r>
      <w:r w:rsidRPr="00AF1B51">
        <w:rPr>
          <w:rStyle w:val="html-italic"/>
          <w:rFonts w:cs="Times New Roman"/>
          <w:i/>
          <w:iCs/>
          <w:color w:val="222222"/>
          <w:sz w:val="24"/>
          <w:szCs w:val="24"/>
          <w:shd w:val="clear" w:color="auto" w:fill="FFFFFF"/>
        </w:rPr>
        <w:t>7</w:t>
      </w:r>
      <w:r w:rsidRPr="00AF1B51">
        <w:rPr>
          <w:rFonts w:cs="Times New Roman"/>
          <w:color w:val="222222"/>
          <w:sz w:val="24"/>
          <w:szCs w:val="24"/>
          <w:shd w:val="clear" w:color="auto" w:fill="FFFFFF"/>
        </w:rPr>
        <w:t>, 5–7. </w:t>
      </w:r>
    </w:p>
    <w:p w14:paraId="1413F5C7" w14:textId="43BC8211" w:rsidR="007B14A2" w:rsidRPr="00AF1B51" w:rsidRDefault="00AF1459" w:rsidP="001A254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22222"/>
          <w:sz w:val="24"/>
          <w:szCs w:val="24"/>
        </w:rPr>
        <w:t>Lu, X. Business ethics in China. </w:t>
      </w:r>
      <w:r w:rsidRPr="00AF1B51">
        <w:rPr>
          <w:rStyle w:val="html-italic"/>
          <w:rFonts w:cs="Times New Roman"/>
          <w:i/>
          <w:iCs/>
          <w:color w:val="222222"/>
          <w:sz w:val="24"/>
          <w:szCs w:val="24"/>
        </w:rPr>
        <w:t>J. Bus. Ethics</w:t>
      </w:r>
      <w:r w:rsidRPr="00AF1B51">
        <w:rPr>
          <w:rFonts w:cs="Times New Roman"/>
          <w:color w:val="222222"/>
          <w:sz w:val="24"/>
          <w:szCs w:val="24"/>
        </w:rPr>
        <w:t> </w:t>
      </w:r>
      <w:r w:rsidRPr="00AF1B51">
        <w:rPr>
          <w:rFonts w:cs="Times New Roman"/>
          <w:b/>
          <w:bCs/>
          <w:color w:val="222222"/>
          <w:sz w:val="24"/>
          <w:szCs w:val="24"/>
        </w:rPr>
        <w:t>1997</w:t>
      </w:r>
      <w:r w:rsidRPr="00AF1B51">
        <w:rPr>
          <w:rFonts w:cs="Times New Roman"/>
          <w:color w:val="222222"/>
          <w:sz w:val="24"/>
          <w:szCs w:val="24"/>
        </w:rPr>
        <w:t>, </w:t>
      </w:r>
      <w:r w:rsidRPr="00AF1B51">
        <w:rPr>
          <w:rStyle w:val="html-italic"/>
          <w:rFonts w:cs="Times New Roman"/>
          <w:i/>
          <w:iCs/>
          <w:color w:val="222222"/>
          <w:sz w:val="24"/>
          <w:szCs w:val="24"/>
        </w:rPr>
        <w:t>16</w:t>
      </w:r>
      <w:r w:rsidRPr="00AF1B51">
        <w:rPr>
          <w:rFonts w:cs="Times New Roman"/>
          <w:color w:val="222222"/>
          <w:sz w:val="24"/>
          <w:szCs w:val="24"/>
        </w:rPr>
        <w:t>, 1509–1518</w:t>
      </w:r>
    </w:p>
    <w:p w14:paraId="1394564E" w14:textId="728DB21C" w:rsidR="00AF1459" w:rsidRPr="00AF1B51" w:rsidRDefault="00AF1459" w:rsidP="001A254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22222"/>
          <w:sz w:val="24"/>
          <w:szCs w:val="24"/>
          <w:shd w:val="clear" w:color="auto" w:fill="FFFFFF"/>
        </w:rPr>
        <w:t xml:space="preserve">Zhang, </w:t>
      </w:r>
      <w:proofErr w:type="spellStart"/>
      <w:r w:rsidRPr="00AF1B51">
        <w:rPr>
          <w:rFonts w:cs="Times New Roman"/>
          <w:color w:val="222222"/>
          <w:sz w:val="24"/>
          <w:szCs w:val="24"/>
          <w:shd w:val="clear" w:color="auto" w:fill="FFFFFF"/>
        </w:rPr>
        <w:t>Dongyong</w:t>
      </w:r>
      <w:proofErr w:type="spellEnd"/>
      <w:r w:rsidRPr="00AF1B51">
        <w:rPr>
          <w:rFonts w:cs="Times New Roman"/>
          <w:color w:val="222222"/>
          <w:sz w:val="24"/>
          <w:szCs w:val="24"/>
          <w:shd w:val="clear" w:color="auto" w:fill="FFFFFF"/>
        </w:rPr>
        <w:t xml:space="preserve">, Stephen Morse, Uma </w:t>
      </w:r>
      <w:proofErr w:type="spellStart"/>
      <w:r w:rsidRPr="00AF1B51">
        <w:rPr>
          <w:rFonts w:cs="Times New Roman"/>
          <w:color w:val="222222"/>
          <w:sz w:val="24"/>
          <w:szCs w:val="24"/>
          <w:shd w:val="clear" w:color="auto" w:fill="FFFFFF"/>
        </w:rPr>
        <w:t>Kambhamptati</w:t>
      </w:r>
      <w:proofErr w:type="spellEnd"/>
      <w:r w:rsidRPr="00AF1B51">
        <w:rPr>
          <w:rFonts w:cs="Times New Roman"/>
          <w:color w:val="222222"/>
          <w:sz w:val="24"/>
          <w:szCs w:val="24"/>
          <w:shd w:val="clear" w:color="auto" w:fill="FFFFFF"/>
        </w:rPr>
        <w:t xml:space="preserve">, and </w:t>
      </w:r>
      <w:proofErr w:type="spellStart"/>
      <w:r w:rsidRPr="00AF1B51">
        <w:rPr>
          <w:rFonts w:cs="Times New Roman"/>
          <w:color w:val="222222"/>
          <w:sz w:val="24"/>
          <w:szCs w:val="24"/>
          <w:shd w:val="clear" w:color="auto" w:fill="FFFFFF"/>
        </w:rPr>
        <w:t>Bingjun</w:t>
      </w:r>
      <w:proofErr w:type="spellEnd"/>
      <w:r w:rsidRPr="00AF1B51">
        <w:rPr>
          <w:rFonts w:cs="Times New Roman"/>
          <w:color w:val="222222"/>
          <w:sz w:val="24"/>
          <w:szCs w:val="24"/>
          <w:shd w:val="clear" w:color="auto" w:fill="FFFFFF"/>
        </w:rPr>
        <w:t xml:space="preserve"> Li. 2014. "Evolving Corporate Social Responsibility in China" </w:t>
      </w:r>
      <w:r w:rsidRPr="00AF1B51">
        <w:rPr>
          <w:rStyle w:val="af3"/>
          <w:rFonts w:cs="Times New Roman"/>
          <w:color w:val="222222"/>
          <w:sz w:val="24"/>
          <w:szCs w:val="24"/>
          <w:shd w:val="clear" w:color="auto" w:fill="FFFFFF"/>
        </w:rPr>
        <w:t>Sustainability</w:t>
      </w:r>
      <w:r w:rsidRPr="00AF1B51">
        <w:rPr>
          <w:rFonts w:cs="Times New Roman"/>
          <w:color w:val="222222"/>
          <w:sz w:val="24"/>
          <w:szCs w:val="24"/>
          <w:shd w:val="clear" w:color="auto" w:fill="FFFFFF"/>
        </w:rPr>
        <w:t xml:space="preserve"> 6, no. 11: 7646-7665. </w:t>
      </w:r>
      <w:hyperlink r:id="rId62" w:history="1">
        <w:r w:rsidRPr="00AF1B51">
          <w:rPr>
            <w:rStyle w:val="a8"/>
            <w:rFonts w:cs="Times New Roman"/>
            <w:sz w:val="24"/>
            <w:szCs w:val="24"/>
            <w:shd w:val="clear" w:color="auto" w:fill="FFFFFF"/>
          </w:rPr>
          <w:t>https://doi.org/10.3390/su6117646</w:t>
        </w:r>
      </w:hyperlink>
    </w:p>
    <w:p w14:paraId="71D5ECA5" w14:textId="051616E0" w:rsidR="00C1698E" w:rsidRPr="00AF1B51" w:rsidRDefault="00C1698E" w:rsidP="001A254C">
      <w:pPr>
        <w:pStyle w:val="a9"/>
        <w:numPr>
          <w:ilvl w:val="0"/>
          <w:numId w:val="17"/>
        </w:numPr>
        <w:jc w:val="both"/>
        <w:rPr>
          <w:rFonts w:cs="Times New Roman"/>
          <w:sz w:val="24"/>
          <w:szCs w:val="24"/>
        </w:rPr>
      </w:pPr>
      <w:r w:rsidRPr="00AF1B51">
        <w:rPr>
          <w:rFonts w:cs="Times New Roman"/>
          <w:color w:val="222222"/>
          <w:sz w:val="24"/>
          <w:szCs w:val="24"/>
        </w:rPr>
        <w:t xml:space="preserve">Jiang, Q.; </w:t>
      </w:r>
      <w:r w:rsidR="00496D9B" w:rsidRPr="00AF1B51">
        <w:rPr>
          <w:rFonts w:cs="Times New Roman"/>
          <w:color w:val="222222"/>
          <w:sz w:val="24"/>
          <w:szCs w:val="24"/>
        </w:rPr>
        <w:t xml:space="preserve">Zhang, D.; </w:t>
      </w:r>
      <w:r w:rsidRPr="00AF1B51">
        <w:rPr>
          <w:rFonts w:cs="Times New Roman"/>
          <w:color w:val="222222"/>
          <w:sz w:val="24"/>
          <w:szCs w:val="24"/>
        </w:rPr>
        <w:t>Ma, X.; Li, B. Drivers for food risk management and corporate social responsibility; a case of Chinese food companies. </w:t>
      </w:r>
      <w:r w:rsidRPr="00AF1B51">
        <w:rPr>
          <w:rStyle w:val="html-italic"/>
          <w:rFonts w:cs="Times New Roman"/>
          <w:i/>
          <w:iCs/>
          <w:color w:val="222222"/>
          <w:sz w:val="24"/>
          <w:szCs w:val="24"/>
        </w:rPr>
        <w:t>J. Clean. Prod.</w:t>
      </w:r>
      <w:r w:rsidRPr="00AF1B51">
        <w:rPr>
          <w:rFonts w:cs="Times New Roman"/>
          <w:color w:val="222222"/>
          <w:sz w:val="24"/>
          <w:szCs w:val="24"/>
        </w:rPr>
        <w:t> </w:t>
      </w:r>
      <w:r w:rsidRPr="00AF1B51">
        <w:rPr>
          <w:rFonts w:cs="Times New Roman"/>
          <w:b/>
          <w:bCs/>
          <w:color w:val="222222"/>
          <w:sz w:val="24"/>
          <w:szCs w:val="24"/>
        </w:rPr>
        <w:t>2014</w:t>
      </w:r>
      <w:r w:rsidRPr="00AF1B51">
        <w:rPr>
          <w:rFonts w:cs="Times New Roman"/>
          <w:color w:val="222222"/>
          <w:sz w:val="24"/>
          <w:szCs w:val="24"/>
        </w:rPr>
        <w:t>, </w:t>
      </w:r>
      <w:r w:rsidRPr="00AF1B51">
        <w:rPr>
          <w:rStyle w:val="html-italic"/>
          <w:rFonts w:cs="Times New Roman"/>
          <w:i/>
          <w:iCs/>
          <w:color w:val="222222"/>
          <w:sz w:val="24"/>
          <w:szCs w:val="24"/>
        </w:rPr>
        <w:t>66</w:t>
      </w:r>
      <w:r w:rsidRPr="00AF1B51">
        <w:rPr>
          <w:rFonts w:cs="Times New Roman"/>
          <w:color w:val="222222"/>
          <w:sz w:val="24"/>
          <w:szCs w:val="24"/>
        </w:rPr>
        <w:t xml:space="preserve">, 520–527. </w:t>
      </w:r>
    </w:p>
    <w:p w14:paraId="36E4789E" w14:textId="2B144529" w:rsidR="00C1698E" w:rsidRPr="00AF1B51" w:rsidRDefault="00C1698E" w:rsidP="001A254C">
      <w:pPr>
        <w:pStyle w:val="html-xx"/>
        <w:numPr>
          <w:ilvl w:val="0"/>
          <w:numId w:val="17"/>
        </w:numPr>
        <w:shd w:val="clear" w:color="auto" w:fill="FFFFFF"/>
        <w:spacing w:before="0" w:beforeAutospacing="0" w:after="0" w:afterAutospacing="0"/>
        <w:jc w:val="both"/>
        <w:rPr>
          <w:color w:val="222222"/>
        </w:rPr>
      </w:pPr>
      <w:r w:rsidRPr="00AF1B51">
        <w:rPr>
          <w:color w:val="222222"/>
        </w:rPr>
        <w:t>Jensen, M.H. </w:t>
      </w:r>
      <w:r w:rsidRPr="00AF1B51">
        <w:rPr>
          <w:rStyle w:val="html-italic"/>
          <w:i/>
          <w:iCs/>
          <w:color w:val="222222"/>
        </w:rPr>
        <w:t>Serve the People! Corporate Social Responsibility (CSR) in China</w:t>
      </w:r>
      <w:r w:rsidRPr="00AF1B51">
        <w:rPr>
          <w:color w:val="222222"/>
        </w:rPr>
        <w:t xml:space="preserve">; Asia Research Centre, CBS, Copenhagen discussion paper 2006–6; Asia Research Center </w:t>
      </w:r>
      <w:proofErr w:type="spellStart"/>
      <w:r w:rsidRPr="00AF1B51">
        <w:rPr>
          <w:color w:val="222222"/>
        </w:rPr>
        <w:t>Cophenhagen</w:t>
      </w:r>
      <w:proofErr w:type="spellEnd"/>
      <w:r w:rsidRPr="00AF1B51">
        <w:rPr>
          <w:color w:val="222222"/>
        </w:rPr>
        <w:t xml:space="preserve"> Business School: Frederiksberg, Denmark, 2006.</w:t>
      </w:r>
    </w:p>
    <w:p w14:paraId="6D4C996F" w14:textId="256AAC61" w:rsidR="00AF1459" w:rsidRPr="00AF1B51" w:rsidRDefault="000D5B82" w:rsidP="001A254C">
      <w:pPr>
        <w:pStyle w:val="html-xx"/>
        <w:numPr>
          <w:ilvl w:val="0"/>
          <w:numId w:val="17"/>
        </w:numPr>
        <w:shd w:val="clear" w:color="auto" w:fill="FFFFFF"/>
        <w:spacing w:before="0" w:beforeAutospacing="0" w:after="0" w:afterAutospacing="0"/>
        <w:jc w:val="both"/>
        <w:rPr>
          <w:color w:val="222222"/>
        </w:rPr>
      </w:pPr>
      <w:r w:rsidRPr="00AF1B51">
        <w:rPr>
          <w:color w:val="222222"/>
        </w:rPr>
        <w:t>Shi, Y. Seven reasons why the Chinese Dream is different from the American Dream. In </w:t>
      </w:r>
      <w:proofErr w:type="spellStart"/>
      <w:r w:rsidRPr="00AF1B51">
        <w:rPr>
          <w:rStyle w:val="html-italic"/>
          <w:i/>
          <w:iCs/>
          <w:color w:val="222222"/>
        </w:rPr>
        <w:t>Qiushi</w:t>
      </w:r>
      <w:proofErr w:type="spellEnd"/>
      <w:r w:rsidRPr="00AF1B51">
        <w:rPr>
          <w:color w:val="222222"/>
        </w:rPr>
        <w:t xml:space="preserve">; Central Party School: Beijing, China, 2013. (In Chinese) </w:t>
      </w:r>
    </w:p>
    <w:p w14:paraId="28304D85" w14:textId="033740F9" w:rsidR="009C592A" w:rsidRPr="00AF1B51" w:rsidRDefault="009C592A" w:rsidP="001A254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22222"/>
          <w:sz w:val="24"/>
          <w:szCs w:val="24"/>
        </w:rPr>
        <w:t>Li, H. Research on the evolving idea of sustainable development in China. </w:t>
      </w:r>
      <w:r w:rsidRPr="00AF1B51">
        <w:rPr>
          <w:rStyle w:val="html-italic"/>
          <w:rFonts w:cs="Times New Roman"/>
          <w:i/>
          <w:iCs/>
          <w:color w:val="222222"/>
          <w:sz w:val="24"/>
          <w:szCs w:val="24"/>
        </w:rPr>
        <w:t>Econ. Law</w:t>
      </w:r>
      <w:r w:rsidRPr="00AF1B51">
        <w:rPr>
          <w:rFonts w:cs="Times New Roman"/>
          <w:color w:val="222222"/>
          <w:sz w:val="24"/>
          <w:szCs w:val="24"/>
        </w:rPr>
        <w:t> </w:t>
      </w:r>
      <w:r w:rsidRPr="00AF1B51">
        <w:rPr>
          <w:rFonts w:cs="Times New Roman"/>
          <w:b/>
          <w:bCs/>
          <w:color w:val="222222"/>
          <w:sz w:val="24"/>
          <w:szCs w:val="24"/>
        </w:rPr>
        <w:t>2010</w:t>
      </w:r>
      <w:r w:rsidRPr="00AF1B51">
        <w:rPr>
          <w:rFonts w:cs="Times New Roman"/>
          <w:color w:val="222222"/>
          <w:sz w:val="24"/>
          <w:szCs w:val="24"/>
        </w:rPr>
        <w:t>, </w:t>
      </w:r>
      <w:r w:rsidRPr="00AF1B51">
        <w:rPr>
          <w:rStyle w:val="html-italic"/>
          <w:rFonts w:cs="Times New Roman"/>
          <w:i/>
          <w:iCs/>
          <w:color w:val="222222"/>
          <w:sz w:val="24"/>
          <w:szCs w:val="24"/>
        </w:rPr>
        <w:t>12</w:t>
      </w:r>
      <w:r w:rsidRPr="00AF1B51">
        <w:rPr>
          <w:rFonts w:cs="Times New Roman"/>
          <w:color w:val="222222"/>
          <w:sz w:val="24"/>
          <w:szCs w:val="24"/>
        </w:rPr>
        <w:t>, 396–397. (In Chinese)</w:t>
      </w:r>
    </w:p>
    <w:p w14:paraId="6AA25992" w14:textId="79C43CE3" w:rsidR="009C592A" w:rsidRPr="00AF1B51" w:rsidRDefault="009C592A" w:rsidP="001A254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22222"/>
          <w:sz w:val="24"/>
          <w:szCs w:val="24"/>
        </w:rPr>
        <w:t>Li, X.; Fan, J. An analysis of Mao Ze-dong’s thought on equality. </w:t>
      </w:r>
      <w:r w:rsidRPr="00AF1B51">
        <w:rPr>
          <w:rStyle w:val="html-italic"/>
          <w:rFonts w:cs="Times New Roman"/>
          <w:i/>
          <w:iCs/>
          <w:color w:val="222222"/>
          <w:sz w:val="24"/>
          <w:szCs w:val="24"/>
        </w:rPr>
        <w:t xml:space="preserve">J. </w:t>
      </w:r>
      <w:proofErr w:type="spellStart"/>
      <w:r w:rsidRPr="00AF1B51">
        <w:rPr>
          <w:rStyle w:val="html-italic"/>
          <w:rFonts w:cs="Times New Roman"/>
          <w:i/>
          <w:iCs/>
          <w:color w:val="222222"/>
          <w:sz w:val="24"/>
          <w:szCs w:val="24"/>
        </w:rPr>
        <w:t>Xuchang</w:t>
      </w:r>
      <w:proofErr w:type="spellEnd"/>
      <w:r w:rsidRPr="00AF1B51">
        <w:rPr>
          <w:rStyle w:val="html-italic"/>
          <w:rFonts w:cs="Times New Roman"/>
          <w:i/>
          <w:iCs/>
          <w:color w:val="222222"/>
          <w:sz w:val="24"/>
          <w:szCs w:val="24"/>
        </w:rPr>
        <w:t xml:space="preserve"> Coll.</w:t>
      </w:r>
      <w:r w:rsidRPr="00AF1B51">
        <w:rPr>
          <w:rFonts w:cs="Times New Roman"/>
          <w:color w:val="222222"/>
          <w:sz w:val="24"/>
          <w:szCs w:val="24"/>
        </w:rPr>
        <w:t> </w:t>
      </w:r>
      <w:r w:rsidRPr="00AF1B51">
        <w:rPr>
          <w:rFonts w:cs="Times New Roman"/>
          <w:b/>
          <w:bCs/>
          <w:color w:val="222222"/>
          <w:sz w:val="24"/>
          <w:szCs w:val="24"/>
        </w:rPr>
        <w:t>2006</w:t>
      </w:r>
      <w:r w:rsidRPr="00AF1B51">
        <w:rPr>
          <w:rFonts w:cs="Times New Roman"/>
          <w:color w:val="222222"/>
          <w:sz w:val="24"/>
          <w:szCs w:val="24"/>
        </w:rPr>
        <w:t>, </w:t>
      </w:r>
      <w:r w:rsidRPr="00AF1B51">
        <w:rPr>
          <w:rStyle w:val="html-italic"/>
          <w:rFonts w:cs="Times New Roman"/>
          <w:i/>
          <w:iCs/>
          <w:color w:val="222222"/>
          <w:sz w:val="24"/>
          <w:szCs w:val="24"/>
        </w:rPr>
        <w:t>1</w:t>
      </w:r>
      <w:r w:rsidRPr="00AF1B51">
        <w:rPr>
          <w:rFonts w:cs="Times New Roman"/>
          <w:color w:val="222222"/>
          <w:sz w:val="24"/>
          <w:szCs w:val="24"/>
        </w:rPr>
        <w:t xml:space="preserve">, 23–25. </w:t>
      </w:r>
    </w:p>
    <w:p w14:paraId="7EBC8F7A" w14:textId="0B822C74" w:rsidR="009C592A" w:rsidRPr="00AF1B51" w:rsidRDefault="009C592A" w:rsidP="001A254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22222"/>
          <w:sz w:val="24"/>
          <w:szCs w:val="24"/>
        </w:rPr>
        <w:t>Zhang, D. Corporate accountability (China). In </w:t>
      </w:r>
      <w:r w:rsidRPr="00AF1B51">
        <w:rPr>
          <w:rStyle w:val="html-italic"/>
          <w:rFonts w:cs="Times New Roman"/>
          <w:i/>
          <w:iCs/>
          <w:color w:val="222222"/>
          <w:sz w:val="24"/>
          <w:szCs w:val="24"/>
        </w:rPr>
        <w:t>The Encyclopedia of Sustainability</w:t>
      </w:r>
      <w:r w:rsidRPr="00AF1B51">
        <w:rPr>
          <w:rFonts w:cs="Times New Roman"/>
          <w:color w:val="222222"/>
          <w:sz w:val="24"/>
          <w:szCs w:val="24"/>
        </w:rPr>
        <w:t xml:space="preserve">; Geall, S., Liu, J., </w:t>
      </w:r>
      <w:proofErr w:type="spellStart"/>
      <w:r w:rsidRPr="00AF1B51">
        <w:rPr>
          <w:rFonts w:cs="Times New Roman"/>
          <w:color w:val="222222"/>
          <w:sz w:val="24"/>
          <w:szCs w:val="24"/>
        </w:rPr>
        <w:t>Pellissery</w:t>
      </w:r>
      <w:proofErr w:type="spellEnd"/>
      <w:r w:rsidRPr="00AF1B51">
        <w:rPr>
          <w:rFonts w:cs="Times New Roman"/>
          <w:color w:val="222222"/>
          <w:sz w:val="24"/>
          <w:szCs w:val="24"/>
        </w:rPr>
        <w:t xml:space="preserve">, S., Eds.; Berkshire Publishing: Great Barrington, MA, USA, 2012; pp. 74–78. </w:t>
      </w:r>
    </w:p>
    <w:p w14:paraId="3525E4B9" w14:textId="530A7446" w:rsidR="005C4BEA" w:rsidRPr="00AF1B51" w:rsidRDefault="005C4BEA" w:rsidP="001A254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22222"/>
          <w:sz w:val="24"/>
          <w:szCs w:val="24"/>
          <w:shd w:val="clear" w:color="auto" w:fill="FFFFFF"/>
        </w:rPr>
        <w:t>L.W. Lin, 'Corporate Social Responsibility in China: Window Dressing or Structural Change' (2010) 28 Berkeley Journal of International Law 64 at 88. </w:t>
      </w:r>
    </w:p>
    <w:p w14:paraId="12DE3912" w14:textId="5B9296CB" w:rsidR="009C592A" w:rsidRPr="00AF1B51" w:rsidRDefault="005C4BEA" w:rsidP="001A254C">
      <w:pPr>
        <w:pStyle w:val="a9"/>
        <w:numPr>
          <w:ilvl w:val="0"/>
          <w:numId w:val="17"/>
        </w:numPr>
        <w:spacing w:after="160" w:line="278" w:lineRule="auto"/>
        <w:jc w:val="both"/>
        <w:rPr>
          <w:rFonts w:cs="Times New Roman"/>
          <w:color w:val="212121"/>
          <w:sz w:val="24"/>
          <w:szCs w:val="24"/>
          <w:shd w:val="clear" w:color="auto" w:fill="FFFFFF"/>
        </w:rPr>
      </w:pPr>
      <w:proofErr w:type="spellStart"/>
      <w:r w:rsidRPr="00AF1B51">
        <w:rPr>
          <w:rFonts w:cs="Times New Roman"/>
          <w:color w:val="212121"/>
          <w:sz w:val="24"/>
          <w:szCs w:val="24"/>
          <w:shd w:val="clear" w:color="auto" w:fill="FFFFFF"/>
        </w:rPr>
        <w:t>Jingchen</w:t>
      </w:r>
      <w:proofErr w:type="spellEnd"/>
      <w:r w:rsidRPr="00AF1B51">
        <w:rPr>
          <w:rFonts w:cs="Times New Roman"/>
          <w:color w:val="212121"/>
          <w:sz w:val="24"/>
          <w:szCs w:val="24"/>
          <w:shd w:val="clear" w:color="auto" w:fill="FFFFFF"/>
        </w:rPr>
        <w:t xml:space="preserve"> Zhao. (2014). “Corporate Social Responsibility in Cotemporary China”. Edward Elgar Publishing Limited. </w:t>
      </w:r>
    </w:p>
    <w:p w14:paraId="7078F172" w14:textId="32F3E500" w:rsidR="005C4BEA" w:rsidRPr="00AF1B51" w:rsidRDefault="001812A7" w:rsidP="001A254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22222"/>
          <w:sz w:val="24"/>
          <w:szCs w:val="24"/>
          <w:shd w:val="clear" w:color="auto" w:fill="FFFFFF"/>
        </w:rPr>
        <w:t>J.P. Gies and B. Holt, 'Harmonious Society: Rise of the New China' (2009) Strategic Studies Quarterly 75.</w:t>
      </w:r>
    </w:p>
    <w:p w14:paraId="30C58D06" w14:textId="2E5E5A57" w:rsidR="001812A7" w:rsidRPr="00AF1B51" w:rsidRDefault="001812A7" w:rsidP="001A254C">
      <w:pPr>
        <w:pStyle w:val="a9"/>
        <w:numPr>
          <w:ilvl w:val="0"/>
          <w:numId w:val="17"/>
        </w:numPr>
        <w:spacing w:after="160" w:line="278" w:lineRule="auto"/>
        <w:jc w:val="both"/>
        <w:rPr>
          <w:rFonts w:cs="Times New Roman"/>
          <w:color w:val="212121"/>
          <w:sz w:val="24"/>
          <w:szCs w:val="24"/>
          <w:shd w:val="clear" w:color="auto" w:fill="FFFFFF"/>
        </w:rPr>
      </w:pPr>
      <w:r w:rsidRPr="00AF1B51">
        <w:rPr>
          <w:rFonts w:cs="Times New Roman"/>
          <w:color w:val="222222"/>
          <w:sz w:val="24"/>
          <w:szCs w:val="24"/>
          <w:shd w:val="clear" w:color="auto" w:fill="FFFFFF"/>
        </w:rPr>
        <w:t>Hu Jintao, 'Scientific Outlook Development', Lecture for Yale University, 24 April 2006</w:t>
      </w:r>
    </w:p>
    <w:p w14:paraId="00C0CB9B" w14:textId="77777777" w:rsidR="001A254C" w:rsidRPr="00AF1B51" w:rsidRDefault="001A254C" w:rsidP="001A254C">
      <w:pPr>
        <w:numPr>
          <w:ilvl w:val="0"/>
          <w:numId w:val="17"/>
        </w:numPr>
        <w:pBdr>
          <w:top w:val="nil"/>
          <w:left w:val="nil"/>
          <w:bottom w:val="nil"/>
          <w:right w:val="nil"/>
          <w:between w:val="nil"/>
        </w:pBdr>
        <w:tabs>
          <w:tab w:val="left" w:pos="1170"/>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both"/>
        <w:rPr>
          <w:rFonts w:cs="Times New Roman"/>
          <w:sz w:val="24"/>
          <w:szCs w:val="24"/>
        </w:rPr>
      </w:pPr>
      <w:r w:rsidRPr="00AF1B51">
        <w:rPr>
          <w:rFonts w:cs="Times New Roman"/>
          <w:color w:val="333333"/>
          <w:sz w:val="24"/>
          <w:szCs w:val="24"/>
        </w:rPr>
        <w:t>Tagesson, T., Blank, V., Broberg, P., &amp; Collin, S.-O. (2009). What explains the extent and content of social and environmental disclosures on corporate websites: A study of social and environmental reporting in Swedish listed corporations. </w:t>
      </w:r>
      <w:r w:rsidRPr="00AF1B51">
        <w:rPr>
          <w:rStyle w:val="citationsource-journal"/>
          <w:rFonts w:cs="Times New Roman"/>
          <w:i/>
          <w:iCs/>
          <w:color w:val="333333"/>
          <w:sz w:val="24"/>
          <w:szCs w:val="24"/>
        </w:rPr>
        <w:t>Corporate Social Responsibility and Environmental Management</w:t>
      </w:r>
      <w:r w:rsidRPr="00AF1B51">
        <w:rPr>
          <w:rFonts w:cs="Times New Roman"/>
          <w:color w:val="333333"/>
          <w:sz w:val="24"/>
          <w:szCs w:val="24"/>
        </w:rPr>
        <w:t>, </w:t>
      </w:r>
      <w:hyperlink r:id="rId63" w:tgtFrame="_blank" w:history="1">
        <w:r w:rsidRPr="00AF1B51">
          <w:rPr>
            <w:rStyle w:val="a8"/>
            <w:rFonts w:cs="Times New Roman"/>
            <w:color w:val="10147E"/>
            <w:sz w:val="24"/>
            <w:szCs w:val="24"/>
          </w:rPr>
          <w:t>16</w:t>
        </w:r>
      </w:hyperlink>
      <w:r w:rsidRPr="00AF1B51">
        <w:rPr>
          <w:rFonts w:cs="Times New Roman"/>
          <w:color w:val="333333"/>
          <w:sz w:val="24"/>
          <w:szCs w:val="24"/>
        </w:rPr>
        <w:t>(</w:t>
      </w:r>
      <w:hyperlink r:id="rId64" w:tgtFrame="_blank" w:history="1">
        <w:r w:rsidRPr="00AF1B51">
          <w:rPr>
            <w:rStyle w:val="a8"/>
            <w:rFonts w:cs="Times New Roman"/>
            <w:color w:val="10147E"/>
            <w:sz w:val="24"/>
            <w:szCs w:val="24"/>
          </w:rPr>
          <w:t>6</w:t>
        </w:r>
      </w:hyperlink>
      <w:r w:rsidRPr="00AF1B51">
        <w:rPr>
          <w:rFonts w:cs="Times New Roman"/>
          <w:color w:val="333333"/>
          <w:sz w:val="24"/>
          <w:szCs w:val="24"/>
        </w:rPr>
        <w:t>), 352–364. </w:t>
      </w:r>
      <w:hyperlink r:id="rId65" w:tgtFrame="_blank" w:history="1">
        <w:r w:rsidRPr="00AF1B51">
          <w:rPr>
            <w:rStyle w:val="a8"/>
            <w:rFonts w:cs="Times New Roman"/>
            <w:color w:val="10147E"/>
            <w:sz w:val="24"/>
            <w:szCs w:val="24"/>
          </w:rPr>
          <w:t>https://doi.org/https://doi.org/10.1002/csr.194</w:t>
        </w:r>
      </w:hyperlink>
    </w:p>
    <w:p w14:paraId="7F4FABCF" w14:textId="77777777" w:rsidR="001A254C" w:rsidRPr="00AF1B51" w:rsidRDefault="001A254C" w:rsidP="001A254C">
      <w:pPr>
        <w:numPr>
          <w:ilvl w:val="0"/>
          <w:numId w:val="17"/>
        </w:numPr>
        <w:pBdr>
          <w:top w:val="nil"/>
          <w:left w:val="nil"/>
          <w:bottom w:val="nil"/>
          <w:right w:val="nil"/>
          <w:between w:val="nil"/>
        </w:pBdr>
        <w:tabs>
          <w:tab w:val="left" w:pos="1170"/>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both"/>
        <w:rPr>
          <w:rFonts w:cs="Times New Roman"/>
          <w:sz w:val="24"/>
          <w:szCs w:val="24"/>
        </w:rPr>
      </w:pPr>
      <w:r w:rsidRPr="00AF1B51">
        <w:rPr>
          <w:rFonts w:cs="Times New Roman"/>
          <w:color w:val="333333"/>
          <w:sz w:val="24"/>
          <w:szCs w:val="24"/>
        </w:rPr>
        <w:t xml:space="preserve">Cormier, D., Magnan M., &amp; Van </w:t>
      </w:r>
      <w:proofErr w:type="spellStart"/>
      <w:r w:rsidRPr="00AF1B51">
        <w:rPr>
          <w:rFonts w:cs="Times New Roman"/>
          <w:color w:val="333333"/>
          <w:sz w:val="24"/>
          <w:szCs w:val="24"/>
        </w:rPr>
        <w:t>Velthoven</w:t>
      </w:r>
      <w:proofErr w:type="spellEnd"/>
      <w:r w:rsidRPr="00AF1B51">
        <w:rPr>
          <w:rFonts w:cs="Times New Roman"/>
          <w:color w:val="333333"/>
          <w:sz w:val="24"/>
          <w:szCs w:val="24"/>
        </w:rPr>
        <w:t xml:space="preserve"> B. (2005). Environmental disclosure quality in large German companies: Economic incentives, public </w:t>
      </w:r>
      <w:proofErr w:type="gramStart"/>
      <w:r w:rsidRPr="00AF1B51">
        <w:rPr>
          <w:rFonts w:cs="Times New Roman"/>
          <w:color w:val="333333"/>
          <w:sz w:val="24"/>
          <w:szCs w:val="24"/>
        </w:rPr>
        <w:t>pressures</w:t>
      </w:r>
      <w:proofErr w:type="gramEnd"/>
      <w:r w:rsidRPr="00AF1B51">
        <w:rPr>
          <w:rFonts w:cs="Times New Roman"/>
          <w:color w:val="333333"/>
          <w:sz w:val="24"/>
          <w:szCs w:val="24"/>
        </w:rPr>
        <w:t xml:space="preserve"> or institutional conditions? European Accounting Review,14(1), 3–39</w:t>
      </w:r>
    </w:p>
    <w:p w14:paraId="2E7F0E60" w14:textId="77777777" w:rsidR="001A254C" w:rsidRPr="00AF1B51" w:rsidRDefault="001A254C" w:rsidP="001A254C">
      <w:pPr>
        <w:numPr>
          <w:ilvl w:val="0"/>
          <w:numId w:val="17"/>
        </w:numPr>
        <w:pBdr>
          <w:top w:val="nil"/>
          <w:left w:val="nil"/>
          <w:bottom w:val="nil"/>
          <w:right w:val="nil"/>
          <w:between w:val="nil"/>
        </w:pBdr>
        <w:tabs>
          <w:tab w:val="left" w:pos="1170"/>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both"/>
        <w:rPr>
          <w:rFonts w:cs="Times New Roman"/>
          <w:sz w:val="24"/>
          <w:szCs w:val="24"/>
        </w:rPr>
      </w:pPr>
      <w:r w:rsidRPr="00AF1B51">
        <w:rPr>
          <w:rFonts w:cs="Times New Roman"/>
          <w:color w:val="333333"/>
          <w:sz w:val="24"/>
          <w:szCs w:val="24"/>
        </w:rPr>
        <w:t>Coffey, B.S., &amp; Fryxell, G.E. (1991). Institutional ownership of stock and dimensions of corporate social performance: An empirical examination. </w:t>
      </w:r>
      <w:r w:rsidRPr="00AF1B51">
        <w:rPr>
          <w:rStyle w:val="citationsource-journal"/>
          <w:rFonts w:cs="Times New Roman"/>
          <w:i/>
          <w:iCs/>
          <w:color w:val="333333"/>
          <w:sz w:val="24"/>
          <w:szCs w:val="24"/>
        </w:rPr>
        <w:t>Journal of Business Ethics</w:t>
      </w:r>
      <w:r w:rsidRPr="00AF1B51">
        <w:rPr>
          <w:rFonts w:cs="Times New Roman"/>
          <w:color w:val="333333"/>
          <w:sz w:val="24"/>
          <w:szCs w:val="24"/>
        </w:rPr>
        <w:t>,</w:t>
      </w:r>
      <w:hyperlink r:id="rId66" w:tgtFrame="_blank" w:history="1">
        <w:r w:rsidRPr="00AF1B51">
          <w:rPr>
            <w:rStyle w:val="a8"/>
            <w:rFonts w:cs="Times New Roman"/>
            <w:color w:val="10147E"/>
            <w:sz w:val="24"/>
            <w:szCs w:val="24"/>
          </w:rPr>
          <w:t>10</w:t>
        </w:r>
      </w:hyperlink>
      <w:r w:rsidRPr="00AF1B51">
        <w:rPr>
          <w:rFonts w:cs="Times New Roman"/>
          <w:color w:val="333333"/>
          <w:sz w:val="24"/>
          <w:szCs w:val="24"/>
        </w:rPr>
        <w:t>(</w:t>
      </w:r>
      <w:hyperlink r:id="rId67" w:tgtFrame="_blank" w:history="1">
        <w:r w:rsidRPr="00AF1B51">
          <w:rPr>
            <w:rStyle w:val="a8"/>
            <w:rFonts w:cs="Times New Roman"/>
            <w:color w:val="10147E"/>
            <w:sz w:val="24"/>
            <w:szCs w:val="24"/>
          </w:rPr>
          <w:t>6</w:t>
        </w:r>
      </w:hyperlink>
      <w:r w:rsidRPr="00AF1B51">
        <w:rPr>
          <w:rFonts w:cs="Times New Roman"/>
          <w:color w:val="333333"/>
          <w:sz w:val="24"/>
          <w:szCs w:val="24"/>
        </w:rPr>
        <w:t xml:space="preserve">), 437–444. </w:t>
      </w:r>
      <w:proofErr w:type="spellStart"/>
      <w:r w:rsidRPr="00AF1B51">
        <w:rPr>
          <w:rFonts w:cs="Times New Roman"/>
          <w:color w:val="333333"/>
          <w:sz w:val="24"/>
          <w:szCs w:val="24"/>
        </w:rPr>
        <w:t>doi:</w:t>
      </w:r>
      <w:hyperlink r:id="rId68" w:tgtFrame="_blank" w:history="1">
        <w:r w:rsidRPr="00AF1B51">
          <w:rPr>
            <w:rStyle w:val="a8"/>
            <w:rFonts w:cs="Times New Roman"/>
            <w:color w:val="006DB4"/>
            <w:sz w:val="24"/>
            <w:szCs w:val="24"/>
          </w:rPr>
          <w:t>https</w:t>
        </w:r>
        <w:proofErr w:type="spellEnd"/>
        <w:r w:rsidRPr="00AF1B51">
          <w:rPr>
            <w:rStyle w:val="a8"/>
            <w:rFonts w:cs="Times New Roman"/>
            <w:color w:val="006DB4"/>
            <w:sz w:val="24"/>
            <w:szCs w:val="24"/>
          </w:rPr>
          <w:t>://doi.org/10.1007/BF00382826</w:t>
        </w:r>
      </w:hyperlink>
    </w:p>
    <w:p w14:paraId="5B5746B9" w14:textId="77777777" w:rsidR="001A254C" w:rsidRPr="00AF1B51" w:rsidRDefault="001A254C" w:rsidP="001A254C">
      <w:pPr>
        <w:numPr>
          <w:ilvl w:val="0"/>
          <w:numId w:val="17"/>
        </w:numPr>
        <w:pBdr>
          <w:top w:val="nil"/>
          <w:left w:val="nil"/>
          <w:bottom w:val="nil"/>
          <w:right w:val="nil"/>
          <w:between w:val="nil"/>
        </w:pBdr>
        <w:tabs>
          <w:tab w:val="left" w:pos="1170"/>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both"/>
        <w:rPr>
          <w:rFonts w:cs="Times New Roman"/>
          <w:sz w:val="24"/>
          <w:szCs w:val="24"/>
        </w:rPr>
      </w:pPr>
      <w:proofErr w:type="spellStart"/>
      <w:r w:rsidRPr="00AF1B51">
        <w:rPr>
          <w:rFonts w:cs="Times New Roman"/>
          <w:color w:val="333333"/>
          <w:sz w:val="24"/>
          <w:szCs w:val="24"/>
        </w:rPr>
        <w:t>Reverte</w:t>
      </w:r>
      <w:proofErr w:type="spellEnd"/>
      <w:r w:rsidRPr="00AF1B51">
        <w:rPr>
          <w:rFonts w:cs="Times New Roman"/>
          <w:color w:val="333333"/>
          <w:sz w:val="24"/>
          <w:szCs w:val="24"/>
        </w:rPr>
        <w:t>, C. (2009). Determinants of corporate social responsibility disclosure ratings by Spanish listed firms. </w:t>
      </w:r>
      <w:r w:rsidRPr="00AF1B51">
        <w:rPr>
          <w:rStyle w:val="citationsource-journal"/>
          <w:rFonts w:cs="Times New Roman"/>
          <w:i/>
          <w:iCs/>
          <w:color w:val="333333"/>
          <w:sz w:val="24"/>
          <w:szCs w:val="24"/>
        </w:rPr>
        <w:t>Journal of Business Ethics</w:t>
      </w:r>
      <w:r w:rsidRPr="00AF1B51">
        <w:rPr>
          <w:rFonts w:cs="Times New Roman"/>
          <w:color w:val="333333"/>
          <w:sz w:val="24"/>
          <w:szCs w:val="24"/>
        </w:rPr>
        <w:t>,</w:t>
      </w:r>
      <w:hyperlink r:id="rId69" w:tgtFrame="_blank" w:history="1">
        <w:r w:rsidRPr="00AF1B51">
          <w:rPr>
            <w:rStyle w:val="a8"/>
            <w:rFonts w:cs="Times New Roman"/>
            <w:color w:val="10147E"/>
            <w:sz w:val="24"/>
            <w:szCs w:val="24"/>
          </w:rPr>
          <w:t>88</w:t>
        </w:r>
      </w:hyperlink>
      <w:r w:rsidRPr="00AF1B51">
        <w:rPr>
          <w:rFonts w:cs="Times New Roman"/>
          <w:color w:val="333333"/>
          <w:sz w:val="24"/>
          <w:szCs w:val="24"/>
        </w:rPr>
        <w:t>(</w:t>
      </w:r>
      <w:hyperlink r:id="rId70" w:tgtFrame="_blank" w:history="1">
        <w:r w:rsidRPr="00AF1B51">
          <w:rPr>
            <w:rStyle w:val="a8"/>
            <w:rFonts w:cs="Times New Roman"/>
            <w:color w:val="10147E"/>
            <w:sz w:val="24"/>
            <w:szCs w:val="24"/>
          </w:rPr>
          <w:t>2</w:t>
        </w:r>
      </w:hyperlink>
      <w:r w:rsidRPr="00AF1B51">
        <w:rPr>
          <w:rFonts w:cs="Times New Roman"/>
          <w:color w:val="333333"/>
          <w:sz w:val="24"/>
          <w:szCs w:val="24"/>
        </w:rPr>
        <w:t xml:space="preserve">), 351–366. </w:t>
      </w:r>
      <w:proofErr w:type="spellStart"/>
      <w:r w:rsidRPr="00AF1B51">
        <w:rPr>
          <w:rFonts w:cs="Times New Roman"/>
          <w:color w:val="333333"/>
          <w:sz w:val="24"/>
          <w:szCs w:val="24"/>
        </w:rPr>
        <w:t>doi:</w:t>
      </w:r>
      <w:hyperlink r:id="rId71" w:tgtFrame="_blank" w:history="1">
        <w:r w:rsidRPr="00AF1B51">
          <w:rPr>
            <w:rStyle w:val="a8"/>
            <w:rFonts w:cs="Times New Roman"/>
            <w:color w:val="10147E"/>
            <w:sz w:val="24"/>
            <w:szCs w:val="24"/>
          </w:rPr>
          <w:t>https</w:t>
        </w:r>
        <w:proofErr w:type="spellEnd"/>
        <w:r w:rsidRPr="00AF1B51">
          <w:rPr>
            <w:rStyle w:val="a8"/>
            <w:rFonts w:cs="Times New Roman"/>
            <w:color w:val="10147E"/>
            <w:sz w:val="24"/>
            <w:szCs w:val="24"/>
          </w:rPr>
          <w:t>://doi.org/10.1007/s10551-008-9968-9</w:t>
        </w:r>
      </w:hyperlink>
    </w:p>
    <w:p w14:paraId="3E411CD8" w14:textId="77777777" w:rsidR="001A254C" w:rsidRPr="00AF1B51" w:rsidRDefault="001A254C" w:rsidP="001A254C">
      <w:pPr>
        <w:numPr>
          <w:ilvl w:val="0"/>
          <w:numId w:val="17"/>
        </w:numPr>
        <w:pBdr>
          <w:top w:val="nil"/>
          <w:left w:val="nil"/>
          <w:bottom w:val="nil"/>
          <w:right w:val="nil"/>
          <w:between w:val="nil"/>
        </w:pBdr>
        <w:tabs>
          <w:tab w:val="left" w:pos="1170"/>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both"/>
        <w:rPr>
          <w:rFonts w:cs="Times New Roman"/>
          <w:sz w:val="24"/>
          <w:szCs w:val="24"/>
        </w:rPr>
      </w:pPr>
      <w:r w:rsidRPr="00AF1B51">
        <w:rPr>
          <w:rFonts w:cs="Times New Roman"/>
          <w:color w:val="333333"/>
          <w:sz w:val="24"/>
          <w:szCs w:val="24"/>
        </w:rPr>
        <w:t>Deegan, C., &amp; Jeffry, U. (2006). </w:t>
      </w:r>
      <w:r w:rsidRPr="00AF1B51">
        <w:rPr>
          <w:rStyle w:val="citationsource-book"/>
          <w:rFonts w:cs="Times New Roman"/>
          <w:i/>
          <w:iCs/>
          <w:color w:val="333333"/>
          <w:sz w:val="24"/>
          <w:szCs w:val="24"/>
        </w:rPr>
        <w:t>Financial Accounting Theory</w:t>
      </w:r>
      <w:r w:rsidRPr="00AF1B51">
        <w:rPr>
          <w:rFonts w:cs="Times New Roman"/>
          <w:color w:val="333333"/>
          <w:sz w:val="24"/>
          <w:szCs w:val="24"/>
        </w:rPr>
        <w:t>. Berkshire: McGraw-Hill Education</w:t>
      </w:r>
    </w:p>
    <w:p w14:paraId="62FC6B0D" w14:textId="77777777" w:rsidR="001A254C" w:rsidRPr="00AF1B51" w:rsidRDefault="001A254C" w:rsidP="001A254C">
      <w:pPr>
        <w:numPr>
          <w:ilvl w:val="0"/>
          <w:numId w:val="17"/>
        </w:numPr>
        <w:pBdr>
          <w:top w:val="nil"/>
          <w:left w:val="nil"/>
          <w:bottom w:val="nil"/>
          <w:right w:val="nil"/>
          <w:between w:val="nil"/>
        </w:pBdr>
        <w:tabs>
          <w:tab w:val="left" w:pos="1170"/>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both"/>
        <w:rPr>
          <w:rFonts w:cs="Times New Roman"/>
          <w:sz w:val="24"/>
          <w:szCs w:val="24"/>
        </w:rPr>
      </w:pPr>
      <w:r w:rsidRPr="00AF1B51">
        <w:rPr>
          <w:rFonts w:cs="Times New Roman"/>
          <w:color w:val="333333"/>
          <w:sz w:val="24"/>
          <w:szCs w:val="24"/>
        </w:rPr>
        <w:t xml:space="preserve">Wanderley, L. S. O., Lucian, R., </w:t>
      </w:r>
      <w:proofErr w:type="spellStart"/>
      <w:r w:rsidRPr="00AF1B51">
        <w:rPr>
          <w:rFonts w:cs="Times New Roman"/>
          <w:color w:val="333333"/>
          <w:sz w:val="24"/>
          <w:szCs w:val="24"/>
        </w:rPr>
        <w:t>Farache</w:t>
      </w:r>
      <w:proofErr w:type="spellEnd"/>
      <w:r w:rsidRPr="00AF1B51">
        <w:rPr>
          <w:rFonts w:cs="Times New Roman"/>
          <w:color w:val="333333"/>
          <w:sz w:val="24"/>
          <w:szCs w:val="24"/>
        </w:rPr>
        <w:t xml:space="preserve">, F., Filho, J., &amp; </w:t>
      </w:r>
      <w:proofErr w:type="spellStart"/>
      <w:r w:rsidRPr="00AF1B51">
        <w:rPr>
          <w:rFonts w:cs="Times New Roman"/>
          <w:color w:val="333333"/>
          <w:sz w:val="24"/>
          <w:szCs w:val="24"/>
        </w:rPr>
        <w:t>Mde</w:t>
      </w:r>
      <w:proofErr w:type="spellEnd"/>
      <w:r w:rsidRPr="00AF1B51">
        <w:rPr>
          <w:rFonts w:cs="Times New Roman"/>
          <w:color w:val="333333"/>
          <w:sz w:val="24"/>
          <w:szCs w:val="24"/>
        </w:rPr>
        <w:t xml:space="preserve">, S. (2008). CSR information disclosure on the web: A context-based approach </w:t>
      </w:r>
      <w:proofErr w:type="spellStart"/>
      <w:r w:rsidRPr="00AF1B51">
        <w:rPr>
          <w:rFonts w:cs="Times New Roman"/>
          <w:color w:val="333333"/>
          <w:sz w:val="24"/>
          <w:szCs w:val="24"/>
        </w:rPr>
        <w:t>analysing</w:t>
      </w:r>
      <w:proofErr w:type="spellEnd"/>
      <w:r w:rsidRPr="00AF1B51">
        <w:rPr>
          <w:rFonts w:cs="Times New Roman"/>
          <w:color w:val="333333"/>
          <w:sz w:val="24"/>
          <w:szCs w:val="24"/>
        </w:rPr>
        <w:t xml:space="preserve"> the influence of country of origin and industry sector. </w:t>
      </w:r>
      <w:r w:rsidRPr="00AF1B51">
        <w:rPr>
          <w:rStyle w:val="citationsource-journal"/>
          <w:rFonts w:cs="Times New Roman"/>
          <w:i/>
          <w:iCs/>
          <w:color w:val="333333"/>
          <w:sz w:val="24"/>
          <w:szCs w:val="24"/>
        </w:rPr>
        <w:t>Journal of Business Ethics</w:t>
      </w:r>
      <w:r w:rsidRPr="00AF1B51">
        <w:rPr>
          <w:rFonts w:cs="Times New Roman"/>
          <w:color w:val="333333"/>
          <w:sz w:val="24"/>
          <w:szCs w:val="24"/>
        </w:rPr>
        <w:t>, </w:t>
      </w:r>
      <w:hyperlink r:id="rId72" w:tgtFrame="_blank" w:history="1">
        <w:r w:rsidRPr="00AF1B51">
          <w:rPr>
            <w:rStyle w:val="a8"/>
            <w:rFonts w:cs="Times New Roman"/>
            <w:color w:val="10147E"/>
            <w:sz w:val="24"/>
            <w:szCs w:val="24"/>
          </w:rPr>
          <w:t>82</w:t>
        </w:r>
      </w:hyperlink>
      <w:r w:rsidRPr="00AF1B51">
        <w:rPr>
          <w:rFonts w:cs="Times New Roman"/>
          <w:color w:val="333333"/>
          <w:sz w:val="24"/>
          <w:szCs w:val="24"/>
        </w:rPr>
        <w:t>(</w:t>
      </w:r>
      <w:hyperlink r:id="rId73" w:tgtFrame="_blank" w:history="1">
        <w:r w:rsidRPr="00AF1B51">
          <w:rPr>
            <w:rStyle w:val="a8"/>
            <w:rFonts w:cs="Times New Roman"/>
            <w:color w:val="10147E"/>
            <w:sz w:val="24"/>
            <w:szCs w:val="24"/>
          </w:rPr>
          <w:t>2</w:t>
        </w:r>
      </w:hyperlink>
      <w:r w:rsidRPr="00AF1B51">
        <w:rPr>
          <w:rFonts w:cs="Times New Roman"/>
          <w:color w:val="333333"/>
          <w:sz w:val="24"/>
          <w:szCs w:val="24"/>
        </w:rPr>
        <w:t>), 369–378. </w:t>
      </w:r>
      <w:hyperlink r:id="rId74" w:tgtFrame="_blank" w:history="1">
        <w:r w:rsidRPr="00AF1B51">
          <w:rPr>
            <w:rStyle w:val="a8"/>
            <w:rFonts w:cs="Times New Roman"/>
            <w:color w:val="10147E"/>
            <w:sz w:val="24"/>
            <w:szCs w:val="24"/>
          </w:rPr>
          <w:t>https://doi.org/https://doi.org/10.1007/s10551-008-9892-z</w:t>
        </w:r>
      </w:hyperlink>
    </w:p>
    <w:p w14:paraId="08A3B0BC" w14:textId="77777777" w:rsidR="001A254C" w:rsidRPr="00AF1B51" w:rsidRDefault="001A254C" w:rsidP="001A254C">
      <w:pPr>
        <w:numPr>
          <w:ilvl w:val="0"/>
          <w:numId w:val="17"/>
        </w:numPr>
        <w:pBdr>
          <w:top w:val="nil"/>
          <w:left w:val="nil"/>
          <w:bottom w:val="nil"/>
          <w:right w:val="nil"/>
          <w:between w:val="nil"/>
        </w:pBdr>
        <w:tabs>
          <w:tab w:val="left" w:pos="1170"/>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both"/>
        <w:rPr>
          <w:rFonts w:cs="Times New Roman"/>
          <w:sz w:val="24"/>
          <w:szCs w:val="24"/>
        </w:rPr>
      </w:pPr>
      <w:proofErr w:type="spellStart"/>
      <w:r w:rsidRPr="00AF1B51">
        <w:rPr>
          <w:rFonts w:cs="Times New Roman"/>
          <w:sz w:val="24"/>
          <w:szCs w:val="24"/>
        </w:rPr>
        <w:t>Sembiring</w:t>
      </w:r>
      <w:proofErr w:type="spellEnd"/>
      <w:r w:rsidRPr="00AF1B51">
        <w:rPr>
          <w:rFonts w:cs="Times New Roman"/>
          <w:sz w:val="24"/>
          <w:szCs w:val="24"/>
        </w:rPr>
        <w:t xml:space="preserve">, E. R. (2005), </w:t>
      </w:r>
      <w:proofErr w:type="spellStart"/>
      <w:r w:rsidRPr="00AF1B51">
        <w:rPr>
          <w:rFonts w:cs="Times New Roman"/>
          <w:sz w:val="24"/>
          <w:szCs w:val="24"/>
        </w:rPr>
        <w:t>Karakteristik</w:t>
      </w:r>
      <w:proofErr w:type="spellEnd"/>
      <w:r w:rsidRPr="00AF1B51">
        <w:rPr>
          <w:rFonts w:cs="Times New Roman"/>
          <w:sz w:val="24"/>
          <w:szCs w:val="24"/>
        </w:rPr>
        <w:t xml:space="preserve"> Perusahaan dan </w:t>
      </w:r>
      <w:proofErr w:type="spellStart"/>
      <w:r w:rsidRPr="00AF1B51">
        <w:rPr>
          <w:rFonts w:cs="Times New Roman"/>
          <w:sz w:val="24"/>
          <w:szCs w:val="24"/>
        </w:rPr>
        <w:t>Pengungkapan</w:t>
      </w:r>
      <w:proofErr w:type="spellEnd"/>
      <w:r w:rsidRPr="00AF1B51">
        <w:rPr>
          <w:rFonts w:cs="Times New Roman"/>
          <w:sz w:val="24"/>
          <w:szCs w:val="24"/>
        </w:rPr>
        <w:t xml:space="preserve"> </w:t>
      </w:r>
      <w:proofErr w:type="spellStart"/>
      <w:r w:rsidRPr="00AF1B51">
        <w:rPr>
          <w:rFonts w:cs="Times New Roman"/>
          <w:sz w:val="24"/>
          <w:szCs w:val="24"/>
        </w:rPr>
        <w:t>Tanggung</w:t>
      </w:r>
      <w:proofErr w:type="spellEnd"/>
      <w:r w:rsidRPr="00AF1B51">
        <w:rPr>
          <w:rFonts w:cs="Times New Roman"/>
          <w:sz w:val="24"/>
          <w:szCs w:val="24"/>
        </w:rPr>
        <w:t xml:space="preserve"> Jawab </w:t>
      </w:r>
      <w:proofErr w:type="spellStart"/>
      <w:r w:rsidRPr="00AF1B51">
        <w:rPr>
          <w:rFonts w:cs="Times New Roman"/>
          <w:sz w:val="24"/>
          <w:szCs w:val="24"/>
        </w:rPr>
        <w:t>Sosial</w:t>
      </w:r>
      <w:proofErr w:type="spellEnd"/>
      <w:r w:rsidRPr="00AF1B51">
        <w:rPr>
          <w:rFonts w:cs="Times New Roman"/>
          <w:sz w:val="24"/>
          <w:szCs w:val="24"/>
        </w:rPr>
        <w:t xml:space="preserve">: Study </w:t>
      </w:r>
      <w:proofErr w:type="spellStart"/>
      <w:r w:rsidRPr="00AF1B51">
        <w:rPr>
          <w:rFonts w:cs="Times New Roman"/>
          <w:sz w:val="24"/>
          <w:szCs w:val="24"/>
        </w:rPr>
        <w:t>Empiris</w:t>
      </w:r>
      <w:proofErr w:type="spellEnd"/>
      <w:r w:rsidRPr="00AF1B51">
        <w:rPr>
          <w:rFonts w:cs="Times New Roman"/>
          <w:sz w:val="24"/>
          <w:szCs w:val="24"/>
        </w:rPr>
        <w:t xml:space="preserve"> pada Perusahaan Yang </w:t>
      </w:r>
      <w:proofErr w:type="spellStart"/>
      <w:r w:rsidRPr="00AF1B51">
        <w:rPr>
          <w:rFonts w:cs="Times New Roman"/>
          <w:sz w:val="24"/>
          <w:szCs w:val="24"/>
        </w:rPr>
        <w:t>tercatat</w:t>
      </w:r>
      <w:proofErr w:type="spellEnd"/>
      <w:r w:rsidRPr="00AF1B51">
        <w:rPr>
          <w:rFonts w:cs="Times New Roman"/>
          <w:sz w:val="24"/>
          <w:szCs w:val="24"/>
        </w:rPr>
        <w:t xml:space="preserve"> di Bursa </w:t>
      </w:r>
      <w:proofErr w:type="spellStart"/>
      <w:r w:rsidRPr="00AF1B51">
        <w:rPr>
          <w:rFonts w:cs="Times New Roman"/>
          <w:sz w:val="24"/>
          <w:szCs w:val="24"/>
        </w:rPr>
        <w:t>Efek</w:t>
      </w:r>
      <w:proofErr w:type="spellEnd"/>
      <w:r w:rsidRPr="00AF1B51">
        <w:rPr>
          <w:rFonts w:cs="Times New Roman"/>
          <w:sz w:val="24"/>
          <w:szCs w:val="24"/>
        </w:rPr>
        <w:t xml:space="preserve"> Jakarta. In </w:t>
      </w:r>
      <w:proofErr w:type="spellStart"/>
      <w:r w:rsidRPr="00AF1B51">
        <w:rPr>
          <w:rFonts w:cs="Times New Roman"/>
          <w:sz w:val="24"/>
          <w:szCs w:val="24"/>
        </w:rPr>
        <w:t>Simposium</w:t>
      </w:r>
      <w:proofErr w:type="spellEnd"/>
      <w:r w:rsidRPr="00AF1B51">
        <w:rPr>
          <w:rFonts w:cs="Times New Roman"/>
          <w:sz w:val="24"/>
          <w:szCs w:val="24"/>
        </w:rPr>
        <w:t xml:space="preserve"> Nasional </w:t>
      </w:r>
      <w:proofErr w:type="spellStart"/>
      <w:r w:rsidRPr="00AF1B51">
        <w:rPr>
          <w:rFonts w:cs="Times New Roman"/>
          <w:sz w:val="24"/>
          <w:szCs w:val="24"/>
        </w:rPr>
        <w:t>Akuntansi</w:t>
      </w:r>
      <w:proofErr w:type="spellEnd"/>
      <w:r w:rsidRPr="00AF1B51">
        <w:rPr>
          <w:rFonts w:cs="Times New Roman"/>
          <w:sz w:val="24"/>
          <w:szCs w:val="24"/>
        </w:rPr>
        <w:t xml:space="preserve"> 8 (pp. 379–395)</w:t>
      </w:r>
    </w:p>
    <w:p w14:paraId="0ABFDC10" w14:textId="77777777" w:rsidR="001A254C" w:rsidRPr="00AF1B51" w:rsidRDefault="001A254C" w:rsidP="001A254C">
      <w:pPr>
        <w:numPr>
          <w:ilvl w:val="0"/>
          <w:numId w:val="17"/>
        </w:numPr>
        <w:pBdr>
          <w:top w:val="nil"/>
          <w:left w:val="nil"/>
          <w:bottom w:val="nil"/>
          <w:right w:val="nil"/>
          <w:between w:val="nil"/>
        </w:pBdr>
        <w:tabs>
          <w:tab w:val="left" w:pos="1170"/>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both"/>
        <w:rPr>
          <w:rFonts w:cs="Times New Roman"/>
          <w:sz w:val="24"/>
          <w:szCs w:val="24"/>
        </w:rPr>
      </w:pPr>
      <w:r w:rsidRPr="00AF1B51">
        <w:rPr>
          <w:rFonts w:cs="Times New Roman"/>
          <w:color w:val="333333"/>
          <w:sz w:val="24"/>
          <w:szCs w:val="24"/>
        </w:rPr>
        <w:t>Suchman, M. (1995). </w:t>
      </w:r>
      <w:r w:rsidRPr="00AF1B51">
        <w:rPr>
          <w:rStyle w:val="citationsource-journal"/>
          <w:rFonts w:cs="Times New Roman"/>
          <w:color w:val="333333"/>
          <w:sz w:val="24"/>
          <w:szCs w:val="24"/>
        </w:rPr>
        <w:t>Managing legitimacy: Strategic and institutional approaches. </w:t>
      </w:r>
      <w:r w:rsidRPr="00AF1B51">
        <w:rPr>
          <w:rStyle w:val="citationsource-journal"/>
          <w:rFonts w:cs="Times New Roman"/>
          <w:i/>
          <w:iCs/>
          <w:color w:val="333333"/>
          <w:sz w:val="24"/>
          <w:szCs w:val="24"/>
        </w:rPr>
        <w:t>Academy of Management Review, 20</w:t>
      </w:r>
      <w:r w:rsidRPr="00AF1B51">
        <w:rPr>
          <w:rStyle w:val="citationsource-journal"/>
          <w:rFonts w:cs="Times New Roman"/>
          <w:color w:val="333333"/>
          <w:sz w:val="24"/>
          <w:szCs w:val="24"/>
        </w:rPr>
        <w:t>(3), 57</w:t>
      </w:r>
      <w:r w:rsidRPr="00AF1B51">
        <w:rPr>
          <w:rFonts w:cs="Times New Roman"/>
          <w:color w:val="333333"/>
          <w:sz w:val="24"/>
          <w:szCs w:val="24"/>
        </w:rPr>
        <w:t xml:space="preserve">l–610. </w:t>
      </w:r>
      <w:proofErr w:type="spellStart"/>
      <w:r w:rsidRPr="00AF1B51">
        <w:rPr>
          <w:rFonts w:cs="Times New Roman"/>
          <w:color w:val="333333"/>
          <w:sz w:val="24"/>
          <w:szCs w:val="24"/>
        </w:rPr>
        <w:t>doi:</w:t>
      </w:r>
      <w:hyperlink r:id="rId75" w:tgtFrame="_blank" w:history="1">
        <w:r w:rsidRPr="00AF1B51">
          <w:rPr>
            <w:rStyle w:val="a8"/>
            <w:rFonts w:cs="Times New Roman"/>
            <w:color w:val="10147E"/>
            <w:sz w:val="24"/>
            <w:szCs w:val="24"/>
          </w:rPr>
          <w:t>https</w:t>
        </w:r>
        <w:proofErr w:type="spellEnd"/>
        <w:r w:rsidRPr="00AF1B51">
          <w:rPr>
            <w:rStyle w:val="a8"/>
            <w:rFonts w:cs="Times New Roman"/>
            <w:color w:val="10147E"/>
            <w:sz w:val="24"/>
            <w:szCs w:val="24"/>
          </w:rPr>
          <w:t>://doi.org/10.5465/amr.1995.9508080331</w:t>
        </w:r>
      </w:hyperlink>
    </w:p>
    <w:p w14:paraId="7D6A1B63" w14:textId="77777777" w:rsidR="001A254C" w:rsidRPr="00AF1B51" w:rsidRDefault="001A254C" w:rsidP="001A254C">
      <w:pPr>
        <w:numPr>
          <w:ilvl w:val="0"/>
          <w:numId w:val="17"/>
        </w:numPr>
        <w:pBdr>
          <w:top w:val="nil"/>
          <w:left w:val="nil"/>
          <w:bottom w:val="nil"/>
          <w:right w:val="nil"/>
          <w:between w:val="nil"/>
        </w:pBdr>
        <w:tabs>
          <w:tab w:val="left" w:pos="1170"/>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both"/>
        <w:rPr>
          <w:rFonts w:cs="Times New Roman"/>
          <w:sz w:val="24"/>
          <w:szCs w:val="24"/>
        </w:rPr>
      </w:pPr>
      <w:r w:rsidRPr="00AF1B51">
        <w:rPr>
          <w:rFonts w:cs="Times New Roman"/>
          <w:color w:val="333333"/>
          <w:sz w:val="24"/>
          <w:szCs w:val="24"/>
        </w:rPr>
        <w:t xml:space="preserve">Parsa, S., &amp; </w:t>
      </w:r>
      <w:proofErr w:type="spellStart"/>
      <w:r w:rsidRPr="00AF1B51">
        <w:rPr>
          <w:rFonts w:cs="Times New Roman"/>
          <w:color w:val="333333"/>
          <w:sz w:val="24"/>
          <w:szCs w:val="24"/>
        </w:rPr>
        <w:t>Kouhy</w:t>
      </w:r>
      <w:proofErr w:type="spellEnd"/>
      <w:r w:rsidRPr="00AF1B51">
        <w:rPr>
          <w:rFonts w:cs="Times New Roman"/>
          <w:color w:val="333333"/>
          <w:sz w:val="24"/>
          <w:szCs w:val="24"/>
        </w:rPr>
        <w:t>, R. (2008). Social Reporting by Companies Listed on the Alternative Investment Market. </w:t>
      </w:r>
      <w:r w:rsidRPr="00AF1B51">
        <w:rPr>
          <w:rStyle w:val="citationsource-journal"/>
          <w:rFonts w:cs="Times New Roman"/>
          <w:i/>
          <w:iCs/>
          <w:color w:val="333333"/>
          <w:sz w:val="24"/>
          <w:szCs w:val="24"/>
        </w:rPr>
        <w:t>Journal of Business Ethics</w:t>
      </w:r>
      <w:r w:rsidRPr="00AF1B51">
        <w:rPr>
          <w:rFonts w:cs="Times New Roman"/>
          <w:color w:val="333333"/>
          <w:sz w:val="24"/>
          <w:szCs w:val="24"/>
        </w:rPr>
        <w:t>,</w:t>
      </w:r>
      <w:hyperlink r:id="rId76" w:tgtFrame="_blank" w:history="1">
        <w:r w:rsidRPr="00AF1B51">
          <w:rPr>
            <w:rStyle w:val="a8"/>
            <w:rFonts w:cs="Times New Roman"/>
            <w:color w:val="10147E"/>
            <w:sz w:val="24"/>
            <w:szCs w:val="24"/>
          </w:rPr>
          <w:t>79</w:t>
        </w:r>
      </w:hyperlink>
      <w:r w:rsidRPr="00AF1B51">
        <w:rPr>
          <w:rFonts w:cs="Times New Roman"/>
          <w:color w:val="333333"/>
          <w:sz w:val="24"/>
          <w:szCs w:val="24"/>
        </w:rPr>
        <w:t>(</w:t>
      </w:r>
      <w:hyperlink r:id="rId77" w:tgtFrame="_blank" w:history="1">
        <w:r w:rsidRPr="00AF1B51">
          <w:rPr>
            <w:rStyle w:val="a8"/>
            <w:rFonts w:cs="Times New Roman"/>
            <w:color w:val="10147E"/>
            <w:sz w:val="24"/>
            <w:szCs w:val="24"/>
          </w:rPr>
          <w:t>3</w:t>
        </w:r>
      </w:hyperlink>
      <w:r w:rsidRPr="00AF1B51">
        <w:rPr>
          <w:rFonts w:cs="Times New Roman"/>
          <w:color w:val="333333"/>
          <w:sz w:val="24"/>
          <w:szCs w:val="24"/>
        </w:rPr>
        <w:t xml:space="preserve">), 345–360. </w:t>
      </w:r>
      <w:proofErr w:type="spellStart"/>
      <w:r w:rsidRPr="00AF1B51">
        <w:rPr>
          <w:rFonts w:cs="Times New Roman"/>
          <w:color w:val="333333"/>
          <w:sz w:val="24"/>
          <w:szCs w:val="24"/>
        </w:rPr>
        <w:t>doi:</w:t>
      </w:r>
      <w:hyperlink r:id="rId78" w:tgtFrame="_blank" w:history="1">
        <w:r w:rsidRPr="00AF1B51">
          <w:rPr>
            <w:rStyle w:val="a8"/>
            <w:rFonts w:cs="Times New Roman"/>
            <w:color w:val="10147E"/>
            <w:sz w:val="24"/>
            <w:szCs w:val="24"/>
          </w:rPr>
          <w:t>https</w:t>
        </w:r>
        <w:proofErr w:type="spellEnd"/>
        <w:r w:rsidRPr="00AF1B51">
          <w:rPr>
            <w:rStyle w:val="a8"/>
            <w:rFonts w:cs="Times New Roman"/>
            <w:color w:val="10147E"/>
            <w:sz w:val="24"/>
            <w:szCs w:val="24"/>
          </w:rPr>
          <w:t>://doi.org/10.1007/s10551-007-9402-8</w:t>
        </w:r>
      </w:hyperlink>
    </w:p>
    <w:p w14:paraId="00988294" w14:textId="77777777" w:rsidR="005318C2" w:rsidRPr="00AF1B51" w:rsidRDefault="001A254C" w:rsidP="005318C2">
      <w:pPr>
        <w:numPr>
          <w:ilvl w:val="0"/>
          <w:numId w:val="17"/>
        </w:numPr>
        <w:pBdr>
          <w:top w:val="nil"/>
          <w:left w:val="nil"/>
          <w:bottom w:val="nil"/>
          <w:right w:val="nil"/>
          <w:between w:val="nil"/>
        </w:pBdr>
        <w:tabs>
          <w:tab w:val="left" w:pos="1170"/>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both"/>
        <w:rPr>
          <w:rFonts w:cs="Times New Roman"/>
          <w:sz w:val="24"/>
          <w:szCs w:val="24"/>
        </w:rPr>
      </w:pPr>
      <w:proofErr w:type="spellStart"/>
      <w:r w:rsidRPr="00AF1B51">
        <w:rPr>
          <w:rFonts w:cs="Times New Roman"/>
          <w:sz w:val="24"/>
          <w:szCs w:val="24"/>
        </w:rPr>
        <w:t>Sembiring</w:t>
      </w:r>
      <w:proofErr w:type="spellEnd"/>
      <w:r w:rsidRPr="00AF1B51">
        <w:rPr>
          <w:rFonts w:cs="Times New Roman"/>
          <w:sz w:val="24"/>
          <w:szCs w:val="24"/>
        </w:rPr>
        <w:t xml:space="preserve">, E. R. (2005), </w:t>
      </w:r>
      <w:proofErr w:type="spellStart"/>
      <w:r w:rsidRPr="00AF1B51">
        <w:rPr>
          <w:rFonts w:cs="Times New Roman"/>
          <w:sz w:val="24"/>
          <w:szCs w:val="24"/>
        </w:rPr>
        <w:t>Karakteristik</w:t>
      </w:r>
      <w:proofErr w:type="spellEnd"/>
      <w:r w:rsidRPr="00AF1B51">
        <w:rPr>
          <w:rFonts w:cs="Times New Roman"/>
          <w:sz w:val="24"/>
          <w:szCs w:val="24"/>
        </w:rPr>
        <w:t xml:space="preserve"> Perusahaan dan </w:t>
      </w:r>
      <w:proofErr w:type="spellStart"/>
      <w:r w:rsidRPr="00AF1B51">
        <w:rPr>
          <w:rFonts w:cs="Times New Roman"/>
          <w:sz w:val="24"/>
          <w:szCs w:val="24"/>
        </w:rPr>
        <w:t>Pengungkapan</w:t>
      </w:r>
      <w:proofErr w:type="spellEnd"/>
      <w:r w:rsidRPr="00AF1B51">
        <w:rPr>
          <w:rFonts w:cs="Times New Roman"/>
          <w:sz w:val="24"/>
          <w:szCs w:val="24"/>
        </w:rPr>
        <w:t xml:space="preserve"> </w:t>
      </w:r>
      <w:proofErr w:type="spellStart"/>
      <w:r w:rsidRPr="00AF1B51">
        <w:rPr>
          <w:rFonts w:cs="Times New Roman"/>
          <w:sz w:val="24"/>
          <w:szCs w:val="24"/>
        </w:rPr>
        <w:t>Tanggung</w:t>
      </w:r>
      <w:proofErr w:type="spellEnd"/>
      <w:r w:rsidRPr="00AF1B51">
        <w:rPr>
          <w:rFonts w:cs="Times New Roman"/>
          <w:sz w:val="24"/>
          <w:szCs w:val="24"/>
        </w:rPr>
        <w:t xml:space="preserve"> Jawab </w:t>
      </w:r>
      <w:proofErr w:type="spellStart"/>
      <w:r w:rsidRPr="00AF1B51">
        <w:rPr>
          <w:rFonts w:cs="Times New Roman"/>
          <w:sz w:val="24"/>
          <w:szCs w:val="24"/>
        </w:rPr>
        <w:t>Sosial</w:t>
      </w:r>
      <w:proofErr w:type="spellEnd"/>
      <w:r w:rsidRPr="00AF1B51">
        <w:rPr>
          <w:rFonts w:cs="Times New Roman"/>
          <w:sz w:val="24"/>
          <w:szCs w:val="24"/>
        </w:rPr>
        <w:t xml:space="preserve">: Study </w:t>
      </w:r>
      <w:proofErr w:type="spellStart"/>
      <w:r w:rsidRPr="00AF1B51">
        <w:rPr>
          <w:rFonts w:cs="Times New Roman"/>
          <w:sz w:val="24"/>
          <w:szCs w:val="24"/>
        </w:rPr>
        <w:t>Empiris</w:t>
      </w:r>
      <w:proofErr w:type="spellEnd"/>
      <w:r w:rsidRPr="00AF1B51">
        <w:rPr>
          <w:rFonts w:cs="Times New Roman"/>
          <w:sz w:val="24"/>
          <w:szCs w:val="24"/>
        </w:rPr>
        <w:t xml:space="preserve"> pada Perusahaan Yang </w:t>
      </w:r>
      <w:proofErr w:type="spellStart"/>
      <w:r w:rsidRPr="00AF1B51">
        <w:rPr>
          <w:rFonts w:cs="Times New Roman"/>
          <w:sz w:val="24"/>
          <w:szCs w:val="24"/>
        </w:rPr>
        <w:t>tercatat</w:t>
      </w:r>
      <w:proofErr w:type="spellEnd"/>
      <w:r w:rsidRPr="00AF1B51">
        <w:rPr>
          <w:rFonts w:cs="Times New Roman"/>
          <w:sz w:val="24"/>
          <w:szCs w:val="24"/>
        </w:rPr>
        <w:t xml:space="preserve"> di Bursa </w:t>
      </w:r>
      <w:proofErr w:type="spellStart"/>
      <w:r w:rsidRPr="00AF1B51">
        <w:rPr>
          <w:rFonts w:cs="Times New Roman"/>
          <w:sz w:val="24"/>
          <w:szCs w:val="24"/>
        </w:rPr>
        <w:t>Efek</w:t>
      </w:r>
      <w:proofErr w:type="spellEnd"/>
      <w:r w:rsidRPr="00AF1B51">
        <w:rPr>
          <w:rFonts w:cs="Times New Roman"/>
          <w:sz w:val="24"/>
          <w:szCs w:val="24"/>
        </w:rPr>
        <w:t xml:space="preserve"> Jakarta. In </w:t>
      </w:r>
      <w:proofErr w:type="spellStart"/>
      <w:r w:rsidRPr="00AF1B51">
        <w:rPr>
          <w:rFonts w:cs="Times New Roman"/>
          <w:sz w:val="24"/>
          <w:szCs w:val="24"/>
        </w:rPr>
        <w:t>Simposium</w:t>
      </w:r>
      <w:proofErr w:type="spellEnd"/>
      <w:r w:rsidRPr="00AF1B51">
        <w:rPr>
          <w:rFonts w:cs="Times New Roman"/>
          <w:sz w:val="24"/>
          <w:szCs w:val="24"/>
        </w:rPr>
        <w:t xml:space="preserve"> Nasional </w:t>
      </w:r>
      <w:proofErr w:type="spellStart"/>
      <w:r w:rsidRPr="00AF1B51">
        <w:rPr>
          <w:rFonts w:cs="Times New Roman"/>
          <w:sz w:val="24"/>
          <w:szCs w:val="24"/>
        </w:rPr>
        <w:t>Akuntansi</w:t>
      </w:r>
      <w:proofErr w:type="spellEnd"/>
      <w:r w:rsidRPr="00AF1B51">
        <w:rPr>
          <w:rFonts w:cs="Times New Roman"/>
          <w:sz w:val="24"/>
          <w:szCs w:val="24"/>
        </w:rPr>
        <w:t xml:space="preserve"> 8 (pp. 379–395).</w:t>
      </w:r>
    </w:p>
    <w:p w14:paraId="0F8461CA" w14:textId="77777777" w:rsidR="005318C2" w:rsidRPr="00AF1B51" w:rsidRDefault="005318C2" w:rsidP="005318C2">
      <w:pPr>
        <w:numPr>
          <w:ilvl w:val="0"/>
          <w:numId w:val="17"/>
        </w:numPr>
        <w:pBdr>
          <w:top w:val="nil"/>
          <w:left w:val="nil"/>
          <w:bottom w:val="nil"/>
          <w:right w:val="nil"/>
          <w:between w:val="nil"/>
        </w:pBdr>
        <w:tabs>
          <w:tab w:val="left" w:pos="1170"/>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both"/>
        <w:rPr>
          <w:rFonts w:cs="Times New Roman"/>
          <w:sz w:val="24"/>
          <w:szCs w:val="24"/>
        </w:rPr>
      </w:pPr>
      <w:r w:rsidRPr="00AF1B51">
        <w:rPr>
          <w:rFonts w:cs="Times New Roman"/>
          <w:color w:val="333333"/>
          <w:sz w:val="24"/>
          <w:szCs w:val="24"/>
          <w:shd w:val="clear" w:color="auto" w:fill="FFFFFF"/>
        </w:rPr>
        <w:t xml:space="preserve">Ali, W., &amp; </w:t>
      </w:r>
      <w:proofErr w:type="spellStart"/>
      <w:r w:rsidRPr="00AF1B51">
        <w:rPr>
          <w:rFonts w:cs="Times New Roman"/>
          <w:color w:val="333333"/>
          <w:sz w:val="24"/>
          <w:szCs w:val="24"/>
          <w:shd w:val="clear" w:color="auto" w:fill="FFFFFF"/>
        </w:rPr>
        <w:t>Frynas</w:t>
      </w:r>
      <w:proofErr w:type="spellEnd"/>
      <w:r w:rsidRPr="00AF1B51">
        <w:rPr>
          <w:rFonts w:cs="Times New Roman"/>
          <w:color w:val="333333"/>
          <w:sz w:val="24"/>
          <w:szCs w:val="24"/>
          <w:shd w:val="clear" w:color="auto" w:fill="FFFFFF"/>
        </w:rPr>
        <w:t>, J. G. (2018). The role of normative CSR-promoting institutions in stimulating CSR disclosures in developing countries. </w:t>
      </w:r>
      <w:r w:rsidRPr="00AF1B51">
        <w:rPr>
          <w:rStyle w:val="citationsource-journal"/>
          <w:rFonts w:cs="Times New Roman"/>
          <w:i/>
          <w:iCs/>
          <w:color w:val="333333"/>
          <w:sz w:val="24"/>
          <w:szCs w:val="24"/>
          <w:shd w:val="clear" w:color="auto" w:fill="FFFFFF"/>
        </w:rPr>
        <w:t>Corporate Social Responsibility and Environmental Management</w:t>
      </w:r>
      <w:r w:rsidRPr="00AF1B51">
        <w:rPr>
          <w:rFonts w:cs="Times New Roman"/>
          <w:color w:val="333333"/>
          <w:sz w:val="24"/>
          <w:szCs w:val="24"/>
          <w:shd w:val="clear" w:color="auto" w:fill="FFFFFF"/>
        </w:rPr>
        <w:t>, </w:t>
      </w:r>
      <w:hyperlink r:id="rId79" w:tgtFrame="_blank" w:history="1">
        <w:r w:rsidRPr="00AF1B51">
          <w:rPr>
            <w:rStyle w:val="a8"/>
            <w:rFonts w:cs="Times New Roman"/>
            <w:color w:val="10147E"/>
            <w:sz w:val="24"/>
            <w:szCs w:val="24"/>
            <w:shd w:val="clear" w:color="auto" w:fill="FFFFFF"/>
          </w:rPr>
          <w:t>25</w:t>
        </w:r>
      </w:hyperlink>
      <w:r w:rsidRPr="00AF1B51">
        <w:rPr>
          <w:rFonts w:cs="Times New Roman"/>
          <w:color w:val="333333"/>
          <w:sz w:val="24"/>
          <w:szCs w:val="24"/>
          <w:shd w:val="clear" w:color="auto" w:fill="FFFFFF"/>
        </w:rPr>
        <w:t>(</w:t>
      </w:r>
      <w:hyperlink r:id="rId80" w:tgtFrame="_blank" w:history="1">
        <w:r w:rsidRPr="00AF1B51">
          <w:rPr>
            <w:rStyle w:val="a8"/>
            <w:rFonts w:cs="Times New Roman"/>
            <w:color w:val="10147E"/>
            <w:sz w:val="24"/>
            <w:szCs w:val="24"/>
            <w:shd w:val="clear" w:color="auto" w:fill="FFFFFF"/>
          </w:rPr>
          <w:t>4</w:t>
        </w:r>
      </w:hyperlink>
      <w:r w:rsidRPr="00AF1B51">
        <w:rPr>
          <w:rFonts w:cs="Times New Roman"/>
          <w:color w:val="333333"/>
          <w:sz w:val="24"/>
          <w:szCs w:val="24"/>
          <w:shd w:val="clear" w:color="auto" w:fill="FFFFFF"/>
        </w:rPr>
        <w:t>), 373–390. </w:t>
      </w:r>
      <w:hyperlink r:id="rId81" w:tgtFrame="_blank" w:history="1">
        <w:r w:rsidRPr="00AF1B51">
          <w:rPr>
            <w:rStyle w:val="a8"/>
            <w:rFonts w:cs="Times New Roman"/>
            <w:color w:val="10147E"/>
            <w:sz w:val="24"/>
            <w:szCs w:val="24"/>
            <w:shd w:val="clear" w:color="auto" w:fill="FFFFFF"/>
          </w:rPr>
          <w:t>https://doi.org/https://doi.org/10.1002/csr.1466</w:t>
        </w:r>
      </w:hyperlink>
    </w:p>
    <w:p w14:paraId="04C623C6" w14:textId="77777777" w:rsidR="005318C2" w:rsidRPr="00AF1B51" w:rsidRDefault="005318C2" w:rsidP="005318C2">
      <w:pPr>
        <w:numPr>
          <w:ilvl w:val="0"/>
          <w:numId w:val="17"/>
        </w:numPr>
        <w:pBdr>
          <w:top w:val="nil"/>
          <w:left w:val="nil"/>
          <w:bottom w:val="nil"/>
          <w:right w:val="nil"/>
          <w:between w:val="nil"/>
        </w:pBdr>
        <w:tabs>
          <w:tab w:val="left" w:pos="1170"/>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both"/>
        <w:rPr>
          <w:rFonts w:cs="Times New Roman"/>
          <w:sz w:val="24"/>
          <w:szCs w:val="24"/>
        </w:rPr>
      </w:pPr>
      <w:r w:rsidRPr="00AF1B51">
        <w:rPr>
          <w:rFonts w:cs="Times New Roman"/>
          <w:color w:val="333333"/>
          <w:sz w:val="24"/>
          <w:szCs w:val="24"/>
          <w:shd w:val="clear" w:color="auto" w:fill="FFFFFF"/>
        </w:rPr>
        <w:t>Belal, A. R., &amp; Cooper, S. (2011). The absence of corporate social responsibility reporting in Bangladesh. </w:t>
      </w:r>
      <w:r w:rsidRPr="00AF1B51">
        <w:rPr>
          <w:rStyle w:val="citationsource-journal"/>
          <w:rFonts w:cs="Times New Roman"/>
          <w:i/>
          <w:iCs/>
          <w:color w:val="333333"/>
          <w:sz w:val="24"/>
          <w:szCs w:val="24"/>
          <w:shd w:val="clear" w:color="auto" w:fill="FFFFFF"/>
        </w:rPr>
        <w:t>Critical Perspectives on Accounting</w:t>
      </w:r>
      <w:r w:rsidRPr="00AF1B51">
        <w:rPr>
          <w:rFonts w:cs="Times New Roman"/>
          <w:color w:val="333333"/>
          <w:sz w:val="24"/>
          <w:szCs w:val="24"/>
          <w:shd w:val="clear" w:color="auto" w:fill="FFFFFF"/>
        </w:rPr>
        <w:t>, </w:t>
      </w:r>
      <w:hyperlink r:id="rId82" w:tgtFrame="_blank" w:history="1">
        <w:r w:rsidRPr="00AF1B51">
          <w:rPr>
            <w:rStyle w:val="a8"/>
            <w:rFonts w:cs="Times New Roman"/>
            <w:color w:val="10147E"/>
            <w:sz w:val="24"/>
            <w:szCs w:val="24"/>
            <w:shd w:val="clear" w:color="auto" w:fill="FFFFFF"/>
          </w:rPr>
          <w:t>22</w:t>
        </w:r>
      </w:hyperlink>
      <w:r w:rsidRPr="00AF1B51">
        <w:rPr>
          <w:rFonts w:cs="Times New Roman"/>
          <w:color w:val="333333"/>
          <w:sz w:val="24"/>
          <w:szCs w:val="24"/>
          <w:shd w:val="clear" w:color="auto" w:fill="FFFFFF"/>
        </w:rPr>
        <w:t>(</w:t>
      </w:r>
      <w:hyperlink r:id="rId83" w:tgtFrame="_blank" w:history="1">
        <w:r w:rsidRPr="00AF1B51">
          <w:rPr>
            <w:rStyle w:val="a8"/>
            <w:rFonts w:cs="Times New Roman"/>
            <w:color w:val="10147E"/>
            <w:sz w:val="24"/>
            <w:szCs w:val="24"/>
            <w:shd w:val="clear" w:color="auto" w:fill="FFFFFF"/>
          </w:rPr>
          <w:t>7</w:t>
        </w:r>
      </w:hyperlink>
      <w:r w:rsidRPr="00AF1B51">
        <w:rPr>
          <w:rFonts w:cs="Times New Roman"/>
          <w:color w:val="333333"/>
          <w:sz w:val="24"/>
          <w:szCs w:val="24"/>
          <w:shd w:val="clear" w:color="auto" w:fill="FFFFFF"/>
        </w:rPr>
        <w:t>), 654–667. </w:t>
      </w:r>
      <w:hyperlink r:id="rId84" w:tgtFrame="_blank" w:history="1">
        <w:r w:rsidRPr="00AF1B51">
          <w:rPr>
            <w:rStyle w:val="a8"/>
            <w:rFonts w:cs="Times New Roman"/>
            <w:color w:val="10147E"/>
            <w:sz w:val="24"/>
            <w:szCs w:val="24"/>
            <w:shd w:val="clear" w:color="auto" w:fill="FFFFFF"/>
          </w:rPr>
          <w:t>https://doi.org/https://doi.org/10.1016/j.cpa.2010.06.020</w:t>
        </w:r>
      </w:hyperlink>
    </w:p>
    <w:p w14:paraId="227BF213" w14:textId="77777777" w:rsidR="005318C2" w:rsidRPr="00AF1B51" w:rsidRDefault="005318C2" w:rsidP="005318C2">
      <w:pPr>
        <w:numPr>
          <w:ilvl w:val="0"/>
          <w:numId w:val="17"/>
        </w:numPr>
        <w:pBdr>
          <w:top w:val="nil"/>
          <w:left w:val="nil"/>
          <w:bottom w:val="nil"/>
          <w:right w:val="nil"/>
          <w:between w:val="nil"/>
        </w:pBdr>
        <w:tabs>
          <w:tab w:val="left" w:pos="1170"/>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both"/>
        <w:rPr>
          <w:rFonts w:cs="Times New Roman"/>
          <w:sz w:val="24"/>
          <w:szCs w:val="24"/>
        </w:rPr>
      </w:pPr>
      <w:r w:rsidRPr="00AF1B51">
        <w:rPr>
          <w:rFonts w:cs="Times New Roman"/>
          <w:color w:val="333333"/>
          <w:sz w:val="24"/>
          <w:szCs w:val="24"/>
          <w:shd w:val="clear" w:color="auto" w:fill="FFFFFF"/>
        </w:rPr>
        <w:t xml:space="preserve">Ali, W., </w:t>
      </w:r>
      <w:proofErr w:type="spellStart"/>
      <w:r w:rsidRPr="00AF1B51">
        <w:rPr>
          <w:rFonts w:cs="Times New Roman"/>
          <w:color w:val="333333"/>
          <w:sz w:val="24"/>
          <w:szCs w:val="24"/>
          <w:shd w:val="clear" w:color="auto" w:fill="FFFFFF"/>
        </w:rPr>
        <w:t>Frynas</w:t>
      </w:r>
      <w:proofErr w:type="spellEnd"/>
      <w:r w:rsidRPr="00AF1B51">
        <w:rPr>
          <w:rFonts w:cs="Times New Roman"/>
          <w:color w:val="333333"/>
          <w:sz w:val="24"/>
          <w:szCs w:val="24"/>
          <w:shd w:val="clear" w:color="auto" w:fill="FFFFFF"/>
        </w:rPr>
        <w:t>, J. G., &amp; Mahmood, Z. (2017). Determinants of corporate social responsibility (CSR) disclosure in developed and developing countries: A literature review. </w:t>
      </w:r>
      <w:r w:rsidRPr="00AF1B51">
        <w:rPr>
          <w:rStyle w:val="citationsource-journal"/>
          <w:rFonts w:cs="Times New Roman"/>
          <w:i/>
          <w:iCs/>
          <w:color w:val="333333"/>
          <w:sz w:val="24"/>
          <w:szCs w:val="24"/>
          <w:shd w:val="clear" w:color="auto" w:fill="FFFFFF"/>
        </w:rPr>
        <w:t>Corporate Social Responsibility and Environmental Management</w:t>
      </w:r>
      <w:r w:rsidRPr="00AF1B51">
        <w:rPr>
          <w:rFonts w:cs="Times New Roman"/>
          <w:color w:val="333333"/>
          <w:sz w:val="24"/>
          <w:szCs w:val="24"/>
          <w:shd w:val="clear" w:color="auto" w:fill="FFFFFF"/>
        </w:rPr>
        <w:t>, </w:t>
      </w:r>
      <w:hyperlink r:id="rId85" w:tgtFrame="_blank" w:history="1">
        <w:r w:rsidRPr="00AF1B51">
          <w:rPr>
            <w:rStyle w:val="a8"/>
            <w:rFonts w:cs="Times New Roman"/>
            <w:color w:val="10147E"/>
            <w:sz w:val="24"/>
            <w:szCs w:val="24"/>
            <w:shd w:val="clear" w:color="auto" w:fill="FFFFFF"/>
          </w:rPr>
          <w:t>24</w:t>
        </w:r>
      </w:hyperlink>
      <w:r w:rsidRPr="00AF1B51">
        <w:rPr>
          <w:rFonts w:cs="Times New Roman"/>
          <w:color w:val="333333"/>
          <w:sz w:val="24"/>
          <w:szCs w:val="24"/>
          <w:shd w:val="clear" w:color="auto" w:fill="FFFFFF"/>
        </w:rPr>
        <w:t>(</w:t>
      </w:r>
      <w:hyperlink r:id="rId86" w:tgtFrame="_blank" w:history="1">
        <w:r w:rsidRPr="00AF1B51">
          <w:rPr>
            <w:rStyle w:val="a8"/>
            <w:rFonts w:cs="Times New Roman"/>
            <w:color w:val="10147E"/>
            <w:sz w:val="24"/>
            <w:szCs w:val="24"/>
            <w:shd w:val="clear" w:color="auto" w:fill="FFFFFF"/>
          </w:rPr>
          <w:t>4</w:t>
        </w:r>
      </w:hyperlink>
      <w:r w:rsidRPr="00AF1B51">
        <w:rPr>
          <w:rFonts w:cs="Times New Roman"/>
          <w:color w:val="333333"/>
          <w:sz w:val="24"/>
          <w:szCs w:val="24"/>
          <w:shd w:val="clear" w:color="auto" w:fill="FFFFFF"/>
        </w:rPr>
        <w:t>), 273–294. </w:t>
      </w:r>
      <w:hyperlink r:id="rId87" w:tgtFrame="_blank" w:history="1">
        <w:r w:rsidRPr="00AF1B51">
          <w:rPr>
            <w:rStyle w:val="a8"/>
            <w:rFonts w:cs="Times New Roman"/>
            <w:color w:val="10147E"/>
            <w:sz w:val="24"/>
            <w:szCs w:val="24"/>
            <w:shd w:val="clear" w:color="auto" w:fill="FFFFFF"/>
          </w:rPr>
          <w:t>https://doi.org/https://doi.org/10.1002/csr.1410</w:t>
        </w:r>
      </w:hyperlink>
    </w:p>
    <w:p w14:paraId="4E77F266" w14:textId="2F77D039" w:rsidR="005318C2" w:rsidRPr="00AF1B51" w:rsidRDefault="005318C2" w:rsidP="005318C2">
      <w:pPr>
        <w:numPr>
          <w:ilvl w:val="0"/>
          <w:numId w:val="17"/>
        </w:numPr>
        <w:pBdr>
          <w:top w:val="nil"/>
          <w:left w:val="nil"/>
          <w:bottom w:val="nil"/>
          <w:right w:val="nil"/>
          <w:between w:val="nil"/>
        </w:pBdr>
        <w:tabs>
          <w:tab w:val="left" w:pos="1170"/>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both"/>
        <w:rPr>
          <w:rFonts w:cs="Times New Roman"/>
          <w:sz w:val="24"/>
          <w:szCs w:val="24"/>
        </w:rPr>
      </w:pPr>
      <w:proofErr w:type="spellStart"/>
      <w:r w:rsidRPr="00AF1B51">
        <w:rPr>
          <w:rFonts w:cs="Times New Roman"/>
          <w:color w:val="333333"/>
          <w:sz w:val="24"/>
          <w:szCs w:val="24"/>
          <w:shd w:val="clear" w:color="auto" w:fill="FFFFFF"/>
        </w:rPr>
        <w:t>Gamerschlag</w:t>
      </w:r>
      <w:proofErr w:type="spellEnd"/>
      <w:r w:rsidRPr="00AF1B51">
        <w:rPr>
          <w:rFonts w:cs="Times New Roman"/>
          <w:color w:val="333333"/>
          <w:sz w:val="24"/>
          <w:szCs w:val="24"/>
          <w:shd w:val="clear" w:color="auto" w:fill="FFFFFF"/>
        </w:rPr>
        <w:t xml:space="preserve">, R., Möller, K., &amp; </w:t>
      </w:r>
      <w:proofErr w:type="spellStart"/>
      <w:r w:rsidRPr="00AF1B51">
        <w:rPr>
          <w:rFonts w:cs="Times New Roman"/>
          <w:color w:val="333333"/>
          <w:sz w:val="24"/>
          <w:szCs w:val="24"/>
          <w:shd w:val="clear" w:color="auto" w:fill="FFFFFF"/>
        </w:rPr>
        <w:t>Verbeeten</w:t>
      </w:r>
      <w:proofErr w:type="spellEnd"/>
      <w:r w:rsidRPr="00AF1B51">
        <w:rPr>
          <w:rFonts w:cs="Times New Roman"/>
          <w:color w:val="333333"/>
          <w:sz w:val="24"/>
          <w:szCs w:val="24"/>
          <w:shd w:val="clear" w:color="auto" w:fill="FFFFFF"/>
        </w:rPr>
        <w:t>, F. (2011). Determinants of voluntary CSR disclosure: empirical evidence from Germany. </w:t>
      </w:r>
      <w:r w:rsidRPr="00AF1B51">
        <w:rPr>
          <w:rStyle w:val="citationsource-journal"/>
          <w:rFonts w:cs="Times New Roman"/>
          <w:i/>
          <w:iCs/>
          <w:color w:val="333333"/>
          <w:sz w:val="24"/>
          <w:szCs w:val="24"/>
          <w:shd w:val="clear" w:color="auto" w:fill="FFFFFF"/>
        </w:rPr>
        <w:t>Review of Managerial Science</w:t>
      </w:r>
      <w:r w:rsidRPr="00AF1B51">
        <w:rPr>
          <w:rFonts w:cs="Times New Roman"/>
          <w:color w:val="333333"/>
          <w:sz w:val="24"/>
          <w:szCs w:val="24"/>
          <w:shd w:val="clear" w:color="auto" w:fill="FFFFFF"/>
        </w:rPr>
        <w:t>,</w:t>
      </w:r>
      <w:hyperlink r:id="rId88" w:tgtFrame="_blank" w:history="1">
        <w:r w:rsidRPr="00AF1B51">
          <w:rPr>
            <w:rStyle w:val="a8"/>
            <w:rFonts w:cs="Times New Roman"/>
            <w:color w:val="10147E"/>
            <w:sz w:val="24"/>
            <w:szCs w:val="24"/>
            <w:shd w:val="clear" w:color="auto" w:fill="FFFFFF"/>
          </w:rPr>
          <w:t>5</w:t>
        </w:r>
      </w:hyperlink>
      <w:hyperlink r:id="rId89" w:tgtFrame="_blank" w:history="1">
        <w:r w:rsidRPr="00AF1B51">
          <w:rPr>
            <w:rStyle w:val="a8"/>
            <w:rFonts w:cs="Times New Roman"/>
            <w:color w:val="10147E"/>
            <w:sz w:val="24"/>
            <w:szCs w:val="24"/>
            <w:shd w:val="clear" w:color="auto" w:fill="FFFFFF"/>
          </w:rPr>
          <w:t>(2/3</w:t>
        </w:r>
      </w:hyperlink>
      <w:r w:rsidRPr="00AF1B51">
        <w:rPr>
          <w:rFonts w:cs="Times New Roman"/>
          <w:color w:val="333333"/>
          <w:sz w:val="24"/>
          <w:szCs w:val="24"/>
          <w:shd w:val="clear" w:color="auto" w:fill="FFFFFF"/>
        </w:rPr>
        <w:t xml:space="preserve">), 233–262. </w:t>
      </w:r>
      <w:proofErr w:type="spellStart"/>
      <w:r w:rsidRPr="00AF1B51">
        <w:rPr>
          <w:rFonts w:cs="Times New Roman"/>
          <w:color w:val="333333"/>
          <w:sz w:val="24"/>
          <w:szCs w:val="24"/>
          <w:shd w:val="clear" w:color="auto" w:fill="FFFFFF"/>
        </w:rPr>
        <w:t>doi:</w:t>
      </w:r>
      <w:hyperlink r:id="rId90" w:tgtFrame="_blank" w:history="1">
        <w:r w:rsidRPr="00AF1B51">
          <w:rPr>
            <w:rStyle w:val="a8"/>
            <w:rFonts w:cs="Times New Roman"/>
            <w:color w:val="10147E"/>
            <w:sz w:val="24"/>
            <w:szCs w:val="24"/>
            <w:shd w:val="clear" w:color="auto" w:fill="FFFFFF"/>
          </w:rPr>
          <w:t>https</w:t>
        </w:r>
        <w:proofErr w:type="spellEnd"/>
        <w:r w:rsidRPr="00AF1B51">
          <w:rPr>
            <w:rStyle w:val="a8"/>
            <w:rFonts w:cs="Times New Roman"/>
            <w:color w:val="10147E"/>
            <w:sz w:val="24"/>
            <w:szCs w:val="24"/>
            <w:shd w:val="clear" w:color="auto" w:fill="FFFFFF"/>
          </w:rPr>
          <w:t>://doi.org/10.1007/s11846-010-0052-3</w:t>
        </w:r>
      </w:hyperlink>
    </w:p>
    <w:p w14:paraId="3C34C793" w14:textId="161DCFBB" w:rsidR="001812A7" w:rsidRPr="00AF1B51" w:rsidRDefault="00710EC3" w:rsidP="00EE72EA">
      <w:pPr>
        <w:pStyle w:val="a9"/>
        <w:numPr>
          <w:ilvl w:val="0"/>
          <w:numId w:val="17"/>
        </w:numPr>
        <w:spacing w:after="160" w:line="278" w:lineRule="auto"/>
        <w:rPr>
          <w:rFonts w:cs="Times New Roman"/>
          <w:color w:val="212121"/>
          <w:sz w:val="24"/>
          <w:szCs w:val="24"/>
          <w:shd w:val="clear" w:color="auto" w:fill="FFFFFF"/>
        </w:rPr>
      </w:pPr>
      <w:r w:rsidRPr="00AF1B51">
        <w:rPr>
          <w:rFonts w:cs="Times New Roman"/>
          <w:color w:val="333333"/>
          <w:sz w:val="24"/>
          <w:szCs w:val="24"/>
          <w:shd w:val="clear" w:color="auto" w:fill="FFFFFF"/>
        </w:rPr>
        <w:t>Prado-Lorenzo, J., Gallego-Alvarez, I., Garcia- Sanchez, I., &amp; Rodriguez-Dominguez, L. (2008). Social responsibility in Spain: Practices and motivation in firms. </w:t>
      </w:r>
      <w:r w:rsidRPr="00AF1B51">
        <w:rPr>
          <w:rStyle w:val="citationsource-journal"/>
          <w:rFonts w:cs="Times New Roman"/>
          <w:i/>
          <w:iCs/>
          <w:color w:val="333333"/>
          <w:sz w:val="24"/>
          <w:szCs w:val="24"/>
          <w:shd w:val="clear" w:color="auto" w:fill="FFFFFF"/>
        </w:rPr>
        <w:t>Management Decisions</w:t>
      </w:r>
      <w:r w:rsidRPr="00AF1B51">
        <w:rPr>
          <w:rFonts w:cs="Times New Roman"/>
          <w:color w:val="333333"/>
          <w:sz w:val="24"/>
          <w:szCs w:val="24"/>
          <w:shd w:val="clear" w:color="auto" w:fill="FFFFFF"/>
        </w:rPr>
        <w:t>, </w:t>
      </w:r>
      <w:hyperlink r:id="rId91" w:tgtFrame="_blank" w:history="1">
        <w:r w:rsidRPr="00AF1B51">
          <w:rPr>
            <w:rStyle w:val="a8"/>
            <w:rFonts w:cs="Times New Roman"/>
            <w:color w:val="10147E"/>
            <w:sz w:val="24"/>
            <w:szCs w:val="24"/>
            <w:shd w:val="clear" w:color="auto" w:fill="FFFFFF"/>
          </w:rPr>
          <w:t>46</w:t>
        </w:r>
      </w:hyperlink>
      <w:r w:rsidRPr="00AF1B51">
        <w:rPr>
          <w:rFonts w:cs="Times New Roman"/>
          <w:color w:val="333333"/>
          <w:sz w:val="24"/>
          <w:szCs w:val="24"/>
          <w:shd w:val="clear" w:color="auto" w:fill="FFFFFF"/>
        </w:rPr>
        <w:t>(</w:t>
      </w:r>
      <w:hyperlink r:id="rId92" w:tgtFrame="_blank" w:history="1">
        <w:r w:rsidRPr="00AF1B51">
          <w:rPr>
            <w:rStyle w:val="a8"/>
            <w:rFonts w:cs="Times New Roman"/>
            <w:color w:val="10147E"/>
            <w:sz w:val="24"/>
            <w:szCs w:val="24"/>
            <w:shd w:val="clear" w:color="auto" w:fill="FFFFFF"/>
          </w:rPr>
          <w:t>8</w:t>
        </w:r>
      </w:hyperlink>
      <w:r w:rsidRPr="00AF1B51">
        <w:rPr>
          <w:rFonts w:cs="Times New Roman"/>
          <w:color w:val="333333"/>
          <w:sz w:val="24"/>
          <w:szCs w:val="24"/>
          <w:shd w:val="clear" w:color="auto" w:fill="FFFFFF"/>
        </w:rPr>
        <w:t>), 1247–1271. </w:t>
      </w:r>
      <w:hyperlink r:id="rId93" w:tgtFrame="_blank" w:history="1">
        <w:r w:rsidRPr="00AF1B51">
          <w:rPr>
            <w:rStyle w:val="a8"/>
            <w:rFonts w:cs="Times New Roman"/>
            <w:color w:val="10147E"/>
            <w:sz w:val="24"/>
            <w:szCs w:val="24"/>
            <w:shd w:val="clear" w:color="auto" w:fill="FFFFFF"/>
          </w:rPr>
          <w:t>https://doi.org/https://doi.org/10.1108/00251740810901417</w:t>
        </w:r>
      </w:hyperlink>
    </w:p>
    <w:p w14:paraId="35484C40" w14:textId="7B370DE8" w:rsidR="00710EC3" w:rsidRPr="00AF1B51" w:rsidRDefault="00710EC3" w:rsidP="00EE72EA">
      <w:pPr>
        <w:pStyle w:val="a9"/>
        <w:numPr>
          <w:ilvl w:val="0"/>
          <w:numId w:val="17"/>
        </w:numPr>
        <w:spacing w:after="160" w:line="278" w:lineRule="auto"/>
        <w:rPr>
          <w:rFonts w:cs="Times New Roman"/>
          <w:color w:val="212121"/>
          <w:sz w:val="24"/>
          <w:szCs w:val="24"/>
          <w:shd w:val="clear" w:color="auto" w:fill="FFFFFF"/>
        </w:rPr>
      </w:pPr>
      <w:r w:rsidRPr="00AF1B51">
        <w:rPr>
          <w:rFonts w:cs="Times New Roman"/>
          <w:color w:val="333333"/>
          <w:sz w:val="24"/>
          <w:szCs w:val="24"/>
          <w:shd w:val="clear" w:color="auto" w:fill="FFFFFF"/>
        </w:rPr>
        <w:t xml:space="preserve">Bouten, L., Everaert, P., </w:t>
      </w:r>
      <w:proofErr w:type="spellStart"/>
      <w:r w:rsidRPr="00AF1B51">
        <w:rPr>
          <w:rFonts w:cs="Times New Roman"/>
          <w:color w:val="333333"/>
          <w:sz w:val="24"/>
          <w:szCs w:val="24"/>
          <w:shd w:val="clear" w:color="auto" w:fill="FFFFFF"/>
        </w:rPr>
        <w:t>Liedekerke</w:t>
      </w:r>
      <w:proofErr w:type="spellEnd"/>
      <w:r w:rsidRPr="00AF1B51">
        <w:rPr>
          <w:rFonts w:cs="Times New Roman"/>
          <w:color w:val="333333"/>
          <w:sz w:val="24"/>
          <w:szCs w:val="24"/>
          <w:shd w:val="clear" w:color="auto" w:fill="FFFFFF"/>
        </w:rPr>
        <w:t>, L. V., &amp; De Moor, L. (2011). Corporate social responsibility reporting: A comprehensive picture. </w:t>
      </w:r>
      <w:r w:rsidRPr="00AF1B51">
        <w:rPr>
          <w:rStyle w:val="citationsource-journal"/>
          <w:rFonts w:cs="Times New Roman"/>
          <w:i/>
          <w:iCs/>
          <w:color w:val="333333"/>
          <w:sz w:val="24"/>
          <w:szCs w:val="24"/>
          <w:shd w:val="clear" w:color="auto" w:fill="FFFFFF"/>
        </w:rPr>
        <w:t>Accounting Forum</w:t>
      </w:r>
      <w:r w:rsidRPr="00AF1B51">
        <w:rPr>
          <w:rFonts w:cs="Times New Roman"/>
          <w:color w:val="333333"/>
          <w:sz w:val="24"/>
          <w:szCs w:val="24"/>
          <w:shd w:val="clear" w:color="auto" w:fill="FFFFFF"/>
        </w:rPr>
        <w:t>, </w:t>
      </w:r>
      <w:hyperlink r:id="rId94" w:tgtFrame="_blank" w:history="1">
        <w:r w:rsidRPr="00AF1B51">
          <w:rPr>
            <w:rStyle w:val="a8"/>
            <w:rFonts w:cs="Times New Roman"/>
            <w:color w:val="10147E"/>
            <w:sz w:val="24"/>
            <w:szCs w:val="24"/>
            <w:shd w:val="clear" w:color="auto" w:fill="FFFFFF"/>
          </w:rPr>
          <w:t>35</w:t>
        </w:r>
      </w:hyperlink>
      <w:r w:rsidRPr="00AF1B51">
        <w:rPr>
          <w:rFonts w:cs="Times New Roman"/>
          <w:color w:val="333333"/>
          <w:sz w:val="24"/>
          <w:szCs w:val="24"/>
          <w:shd w:val="clear" w:color="auto" w:fill="FFFFFF"/>
        </w:rPr>
        <w:t>(</w:t>
      </w:r>
      <w:hyperlink r:id="rId95" w:tgtFrame="_blank" w:history="1">
        <w:r w:rsidRPr="00AF1B51">
          <w:rPr>
            <w:rStyle w:val="a8"/>
            <w:rFonts w:cs="Times New Roman"/>
            <w:color w:val="10147E"/>
            <w:sz w:val="24"/>
            <w:szCs w:val="24"/>
            <w:shd w:val="clear" w:color="auto" w:fill="FFFFFF"/>
          </w:rPr>
          <w:t>3</w:t>
        </w:r>
      </w:hyperlink>
      <w:r w:rsidRPr="00AF1B51">
        <w:rPr>
          <w:rFonts w:cs="Times New Roman"/>
          <w:color w:val="333333"/>
          <w:sz w:val="24"/>
          <w:szCs w:val="24"/>
          <w:shd w:val="clear" w:color="auto" w:fill="FFFFFF"/>
        </w:rPr>
        <w:t>), 187–204. </w:t>
      </w:r>
      <w:hyperlink r:id="rId96" w:tgtFrame="_blank" w:history="1">
        <w:r w:rsidRPr="00AF1B51">
          <w:rPr>
            <w:rStyle w:val="a8"/>
            <w:rFonts w:cs="Times New Roman"/>
            <w:color w:val="10147E"/>
            <w:sz w:val="24"/>
            <w:szCs w:val="24"/>
            <w:shd w:val="clear" w:color="auto" w:fill="FFFFFF"/>
          </w:rPr>
          <w:t>https://doi.org/https://doi.org/10.1016/j.accfor.2011.06.007</w:t>
        </w:r>
      </w:hyperlink>
    </w:p>
    <w:p w14:paraId="376B48B6" w14:textId="77777777" w:rsidR="00710EC3" w:rsidRPr="00937606" w:rsidRDefault="00710EC3" w:rsidP="00937606">
      <w:pPr>
        <w:spacing w:after="160" w:line="278" w:lineRule="auto"/>
        <w:ind w:left="360"/>
        <w:rPr>
          <w:rFonts w:ascii="Roboto" w:hAnsi="Roboto"/>
          <w:color w:val="212121"/>
          <w:sz w:val="26"/>
          <w:szCs w:val="26"/>
          <w:shd w:val="clear" w:color="auto" w:fill="FFFFFF"/>
        </w:rPr>
      </w:pPr>
    </w:p>
    <w:sectPr w:rsidR="00710EC3" w:rsidRPr="00937606" w:rsidSect="00212B27">
      <w:footerReference w:type="default" r:id="rId97"/>
      <w:type w:val="continuous"/>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6258C" w14:textId="77777777" w:rsidR="00B30F19" w:rsidRDefault="00B30F19" w:rsidP="000D0546">
      <w:r>
        <w:separator/>
      </w:r>
    </w:p>
  </w:endnote>
  <w:endnote w:type="continuationSeparator" w:id="0">
    <w:p w14:paraId="1012AA65" w14:textId="77777777" w:rsidR="00B30F19" w:rsidRDefault="00B30F19" w:rsidP="000D0546">
      <w:r>
        <w:continuationSeparator/>
      </w:r>
    </w:p>
  </w:endnote>
  <w:endnote w:type="continuationNotice" w:id="1">
    <w:p w14:paraId="5211FBCF" w14:textId="77777777" w:rsidR="00B30F19" w:rsidRDefault="00B30F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embedRegular r:id="rId1" w:subsetted="1" w:fontKey="{9DB73266-A4EB-442E-BE0E-37B0C2A25F99}"/>
  </w:font>
  <w:font w:name="Noto Sans Symbols">
    <w:charset w:val="00"/>
    <w:family w:val="auto"/>
    <w:pitch w:val="default"/>
  </w:font>
  <w:font w:name="Times New Roman (Body CS)">
    <w:altName w:val="Times New Roman"/>
    <w:panose1 w:val="00000000000000000000"/>
    <w:charset w:val="00"/>
    <w:family w:val="roman"/>
    <w:notTrueType/>
    <w:pitch w:val="default"/>
  </w:font>
  <w:font w:name="Charter Roman">
    <w:altName w:val="Calibri"/>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2" w:fontKey="{7B7B4443-0DAC-4A5E-A5B1-F01BC8111466}"/>
    <w:embedItalic r:id="rId3" w:fontKey="{02E16A77-8775-4CEA-B432-0F5B53A5E8B4}"/>
  </w:font>
  <w:font w:name="Calibri">
    <w:panose1 w:val="020F0502020204030204"/>
    <w:charset w:val="00"/>
    <w:family w:val="swiss"/>
    <w:pitch w:val="variable"/>
    <w:sig w:usb0="E4002EFF" w:usb1="C200247B" w:usb2="00000009" w:usb3="00000000" w:csb0="000001FF" w:csb1="00000000"/>
    <w:embedRegular r:id="rId4" w:fontKey="{AE3A2BCB-5FC4-4E04-BFA9-ABD0B89F1854}"/>
  </w:font>
  <w:font w:name="Cambria Math">
    <w:panose1 w:val="02040503050406030204"/>
    <w:charset w:val="00"/>
    <w:family w:val="roman"/>
    <w:pitch w:val="variable"/>
    <w:sig w:usb0="E00006FF" w:usb1="420024FF" w:usb2="02000000" w:usb3="00000000" w:csb0="0000019F" w:csb1="00000000"/>
    <w:embedRegular r:id="rId5" w:fontKey="{32215F92-1E0B-4CC0-845B-533ECBFEE840}"/>
    <w:embedItalic r:id="rId6" w:fontKey="{C03261D3-4504-46FC-91F0-3BF873A159A3}"/>
  </w:font>
  <w:font w:name="Roboto">
    <w:charset w:val="00"/>
    <w:family w:val="auto"/>
    <w:pitch w:val="variable"/>
    <w:sig w:usb0="E0000AFF" w:usb1="5000217F" w:usb2="00000021" w:usb3="00000000" w:csb0="0000019F" w:csb1="00000000"/>
    <w:embedRegular r:id="rId7" w:fontKey="{B914AA63-FE25-4D8D-B038-50E48F07429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FCEA092C-9BBF-4D33-9560-F4B0181E9A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A4598" w14:textId="7B1D72A7" w:rsidR="00EB779B" w:rsidRDefault="00EB779B" w:rsidP="00212B27">
    <w:pPr>
      <w:pStyle w:val="a6"/>
    </w:pPr>
  </w:p>
  <w:p w14:paraId="56D80CF2" w14:textId="77777777" w:rsidR="00EB779B" w:rsidRDefault="00EB779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D1257" w14:textId="77777777" w:rsidR="00212B27" w:rsidRPr="001C4A69" w:rsidRDefault="00212B27">
    <w:pPr>
      <w:pStyle w:val="a6"/>
      <w:tabs>
        <w:tab w:val="clear" w:pos="4680"/>
        <w:tab w:val="clear" w:pos="9360"/>
      </w:tabs>
      <w:jc w:val="center"/>
      <w:rPr>
        <w:caps/>
        <w:noProof/>
      </w:rPr>
    </w:pPr>
    <w:r w:rsidRPr="001C4A69">
      <w:rPr>
        <w:caps/>
      </w:rPr>
      <w:fldChar w:fldCharType="begin"/>
    </w:r>
    <w:r w:rsidRPr="001C4A69">
      <w:rPr>
        <w:caps/>
      </w:rPr>
      <w:instrText xml:space="preserve"> PAGE   \* MERGEFORMAT </w:instrText>
    </w:r>
    <w:r w:rsidRPr="001C4A69">
      <w:rPr>
        <w:caps/>
      </w:rPr>
      <w:fldChar w:fldCharType="separate"/>
    </w:r>
    <w:r w:rsidRPr="001C4A69">
      <w:rPr>
        <w:caps/>
        <w:noProof/>
      </w:rPr>
      <w:t>2</w:t>
    </w:r>
    <w:r w:rsidRPr="001C4A69">
      <w:rPr>
        <w:caps/>
        <w:noProof/>
      </w:rPr>
      <w:fldChar w:fldCharType="end"/>
    </w:r>
  </w:p>
  <w:p w14:paraId="1E421F04" w14:textId="7B982A56" w:rsidR="00212B27" w:rsidRDefault="00212B2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313052" w14:textId="77777777" w:rsidR="00B30F19" w:rsidRDefault="00B30F19" w:rsidP="000D0546">
      <w:r>
        <w:separator/>
      </w:r>
    </w:p>
  </w:footnote>
  <w:footnote w:type="continuationSeparator" w:id="0">
    <w:p w14:paraId="305BE43B" w14:textId="77777777" w:rsidR="00B30F19" w:rsidRDefault="00B30F19" w:rsidP="000D0546">
      <w:r>
        <w:continuationSeparator/>
      </w:r>
    </w:p>
  </w:footnote>
  <w:footnote w:type="continuationNotice" w:id="1">
    <w:p w14:paraId="14CFCA94" w14:textId="77777777" w:rsidR="00B30F19" w:rsidRDefault="00B30F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3787E"/>
    <w:multiLevelType w:val="multilevel"/>
    <w:tmpl w:val="78445A62"/>
    <w:lvl w:ilvl="0">
      <w:start w:val="3"/>
      <w:numFmt w:val="decimal"/>
      <w:lvlText w:val="%1-"/>
      <w:lvlJc w:val="left"/>
      <w:pPr>
        <w:ind w:left="443" w:hanging="443"/>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15EB0571"/>
    <w:multiLevelType w:val="hybridMultilevel"/>
    <w:tmpl w:val="9DFE8266"/>
    <w:lvl w:ilvl="0" w:tplc="06E016BC">
      <w:numFmt w:val="bullet"/>
      <w:lvlText w:val="・"/>
      <w:lvlJc w:val="left"/>
      <w:pPr>
        <w:ind w:left="720" w:hanging="360"/>
      </w:pPr>
      <w:rPr>
        <w:rFonts w:ascii="Yu Gothic" w:eastAsia="Yu Gothic" w:hAnsi="Yu Gothic" w:cstheme="minorBidi" w:hint="eastAsia"/>
        <w:color w:val="222222"/>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1D19B2"/>
    <w:multiLevelType w:val="hybridMultilevel"/>
    <w:tmpl w:val="78F6CFE0"/>
    <w:lvl w:ilvl="0" w:tplc="06E016BC">
      <w:numFmt w:val="bullet"/>
      <w:lvlText w:val="・"/>
      <w:lvlJc w:val="left"/>
      <w:pPr>
        <w:ind w:left="720" w:hanging="360"/>
      </w:pPr>
      <w:rPr>
        <w:rFonts w:ascii="Yu Gothic" w:eastAsia="Yu Gothic" w:hAnsi="Yu Gothic" w:cstheme="minorBidi" w:hint="eastAsia"/>
        <w:color w:val="22222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414A3"/>
    <w:multiLevelType w:val="multilevel"/>
    <w:tmpl w:val="B47ED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D9313C"/>
    <w:multiLevelType w:val="multilevel"/>
    <w:tmpl w:val="F69699FE"/>
    <w:lvl w:ilvl="0">
      <w:start w:val="1"/>
      <w:numFmt w:val="decimal"/>
      <w:lvlText w:val="%1-"/>
      <w:lvlJc w:val="left"/>
      <w:pPr>
        <w:ind w:left="443" w:hanging="443"/>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 w15:restartNumberingAfterBreak="0">
    <w:nsid w:val="19895586"/>
    <w:multiLevelType w:val="hybridMultilevel"/>
    <w:tmpl w:val="00FC0996"/>
    <w:lvl w:ilvl="0" w:tplc="7A0EDBF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F911D6"/>
    <w:multiLevelType w:val="multilevel"/>
    <w:tmpl w:val="D374A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9E563B"/>
    <w:multiLevelType w:val="hybridMultilevel"/>
    <w:tmpl w:val="B8344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E8524D"/>
    <w:multiLevelType w:val="multilevel"/>
    <w:tmpl w:val="14681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56729C"/>
    <w:multiLevelType w:val="multilevel"/>
    <w:tmpl w:val="1924C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183753"/>
    <w:multiLevelType w:val="multilevel"/>
    <w:tmpl w:val="F69699FE"/>
    <w:lvl w:ilvl="0">
      <w:start w:val="1"/>
      <w:numFmt w:val="decimal"/>
      <w:lvlText w:val="%1-"/>
      <w:lvlJc w:val="left"/>
      <w:pPr>
        <w:ind w:left="443" w:hanging="443"/>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1" w15:restartNumberingAfterBreak="0">
    <w:nsid w:val="2986279D"/>
    <w:multiLevelType w:val="multilevel"/>
    <w:tmpl w:val="C112678E"/>
    <w:lvl w:ilvl="0">
      <w:start w:val="1"/>
      <w:numFmt w:val="decimal"/>
      <w:lvlText w:val="%1-"/>
      <w:lvlJc w:val="left"/>
      <w:pPr>
        <w:ind w:left="443" w:hanging="443"/>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2E2333AA"/>
    <w:multiLevelType w:val="multilevel"/>
    <w:tmpl w:val="9516EEE6"/>
    <w:lvl w:ilvl="0">
      <w:start w:val="1"/>
      <w:numFmt w:val="decimal"/>
      <w:lvlText w:val="%1"/>
      <w:lvlJc w:val="left"/>
      <w:pPr>
        <w:ind w:left="375" w:hanging="375"/>
      </w:pPr>
      <w:rPr>
        <w:rFonts w:hint="default"/>
      </w:rPr>
    </w:lvl>
    <w:lvl w:ilvl="1">
      <w:start w:val="4"/>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13" w15:restartNumberingAfterBreak="0">
    <w:nsid w:val="33A45FEF"/>
    <w:multiLevelType w:val="hybridMultilevel"/>
    <w:tmpl w:val="8F786786"/>
    <w:lvl w:ilvl="0" w:tplc="876CB814">
      <w:start w:val="1"/>
      <w:numFmt w:val="bullet"/>
      <w:lvlText w:val="-"/>
      <w:lvlJc w:val="left"/>
      <w:pPr>
        <w:ind w:left="428" w:hanging="360"/>
      </w:pPr>
      <w:rPr>
        <w:rFonts w:ascii="Times New Roman" w:eastAsiaTheme="minorEastAsia" w:hAnsi="Times New Roman" w:cs="Times New Roman" w:hint="default"/>
      </w:rPr>
    </w:lvl>
    <w:lvl w:ilvl="1" w:tplc="04090003" w:tentative="1">
      <w:start w:val="1"/>
      <w:numFmt w:val="bullet"/>
      <w:lvlText w:val="o"/>
      <w:lvlJc w:val="left"/>
      <w:pPr>
        <w:ind w:left="1148" w:hanging="360"/>
      </w:pPr>
      <w:rPr>
        <w:rFonts w:ascii="Courier New" w:hAnsi="Courier New" w:cs="Courier New" w:hint="default"/>
      </w:rPr>
    </w:lvl>
    <w:lvl w:ilvl="2" w:tplc="04090005" w:tentative="1">
      <w:start w:val="1"/>
      <w:numFmt w:val="bullet"/>
      <w:lvlText w:val=""/>
      <w:lvlJc w:val="left"/>
      <w:pPr>
        <w:ind w:left="1868" w:hanging="360"/>
      </w:pPr>
      <w:rPr>
        <w:rFonts w:ascii="Wingdings" w:hAnsi="Wingdings" w:hint="default"/>
      </w:rPr>
    </w:lvl>
    <w:lvl w:ilvl="3" w:tplc="04090001" w:tentative="1">
      <w:start w:val="1"/>
      <w:numFmt w:val="bullet"/>
      <w:lvlText w:val=""/>
      <w:lvlJc w:val="left"/>
      <w:pPr>
        <w:ind w:left="2588" w:hanging="360"/>
      </w:pPr>
      <w:rPr>
        <w:rFonts w:ascii="Symbol" w:hAnsi="Symbol" w:hint="default"/>
      </w:rPr>
    </w:lvl>
    <w:lvl w:ilvl="4" w:tplc="04090003" w:tentative="1">
      <w:start w:val="1"/>
      <w:numFmt w:val="bullet"/>
      <w:lvlText w:val="o"/>
      <w:lvlJc w:val="left"/>
      <w:pPr>
        <w:ind w:left="3308" w:hanging="360"/>
      </w:pPr>
      <w:rPr>
        <w:rFonts w:ascii="Courier New" w:hAnsi="Courier New" w:cs="Courier New" w:hint="default"/>
      </w:rPr>
    </w:lvl>
    <w:lvl w:ilvl="5" w:tplc="04090005" w:tentative="1">
      <w:start w:val="1"/>
      <w:numFmt w:val="bullet"/>
      <w:lvlText w:val=""/>
      <w:lvlJc w:val="left"/>
      <w:pPr>
        <w:ind w:left="4028" w:hanging="360"/>
      </w:pPr>
      <w:rPr>
        <w:rFonts w:ascii="Wingdings" w:hAnsi="Wingdings" w:hint="default"/>
      </w:rPr>
    </w:lvl>
    <w:lvl w:ilvl="6" w:tplc="04090001" w:tentative="1">
      <w:start w:val="1"/>
      <w:numFmt w:val="bullet"/>
      <w:lvlText w:val=""/>
      <w:lvlJc w:val="left"/>
      <w:pPr>
        <w:ind w:left="4748" w:hanging="360"/>
      </w:pPr>
      <w:rPr>
        <w:rFonts w:ascii="Symbol" w:hAnsi="Symbol" w:hint="default"/>
      </w:rPr>
    </w:lvl>
    <w:lvl w:ilvl="7" w:tplc="04090003" w:tentative="1">
      <w:start w:val="1"/>
      <w:numFmt w:val="bullet"/>
      <w:lvlText w:val="o"/>
      <w:lvlJc w:val="left"/>
      <w:pPr>
        <w:ind w:left="5468" w:hanging="360"/>
      </w:pPr>
      <w:rPr>
        <w:rFonts w:ascii="Courier New" w:hAnsi="Courier New" w:cs="Courier New" w:hint="default"/>
      </w:rPr>
    </w:lvl>
    <w:lvl w:ilvl="8" w:tplc="04090005" w:tentative="1">
      <w:start w:val="1"/>
      <w:numFmt w:val="bullet"/>
      <w:lvlText w:val=""/>
      <w:lvlJc w:val="left"/>
      <w:pPr>
        <w:ind w:left="6188" w:hanging="360"/>
      </w:pPr>
      <w:rPr>
        <w:rFonts w:ascii="Wingdings" w:hAnsi="Wingdings" w:hint="default"/>
      </w:rPr>
    </w:lvl>
  </w:abstractNum>
  <w:abstractNum w:abstractNumId="14" w15:restartNumberingAfterBreak="0">
    <w:nsid w:val="33D70EE4"/>
    <w:multiLevelType w:val="hybridMultilevel"/>
    <w:tmpl w:val="5218CCF2"/>
    <w:lvl w:ilvl="0" w:tplc="13DC4B90">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312F8F"/>
    <w:multiLevelType w:val="hybridMultilevel"/>
    <w:tmpl w:val="3162028C"/>
    <w:lvl w:ilvl="0" w:tplc="0DEEC74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E314DF"/>
    <w:multiLevelType w:val="multilevel"/>
    <w:tmpl w:val="AFDAC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4C3C7E"/>
    <w:multiLevelType w:val="hybridMultilevel"/>
    <w:tmpl w:val="C0BC6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423AAA"/>
    <w:multiLevelType w:val="multilevel"/>
    <w:tmpl w:val="BC5A49FC"/>
    <w:lvl w:ilvl="0">
      <w:start w:val="2"/>
      <w:numFmt w:val="decimal"/>
      <w:lvlText w:val="%1-"/>
      <w:lvlJc w:val="left"/>
      <w:pPr>
        <w:ind w:left="518" w:hanging="518"/>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9" w15:restartNumberingAfterBreak="0">
    <w:nsid w:val="4B262E82"/>
    <w:multiLevelType w:val="multilevel"/>
    <w:tmpl w:val="CDF264BA"/>
    <w:lvl w:ilvl="0">
      <w:start w:val="1"/>
      <w:numFmt w:val="bullet"/>
      <w:lvlText w:val="o"/>
      <w:lvlJc w:val="left"/>
      <w:pPr>
        <w:ind w:left="1287" w:hanging="360"/>
      </w:pPr>
      <w:rPr>
        <w:rFonts w:ascii="Courier New" w:eastAsia="Courier New" w:hAnsi="Courier New" w:cs="Courier New"/>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0" w15:restartNumberingAfterBreak="0">
    <w:nsid w:val="51FF7194"/>
    <w:multiLevelType w:val="multilevel"/>
    <w:tmpl w:val="1898038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52D73919"/>
    <w:multiLevelType w:val="hybridMultilevel"/>
    <w:tmpl w:val="A94A1EA2"/>
    <w:lvl w:ilvl="0" w:tplc="AF142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977785"/>
    <w:multiLevelType w:val="multilevel"/>
    <w:tmpl w:val="D3D8A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8C5270D"/>
    <w:multiLevelType w:val="hybridMultilevel"/>
    <w:tmpl w:val="92B6FBDE"/>
    <w:lvl w:ilvl="0" w:tplc="20165D68">
      <w:numFmt w:val="bullet"/>
      <w:lvlText w:val="・"/>
      <w:lvlJc w:val="left"/>
      <w:pPr>
        <w:ind w:left="720" w:hanging="360"/>
      </w:pPr>
      <w:rPr>
        <w:rFonts w:ascii="Yu Mincho" w:eastAsia="Yu Mincho" w:hAnsi="Yu Mincho"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192FA3"/>
    <w:multiLevelType w:val="hybridMultilevel"/>
    <w:tmpl w:val="67CEB8EE"/>
    <w:lvl w:ilvl="0" w:tplc="0409000F">
      <w:start w:val="1"/>
      <w:numFmt w:val="decimal"/>
      <w:lvlText w:val="%1."/>
      <w:lvlJc w:val="left"/>
      <w:pPr>
        <w:ind w:left="720" w:hanging="360"/>
      </w:pPr>
      <w:rPr>
        <w:rFonts w:hint="default"/>
      </w:rPr>
    </w:lvl>
    <w:lvl w:ilvl="1" w:tplc="20165D68">
      <w:numFmt w:val="bullet"/>
      <w:lvlText w:val="・"/>
      <w:lvlJc w:val="left"/>
      <w:pPr>
        <w:ind w:left="1440" w:hanging="360"/>
      </w:pPr>
      <w:rPr>
        <w:rFonts w:ascii="Yu Mincho" w:eastAsia="Yu Mincho" w:hAnsi="Yu Mincho" w:cs="Times New Roman" w:hint="eastAsi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712763"/>
    <w:multiLevelType w:val="multilevel"/>
    <w:tmpl w:val="68B2D032"/>
    <w:lvl w:ilvl="0">
      <w:start w:val="1"/>
      <w:numFmt w:val="decimal"/>
      <w:lvlText w:val="%1-"/>
      <w:lvlJc w:val="left"/>
      <w:pPr>
        <w:ind w:left="383" w:hanging="38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F38793B"/>
    <w:multiLevelType w:val="hybridMultilevel"/>
    <w:tmpl w:val="A880E238"/>
    <w:lvl w:ilvl="0" w:tplc="06E016BC">
      <w:numFmt w:val="bullet"/>
      <w:lvlText w:val="・"/>
      <w:lvlJc w:val="left"/>
      <w:pPr>
        <w:ind w:left="720" w:hanging="360"/>
      </w:pPr>
      <w:rPr>
        <w:rFonts w:ascii="Yu Gothic" w:eastAsia="Yu Gothic" w:hAnsi="Yu Gothic" w:cstheme="minorBidi" w:hint="eastAsia"/>
        <w:color w:val="222222"/>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A513B80"/>
    <w:multiLevelType w:val="multilevel"/>
    <w:tmpl w:val="CF661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5728245">
    <w:abstractNumId w:val="20"/>
  </w:num>
  <w:num w:numId="2" w16cid:durableId="299579491">
    <w:abstractNumId w:val="19"/>
  </w:num>
  <w:num w:numId="3" w16cid:durableId="1380477857">
    <w:abstractNumId w:val="24"/>
  </w:num>
  <w:num w:numId="4" w16cid:durableId="643899595">
    <w:abstractNumId w:val="11"/>
  </w:num>
  <w:num w:numId="5" w16cid:durableId="424955602">
    <w:abstractNumId w:val="4"/>
  </w:num>
  <w:num w:numId="6" w16cid:durableId="2097512112">
    <w:abstractNumId w:val="0"/>
  </w:num>
  <w:num w:numId="7" w16cid:durableId="1569999929">
    <w:abstractNumId w:val="18"/>
  </w:num>
  <w:num w:numId="8" w16cid:durableId="401828848">
    <w:abstractNumId w:val="2"/>
  </w:num>
  <w:num w:numId="9" w16cid:durableId="563611238">
    <w:abstractNumId w:val="10"/>
  </w:num>
  <w:num w:numId="10" w16cid:durableId="1328509403">
    <w:abstractNumId w:val="12"/>
  </w:num>
  <w:num w:numId="11" w16cid:durableId="1161776369">
    <w:abstractNumId w:val="9"/>
  </w:num>
  <w:num w:numId="12" w16cid:durableId="209810365">
    <w:abstractNumId w:val="8"/>
  </w:num>
  <w:num w:numId="13" w16cid:durableId="1745755768">
    <w:abstractNumId w:val="22"/>
  </w:num>
  <w:num w:numId="14" w16cid:durableId="939532774">
    <w:abstractNumId w:val="3"/>
  </w:num>
  <w:num w:numId="15" w16cid:durableId="349188142">
    <w:abstractNumId w:val="16"/>
  </w:num>
  <w:num w:numId="16" w16cid:durableId="119688841">
    <w:abstractNumId w:val="6"/>
  </w:num>
  <w:num w:numId="17" w16cid:durableId="805438353">
    <w:abstractNumId w:val="1"/>
  </w:num>
  <w:num w:numId="18" w16cid:durableId="466317958">
    <w:abstractNumId w:val="17"/>
  </w:num>
  <w:num w:numId="19" w16cid:durableId="90663860">
    <w:abstractNumId w:val="27"/>
  </w:num>
  <w:num w:numId="20" w16cid:durableId="924801907">
    <w:abstractNumId w:val="7"/>
  </w:num>
  <w:num w:numId="21" w16cid:durableId="621157723">
    <w:abstractNumId w:val="26"/>
  </w:num>
  <w:num w:numId="22" w16cid:durableId="1976793372">
    <w:abstractNumId w:val="23"/>
  </w:num>
  <w:num w:numId="23" w16cid:durableId="1257909276">
    <w:abstractNumId w:val="21"/>
  </w:num>
  <w:num w:numId="24" w16cid:durableId="1278221433">
    <w:abstractNumId w:val="14"/>
  </w:num>
  <w:num w:numId="25" w16cid:durableId="301617879">
    <w:abstractNumId w:val="5"/>
  </w:num>
  <w:num w:numId="26" w16cid:durableId="1670517625">
    <w:abstractNumId w:val="13"/>
  </w:num>
  <w:num w:numId="27" w16cid:durableId="1245795609">
    <w:abstractNumId w:val="25"/>
  </w:num>
  <w:num w:numId="28" w16cid:durableId="9250677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8"/>
  <w:embedTrueTypeFonts/>
  <w:proofState w:spelling="clean" w:grammar="clean"/>
  <w:defaultTabStop w:val="720"/>
  <w:characterSpacingControl w:val="doNotCompress"/>
  <w:savePreviewPicture/>
  <w:hdrShapeDefaults>
    <o:shapedefaults v:ext="edit" spidmax="2058">
      <o:colormru v:ext="edit" colors="whit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CAB"/>
    <w:rsid w:val="00001B97"/>
    <w:rsid w:val="00001C16"/>
    <w:rsid w:val="000023C7"/>
    <w:rsid w:val="00003144"/>
    <w:rsid w:val="00004292"/>
    <w:rsid w:val="00007BBC"/>
    <w:rsid w:val="00012685"/>
    <w:rsid w:val="0001684E"/>
    <w:rsid w:val="0001699E"/>
    <w:rsid w:val="00016F28"/>
    <w:rsid w:val="00017804"/>
    <w:rsid w:val="000206E4"/>
    <w:rsid w:val="0002347E"/>
    <w:rsid w:val="00024B1A"/>
    <w:rsid w:val="0003303F"/>
    <w:rsid w:val="0003372A"/>
    <w:rsid w:val="000368C9"/>
    <w:rsid w:val="000375A3"/>
    <w:rsid w:val="00041DDC"/>
    <w:rsid w:val="00045F6A"/>
    <w:rsid w:val="000478CA"/>
    <w:rsid w:val="0005674B"/>
    <w:rsid w:val="000577DD"/>
    <w:rsid w:val="0005787F"/>
    <w:rsid w:val="0006139F"/>
    <w:rsid w:val="00063175"/>
    <w:rsid w:val="00063FEF"/>
    <w:rsid w:val="000654B8"/>
    <w:rsid w:val="00067AB1"/>
    <w:rsid w:val="00070D88"/>
    <w:rsid w:val="000730B1"/>
    <w:rsid w:val="00075399"/>
    <w:rsid w:val="00080A12"/>
    <w:rsid w:val="000843B9"/>
    <w:rsid w:val="00084960"/>
    <w:rsid w:val="000869DE"/>
    <w:rsid w:val="00090409"/>
    <w:rsid w:val="00090612"/>
    <w:rsid w:val="00090A80"/>
    <w:rsid w:val="00091147"/>
    <w:rsid w:val="000915B7"/>
    <w:rsid w:val="00092181"/>
    <w:rsid w:val="00095811"/>
    <w:rsid w:val="00096FEC"/>
    <w:rsid w:val="000A04C7"/>
    <w:rsid w:val="000A2B3E"/>
    <w:rsid w:val="000A2B9C"/>
    <w:rsid w:val="000A31F7"/>
    <w:rsid w:val="000A3351"/>
    <w:rsid w:val="000A3EFB"/>
    <w:rsid w:val="000A42F4"/>
    <w:rsid w:val="000A51C2"/>
    <w:rsid w:val="000A60AB"/>
    <w:rsid w:val="000A7892"/>
    <w:rsid w:val="000B136B"/>
    <w:rsid w:val="000B3D37"/>
    <w:rsid w:val="000B521D"/>
    <w:rsid w:val="000B5E69"/>
    <w:rsid w:val="000C02F7"/>
    <w:rsid w:val="000C58E3"/>
    <w:rsid w:val="000C5C82"/>
    <w:rsid w:val="000C6B25"/>
    <w:rsid w:val="000C7012"/>
    <w:rsid w:val="000C72FB"/>
    <w:rsid w:val="000D0546"/>
    <w:rsid w:val="000D406A"/>
    <w:rsid w:val="000D5B82"/>
    <w:rsid w:val="000E2212"/>
    <w:rsid w:val="000E3272"/>
    <w:rsid w:val="000E3A9A"/>
    <w:rsid w:val="000E52C8"/>
    <w:rsid w:val="000E6699"/>
    <w:rsid w:val="000E79A9"/>
    <w:rsid w:val="000F1344"/>
    <w:rsid w:val="000F1C59"/>
    <w:rsid w:val="000F2AFF"/>
    <w:rsid w:val="000F3E94"/>
    <w:rsid w:val="000F50BE"/>
    <w:rsid w:val="000F69E1"/>
    <w:rsid w:val="000F6E64"/>
    <w:rsid w:val="00101A3F"/>
    <w:rsid w:val="00102FA2"/>
    <w:rsid w:val="00104DAE"/>
    <w:rsid w:val="00104EC1"/>
    <w:rsid w:val="00106401"/>
    <w:rsid w:val="001065FC"/>
    <w:rsid w:val="001069C2"/>
    <w:rsid w:val="00107449"/>
    <w:rsid w:val="00110457"/>
    <w:rsid w:val="0011045F"/>
    <w:rsid w:val="001109C1"/>
    <w:rsid w:val="0011229B"/>
    <w:rsid w:val="00115757"/>
    <w:rsid w:val="00117252"/>
    <w:rsid w:val="00121CE8"/>
    <w:rsid w:val="00123B41"/>
    <w:rsid w:val="00132E8B"/>
    <w:rsid w:val="00134672"/>
    <w:rsid w:val="00134E62"/>
    <w:rsid w:val="00135983"/>
    <w:rsid w:val="00136BCA"/>
    <w:rsid w:val="00137A41"/>
    <w:rsid w:val="00137B6A"/>
    <w:rsid w:val="00140A06"/>
    <w:rsid w:val="00140D70"/>
    <w:rsid w:val="00140E24"/>
    <w:rsid w:val="00141202"/>
    <w:rsid w:val="00141C28"/>
    <w:rsid w:val="00141E2F"/>
    <w:rsid w:val="0014390F"/>
    <w:rsid w:val="00144222"/>
    <w:rsid w:val="0014586F"/>
    <w:rsid w:val="00146544"/>
    <w:rsid w:val="00150C41"/>
    <w:rsid w:val="001526E6"/>
    <w:rsid w:val="00154779"/>
    <w:rsid w:val="00155BB5"/>
    <w:rsid w:val="00156B57"/>
    <w:rsid w:val="00163BCC"/>
    <w:rsid w:val="0016533D"/>
    <w:rsid w:val="0017028E"/>
    <w:rsid w:val="001725BD"/>
    <w:rsid w:val="001732CB"/>
    <w:rsid w:val="00173E9B"/>
    <w:rsid w:val="001750A9"/>
    <w:rsid w:val="0017522F"/>
    <w:rsid w:val="0017769F"/>
    <w:rsid w:val="00180669"/>
    <w:rsid w:val="001809F9"/>
    <w:rsid w:val="001812A7"/>
    <w:rsid w:val="001841FF"/>
    <w:rsid w:val="0018549A"/>
    <w:rsid w:val="00186723"/>
    <w:rsid w:val="0018745F"/>
    <w:rsid w:val="00190F87"/>
    <w:rsid w:val="001A0F30"/>
    <w:rsid w:val="001A1385"/>
    <w:rsid w:val="001A254C"/>
    <w:rsid w:val="001A52DC"/>
    <w:rsid w:val="001A6FD7"/>
    <w:rsid w:val="001A7A1D"/>
    <w:rsid w:val="001B03E8"/>
    <w:rsid w:val="001B1A62"/>
    <w:rsid w:val="001B55CD"/>
    <w:rsid w:val="001B654A"/>
    <w:rsid w:val="001B67D6"/>
    <w:rsid w:val="001C3C9F"/>
    <w:rsid w:val="001C462F"/>
    <w:rsid w:val="001C4A69"/>
    <w:rsid w:val="001C54A8"/>
    <w:rsid w:val="001C69A2"/>
    <w:rsid w:val="001D2FB1"/>
    <w:rsid w:val="001D42A1"/>
    <w:rsid w:val="001D447F"/>
    <w:rsid w:val="001D4B3F"/>
    <w:rsid w:val="001D4D0C"/>
    <w:rsid w:val="001D563F"/>
    <w:rsid w:val="001E1D15"/>
    <w:rsid w:val="001E2F34"/>
    <w:rsid w:val="001E2F53"/>
    <w:rsid w:val="001E47C4"/>
    <w:rsid w:val="001E7468"/>
    <w:rsid w:val="001F1A50"/>
    <w:rsid w:val="001F28FA"/>
    <w:rsid w:val="001F30DC"/>
    <w:rsid w:val="001F3B39"/>
    <w:rsid w:val="001F56FC"/>
    <w:rsid w:val="001F58D4"/>
    <w:rsid w:val="00200B11"/>
    <w:rsid w:val="002023E3"/>
    <w:rsid w:val="002067D9"/>
    <w:rsid w:val="00212B27"/>
    <w:rsid w:val="0021348D"/>
    <w:rsid w:val="00213779"/>
    <w:rsid w:val="00214DA8"/>
    <w:rsid w:val="00215C05"/>
    <w:rsid w:val="00217639"/>
    <w:rsid w:val="002212E3"/>
    <w:rsid w:val="002229FE"/>
    <w:rsid w:val="002247C1"/>
    <w:rsid w:val="00224ECE"/>
    <w:rsid w:val="00233F2C"/>
    <w:rsid w:val="00234E95"/>
    <w:rsid w:val="00235683"/>
    <w:rsid w:val="0023707D"/>
    <w:rsid w:val="00237D06"/>
    <w:rsid w:val="00240DC7"/>
    <w:rsid w:val="00241113"/>
    <w:rsid w:val="002434E9"/>
    <w:rsid w:val="00243A47"/>
    <w:rsid w:val="00251A21"/>
    <w:rsid w:val="00252E3D"/>
    <w:rsid w:val="00260DD3"/>
    <w:rsid w:val="00262539"/>
    <w:rsid w:val="00262C20"/>
    <w:rsid w:val="002659C6"/>
    <w:rsid w:val="00272E0D"/>
    <w:rsid w:val="002740C8"/>
    <w:rsid w:val="00276B10"/>
    <w:rsid w:val="00276BEE"/>
    <w:rsid w:val="00276D0E"/>
    <w:rsid w:val="002774C9"/>
    <w:rsid w:val="00277802"/>
    <w:rsid w:val="00280547"/>
    <w:rsid w:val="00280556"/>
    <w:rsid w:val="00280D22"/>
    <w:rsid w:val="00283567"/>
    <w:rsid w:val="00283EF6"/>
    <w:rsid w:val="00286354"/>
    <w:rsid w:val="00286840"/>
    <w:rsid w:val="00286A6F"/>
    <w:rsid w:val="002913BA"/>
    <w:rsid w:val="00291B49"/>
    <w:rsid w:val="002930E9"/>
    <w:rsid w:val="00293B79"/>
    <w:rsid w:val="00293C57"/>
    <w:rsid w:val="0029517A"/>
    <w:rsid w:val="002960B1"/>
    <w:rsid w:val="002A15DB"/>
    <w:rsid w:val="002A23B0"/>
    <w:rsid w:val="002A39DF"/>
    <w:rsid w:val="002A3D11"/>
    <w:rsid w:val="002A6A4C"/>
    <w:rsid w:val="002A6AA0"/>
    <w:rsid w:val="002A775F"/>
    <w:rsid w:val="002A7EC3"/>
    <w:rsid w:val="002B0C18"/>
    <w:rsid w:val="002B3DCC"/>
    <w:rsid w:val="002B42E6"/>
    <w:rsid w:val="002C0098"/>
    <w:rsid w:val="002C016F"/>
    <w:rsid w:val="002C05A3"/>
    <w:rsid w:val="002C086E"/>
    <w:rsid w:val="002C088A"/>
    <w:rsid w:val="002C3199"/>
    <w:rsid w:val="002D08A4"/>
    <w:rsid w:val="002D08E6"/>
    <w:rsid w:val="002D16A6"/>
    <w:rsid w:val="002D1F0C"/>
    <w:rsid w:val="002D4EA6"/>
    <w:rsid w:val="002D4EDC"/>
    <w:rsid w:val="002D5881"/>
    <w:rsid w:val="002E1747"/>
    <w:rsid w:val="002E23CD"/>
    <w:rsid w:val="002E2F3C"/>
    <w:rsid w:val="002E5C04"/>
    <w:rsid w:val="002E623E"/>
    <w:rsid w:val="002F18F4"/>
    <w:rsid w:val="002F548D"/>
    <w:rsid w:val="002F72EF"/>
    <w:rsid w:val="002F7CB4"/>
    <w:rsid w:val="00300ECB"/>
    <w:rsid w:val="00301A2A"/>
    <w:rsid w:val="00302486"/>
    <w:rsid w:val="00302581"/>
    <w:rsid w:val="003029C9"/>
    <w:rsid w:val="00302FD8"/>
    <w:rsid w:val="00306080"/>
    <w:rsid w:val="003063DF"/>
    <w:rsid w:val="003064A0"/>
    <w:rsid w:val="003073D5"/>
    <w:rsid w:val="00312D6B"/>
    <w:rsid w:val="00314204"/>
    <w:rsid w:val="0031436C"/>
    <w:rsid w:val="00314F1F"/>
    <w:rsid w:val="003161AC"/>
    <w:rsid w:val="00316559"/>
    <w:rsid w:val="00320874"/>
    <w:rsid w:val="00321293"/>
    <w:rsid w:val="00321444"/>
    <w:rsid w:val="00321629"/>
    <w:rsid w:val="00321EB2"/>
    <w:rsid w:val="00322DA6"/>
    <w:rsid w:val="003259F9"/>
    <w:rsid w:val="00326AC4"/>
    <w:rsid w:val="00330EB4"/>
    <w:rsid w:val="003310F7"/>
    <w:rsid w:val="00331B07"/>
    <w:rsid w:val="00334CBC"/>
    <w:rsid w:val="00336F0E"/>
    <w:rsid w:val="00337347"/>
    <w:rsid w:val="003379D4"/>
    <w:rsid w:val="00341AAA"/>
    <w:rsid w:val="00342DC2"/>
    <w:rsid w:val="00344A9E"/>
    <w:rsid w:val="00346345"/>
    <w:rsid w:val="003511E1"/>
    <w:rsid w:val="00351D19"/>
    <w:rsid w:val="00352827"/>
    <w:rsid w:val="003546D6"/>
    <w:rsid w:val="00354FED"/>
    <w:rsid w:val="00355676"/>
    <w:rsid w:val="00355F3B"/>
    <w:rsid w:val="00357116"/>
    <w:rsid w:val="00357BA5"/>
    <w:rsid w:val="00357CB2"/>
    <w:rsid w:val="00362EAC"/>
    <w:rsid w:val="003653AB"/>
    <w:rsid w:val="003659B3"/>
    <w:rsid w:val="00366919"/>
    <w:rsid w:val="00367AE5"/>
    <w:rsid w:val="00367E14"/>
    <w:rsid w:val="0037044E"/>
    <w:rsid w:val="003727EC"/>
    <w:rsid w:val="00373A22"/>
    <w:rsid w:val="003756B9"/>
    <w:rsid w:val="00376401"/>
    <w:rsid w:val="00380582"/>
    <w:rsid w:val="0038111A"/>
    <w:rsid w:val="00383397"/>
    <w:rsid w:val="00384263"/>
    <w:rsid w:val="0038505F"/>
    <w:rsid w:val="003858AF"/>
    <w:rsid w:val="00385E0E"/>
    <w:rsid w:val="00386C0A"/>
    <w:rsid w:val="00395541"/>
    <w:rsid w:val="0039651F"/>
    <w:rsid w:val="00397804"/>
    <w:rsid w:val="003A0D64"/>
    <w:rsid w:val="003A1F2A"/>
    <w:rsid w:val="003A2B07"/>
    <w:rsid w:val="003A542F"/>
    <w:rsid w:val="003A7E95"/>
    <w:rsid w:val="003B0152"/>
    <w:rsid w:val="003B063D"/>
    <w:rsid w:val="003B305A"/>
    <w:rsid w:val="003B3B0B"/>
    <w:rsid w:val="003B3F11"/>
    <w:rsid w:val="003B4ADC"/>
    <w:rsid w:val="003B4EFE"/>
    <w:rsid w:val="003B50B2"/>
    <w:rsid w:val="003B59B7"/>
    <w:rsid w:val="003B6D18"/>
    <w:rsid w:val="003B6F6F"/>
    <w:rsid w:val="003B7180"/>
    <w:rsid w:val="003C17E3"/>
    <w:rsid w:val="003C1B71"/>
    <w:rsid w:val="003C2913"/>
    <w:rsid w:val="003C501E"/>
    <w:rsid w:val="003C5462"/>
    <w:rsid w:val="003C5A44"/>
    <w:rsid w:val="003C7146"/>
    <w:rsid w:val="003C7791"/>
    <w:rsid w:val="003C799A"/>
    <w:rsid w:val="003D2BB1"/>
    <w:rsid w:val="003D3EE1"/>
    <w:rsid w:val="003D7CB2"/>
    <w:rsid w:val="003E1E46"/>
    <w:rsid w:val="003E21B2"/>
    <w:rsid w:val="003E293D"/>
    <w:rsid w:val="003E5887"/>
    <w:rsid w:val="003E7CBB"/>
    <w:rsid w:val="003F53FE"/>
    <w:rsid w:val="003F6A66"/>
    <w:rsid w:val="00400D8E"/>
    <w:rsid w:val="00404CC9"/>
    <w:rsid w:val="00406BF0"/>
    <w:rsid w:val="00406E1D"/>
    <w:rsid w:val="00411808"/>
    <w:rsid w:val="004129BD"/>
    <w:rsid w:val="004136BB"/>
    <w:rsid w:val="004146C6"/>
    <w:rsid w:val="00414707"/>
    <w:rsid w:val="00415D5B"/>
    <w:rsid w:val="004171FF"/>
    <w:rsid w:val="004177DD"/>
    <w:rsid w:val="00420195"/>
    <w:rsid w:val="004211D7"/>
    <w:rsid w:val="00421FC5"/>
    <w:rsid w:val="00423CE0"/>
    <w:rsid w:val="00424480"/>
    <w:rsid w:val="004246BE"/>
    <w:rsid w:val="00424E65"/>
    <w:rsid w:val="00432D16"/>
    <w:rsid w:val="00433317"/>
    <w:rsid w:val="004333C1"/>
    <w:rsid w:val="00435C8F"/>
    <w:rsid w:val="00435D64"/>
    <w:rsid w:val="00436231"/>
    <w:rsid w:val="004404BE"/>
    <w:rsid w:val="004430A5"/>
    <w:rsid w:val="00444C84"/>
    <w:rsid w:val="0044793D"/>
    <w:rsid w:val="00454DD0"/>
    <w:rsid w:val="00456BBC"/>
    <w:rsid w:val="00457619"/>
    <w:rsid w:val="004635F8"/>
    <w:rsid w:val="004673F1"/>
    <w:rsid w:val="00474533"/>
    <w:rsid w:val="004747AE"/>
    <w:rsid w:val="00475890"/>
    <w:rsid w:val="0047649C"/>
    <w:rsid w:val="0048093E"/>
    <w:rsid w:val="0048474F"/>
    <w:rsid w:val="00485083"/>
    <w:rsid w:val="004852A6"/>
    <w:rsid w:val="00486FE1"/>
    <w:rsid w:val="00495B38"/>
    <w:rsid w:val="00496CEF"/>
    <w:rsid w:val="00496D9B"/>
    <w:rsid w:val="004976C8"/>
    <w:rsid w:val="004A183E"/>
    <w:rsid w:val="004A3550"/>
    <w:rsid w:val="004A36B1"/>
    <w:rsid w:val="004A52DA"/>
    <w:rsid w:val="004A5CA5"/>
    <w:rsid w:val="004A64E8"/>
    <w:rsid w:val="004A7D5E"/>
    <w:rsid w:val="004B245F"/>
    <w:rsid w:val="004B68B0"/>
    <w:rsid w:val="004C1721"/>
    <w:rsid w:val="004C1D4A"/>
    <w:rsid w:val="004C229B"/>
    <w:rsid w:val="004C236E"/>
    <w:rsid w:val="004C2CD8"/>
    <w:rsid w:val="004C45AB"/>
    <w:rsid w:val="004C4833"/>
    <w:rsid w:val="004C4A6F"/>
    <w:rsid w:val="004D1351"/>
    <w:rsid w:val="004D71C2"/>
    <w:rsid w:val="004E2CF8"/>
    <w:rsid w:val="004E5C9B"/>
    <w:rsid w:val="004E695C"/>
    <w:rsid w:val="004E74CF"/>
    <w:rsid w:val="004E7FC4"/>
    <w:rsid w:val="004F41C9"/>
    <w:rsid w:val="004F5270"/>
    <w:rsid w:val="004F5CE0"/>
    <w:rsid w:val="004F5EF9"/>
    <w:rsid w:val="004F733A"/>
    <w:rsid w:val="0050081F"/>
    <w:rsid w:val="00503219"/>
    <w:rsid w:val="005036B6"/>
    <w:rsid w:val="00503C6F"/>
    <w:rsid w:val="00506D91"/>
    <w:rsid w:val="00507F61"/>
    <w:rsid w:val="005109C3"/>
    <w:rsid w:val="005123DC"/>
    <w:rsid w:val="00512EC4"/>
    <w:rsid w:val="00513498"/>
    <w:rsid w:val="00516D2D"/>
    <w:rsid w:val="00522F0B"/>
    <w:rsid w:val="00523A26"/>
    <w:rsid w:val="00524A3C"/>
    <w:rsid w:val="005272F8"/>
    <w:rsid w:val="00530291"/>
    <w:rsid w:val="005312B2"/>
    <w:rsid w:val="005318C2"/>
    <w:rsid w:val="00532270"/>
    <w:rsid w:val="00532FF8"/>
    <w:rsid w:val="00533280"/>
    <w:rsid w:val="005339EF"/>
    <w:rsid w:val="00534C6C"/>
    <w:rsid w:val="005370DF"/>
    <w:rsid w:val="00541130"/>
    <w:rsid w:val="0054153D"/>
    <w:rsid w:val="00543FBA"/>
    <w:rsid w:val="0054527F"/>
    <w:rsid w:val="00545D5C"/>
    <w:rsid w:val="00545E72"/>
    <w:rsid w:val="0055142C"/>
    <w:rsid w:val="00552185"/>
    <w:rsid w:val="00552E09"/>
    <w:rsid w:val="005547BE"/>
    <w:rsid w:val="00555DC9"/>
    <w:rsid w:val="0055723C"/>
    <w:rsid w:val="005575AA"/>
    <w:rsid w:val="005579CB"/>
    <w:rsid w:val="00561D48"/>
    <w:rsid w:val="0056372A"/>
    <w:rsid w:val="005651F0"/>
    <w:rsid w:val="00570783"/>
    <w:rsid w:val="00571F37"/>
    <w:rsid w:val="00574F3E"/>
    <w:rsid w:val="00574F92"/>
    <w:rsid w:val="00575DA9"/>
    <w:rsid w:val="005825B3"/>
    <w:rsid w:val="0058394C"/>
    <w:rsid w:val="00583B42"/>
    <w:rsid w:val="00583FD8"/>
    <w:rsid w:val="0058729F"/>
    <w:rsid w:val="005879C0"/>
    <w:rsid w:val="00587BD3"/>
    <w:rsid w:val="005954C4"/>
    <w:rsid w:val="00596EAF"/>
    <w:rsid w:val="005A24C6"/>
    <w:rsid w:val="005A3BA5"/>
    <w:rsid w:val="005A4AA3"/>
    <w:rsid w:val="005A4B51"/>
    <w:rsid w:val="005A6910"/>
    <w:rsid w:val="005B4A4F"/>
    <w:rsid w:val="005B4A5A"/>
    <w:rsid w:val="005B64D5"/>
    <w:rsid w:val="005B71FE"/>
    <w:rsid w:val="005B7664"/>
    <w:rsid w:val="005C10DC"/>
    <w:rsid w:val="005C1232"/>
    <w:rsid w:val="005C1600"/>
    <w:rsid w:val="005C2E55"/>
    <w:rsid w:val="005C4BEA"/>
    <w:rsid w:val="005C51E2"/>
    <w:rsid w:val="005C609B"/>
    <w:rsid w:val="005D2065"/>
    <w:rsid w:val="005D7278"/>
    <w:rsid w:val="005E046F"/>
    <w:rsid w:val="005E1096"/>
    <w:rsid w:val="005E3222"/>
    <w:rsid w:val="005E373F"/>
    <w:rsid w:val="005E399D"/>
    <w:rsid w:val="005E41AB"/>
    <w:rsid w:val="005E45B7"/>
    <w:rsid w:val="005E4A8E"/>
    <w:rsid w:val="005E5B61"/>
    <w:rsid w:val="005E64B3"/>
    <w:rsid w:val="005E6F81"/>
    <w:rsid w:val="005E7519"/>
    <w:rsid w:val="005F16B0"/>
    <w:rsid w:val="005F1FC9"/>
    <w:rsid w:val="005F2CAB"/>
    <w:rsid w:val="005F3B6A"/>
    <w:rsid w:val="005F5674"/>
    <w:rsid w:val="005F77AE"/>
    <w:rsid w:val="00600DBC"/>
    <w:rsid w:val="00600EA2"/>
    <w:rsid w:val="0060143C"/>
    <w:rsid w:val="00602411"/>
    <w:rsid w:val="00602DCB"/>
    <w:rsid w:val="006039D6"/>
    <w:rsid w:val="0060574F"/>
    <w:rsid w:val="0060726F"/>
    <w:rsid w:val="006106EB"/>
    <w:rsid w:val="00612C51"/>
    <w:rsid w:val="00612E80"/>
    <w:rsid w:val="006131B0"/>
    <w:rsid w:val="00615B18"/>
    <w:rsid w:val="00615D0E"/>
    <w:rsid w:val="0061740C"/>
    <w:rsid w:val="0062053F"/>
    <w:rsid w:val="006222D3"/>
    <w:rsid w:val="00622374"/>
    <w:rsid w:val="006237C5"/>
    <w:rsid w:val="00623E9C"/>
    <w:rsid w:val="00625077"/>
    <w:rsid w:val="00627B45"/>
    <w:rsid w:val="006344D3"/>
    <w:rsid w:val="00640683"/>
    <w:rsid w:val="00643E58"/>
    <w:rsid w:val="006448A2"/>
    <w:rsid w:val="00650D24"/>
    <w:rsid w:val="00651330"/>
    <w:rsid w:val="00652B9F"/>
    <w:rsid w:val="00662210"/>
    <w:rsid w:val="00664824"/>
    <w:rsid w:val="00665ECD"/>
    <w:rsid w:val="00667927"/>
    <w:rsid w:val="00670855"/>
    <w:rsid w:val="0067362C"/>
    <w:rsid w:val="00674DBA"/>
    <w:rsid w:val="006766BD"/>
    <w:rsid w:val="00677705"/>
    <w:rsid w:val="006824B8"/>
    <w:rsid w:val="00683939"/>
    <w:rsid w:val="0068470C"/>
    <w:rsid w:val="0068667F"/>
    <w:rsid w:val="00686EBC"/>
    <w:rsid w:val="00687DD8"/>
    <w:rsid w:val="0069006D"/>
    <w:rsid w:val="006917A3"/>
    <w:rsid w:val="00695719"/>
    <w:rsid w:val="00695A40"/>
    <w:rsid w:val="00696893"/>
    <w:rsid w:val="006A2B40"/>
    <w:rsid w:val="006A5849"/>
    <w:rsid w:val="006A6EBE"/>
    <w:rsid w:val="006B01D1"/>
    <w:rsid w:val="006B0E82"/>
    <w:rsid w:val="006B4375"/>
    <w:rsid w:val="006B43B9"/>
    <w:rsid w:val="006B4862"/>
    <w:rsid w:val="006B6E56"/>
    <w:rsid w:val="006B6F59"/>
    <w:rsid w:val="006C0CBF"/>
    <w:rsid w:val="006C18A0"/>
    <w:rsid w:val="006C32BD"/>
    <w:rsid w:val="006C4B16"/>
    <w:rsid w:val="006C6C9D"/>
    <w:rsid w:val="006C79D8"/>
    <w:rsid w:val="006D0E5E"/>
    <w:rsid w:val="006D1311"/>
    <w:rsid w:val="006D1EF1"/>
    <w:rsid w:val="006D3742"/>
    <w:rsid w:val="006D49C5"/>
    <w:rsid w:val="006D58DE"/>
    <w:rsid w:val="006D6161"/>
    <w:rsid w:val="006D6913"/>
    <w:rsid w:val="006D7454"/>
    <w:rsid w:val="006E0990"/>
    <w:rsid w:val="006E0AA5"/>
    <w:rsid w:val="006E213F"/>
    <w:rsid w:val="006E27EA"/>
    <w:rsid w:val="006E34EC"/>
    <w:rsid w:val="006E35F1"/>
    <w:rsid w:val="006E563E"/>
    <w:rsid w:val="006E7807"/>
    <w:rsid w:val="006F2BAC"/>
    <w:rsid w:val="006F4615"/>
    <w:rsid w:val="006F52D6"/>
    <w:rsid w:val="006F6280"/>
    <w:rsid w:val="006F64D2"/>
    <w:rsid w:val="006F72DF"/>
    <w:rsid w:val="007010EC"/>
    <w:rsid w:val="00702D70"/>
    <w:rsid w:val="0070431F"/>
    <w:rsid w:val="0070558D"/>
    <w:rsid w:val="00705720"/>
    <w:rsid w:val="007058C2"/>
    <w:rsid w:val="00705FAB"/>
    <w:rsid w:val="00706846"/>
    <w:rsid w:val="0070731C"/>
    <w:rsid w:val="007075DD"/>
    <w:rsid w:val="00710405"/>
    <w:rsid w:val="00710C4B"/>
    <w:rsid w:val="00710EC3"/>
    <w:rsid w:val="00715717"/>
    <w:rsid w:val="00716423"/>
    <w:rsid w:val="0071752E"/>
    <w:rsid w:val="0071753B"/>
    <w:rsid w:val="0071783C"/>
    <w:rsid w:val="007178E5"/>
    <w:rsid w:val="00720A51"/>
    <w:rsid w:val="007215D7"/>
    <w:rsid w:val="0072199E"/>
    <w:rsid w:val="00721AB9"/>
    <w:rsid w:val="007242EA"/>
    <w:rsid w:val="00724F5D"/>
    <w:rsid w:val="00725390"/>
    <w:rsid w:val="0072657D"/>
    <w:rsid w:val="00730796"/>
    <w:rsid w:val="007337DE"/>
    <w:rsid w:val="00733838"/>
    <w:rsid w:val="007355D7"/>
    <w:rsid w:val="00735656"/>
    <w:rsid w:val="0074023D"/>
    <w:rsid w:val="00741999"/>
    <w:rsid w:val="0074216F"/>
    <w:rsid w:val="007429D4"/>
    <w:rsid w:val="00742B99"/>
    <w:rsid w:val="0075073E"/>
    <w:rsid w:val="007508A8"/>
    <w:rsid w:val="00752DD2"/>
    <w:rsid w:val="00753232"/>
    <w:rsid w:val="00755E10"/>
    <w:rsid w:val="00756AA0"/>
    <w:rsid w:val="007602A0"/>
    <w:rsid w:val="00760F61"/>
    <w:rsid w:val="00762DD2"/>
    <w:rsid w:val="00763856"/>
    <w:rsid w:val="00765356"/>
    <w:rsid w:val="00770159"/>
    <w:rsid w:val="0077022B"/>
    <w:rsid w:val="00770D8C"/>
    <w:rsid w:val="007710B2"/>
    <w:rsid w:val="0077119C"/>
    <w:rsid w:val="00773A59"/>
    <w:rsid w:val="007746B4"/>
    <w:rsid w:val="00774F90"/>
    <w:rsid w:val="0077674B"/>
    <w:rsid w:val="00777433"/>
    <w:rsid w:val="0077745D"/>
    <w:rsid w:val="0078058B"/>
    <w:rsid w:val="007807C2"/>
    <w:rsid w:val="00782DD9"/>
    <w:rsid w:val="007834D1"/>
    <w:rsid w:val="007841C2"/>
    <w:rsid w:val="00785D98"/>
    <w:rsid w:val="0078718F"/>
    <w:rsid w:val="007906EF"/>
    <w:rsid w:val="00790762"/>
    <w:rsid w:val="00792E53"/>
    <w:rsid w:val="00793FCC"/>
    <w:rsid w:val="00794FBD"/>
    <w:rsid w:val="00795F10"/>
    <w:rsid w:val="00795F3F"/>
    <w:rsid w:val="007979F5"/>
    <w:rsid w:val="007A574B"/>
    <w:rsid w:val="007A6693"/>
    <w:rsid w:val="007B14A2"/>
    <w:rsid w:val="007B32B8"/>
    <w:rsid w:val="007B33B1"/>
    <w:rsid w:val="007B42C3"/>
    <w:rsid w:val="007B5999"/>
    <w:rsid w:val="007B77A4"/>
    <w:rsid w:val="007C39D0"/>
    <w:rsid w:val="007C42EC"/>
    <w:rsid w:val="007C57B3"/>
    <w:rsid w:val="007D1D89"/>
    <w:rsid w:val="007D3809"/>
    <w:rsid w:val="007D47B6"/>
    <w:rsid w:val="007D5490"/>
    <w:rsid w:val="007D55A7"/>
    <w:rsid w:val="007D55ED"/>
    <w:rsid w:val="007D62B0"/>
    <w:rsid w:val="007E0790"/>
    <w:rsid w:val="007E1184"/>
    <w:rsid w:val="007E21AD"/>
    <w:rsid w:val="007E567A"/>
    <w:rsid w:val="007E7A3E"/>
    <w:rsid w:val="007F1A83"/>
    <w:rsid w:val="007F500B"/>
    <w:rsid w:val="007F5066"/>
    <w:rsid w:val="007F7046"/>
    <w:rsid w:val="007F78FE"/>
    <w:rsid w:val="008019E0"/>
    <w:rsid w:val="00802F58"/>
    <w:rsid w:val="00803A50"/>
    <w:rsid w:val="008042E0"/>
    <w:rsid w:val="00805CD2"/>
    <w:rsid w:val="00807A08"/>
    <w:rsid w:val="00811996"/>
    <w:rsid w:val="00811A47"/>
    <w:rsid w:val="00811B9F"/>
    <w:rsid w:val="00811ED5"/>
    <w:rsid w:val="0081309F"/>
    <w:rsid w:val="00814470"/>
    <w:rsid w:val="00814861"/>
    <w:rsid w:val="00815CC2"/>
    <w:rsid w:val="008162E0"/>
    <w:rsid w:val="0081706C"/>
    <w:rsid w:val="00817717"/>
    <w:rsid w:val="008208D4"/>
    <w:rsid w:val="00821A33"/>
    <w:rsid w:val="008222E2"/>
    <w:rsid w:val="008235DA"/>
    <w:rsid w:val="00826995"/>
    <w:rsid w:val="00826C55"/>
    <w:rsid w:val="00830E51"/>
    <w:rsid w:val="00831B9A"/>
    <w:rsid w:val="00832A94"/>
    <w:rsid w:val="00834C04"/>
    <w:rsid w:val="0083560C"/>
    <w:rsid w:val="00836863"/>
    <w:rsid w:val="008372F1"/>
    <w:rsid w:val="0083743B"/>
    <w:rsid w:val="00840CC6"/>
    <w:rsid w:val="00841C7D"/>
    <w:rsid w:val="008442D4"/>
    <w:rsid w:val="0084595B"/>
    <w:rsid w:val="00845FEE"/>
    <w:rsid w:val="00847A92"/>
    <w:rsid w:val="00855147"/>
    <w:rsid w:val="00856664"/>
    <w:rsid w:val="008566C9"/>
    <w:rsid w:val="00860966"/>
    <w:rsid w:val="008617EF"/>
    <w:rsid w:val="00864765"/>
    <w:rsid w:val="008647AD"/>
    <w:rsid w:val="00864C5B"/>
    <w:rsid w:val="0086515C"/>
    <w:rsid w:val="00865799"/>
    <w:rsid w:val="00866DB2"/>
    <w:rsid w:val="00867C29"/>
    <w:rsid w:val="00872095"/>
    <w:rsid w:val="00873F5D"/>
    <w:rsid w:val="00874527"/>
    <w:rsid w:val="00875F03"/>
    <w:rsid w:val="00880C50"/>
    <w:rsid w:val="008829A0"/>
    <w:rsid w:val="008841E6"/>
    <w:rsid w:val="00885D98"/>
    <w:rsid w:val="00891BCD"/>
    <w:rsid w:val="008929F8"/>
    <w:rsid w:val="00892DA2"/>
    <w:rsid w:val="00893856"/>
    <w:rsid w:val="00895436"/>
    <w:rsid w:val="00897077"/>
    <w:rsid w:val="008A04D5"/>
    <w:rsid w:val="008A0605"/>
    <w:rsid w:val="008A0C4E"/>
    <w:rsid w:val="008A0DE6"/>
    <w:rsid w:val="008A12C9"/>
    <w:rsid w:val="008A21B7"/>
    <w:rsid w:val="008A23FB"/>
    <w:rsid w:val="008A24D9"/>
    <w:rsid w:val="008A2AB6"/>
    <w:rsid w:val="008A554C"/>
    <w:rsid w:val="008B140C"/>
    <w:rsid w:val="008B283B"/>
    <w:rsid w:val="008B3639"/>
    <w:rsid w:val="008B482B"/>
    <w:rsid w:val="008B6491"/>
    <w:rsid w:val="008B6AD8"/>
    <w:rsid w:val="008B7D07"/>
    <w:rsid w:val="008C0CAA"/>
    <w:rsid w:val="008C2974"/>
    <w:rsid w:val="008C3A76"/>
    <w:rsid w:val="008C3A83"/>
    <w:rsid w:val="008C3C08"/>
    <w:rsid w:val="008C5689"/>
    <w:rsid w:val="008C6011"/>
    <w:rsid w:val="008C614D"/>
    <w:rsid w:val="008C7C15"/>
    <w:rsid w:val="008D0014"/>
    <w:rsid w:val="008D2D09"/>
    <w:rsid w:val="008D3531"/>
    <w:rsid w:val="008D36D9"/>
    <w:rsid w:val="008D426A"/>
    <w:rsid w:val="008D6916"/>
    <w:rsid w:val="008E0132"/>
    <w:rsid w:val="008E2230"/>
    <w:rsid w:val="008E45F2"/>
    <w:rsid w:val="008E4D84"/>
    <w:rsid w:val="008E777C"/>
    <w:rsid w:val="008F08A4"/>
    <w:rsid w:val="008F0C04"/>
    <w:rsid w:val="008F18F7"/>
    <w:rsid w:val="008F236F"/>
    <w:rsid w:val="008F3AB2"/>
    <w:rsid w:val="008F3D1E"/>
    <w:rsid w:val="008F5B69"/>
    <w:rsid w:val="008F7B53"/>
    <w:rsid w:val="00901142"/>
    <w:rsid w:val="0090252B"/>
    <w:rsid w:val="009045B1"/>
    <w:rsid w:val="00904E68"/>
    <w:rsid w:val="00912605"/>
    <w:rsid w:val="00914257"/>
    <w:rsid w:val="009142F3"/>
    <w:rsid w:val="00920F4D"/>
    <w:rsid w:val="00922BC6"/>
    <w:rsid w:val="009258A9"/>
    <w:rsid w:val="00927435"/>
    <w:rsid w:val="009312C5"/>
    <w:rsid w:val="009326E7"/>
    <w:rsid w:val="00937606"/>
    <w:rsid w:val="009409CA"/>
    <w:rsid w:val="00940DDF"/>
    <w:rsid w:val="00941C56"/>
    <w:rsid w:val="00941CC1"/>
    <w:rsid w:val="00943D8A"/>
    <w:rsid w:val="00943EF7"/>
    <w:rsid w:val="00944B77"/>
    <w:rsid w:val="00944E89"/>
    <w:rsid w:val="009459B2"/>
    <w:rsid w:val="00950C76"/>
    <w:rsid w:val="00952989"/>
    <w:rsid w:val="00953C1B"/>
    <w:rsid w:val="00953CA7"/>
    <w:rsid w:val="00956BA9"/>
    <w:rsid w:val="009600D6"/>
    <w:rsid w:val="00960976"/>
    <w:rsid w:val="0096175C"/>
    <w:rsid w:val="0096243A"/>
    <w:rsid w:val="00963060"/>
    <w:rsid w:val="009634C2"/>
    <w:rsid w:val="0096672D"/>
    <w:rsid w:val="00966F41"/>
    <w:rsid w:val="00970212"/>
    <w:rsid w:val="00971498"/>
    <w:rsid w:val="00975667"/>
    <w:rsid w:val="00981AD2"/>
    <w:rsid w:val="0098308B"/>
    <w:rsid w:val="00983FD2"/>
    <w:rsid w:val="009862B0"/>
    <w:rsid w:val="009869AD"/>
    <w:rsid w:val="00991179"/>
    <w:rsid w:val="00992A41"/>
    <w:rsid w:val="009A040C"/>
    <w:rsid w:val="009A0A79"/>
    <w:rsid w:val="009A0E7F"/>
    <w:rsid w:val="009A1D76"/>
    <w:rsid w:val="009A252F"/>
    <w:rsid w:val="009A6986"/>
    <w:rsid w:val="009A765B"/>
    <w:rsid w:val="009B08E8"/>
    <w:rsid w:val="009B0A70"/>
    <w:rsid w:val="009B1CB1"/>
    <w:rsid w:val="009B2D26"/>
    <w:rsid w:val="009B2F94"/>
    <w:rsid w:val="009B4157"/>
    <w:rsid w:val="009B4ED0"/>
    <w:rsid w:val="009B55FC"/>
    <w:rsid w:val="009B6202"/>
    <w:rsid w:val="009B642F"/>
    <w:rsid w:val="009C1B4E"/>
    <w:rsid w:val="009C592A"/>
    <w:rsid w:val="009C7DAE"/>
    <w:rsid w:val="009D034B"/>
    <w:rsid w:val="009D0829"/>
    <w:rsid w:val="009D1C70"/>
    <w:rsid w:val="009D240A"/>
    <w:rsid w:val="009D26C4"/>
    <w:rsid w:val="009D31CD"/>
    <w:rsid w:val="009D6D05"/>
    <w:rsid w:val="009D74DB"/>
    <w:rsid w:val="009E4717"/>
    <w:rsid w:val="009E4A5E"/>
    <w:rsid w:val="009E56F7"/>
    <w:rsid w:val="009E699A"/>
    <w:rsid w:val="009F1957"/>
    <w:rsid w:val="009F1F3E"/>
    <w:rsid w:val="009F2CF6"/>
    <w:rsid w:val="009F5C02"/>
    <w:rsid w:val="009F63F0"/>
    <w:rsid w:val="00A02EF3"/>
    <w:rsid w:val="00A0333B"/>
    <w:rsid w:val="00A0574C"/>
    <w:rsid w:val="00A10450"/>
    <w:rsid w:val="00A10480"/>
    <w:rsid w:val="00A1260C"/>
    <w:rsid w:val="00A1297E"/>
    <w:rsid w:val="00A132C9"/>
    <w:rsid w:val="00A13E63"/>
    <w:rsid w:val="00A150C2"/>
    <w:rsid w:val="00A1695A"/>
    <w:rsid w:val="00A16E72"/>
    <w:rsid w:val="00A172EE"/>
    <w:rsid w:val="00A17AEF"/>
    <w:rsid w:val="00A20EEF"/>
    <w:rsid w:val="00A27B37"/>
    <w:rsid w:val="00A30AE8"/>
    <w:rsid w:val="00A3235C"/>
    <w:rsid w:val="00A34B96"/>
    <w:rsid w:val="00A357EF"/>
    <w:rsid w:val="00A366AF"/>
    <w:rsid w:val="00A419D8"/>
    <w:rsid w:val="00A41F57"/>
    <w:rsid w:val="00A46682"/>
    <w:rsid w:val="00A46B18"/>
    <w:rsid w:val="00A473F4"/>
    <w:rsid w:val="00A47791"/>
    <w:rsid w:val="00A47EED"/>
    <w:rsid w:val="00A5205A"/>
    <w:rsid w:val="00A523E8"/>
    <w:rsid w:val="00A534C9"/>
    <w:rsid w:val="00A568BB"/>
    <w:rsid w:val="00A61E5A"/>
    <w:rsid w:val="00A623F8"/>
    <w:rsid w:val="00A62F26"/>
    <w:rsid w:val="00A64070"/>
    <w:rsid w:val="00A6720C"/>
    <w:rsid w:val="00A67817"/>
    <w:rsid w:val="00A70F1A"/>
    <w:rsid w:val="00A70FF2"/>
    <w:rsid w:val="00A722E7"/>
    <w:rsid w:val="00A73DD7"/>
    <w:rsid w:val="00A753F3"/>
    <w:rsid w:val="00A76B13"/>
    <w:rsid w:val="00A80CAB"/>
    <w:rsid w:val="00A824A7"/>
    <w:rsid w:val="00A825FB"/>
    <w:rsid w:val="00A835E8"/>
    <w:rsid w:val="00A83C6A"/>
    <w:rsid w:val="00A83E55"/>
    <w:rsid w:val="00A87083"/>
    <w:rsid w:val="00A92514"/>
    <w:rsid w:val="00A92AF7"/>
    <w:rsid w:val="00A940BD"/>
    <w:rsid w:val="00A96045"/>
    <w:rsid w:val="00AA00BE"/>
    <w:rsid w:val="00AA16EE"/>
    <w:rsid w:val="00AA176B"/>
    <w:rsid w:val="00AA4596"/>
    <w:rsid w:val="00AA5894"/>
    <w:rsid w:val="00AA5D23"/>
    <w:rsid w:val="00AB311B"/>
    <w:rsid w:val="00AB42AA"/>
    <w:rsid w:val="00AB5CA3"/>
    <w:rsid w:val="00AB6192"/>
    <w:rsid w:val="00AC19D6"/>
    <w:rsid w:val="00AC718B"/>
    <w:rsid w:val="00AD13B4"/>
    <w:rsid w:val="00AD166B"/>
    <w:rsid w:val="00AD2D83"/>
    <w:rsid w:val="00AD4DF1"/>
    <w:rsid w:val="00AD4FB2"/>
    <w:rsid w:val="00AD69AB"/>
    <w:rsid w:val="00AE14D5"/>
    <w:rsid w:val="00AE1BDA"/>
    <w:rsid w:val="00AE2FD6"/>
    <w:rsid w:val="00AE58C5"/>
    <w:rsid w:val="00AE700A"/>
    <w:rsid w:val="00AE7474"/>
    <w:rsid w:val="00AE77B1"/>
    <w:rsid w:val="00AF1459"/>
    <w:rsid w:val="00AF1B51"/>
    <w:rsid w:val="00AF38A0"/>
    <w:rsid w:val="00AF4DCF"/>
    <w:rsid w:val="00AF631C"/>
    <w:rsid w:val="00AF721F"/>
    <w:rsid w:val="00B00611"/>
    <w:rsid w:val="00B00EBD"/>
    <w:rsid w:val="00B01050"/>
    <w:rsid w:val="00B01D57"/>
    <w:rsid w:val="00B05251"/>
    <w:rsid w:val="00B05BA7"/>
    <w:rsid w:val="00B062FB"/>
    <w:rsid w:val="00B06AC0"/>
    <w:rsid w:val="00B10856"/>
    <w:rsid w:val="00B11365"/>
    <w:rsid w:val="00B128B7"/>
    <w:rsid w:val="00B13D5F"/>
    <w:rsid w:val="00B14BF4"/>
    <w:rsid w:val="00B158EC"/>
    <w:rsid w:val="00B2056C"/>
    <w:rsid w:val="00B223E5"/>
    <w:rsid w:val="00B236CC"/>
    <w:rsid w:val="00B24638"/>
    <w:rsid w:val="00B2482F"/>
    <w:rsid w:val="00B2656F"/>
    <w:rsid w:val="00B307D4"/>
    <w:rsid w:val="00B30F19"/>
    <w:rsid w:val="00B316E2"/>
    <w:rsid w:val="00B343AF"/>
    <w:rsid w:val="00B422B4"/>
    <w:rsid w:val="00B42F09"/>
    <w:rsid w:val="00B43265"/>
    <w:rsid w:val="00B437AB"/>
    <w:rsid w:val="00B45C9B"/>
    <w:rsid w:val="00B45D97"/>
    <w:rsid w:val="00B470A5"/>
    <w:rsid w:val="00B47114"/>
    <w:rsid w:val="00B51F72"/>
    <w:rsid w:val="00B52409"/>
    <w:rsid w:val="00B55236"/>
    <w:rsid w:val="00B56169"/>
    <w:rsid w:val="00B56526"/>
    <w:rsid w:val="00B56941"/>
    <w:rsid w:val="00B578AC"/>
    <w:rsid w:val="00B60C33"/>
    <w:rsid w:val="00B6155B"/>
    <w:rsid w:val="00B617ED"/>
    <w:rsid w:val="00B619ED"/>
    <w:rsid w:val="00B61E90"/>
    <w:rsid w:val="00B62C98"/>
    <w:rsid w:val="00B63665"/>
    <w:rsid w:val="00B64575"/>
    <w:rsid w:val="00B67DE0"/>
    <w:rsid w:val="00B7298C"/>
    <w:rsid w:val="00B81497"/>
    <w:rsid w:val="00B8175B"/>
    <w:rsid w:val="00B83225"/>
    <w:rsid w:val="00B835BE"/>
    <w:rsid w:val="00B85871"/>
    <w:rsid w:val="00B87AE1"/>
    <w:rsid w:val="00B90CC9"/>
    <w:rsid w:val="00B9122D"/>
    <w:rsid w:val="00B92B1B"/>
    <w:rsid w:val="00B94588"/>
    <w:rsid w:val="00B94B5D"/>
    <w:rsid w:val="00B97215"/>
    <w:rsid w:val="00BA04F5"/>
    <w:rsid w:val="00BA0B5A"/>
    <w:rsid w:val="00BA14DD"/>
    <w:rsid w:val="00BA1D41"/>
    <w:rsid w:val="00BA2E6A"/>
    <w:rsid w:val="00BA4A59"/>
    <w:rsid w:val="00BA6056"/>
    <w:rsid w:val="00BB0438"/>
    <w:rsid w:val="00BB097F"/>
    <w:rsid w:val="00BB273A"/>
    <w:rsid w:val="00BB2BA7"/>
    <w:rsid w:val="00BB36AC"/>
    <w:rsid w:val="00BB385E"/>
    <w:rsid w:val="00BB3BB6"/>
    <w:rsid w:val="00BB55ED"/>
    <w:rsid w:val="00BB5FA1"/>
    <w:rsid w:val="00BB60FA"/>
    <w:rsid w:val="00BC0CAD"/>
    <w:rsid w:val="00BC11EC"/>
    <w:rsid w:val="00BC13F9"/>
    <w:rsid w:val="00BC2C3A"/>
    <w:rsid w:val="00BC59A2"/>
    <w:rsid w:val="00BC62F6"/>
    <w:rsid w:val="00BC6D9E"/>
    <w:rsid w:val="00BD0B73"/>
    <w:rsid w:val="00BD1F87"/>
    <w:rsid w:val="00BD3CC8"/>
    <w:rsid w:val="00BD5F6A"/>
    <w:rsid w:val="00BD6832"/>
    <w:rsid w:val="00BE1080"/>
    <w:rsid w:val="00BE36D6"/>
    <w:rsid w:val="00BE401B"/>
    <w:rsid w:val="00BE4746"/>
    <w:rsid w:val="00BE4D4C"/>
    <w:rsid w:val="00BE5C87"/>
    <w:rsid w:val="00BE6897"/>
    <w:rsid w:val="00BF0110"/>
    <w:rsid w:val="00BF2492"/>
    <w:rsid w:val="00BF2DC6"/>
    <w:rsid w:val="00BF5B9F"/>
    <w:rsid w:val="00BF6578"/>
    <w:rsid w:val="00BF6D45"/>
    <w:rsid w:val="00BF7594"/>
    <w:rsid w:val="00C000FF"/>
    <w:rsid w:val="00C01B8D"/>
    <w:rsid w:val="00C025B9"/>
    <w:rsid w:val="00C02B8C"/>
    <w:rsid w:val="00C03297"/>
    <w:rsid w:val="00C037D4"/>
    <w:rsid w:val="00C05891"/>
    <w:rsid w:val="00C05BF2"/>
    <w:rsid w:val="00C05D10"/>
    <w:rsid w:val="00C06738"/>
    <w:rsid w:val="00C07A04"/>
    <w:rsid w:val="00C1027E"/>
    <w:rsid w:val="00C10ACC"/>
    <w:rsid w:val="00C124C4"/>
    <w:rsid w:val="00C13962"/>
    <w:rsid w:val="00C13B64"/>
    <w:rsid w:val="00C148CE"/>
    <w:rsid w:val="00C15FA3"/>
    <w:rsid w:val="00C1648A"/>
    <w:rsid w:val="00C1698E"/>
    <w:rsid w:val="00C225CB"/>
    <w:rsid w:val="00C3173E"/>
    <w:rsid w:val="00C319BF"/>
    <w:rsid w:val="00C324A3"/>
    <w:rsid w:val="00C32652"/>
    <w:rsid w:val="00C33B60"/>
    <w:rsid w:val="00C3413F"/>
    <w:rsid w:val="00C348D7"/>
    <w:rsid w:val="00C35290"/>
    <w:rsid w:val="00C35B04"/>
    <w:rsid w:val="00C36A80"/>
    <w:rsid w:val="00C434D7"/>
    <w:rsid w:val="00C44516"/>
    <w:rsid w:val="00C448DE"/>
    <w:rsid w:val="00C44D5E"/>
    <w:rsid w:val="00C4649E"/>
    <w:rsid w:val="00C46A8C"/>
    <w:rsid w:val="00C5118E"/>
    <w:rsid w:val="00C519C6"/>
    <w:rsid w:val="00C51E30"/>
    <w:rsid w:val="00C5256F"/>
    <w:rsid w:val="00C53329"/>
    <w:rsid w:val="00C56CF9"/>
    <w:rsid w:val="00C6026B"/>
    <w:rsid w:val="00C63BA3"/>
    <w:rsid w:val="00C63E87"/>
    <w:rsid w:val="00C662CB"/>
    <w:rsid w:val="00C716BF"/>
    <w:rsid w:val="00C724DC"/>
    <w:rsid w:val="00C75C52"/>
    <w:rsid w:val="00C7607B"/>
    <w:rsid w:val="00C7715D"/>
    <w:rsid w:val="00C77686"/>
    <w:rsid w:val="00C843D1"/>
    <w:rsid w:val="00C859CA"/>
    <w:rsid w:val="00C86871"/>
    <w:rsid w:val="00C91127"/>
    <w:rsid w:val="00C91D44"/>
    <w:rsid w:val="00C945C9"/>
    <w:rsid w:val="00CA03D4"/>
    <w:rsid w:val="00CA3DA7"/>
    <w:rsid w:val="00CA46DE"/>
    <w:rsid w:val="00CA4F37"/>
    <w:rsid w:val="00CA5237"/>
    <w:rsid w:val="00CA552E"/>
    <w:rsid w:val="00CA66D2"/>
    <w:rsid w:val="00CB0C91"/>
    <w:rsid w:val="00CB2D20"/>
    <w:rsid w:val="00CB3142"/>
    <w:rsid w:val="00CB4BBB"/>
    <w:rsid w:val="00CC121A"/>
    <w:rsid w:val="00CC1DA5"/>
    <w:rsid w:val="00CC2553"/>
    <w:rsid w:val="00CC5E23"/>
    <w:rsid w:val="00CC7455"/>
    <w:rsid w:val="00CD4E8E"/>
    <w:rsid w:val="00CD7A6D"/>
    <w:rsid w:val="00CE1EB2"/>
    <w:rsid w:val="00CE4E6B"/>
    <w:rsid w:val="00CE69E5"/>
    <w:rsid w:val="00CE6F08"/>
    <w:rsid w:val="00CF0169"/>
    <w:rsid w:val="00CF0A7D"/>
    <w:rsid w:val="00CF0A8B"/>
    <w:rsid w:val="00CF30B6"/>
    <w:rsid w:val="00CF3529"/>
    <w:rsid w:val="00CF478F"/>
    <w:rsid w:val="00CF4E6C"/>
    <w:rsid w:val="00CF565E"/>
    <w:rsid w:val="00CF5C3B"/>
    <w:rsid w:val="00CF63FB"/>
    <w:rsid w:val="00CF7E84"/>
    <w:rsid w:val="00D00040"/>
    <w:rsid w:val="00D047CD"/>
    <w:rsid w:val="00D0694E"/>
    <w:rsid w:val="00D06C51"/>
    <w:rsid w:val="00D07135"/>
    <w:rsid w:val="00D07C24"/>
    <w:rsid w:val="00D11E06"/>
    <w:rsid w:val="00D12F78"/>
    <w:rsid w:val="00D132EC"/>
    <w:rsid w:val="00D1342E"/>
    <w:rsid w:val="00D135C2"/>
    <w:rsid w:val="00D15CC4"/>
    <w:rsid w:val="00D2198D"/>
    <w:rsid w:val="00D21D3B"/>
    <w:rsid w:val="00D22E58"/>
    <w:rsid w:val="00D2322F"/>
    <w:rsid w:val="00D24F78"/>
    <w:rsid w:val="00D26F18"/>
    <w:rsid w:val="00D30229"/>
    <w:rsid w:val="00D321FC"/>
    <w:rsid w:val="00D34CDB"/>
    <w:rsid w:val="00D40260"/>
    <w:rsid w:val="00D433DA"/>
    <w:rsid w:val="00D43A0C"/>
    <w:rsid w:val="00D440A9"/>
    <w:rsid w:val="00D45031"/>
    <w:rsid w:val="00D45A5B"/>
    <w:rsid w:val="00D5187B"/>
    <w:rsid w:val="00D5209A"/>
    <w:rsid w:val="00D55180"/>
    <w:rsid w:val="00D55F99"/>
    <w:rsid w:val="00D55FC4"/>
    <w:rsid w:val="00D56935"/>
    <w:rsid w:val="00D60A4D"/>
    <w:rsid w:val="00D6302A"/>
    <w:rsid w:val="00D644A2"/>
    <w:rsid w:val="00D675FF"/>
    <w:rsid w:val="00D676C5"/>
    <w:rsid w:val="00D67D93"/>
    <w:rsid w:val="00D70877"/>
    <w:rsid w:val="00D72364"/>
    <w:rsid w:val="00D73FB5"/>
    <w:rsid w:val="00D7414A"/>
    <w:rsid w:val="00D76C03"/>
    <w:rsid w:val="00D81FE9"/>
    <w:rsid w:val="00D8487E"/>
    <w:rsid w:val="00D84C81"/>
    <w:rsid w:val="00D84D86"/>
    <w:rsid w:val="00D86248"/>
    <w:rsid w:val="00D870F1"/>
    <w:rsid w:val="00D904D6"/>
    <w:rsid w:val="00D93CCE"/>
    <w:rsid w:val="00D93E37"/>
    <w:rsid w:val="00D940A8"/>
    <w:rsid w:val="00D96150"/>
    <w:rsid w:val="00DA14F6"/>
    <w:rsid w:val="00DA151B"/>
    <w:rsid w:val="00DA1F9E"/>
    <w:rsid w:val="00DA4491"/>
    <w:rsid w:val="00DA5326"/>
    <w:rsid w:val="00DA7192"/>
    <w:rsid w:val="00DA74CE"/>
    <w:rsid w:val="00DA769D"/>
    <w:rsid w:val="00DB0B23"/>
    <w:rsid w:val="00DB5AA9"/>
    <w:rsid w:val="00DB5B3D"/>
    <w:rsid w:val="00DB73BB"/>
    <w:rsid w:val="00DB7FFE"/>
    <w:rsid w:val="00DC0F3F"/>
    <w:rsid w:val="00DC1880"/>
    <w:rsid w:val="00DC3097"/>
    <w:rsid w:val="00DC3719"/>
    <w:rsid w:val="00DC40AD"/>
    <w:rsid w:val="00DC45B2"/>
    <w:rsid w:val="00DC460B"/>
    <w:rsid w:val="00DC6166"/>
    <w:rsid w:val="00DC768C"/>
    <w:rsid w:val="00DC7806"/>
    <w:rsid w:val="00DC7D1D"/>
    <w:rsid w:val="00DD0ACA"/>
    <w:rsid w:val="00DD2773"/>
    <w:rsid w:val="00DD37DF"/>
    <w:rsid w:val="00DD4767"/>
    <w:rsid w:val="00DD4B4C"/>
    <w:rsid w:val="00DD4B9E"/>
    <w:rsid w:val="00DD54CA"/>
    <w:rsid w:val="00DD55B1"/>
    <w:rsid w:val="00DD62F7"/>
    <w:rsid w:val="00DE1E3D"/>
    <w:rsid w:val="00DE2B9F"/>
    <w:rsid w:val="00DE3343"/>
    <w:rsid w:val="00DE43DE"/>
    <w:rsid w:val="00DE5400"/>
    <w:rsid w:val="00DE575F"/>
    <w:rsid w:val="00DE6437"/>
    <w:rsid w:val="00DF0417"/>
    <w:rsid w:val="00DF081F"/>
    <w:rsid w:val="00DF1F19"/>
    <w:rsid w:val="00DF75A3"/>
    <w:rsid w:val="00DF76C2"/>
    <w:rsid w:val="00DF7CCB"/>
    <w:rsid w:val="00E00E3D"/>
    <w:rsid w:val="00E02470"/>
    <w:rsid w:val="00E02C89"/>
    <w:rsid w:val="00E037F6"/>
    <w:rsid w:val="00E04D3E"/>
    <w:rsid w:val="00E06FE7"/>
    <w:rsid w:val="00E07318"/>
    <w:rsid w:val="00E10DD9"/>
    <w:rsid w:val="00E11397"/>
    <w:rsid w:val="00E146B1"/>
    <w:rsid w:val="00E14CFA"/>
    <w:rsid w:val="00E15964"/>
    <w:rsid w:val="00E16C90"/>
    <w:rsid w:val="00E17007"/>
    <w:rsid w:val="00E17620"/>
    <w:rsid w:val="00E20363"/>
    <w:rsid w:val="00E23E82"/>
    <w:rsid w:val="00E24AC6"/>
    <w:rsid w:val="00E26E35"/>
    <w:rsid w:val="00E304B0"/>
    <w:rsid w:val="00E31758"/>
    <w:rsid w:val="00E3275A"/>
    <w:rsid w:val="00E3548E"/>
    <w:rsid w:val="00E3655D"/>
    <w:rsid w:val="00E36B64"/>
    <w:rsid w:val="00E442B4"/>
    <w:rsid w:val="00E45214"/>
    <w:rsid w:val="00E45EF6"/>
    <w:rsid w:val="00E46033"/>
    <w:rsid w:val="00E50F07"/>
    <w:rsid w:val="00E5385C"/>
    <w:rsid w:val="00E55B8D"/>
    <w:rsid w:val="00E5629A"/>
    <w:rsid w:val="00E56B87"/>
    <w:rsid w:val="00E61D22"/>
    <w:rsid w:val="00E62BEE"/>
    <w:rsid w:val="00E63CDA"/>
    <w:rsid w:val="00E646C5"/>
    <w:rsid w:val="00E64ED3"/>
    <w:rsid w:val="00E662AF"/>
    <w:rsid w:val="00E672D7"/>
    <w:rsid w:val="00E7175C"/>
    <w:rsid w:val="00E73797"/>
    <w:rsid w:val="00E803F7"/>
    <w:rsid w:val="00E8349E"/>
    <w:rsid w:val="00E84CBD"/>
    <w:rsid w:val="00E85A68"/>
    <w:rsid w:val="00E85BC9"/>
    <w:rsid w:val="00E90BD5"/>
    <w:rsid w:val="00E940D7"/>
    <w:rsid w:val="00E94DE0"/>
    <w:rsid w:val="00E96C42"/>
    <w:rsid w:val="00E97E08"/>
    <w:rsid w:val="00EA0300"/>
    <w:rsid w:val="00EA2268"/>
    <w:rsid w:val="00EA2745"/>
    <w:rsid w:val="00EA6D30"/>
    <w:rsid w:val="00EA723F"/>
    <w:rsid w:val="00EB247C"/>
    <w:rsid w:val="00EB6D15"/>
    <w:rsid w:val="00EB779B"/>
    <w:rsid w:val="00EC6A2B"/>
    <w:rsid w:val="00EC7526"/>
    <w:rsid w:val="00EC7D82"/>
    <w:rsid w:val="00ED3B20"/>
    <w:rsid w:val="00ED745D"/>
    <w:rsid w:val="00EE13DD"/>
    <w:rsid w:val="00EE26EF"/>
    <w:rsid w:val="00EE401D"/>
    <w:rsid w:val="00EE5AE7"/>
    <w:rsid w:val="00EE5E2E"/>
    <w:rsid w:val="00EE6719"/>
    <w:rsid w:val="00EE72EA"/>
    <w:rsid w:val="00EF1B79"/>
    <w:rsid w:val="00EF3349"/>
    <w:rsid w:val="00EF3F42"/>
    <w:rsid w:val="00EF3F46"/>
    <w:rsid w:val="00EF728A"/>
    <w:rsid w:val="00F036B2"/>
    <w:rsid w:val="00F06804"/>
    <w:rsid w:val="00F075B2"/>
    <w:rsid w:val="00F10D48"/>
    <w:rsid w:val="00F13522"/>
    <w:rsid w:val="00F16C4A"/>
    <w:rsid w:val="00F20306"/>
    <w:rsid w:val="00F22EAA"/>
    <w:rsid w:val="00F24071"/>
    <w:rsid w:val="00F242DC"/>
    <w:rsid w:val="00F25823"/>
    <w:rsid w:val="00F268AF"/>
    <w:rsid w:val="00F27A12"/>
    <w:rsid w:val="00F3267A"/>
    <w:rsid w:val="00F32B6E"/>
    <w:rsid w:val="00F3673F"/>
    <w:rsid w:val="00F40E8C"/>
    <w:rsid w:val="00F418D3"/>
    <w:rsid w:val="00F428C1"/>
    <w:rsid w:val="00F51D6E"/>
    <w:rsid w:val="00F527EC"/>
    <w:rsid w:val="00F57DDD"/>
    <w:rsid w:val="00F61213"/>
    <w:rsid w:val="00F61BAE"/>
    <w:rsid w:val="00F639C8"/>
    <w:rsid w:val="00F6452E"/>
    <w:rsid w:val="00F66423"/>
    <w:rsid w:val="00F678CF"/>
    <w:rsid w:val="00F7047E"/>
    <w:rsid w:val="00F7100D"/>
    <w:rsid w:val="00F7288F"/>
    <w:rsid w:val="00F73107"/>
    <w:rsid w:val="00F73BC6"/>
    <w:rsid w:val="00F73FDA"/>
    <w:rsid w:val="00F741F8"/>
    <w:rsid w:val="00F74283"/>
    <w:rsid w:val="00F7522C"/>
    <w:rsid w:val="00F754AB"/>
    <w:rsid w:val="00F75FFE"/>
    <w:rsid w:val="00F76AB5"/>
    <w:rsid w:val="00F77F06"/>
    <w:rsid w:val="00F800E5"/>
    <w:rsid w:val="00F8193D"/>
    <w:rsid w:val="00F82F4F"/>
    <w:rsid w:val="00F83759"/>
    <w:rsid w:val="00F840F7"/>
    <w:rsid w:val="00F84978"/>
    <w:rsid w:val="00F85429"/>
    <w:rsid w:val="00F94811"/>
    <w:rsid w:val="00F95138"/>
    <w:rsid w:val="00F95B93"/>
    <w:rsid w:val="00FA06C6"/>
    <w:rsid w:val="00FA1C76"/>
    <w:rsid w:val="00FA4BF0"/>
    <w:rsid w:val="00FA6B5C"/>
    <w:rsid w:val="00FA73B2"/>
    <w:rsid w:val="00FA757F"/>
    <w:rsid w:val="00FA77DE"/>
    <w:rsid w:val="00FB209C"/>
    <w:rsid w:val="00FB2B29"/>
    <w:rsid w:val="00FB68F0"/>
    <w:rsid w:val="00FB7289"/>
    <w:rsid w:val="00FC02A7"/>
    <w:rsid w:val="00FC2F59"/>
    <w:rsid w:val="00FC329C"/>
    <w:rsid w:val="00FC3337"/>
    <w:rsid w:val="00FC3C47"/>
    <w:rsid w:val="00FC60B7"/>
    <w:rsid w:val="00FD0554"/>
    <w:rsid w:val="00FD0A73"/>
    <w:rsid w:val="00FD2BF8"/>
    <w:rsid w:val="00FD4EA5"/>
    <w:rsid w:val="00FD5C54"/>
    <w:rsid w:val="00FD7AAF"/>
    <w:rsid w:val="00FE3485"/>
    <w:rsid w:val="00FE5126"/>
    <w:rsid w:val="00FF160E"/>
    <w:rsid w:val="00FF6616"/>
    <w:rsid w:val="00FF6796"/>
    <w:rsid w:val="00FF71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white"/>
    </o:shapedefaults>
    <o:shapelayout v:ext="edit">
      <o:idmap v:ext="edit" data="2"/>
    </o:shapelayout>
  </w:shapeDefaults>
  <w:decimalSymbol w:val="."/>
  <w:listSeparator w:val=","/>
  <w14:docId w14:val="1FE49BBC"/>
  <w15:docId w15:val="{A2D4A931-602B-4D60-9752-036889E28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sz w:val="28"/>
        <w:szCs w:val="28"/>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231F"/>
    <w:rPr>
      <w:rFonts w:cs="Times New Roman (Body CS)"/>
    </w:rPr>
  </w:style>
  <w:style w:type="paragraph" w:styleId="1">
    <w:name w:val="heading 1"/>
    <w:basedOn w:val="Mainheadingstyle"/>
    <w:next w:val="a"/>
    <w:link w:val="10"/>
    <w:uiPriority w:val="9"/>
    <w:qFormat/>
    <w:rsid w:val="00C803DB"/>
    <w:pPr>
      <w:outlineLvl w:val="0"/>
    </w:pPr>
    <w:rPr>
      <w:rFonts w:ascii="Charter Roman" w:hAnsi="Charter Roman"/>
    </w:rPr>
  </w:style>
  <w:style w:type="paragraph" w:styleId="2">
    <w:name w:val="heading 2"/>
    <w:basedOn w:val="Mainheadingstyle"/>
    <w:next w:val="a"/>
    <w:link w:val="20"/>
    <w:uiPriority w:val="9"/>
    <w:unhideWhenUsed/>
    <w:qFormat/>
    <w:rsid w:val="00C803DB"/>
    <w:pPr>
      <w:outlineLvl w:val="1"/>
    </w:pPr>
    <w:rPr>
      <w:rFonts w:ascii="Charter Roman" w:hAnsi="Charter Roman"/>
    </w:rPr>
  </w:style>
  <w:style w:type="paragraph" w:styleId="3">
    <w:name w:val="heading 3"/>
    <w:basedOn w:val="2"/>
    <w:next w:val="a"/>
    <w:link w:val="30"/>
    <w:uiPriority w:val="9"/>
    <w:unhideWhenUsed/>
    <w:qFormat/>
    <w:rsid w:val="00347C8B"/>
    <w:pPr>
      <w:outlineLvl w:val="2"/>
    </w:pPr>
  </w:style>
  <w:style w:type="paragraph" w:styleId="4">
    <w:name w:val="heading 4"/>
    <w:basedOn w:val="a"/>
    <w:next w:val="a"/>
    <w:uiPriority w:val="9"/>
    <w:unhideWhenUsed/>
    <w:qFormat/>
    <w:pPr>
      <w:keepNext/>
      <w:keepLines/>
      <w:spacing w:before="240" w:after="40"/>
      <w:outlineLvl w:val="3"/>
    </w:pPr>
    <w:rPr>
      <w:b/>
      <w:sz w:val="24"/>
      <w:szCs w:val="24"/>
    </w:rPr>
  </w:style>
  <w:style w:type="paragraph" w:styleId="5">
    <w:name w:val="heading 5"/>
    <w:basedOn w:val="a"/>
    <w:next w:val="a"/>
    <w:uiPriority w:val="9"/>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Web">
    <w:name w:val="Normal (Web)"/>
    <w:basedOn w:val="a"/>
    <w:uiPriority w:val="99"/>
    <w:unhideWhenUsed/>
    <w:rsid w:val="0047231F"/>
    <w:pPr>
      <w:spacing w:before="100" w:beforeAutospacing="1" w:after="100" w:afterAutospacing="1"/>
    </w:pPr>
    <w:rPr>
      <w:rFonts w:eastAsia="Times New Roman" w:cs="Times New Roman"/>
    </w:rPr>
  </w:style>
  <w:style w:type="paragraph" w:customStyle="1" w:styleId="BodyA">
    <w:name w:val="Body A"/>
    <w:basedOn w:val="a"/>
    <w:next w:val="a"/>
    <w:link w:val="BodyAChar"/>
    <w:rsid w:val="0047231F"/>
    <w:pPr>
      <w:jc w:val="both"/>
    </w:pPr>
    <w:rPr>
      <w:rFonts w:eastAsia="Arial Unicode MS" w:cs="Arial Unicode MS"/>
      <w:color w:val="000000"/>
      <w:szCs w:val="22"/>
      <w:u w:color="000000"/>
      <w:lang w:val="ru-RU" w:eastAsia="en-US"/>
    </w:rPr>
  </w:style>
  <w:style w:type="character" w:customStyle="1" w:styleId="BodyAChar">
    <w:name w:val="Body A Char"/>
    <w:basedOn w:val="a0"/>
    <w:link w:val="BodyA"/>
    <w:rsid w:val="0047231F"/>
    <w:rPr>
      <w:rFonts w:ascii="Times New Roman" w:eastAsia="Arial Unicode MS" w:hAnsi="Times New Roman" w:cs="Arial Unicode MS"/>
      <w:color w:val="000000"/>
      <w:sz w:val="28"/>
      <w:szCs w:val="22"/>
      <w:u w:color="000000"/>
      <w:lang w:val="ru-RU" w:eastAsia="en-US"/>
    </w:rPr>
  </w:style>
  <w:style w:type="paragraph" w:customStyle="1" w:styleId="Mainheadingstyle">
    <w:name w:val="Main heading style"/>
    <w:basedOn w:val="BodyA"/>
    <w:qFormat/>
    <w:rsid w:val="002D44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line="360" w:lineRule="auto"/>
      <w:jc w:val="center"/>
    </w:pPr>
    <w:rPr>
      <w:rFonts w:eastAsiaTheme="minorEastAsia" w:cs="Times New Roman"/>
      <w:b/>
      <w:bCs/>
      <w:szCs w:val="28"/>
      <w:lang w:val="en-US"/>
    </w:rPr>
  </w:style>
  <w:style w:type="paragraph" w:styleId="a4">
    <w:name w:val="header"/>
    <w:basedOn w:val="a"/>
    <w:link w:val="a5"/>
    <w:uiPriority w:val="99"/>
    <w:unhideWhenUsed/>
    <w:rsid w:val="002D441E"/>
    <w:pPr>
      <w:tabs>
        <w:tab w:val="center" w:pos="4680"/>
        <w:tab w:val="right" w:pos="9360"/>
      </w:tabs>
    </w:pPr>
  </w:style>
  <w:style w:type="character" w:customStyle="1" w:styleId="a5">
    <w:name w:val="ヘッダー (文字)"/>
    <w:basedOn w:val="a0"/>
    <w:link w:val="a4"/>
    <w:uiPriority w:val="99"/>
    <w:rsid w:val="002D441E"/>
    <w:rPr>
      <w:rFonts w:ascii="Times New Roman" w:hAnsi="Times New Roman" w:cs="Times New Roman (Body CS)"/>
      <w:sz w:val="28"/>
    </w:rPr>
  </w:style>
  <w:style w:type="paragraph" w:styleId="a6">
    <w:name w:val="footer"/>
    <w:basedOn w:val="a"/>
    <w:link w:val="a7"/>
    <w:uiPriority w:val="99"/>
    <w:unhideWhenUsed/>
    <w:rsid w:val="002D441E"/>
    <w:pPr>
      <w:tabs>
        <w:tab w:val="center" w:pos="4680"/>
        <w:tab w:val="right" w:pos="9360"/>
      </w:tabs>
    </w:pPr>
  </w:style>
  <w:style w:type="character" w:customStyle="1" w:styleId="a7">
    <w:name w:val="フッター (文字)"/>
    <w:basedOn w:val="a0"/>
    <w:link w:val="a6"/>
    <w:uiPriority w:val="99"/>
    <w:rsid w:val="002D441E"/>
    <w:rPr>
      <w:rFonts w:ascii="Times New Roman" w:hAnsi="Times New Roman" w:cs="Times New Roman (Body CS)"/>
      <w:sz w:val="28"/>
    </w:rPr>
  </w:style>
  <w:style w:type="paragraph" w:customStyle="1" w:styleId="Style1">
    <w:name w:val="Style1"/>
    <w:basedOn w:val="2"/>
    <w:qFormat/>
    <w:rsid w:val="00663393"/>
    <w:pPr>
      <w:jc w:val="both"/>
    </w:pPr>
  </w:style>
  <w:style w:type="paragraph" w:customStyle="1" w:styleId="Style2">
    <w:name w:val="Style2"/>
    <w:basedOn w:val="Mainheadingstyle"/>
    <w:qFormat/>
    <w:rsid w:val="002D441E"/>
  </w:style>
  <w:style w:type="character" w:customStyle="1" w:styleId="10">
    <w:name w:val="見出し 1 (文字)"/>
    <w:basedOn w:val="a0"/>
    <w:link w:val="1"/>
    <w:uiPriority w:val="9"/>
    <w:rsid w:val="00C803DB"/>
    <w:rPr>
      <w:rFonts w:ascii="Charter Roman" w:hAnsi="Charter Roman" w:cs="Times New Roman"/>
      <w:b/>
      <w:bCs/>
      <w:color w:val="000000"/>
      <w:sz w:val="28"/>
      <w:szCs w:val="28"/>
      <w:u w:color="000000"/>
      <w:lang w:val="en-US" w:eastAsia="en-US"/>
    </w:rPr>
  </w:style>
  <w:style w:type="character" w:customStyle="1" w:styleId="20">
    <w:name w:val="見出し 2 (文字)"/>
    <w:basedOn w:val="a0"/>
    <w:link w:val="2"/>
    <w:uiPriority w:val="9"/>
    <w:rsid w:val="00C803DB"/>
    <w:rPr>
      <w:rFonts w:ascii="Charter Roman" w:hAnsi="Charter Roman" w:cs="Times New Roman"/>
      <w:b/>
      <w:bCs/>
      <w:color w:val="000000"/>
      <w:sz w:val="28"/>
      <w:szCs w:val="28"/>
      <w:u w:color="000000"/>
      <w:lang w:val="en-US" w:eastAsia="en-US"/>
    </w:rPr>
  </w:style>
  <w:style w:type="paragraph" w:styleId="11">
    <w:name w:val="toc 1"/>
    <w:basedOn w:val="a"/>
    <w:next w:val="a"/>
    <w:autoRedefine/>
    <w:uiPriority w:val="39"/>
    <w:unhideWhenUsed/>
    <w:rsid w:val="00DC5886"/>
    <w:pPr>
      <w:tabs>
        <w:tab w:val="right" w:leader="dot" w:pos="9350"/>
      </w:tabs>
      <w:spacing w:after="100"/>
    </w:pPr>
  </w:style>
  <w:style w:type="paragraph" w:styleId="21">
    <w:name w:val="toc 2"/>
    <w:basedOn w:val="a"/>
    <w:next w:val="a"/>
    <w:autoRedefine/>
    <w:uiPriority w:val="39"/>
    <w:unhideWhenUsed/>
    <w:rsid w:val="002D441E"/>
    <w:pPr>
      <w:spacing w:after="100"/>
      <w:ind w:left="280"/>
    </w:pPr>
  </w:style>
  <w:style w:type="character" w:styleId="a8">
    <w:name w:val="Hyperlink"/>
    <w:basedOn w:val="a0"/>
    <w:uiPriority w:val="99"/>
    <w:unhideWhenUsed/>
    <w:rsid w:val="002D441E"/>
    <w:rPr>
      <w:color w:val="0563C1" w:themeColor="hyperlink"/>
      <w:u w:val="single"/>
    </w:rPr>
  </w:style>
  <w:style w:type="paragraph" w:styleId="a9">
    <w:name w:val="List Paragraph"/>
    <w:basedOn w:val="a"/>
    <w:uiPriority w:val="34"/>
    <w:qFormat/>
    <w:rsid w:val="009E5948"/>
    <w:pPr>
      <w:ind w:left="720"/>
      <w:contextualSpacing/>
    </w:pPr>
  </w:style>
  <w:style w:type="character" w:styleId="aa">
    <w:name w:val="Placeholder Text"/>
    <w:basedOn w:val="a0"/>
    <w:uiPriority w:val="99"/>
    <w:semiHidden/>
    <w:rsid w:val="009F47F4"/>
    <w:rPr>
      <w:color w:val="808080"/>
    </w:rPr>
  </w:style>
  <w:style w:type="character" w:customStyle="1" w:styleId="30">
    <w:name w:val="見出し 3 (文字)"/>
    <w:basedOn w:val="a0"/>
    <w:link w:val="3"/>
    <w:uiPriority w:val="9"/>
    <w:rsid w:val="00347C8B"/>
    <w:rPr>
      <w:rFonts w:ascii="Charter Roman" w:hAnsi="Charter Roman" w:cs="Times New Roman"/>
      <w:b/>
      <w:bCs/>
      <w:color w:val="000000"/>
      <w:sz w:val="28"/>
      <w:szCs w:val="28"/>
      <w:u w:color="000000"/>
      <w:lang w:val="en-US" w:eastAsia="en-US"/>
    </w:rPr>
  </w:style>
  <w:style w:type="paragraph" w:styleId="31">
    <w:name w:val="toc 3"/>
    <w:basedOn w:val="a"/>
    <w:next w:val="a"/>
    <w:autoRedefine/>
    <w:uiPriority w:val="39"/>
    <w:unhideWhenUsed/>
    <w:rsid w:val="00361C07"/>
    <w:pPr>
      <w:spacing w:after="100"/>
      <w:ind w:left="560"/>
    </w:pPr>
  </w:style>
  <w:style w:type="character" w:styleId="ab">
    <w:name w:val="Unresolved Mention"/>
    <w:basedOn w:val="a0"/>
    <w:uiPriority w:val="99"/>
    <w:semiHidden/>
    <w:unhideWhenUsed/>
    <w:rsid w:val="008B45CF"/>
    <w:rPr>
      <w:color w:val="605E5C"/>
      <w:shd w:val="clear" w:color="auto" w:fill="E1DFDD"/>
    </w:rPr>
  </w:style>
  <w:style w:type="character" w:styleId="ac">
    <w:name w:val="FollowedHyperlink"/>
    <w:basedOn w:val="a0"/>
    <w:uiPriority w:val="99"/>
    <w:semiHidden/>
    <w:unhideWhenUsed/>
    <w:rsid w:val="000833D5"/>
    <w:rPr>
      <w:color w:val="954F72" w:themeColor="followedHyperlink"/>
      <w:u w:val="single"/>
    </w:rPr>
  </w:style>
  <w:style w:type="character" w:customStyle="1" w:styleId="apple-tab-span">
    <w:name w:val="apple-tab-span"/>
    <w:basedOn w:val="a0"/>
    <w:rsid w:val="00736EC9"/>
  </w:style>
  <w:style w:type="paragraph" w:styleId="ad">
    <w:name w:val="Revision"/>
    <w:hidden/>
    <w:uiPriority w:val="99"/>
    <w:semiHidden/>
    <w:rsid w:val="00AE0FB0"/>
    <w:rPr>
      <w:rFonts w:cs="Times New Roman (Body CS)"/>
    </w:r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12">
    <w:name w:val="1"/>
    <w:basedOn w:val="TableNormal"/>
    <w:tblPr>
      <w:tblStyleRowBandSize w:val="1"/>
      <w:tblStyleColBandSize w:val="1"/>
      <w:tblCellMar>
        <w:top w:w="15" w:type="dxa"/>
        <w:left w:w="15" w:type="dxa"/>
        <w:bottom w:w="15" w:type="dxa"/>
        <w:right w:w="15" w:type="dxa"/>
      </w:tblCellMar>
    </w:tblPr>
  </w:style>
  <w:style w:type="character" w:customStyle="1" w:styleId="citationsource-journal">
    <w:name w:val="citation_source-journal"/>
    <w:basedOn w:val="a0"/>
    <w:rsid w:val="003063DF"/>
  </w:style>
  <w:style w:type="paragraph" w:styleId="af">
    <w:name w:val="footnote text"/>
    <w:basedOn w:val="a"/>
    <w:link w:val="af0"/>
    <w:uiPriority w:val="99"/>
    <w:semiHidden/>
    <w:unhideWhenUsed/>
    <w:rsid w:val="00A357EF"/>
    <w:rPr>
      <w:sz w:val="20"/>
      <w:szCs w:val="20"/>
    </w:rPr>
  </w:style>
  <w:style w:type="character" w:customStyle="1" w:styleId="af0">
    <w:name w:val="脚注文字列 (文字)"/>
    <w:basedOn w:val="a0"/>
    <w:link w:val="af"/>
    <w:uiPriority w:val="99"/>
    <w:semiHidden/>
    <w:rsid w:val="00A357EF"/>
    <w:rPr>
      <w:rFonts w:cs="Times New Roman (Body CS)"/>
      <w:sz w:val="20"/>
      <w:szCs w:val="20"/>
    </w:rPr>
  </w:style>
  <w:style w:type="character" w:styleId="af1">
    <w:name w:val="footnote reference"/>
    <w:basedOn w:val="a0"/>
    <w:uiPriority w:val="99"/>
    <w:semiHidden/>
    <w:unhideWhenUsed/>
    <w:rsid w:val="00A357EF"/>
    <w:rPr>
      <w:vertAlign w:val="superscript"/>
    </w:rPr>
  </w:style>
  <w:style w:type="table" w:styleId="af2">
    <w:name w:val="Table Grid"/>
    <w:basedOn w:val="a1"/>
    <w:uiPriority w:val="39"/>
    <w:rsid w:val="001064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xx">
    <w:name w:val="html-xx"/>
    <w:basedOn w:val="a"/>
    <w:rsid w:val="000915B7"/>
    <w:pPr>
      <w:spacing w:before="100" w:beforeAutospacing="1" w:after="100" w:afterAutospacing="1"/>
    </w:pPr>
    <w:rPr>
      <w:rFonts w:eastAsia="Times New Roman" w:cs="Times New Roman"/>
      <w:sz w:val="24"/>
      <w:szCs w:val="24"/>
    </w:rPr>
  </w:style>
  <w:style w:type="character" w:customStyle="1" w:styleId="html-italic">
    <w:name w:val="html-italic"/>
    <w:basedOn w:val="a0"/>
    <w:rsid w:val="000915B7"/>
  </w:style>
  <w:style w:type="character" w:styleId="af3">
    <w:name w:val="Emphasis"/>
    <w:basedOn w:val="a0"/>
    <w:uiPriority w:val="20"/>
    <w:qFormat/>
    <w:rsid w:val="00397804"/>
    <w:rPr>
      <w:i/>
      <w:iCs/>
    </w:rPr>
  </w:style>
  <w:style w:type="character" w:customStyle="1" w:styleId="citationsource-book">
    <w:name w:val="citation_source-book"/>
    <w:basedOn w:val="a0"/>
    <w:rsid w:val="001A254C"/>
  </w:style>
  <w:style w:type="character" w:styleId="af4">
    <w:name w:val="annotation reference"/>
    <w:basedOn w:val="a0"/>
    <w:uiPriority w:val="99"/>
    <w:semiHidden/>
    <w:unhideWhenUsed/>
    <w:rsid w:val="00BF0110"/>
    <w:rPr>
      <w:sz w:val="16"/>
      <w:szCs w:val="16"/>
    </w:rPr>
  </w:style>
  <w:style w:type="paragraph" w:styleId="af5">
    <w:name w:val="annotation text"/>
    <w:basedOn w:val="a"/>
    <w:link w:val="af6"/>
    <w:uiPriority w:val="99"/>
    <w:unhideWhenUsed/>
    <w:rsid w:val="00BF0110"/>
    <w:rPr>
      <w:sz w:val="20"/>
      <w:szCs w:val="20"/>
    </w:rPr>
  </w:style>
  <w:style w:type="character" w:customStyle="1" w:styleId="af6">
    <w:name w:val="コメント文字列 (文字)"/>
    <w:basedOn w:val="a0"/>
    <w:link w:val="af5"/>
    <w:uiPriority w:val="99"/>
    <w:rsid w:val="00BF0110"/>
    <w:rPr>
      <w:rFonts w:cs="Times New Roman (Body CS)"/>
      <w:sz w:val="20"/>
      <w:szCs w:val="20"/>
    </w:rPr>
  </w:style>
  <w:style w:type="paragraph" w:styleId="af7">
    <w:name w:val="annotation subject"/>
    <w:basedOn w:val="af5"/>
    <w:next w:val="af5"/>
    <w:link w:val="af8"/>
    <w:uiPriority w:val="99"/>
    <w:semiHidden/>
    <w:unhideWhenUsed/>
    <w:rsid w:val="00BF0110"/>
    <w:rPr>
      <w:b/>
      <w:bCs/>
    </w:rPr>
  </w:style>
  <w:style w:type="character" w:customStyle="1" w:styleId="af8">
    <w:name w:val="コメント内容 (文字)"/>
    <w:basedOn w:val="af6"/>
    <w:link w:val="af7"/>
    <w:uiPriority w:val="99"/>
    <w:semiHidden/>
    <w:rsid w:val="00BF0110"/>
    <w:rPr>
      <w:rFonts w:cs="Times New Roman (Body CS)"/>
      <w:b/>
      <w:bCs/>
      <w:sz w:val="20"/>
      <w:szCs w:val="20"/>
    </w:rPr>
  </w:style>
  <w:style w:type="paragraph" w:styleId="af9">
    <w:name w:val="Date"/>
    <w:basedOn w:val="a"/>
    <w:next w:val="a"/>
    <w:link w:val="afa"/>
    <w:uiPriority w:val="99"/>
    <w:semiHidden/>
    <w:unhideWhenUsed/>
    <w:rsid w:val="0078058B"/>
  </w:style>
  <w:style w:type="character" w:customStyle="1" w:styleId="afa">
    <w:name w:val="日付 (文字)"/>
    <w:basedOn w:val="a0"/>
    <w:link w:val="af9"/>
    <w:uiPriority w:val="99"/>
    <w:semiHidden/>
    <w:rsid w:val="0078058B"/>
    <w:rPr>
      <w:rFonts w:cs="Times New Roman (Body 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34900">
      <w:bodyDiv w:val="1"/>
      <w:marLeft w:val="0"/>
      <w:marRight w:val="0"/>
      <w:marTop w:val="0"/>
      <w:marBottom w:val="0"/>
      <w:divBdr>
        <w:top w:val="none" w:sz="0" w:space="0" w:color="auto"/>
        <w:left w:val="none" w:sz="0" w:space="0" w:color="auto"/>
        <w:bottom w:val="none" w:sz="0" w:space="0" w:color="auto"/>
        <w:right w:val="none" w:sz="0" w:space="0" w:color="auto"/>
      </w:divBdr>
    </w:div>
    <w:div w:id="202792117">
      <w:bodyDiv w:val="1"/>
      <w:marLeft w:val="0"/>
      <w:marRight w:val="0"/>
      <w:marTop w:val="0"/>
      <w:marBottom w:val="0"/>
      <w:divBdr>
        <w:top w:val="none" w:sz="0" w:space="0" w:color="auto"/>
        <w:left w:val="none" w:sz="0" w:space="0" w:color="auto"/>
        <w:bottom w:val="none" w:sz="0" w:space="0" w:color="auto"/>
        <w:right w:val="none" w:sz="0" w:space="0" w:color="auto"/>
      </w:divBdr>
    </w:div>
    <w:div w:id="300616972">
      <w:bodyDiv w:val="1"/>
      <w:marLeft w:val="0"/>
      <w:marRight w:val="0"/>
      <w:marTop w:val="0"/>
      <w:marBottom w:val="0"/>
      <w:divBdr>
        <w:top w:val="none" w:sz="0" w:space="0" w:color="auto"/>
        <w:left w:val="none" w:sz="0" w:space="0" w:color="auto"/>
        <w:bottom w:val="none" w:sz="0" w:space="0" w:color="auto"/>
        <w:right w:val="none" w:sz="0" w:space="0" w:color="auto"/>
      </w:divBdr>
    </w:div>
    <w:div w:id="344014345">
      <w:bodyDiv w:val="1"/>
      <w:marLeft w:val="0"/>
      <w:marRight w:val="0"/>
      <w:marTop w:val="0"/>
      <w:marBottom w:val="0"/>
      <w:divBdr>
        <w:top w:val="none" w:sz="0" w:space="0" w:color="auto"/>
        <w:left w:val="none" w:sz="0" w:space="0" w:color="auto"/>
        <w:bottom w:val="none" w:sz="0" w:space="0" w:color="auto"/>
        <w:right w:val="none" w:sz="0" w:space="0" w:color="auto"/>
      </w:divBdr>
    </w:div>
    <w:div w:id="444538441">
      <w:bodyDiv w:val="1"/>
      <w:marLeft w:val="0"/>
      <w:marRight w:val="0"/>
      <w:marTop w:val="0"/>
      <w:marBottom w:val="0"/>
      <w:divBdr>
        <w:top w:val="none" w:sz="0" w:space="0" w:color="auto"/>
        <w:left w:val="none" w:sz="0" w:space="0" w:color="auto"/>
        <w:bottom w:val="none" w:sz="0" w:space="0" w:color="auto"/>
        <w:right w:val="none" w:sz="0" w:space="0" w:color="auto"/>
      </w:divBdr>
    </w:div>
    <w:div w:id="533348491">
      <w:bodyDiv w:val="1"/>
      <w:marLeft w:val="0"/>
      <w:marRight w:val="0"/>
      <w:marTop w:val="0"/>
      <w:marBottom w:val="0"/>
      <w:divBdr>
        <w:top w:val="none" w:sz="0" w:space="0" w:color="auto"/>
        <w:left w:val="none" w:sz="0" w:space="0" w:color="auto"/>
        <w:bottom w:val="none" w:sz="0" w:space="0" w:color="auto"/>
        <w:right w:val="none" w:sz="0" w:space="0" w:color="auto"/>
      </w:divBdr>
    </w:div>
    <w:div w:id="713700042">
      <w:bodyDiv w:val="1"/>
      <w:marLeft w:val="0"/>
      <w:marRight w:val="0"/>
      <w:marTop w:val="0"/>
      <w:marBottom w:val="0"/>
      <w:divBdr>
        <w:top w:val="none" w:sz="0" w:space="0" w:color="auto"/>
        <w:left w:val="none" w:sz="0" w:space="0" w:color="auto"/>
        <w:bottom w:val="none" w:sz="0" w:space="0" w:color="auto"/>
        <w:right w:val="none" w:sz="0" w:space="0" w:color="auto"/>
      </w:divBdr>
    </w:div>
    <w:div w:id="739864174">
      <w:bodyDiv w:val="1"/>
      <w:marLeft w:val="0"/>
      <w:marRight w:val="0"/>
      <w:marTop w:val="0"/>
      <w:marBottom w:val="0"/>
      <w:divBdr>
        <w:top w:val="none" w:sz="0" w:space="0" w:color="auto"/>
        <w:left w:val="none" w:sz="0" w:space="0" w:color="auto"/>
        <w:bottom w:val="none" w:sz="0" w:space="0" w:color="auto"/>
        <w:right w:val="none" w:sz="0" w:space="0" w:color="auto"/>
      </w:divBdr>
    </w:div>
    <w:div w:id="802161144">
      <w:bodyDiv w:val="1"/>
      <w:marLeft w:val="0"/>
      <w:marRight w:val="0"/>
      <w:marTop w:val="0"/>
      <w:marBottom w:val="0"/>
      <w:divBdr>
        <w:top w:val="none" w:sz="0" w:space="0" w:color="auto"/>
        <w:left w:val="none" w:sz="0" w:space="0" w:color="auto"/>
        <w:bottom w:val="none" w:sz="0" w:space="0" w:color="auto"/>
        <w:right w:val="none" w:sz="0" w:space="0" w:color="auto"/>
      </w:divBdr>
    </w:div>
    <w:div w:id="888414364">
      <w:bodyDiv w:val="1"/>
      <w:marLeft w:val="0"/>
      <w:marRight w:val="0"/>
      <w:marTop w:val="0"/>
      <w:marBottom w:val="0"/>
      <w:divBdr>
        <w:top w:val="none" w:sz="0" w:space="0" w:color="auto"/>
        <w:left w:val="none" w:sz="0" w:space="0" w:color="auto"/>
        <w:bottom w:val="none" w:sz="0" w:space="0" w:color="auto"/>
        <w:right w:val="none" w:sz="0" w:space="0" w:color="auto"/>
      </w:divBdr>
    </w:div>
    <w:div w:id="1446194415">
      <w:bodyDiv w:val="1"/>
      <w:marLeft w:val="0"/>
      <w:marRight w:val="0"/>
      <w:marTop w:val="0"/>
      <w:marBottom w:val="0"/>
      <w:divBdr>
        <w:top w:val="none" w:sz="0" w:space="0" w:color="auto"/>
        <w:left w:val="none" w:sz="0" w:space="0" w:color="auto"/>
        <w:bottom w:val="none" w:sz="0" w:space="0" w:color="auto"/>
        <w:right w:val="none" w:sz="0" w:space="0" w:color="auto"/>
      </w:divBdr>
    </w:div>
    <w:div w:id="1667975797">
      <w:bodyDiv w:val="1"/>
      <w:marLeft w:val="0"/>
      <w:marRight w:val="0"/>
      <w:marTop w:val="0"/>
      <w:marBottom w:val="0"/>
      <w:divBdr>
        <w:top w:val="none" w:sz="0" w:space="0" w:color="auto"/>
        <w:left w:val="none" w:sz="0" w:space="0" w:color="auto"/>
        <w:bottom w:val="none" w:sz="0" w:space="0" w:color="auto"/>
        <w:right w:val="none" w:sz="0" w:space="0" w:color="auto"/>
      </w:divBdr>
    </w:div>
    <w:div w:id="1978221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hyperlink" Target="https://doi.org/10.3390/su151310650" TargetMode="External"/><Relationship Id="rId63" Type="http://schemas.openxmlformats.org/officeDocument/2006/relationships/hyperlink" Target="https://doi.org/https:/doi.org/10.1002/csr.194" TargetMode="External"/><Relationship Id="rId68" Type="http://schemas.openxmlformats.org/officeDocument/2006/relationships/hyperlink" Target="https://doi.org/10.1007/BF00382826" TargetMode="External"/><Relationship Id="rId84" Type="http://schemas.openxmlformats.org/officeDocument/2006/relationships/hyperlink" Target="https://doi.org/https:/doi.org/10.1016/j.cpa.2010.06.020" TargetMode="External"/><Relationship Id="rId89" Type="http://schemas.openxmlformats.org/officeDocument/2006/relationships/hyperlink" Target="https://doi.org/10.1007/s11846-010-0052-3" TargetMode="External"/><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hyperlink" Target="https://www.marshmclennan.com/insights/publications/2020/may/esg-as-a-workforce-strategy.html" TargetMode="External"/><Relationship Id="rId58" Type="http://schemas.openxmlformats.org/officeDocument/2006/relationships/hyperlink" Target="https://www2.deloitte.com/content/dam/Deloitte/ce/Documents/about-deloitte/ce_table_ratings_esg_eng.pdf" TargetMode="External"/><Relationship Id="rId74" Type="http://schemas.openxmlformats.org/officeDocument/2006/relationships/hyperlink" Target="https://doi.org/https:/doi.org/10.1007/s10551-008-9892-z" TargetMode="External"/><Relationship Id="rId79" Type="http://schemas.openxmlformats.org/officeDocument/2006/relationships/hyperlink" Target="https://doi.org/https:/doi.org/10.1002/csr.1466" TargetMode="External"/><Relationship Id="rId5" Type="http://schemas.openxmlformats.org/officeDocument/2006/relationships/customXml" Target="../customXml/item5.xml"/><Relationship Id="rId90" Type="http://schemas.openxmlformats.org/officeDocument/2006/relationships/hyperlink" Target="https://doi.org/10.1007/s11846-010-0052-3" TargetMode="External"/><Relationship Id="rId95" Type="http://schemas.openxmlformats.org/officeDocument/2006/relationships/hyperlink" Target="https://doi.org/https:/doi.org/10.1016/j.accfor.2011.06.007"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hyperlink" Target="https://www.mckinsey.com/industries/consumer-packaged-goods/our-insights/how-to-prepare-for-a-sustainable-future-along-the-value-chain" TargetMode="External"/><Relationship Id="rId64" Type="http://schemas.openxmlformats.org/officeDocument/2006/relationships/hyperlink" Target="https://doi.org/https:/doi.org/10.1002/csr.194" TargetMode="External"/><Relationship Id="rId69" Type="http://schemas.openxmlformats.org/officeDocument/2006/relationships/hyperlink" Target="https://doi.org/10.1007/s10551-008-9968-9" TargetMode="External"/><Relationship Id="rId80" Type="http://schemas.openxmlformats.org/officeDocument/2006/relationships/hyperlink" Target="https://doi.org/https:/doi.org/10.1002/csr.1466" TargetMode="External"/><Relationship Id="rId85" Type="http://schemas.openxmlformats.org/officeDocument/2006/relationships/hyperlink" Target="https://doi.org/https:/doi.org/10.1002/csr.1410" TargetMode="External"/><Relationship Id="rId3" Type="http://schemas.openxmlformats.org/officeDocument/2006/relationships/customXml" Target="../customXml/item3.xml"/><Relationship Id="rId12" Type="http://schemas.openxmlformats.org/officeDocument/2006/relationships/customXml" Target="ink/ink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footprintnetwork.org/2019/06/26/press-release-june-2019-earth-overshoot-day/" TargetMode="External"/><Relationship Id="rId59" Type="http://schemas.openxmlformats.org/officeDocument/2006/relationships/hyperlink" Target="https://www.oecd-ilibrary.org/sites/5ad33666-en/index.html?itemId=/content/component/5ad33666-en" TargetMode="External"/><Relationship Id="rId67" Type="http://schemas.openxmlformats.org/officeDocument/2006/relationships/hyperlink" Target="https://doi.org/10.1007/BF00382826"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yperlink" Target="https://doi.org/10.1007/s43615-023-00251-8" TargetMode="External"/><Relationship Id="rId62" Type="http://schemas.openxmlformats.org/officeDocument/2006/relationships/hyperlink" Target="https://doi.org/10.3390/su6117646" TargetMode="External"/><Relationship Id="rId70" Type="http://schemas.openxmlformats.org/officeDocument/2006/relationships/hyperlink" Target="https://doi.org/10.1007/s10551-008-9968-9" TargetMode="External"/><Relationship Id="rId75" Type="http://schemas.openxmlformats.org/officeDocument/2006/relationships/hyperlink" Target="https://doi.org/10.5465/amr.1995.9508080331" TargetMode="External"/><Relationship Id="rId83" Type="http://schemas.openxmlformats.org/officeDocument/2006/relationships/hyperlink" Target="https://doi.org/https:/doi.org/10.1016/j.cpa.2010.06.020" TargetMode="External"/><Relationship Id="rId88" Type="http://schemas.openxmlformats.org/officeDocument/2006/relationships/hyperlink" Target="https://doi.org/10.1007/s11846-010-0052-3" TargetMode="External"/><Relationship Id="rId91" Type="http://schemas.openxmlformats.org/officeDocument/2006/relationships/hyperlink" Target="https://doi.org/https:/doi.org/10.1108/00251740810901417" TargetMode="External"/><Relationship Id="rId96" Type="http://schemas.openxmlformats.org/officeDocument/2006/relationships/hyperlink" Target="https://doi.org/https:/doi.org/10.1016/j.accfor.2011.06.007"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online.hbs.edu/blog/post/corporate-social-responsibility-statistics" TargetMode="External"/><Relationship Id="rId57" Type="http://schemas.openxmlformats.org/officeDocument/2006/relationships/hyperlink" Target="https://corpgov.law.harvard.edu/2017/07/27/esg-reports-and-ratings-what-they-are-why-they-matter/"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www.mckinsey.com/capabilities/strategy-and-corporate-finance/our-insights/investors-want-to-hear-from-companies-about-the-value-of-sustainability" TargetMode="External"/><Relationship Id="rId60" Type="http://schemas.openxmlformats.org/officeDocument/2006/relationships/hyperlink" Target="https://doi.org/10.1108/14720700710756535" TargetMode="External"/><Relationship Id="rId65" Type="http://schemas.openxmlformats.org/officeDocument/2006/relationships/hyperlink" Target="https://doi.org/https:/doi.org/10.1002/csr.194" TargetMode="External"/><Relationship Id="rId73" Type="http://schemas.openxmlformats.org/officeDocument/2006/relationships/hyperlink" Target="https://doi.org/https:/doi.org/10.1007/s10551-008-9892-z" TargetMode="External"/><Relationship Id="rId78" Type="http://schemas.openxmlformats.org/officeDocument/2006/relationships/hyperlink" Target="https://doi.org/10.1007/s10551-007-9402-8" TargetMode="External"/><Relationship Id="rId81" Type="http://schemas.openxmlformats.org/officeDocument/2006/relationships/hyperlink" Target="https://doi.org/https:/doi.org/10.1002/csr.1466" TargetMode="External"/><Relationship Id="rId86" Type="http://schemas.openxmlformats.org/officeDocument/2006/relationships/hyperlink" Target="https://doi.org/https:/doi.org/10.1002/csr.1410" TargetMode="External"/><Relationship Id="rId94" Type="http://schemas.openxmlformats.org/officeDocument/2006/relationships/hyperlink" Target="https://doi.org/https:/doi.org/10.1016/j.accfor.2011.06.007"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hyperlink" Target="https://corpgov.law.harvard.edu/2013/12/28/the-corporate-social-responsibility-report-and-effective-stakeholder-engagement/" TargetMode="External"/><Relationship Id="rId55" Type="http://schemas.openxmlformats.org/officeDocument/2006/relationships/hyperlink" Target="https://www.sompo-hd.com/en/csr/communications/policy/" TargetMode="External"/><Relationship Id="rId76" Type="http://schemas.openxmlformats.org/officeDocument/2006/relationships/hyperlink" Target="https://doi.org/10.1007/s10551-007-9402-8" TargetMode="External"/><Relationship Id="rId97" Type="http://schemas.openxmlformats.org/officeDocument/2006/relationships/footer" Target="footer2.xml"/><Relationship Id="rId7" Type="http://schemas.openxmlformats.org/officeDocument/2006/relationships/styles" Target="styles.xml"/><Relationship Id="rId71" Type="http://schemas.openxmlformats.org/officeDocument/2006/relationships/hyperlink" Target="https://doi.org/10.1007/s10551-008-9968-9" TargetMode="External"/><Relationship Id="rId92" Type="http://schemas.openxmlformats.org/officeDocument/2006/relationships/hyperlink" Target="https://doi.org/https:/doi.org/10.1108/00251740810901417"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https://doi.org/10.1007/BF00382826" TargetMode="External"/><Relationship Id="rId87" Type="http://schemas.openxmlformats.org/officeDocument/2006/relationships/hyperlink" Target="https://doi.org/https:/doi.org/10.1002/csr.1410" TargetMode="External"/><Relationship Id="rId61" Type="http://schemas.openxmlformats.org/officeDocument/2006/relationships/hyperlink" Target="https://pubsonline.informs.org/doi/abs/10.1287/mnsc.2021.4064" TargetMode="External"/><Relationship Id="rId82" Type="http://schemas.openxmlformats.org/officeDocument/2006/relationships/hyperlink" Target="https://doi.org/https:/doi.org/10.1016/j.cpa.2010.06.020" TargetMode="External"/><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hyperlink" Target="https://www2.deloitte.com/ce/en/pages/about-deloitte/articles/esg-ratings-do-they-add-value.html" TargetMode="External"/><Relationship Id="rId77" Type="http://schemas.openxmlformats.org/officeDocument/2006/relationships/hyperlink" Target="https://doi.org/10.1007/s10551-007-9402-8" TargetMode="External"/><Relationship Id="rId8" Type="http://schemas.openxmlformats.org/officeDocument/2006/relationships/settings" Target="settings.xml"/><Relationship Id="rId51" Type="http://schemas.openxmlformats.org/officeDocument/2006/relationships/hyperlink" Target="https://www.ey.com/en_us/insights/assurance/why-esg-performance-is-growing-in-importance-for-investors" TargetMode="External"/><Relationship Id="rId72" Type="http://schemas.openxmlformats.org/officeDocument/2006/relationships/hyperlink" Target="https://doi.org/https:/doi.org/10.1007/s10551-008-9892-z" TargetMode="External"/><Relationship Id="rId93" Type="http://schemas.openxmlformats.org/officeDocument/2006/relationships/hyperlink" Target="https://doi.org/https:/doi.org/10.1108/00251740810901417" TargetMode="External"/><Relationship Id="rId98"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22T11:48:57.601"/>
    </inkml:context>
    <inkml:brush xml:id="br0">
      <inkml:brushProperty name="width" value="0.035" units="cm"/>
      <inkml:brushProperty name="height" value="0.035" units="cm"/>
    </inkml:brush>
  </inkml:definitions>
  <inkml:trace contextRef="#ctx0" brushRef="#br0">693 80 24575,'-2'2'0,"-1"-1"0,0 0 0,0 1 0,1 0 0,-1 0 0,1 0 0,-1 0 0,1 0 0,0 0 0,-4 5 0,-17 29 0,15-23 0,-75 129 0,69-115 0,2 0 0,1 1 0,-11 42 0,17-48 0,2-1 0,-2 42 0,8 46 0,0-39 0,-3-63 0,0 4 0,0 0 0,1 0 0,0 0 0,4 13 0,-4-21 0,0 1 0,0-1 0,1 1 0,0-1 0,-1 0 0,1 0 0,0 0 0,1 0 0,-1 0 0,0 0 0,1 0 0,0-1 0,0 0 0,0 1 0,0-1 0,5 3 0,0-1 0,0-1 0,0 1 0,0-1 0,1-1 0,-1 0 0,1 0 0,0-1 0,-1 0 0,1 0 0,0-1 0,0 0 0,-1 0 0,1-1 0,0-1 0,0 1 0,14-6 0,-11 3 0,0-1 0,0 0 0,0-1 0,-1 0 0,0-1 0,0 0 0,0-1 0,-1 0 0,-1-1 0,15-15 0,17-22 0,-12 14 0,38-56 0,-59 77 0,-1 0 0,-1-1 0,0 0 0,-1-1 0,0 1 0,-1-1 0,0 0 0,-1 0 0,2-18 0,-3 11 0,-1 0 0,1 1 0,9-37 0,-9 52 0,0 4 0,-1 10 0,-2 9 0,-1 1 0,-1-1 0,-8 33 0,-25 55 0,24-71 0,-2 4 0,-68 207 0,57-158 0,-61 194 0,67-240 0,-45 77 0,30-60 0,-116 192 0,132-224 0,-76 136 0,52-86 0,23-45 0,-28 37 0,-6 12 0,25-35 0,19-36 0,0 0 0,0-1 0,-1 0 0,-1 0 0,0-1 0,-15 10 0,-11 10 0,36-28 0,0 0 0,0-1 0,1 1 0,-1-1 0,0 1 0,0-1 0,0 1 0,0-1 0,0 1 0,0-1 0,0 0 0,0 1 0,0-1 0,0 0 0,0 0 0,0 0 0,0 0 0,0 0 0,0 0 0,0 0 0,0 0 0,0 0 0,0-1 0,0 1 0,0 0 0,0-1 0,0 1 0,0 0 0,1-1 0,-1 1 0,0-1 0,0 0 0,0 1 0,-1-2 0,0 0 0,-1-1 0,1 0 0,0 0 0,0 0 0,0 0 0,0 0 0,1 0 0,-1 0 0,0-4 0,-3-9 0,0-1 0,2 0 0,0 0 0,1 0 0,0 0 0,2 0 0,0-1 0,1 1 0,0 0 0,2 0 0,0 0 0,8-25 0,-1 13 0,1 0 0,2 0 0,1 1 0,1 1 0,1 0 0,22-27 0,-17 24 0,26-50 0,-5 6 0,4 0 0,131-195 0,370-405-950,-532 656 945,94-123 5,-91 116 0,44-49 635,-24 32-315,-31 33-320,22-24 0,-27 32 0,0-1 0,0 1 0,0-1 0,0 1 0,0 0 0,0-1 0,0 1 0,0 0 0,0 0 0,1 1 0,-1-1 0,0 0 0,1 1 0,3-1 0,-6 1 0,0 0 0,1 0 0,-1 0 0,0 0 0,1 0 0,-1 0 0,0 0 0,0 0 0,1 0 0,-1 0 0,0 0 0,1 1 0,-1-1 0,0 0 0,0 0 0,1 0 0,-1 0 0,0 1 0,0-1 0,1 0 0,-1 0 0,0 1 0,0-1 0,0 0 0,1 0 0,-1 1 0,0-1 0,0 0 0,0 0 0,0 1 0,0-1 0,0 0 0,0 1 0,0-1 0,1 0 0,-1 1 0,0-1 0,0 0 0,0 0 0,0 1 0,0-1 0,-1 0 0,1 1 0,0-1 0,0 0 0,0 1 0,0-1 0,0 0 0,0 0 0,0 1 0,-1-1 0,1 1 0,-12 20 0,8-15 0,-70 136 0,25-43 0,-42 110 0,25-47 0,59-149 0,-76 149 0,76-149 0,0 0 0,0 1 0,2 0 0,-1 0 0,2 0 0,0 1 0,1-1 0,0 1 0,1 0 0,1 0 0,0 0 0,1 0 0,3 28 0,-3-42 0,0 0 0,1 0 0,-1 0 0,0 0 0,0 0 0,0 0 0,1 0 0,-1 0 0,0 0 0,1 0 0,-1 0 0,1 0 0,-1 0 0,1 0 0,0-1 0,-1 1 0,1 0 0,0 0 0,0 0 0,-1-1 0,1 1 0,0 0 0,0-1 0,1 1 0,0 0 0,-1-1 0,1 0 0,-1 0 0,1 0 0,-1 0 0,1 0 0,-1 0 0,0-1 0,1 1 0,-1 0 0,1-1 0,-1 1 0,0-1 0,1 0 0,1 0 0,4-4 0,0 0 0,-1 0 0,1 0 0,-1 0 0,6-8 0,1-3 0,-1 0 0,-1-1 0,0-1 0,-1 1 0,12-32 0,28-102 0,-42 123 0,-2 1 0,0-1 0,-2 0 0,1-29 0,-5 53 0,0 1 0,0 0 0,-1 0 0,1 0 0,-1 0 0,1 0 0,-1 0 0,0 0 0,0 0 0,0 0 0,-1 0 0,1 0 0,-3-4 0,2 5 0,0 0 0,0 1 0,0-1 0,0 0 0,0 1 0,-1-1 0,1 1 0,0 0 0,-1-1 0,1 1 0,-1 1 0,1-1 0,-1 0 0,1 0 0,-6 0 0,-3 0 0,1 0 0,-1 0 0,1 1 0,-1 0 0,-18 4 0,24-3 0,-1 0 0,1 1 0,0 0 0,0 0 0,0 0 0,0 1 0,0 0 0,1 0 0,-1 0 0,1 0 0,-1 1 0,-6 6 0,0 4 0,-14 22 0,0 0 0,18-26 0,0 0 0,0 1 0,1-1 0,-10 24 0,14-28 0,0-1 0,1 1 0,-1-1 0,1 1 0,0 0 0,1 0 0,-1-1 0,1 1 0,1 0 0,-1 0 0,1 0 0,2 9 0,-2-12 0,0-1 0,0 1 0,0 0 0,1-1 0,-1 1 0,1-1 0,0 0 0,0 0 0,0 1 0,0-1 0,0 0 0,0-1 0,0 1 0,1 0 0,-1-1 0,1 1 0,-1-1 0,1 0 0,-1 1 0,1-1 0,0-1 0,0 1 0,0 0 0,4 0 0,8 1 0,-1-1 0,1-1 0,24-2 0,-19 1 0,-12 1 0,-1-1 0,1 0 0,0-1 0,-1 0 0,1 0 0,-1 0 0,1-1 0,-1 0 0,0-1 0,0 1 0,-1-2 0,1 1 0,-1-1 0,0 1 0,0-2 0,10-10 0,2-2 0,0-1 0,-2-1 0,0-1 0,-1-1 0,18-34 0,33-97 0,-21 45 0,-37 93 0,1 0 0,1 1 0,0 0 0,21-21 0,-12 13 0,21-21 0,-22 24 0,28-37 0,37-77 0,18-24 0,-59 96 0,-38 54 0,0 0 0,-1-1 0,0 1 0,0-1 0,-1 1 0,3-16 0,-4 23 0,-1-1 0,0 1 0,0-1 0,0 0 0,0 1 0,0-1 0,0 0 0,0 1 0,0-1 0,0 0 0,0 1 0,0-1 0,0 1 0,0-1 0,-1 0 0,1 1 0,0-1 0,0 1 0,-1-1 0,1 0 0,0 1 0,-1-1 0,1 1 0,-1-1 0,1 1 0,-1-1 0,0 1 0,1-1 0,-1 1 0,0 0 0,0 0 0,0 0 0,0 0 0,0 0 0,0 0 0,0 0 0,0 0 0,0 0 0,0 0 0,0 0 0,0 0 0,0 1 0,-1 0 0,-5 2 0,1 0 0,0 0 0,-10 8 0,8-6 0,1 1 0,0 0 0,1 0 0,-1 1 0,1 0 0,1 0 0,-1 1 0,1-1 0,0 1 0,1 0 0,0 0 0,0 1 0,1-1 0,-3 12 0,-9 45 0,-12 114 0,16-89 0,-76 541 0,56-451 0,16-107 0,-8 107 0,21-155 0,0 3 0,1 0 0,6 54 0,-5-79 0,1 0 0,-1-1 0,1 1 0,0-1 0,0 1 0,0-1 0,1 1 0,-1-1 0,0 1 0,1-1 0,0 0 0,-1 0 0,1 0 0,0 0 0,0 0 0,0 0 0,0-1 0,1 1 0,-1-1 0,0 1 0,1-1 0,-1 0 0,1 0 0,-1 0 0,1 0 0,-1 0 0,1-1 0,0 1 0,-1-1 0,1 1 0,0-1 0,0 0 0,-1 0 0,1-1 0,0 1 0,-1 0 0,1-1 0,0 0 0,-1 1 0,1-1 0,-1 0 0,1 0 0,-1-1 0,3-1 0,4-4 0,0 0 0,14-16 0,5-5 0,-13 14 0,-1-1 0,-1-1 0,0 0 0,-1 0 0,-1-1 0,-1-1 0,0 0 0,-1-1 0,-1 1 0,-1-1 0,6-27 0,-5 13 0,-1 0 0,-2 0 0,-2-1 0,-1 0 0,-1 1 0,-5-39 0,4 69 0,0 0 0,-1-1 0,1 1 0,-1 0 0,0-1 0,0 1 0,0 0 0,-1 0 0,1 0 0,-1 0 0,1 0 0,-5-4 0,4 5 0,0 0 0,0 0 0,-1 0 0,1 0 0,-1 1 0,1-1 0,-1 1 0,1 0 0,-1 0 0,0 0 0,1 0 0,-1 0 0,0 1 0,-5-1 0,-1-1 0,-1 2 0,1-1 0,0 2 0,0-1 0,-16 3 0,19-1 0,1-1 0,0 1 0,-1 0 0,1 0 0,0 0 0,0 1 0,0 0 0,1 0 0,-1 0 0,-6 6 0,-1 3 0,8-9 0,6-8 0,7-8 0,76-103 0,-79 108 0,0-1 0,1 1 0,0 0 0,1 1 0,0-1 0,0 2 0,0-1 0,18-9 0,4 0 0,47-17 0,-45 21 0,34-19 0,-63 29 0,6-3 0,-1 1 0,1 0 0,0 0 0,15-4 0,-23 7 0,1 1 0,-1-1 0,1 1 0,0 0 0,-1 0 0,1 0 0,0 0 0,-1 0 0,1 0 0,-1 0 0,1 0 0,0 1 0,-1-1 0,1 1 0,-1-1 0,1 1 0,-1-1 0,1 1 0,-1 0 0,1 0 0,-1 0 0,0 0 0,1 0 0,-1 0 0,0 0 0,0 0 0,0 0 0,0 1 0,0-1 0,0 0 0,0 1 0,0-1 0,-1 1 0,2 2 0,0 4 0,1 1 0,-1 0 0,-1 0 0,0-1 0,0 17 0,-4 46 0,2-54 0,2-14 0,4-6 0,7-12 0,-10 12 0,7-10 0,1 0 0,-2 0 0,0-1 0,9-21 0,-14 29 0,0 0 0,0 0 0,1 0 0,0 0 0,0 1 0,1-1 0,-1 1 0,1 0 0,0 0 0,1 1 0,-1 0 0,12-7 0,-10 5 0,0 0 0,0-1 0,0 0 0,0 0 0,-1-1 0,7-12 0,2 0 0,-5 5-682,14-24-1,-12 15-6143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ryNPMNk0PMbgPxpldy7c4brT5VQ==">AMUW2mUV38QwKFSGQ+FTCyJkrVL7Vfqzfg6FiVDcNOVYodOTwEtsWoMFul6e4jt5J3fq8oJQuMolJ6z7y4fFCw+S4IaaRAt/M/qkBySzBKIzx3+HhJNO7XnBX6O5Fu9VHaRrpmv7K7PLoB+GZF2cYKevdVwWLYfK72q0eD0vqk2Bu+Y2ONDSapzpQTbwl7jPtC39DM3c5y8Nn0oLegtUCtAnSq4+8p8EoGGGN4GXTxgK8hT6lEda7hI1SG52TvLjEcC0fI7nilmJXKSzwSSa6PASJxY1X6ov+H50/pNxSnWSIt2p2aAcYCBlkHrdJFnwnI3IyXMFcGhwJLIVeysaU2SkQeYZDUI+cZHpqRZdytYwlg8NtBM571M=</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activity xmlns="2949dea7-ddbf-4587-ad5c-c229b2af5f0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Документ" ma:contentTypeID="0x01010084FE9C82B06B2C4090075BCFECF62A7E" ma:contentTypeVersion="14" ma:contentTypeDescription="Создание документа." ma:contentTypeScope="" ma:versionID="40fde3b1dc397232c1da5508fbfebd62">
  <xsd:schema xmlns:xsd="http://www.w3.org/2001/XMLSchema" xmlns:xs="http://www.w3.org/2001/XMLSchema" xmlns:p="http://schemas.microsoft.com/office/2006/metadata/properties" xmlns:ns3="d581d513-a42f-4d90-9a39-281f54322a19" xmlns:ns4="2949dea7-ddbf-4587-ad5c-c229b2af5f0c" targetNamespace="http://schemas.microsoft.com/office/2006/metadata/properties" ma:root="true" ma:fieldsID="1cca8986511e528d5789b3692041b346" ns3:_="" ns4:_="">
    <xsd:import namespace="d581d513-a42f-4d90-9a39-281f54322a19"/>
    <xsd:import namespace="2949dea7-ddbf-4587-ad5c-c229b2af5f0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1d513-a42f-4d90-9a39-281f54322a19"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internalName="SharedWithDetails" ma:readOnly="true">
      <xsd:simpleType>
        <xsd:restriction base="dms:Note">
          <xsd:maxLength value="255"/>
        </xsd:restriction>
      </xsd:simpleType>
    </xsd:element>
    <xsd:element name="SharingHintHash" ma:index="10" nillable="true" ma:displayName="Хэш подсказки о совместном доступе"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49dea7-ddbf-4587-ad5c-c229b2af5f0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41FE2F-4B52-4A38-A77F-42E1DAA103D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BD07A91-55E1-4C93-BDEA-DD59C98E45E2}">
  <ds:schemaRefs>
    <ds:schemaRef ds:uri="http://schemas.microsoft.com/office/2006/metadata/properties"/>
    <ds:schemaRef ds:uri="http://schemas.microsoft.com/office/infopath/2007/PartnerControls"/>
    <ds:schemaRef ds:uri="2949dea7-ddbf-4587-ad5c-c229b2af5f0c"/>
  </ds:schemaRefs>
</ds:datastoreItem>
</file>

<file path=customXml/itemProps4.xml><?xml version="1.0" encoding="utf-8"?>
<ds:datastoreItem xmlns:ds="http://schemas.openxmlformats.org/officeDocument/2006/customXml" ds:itemID="{6D17389A-D766-4036-8238-408618FCF2DD}">
  <ds:schemaRefs>
    <ds:schemaRef ds:uri="http://schemas.microsoft.com/sharepoint/v3/contenttype/forms"/>
  </ds:schemaRefs>
</ds:datastoreItem>
</file>

<file path=customXml/itemProps5.xml><?xml version="1.0" encoding="utf-8"?>
<ds:datastoreItem xmlns:ds="http://schemas.openxmlformats.org/officeDocument/2006/customXml" ds:itemID="{3D72A87E-571C-4AD8-9C71-E7A710B4F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1d513-a42f-4d90-9a39-281f54322a19"/>
    <ds:schemaRef ds:uri="2949dea7-ddbf-4587-ad5c-c229b2af5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16028</Words>
  <Characters>91362</Characters>
  <Application>Microsoft Office Word</Application>
  <DocSecurity>0</DocSecurity>
  <Lines>761</Lines>
  <Paragraphs>214</Paragraphs>
  <ScaleCrop>false</ScaleCrop>
  <HeadingPairs>
    <vt:vector size="6" baseType="variant">
      <vt:variant>
        <vt:lpstr>タイトル</vt:lpstr>
      </vt:variant>
      <vt:variant>
        <vt:i4>1</vt:i4>
      </vt:variant>
      <vt:variant>
        <vt:lpstr>見出し</vt:lpstr>
      </vt:variant>
      <vt:variant>
        <vt:i4>18</vt:i4>
      </vt:variant>
      <vt:variant>
        <vt:lpstr>Название</vt:lpstr>
      </vt:variant>
      <vt:variant>
        <vt:i4>1</vt:i4>
      </vt:variant>
    </vt:vector>
  </HeadingPairs>
  <TitlesOfParts>
    <vt:vector size="20" baseType="lpstr">
      <vt:lpstr/>
      <vt:lpstr/>
      <vt:lpstr>Introduction</vt:lpstr>
      <vt:lpstr/>
      <vt:lpstr>Chapter 1. Theoretical Background</vt:lpstr>
      <vt:lpstr>    Theories on CSR</vt:lpstr>
      <vt:lpstr>    Benefit of CSR to Enterprise</vt:lpstr>
      <vt:lpstr>    Communication of CSR with Stakeholder</vt:lpstr>
      <vt:lpstr>    Influence of Ownership on CSR</vt:lpstr>
      <vt:lpstr>Chapter 2. Background on CSR and Role of State in Russia and China</vt:lpstr>
      <vt:lpstr>    Russia and China: choice of countries for analysis </vt:lpstr>
      <vt:lpstr>    CSR and role of the state in Russia</vt:lpstr>
      <vt:lpstr>    CSR and role of the state in China</vt:lpstr>
      <vt:lpstr>Chapter 3. Empirical Research </vt:lpstr>
      <vt:lpstr>    Hypothesis</vt:lpstr>
      <vt:lpstr>    Research Methodology and Data Collection</vt:lpstr>
      <vt:lpstr>    Result and Discussion</vt:lpstr>
      <vt:lpstr>Chapter 4. Conclusion</vt:lpstr>
      <vt:lpstr>Reference</vt:lpstr>
      <vt:lpstr/>
    </vt:vector>
  </TitlesOfParts>
  <Company/>
  <LinksUpToDate>false</LinksUpToDate>
  <CharactersWithSpaces>107176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user</dc:creator>
  <cp:keywords/>
  <dc:description/>
  <cp:lastModifiedBy>Yohei Ogawa</cp:lastModifiedBy>
  <cp:revision>2</cp:revision>
  <dcterms:created xsi:type="dcterms:W3CDTF">2024-05-31T20:40:00Z</dcterms:created>
  <dcterms:modified xsi:type="dcterms:W3CDTF">2024-05-31T20:40:00Z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0x01010084FE9C82B06B2C4090075BCFECF62A7E</vt:lpwstr>
  </property>
</Properties>
</file>