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BE35" w14:textId="77777777" w:rsidR="001D039A" w:rsidRDefault="00901EBC" w:rsidP="001D039A">
      <w:pPr>
        <w:rPr>
          <w:lang w:val="en-US"/>
        </w:rPr>
      </w:pPr>
      <w:r w:rsidRPr="00487834">
        <w:rPr>
          <w:noProof/>
          <w:lang w:eastAsia="ru-RU"/>
        </w:rPr>
        <w:drawing>
          <wp:anchor distT="0" distB="0" distL="114300" distR="114300" simplePos="0" relativeHeight="251680768" behindDoc="0" locked="0" layoutInCell="1" allowOverlap="1" wp14:anchorId="32929C16" wp14:editId="3D7AC28C">
            <wp:simplePos x="0" y="0"/>
            <wp:positionH relativeFrom="margin">
              <wp:align>center</wp:align>
            </wp:positionH>
            <wp:positionV relativeFrom="margin">
              <wp:align>center</wp:align>
            </wp:positionV>
            <wp:extent cx="7557135" cy="10693400"/>
            <wp:effectExtent l="19050" t="0" r="5715" b="0"/>
            <wp:wrapSquare wrapText="bothSides"/>
            <wp:docPr id="1" name="Рисунок 0" descr="Title_thesi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thesis-1.png"/>
                    <pic:cNvPicPr/>
                  </pic:nvPicPr>
                  <pic:blipFill>
                    <a:blip r:embed="rId8"/>
                    <a:stretch>
                      <a:fillRect/>
                    </a:stretch>
                  </pic:blipFill>
                  <pic:spPr>
                    <a:xfrm>
                      <a:off x="0" y="0"/>
                      <a:ext cx="7557135" cy="10693400"/>
                    </a:xfrm>
                    <a:prstGeom prst="rect">
                      <a:avLst/>
                    </a:prstGeom>
                  </pic:spPr>
                </pic:pic>
              </a:graphicData>
            </a:graphic>
          </wp:anchor>
        </w:drawing>
      </w:r>
    </w:p>
    <w:p w14:paraId="3A2EE00D" w14:textId="77777777" w:rsidR="001D039A" w:rsidRDefault="001D039A" w:rsidP="001D039A">
      <w:pPr>
        <w:ind w:left="589"/>
        <w:rPr>
          <w:b/>
          <w:bCs/>
          <w:lang w:val="en"/>
        </w:rPr>
      </w:pPr>
    </w:p>
    <w:p w14:paraId="08F604A6" w14:textId="77777777" w:rsidR="001D039A" w:rsidRDefault="001D039A" w:rsidP="001D039A">
      <w:pPr>
        <w:ind w:left="589"/>
        <w:rPr>
          <w:b/>
          <w:bCs/>
          <w:lang w:val="en"/>
        </w:rPr>
      </w:pPr>
    </w:p>
    <w:p w14:paraId="3078A413" w14:textId="77777777" w:rsidR="001D039A" w:rsidRDefault="001D039A" w:rsidP="001D039A">
      <w:pPr>
        <w:ind w:left="589"/>
        <w:rPr>
          <w:b/>
          <w:bCs/>
          <w:lang w:val="en"/>
        </w:rPr>
      </w:pPr>
    </w:p>
    <w:p w14:paraId="3BAEEB64" w14:textId="77777777" w:rsidR="001D039A" w:rsidRDefault="001D039A" w:rsidP="001D039A">
      <w:pPr>
        <w:ind w:left="589"/>
        <w:rPr>
          <w:b/>
          <w:bCs/>
          <w:lang w:val="en"/>
        </w:rPr>
      </w:pPr>
    </w:p>
    <w:p w14:paraId="6B593DD3" w14:textId="77777777" w:rsidR="001D039A" w:rsidRDefault="001D039A" w:rsidP="001D039A">
      <w:pPr>
        <w:ind w:left="589"/>
        <w:rPr>
          <w:b/>
          <w:bCs/>
          <w:lang w:val="en"/>
        </w:rPr>
      </w:pPr>
    </w:p>
    <w:p w14:paraId="45BD87A7" w14:textId="77777777" w:rsidR="001D039A" w:rsidRDefault="001D039A" w:rsidP="001D039A">
      <w:pPr>
        <w:ind w:left="589"/>
        <w:rPr>
          <w:b/>
          <w:bCs/>
          <w:lang w:val="en"/>
        </w:rPr>
      </w:pPr>
    </w:p>
    <w:p w14:paraId="7FE73D06" w14:textId="77777777" w:rsidR="001D039A" w:rsidRDefault="001D039A" w:rsidP="001D039A">
      <w:pPr>
        <w:ind w:left="589"/>
        <w:rPr>
          <w:b/>
          <w:bCs/>
          <w:lang w:val="en"/>
        </w:rPr>
      </w:pPr>
    </w:p>
    <w:p w14:paraId="24CA6C76" w14:textId="77777777" w:rsidR="001D039A" w:rsidRDefault="001D039A" w:rsidP="003E74E8">
      <w:pPr>
        <w:ind w:left="589"/>
        <w:jc w:val="center"/>
        <w:rPr>
          <w:b/>
          <w:bCs/>
          <w:lang w:val="en"/>
        </w:rPr>
      </w:pPr>
    </w:p>
    <w:p w14:paraId="3CD968A4" w14:textId="651D015E" w:rsidR="001D039A" w:rsidRPr="001D039A" w:rsidRDefault="001D039A" w:rsidP="003E74E8">
      <w:pPr>
        <w:ind w:left="589"/>
        <w:jc w:val="center"/>
        <w:rPr>
          <w:lang w:val="en-US"/>
        </w:rPr>
      </w:pPr>
      <w:r w:rsidRPr="001D039A">
        <w:rPr>
          <w:b/>
          <w:bCs/>
          <w:lang w:val="en"/>
        </w:rPr>
        <w:t>Application for Independent Report Submission</w:t>
      </w:r>
    </w:p>
    <w:p w14:paraId="7B903BB5" w14:textId="77777777" w:rsidR="001D039A" w:rsidRPr="001D039A" w:rsidRDefault="001D039A" w:rsidP="001D039A">
      <w:pPr>
        <w:ind w:firstLine="709"/>
        <w:rPr>
          <w:lang w:val="en-US"/>
        </w:rPr>
      </w:pPr>
    </w:p>
    <w:p w14:paraId="674F90AD" w14:textId="6BAB7ABD" w:rsidR="001D039A" w:rsidRPr="001D039A" w:rsidRDefault="001D039A" w:rsidP="001D039A">
      <w:pPr>
        <w:ind w:firstLine="709"/>
        <w:rPr>
          <w:lang w:val="en-US"/>
        </w:rPr>
      </w:pPr>
      <w:r w:rsidRPr="001D039A">
        <w:rPr>
          <w:lang w:val="en-US"/>
        </w:rPr>
        <w:t>I,</w:t>
      </w:r>
      <w:r>
        <w:rPr>
          <w:lang w:val="en-US"/>
        </w:rPr>
        <w:t xml:space="preserve"> </w:t>
      </w:r>
      <w:proofErr w:type="spellStart"/>
      <w:r>
        <w:rPr>
          <w:lang w:val="en-US"/>
        </w:rPr>
        <w:t>Georgiy</w:t>
      </w:r>
      <w:proofErr w:type="spellEnd"/>
      <w:r>
        <w:rPr>
          <w:lang w:val="en-US"/>
        </w:rPr>
        <w:t xml:space="preserve"> </w:t>
      </w:r>
      <w:proofErr w:type="spellStart"/>
      <w:proofErr w:type="gramStart"/>
      <w:r>
        <w:rPr>
          <w:lang w:val="en-US"/>
        </w:rPr>
        <w:t>Chumachenko</w:t>
      </w:r>
      <w:proofErr w:type="spellEnd"/>
      <w:r>
        <w:rPr>
          <w:lang w:val="en-US"/>
        </w:rPr>
        <w:t xml:space="preserve">, </w:t>
      </w:r>
      <w:r w:rsidRPr="001D039A">
        <w:rPr>
          <w:lang w:val="en-US"/>
        </w:rPr>
        <w:t xml:space="preserve"> hereby</w:t>
      </w:r>
      <w:proofErr w:type="gramEnd"/>
      <w:r w:rsidRPr="001D039A">
        <w:rPr>
          <w:lang w:val="en-US"/>
        </w:rPr>
        <w:t xml:space="preserve"> submit my master’s thesis research paper in Finance. I confirm that this report has been prepared independently, without any external assistance or plagiarism.</w:t>
      </w:r>
    </w:p>
    <w:p w14:paraId="726E3BB3" w14:textId="77777777" w:rsidR="001D039A" w:rsidRPr="001D039A" w:rsidRDefault="001D039A" w:rsidP="001D039A">
      <w:pPr>
        <w:ind w:firstLine="709"/>
        <w:rPr>
          <w:lang w:val="en-US"/>
        </w:rPr>
      </w:pPr>
    </w:p>
    <w:p w14:paraId="09F52FBA" w14:textId="77777777" w:rsidR="001D039A" w:rsidRPr="001D039A" w:rsidRDefault="001D039A" w:rsidP="001D039A">
      <w:pPr>
        <w:ind w:firstLine="709"/>
        <w:rPr>
          <w:lang w:val="en-US"/>
        </w:rPr>
      </w:pPr>
      <w:r w:rsidRPr="001D039A">
        <w:rPr>
          <w:lang w:val="en-US"/>
        </w:rPr>
        <w:t>I declare that the content of the report is my original work, and I have not received any unauthorized help or support in its preparation. I have properly cited all sources, references, and collaborators in accordance with Syllabus for an internship.</w:t>
      </w:r>
    </w:p>
    <w:p w14:paraId="1E34A30D" w14:textId="77777777" w:rsidR="001D039A" w:rsidRPr="001D039A" w:rsidRDefault="001D039A" w:rsidP="001D039A">
      <w:pPr>
        <w:ind w:firstLine="709"/>
        <w:rPr>
          <w:lang w:val="en-US"/>
        </w:rPr>
      </w:pPr>
    </w:p>
    <w:p w14:paraId="645FF134" w14:textId="77777777" w:rsidR="001D039A" w:rsidRPr="001D039A" w:rsidRDefault="00050324" w:rsidP="001D039A">
      <w:pPr>
        <w:ind w:firstLine="709"/>
        <w:rPr>
          <w:lang w:val="en-US"/>
        </w:rPr>
      </w:pPr>
      <w:r>
        <w:rPr>
          <w:rFonts w:eastAsiaTheme="minorHAnsi" w:cstheme="minorBidi"/>
          <w:noProof/>
          <w:szCs w:val="22"/>
        </w:rPr>
        <w:pict w14:anchorId="5C2C146E">
          <v:rect id="Рукописный ввод 7" o:spid="_x0000_s1034" alt="" style="position:absolute;left:0;text-align:left;margin-left:613.45pt;margin-top:23.35pt;width:1.05pt;height:1.05pt;z-index:25168281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 filled="f" strokeweight=".35mm">
            <v:stroke endcap="round"/>
            <v:path shadowok="f" o:extrusionok="f" fillok="f" insetpenok="f"/>
            <o:lock v:ext="edit" rotation="t" aspectratio="t" verticies="t" text="t" shapetype="t"/>
            <o:ink i="AGAdAgQEARBYz1SK5pfFT48G+LrS4ZsiAwZIEEUjRiMFAzgLZBkjMgqBx///D4DH//8PMwqBx///&#10;D4DH//8POAkA/v8DAAAAAAAKFgIBAAEAEER/PQAKABEgQATY4GmZ2gG=&#10;" annotation="t"/>
          </v:rect>
        </w:pict>
      </w:r>
      <w:r w:rsidR="001D039A" w:rsidRPr="001D039A">
        <w:rPr>
          <w:lang w:val="en-US"/>
        </w:rPr>
        <w:t>By signing below, I acknowledge and accept full responsibility for the content and authenticity of this report.</w:t>
      </w:r>
    </w:p>
    <w:p w14:paraId="4FB53CAB" w14:textId="77777777" w:rsidR="001D039A" w:rsidRPr="001D039A" w:rsidRDefault="001D039A" w:rsidP="001D039A">
      <w:pPr>
        <w:ind w:firstLine="709"/>
        <w:rPr>
          <w:b/>
          <w:bCs/>
          <w:lang w:val="en-US"/>
        </w:rPr>
      </w:pPr>
    </w:p>
    <w:p w14:paraId="76E551B9" w14:textId="185039B9" w:rsidR="001D039A" w:rsidRPr="001D039A" w:rsidRDefault="003E74E8" w:rsidP="003E74E8">
      <w:pPr>
        <w:ind w:left="5760" w:firstLine="0"/>
        <w:jc w:val="center"/>
      </w:pPr>
      <w:r>
        <w:t>Чумаченко Георгий Игоревич</w:t>
      </w:r>
    </w:p>
    <w:p w14:paraId="163809EF" w14:textId="77777777" w:rsidR="001D039A" w:rsidRPr="001D039A" w:rsidRDefault="001D039A" w:rsidP="001D039A">
      <w:pPr>
        <w:ind w:firstLine="709"/>
        <w:jc w:val="right"/>
      </w:pPr>
    </w:p>
    <w:p w14:paraId="7EE1D91B" w14:textId="5633FA61" w:rsidR="001D039A" w:rsidRPr="003E74E8" w:rsidRDefault="001D039A" w:rsidP="003E74E8">
      <w:pPr>
        <w:ind w:firstLine="709"/>
        <w:jc w:val="right"/>
      </w:pPr>
      <w:r w:rsidRPr="003E74E8">
        <w:t>Дата</w:t>
      </w:r>
    </w:p>
    <w:p w14:paraId="5F3C67CD" w14:textId="3B57CE4E" w:rsidR="001D039A" w:rsidRPr="003E74E8" w:rsidRDefault="003E74E8" w:rsidP="003E74E8">
      <w:pPr>
        <w:spacing w:line="240" w:lineRule="auto"/>
        <w:ind w:firstLine="0"/>
        <w:jc w:val="right"/>
        <w:rPr>
          <w:lang w:val="en-US"/>
        </w:rPr>
      </w:pPr>
      <w:r w:rsidRPr="003E74E8">
        <w:t>29</w:t>
      </w:r>
      <w:r w:rsidRPr="003E74E8">
        <w:rPr>
          <w:lang w:val="en-US"/>
        </w:rPr>
        <w:t>.05.2024</w:t>
      </w:r>
    </w:p>
    <w:p w14:paraId="7B37BD83" w14:textId="77777777" w:rsidR="001D039A" w:rsidRPr="003E74E8" w:rsidRDefault="001D039A" w:rsidP="004A5290">
      <w:pPr>
        <w:spacing w:line="240" w:lineRule="auto"/>
        <w:ind w:firstLine="0"/>
        <w:jc w:val="center"/>
        <w:rPr>
          <w:b/>
          <w:bCs/>
        </w:rPr>
      </w:pPr>
    </w:p>
    <w:p w14:paraId="367D1C64" w14:textId="77777777" w:rsidR="001D039A" w:rsidRPr="003E74E8" w:rsidRDefault="001D039A" w:rsidP="004A5290">
      <w:pPr>
        <w:spacing w:line="240" w:lineRule="auto"/>
        <w:ind w:firstLine="0"/>
        <w:jc w:val="center"/>
        <w:rPr>
          <w:b/>
          <w:bCs/>
        </w:rPr>
      </w:pPr>
    </w:p>
    <w:p w14:paraId="1D823853" w14:textId="77777777" w:rsidR="001D039A" w:rsidRPr="003E74E8" w:rsidRDefault="001D039A" w:rsidP="004A5290">
      <w:pPr>
        <w:spacing w:line="240" w:lineRule="auto"/>
        <w:ind w:firstLine="0"/>
        <w:jc w:val="center"/>
        <w:rPr>
          <w:b/>
          <w:bCs/>
        </w:rPr>
      </w:pPr>
    </w:p>
    <w:p w14:paraId="479843EF" w14:textId="77777777" w:rsidR="001D039A" w:rsidRPr="003E74E8" w:rsidRDefault="001D039A" w:rsidP="004A5290">
      <w:pPr>
        <w:spacing w:line="240" w:lineRule="auto"/>
        <w:ind w:firstLine="0"/>
        <w:jc w:val="center"/>
        <w:rPr>
          <w:b/>
          <w:bCs/>
        </w:rPr>
      </w:pPr>
    </w:p>
    <w:p w14:paraId="506A3B92" w14:textId="77777777" w:rsidR="001D039A" w:rsidRPr="003E74E8" w:rsidRDefault="001D039A" w:rsidP="004A5290">
      <w:pPr>
        <w:spacing w:line="240" w:lineRule="auto"/>
        <w:ind w:firstLine="0"/>
        <w:jc w:val="center"/>
        <w:rPr>
          <w:b/>
          <w:bCs/>
        </w:rPr>
      </w:pPr>
    </w:p>
    <w:p w14:paraId="33B8B5E9" w14:textId="77777777" w:rsidR="001D039A" w:rsidRPr="003E74E8" w:rsidRDefault="001D039A" w:rsidP="004A5290">
      <w:pPr>
        <w:spacing w:line="240" w:lineRule="auto"/>
        <w:ind w:firstLine="0"/>
        <w:jc w:val="center"/>
        <w:rPr>
          <w:b/>
          <w:bCs/>
        </w:rPr>
      </w:pPr>
    </w:p>
    <w:p w14:paraId="187AA93D" w14:textId="77777777" w:rsidR="001D039A" w:rsidRPr="003E74E8" w:rsidRDefault="001D039A" w:rsidP="004A5290">
      <w:pPr>
        <w:spacing w:line="240" w:lineRule="auto"/>
        <w:ind w:firstLine="0"/>
        <w:jc w:val="center"/>
        <w:rPr>
          <w:b/>
          <w:bCs/>
        </w:rPr>
      </w:pPr>
    </w:p>
    <w:p w14:paraId="0DD2CDBC" w14:textId="77777777" w:rsidR="001D039A" w:rsidRPr="003E74E8" w:rsidRDefault="001D039A" w:rsidP="004A5290">
      <w:pPr>
        <w:spacing w:line="240" w:lineRule="auto"/>
        <w:ind w:firstLine="0"/>
        <w:jc w:val="center"/>
        <w:rPr>
          <w:b/>
          <w:bCs/>
        </w:rPr>
      </w:pPr>
    </w:p>
    <w:p w14:paraId="7AFEDE52" w14:textId="77777777" w:rsidR="001D039A" w:rsidRPr="003E74E8" w:rsidRDefault="001D039A" w:rsidP="004A5290">
      <w:pPr>
        <w:spacing w:line="240" w:lineRule="auto"/>
        <w:ind w:firstLine="0"/>
        <w:jc w:val="center"/>
        <w:rPr>
          <w:b/>
          <w:bCs/>
        </w:rPr>
      </w:pPr>
    </w:p>
    <w:p w14:paraId="103B0C0B" w14:textId="77777777" w:rsidR="001D039A" w:rsidRPr="003E74E8" w:rsidRDefault="001D039A" w:rsidP="004A5290">
      <w:pPr>
        <w:spacing w:line="240" w:lineRule="auto"/>
        <w:ind w:firstLine="0"/>
        <w:jc w:val="center"/>
        <w:rPr>
          <w:b/>
          <w:bCs/>
        </w:rPr>
      </w:pPr>
    </w:p>
    <w:p w14:paraId="5C70015C" w14:textId="77777777" w:rsidR="001D039A" w:rsidRPr="003E74E8" w:rsidRDefault="001D039A" w:rsidP="004A5290">
      <w:pPr>
        <w:spacing w:line="240" w:lineRule="auto"/>
        <w:ind w:firstLine="0"/>
        <w:jc w:val="center"/>
        <w:rPr>
          <w:b/>
          <w:bCs/>
        </w:rPr>
      </w:pPr>
    </w:p>
    <w:p w14:paraId="6B89FD2C" w14:textId="77777777" w:rsidR="001D039A" w:rsidRPr="003E74E8" w:rsidRDefault="001D039A" w:rsidP="004A5290">
      <w:pPr>
        <w:spacing w:line="240" w:lineRule="auto"/>
        <w:ind w:firstLine="0"/>
        <w:jc w:val="center"/>
        <w:rPr>
          <w:b/>
          <w:bCs/>
        </w:rPr>
      </w:pPr>
    </w:p>
    <w:p w14:paraId="6BA0C315" w14:textId="77777777" w:rsidR="001D039A" w:rsidRPr="003E74E8" w:rsidRDefault="001D039A" w:rsidP="004A5290">
      <w:pPr>
        <w:spacing w:line="240" w:lineRule="auto"/>
        <w:ind w:firstLine="0"/>
        <w:jc w:val="center"/>
        <w:rPr>
          <w:b/>
          <w:bCs/>
        </w:rPr>
      </w:pPr>
    </w:p>
    <w:p w14:paraId="009C0CE1" w14:textId="77777777" w:rsidR="001D039A" w:rsidRPr="003E74E8" w:rsidRDefault="001D039A" w:rsidP="004A5290">
      <w:pPr>
        <w:spacing w:line="240" w:lineRule="auto"/>
        <w:ind w:firstLine="0"/>
        <w:jc w:val="center"/>
        <w:rPr>
          <w:b/>
          <w:bCs/>
        </w:rPr>
      </w:pPr>
    </w:p>
    <w:p w14:paraId="00BCCB99" w14:textId="77777777" w:rsidR="001D039A" w:rsidRPr="003E74E8" w:rsidRDefault="001D039A" w:rsidP="004A5290">
      <w:pPr>
        <w:spacing w:line="240" w:lineRule="auto"/>
        <w:ind w:firstLine="0"/>
        <w:jc w:val="center"/>
        <w:rPr>
          <w:b/>
          <w:bCs/>
        </w:rPr>
      </w:pPr>
    </w:p>
    <w:p w14:paraId="254A3DAD" w14:textId="77777777" w:rsidR="004A5290" w:rsidRPr="003E74E8" w:rsidRDefault="004A5290" w:rsidP="004A5290">
      <w:pPr>
        <w:spacing w:line="240" w:lineRule="auto"/>
        <w:ind w:firstLine="0"/>
        <w:jc w:val="center"/>
        <w:rPr>
          <w:b/>
          <w:bCs/>
        </w:rPr>
      </w:pPr>
    </w:p>
    <w:p w14:paraId="4D45860C" w14:textId="77777777" w:rsidR="004A5290" w:rsidRPr="003E74E8" w:rsidRDefault="004A5290" w:rsidP="004A5290">
      <w:pPr>
        <w:spacing w:line="240" w:lineRule="auto"/>
        <w:ind w:firstLine="0"/>
        <w:jc w:val="center"/>
        <w:rPr>
          <w:b/>
          <w:bCs/>
        </w:rPr>
      </w:pPr>
    </w:p>
    <w:p w14:paraId="1788E371" w14:textId="77777777" w:rsidR="004A5290" w:rsidRPr="003E74E8" w:rsidRDefault="004A5290" w:rsidP="004A5290">
      <w:pPr>
        <w:spacing w:line="240" w:lineRule="auto"/>
        <w:ind w:firstLine="0"/>
        <w:jc w:val="center"/>
        <w:rPr>
          <w:b/>
          <w:bCs/>
        </w:rPr>
      </w:pPr>
    </w:p>
    <w:p w14:paraId="427ADC49" w14:textId="77777777" w:rsidR="004A5290" w:rsidRPr="003E74E8" w:rsidRDefault="004A5290" w:rsidP="004A5290">
      <w:pPr>
        <w:spacing w:line="240" w:lineRule="auto"/>
        <w:ind w:firstLine="0"/>
        <w:jc w:val="center"/>
        <w:rPr>
          <w:b/>
          <w:bCs/>
        </w:rPr>
      </w:pPr>
    </w:p>
    <w:p w14:paraId="029B5BC2" w14:textId="77777777" w:rsidR="004A5290" w:rsidRPr="003E74E8" w:rsidRDefault="004A5290" w:rsidP="004A5290">
      <w:pPr>
        <w:spacing w:line="240" w:lineRule="auto"/>
        <w:ind w:firstLine="0"/>
        <w:jc w:val="center"/>
        <w:rPr>
          <w:b/>
          <w:bCs/>
        </w:rPr>
      </w:pPr>
    </w:p>
    <w:p w14:paraId="4E7DB50F" w14:textId="77777777" w:rsidR="004A5290" w:rsidRPr="003E74E8" w:rsidRDefault="004A5290" w:rsidP="004A5290">
      <w:pPr>
        <w:spacing w:line="240" w:lineRule="auto"/>
        <w:ind w:firstLine="0"/>
        <w:jc w:val="center"/>
        <w:rPr>
          <w:b/>
          <w:bCs/>
        </w:rPr>
      </w:pPr>
    </w:p>
    <w:p w14:paraId="26A9C58D" w14:textId="77777777" w:rsidR="004A5290" w:rsidRPr="003E74E8" w:rsidRDefault="004A5290" w:rsidP="004A5290">
      <w:pPr>
        <w:spacing w:line="240" w:lineRule="auto"/>
        <w:ind w:firstLine="0"/>
        <w:jc w:val="center"/>
        <w:rPr>
          <w:b/>
          <w:bCs/>
        </w:rPr>
      </w:pPr>
    </w:p>
    <w:p w14:paraId="2955ADD0" w14:textId="77777777" w:rsidR="004A5290" w:rsidRPr="003E74E8" w:rsidRDefault="004A5290" w:rsidP="004A5290">
      <w:pPr>
        <w:spacing w:line="240" w:lineRule="auto"/>
        <w:ind w:firstLine="0"/>
        <w:jc w:val="center"/>
        <w:rPr>
          <w:b/>
          <w:bCs/>
        </w:rPr>
      </w:pPr>
    </w:p>
    <w:p w14:paraId="47972C77" w14:textId="77777777" w:rsidR="004A5290" w:rsidRPr="003E74E8" w:rsidRDefault="004A5290" w:rsidP="004A5290">
      <w:pPr>
        <w:spacing w:line="240" w:lineRule="auto"/>
        <w:ind w:firstLine="0"/>
        <w:jc w:val="center"/>
        <w:rPr>
          <w:b/>
          <w:bCs/>
        </w:rPr>
      </w:pPr>
    </w:p>
    <w:p w14:paraId="7D419B50" w14:textId="77777777" w:rsidR="001D039A" w:rsidRDefault="001D039A" w:rsidP="001D039A">
      <w:pPr>
        <w:spacing w:line="240" w:lineRule="auto"/>
        <w:ind w:firstLine="0"/>
        <w:jc w:val="center"/>
        <w:rPr>
          <w:b/>
          <w:bCs/>
          <w:lang w:val="en-US"/>
        </w:rPr>
      </w:pPr>
      <w:r w:rsidRPr="004A5290">
        <w:rPr>
          <w:b/>
          <w:bCs/>
          <w:lang w:val="en-US"/>
        </w:rPr>
        <w:t>Abstract</w:t>
      </w:r>
    </w:p>
    <w:p w14:paraId="288D8104" w14:textId="77777777" w:rsidR="004A5290" w:rsidRPr="004A5290" w:rsidRDefault="004A5290" w:rsidP="004A5290">
      <w:pPr>
        <w:spacing w:line="240" w:lineRule="auto"/>
        <w:ind w:firstLine="0"/>
        <w:jc w:val="center"/>
        <w:rPr>
          <w:b/>
          <w:bCs/>
          <w:lang w:val="en-US"/>
        </w:rPr>
      </w:pPr>
    </w:p>
    <w:p w14:paraId="51F37FE3" w14:textId="77777777" w:rsidR="004A5290" w:rsidRDefault="004A5290" w:rsidP="004A5290">
      <w:pPr>
        <w:spacing w:line="240" w:lineRule="auto"/>
        <w:ind w:firstLine="0"/>
        <w:jc w:val="left"/>
      </w:pPr>
    </w:p>
    <w:p w14:paraId="057DF7F1" w14:textId="6A31A8AC" w:rsidR="004A5290" w:rsidRPr="004A5290" w:rsidRDefault="004A5290" w:rsidP="004A5290">
      <w:pPr>
        <w:spacing w:line="240" w:lineRule="auto"/>
        <w:ind w:firstLine="720"/>
        <w:jc w:val="left"/>
        <w:rPr>
          <w:rFonts w:eastAsiaTheme="minorHAnsi"/>
          <w:lang w:val="en-GB" w:eastAsia="en-US"/>
        </w:rPr>
      </w:pPr>
      <w:r w:rsidRPr="004A5290">
        <w:rPr>
          <w:rFonts w:eastAsiaTheme="minorHAnsi"/>
          <w:lang w:val="en-GB" w:eastAsia="en-US"/>
        </w:rPr>
        <w:t xml:space="preserve">This thesis, </w:t>
      </w:r>
      <w:r w:rsidRPr="004A5290">
        <w:rPr>
          <w:rFonts w:eastAsiaTheme="minorHAnsi"/>
          <w:lang w:val="en-GB" w:eastAsia="en-US"/>
        </w:rPr>
        <w:t xml:space="preserve">written by MCF 2nd year student </w:t>
      </w:r>
      <w:proofErr w:type="spellStart"/>
      <w:r w:rsidRPr="004A5290">
        <w:rPr>
          <w:rFonts w:eastAsiaTheme="minorHAnsi"/>
          <w:lang w:val="en-GB" w:eastAsia="en-US"/>
        </w:rPr>
        <w:t>Georgiy</w:t>
      </w:r>
      <w:proofErr w:type="spellEnd"/>
      <w:r w:rsidRPr="004A5290">
        <w:rPr>
          <w:rFonts w:eastAsiaTheme="minorHAnsi"/>
          <w:lang w:val="en-GB" w:eastAsia="en-US"/>
        </w:rPr>
        <w:t xml:space="preserve"> </w:t>
      </w:r>
      <w:proofErr w:type="spellStart"/>
      <w:r w:rsidRPr="004A5290">
        <w:rPr>
          <w:rFonts w:eastAsiaTheme="minorHAnsi"/>
          <w:lang w:val="en-GB" w:eastAsia="en-US"/>
        </w:rPr>
        <w:t>Chumachenko</w:t>
      </w:r>
      <w:proofErr w:type="spellEnd"/>
      <w:r w:rsidRPr="004A5290">
        <w:rPr>
          <w:rFonts w:eastAsiaTheme="minorHAnsi"/>
          <w:lang w:val="en-GB" w:eastAsia="en-US"/>
        </w:rPr>
        <w:t xml:space="preserve"> </w:t>
      </w:r>
      <w:r w:rsidRPr="004A5290">
        <w:rPr>
          <w:rFonts w:eastAsiaTheme="minorHAnsi"/>
          <w:lang w:val="en-GB" w:eastAsia="en-US"/>
        </w:rPr>
        <w:t>under the</w:t>
      </w:r>
      <w:r w:rsidRPr="004A5290">
        <w:rPr>
          <w:rFonts w:eastAsiaTheme="minorHAnsi"/>
          <w:lang w:val="en-GB" w:eastAsia="en-US"/>
        </w:rPr>
        <w:t xml:space="preserve"> careful</w:t>
      </w:r>
      <w:r w:rsidRPr="004A5290">
        <w:rPr>
          <w:rFonts w:eastAsiaTheme="minorHAnsi"/>
          <w:lang w:val="en-GB" w:eastAsia="en-US"/>
        </w:rPr>
        <w:t xml:space="preserve"> guidance of</w:t>
      </w:r>
      <w:r w:rsidRPr="004A5290">
        <w:rPr>
          <w:rFonts w:eastAsiaTheme="minorHAnsi"/>
          <w:lang w:val="en-GB" w:eastAsia="en-US"/>
        </w:rPr>
        <w:t xml:space="preserve"> Associate Professor, Alexander Y. </w:t>
      </w:r>
      <w:proofErr w:type="spellStart"/>
      <w:proofErr w:type="gramStart"/>
      <w:r w:rsidRPr="004A5290">
        <w:rPr>
          <w:rFonts w:eastAsiaTheme="minorHAnsi"/>
          <w:lang w:val="en-GB" w:eastAsia="en-US"/>
        </w:rPr>
        <w:t>Andrianov</w:t>
      </w:r>
      <w:proofErr w:type="spellEnd"/>
      <w:r w:rsidRPr="004A5290">
        <w:rPr>
          <w:rFonts w:eastAsiaTheme="minorHAnsi"/>
          <w:lang w:val="en-GB" w:eastAsia="en-US"/>
        </w:rPr>
        <w:t xml:space="preserve"> </w:t>
      </w:r>
      <w:r w:rsidRPr="004A5290">
        <w:rPr>
          <w:rFonts w:eastAsiaTheme="minorHAnsi"/>
          <w:lang w:val="en-GB" w:eastAsia="en-US"/>
        </w:rPr>
        <w:t>,</w:t>
      </w:r>
      <w:proofErr w:type="gramEnd"/>
      <w:r w:rsidRPr="004A5290">
        <w:rPr>
          <w:rFonts w:eastAsiaTheme="minorHAnsi"/>
          <w:lang w:val="en-GB" w:eastAsia="en-US"/>
        </w:rPr>
        <w:t xml:space="preserve"> </w:t>
      </w:r>
      <w:r w:rsidRPr="004A5290">
        <w:rPr>
          <w:rFonts w:eastAsiaTheme="minorHAnsi"/>
          <w:lang w:val="en-GB" w:eastAsia="en-US"/>
        </w:rPr>
        <w:t xml:space="preserve">on the topic of “cost of debt and equity in BRICS countries: can better </w:t>
      </w:r>
      <w:proofErr w:type="spellStart"/>
      <w:r w:rsidRPr="004A5290">
        <w:rPr>
          <w:rFonts w:eastAsiaTheme="minorHAnsi"/>
          <w:lang w:val="en-GB" w:eastAsia="en-US"/>
        </w:rPr>
        <w:t>esg</w:t>
      </w:r>
      <w:proofErr w:type="spellEnd"/>
      <w:r w:rsidRPr="004A5290">
        <w:rPr>
          <w:rFonts w:eastAsiaTheme="minorHAnsi"/>
          <w:lang w:val="en-GB" w:eastAsia="en-US"/>
        </w:rPr>
        <w:t xml:space="preserve"> performance decrease corporate financing costs”  </w:t>
      </w:r>
      <w:r w:rsidRPr="004A5290">
        <w:rPr>
          <w:rFonts w:eastAsiaTheme="minorHAnsi"/>
          <w:lang w:val="en-GB" w:eastAsia="en-US"/>
        </w:rPr>
        <w:t>investigates the impact of Environmental, Social, and Governance (ESG) performance on the cost of capital in selected BRICS markets—specifically Russia, Brazil, and South Africa. The primary objective of this research is to elucidate how ESG scores influence the cost of equity and debt and to examine whether these effects differ between top ESG performers and underperformers. Employing comprehensive panel regression models, the study reveals that higher ESG scores are generally associated with increased costs of equity across all three markets. This outcome reflects investors' perceptions of higher initial costs and risks associated with ESG improvements. Conversely, the impact of ESG scores on the cost of debt varies, with significant reductions observed mainly in firms with the highest ESG scores, particularly in Russia and Brazil. The research highlights the varying importance of ESG factors in emerging markets, underscoring the need for country-specific strategies. These findings provide actionable insights for corporate managers, investors, and policymakers aiming to leverage ESG performance for financial and strategic benefits, emphasizing the complex interplay between ESG initiatives and capital costs in diverse regulatory and market environments.</w:t>
      </w:r>
    </w:p>
    <w:p w14:paraId="4C9D8F2C" w14:textId="77777777" w:rsidR="004A5290" w:rsidRPr="004A5290" w:rsidRDefault="004A5290" w:rsidP="004A5290">
      <w:pPr>
        <w:spacing w:line="240" w:lineRule="auto"/>
        <w:ind w:firstLine="0"/>
        <w:jc w:val="left"/>
        <w:rPr>
          <w:rFonts w:eastAsiaTheme="minorHAnsi"/>
          <w:lang w:val="en-GB" w:eastAsia="en-US"/>
        </w:rPr>
      </w:pPr>
    </w:p>
    <w:p w14:paraId="50360C4B" w14:textId="0C35AE99" w:rsidR="004A5290" w:rsidRPr="004A5290" w:rsidRDefault="004A5290" w:rsidP="004A5290">
      <w:pPr>
        <w:spacing w:line="240" w:lineRule="auto"/>
        <w:ind w:firstLine="0"/>
        <w:jc w:val="left"/>
        <w:rPr>
          <w:rFonts w:eastAsiaTheme="minorHAnsi"/>
          <w:lang w:val="en-GB" w:eastAsia="en-US"/>
        </w:rPr>
      </w:pPr>
      <w:r w:rsidRPr="004A5290">
        <w:rPr>
          <w:rFonts w:eastAsiaTheme="minorHAnsi"/>
          <w:lang w:val="en-GB" w:eastAsia="en-US"/>
        </w:rPr>
        <w:t xml:space="preserve">Keywords: ESG </w:t>
      </w:r>
      <w:r w:rsidRPr="004A5290">
        <w:rPr>
          <w:rFonts w:eastAsiaTheme="minorHAnsi"/>
          <w:lang w:val="en-GB" w:eastAsia="en-US"/>
        </w:rPr>
        <w:t>score</w:t>
      </w:r>
      <w:r w:rsidRPr="004A5290">
        <w:rPr>
          <w:rFonts w:eastAsiaTheme="minorHAnsi"/>
          <w:lang w:val="en-GB" w:eastAsia="en-US"/>
        </w:rPr>
        <w:t xml:space="preserve">, cost of capital, BRICS markets, </w:t>
      </w:r>
      <w:r w:rsidRPr="004A5290">
        <w:rPr>
          <w:rFonts w:eastAsiaTheme="minorHAnsi"/>
          <w:lang w:val="en-GB" w:eastAsia="en-US"/>
        </w:rPr>
        <w:t>cost of debt</w:t>
      </w:r>
      <w:r w:rsidRPr="004A5290">
        <w:rPr>
          <w:rFonts w:eastAsiaTheme="minorHAnsi"/>
          <w:lang w:val="en-GB" w:eastAsia="en-US"/>
        </w:rPr>
        <w:t xml:space="preserve">, </w:t>
      </w:r>
      <w:r w:rsidRPr="004A5290">
        <w:rPr>
          <w:rFonts w:eastAsiaTheme="minorHAnsi"/>
          <w:lang w:val="en-GB" w:eastAsia="en-US"/>
        </w:rPr>
        <w:t>cost of equity</w:t>
      </w:r>
      <w:r w:rsidRPr="004A5290">
        <w:rPr>
          <w:rFonts w:eastAsiaTheme="minorHAnsi"/>
          <w:lang w:val="en-GB" w:eastAsia="en-US"/>
        </w:rPr>
        <w:t>, panel regression, sustainability, emerging markets.</w:t>
      </w:r>
    </w:p>
    <w:p w14:paraId="6C799DAE" w14:textId="77777777" w:rsidR="004A5290" w:rsidRDefault="004A5290" w:rsidP="004A5290">
      <w:pPr>
        <w:spacing w:line="240" w:lineRule="auto"/>
        <w:ind w:firstLine="0"/>
        <w:jc w:val="left"/>
        <w:rPr>
          <w:lang w:val="en-US"/>
        </w:rPr>
      </w:pPr>
    </w:p>
    <w:p w14:paraId="5A18FC30" w14:textId="77777777" w:rsidR="004A5290" w:rsidRDefault="004A5290" w:rsidP="004A5290">
      <w:pPr>
        <w:spacing w:line="240" w:lineRule="auto"/>
        <w:ind w:firstLine="0"/>
        <w:jc w:val="left"/>
        <w:rPr>
          <w:lang w:val="en-US"/>
        </w:rPr>
      </w:pPr>
    </w:p>
    <w:p w14:paraId="20D057C4" w14:textId="77777777" w:rsidR="004A5290" w:rsidRDefault="004A5290" w:rsidP="004A5290">
      <w:pPr>
        <w:spacing w:line="240" w:lineRule="auto"/>
        <w:ind w:firstLine="0"/>
        <w:jc w:val="left"/>
        <w:rPr>
          <w:lang w:val="en-US"/>
        </w:rPr>
      </w:pPr>
    </w:p>
    <w:p w14:paraId="379F7EB7" w14:textId="77777777" w:rsidR="004A5290" w:rsidRDefault="004A5290" w:rsidP="004A5290">
      <w:pPr>
        <w:spacing w:line="240" w:lineRule="auto"/>
        <w:ind w:firstLine="0"/>
        <w:jc w:val="left"/>
        <w:rPr>
          <w:lang w:val="en-US"/>
        </w:rPr>
      </w:pPr>
    </w:p>
    <w:p w14:paraId="61F3F0BC" w14:textId="77777777" w:rsidR="004A5290" w:rsidRDefault="004A5290" w:rsidP="004A5290">
      <w:pPr>
        <w:spacing w:line="240" w:lineRule="auto"/>
        <w:ind w:firstLine="0"/>
        <w:jc w:val="left"/>
        <w:rPr>
          <w:lang w:val="en-US"/>
        </w:rPr>
      </w:pPr>
    </w:p>
    <w:p w14:paraId="22E4D3BF" w14:textId="77777777" w:rsidR="004A5290" w:rsidRDefault="004A5290" w:rsidP="004A5290">
      <w:pPr>
        <w:spacing w:line="240" w:lineRule="auto"/>
        <w:ind w:firstLine="0"/>
        <w:jc w:val="left"/>
        <w:rPr>
          <w:lang w:val="en-US"/>
        </w:rPr>
      </w:pPr>
    </w:p>
    <w:p w14:paraId="62BE2C0D" w14:textId="77777777" w:rsidR="004A5290" w:rsidRDefault="004A5290" w:rsidP="004A5290">
      <w:pPr>
        <w:spacing w:line="240" w:lineRule="auto"/>
        <w:ind w:firstLine="0"/>
        <w:jc w:val="left"/>
        <w:rPr>
          <w:lang w:val="en-US"/>
        </w:rPr>
      </w:pPr>
    </w:p>
    <w:p w14:paraId="67BE9E22" w14:textId="77777777" w:rsidR="004A5290" w:rsidRDefault="004A5290" w:rsidP="004A5290">
      <w:pPr>
        <w:spacing w:line="240" w:lineRule="auto"/>
        <w:ind w:firstLine="0"/>
        <w:jc w:val="left"/>
        <w:rPr>
          <w:lang w:val="en-US"/>
        </w:rPr>
      </w:pPr>
    </w:p>
    <w:p w14:paraId="2D399170" w14:textId="77777777" w:rsidR="004A5290" w:rsidRDefault="004A5290" w:rsidP="004A5290">
      <w:pPr>
        <w:spacing w:line="240" w:lineRule="auto"/>
        <w:ind w:firstLine="0"/>
        <w:jc w:val="left"/>
        <w:rPr>
          <w:lang w:val="en-US"/>
        </w:rPr>
      </w:pPr>
    </w:p>
    <w:p w14:paraId="0A4815B4" w14:textId="77777777" w:rsidR="004A5290" w:rsidRDefault="004A5290" w:rsidP="004A5290">
      <w:pPr>
        <w:spacing w:line="240" w:lineRule="auto"/>
        <w:ind w:firstLine="0"/>
        <w:jc w:val="left"/>
        <w:rPr>
          <w:lang w:val="en-US"/>
        </w:rPr>
      </w:pPr>
    </w:p>
    <w:p w14:paraId="52A8FEC4" w14:textId="77777777" w:rsidR="004A5290" w:rsidRDefault="004A5290" w:rsidP="004A5290">
      <w:pPr>
        <w:spacing w:line="240" w:lineRule="auto"/>
        <w:ind w:firstLine="0"/>
        <w:jc w:val="left"/>
        <w:rPr>
          <w:lang w:val="en-US"/>
        </w:rPr>
      </w:pPr>
    </w:p>
    <w:p w14:paraId="6B6F4AE3" w14:textId="77777777" w:rsidR="004A5290" w:rsidRDefault="004A5290" w:rsidP="004A5290">
      <w:pPr>
        <w:spacing w:line="240" w:lineRule="auto"/>
        <w:ind w:firstLine="0"/>
        <w:jc w:val="left"/>
        <w:rPr>
          <w:lang w:val="en-US"/>
        </w:rPr>
      </w:pPr>
    </w:p>
    <w:p w14:paraId="2F2987A1" w14:textId="77777777" w:rsidR="004A5290" w:rsidRDefault="004A5290" w:rsidP="004A5290">
      <w:pPr>
        <w:spacing w:line="240" w:lineRule="auto"/>
        <w:ind w:firstLine="0"/>
        <w:jc w:val="left"/>
        <w:rPr>
          <w:lang w:val="en-US"/>
        </w:rPr>
      </w:pPr>
    </w:p>
    <w:p w14:paraId="5BB3F2AA" w14:textId="77777777" w:rsidR="004A5290" w:rsidRDefault="004A5290" w:rsidP="004A5290">
      <w:pPr>
        <w:spacing w:line="240" w:lineRule="auto"/>
        <w:ind w:firstLine="0"/>
        <w:jc w:val="left"/>
        <w:rPr>
          <w:lang w:val="en-US"/>
        </w:rPr>
      </w:pPr>
    </w:p>
    <w:p w14:paraId="2BA92536" w14:textId="77777777" w:rsidR="004A5290" w:rsidRDefault="004A5290" w:rsidP="004A5290">
      <w:pPr>
        <w:spacing w:line="240" w:lineRule="auto"/>
        <w:ind w:firstLine="0"/>
        <w:jc w:val="left"/>
        <w:rPr>
          <w:lang w:val="en-US"/>
        </w:rPr>
      </w:pPr>
    </w:p>
    <w:p w14:paraId="50AA73A8" w14:textId="77777777" w:rsidR="004A5290" w:rsidRDefault="004A5290" w:rsidP="004A5290">
      <w:pPr>
        <w:spacing w:line="240" w:lineRule="auto"/>
        <w:ind w:firstLine="0"/>
        <w:jc w:val="left"/>
        <w:rPr>
          <w:lang w:val="en-US"/>
        </w:rPr>
      </w:pPr>
    </w:p>
    <w:p w14:paraId="19D3D0B3" w14:textId="77777777" w:rsidR="004A5290" w:rsidRDefault="004A5290" w:rsidP="004A5290">
      <w:pPr>
        <w:spacing w:line="240" w:lineRule="auto"/>
        <w:ind w:firstLine="0"/>
        <w:jc w:val="left"/>
        <w:rPr>
          <w:lang w:val="en-US"/>
        </w:rPr>
      </w:pPr>
    </w:p>
    <w:p w14:paraId="2FC512F3" w14:textId="77777777" w:rsidR="004A5290" w:rsidRPr="004A5290" w:rsidRDefault="004A5290" w:rsidP="004A5290">
      <w:pPr>
        <w:spacing w:line="240" w:lineRule="auto"/>
        <w:ind w:firstLine="0"/>
        <w:jc w:val="left"/>
        <w:rPr>
          <w:b/>
          <w:bCs/>
          <w:szCs w:val="48"/>
          <w:lang w:val="en-US"/>
        </w:rPr>
      </w:pPr>
    </w:p>
    <w:sdt>
      <w:sdtPr>
        <w:id w:val="943600724"/>
        <w:docPartObj>
          <w:docPartGallery w:val="Table of Contents"/>
          <w:docPartUnique/>
        </w:docPartObj>
      </w:sdtPr>
      <w:sdtEndPr>
        <w:rPr>
          <w:b w:val="0"/>
          <w:bCs w:val="0"/>
          <w:kern w:val="0"/>
          <w:szCs w:val="24"/>
        </w:rPr>
      </w:sdtEndPr>
      <w:sdtContent>
        <w:bookmarkStart w:id="0" w:name="_Toc167907822" w:displacedByCustomXml="prev"/>
        <w:p w14:paraId="25C5B488" w14:textId="188C0F5C" w:rsidR="00AB752B" w:rsidRDefault="00AB752B" w:rsidP="004A5290">
          <w:pPr>
            <w:pStyle w:val="Heading1"/>
            <w:rPr>
              <w:lang w:val="en-US"/>
            </w:rPr>
          </w:pPr>
        </w:p>
        <w:p w14:paraId="61852AB2" w14:textId="0DC9ABC4" w:rsidR="00632AC0" w:rsidRPr="00AB752B" w:rsidRDefault="00632AC0" w:rsidP="004A5290">
          <w:pPr>
            <w:pStyle w:val="Heading1"/>
            <w:rPr>
              <w:rFonts w:eastAsiaTheme="majorEastAsia"/>
              <w:lang w:val="en-US"/>
            </w:rPr>
          </w:pPr>
          <w:bookmarkStart w:id="1" w:name="_Toc167918972"/>
          <w:proofErr w:type="spellStart"/>
          <w:r w:rsidRPr="00487834">
            <w:rPr>
              <w:rStyle w:val="TitleChar"/>
              <w:rFonts w:ascii="Times New Roman" w:hAnsi="Times New Roman" w:cs="Times New Roman"/>
              <w:color w:val="auto"/>
              <w:sz w:val="24"/>
              <w:szCs w:val="24"/>
            </w:rPr>
            <w:t>Table</w:t>
          </w:r>
          <w:proofErr w:type="spellEnd"/>
          <w:r w:rsidRPr="00487834">
            <w:rPr>
              <w:rStyle w:val="TitleChar"/>
              <w:rFonts w:ascii="Times New Roman" w:hAnsi="Times New Roman" w:cs="Times New Roman"/>
              <w:color w:val="auto"/>
              <w:sz w:val="24"/>
              <w:szCs w:val="24"/>
            </w:rPr>
            <w:t xml:space="preserve"> </w:t>
          </w:r>
          <w:proofErr w:type="spellStart"/>
          <w:r w:rsidRPr="00487834">
            <w:rPr>
              <w:rStyle w:val="TitleChar"/>
              <w:rFonts w:ascii="Times New Roman" w:hAnsi="Times New Roman" w:cs="Times New Roman"/>
              <w:color w:val="auto"/>
              <w:sz w:val="24"/>
              <w:szCs w:val="24"/>
            </w:rPr>
            <w:t>of</w:t>
          </w:r>
          <w:proofErr w:type="spellEnd"/>
          <w:r w:rsidRPr="00487834">
            <w:rPr>
              <w:rStyle w:val="TitleChar"/>
              <w:rFonts w:ascii="Times New Roman" w:hAnsi="Times New Roman" w:cs="Times New Roman"/>
              <w:color w:val="auto"/>
              <w:sz w:val="24"/>
              <w:szCs w:val="24"/>
            </w:rPr>
            <w:t xml:space="preserve"> </w:t>
          </w:r>
          <w:proofErr w:type="spellStart"/>
          <w:r w:rsidRPr="00487834">
            <w:rPr>
              <w:rStyle w:val="TitleChar"/>
              <w:rFonts w:ascii="Times New Roman" w:hAnsi="Times New Roman" w:cs="Times New Roman"/>
              <w:color w:val="auto"/>
              <w:sz w:val="24"/>
              <w:szCs w:val="24"/>
            </w:rPr>
            <w:t>contents</w:t>
          </w:r>
          <w:bookmarkEnd w:id="0"/>
          <w:bookmarkEnd w:id="1"/>
          <w:proofErr w:type="spellEnd"/>
        </w:p>
        <w:p w14:paraId="5B3AFE67" w14:textId="7247BD3E" w:rsidR="004A5290" w:rsidRDefault="00632AC0">
          <w:pPr>
            <w:pStyle w:val="TOC1"/>
            <w:tabs>
              <w:tab w:val="right" w:leader="dot" w:pos="9345"/>
            </w:tabs>
            <w:rPr>
              <w:rFonts w:asciiTheme="minorHAnsi" w:eastAsiaTheme="minorEastAsia" w:hAnsiTheme="minorHAnsi" w:cstheme="minorBidi"/>
              <w:noProof/>
              <w:kern w:val="2"/>
              <w:lang w:val="en-RU"/>
              <w14:ligatures w14:val="standardContextual"/>
            </w:rPr>
          </w:pPr>
          <w:r w:rsidRPr="00487834">
            <w:fldChar w:fldCharType="begin"/>
          </w:r>
          <w:r w:rsidRPr="00487834">
            <w:instrText xml:space="preserve"> TOC \o "1-3" \h \z \u </w:instrText>
          </w:r>
          <w:r w:rsidRPr="00487834">
            <w:fldChar w:fldCharType="separate"/>
          </w:r>
        </w:p>
        <w:p w14:paraId="013E9927" w14:textId="31A94E57" w:rsidR="004A5290" w:rsidRDefault="004A5290">
          <w:pPr>
            <w:pStyle w:val="TOC1"/>
            <w:tabs>
              <w:tab w:val="right" w:leader="dot" w:pos="9345"/>
            </w:tabs>
            <w:rPr>
              <w:rFonts w:asciiTheme="minorHAnsi" w:eastAsiaTheme="minorEastAsia" w:hAnsiTheme="minorHAnsi" w:cstheme="minorBidi"/>
              <w:noProof/>
              <w:kern w:val="2"/>
              <w:lang w:val="en-RU"/>
              <w14:ligatures w14:val="standardContextual"/>
            </w:rPr>
          </w:pPr>
          <w:hyperlink w:anchor="_Toc167918973" w:history="1">
            <w:r w:rsidRPr="00230471">
              <w:rPr>
                <w:rStyle w:val="Hyperlink"/>
                <w:noProof/>
                <w:lang w:val="en-GB"/>
              </w:rPr>
              <w:t>Introduction</w:t>
            </w:r>
            <w:r>
              <w:rPr>
                <w:noProof/>
                <w:webHidden/>
              </w:rPr>
              <w:tab/>
            </w:r>
            <w:r>
              <w:rPr>
                <w:noProof/>
                <w:webHidden/>
              </w:rPr>
              <w:fldChar w:fldCharType="begin"/>
            </w:r>
            <w:r>
              <w:rPr>
                <w:noProof/>
                <w:webHidden/>
              </w:rPr>
              <w:instrText xml:space="preserve"> PAGEREF _Toc167918973 \h </w:instrText>
            </w:r>
            <w:r>
              <w:rPr>
                <w:noProof/>
                <w:webHidden/>
              </w:rPr>
            </w:r>
            <w:r>
              <w:rPr>
                <w:noProof/>
                <w:webHidden/>
              </w:rPr>
              <w:fldChar w:fldCharType="separate"/>
            </w:r>
            <w:r>
              <w:rPr>
                <w:noProof/>
                <w:webHidden/>
              </w:rPr>
              <w:t>5</w:t>
            </w:r>
            <w:r>
              <w:rPr>
                <w:noProof/>
                <w:webHidden/>
              </w:rPr>
              <w:fldChar w:fldCharType="end"/>
            </w:r>
          </w:hyperlink>
        </w:p>
        <w:p w14:paraId="59861793" w14:textId="5CD7E784" w:rsidR="004A5290" w:rsidRDefault="004A5290">
          <w:pPr>
            <w:pStyle w:val="TOC1"/>
            <w:tabs>
              <w:tab w:val="right" w:leader="dot" w:pos="9345"/>
            </w:tabs>
            <w:rPr>
              <w:rFonts w:asciiTheme="minorHAnsi" w:eastAsiaTheme="minorEastAsia" w:hAnsiTheme="minorHAnsi" w:cstheme="minorBidi"/>
              <w:noProof/>
              <w:kern w:val="2"/>
              <w:lang w:val="en-RU"/>
              <w14:ligatures w14:val="standardContextual"/>
            </w:rPr>
          </w:pPr>
          <w:hyperlink w:anchor="_Toc167918974" w:history="1">
            <w:r w:rsidRPr="00230471">
              <w:rPr>
                <w:rStyle w:val="Hyperlink"/>
                <w:noProof/>
                <w:lang w:val="en-GB"/>
              </w:rPr>
              <w:t>1.  Literature review</w:t>
            </w:r>
            <w:r>
              <w:rPr>
                <w:noProof/>
                <w:webHidden/>
              </w:rPr>
              <w:tab/>
            </w:r>
            <w:r>
              <w:rPr>
                <w:noProof/>
                <w:webHidden/>
              </w:rPr>
              <w:fldChar w:fldCharType="begin"/>
            </w:r>
            <w:r>
              <w:rPr>
                <w:noProof/>
                <w:webHidden/>
              </w:rPr>
              <w:instrText xml:space="preserve"> PAGEREF _Toc167918974 \h </w:instrText>
            </w:r>
            <w:r>
              <w:rPr>
                <w:noProof/>
                <w:webHidden/>
              </w:rPr>
            </w:r>
            <w:r>
              <w:rPr>
                <w:noProof/>
                <w:webHidden/>
              </w:rPr>
              <w:fldChar w:fldCharType="separate"/>
            </w:r>
            <w:r>
              <w:rPr>
                <w:noProof/>
                <w:webHidden/>
              </w:rPr>
              <w:t>6</w:t>
            </w:r>
            <w:r>
              <w:rPr>
                <w:noProof/>
                <w:webHidden/>
              </w:rPr>
              <w:fldChar w:fldCharType="end"/>
            </w:r>
          </w:hyperlink>
        </w:p>
        <w:p w14:paraId="08435B44" w14:textId="0B68D8EF" w:rsidR="004A5290" w:rsidRDefault="004A5290">
          <w:pPr>
            <w:pStyle w:val="TOC2"/>
            <w:tabs>
              <w:tab w:val="right" w:leader="dot" w:pos="9345"/>
            </w:tabs>
            <w:rPr>
              <w:rFonts w:asciiTheme="minorHAnsi" w:eastAsiaTheme="minorEastAsia" w:hAnsiTheme="minorHAnsi" w:cstheme="minorBidi"/>
              <w:noProof/>
              <w:kern w:val="2"/>
              <w:lang w:val="en-RU"/>
              <w14:ligatures w14:val="standardContextual"/>
            </w:rPr>
          </w:pPr>
          <w:hyperlink w:anchor="_Toc167918975" w:history="1">
            <w:r w:rsidRPr="00230471">
              <w:rPr>
                <w:rStyle w:val="Hyperlink"/>
                <w:noProof/>
                <w:lang w:val="en-GB"/>
              </w:rPr>
              <w:t>1.1. ESG and cost of debt</w:t>
            </w:r>
            <w:r>
              <w:rPr>
                <w:noProof/>
                <w:webHidden/>
              </w:rPr>
              <w:tab/>
            </w:r>
            <w:r>
              <w:rPr>
                <w:noProof/>
                <w:webHidden/>
              </w:rPr>
              <w:fldChar w:fldCharType="begin"/>
            </w:r>
            <w:r>
              <w:rPr>
                <w:noProof/>
                <w:webHidden/>
              </w:rPr>
              <w:instrText xml:space="preserve"> PAGEREF _Toc167918975 \h </w:instrText>
            </w:r>
            <w:r>
              <w:rPr>
                <w:noProof/>
                <w:webHidden/>
              </w:rPr>
            </w:r>
            <w:r>
              <w:rPr>
                <w:noProof/>
                <w:webHidden/>
              </w:rPr>
              <w:fldChar w:fldCharType="separate"/>
            </w:r>
            <w:r>
              <w:rPr>
                <w:noProof/>
                <w:webHidden/>
              </w:rPr>
              <w:t>6</w:t>
            </w:r>
            <w:r>
              <w:rPr>
                <w:noProof/>
                <w:webHidden/>
              </w:rPr>
              <w:fldChar w:fldCharType="end"/>
            </w:r>
          </w:hyperlink>
        </w:p>
        <w:p w14:paraId="1B10FE1F" w14:textId="2FD6DB74" w:rsidR="004A5290" w:rsidRDefault="004A5290">
          <w:pPr>
            <w:pStyle w:val="TOC2"/>
            <w:tabs>
              <w:tab w:val="right" w:leader="dot" w:pos="9345"/>
            </w:tabs>
            <w:rPr>
              <w:rFonts w:asciiTheme="minorHAnsi" w:eastAsiaTheme="minorEastAsia" w:hAnsiTheme="minorHAnsi" w:cstheme="minorBidi"/>
              <w:noProof/>
              <w:kern w:val="2"/>
              <w:lang w:val="en-RU"/>
              <w14:ligatures w14:val="standardContextual"/>
            </w:rPr>
          </w:pPr>
          <w:hyperlink w:anchor="_Toc167918976" w:history="1">
            <w:r w:rsidRPr="00230471">
              <w:rPr>
                <w:rStyle w:val="Hyperlink"/>
                <w:noProof/>
                <w:lang w:val="en-GB"/>
              </w:rPr>
              <w:t>1.2. ESG and cost of equity</w:t>
            </w:r>
            <w:r>
              <w:rPr>
                <w:noProof/>
                <w:webHidden/>
              </w:rPr>
              <w:tab/>
            </w:r>
            <w:r>
              <w:rPr>
                <w:noProof/>
                <w:webHidden/>
              </w:rPr>
              <w:fldChar w:fldCharType="begin"/>
            </w:r>
            <w:r>
              <w:rPr>
                <w:noProof/>
                <w:webHidden/>
              </w:rPr>
              <w:instrText xml:space="preserve"> PAGEREF _Toc167918976 \h </w:instrText>
            </w:r>
            <w:r>
              <w:rPr>
                <w:noProof/>
                <w:webHidden/>
              </w:rPr>
            </w:r>
            <w:r>
              <w:rPr>
                <w:noProof/>
                <w:webHidden/>
              </w:rPr>
              <w:fldChar w:fldCharType="separate"/>
            </w:r>
            <w:r>
              <w:rPr>
                <w:noProof/>
                <w:webHidden/>
              </w:rPr>
              <w:t>7</w:t>
            </w:r>
            <w:r>
              <w:rPr>
                <w:noProof/>
                <w:webHidden/>
              </w:rPr>
              <w:fldChar w:fldCharType="end"/>
            </w:r>
          </w:hyperlink>
        </w:p>
        <w:p w14:paraId="75F1AA80" w14:textId="3892B785" w:rsidR="004A5290" w:rsidRDefault="004A5290">
          <w:pPr>
            <w:pStyle w:val="TOC2"/>
            <w:tabs>
              <w:tab w:val="right" w:leader="dot" w:pos="9345"/>
            </w:tabs>
            <w:rPr>
              <w:rFonts w:asciiTheme="minorHAnsi" w:eastAsiaTheme="minorEastAsia" w:hAnsiTheme="minorHAnsi" w:cstheme="minorBidi"/>
              <w:noProof/>
              <w:kern w:val="2"/>
              <w:lang w:val="en-RU"/>
              <w14:ligatures w14:val="standardContextual"/>
            </w:rPr>
          </w:pPr>
          <w:hyperlink w:anchor="_Toc167918977" w:history="1">
            <w:r w:rsidRPr="00230471">
              <w:rPr>
                <w:rStyle w:val="Hyperlink"/>
                <w:noProof/>
                <w:lang w:val="en-GB"/>
              </w:rPr>
              <w:t>1.3. ESG and cost of capital in emerging markets</w:t>
            </w:r>
            <w:r>
              <w:rPr>
                <w:noProof/>
                <w:webHidden/>
              </w:rPr>
              <w:tab/>
            </w:r>
            <w:r>
              <w:rPr>
                <w:noProof/>
                <w:webHidden/>
              </w:rPr>
              <w:fldChar w:fldCharType="begin"/>
            </w:r>
            <w:r>
              <w:rPr>
                <w:noProof/>
                <w:webHidden/>
              </w:rPr>
              <w:instrText xml:space="preserve"> PAGEREF _Toc167918977 \h </w:instrText>
            </w:r>
            <w:r>
              <w:rPr>
                <w:noProof/>
                <w:webHidden/>
              </w:rPr>
            </w:r>
            <w:r>
              <w:rPr>
                <w:noProof/>
                <w:webHidden/>
              </w:rPr>
              <w:fldChar w:fldCharType="separate"/>
            </w:r>
            <w:r>
              <w:rPr>
                <w:noProof/>
                <w:webHidden/>
              </w:rPr>
              <w:t>9</w:t>
            </w:r>
            <w:r>
              <w:rPr>
                <w:noProof/>
                <w:webHidden/>
              </w:rPr>
              <w:fldChar w:fldCharType="end"/>
            </w:r>
          </w:hyperlink>
        </w:p>
        <w:p w14:paraId="5326D607" w14:textId="77D9B11C" w:rsidR="004A5290" w:rsidRDefault="004A5290">
          <w:pPr>
            <w:pStyle w:val="TOC2"/>
            <w:tabs>
              <w:tab w:val="right" w:leader="dot" w:pos="9345"/>
            </w:tabs>
            <w:rPr>
              <w:rFonts w:asciiTheme="minorHAnsi" w:eastAsiaTheme="minorEastAsia" w:hAnsiTheme="minorHAnsi" w:cstheme="minorBidi"/>
              <w:noProof/>
              <w:kern w:val="2"/>
              <w:lang w:val="en-RU"/>
              <w14:ligatures w14:val="standardContextual"/>
            </w:rPr>
          </w:pPr>
          <w:hyperlink w:anchor="_Toc167918978" w:history="1">
            <w:r w:rsidRPr="00230471">
              <w:rPr>
                <w:rStyle w:val="Hyperlink"/>
                <w:noProof/>
                <w:shd w:val="clear" w:color="auto" w:fill="FFFFFF"/>
                <w:lang w:val="en-US"/>
              </w:rPr>
              <w:t>1.4. Research gap</w:t>
            </w:r>
            <w:r>
              <w:rPr>
                <w:noProof/>
                <w:webHidden/>
              </w:rPr>
              <w:tab/>
            </w:r>
            <w:r>
              <w:rPr>
                <w:noProof/>
                <w:webHidden/>
              </w:rPr>
              <w:fldChar w:fldCharType="begin"/>
            </w:r>
            <w:r>
              <w:rPr>
                <w:noProof/>
                <w:webHidden/>
              </w:rPr>
              <w:instrText xml:space="preserve"> PAGEREF _Toc167918978 \h </w:instrText>
            </w:r>
            <w:r>
              <w:rPr>
                <w:noProof/>
                <w:webHidden/>
              </w:rPr>
            </w:r>
            <w:r>
              <w:rPr>
                <w:noProof/>
                <w:webHidden/>
              </w:rPr>
              <w:fldChar w:fldCharType="separate"/>
            </w:r>
            <w:r>
              <w:rPr>
                <w:noProof/>
                <w:webHidden/>
              </w:rPr>
              <w:t>10</w:t>
            </w:r>
            <w:r>
              <w:rPr>
                <w:noProof/>
                <w:webHidden/>
              </w:rPr>
              <w:fldChar w:fldCharType="end"/>
            </w:r>
          </w:hyperlink>
        </w:p>
        <w:p w14:paraId="13EDA92E" w14:textId="34B0137C" w:rsidR="004A5290" w:rsidRDefault="004A5290">
          <w:pPr>
            <w:pStyle w:val="TOC2"/>
            <w:tabs>
              <w:tab w:val="right" w:leader="dot" w:pos="9345"/>
            </w:tabs>
            <w:rPr>
              <w:rFonts w:asciiTheme="minorHAnsi" w:eastAsiaTheme="minorEastAsia" w:hAnsiTheme="minorHAnsi" w:cstheme="minorBidi"/>
              <w:noProof/>
              <w:kern w:val="2"/>
              <w:lang w:val="en-RU"/>
              <w14:ligatures w14:val="standardContextual"/>
            </w:rPr>
          </w:pPr>
          <w:hyperlink w:anchor="_Toc167918979" w:history="1">
            <w:r w:rsidRPr="00230471">
              <w:rPr>
                <w:rStyle w:val="Hyperlink"/>
                <w:noProof/>
                <w:lang w:val="en-GB"/>
              </w:rPr>
              <w:t>1.5. Problem statement and hypotheses</w:t>
            </w:r>
            <w:r>
              <w:rPr>
                <w:noProof/>
                <w:webHidden/>
              </w:rPr>
              <w:tab/>
            </w:r>
            <w:r>
              <w:rPr>
                <w:noProof/>
                <w:webHidden/>
              </w:rPr>
              <w:fldChar w:fldCharType="begin"/>
            </w:r>
            <w:r>
              <w:rPr>
                <w:noProof/>
                <w:webHidden/>
              </w:rPr>
              <w:instrText xml:space="preserve"> PAGEREF _Toc167918979 \h </w:instrText>
            </w:r>
            <w:r>
              <w:rPr>
                <w:noProof/>
                <w:webHidden/>
              </w:rPr>
            </w:r>
            <w:r>
              <w:rPr>
                <w:noProof/>
                <w:webHidden/>
              </w:rPr>
              <w:fldChar w:fldCharType="separate"/>
            </w:r>
            <w:r>
              <w:rPr>
                <w:noProof/>
                <w:webHidden/>
              </w:rPr>
              <w:t>11</w:t>
            </w:r>
            <w:r>
              <w:rPr>
                <w:noProof/>
                <w:webHidden/>
              </w:rPr>
              <w:fldChar w:fldCharType="end"/>
            </w:r>
          </w:hyperlink>
        </w:p>
        <w:p w14:paraId="1F800D00" w14:textId="037B7ABD" w:rsidR="004A5290" w:rsidRDefault="004A5290">
          <w:pPr>
            <w:pStyle w:val="TOC1"/>
            <w:tabs>
              <w:tab w:val="right" w:leader="dot" w:pos="9345"/>
            </w:tabs>
            <w:rPr>
              <w:rFonts w:asciiTheme="minorHAnsi" w:eastAsiaTheme="minorEastAsia" w:hAnsiTheme="minorHAnsi" w:cstheme="minorBidi"/>
              <w:noProof/>
              <w:kern w:val="2"/>
              <w:lang w:val="en-RU"/>
              <w14:ligatures w14:val="standardContextual"/>
            </w:rPr>
          </w:pPr>
          <w:hyperlink w:anchor="_Toc167918980" w:history="1">
            <w:r w:rsidRPr="00230471">
              <w:rPr>
                <w:rStyle w:val="Hyperlink"/>
                <w:noProof/>
                <w:shd w:val="clear" w:color="auto" w:fill="FFFFFF"/>
                <w:lang w:val="en-US"/>
              </w:rPr>
              <w:t>3. Data</w:t>
            </w:r>
            <w:r>
              <w:rPr>
                <w:noProof/>
                <w:webHidden/>
              </w:rPr>
              <w:tab/>
            </w:r>
            <w:r>
              <w:rPr>
                <w:noProof/>
                <w:webHidden/>
              </w:rPr>
              <w:fldChar w:fldCharType="begin"/>
            </w:r>
            <w:r>
              <w:rPr>
                <w:noProof/>
                <w:webHidden/>
              </w:rPr>
              <w:instrText xml:space="preserve"> PAGEREF _Toc167918980 \h </w:instrText>
            </w:r>
            <w:r>
              <w:rPr>
                <w:noProof/>
                <w:webHidden/>
              </w:rPr>
            </w:r>
            <w:r>
              <w:rPr>
                <w:noProof/>
                <w:webHidden/>
              </w:rPr>
              <w:fldChar w:fldCharType="separate"/>
            </w:r>
            <w:r>
              <w:rPr>
                <w:noProof/>
                <w:webHidden/>
              </w:rPr>
              <w:t>13</w:t>
            </w:r>
            <w:r>
              <w:rPr>
                <w:noProof/>
                <w:webHidden/>
              </w:rPr>
              <w:fldChar w:fldCharType="end"/>
            </w:r>
          </w:hyperlink>
        </w:p>
        <w:p w14:paraId="0E7F70D3" w14:textId="7F8F5882" w:rsidR="004A5290" w:rsidRDefault="004A5290">
          <w:pPr>
            <w:pStyle w:val="TOC2"/>
            <w:tabs>
              <w:tab w:val="right" w:leader="dot" w:pos="9345"/>
            </w:tabs>
            <w:rPr>
              <w:rFonts w:asciiTheme="minorHAnsi" w:eastAsiaTheme="minorEastAsia" w:hAnsiTheme="minorHAnsi" w:cstheme="minorBidi"/>
              <w:noProof/>
              <w:kern w:val="2"/>
              <w:lang w:val="en-RU"/>
              <w14:ligatures w14:val="standardContextual"/>
            </w:rPr>
          </w:pPr>
          <w:hyperlink w:anchor="_Toc167918981" w:history="1">
            <w:r w:rsidRPr="00230471">
              <w:rPr>
                <w:rStyle w:val="Hyperlink"/>
                <w:noProof/>
                <w:shd w:val="clear" w:color="auto" w:fill="FFFFFF"/>
                <w:lang w:val="en-US"/>
              </w:rPr>
              <w:t>3.1. Why drop I and C from BRICS?</w:t>
            </w:r>
            <w:r>
              <w:rPr>
                <w:noProof/>
                <w:webHidden/>
              </w:rPr>
              <w:tab/>
            </w:r>
            <w:r>
              <w:rPr>
                <w:noProof/>
                <w:webHidden/>
              </w:rPr>
              <w:fldChar w:fldCharType="begin"/>
            </w:r>
            <w:r>
              <w:rPr>
                <w:noProof/>
                <w:webHidden/>
              </w:rPr>
              <w:instrText xml:space="preserve"> PAGEREF _Toc167918981 \h </w:instrText>
            </w:r>
            <w:r>
              <w:rPr>
                <w:noProof/>
                <w:webHidden/>
              </w:rPr>
            </w:r>
            <w:r>
              <w:rPr>
                <w:noProof/>
                <w:webHidden/>
              </w:rPr>
              <w:fldChar w:fldCharType="separate"/>
            </w:r>
            <w:r>
              <w:rPr>
                <w:noProof/>
                <w:webHidden/>
              </w:rPr>
              <w:t>13</w:t>
            </w:r>
            <w:r>
              <w:rPr>
                <w:noProof/>
                <w:webHidden/>
              </w:rPr>
              <w:fldChar w:fldCharType="end"/>
            </w:r>
          </w:hyperlink>
        </w:p>
        <w:p w14:paraId="4A180E7E" w14:textId="067D56BD" w:rsidR="004A5290" w:rsidRDefault="004A5290">
          <w:pPr>
            <w:pStyle w:val="TOC2"/>
            <w:tabs>
              <w:tab w:val="right" w:leader="dot" w:pos="9345"/>
            </w:tabs>
            <w:rPr>
              <w:rFonts w:asciiTheme="minorHAnsi" w:eastAsiaTheme="minorEastAsia" w:hAnsiTheme="minorHAnsi" w:cstheme="minorBidi"/>
              <w:noProof/>
              <w:kern w:val="2"/>
              <w:lang w:val="en-RU"/>
              <w14:ligatures w14:val="standardContextual"/>
            </w:rPr>
          </w:pPr>
          <w:hyperlink w:anchor="_Toc167918982" w:history="1">
            <w:r w:rsidRPr="00230471">
              <w:rPr>
                <w:rStyle w:val="Hyperlink"/>
                <w:noProof/>
                <w:shd w:val="clear" w:color="auto" w:fill="FFFFFF"/>
                <w:lang w:val="en-US"/>
              </w:rPr>
              <w:t>3.2. Data sourcing and sampling</w:t>
            </w:r>
            <w:r>
              <w:rPr>
                <w:noProof/>
                <w:webHidden/>
              </w:rPr>
              <w:tab/>
            </w:r>
            <w:r>
              <w:rPr>
                <w:noProof/>
                <w:webHidden/>
              </w:rPr>
              <w:fldChar w:fldCharType="begin"/>
            </w:r>
            <w:r>
              <w:rPr>
                <w:noProof/>
                <w:webHidden/>
              </w:rPr>
              <w:instrText xml:space="preserve"> PAGEREF _Toc167918982 \h </w:instrText>
            </w:r>
            <w:r>
              <w:rPr>
                <w:noProof/>
                <w:webHidden/>
              </w:rPr>
            </w:r>
            <w:r>
              <w:rPr>
                <w:noProof/>
                <w:webHidden/>
              </w:rPr>
              <w:fldChar w:fldCharType="separate"/>
            </w:r>
            <w:r>
              <w:rPr>
                <w:noProof/>
                <w:webHidden/>
              </w:rPr>
              <w:t>14</w:t>
            </w:r>
            <w:r>
              <w:rPr>
                <w:noProof/>
                <w:webHidden/>
              </w:rPr>
              <w:fldChar w:fldCharType="end"/>
            </w:r>
          </w:hyperlink>
        </w:p>
        <w:p w14:paraId="17F0C853" w14:textId="09612B75" w:rsidR="004A5290" w:rsidRDefault="004A5290">
          <w:pPr>
            <w:pStyle w:val="TOC2"/>
            <w:tabs>
              <w:tab w:val="right" w:leader="dot" w:pos="9345"/>
            </w:tabs>
            <w:rPr>
              <w:rFonts w:asciiTheme="minorHAnsi" w:eastAsiaTheme="minorEastAsia" w:hAnsiTheme="minorHAnsi" w:cstheme="minorBidi"/>
              <w:noProof/>
              <w:kern w:val="2"/>
              <w:lang w:val="en-RU"/>
              <w14:ligatures w14:val="standardContextual"/>
            </w:rPr>
          </w:pPr>
          <w:hyperlink w:anchor="_Toc167918983" w:history="1">
            <w:r w:rsidRPr="00230471">
              <w:rPr>
                <w:rStyle w:val="Hyperlink"/>
                <w:noProof/>
                <w:shd w:val="clear" w:color="auto" w:fill="FFFFFF"/>
                <w:lang w:val="en-US"/>
              </w:rPr>
              <w:t>3.3. Variables</w:t>
            </w:r>
            <w:r>
              <w:rPr>
                <w:noProof/>
                <w:webHidden/>
              </w:rPr>
              <w:tab/>
            </w:r>
            <w:r>
              <w:rPr>
                <w:noProof/>
                <w:webHidden/>
              </w:rPr>
              <w:fldChar w:fldCharType="begin"/>
            </w:r>
            <w:r>
              <w:rPr>
                <w:noProof/>
                <w:webHidden/>
              </w:rPr>
              <w:instrText xml:space="preserve"> PAGEREF _Toc167918983 \h </w:instrText>
            </w:r>
            <w:r>
              <w:rPr>
                <w:noProof/>
                <w:webHidden/>
              </w:rPr>
            </w:r>
            <w:r>
              <w:rPr>
                <w:noProof/>
                <w:webHidden/>
              </w:rPr>
              <w:fldChar w:fldCharType="separate"/>
            </w:r>
            <w:r>
              <w:rPr>
                <w:noProof/>
                <w:webHidden/>
              </w:rPr>
              <w:t>15</w:t>
            </w:r>
            <w:r>
              <w:rPr>
                <w:noProof/>
                <w:webHidden/>
              </w:rPr>
              <w:fldChar w:fldCharType="end"/>
            </w:r>
          </w:hyperlink>
        </w:p>
        <w:p w14:paraId="0B41D5BF" w14:textId="50734E74" w:rsidR="004A5290" w:rsidRDefault="004A5290">
          <w:pPr>
            <w:pStyle w:val="TOC2"/>
            <w:tabs>
              <w:tab w:val="right" w:leader="dot" w:pos="9345"/>
            </w:tabs>
            <w:rPr>
              <w:rFonts w:asciiTheme="minorHAnsi" w:eastAsiaTheme="minorEastAsia" w:hAnsiTheme="minorHAnsi" w:cstheme="minorBidi"/>
              <w:noProof/>
              <w:kern w:val="2"/>
              <w:lang w:val="en-RU"/>
              <w14:ligatures w14:val="standardContextual"/>
            </w:rPr>
          </w:pPr>
          <w:hyperlink w:anchor="_Toc167918984" w:history="1">
            <w:r w:rsidRPr="00230471">
              <w:rPr>
                <w:rStyle w:val="Hyperlink"/>
                <w:noProof/>
                <w:lang w:val="en-GB"/>
              </w:rPr>
              <w:t>3.4. Descriptive statistics</w:t>
            </w:r>
            <w:r>
              <w:rPr>
                <w:noProof/>
                <w:webHidden/>
              </w:rPr>
              <w:tab/>
            </w:r>
            <w:r>
              <w:rPr>
                <w:noProof/>
                <w:webHidden/>
              </w:rPr>
              <w:fldChar w:fldCharType="begin"/>
            </w:r>
            <w:r>
              <w:rPr>
                <w:noProof/>
                <w:webHidden/>
              </w:rPr>
              <w:instrText xml:space="preserve"> PAGEREF _Toc167918984 \h </w:instrText>
            </w:r>
            <w:r>
              <w:rPr>
                <w:noProof/>
                <w:webHidden/>
              </w:rPr>
            </w:r>
            <w:r>
              <w:rPr>
                <w:noProof/>
                <w:webHidden/>
              </w:rPr>
              <w:fldChar w:fldCharType="separate"/>
            </w:r>
            <w:r>
              <w:rPr>
                <w:noProof/>
                <w:webHidden/>
              </w:rPr>
              <w:t>16</w:t>
            </w:r>
            <w:r>
              <w:rPr>
                <w:noProof/>
                <w:webHidden/>
              </w:rPr>
              <w:fldChar w:fldCharType="end"/>
            </w:r>
          </w:hyperlink>
        </w:p>
        <w:p w14:paraId="77B1BFB3" w14:textId="1CCAD5EC" w:rsidR="004A5290" w:rsidRDefault="004A5290">
          <w:pPr>
            <w:pStyle w:val="TOC2"/>
            <w:tabs>
              <w:tab w:val="right" w:leader="dot" w:pos="9345"/>
            </w:tabs>
            <w:rPr>
              <w:rFonts w:asciiTheme="minorHAnsi" w:eastAsiaTheme="minorEastAsia" w:hAnsiTheme="minorHAnsi" w:cstheme="minorBidi"/>
              <w:noProof/>
              <w:kern w:val="2"/>
              <w:lang w:val="en-RU"/>
              <w14:ligatures w14:val="standardContextual"/>
            </w:rPr>
          </w:pPr>
          <w:hyperlink w:anchor="_Toc167918985" w:history="1">
            <w:r w:rsidRPr="00230471">
              <w:rPr>
                <w:rStyle w:val="Hyperlink"/>
                <w:rFonts w:eastAsiaTheme="minorHAnsi"/>
                <w:noProof/>
                <w:lang w:val="en-US" w:eastAsia="en-US"/>
              </w:rPr>
              <w:t>3.5. VIF test</w:t>
            </w:r>
            <w:r>
              <w:rPr>
                <w:noProof/>
                <w:webHidden/>
              </w:rPr>
              <w:tab/>
            </w:r>
            <w:r>
              <w:rPr>
                <w:noProof/>
                <w:webHidden/>
              </w:rPr>
              <w:fldChar w:fldCharType="begin"/>
            </w:r>
            <w:r>
              <w:rPr>
                <w:noProof/>
                <w:webHidden/>
              </w:rPr>
              <w:instrText xml:space="preserve"> PAGEREF _Toc167918985 \h </w:instrText>
            </w:r>
            <w:r>
              <w:rPr>
                <w:noProof/>
                <w:webHidden/>
              </w:rPr>
            </w:r>
            <w:r>
              <w:rPr>
                <w:noProof/>
                <w:webHidden/>
              </w:rPr>
              <w:fldChar w:fldCharType="separate"/>
            </w:r>
            <w:r>
              <w:rPr>
                <w:noProof/>
                <w:webHidden/>
              </w:rPr>
              <w:t>17</w:t>
            </w:r>
            <w:r>
              <w:rPr>
                <w:noProof/>
                <w:webHidden/>
              </w:rPr>
              <w:fldChar w:fldCharType="end"/>
            </w:r>
          </w:hyperlink>
        </w:p>
        <w:p w14:paraId="79142285" w14:textId="29BCDF67" w:rsidR="004A5290" w:rsidRDefault="004A5290">
          <w:pPr>
            <w:pStyle w:val="TOC2"/>
            <w:tabs>
              <w:tab w:val="right" w:leader="dot" w:pos="9345"/>
            </w:tabs>
            <w:rPr>
              <w:rFonts w:asciiTheme="minorHAnsi" w:eastAsiaTheme="minorEastAsia" w:hAnsiTheme="minorHAnsi" w:cstheme="minorBidi"/>
              <w:noProof/>
              <w:kern w:val="2"/>
              <w:lang w:val="en-RU"/>
              <w14:ligatures w14:val="standardContextual"/>
            </w:rPr>
          </w:pPr>
          <w:hyperlink w:anchor="_Toc167918986" w:history="1">
            <w:r w:rsidRPr="00230471">
              <w:rPr>
                <w:rStyle w:val="Hyperlink"/>
                <w:rFonts w:eastAsiaTheme="minorHAnsi"/>
                <w:noProof/>
                <w:lang w:val="en-GB" w:eastAsia="en-US"/>
              </w:rPr>
              <w:t>3.6. Modelling cost of equity</w:t>
            </w:r>
            <w:r>
              <w:rPr>
                <w:noProof/>
                <w:webHidden/>
              </w:rPr>
              <w:tab/>
            </w:r>
            <w:r>
              <w:rPr>
                <w:noProof/>
                <w:webHidden/>
              </w:rPr>
              <w:fldChar w:fldCharType="begin"/>
            </w:r>
            <w:r>
              <w:rPr>
                <w:noProof/>
                <w:webHidden/>
              </w:rPr>
              <w:instrText xml:space="preserve"> PAGEREF _Toc167918986 \h </w:instrText>
            </w:r>
            <w:r>
              <w:rPr>
                <w:noProof/>
                <w:webHidden/>
              </w:rPr>
            </w:r>
            <w:r>
              <w:rPr>
                <w:noProof/>
                <w:webHidden/>
              </w:rPr>
              <w:fldChar w:fldCharType="separate"/>
            </w:r>
            <w:r>
              <w:rPr>
                <w:noProof/>
                <w:webHidden/>
              </w:rPr>
              <w:t>20</w:t>
            </w:r>
            <w:r>
              <w:rPr>
                <w:noProof/>
                <w:webHidden/>
              </w:rPr>
              <w:fldChar w:fldCharType="end"/>
            </w:r>
          </w:hyperlink>
        </w:p>
        <w:p w14:paraId="147D491F" w14:textId="60D52A42" w:rsidR="004A5290" w:rsidRDefault="004A5290">
          <w:pPr>
            <w:pStyle w:val="TOC2"/>
            <w:tabs>
              <w:tab w:val="right" w:leader="dot" w:pos="9345"/>
            </w:tabs>
            <w:rPr>
              <w:rFonts w:asciiTheme="minorHAnsi" w:eastAsiaTheme="minorEastAsia" w:hAnsiTheme="minorHAnsi" w:cstheme="minorBidi"/>
              <w:noProof/>
              <w:kern w:val="2"/>
              <w:lang w:val="en-RU"/>
              <w14:ligatures w14:val="standardContextual"/>
            </w:rPr>
          </w:pPr>
          <w:hyperlink w:anchor="_Toc167918987" w:history="1">
            <w:r w:rsidRPr="00230471">
              <w:rPr>
                <w:rStyle w:val="Hyperlink"/>
                <w:rFonts w:eastAsiaTheme="minorHAnsi"/>
                <w:noProof/>
                <w:lang w:val="en-GB" w:eastAsia="en-US"/>
              </w:rPr>
              <w:t>3.7. Modelling cost of debt</w:t>
            </w:r>
            <w:r>
              <w:rPr>
                <w:noProof/>
                <w:webHidden/>
              </w:rPr>
              <w:tab/>
            </w:r>
            <w:r>
              <w:rPr>
                <w:noProof/>
                <w:webHidden/>
              </w:rPr>
              <w:fldChar w:fldCharType="begin"/>
            </w:r>
            <w:r>
              <w:rPr>
                <w:noProof/>
                <w:webHidden/>
              </w:rPr>
              <w:instrText xml:space="preserve"> PAGEREF _Toc167918987 \h </w:instrText>
            </w:r>
            <w:r>
              <w:rPr>
                <w:noProof/>
                <w:webHidden/>
              </w:rPr>
            </w:r>
            <w:r>
              <w:rPr>
                <w:noProof/>
                <w:webHidden/>
              </w:rPr>
              <w:fldChar w:fldCharType="separate"/>
            </w:r>
            <w:r>
              <w:rPr>
                <w:noProof/>
                <w:webHidden/>
              </w:rPr>
              <w:t>21</w:t>
            </w:r>
            <w:r>
              <w:rPr>
                <w:noProof/>
                <w:webHidden/>
              </w:rPr>
              <w:fldChar w:fldCharType="end"/>
            </w:r>
          </w:hyperlink>
        </w:p>
        <w:p w14:paraId="256AE708" w14:textId="5A33C9D4" w:rsidR="004A5290" w:rsidRDefault="004A5290">
          <w:pPr>
            <w:pStyle w:val="TOC2"/>
            <w:tabs>
              <w:tab w:val="right" w:leader="dot" w:pos="9345"/>
            </w:tabs>
            <w:rPr>
              <w:rFonts w:asciiTheme="minorHAnsi" w:eastAsiaTheme="minorEastAsia" w:hAnsiTheme="minorHAnsi" w:cstheme="minorBidi"/>
              <w:noProof/>
              <w:kern w:val="2"/>
              <w:lang w:val="en-RU"/>
              <w14:ligatures w14:val="standardContextual"/>
            </w:rPr>
          </w:pPr>
          <w:hyperlink w:anchor="_Toc167918988" w:history="1">
            <w:r w:rsidRPr="00230471">
              <w:rPr>
                <w:rStyle w:val="Hyperlink"/>
                <w:rFonts w:eastAsiaTheme="minorHAnsi"/>
                <w:noProof/>
                <w:lang w:val="en-US" w:eastAsia="en-US"/>
              </w:rPr>
              <w:t>3.8. WACC</w:t>
            </w:r>
            <w:r>
              <w:rPr>
                <w:noProof/>
                <w:webHidden/>
              </w:rPr>
              <w:tab/>
            </w:r>
            <w:r>
              <w:rPr>
                <w:noProof/>
                <w:webHidden/>
              </w:rPr>
              <w:fldChar w:fldCharType="begin"/>
            </w:r>
            <w:r>
              <w:rPr>
                <w:noProof/>
                <w:webHidden/>
              </w:rPr>
              <w:instrText xml:space="preserve"> PAGEREF _Toc167918988 \h </w:instrText>
            </w:r>
            <w:r>
              <w:rPr>
                <w:noProof/>
                <w:webHidden/>
              </w:rPr>
            </w:r>
            <w:r>
              <w:rPr>
                <w:noProof/>
                <w:webHidden/>
              </w:rPr>
              <w:fldChar w:fldCharType="separate"/>
            </w:r>
            <w:r>
              <w:rPr>
                <w:noProof/>
                <w:webHidden/>
              </w:rPr>
              <w:t>21</w:t>
            </w:r>
            <w:r>
              <w:rPr>
                <w:noProof/>
                <w:webHidden/>
              </w:rPr>
              <w:fldChar w:fldCharType="end"/>
            </w:r>
          </w:hyperlink>
        </w:p>
        <w:p w14:paraId="112DDD4C" w14:textId="71CFD5FF" w:rsidR="004A5290" w:rsidRDefault="004A5290">
          <w:pPr>
            <w:pStyle w:val="TOC1"/>
            <w:tabs>
              <w:tab w:val="right" w:leader="dot" w:pos="9345"/>
            </w:tabs>
            <w:rPr>
              <w:rFonts w:asciiTheme="minorHAnsi" w:eastAsiaTheme="minorEastAsia" w:hAnsiTheme="minorHAnsi" w:cstheme="minorBidi"/>
              <w:noProof/>
              <w:kern w:val="2"/>
              <w:lang w:val="en-RU"/>
              <w14:ligatures w14:val="standardContextual"/>
            </w:rPr>
          </w:pPr>
          <w:hyperlink w:anchor="_Toc167918989" w:history="1">
            <w:r w:rsidRPr="00230471">
              <w:rPr>
                <w:rStyle w:val="Hyperlink"/>
                <w:rFonts w:eastAsiaTheme="minorHAnsi"/>
                <w:noProof/>
                <w:lang w:val="en-GB" w:eastAsia="en-US"/>
              </w:rPr>
              <w:t>4. The model</w:t>
            </w:r>
            <w:r>
              <w:rPr>
                <w:noProof/>
                <w:webHidden/>
              </w:rPr>
              <w:tab/>
            </w:r>
            <w:r>
              <w:rPr>
                <w:noProof/>
                <w:webHidden/>
              </w:rPr>
              <w:fldChar w:fldCharType="begin"/>
            </w:r>
            <w:r>
              <w:rPr>
                <w:noProof/>
                <w:webHidden/>
              </w:rPr>
              <w:instrText xml:space="preserve"> PAGEREF _Toc167918989 \h </w:instrText>
            </w:r>
            <w:r>
              <w:rPr>
                <w:noProof/>
                <w:webHidden/>
              </w:rPr>
            </w:r>
            <w:r>
              <w:rPr>
                <w:noProof/>
                <w:webHidden/>
              </w:rPr>
              <w:fldChar w:fldCharType="separate"/>
            </w:r>
            <w:r>
              <w:rPr>
                <w:noProof/>
                <w:webHidden/>
              </w:rPr>
              <w:t>22</w:t>
            </w:r>
            <w:r>
              <w:rPr>
                <w:noProof/>
                <w:webHidden/>
              </w:rPr>
              <w:fldChar w:fldCharType="end"/>
            </w:r>
          </w:hyperlink>
        </w:p>
        <w:p w14:paraId="278F79B6" w14:textId="2D1B3A5C" w:rsidR="004A5290" w:rsidRDefault="004A5290">
          <w:pPr>
            <w:pStyle w:val="TOC2"/>
            <w:tabs>
              <w:tab w:val="right" w:leader="dot" w:pos="9345"/>
            </w:tabs>
            <w:rPr>
              <w:rFonts w:asciiTheme="minorHAnsi" w:eastAsiaTheme="minorEastAsia" w:hAnsiTheme="minorHAnsi" w:cstheme="minorBidi"/>
              <w:noProof/>
              <w:kern w:val="2"/>
              <w:lang w:val="en-RU"/>
              <w14:ligatures w14:val="standardContextual"/>
            </w:rPr>
          </w:pPr>
          <w:hyperlink w:anchor="_Toc167918990" w:history="1">
            <w:r w:rsidRPr="00230471">
              <w:rPr>
                <w:rStyle w:val="Hyperlink"/>
                <w:noProof/>
                <w:lang w:val="en-US"/>
              </w:rPr>
              <w:t>4.1. Statistical significance and robustness tests</w:t>
            </w:r>
            <w:r>
              <w:rPr>
                <w:noProof/>
                <w:webHidden/>
              </w:rPr>
              <w:tab/>
            </w:r>
            <w:r>
              <w:rPr>
                <w:noProof/>
                <w:webHidden/>
              </w:rPr>
              <w:fldChar w:fldCharType="begin"/>
            </w:r>
            <w:r>
              <w:rPr>
                <w:noProof/>
                <w:webHidden/>
              </w:rPr>
              <w:instrText xml:space="preserve"> PAGEREF _Toc167918990 \h </w:instrText>
            </w:r>
            <w:r>
              <w:rPr>
                <w:noProof/>
                <w:webHidden/>
              </w:rPr>
            </w:r>
            <w:r>
              <w:rPr>
                <w:noProof/>
                <w:webHidden/>
              </w:rPr>
              <w:fldChar w:fldCharType="separate"/>
            </w:r>
            <w:r>
              <w:rPr>
                <w:noProof/>
                <w:webHidden/>
              </w:rPr>
              <w:t>23</w:t>
            </w:r>
            <w:r>
              <w:rPr>
                <w:noProof/>
                <w:webHidden/>
              </w:rPr>
              <w:fldChar w:fldCharType="end"/>
            </w:r>
          </w:hyperlink>
        </w:p>
        <w:p w14:paraId="463D116F" w14:textId="0A754E83" w:rsidR="004A5290" w:rsidRDefault="004A5290">
          <w:pPr>
            <w:pStyle w:val="TOC2"/>
            <w:tabs>
              <w:tab w:val="right" w:leader="dot" w:pos="9345"/>
            </w:tabs>
            <w:rPr>
              <w:rFonts w:asciiTheme="minorHAnsi" w:eastAsiaTheme="minorEastAsia" w:hAnsiTheme="minorHAnsi" w:cstheme="minorBidi"/>
              <w:noProof/>
              <w:kern w:val="2"/>
              <w:lang w:val="en-RU"/>
              <w14:ligatures w14:val="standardContextual"/>
            </w:rPr>
          </w:pPr>
          <w:hyperlink w:anchor="_Toc167918991" w:history="1">
            <w:r w:rsidRPr="00230471">
              <w:rPr>
                <w:rStyle w:val="Hyperlink"/>
                <w:rFonts w:eastAsiaTheme="minorHAnsi"/>
                <w:noProof/>
                <w:lang w:val="en-GB" w:eastAsia="en-US"/>
              </w:rPr>
              <w:t>4.2. Addressing potential Endogeneity</w:t>
            </w:r>
            <w:r>
              <w:rPr>
                <w:noProof/>
                <w:webHidden/>
              </w:rPr>
              <w:tab/>
            </w:r>
            <w:r>
              <w:rPr>
                <w:noProof/>
                <w:webHidden/>
              </w:rPr>
              <w:fldChar w:fldCharType="begin"/>
            </w:r>
            <w:r>
              <w:rPr>
                <w:noProof/>
                <w:webHidden/>
              </w:rPr>
              <w:instrText xml:space="preserve"> PAGEREF _Toc167918991 \h </w:instrText>
            </w:r>
            <w:r>
              <w:rPr>
                <w:noProof/>
                <w:webHidden/>
              </w:rPr>
            </w:r>
            <w:r>
              <w:rPr>
                <w:noProof/>
                <w:webHidden/>
              </w:rPr>
              <w:fldChar w:fldCharType="separate"/>
            </w:r>
            <w:r>
              <w:rPr>
                <w:noProof/>
                <w:webHidden/>
              </w:rPr>
              <w:t>24</w:t>
            </w:r>
            <w:r>
              <w:rPr>
                <w:noProof/>
                <w:webHidden/>
              </w:rPr>
              <w:fldChar w:fldCharType="end"/>
            </w:r>
          </w:hyperlink>
        </w:p>
        <w:p w14:paraId="2FD2B2C1" w14:textId="25DCF256" w:rsidR="004A5290" w:rsidRDefault="004A5290">
          <w:pPr>
            <w:pStyle w:val="TOC2"/>
            <w:tabs>
              <w:tab w:val="right" w:leader="dot" w:pos="9345"/>
            </w:tabs>
            <w:rPr>
              <w:rFonts w:asciiTheme="minorHAnsi" w:eastAsiaTheme="minorEastAsia" w:hAnsiTheme="minorHAnsi" w:cstheme="minorBidi"/>
              <w:noProof/>
              <w:kern w:val="2"/>
              <w:lang w:val="en-RU"/>
              <w14:ligatures w14:val="standardContextual"/>
            </w:rPr>
          </w:pPr>
          <w:hyperlink w:anchor="_Toc167918992" w:history="1">
            <w:r w:rsidRPr="00230471">
              <w:rPr>
                <w:rStyle w:val="Hyperlink"/>
                <w:rFonts w:eastAsiaTheme="minorHAnsi"/>
                <w:noProof/>
                <w:lang w:val="en-GB" w:eastAsia="en-US"/>
              </w:rPr>
              <w:t>4.</w:t>
            </w:r>
            <w:r w:rsidRPr="00230471">
              <w:rPr>
                <w:rStyle w:val="Hyperlink"/>
                <w:rFonts w:eastAsiaTheme="minorHAnsi"/>
                <w:noProof/>
                <w:lang w:val="en-US" w:eastAsia="en-US"/>
              </w:rPr>
              <w:t>3</w:t>
            </w:r>
            <w:r w:rsidRPr="00230471">
              <w:rPr>
                <w:rStyle w:val="Hyperlink"/>
                <w:rFonts w:eastAsiaTheme="minorHAnsi"/>
                <w:noProof/>
                <w:lang w:val="en-GB" w:eastAsia="en-US"/>
              </w:rPr>
              <w:t>. Choosing the right model</w:t>
            </w:r>
            <w:r>
              <w:rPr>
                <w:noProof/>
                <w:webHidden/>
              </w:rPr>
              <w:tab/>
            </w:r>
            <w:r>
              <w:rPr>
                <w:noProof/>
                <w:webHidden/>
              </w:rPr>
              <w:fldChar w:fldCharType="begin"/>
            </w:r>
            <w:r>
              <w:rPr>
                <w:noProof/>
                <w:webHidden/>
              </w:rPr>
              <w:instrText xml:space="preserve"> PAGEREF _Toc167918992 \h </w:instrText>
            </w:r>
            <w:r>
              <w:rPr>
                <w:noProof/>
                <w:webHidden/>
              </w:rPr>
            </w:r>
            <w:r>
              <w:rPr>
                <w:noProof/>
                <w:webHidden/>
              </w:rPr>
              <w:fldChar w:fldCharType="separate"/>
            </w:r>
            <w:r>
              <w:rPr>
                <w:noProof/>
                <w:webHidden/>
              </w:rPr>
              <w:t>25</w:t>
            </w:r>
            <w:r>
              <w:rPr>
                <w:noProof/>
                <w:webHidden/>
              </w:rPr>
              <w:fldChar w:fldCharType="end"/>
            </w:r>
          </w:hyperlink>
        </w:p>
        <w:p w14:paraId="41207160" w14:textId="20E100DD" w:rsidR="004A5290" w:rsidRDefault="004A5290">
          <w:pPr>
            <w:pStyle w:val="TOC1"/>
            <w:tabs>
              <w:tab w:val="right" w:leader="dot" w:pos="9345"/>
            </w:tabs>
            <w:rPr>
              <w:rFonts w:asciiTheme="minorHAnsi" w:eastAsiaTheme="minorEastAsia" w:hAnsiTheme="minorHAnsi" w:cstheme="minorBidi"/>
              <w:noProof/>
              <w:kern w:val="2"/>
              <w:lang w:val="en-RU"/>
              <w14:ligatures w14:val="standardContextual"/>
            </w:rPr>
          </w:pPr>
          <w:hyperlink w:anchor="_Toc167918993" w:history="1">
            <w:r w:rsidRPr="00230471">
              <w:rPr>
                <w:rStyle w:val="Hyperlink"/>
                <w:rFonts w:eastAsiaTheme="minorHAnsi"/>
                <w:noProof/>
                <w:lang w:val="en-GB" w:eastAsia="en-US"/>
              </w:rPr>
              <w:t>5. Results and discussion</w:t>
            </w:r>
            <w:r>
              <w:rPr>
                <w:noProof/>
                <w:webHidden/>
              </w:rPr>
              <w:tab/>
            </w:r>
            <w:r>
              <w:rPr>
                <w:noProof/>
                <w:webHidden/>
              </w:rPr>
              <w:fldChar w:fldCharType="begin"/>
            </w:r>
            <w:r>
              <w:rPr>
                <w:noProof/>
                <w:webHidden/>
              </w:rPr>
              <w:instrText xml:space="preserve"> PAGEREF _Toc167918993 \h </w:instrText>
            </w:r>
            <w:r>
              <w:rPr>
                <w:noProof/>
                <w:webHidden/>
              </w:rPr>
            </w:r>
            <w:r>
              <w:rPr>
                <w:noProof/>
                <w:webHidden/>
              </w:rPr>
              <w:fldChar w:fldCharType="separate"/>
            </w:r>
            <w:r>
              <w:rPr>
                <w:noProof/>
                <w:webHidden/>
              </w:rPr>
              <w:t>25</w:t>
            </w:r>
            <w:r>
              <w:rPr>
                <w:noProof/>
                <w:webHidden/>
              </w:rPr>
              <w:fldChar w:fldCharType="end"/>
            </w:r>
          </w:hyperlink>
        </w:p>
        <w:p w14:paraId="14AA52DC" w14:textId="18BCB285" w:rsidR="004A5290" w:rsidRDefault="004A5290">
          <w:pPr>
            <w:pStyle w:val="TOC2"/>
            <w:tabs>
              <w:tab w:val="right" w:leader="dot" w:pos="9345"/>
            </w:tabs>
            <w:rPr>
              <w:rFonts w:asciiTheme="minorHAnsi" w:eastAsiaTheme="minorEastAsia" w:hAnsiTheme="minorHAnsi" w:cstheme="minorBidi"/>
              <w:noProof/>
              <w:kern w:val="2"/>
              <w:lang w:val="en-RU"/>
              <w14:ligatures w14:val="standardContextual"/>
            </w:rPr>
          </w:pPr>
          <w:hyperlink w:anchor="_Toc167918994" w:history="1">
            <w:r w:rsidRPr="00230471">
              <w:rPr>
                <w:rStyle w:val="Hyperlink"/>
                <w:noProof/>
                <w:lang w:val="en-GB"/>
              </w:rPr>
              <w:t>5.</w:t>
            </w:r>
            <w:r w:rsidRPr="00230471">
              <w:rPr>
                <w:rStyle w:val="Hyperlink"/>
                <w:noProof/>
                <w:lang w:val="en-US"/>
              </w:rPr>
              <w:t>1</w:t>
            </w:r>
            <w:r w:rsidRPr="00230471">
              <w:rPr>
                <w:rStyle w:val="Hyperlink"/>
                <w:noProof/>
                <w:lang w:val="en-GB"/>
              </w:rPr>
              <w:t>. Managerial implications</w:t>
            </w:r>
            <w:r>
              <w:rPr>
                <w:noProof/>
                <w:webHidden/>
              </w:rPr>
              <w:tab/>
            </w:r>
            <w:r>
              <w:rPr>
                <w:noProof/>
                <w:webHidden/>
              </w:rPr>
              <w:fldChar w:fldCharType="begin"/>
            </w:r>
            <w:r>
              <w:rPr>
                <w:noProof/>
                <w:webHidden/>
              </w:rPr>
              <w:instrText xml:space="preserve"> PAGEREF _Toc167918994 \h </w:instrText>
            </w:r>
            <w:r>
              <w:rPr>
                <w:noProof/>
                <w:webHidden/>
              </w:rPr>
            </w:r>
            <w:r>
              <w:rPr>
                <w:noProof/>
                <w:webHidden/>
              </w:rPr>
              <w:fldChar w:fldCharType="separate"/>
            </w:r>
            <w:r>
              <w:rPr>
                <w:noProof/>
                <w:webHidden/>
              </w:rPr>
              <w:t>39</w:t>
            </w:r>
            <w:r>
              <w:rPr>
                <w:noProof/>
                <w:webHidden/>
              </w:rPr>
              <w:fldChar w:fldCharType="end"/>
            </w:r>
          </w:hyperlink>
        </w:p>
        <w:p w14:paraId="6539735F" w14:textId="0253274F" w:rsidR="004A5290" w:rsidRDefault="004A5290">
          <w:pPr>
            <w:pStyle w:val="TOC1"/>
            <w:tabs>
              <w:tab w:val="left" w:pos="1440"/>
              <w:tab w:val="right" w:leader="dot" w:pos="9345"/>
            </w:tabs>
            <w:rPr>
              <w:rFonts w:asciiTheme="minorHAnsi" w:eastAsiaTheme="minorEastAsia" w:hAnsiTheme="minorHAnsi" w:cstheme="minorBidi"/>
              <w:noProof/>
              <w:kern w:val="2"/>
              <w:lang w:val="en-RU"/>
              <w14:ligatures w14:val="standardContextual"/>
            </w:rPr>
          </w:pPr>
          <w:hyperlink w:anchor="_Toc167918995" w:history="1">
            <w:r w:rsidRPr="00230471">
              <w:rPr>
                <w:rStyle w:val="Hyperlink"/>
                <w:noProof/>
                <w:lang w:val="en-GB"/>
              </w:rPr>
              <w:t>6.</w:t>
            </w:r>
            <w:r>
              <w:rPr>
                <w:rFonts w:asciiTheme="minorHAnsi" w:eastAsiaTheme="minorEastAsia" w:hAnsiTheme="minorHAnsi" w:cstheme="minorBidi"/>
                <w:noProof/>
                <w:kern w:val="2"/>
                <w:lang w:val="en-RU"/>
                <w14:ligatures w14:val="standardContextual"/>
              </w:rPr>
              <w:tab/>
            </w:r>
            <w:r w:rsidRPr="00230471">
              <w:rPr>
                <w:rStyle w:val="Hyperlink"/>
                <w:noProof/>
                <w:lang w:val="en-GB"/>
              </w:rPr>
              <w:t>Conclusion</w:t>
            </w:r>
            <w:r>
              <w:rPr>
                <w:noProof/>
                <w:webHidden/>
              </w:rPr>
              <w:tab/>
            </w:r>
            <w:r>
              <w:rPr>
                <w:noProof/>
                <w:webHidden/>
              </w:rPr>
              <w:fldChar w:fldCharType="begin"/>
            </w:r>
            <w:r>
              <w:rPr>
                <w:noProof/>
                <w:webHidden/>
              </w:rPr>
              <w:instrText xml:space="preserve"> PAGEREF _Toc167918995 \h </w:instrText>
            </w:r>
            <w:r>
              <w:rPr>
                <w:noProof/>
                <w:webHidden/>
              </w:rPr>
            </w:r>
            <w:r>
              <w:rPr>
                <w:noProof/>
                <w:webHidden/>
              </w:rPr>
              <w:fldChar w:fldCharType="separate"/>
            </w:r>
            <w:r>
              <w:rPr>
                <w:noProof/>
                <w:webHidden/>
              </w:rPr>
              <w:t>42</w:t>
            </w:r>
            <w:r>
              <w:rPr>
                <w:noProof/>
                <w:webHidden/>
              </w:rPr>
              <w:fldChar w:fldCharType="end"/>
            </w:r>
          </w:hyperlink>
        </w:p>
        <w:p w14:paraId="680BFF37" w14:textId="1911E565" w:rsidR="004A5290" w:rsidRDefault="004A5290">
          <w:pPr>
            <w:pStyle w:val="TOC1"/>
            <w:tabs>
              <w:tab w:val="right" w:leader="dot" w:pos="9345"/>
            </w:tabs>
            <w:rPr>
              <w:rFonts w:asciiTheme="minorHAnsi" w:eastAsiaTheme="minorEastAsia" w:hAnsiTheme="minorHAnsi" w:cstheme="minorBidi"/>
              <w:noProof/>
              <w:kern w:val="2"/>
              <w:lang w:val="en-RU"/>
              <w14:ligatures w14:val="standardContextual"/>
            </w:rPr>
          </w:pPr>
          <w:hyperlink w:anchor="_Toc167918996" w:history="1">
            <w:r w:rsidRPr="00230471">
              <w:rPr>
                <w:rStyle w:val="Hyperlink"/>
                <w:noProof/>
                <w:lang w:val="en-US"/>
              </w:rPr>
              <w:t>7. Appendix</w:t>
            </w:r>
            <w:r>
              <w:rPr>
                <w:noProof/>
                <w:webHidden/>
              </w:rPr>
              <w:tab/>
            </w:r>
            <w:r>
              <w:rPr>
                <w:noProof/>
                <w:webHidden/>
              </w:rPr>
              <w:fldChar w:fldCharType="begin"/>
            </w:r>
            <w:r>
              <w:rPr>
                <w:noProof/>
                <w:webHidden/>
              </w:rPr>
              <w:instrText xml:space="preserve"> PAGEREF _Toc167918996 \h </w:instrText>
            </w:r>
            <w:r>
              <w:rPr>
                <w:noProof/>
                <w:webHidden/>
              </w:rPr>
            </w:r>
            <w:r>
              <w:rPr>
                <w:noProof/>
                <w:webHidden/>
              </w:rPr>
              <w:fldChar w:fldCharType="separate"/>
            </w:r>
            <w:r>
              <w:rPr>
                <w:noProof/>
                <w:webHidden/>
              </w:rPr>
              <w:t>45</w:t>
            </w:r>
            <w:r>
              <w:rPr>
                <w:noProof/>
                <w:webHidden/>
              </w:rPr>
              <w:fldChar w:fldCharType="end"/>
            </w:r>
          </w:hyperlink>
        </w:p>
        <w:p w14:paraId="2F4ADCEA" w14:textId="76573BC2" w:rsidR="004A5290" w:rsidRDefault="004A5290">
          <w:pPr>
            <w:pStyle w:val="TOC1"/>
            <w:tabs>
              <w:tab w:val="right" w:leader="dot" w:pos="9345"/>
            </w:tabs>
            <w:rPr>
              <w:rFonts w:asciiTheme="minorHAnsi" w:eastAsiaTheme="minorEastAsia" w:hAnsiTheme="minorHAnsi" w:cstheme="minorBidi"/>
              <w:noProof/>
              <w:kern w:val="2"/>
              <w:lang w:val="en-RU"/>
              <w14:ligatures w14:val="standardContextual"/>
            </w:rPr>
          </w:pPr>
          <w:hyperlink w:anchor="_Toc167918997" w:history="1">
            <w:r w:rsidRPr="00230471">
              <w:rPr>
                <w:rStyle w:val="Hyperlink"/>
                <w:noProof/>
                <w:lang w:val="en-US"/>
              </w:rPr>
              <w:t>7.1. Descriptive statistics for country breakdown</w:t>
            </w:r>
            <w:r>
              <w:rPr>
                <w:noProof/>
                <w:webHidden/>
              </w:rPr>
              <w:tab/>
            </w:r>
            <w:r>
              <w:rPr>
                <w:noProof/>
                <w:webHidden/>
              </w:rPr>
              <w:fldChar w:fldCharType="begin"/>
            </w:r>
            <w:r>
              <w:rPr>
                <w:noProof/>
                <w:webHidden/>
              </w:rPr>
              <w:instrText xml:space="preserve"> PAGEREF _Toc167918997 \h </w:instrText>
            </w:r>
            <w:r>
              <w:rPr>
                <w:noProof/>
                <w:webHidden/>
              </w:rPr>
            </w:r>
            <w:r>
              <w:rPr>
                <w:noProof/>
                <w:webHidden/>
              </w:rPr>
              <w:fldChar w:fldCharType="separate"/>
            </w:r>
            <w:r>
              <w:rPr>
                <w:noProof/>
                <w:webHidden/>
              </w:rPr>
              <w:t>45</w:t>
            </w:r>
            <w:r>
              <w:rPr>
                <w:noProof/>
                <w:webHidden/>
              </w:rPr>
              <w:fldChar w:fldCharType="end"/>
            </w:r>
          </w:hyperlink>
        </w:p>
        <w:p w14:paraId="6609C11E" w14:textId="1CA44311" w:rsidR="004A5290" w:rsidRDefault="004A5290">
          <w:pPr>
            <w:pStyle w:val="TOC2"/>
            <w:tabs>
              <w:tab w:val="right" w:leader="dot" w:pos="9345"/>
            </w:tabs>
            <w:rPr>
              <w:rFonts w:asciiTheme="minorHAnsi" w:eastAsiaTheme="minorEastAsia" w:hAnsiTheme="minorHAnsi" w:cstheme="minorBidi"/>
              <w:noProof/>
              <w:kern w:val="2"/>
              <w:lang w:val="en-RU"/>
              <w14:ligatures w14:val="standardContextual"/>
            </w:rPr>
          </w:pPr>
          <w:hyperlink w:anchor="_Toc167918998" w:history="1">
            <w:r w:rsidRPr="00230471">
              <w:rPr>
                <w:rStyle w:val="Hyperlink"/>
                <w:noProof/>
                <w:lang w:val="en-US"/>
              </w:rPr>
              <w:t>7.2. Robustness checks</w:t>
            </w:r>
            <w:r>
              <w:rPr>
                <w:noProof/>
                <w:webHidden/>
              </w:rPr>
              <w:tab/>
            </w:r>
            <w:r>
              <w:rPr>
                <w:noProof/>
                <w:webHidden/>
              </w:rPr>
              <w:fldChar w:fldCharType="begin"/>
            </w:r>
            <w:r>
              <w:rPr>
                <w:noProof/>
                <w:webHidden/>
              </w:rPr>
              <w:instrText xml:space="preserve"> PAGEREF _Toc167918998 \h </w:instrText>
            </w:r>
            <w:r>
              <w:rPr>
                <w:noProof/>
                <w:webHidden/>
              </w:rPr>
            </w:r>
            <w:r>
              <w:rPr>
                <w:noProof/>
                <w:webHidden/>
              </w:rPr>
              <w:fldChar w:fldCharType="separate"/>
            </w:r>
            <w:r>
              <w:rPr>
                <w:noProof/>
                <w:webHidden/>
              </w:rPr>
              <w:t>50</w:t>
            </w:r>
            <w:r>
              <w:rPr>
                <w:noProof/>
                <w:webHidden/>
              </w:rPr>
              <w:fldChar w:fldCharType="end"/>
            </w:r>
          </w:hyperlink>
        </w:p>
        <w:p w14:paraId="1F427A03" w14:textId="58CFBCD9" w:rsidR="004A5290" w:rsidRDefault="004A5290">
          <w:pPr>
            <w:pStyle w:val="TOC1"/>
            <w:tabs>
              <w:tab w:val="right" w:leader="dot" w:pos="9345"/>
            </w:tabs>
            <w:rPr>
              <w:rFonts w:asciiTheme="minorHAnsi" w:eastAsiaTheme="minorEastAsia" w:hAnsiTheme="minorHAnsi" w:cstheme="minorBidi"/>
              <w:noProof/>
              <w:kern w:val="2"/>
              <w:lang w:val="en-RU"/>
              <w14:ligatures w14:val="standardContextual"/>
            </w:rPr>
          </w:pPr>
          <w:hyperlink w:anchor="_Toc167918999" w:history="1">
            <w:r w:rsidRPr="00230471">
              <w:rPr>
                <w:rStyle w:val="Hyperlink"/>
                <w:noProof/>
                <w:lang w:val="en-GB"/>
              </w:rPr>
              <w:t>8. List of references</w:t>
            </w:r>
            <w:r>
              <w:rPr>
                <w:noProof/>
                <w:webHidden/>
              </w:rPr>
              <w:tab/>
            </w:r>
            <w:r>
              <w:rPr>
                <w:noProof/>
                <w:webHidden/>
              </w:rPr>
              <w:fldChar w:fldCharType="begin"/>
            </w:r>
            <w:r>
              <w:rPr>
                <w:noProof/>
                <w:webHidden/>
              </w:rPr>
              <w:instrText xml:space="preserve"> PAGEREF _Toc167918999 \h </w:instrText>
            </w:r>
            <w:r>
              <w:rPr>
                <w:noProof/>
                <w:webHidden/>
              </w:rPr>
            </w:r>
            <w:r>
              <w:rPr>
                <w:noProof/>
                <w:webHidden/>
              </w:rPr>
              <w:fldChar w:fldCharType="separate"/>
            </w:r>
            <w:r>
              <w:rPr>
                <w:noProof/>
                <w:webHidden/>
              </w:rPr>
              <w:t>55</w:t>
            </w:r>
            <w:r>
              <w:rPr>
                <w:noProof/>
                <w:webHidden/>
              </w:rPr>
              <w:fldChar w:fldCharType="end"/>
            </w:r>
          </w:hyperlink>
        </w:p>
        <w:p w14:paraId="28F3017B" w14:textId="544F7DF6" w:rsidR="00632AC0" w:rsidRPr="00487834" w:rsidRDefault="00632AC0" w:rsidP="00632AC0">
          <w:r w:rsidRPr="00487834">
            <w:fldChar w:fldCharType="end"/>
          </w:r>
        </w:p>
      </w:sdtContent>
    </w:sdt>
    <w:p w14:paraId="0D8C9D95" w14:textId="77777777" w:rsidR="00632AC0" w:rsidRPr="00487834" w:rsidRDefault="00632AC0">
      <w:pPr>
        <w:rPr>
          <w:b/>
          <w:bCs/>
          <w:kern w:val="36"/>
          <w:sz w:val="28"/>
          <w:szCs w:val="28"/>
          <w:lang w:val="en-GB"/>
        </w:rPr>
      </w:pPr>
    </w:p>
    <w:p w14:paraId="6686250F" w14:textId="77777777" w:rsidR="00756009" w:rsidRPr="00487834" w:rsidRDefault="00756009" w:rsidP="004A5290">
      <w:pPr>
        <w:pStyle w:val="Heading1"/>
      </w:pPr>
    </w:p>
    <w:p w14:paraId="434898AD" w14:textId="77777777" w:rsidR="00632AC0" w:rsidRPr="00487834" w:rsidRDefault="00632AC0" w:rsidP="004A5290">
      <w:pPr>
        <w:pStyle w:val="Heading1"/>
        <w:rPr>
          <w:lang w:val="en-GB"/>
        </w:rPr>
      </w:pPr>
    </w:p>
    <w:p w14:paraId="1CB59052" w14:textId="77777777" w:rsidR="006002E6" w:rsidRDefault="006002E6" w:rsidP="004A5290">
      <w:pPr>
        <w:pStyle w:val="Heading1"/>
        <w:rPr>
          <w:lang w:val="en-GB"/>
        </w:rPr>
      </w:pPr>
    </w:p>
    <w:p w14:paraId="32A4ACB1" w14:textId="77777777" w:rsidR="006002E6" w:rsidRDefault="006002E6" w:rsidP="004A5290">
      <w:pPr>
        <w:pStyle w:val="Heading1"/>
        <w:rPr>
          <w:lang w:val="en-GB"/>
        </w:rPr>
      </w:pPr>
    </w:p>
    <w:p w14:paraId="765DD6FF" w14:textId="77777777" w:rsidR="006002E6" w:rsidRDefault="006002E6" w:rsidP="004A5290">
      <w:pPr>
        <w:pStyle w:val="Heading1"/>
        <w:rPr>
          <w:lang w:val="en-GB"/>
        </w:rPr>
      </w:pPr>
    </w:p>
    <w:p w14:paraId="73F01675" w14:textId="77777777" w:rsidR="006002E6" w:rsidRDefault="006002E6" w:rsidP="004A5290">
      <w:pPr>
        <w:pStyle w:val="Heading1"/>
        <w:rPr>
          <w:lang w:val="en-GB"/>
        </w:rPr>
      </w:pPr>
    </w:p>
    <w:p w14:paraId="2E9C0606" w14:textId="77777777" w:rsidR="006002E6" w:rsidRDefault="006002E6" w:rsidP="004A5290">
      <w:pPr>
        <w:pStyle w:val="Heading1"/>
        <w:rPr>
          <w:lang w:val="en-GB"/>
        </w:rPr>
      </w:pPr>
    </w:p>
    <w:p w14:paraId="396A4ACC" w14:textId="77777777" w:rsidR="006002E6" w:rsidRDefault="006002E6" w:rsidP="004A5290">
      <w:pPr>
        <w:pStyle w:val="Heading1"/>
        <w:rPr>
          <w:lang w:val="en-GB"/>
        </w:rPr>
      </w:pPr>
    </w:p>
    <w:p w14:paraId="2AFE4258" w14:textId="77777777" w:rsidR="006002E6" w:rsidRDefault="006002E6" w:rsidP="004A5290">
      <w:pPr>
        <w:pStyle w:val="Heading1"/>
        <w:rPr>
          <w:lang w:val="en-GB"/>
        </w:rPr>
      </w:pPr>
    </w:p>
    <w:p w14:paraId="058FA22E" w14:textId="77777777" w:rsidR="006002E6" w:rsidRDefault="006002E6" w:rsidP="004A5290">
      <w:pPr>
        <w:pStyle w:val="Heading1"/>
        <w:rPr>
          <w:lang w:val="en-GB"/>
        </w:rPr>
      </w:pPr>
    </w:p>
    <w:p w14:paraId="1F4DB6AF" w14:textId="77777777" w:rsidR="006002E6" w:rsidRDefault="006002E6" w:rsidP="004A5290">
      <w:pPr>
        <w:pStyle w:val="Heading1"/>
        <w:rPr>
          <w:lang w:val="en-GB"/>
        </w:rPr>
      </w:pPr>
    </w:p>
    <w:p w14:paraId="7C66C788" w14:textId="77777777" w:rsidR="006002E6" w:rsidRDefault="006002E6" w:rsidP="004A5290">
      <w:pPr>
        <w:pStyle w:val="Heading1"/>
        <w:rPr>
          <w:lang w:val="en-GB"/>
        </w:rPr>
      </w:pPr>
    </w:p>
    <w:p w14:paraId="6DFA9470" w14:textId="77777777" w:rsidR="006002E6" w:rsidRDefault="006002E6" w:rsidP="004A5290">
      <w:pPr>
        <w:pStyle w:val="Heading1"/>
        <w:rPr>
          <w:lang w:val="en-GB"/>
        </w:rPr>
      </w:pPr>
    </w:p>
    <w:p w14:paraId="2445C8ED" w14:textId="77777777" w:rsidR="006002E6" w:rsidRDefault="006002E6" w:rsidP="004A5290">
      <w:pPr>
        <w:pStyle w:val="Heading1"/>
        <w:rPr>
          <w:lang w:val="en-GB"/>
        </w:rPr>
      </w:pPr>
    </w:p>
    <w:p w14:paraId="5EE3524D" w14:textId="77777777" w:rsidR="006002E6" w:rsidRDefault="006002E6" w:rsidP="004A5290">
      <w:pPr>
        <w:pStyle w:val="Heading1"/>
        <w:rPr>
          <w:lang w:val="en-GB"/>
        </w:rPr>
      </w:pPr>
    </w:p>
    <w:p w14:paraId="13BDD384" w14:textId="77777777" w:rsidR="00227181" w:rsidRDefault="00227181" w:rsidP="004A5290">
      <w:pPr>
        <w:pStyle w:val="Heading1"/>
        <w:rPr>
          <w:lang w:val="en-GB"/>
        </w:rPr>
      </w:pPr>
    </w:p>
    <w:p w14:paraId="5E02B955" w14:textId="77777777" w:rsidR="00227181" w:rsidRDefault="00227181" w:rsidP="004A5290">
      <w:pPr>
        <w:pStyle w:val="Heading1"/>
        <w:rPr>
          <w:lang w:val="en-GB"/>
        </w:rPr>
      </w:pPr>
    </w:p>
    <w:p w14:paraId="682CE1F5" w14:textId="11901E55" w:rsidR="00227181" w:rsidRPr="00227181" w:rsidRDefault="00456F79" w:rsidP="004A5290">
      <w:pPr>
        <w:pStyle w:val="Heading1"/>
        <w:rPr>
          <w:lang w:val="en-GB"/>
        </w:rPr>
      </w:pPr>
      <w:bookmarkStart w:id="2" w:name="_Toc167918973"/>
      <w:r w:rsidRPr="006002E6">
        <w:rPr>
          <w:lang w:val="en-GB"/>
        </w:rPr>
        <w:lastRenderedPageBreak/>
        <w:t>Introduction</w:t>
      </w:r>
      <w:bookmarkEnd w:id="2"/>
    </w:p>
    <w:p w14:paraId="1CE56419" w14:textId="77777777" w:rsidR="00227181" w:rsidRPr="00227181" w:rsidRDefault="00227181" w:rsidP="004A5290">
      <w:pPr>
        <w:pStyle w:val="Heading1"/>
        <w:rPr>
          <w:lang w:val="en-GB"/>
        </w:rPr>
      </w:pPr>
    </w:p>
    <w:p w14:paraId="37BCFD72" w14:textId="77777777" w:rsidR="00006E41" w:rsidRPr="00006E41" w:rsidRDefault="00227181" w:rsidP="00006E41">
      <w:pPr>
        <w:autoSpaceDE w:val="0"/>
        <w:autoSpaceDN w:val="0"/>
        <w:adjustRightInd w:val="0"/>
        <w:spacing w:line="300" w:lineRule="auto"/>
        <w:ind w:firstLine="720"/>
        <w:rPr>
          <w:rFonts w:eastAsiaTheme="minorHAnsi"/>
          <w:lang w:val="en-GB" w:eastAsia="en-US"/>
        </w:rPr>
      </w:pPr>
      <w:r w:rsidRPr="00006E41">
        <w:rPr>
          <w:rFonts w:eastAsiaTheme="minorHAnsi"/>
          <w:lang w:val="en-GB" w:eastAsia="en-US"/>
        </w:rPr>
        <w:t xml:space="preserve">The </w:t>
      </w:r>
      <w:r w:rsidR="00960798" w:rsidRPr="00006E41">
        <w:rPr>
          <w:rFonts w:eastAsiaTheme="minorHAnsi"/>
          <w:lang w:val="en-GB" w:eastAsia="en-US"/>
        </w:rPr>
        <w:t xml:space="preserve">ever-growing </w:t>
      </w:r>
      <w:r w:rsidRPr="00006E41">
        <w:rPr>
          <w:rFonts w:eastAsiaTheme="minorHAnsi"/>
          <w:lang w:val="en-GB" w:eastAsia="en-US"/>
        </w:rPr>
        <w:t xml:space="preserve">interest in Environmental, Social, and Governance (ESG) factors has fundamentally transformed the landscape of corporate finance, influencing </w:t>
      </w:r>
      <w:proofErr w:type="gramStart"/>
      <w:r w:rsidRPr="00006E41">
        <w:rPr>
          <w:rFonts w:eastAsiaTheme="minorHAnsi"/>
          <w:lang w:val="en-GB" w:eastAsia="en-US"/>
        </w:rPr>
        <w:t>investment  and</w:t>
      </w:r>
      <w:proofErr w:type="gramEnd"/>
      <w:r w:rsidRPr="00006E41">
        <w:rPr>
          <w:rFonts w:eastAsiaTheme="minorHAnsi"/>
          <w:lang w:val="en-GB" w:eastAsia="en-US"/>
        </w:rPr>
        <w:t xml:space="preserve"> corporate </w:t>
      </w:r>
      <w:r w:rsidR="00960798" w:rsidRPr="00006E41">
        <w:rPr>
          <w:rFonts w:eastAsiaTheme="minorHAnsi"/>
          <w:lang w:val="en-GB" w:eastAsia="en-US"/>
        </w:rPr>
        <w:t xml:space="preserve">strategy </w:t>
      </w:r>
      <w:r w:rsidRPr="00006E41">
        <w:rPr>
          <w:rFonts w:eastAsiaTheme="minorHAnsi"/>
          <w:lang w:val="en-GB" w:eastAsia="en-US"/>
        </w:rPr>
        <w:t>globally. This shift towards Corporate Social Responsibility (CSR) marks a significant departure from Milton Friedman's postulates, which emphasized profit maximization as the sole responsibility of business</w:t>
      </w:r>
      <w:r w:rsidR="00960798" w:rsidRPr="00006E41">
        <w:rPr>
          <w:rFonts w:eastAsiaTheme="minorHAnsi"/>
          <w:lang w:val="en-GB" w:eastAsia="en-US"/>
        </w:rPr>
        <w:t xml:space="preserve"> (1975)</w:t>
      </w:r>
      <w:r w:rsidRPr="00006E41">
        <w:rPr>
          <w:rFonts w:eastAsiaTheme="minorHAnsi"/>
          <w:lang w:val="en-GB" w:eastAsia="en-US"/>
        </w:rPr>
        <w:t xml:space="preserve">. Today, stakeholders increasingly recognize that sustainable business practices are essential for long-term value creation, leading to a growing integration of ESG criteria in financial decision-making. This thesis aims to elucidate the intricate relationship between ESG performance and the cost of capital within the BRICS markets, specifically focusing on Russia, Brazil, and South Africa. By exploring the distinct economic, regulatory, and market environments of these emerging economies, this research endeavors to bridge the existing gap in literature that predominantly centers on developed markets such as the United States and the European </w:t>
      </w:r>
      <w:r w:rsidR="00960798" w:rsidRPr="00006E41">
        <w:rPr>
          <w:rFonts w:eastAsiaTheme="minorHAnsi"/>
          <w:lang w:val="en-GB" w:eastAsia="en-US"/>
        </w:rPr>
        <w:t>Union. The</w:t>
      </w:r>
      <w:r w:rsidRPr="00006E41">
        <w:rPr>
          <w:rFonts w:eastAsiaTheme="minorHAnsi"/>
          <w:lang w:val="en-GB" w:eastAsia="en-US"/>
        </w:rPr>
        <w:t xml:space="preserve"> impetus for this research stems from the growing recognition that ESG factors are not merely concerns </w:t>
      </w:r>
      <w:r w:rsidR="00DD6141" w:rsidRPr="00006E41">
        <w:rPr>
          <w:rFonts w:eastAsiaTheme="minorHAnsi"/>
          <w:lang w:val="en-GB" w:eastAsia="en-US"/>
        </w:rPr>
        <w:t xml:space="preserve">of activist investors </w:t>
      </w:r>
      <w:r w:rsidRPr="00006E41">
        <w:rPr>
          <w:rFonts w:eastAsiaTheme="minorHAnsi"/>
          <w:lang w:val="en-GB" w:eastAsia="en-US"/>
        </w:rPr>
        <w:t xml:space="preserve">but </w:t>
      </w:r>
      <w:r w:rsidR="00DD6141" w:rsidRPr="00006E41">
        <w:rPr>
          <w:rFonts w:eastAsiaTheme="minorHAnsi"/>
          <w:lang w:val="en-GB" w:eastAsia="en-US"/>
        </w:rPr>
        <w:t>integral</w:t>
      </w:r>
      <w:r w:rsidRPr="00006E41">
        <w:rPr>
          <w:rFonts w:eastAsiaTheme="minorHAnsi"/>
          <w:lang w:val="en-GB" w:eastAsia="en-US"/>
        </w:rPr>
        <w:t xml:space="preserve"> elements influencing a firm's financial performance and risk profile. Prior studies, such as those by Giese et al. (2019), have demonstrated that firms with superior ESG performance tend to exhibit lower systematic risk, leading to a reduced cost of equity. Similarly, Chen et al. (2023) have shown that enhanced ESG scores in Chinese markets are associated with lower equity costs, further highlighting the risk mitigation benefits of robust ESG practices. These findings underscore the need for a nuanced understanding of how ESG factors interplay with financial metrics in different market contexts</w:t>
      </w:r>
      <w:r w:rsidR="00006E41" w:rsidRPr="00006E41">
        <w:rPr>
          <w:rFonts w:eastAsiaTheme="minorHAnsi"/>
          <w:lang w:val="en-GB" w:eastAsia="en-US"/>
        </w:rPr>
        <w:t>.</w:t>
      </w:r>
    </w:p>
    <w:p w14:paraId="42434530" w14:textId="76FF97D4" w:rsidR="00227181" w:rsidRPr="00006E41" w:rsidRDefault="00227181" w:rsidP="00006E41">
      <w:pPr>
        <w:autoSpaceDE w:val="0"/>
        <w:autoSpaceDN w:val="0"/>
        <w:adjustRightInd w:val="0"/>
        <w:spacing w:line="300" w:lineRule="auto"/>
        <w:ind w:firstLine="720"/>
        <w:rPr>
          <w:rFonts w:eastAsiaTheme="minorHAnsi"/>
          <w:lang w:val="en-GB" w:eastAsia="en-US"/>
        </w:rPr>
      </w:pPr>
      <w:r w:rsidRPr="00006E41">
        <w:rPr>
          <w:rFonts w:eastAsiaTheme="minorHAnsi"/>
          <w:lang w:val="en-GB" w:eastAsia="en-US"/>
        </w:rPr>
        <w:t xml:space="preserve">Despite the </w:t>
      </w:r>
      <w:r w:rsidR="00006E41">
        <w:rPr>
          <w:rFonts w:eastAsiaTheme="minorHAnsi"/>
          <w:lang w:val="en-GB" w:eastAsia="en-US"/>
        </w:rPr>
        <w:t>wide array</w:t>
      </w:r>
      <w:r w:rsidRPr="00006E41">
        <w:rPr>
          <w:rFonts w:eastAsiaTheme="minorHAnsi"/>
          <w:lang w:val="en-GB" w:eastAsia="en-US"/>
        </w:rPr>
        <w:t xml:space="preserve"> of research </w:t>
      </w:r>
      <w:r w:rsidR="00006E41">
        <w:rPr>
          <w:rFonts w:eastAsiaTheme="minorHAnsi"/>
          <w:lang w:val="en-GB" w:eastAsia="en-US"/>
        </w:rPr>
        <w:t>on</w:t>
      </w:r>
      <w:r w:rsidRPr="00006E41">
        <w:rPr>
          <w:rFonts w:eastAsiaTheme="minorHAnsi"/>
          <w:lang w:val="en-GB" w:eastAsia="en-US"/>
        </w:rPr>
        <w:t xml:space="preserve"> developed markets, the BRICS nations present a unique case for examination due to their diverse institutional structures, varying levels of market maturity, and distinct regulatory landscapes. The BRICS economies, characterized by rapid industrial growth and significant environmental and social challenges, offer a fertile ground for investigating the potential of ESG factors to influence corporate financing costs. The limited scholarly focus on these markets, particularly on Russia, Brazil, and South Africa, </w:t>
      </w:r>
      <w:r w:rsidR="0035628B">
        <w:rPr>
          <w:rFonts w:eastAsiaTheme="minorHAnsi"/>
          <w:lang w:val="en-GB" w:eastAsia="en-US"/>
        </w:rPr>
        <w:t>highlights the substantiality of the research gap.</w:t>
      </w:r>
    </w:p>
    <w:p w14:paraId="3EDBE5FA" w14:textId="7187ADA6" w:rsidR="001E64F4" w:rsidRPr="0035628B" w:rsidRDefault="0035628B" w:rsidP="0035628B">
      <w:pPr>
        <w:autoSpaceDE w:val="0"/>
        <w:autoSpaceDN w:val="0"/>
        <w:adjustRightInd w:val="0"/>
        <w:spacing w:line="300" w:lineRule="auto"/>
        <w:ind w:firstLine="720"/>
        <w:rPr>
          <w:rFonts w:eastAsiaTheme="minorHAnsi"/>
          <w:lang w:val="en-GB" w:eastAsia="en-US"/>
        </w:rPr>
      </w:pPr>
      <w:r>
        <w:rPr>
          <w:rFonts w:eastAsiaTheme="minorHAnsi"/>
          <w:lang w:val="en-GB" w:eastAsia="en-US"/>
        </w:rPr>
        <w:t>T</w:t>
      </w:r>
      <w:r w:rsidR="00227181" w:rsidRPr="00006E41">
        <w:rPr>
          <w:rFonts w:eastAsiaTheme="minorHAnsi"/>
          <w:lang w:val="en-GB" w:eastAsia="en-US"/>
        </w:rPr>
        <w:t>he primary objective of this thesis is to determine whether ESG disclosures impact the cost of equity and debt in the selected BRICS markets. This study will also explore the differential impact of ESG scores on top ESG performers versus underperformers within these markets</w:t>
      </w:r>
      <w:r>
        <w:rPr>
          <w:rFonts w:eastAsiaTheme="minorHAnsi"/>
          <w:lang w:val="en-GB" w:eastAsia="en-US"/>
        </w:rPr>
        <w:t xml:space="preserve">. To reach this objective, </w:t>
      </w:r>
      <w:proofErr w:type="gramStart"/>
      <w:r>
        <w:rPr>
          <w:rFonts w:eastAsiaTheme="minorHAnsi"/>
          <w:lang w:val="en-GB" w:eastAsia="en-US"/>
        </w:rPr>
        <w:t xml:space="preserve">this </w:t>
      </w:r>
      <w:r w:rsidR="00227181" w:rsidRPr="00006E41">
        <w:rPr>
          <w:rFonts w:eastAsiaTheme="minorHAnsi"/>
          <w:lang w:val="en-GB" w:eastAsia="en-US"/>
        </w:rPr>
        <w:t xml:space="preserve"> study</w:t>
      </w:r>
      <w:proofErr w:type="gramEnd"/>
      <w:r w:rsidR="00227181" w:rsidRPr="00006E41">
        <w:rPr>
          <w:rFonts w:eastAsiaTheme="minorHAnsi"/>
          <w:lang w:val="en-GB" w:eastAsia="en-US"/>
        </w:rPr>
        <w:t xml:space="preserve"> employs a comprehensive dataset spanning multiple years and incorporates panel regression models to analyze the relationship between ESG scores and cost of capital across the selected BRICS nations. By distinguishing between top ESG performers and underperformers and examining country-specific contexts, this research aims to provide valuable insights for both academic inquiry and practical applications in corporate finance and investment strategies.</w:t>
      </w:r>
    </w:p>
    <w:p w14:paraId="151281F6" w14:textId="181B748F" w:rsidR="00BD4053" w:rsidRPr="00227181" w:rsidRDefault="006002E6" w:rsidP="004A5290">
      <w:pPr>
        <w:pStyle w:val="Heading1"/>
        <w:rPr>
          <w:lang w:val="en-GB"/>
        </w:rPr>
      </w:pPr>
      <w:bookmarkStart w:id="3" w:name="_Toc167918974"/>
      <w:r>
        <w:rPr>
          <w:sz w:val="28"/>
          <w:lang w:val="en-GB"/>
        </w:rPr>
        <w:lastRenderedPageBreak/>
        <w:t>1</w:t>
      </w:r>
      <w:r w:rsidRPr="00227181">
        <w:rPr>
          <w:lang w:val="en-GB"/>
        </w:rPr>
        <w:t xml:space="preserve">. </w:t>
      </w:r>
      <w:r w:rsidR="00286F41" w:rsidRPr="00227181">
        <w:rPr>
          <w:lang w:val="en-GB"/>
        </w:rPr>
        <w:t xml:space="preserve"> </w:t>
      </w:r>
      <w:r w:rsidR="00BD4053" w:rsidRPr="00227181">
        <w:rPr>
          <w:lang w:val="en-GB"/>
        </w:rPr>
        <w:t>Literature review</w:t>
      </w:r>
      <w:bookmarkEnd w:id="3"/>
    </w:p>
    <w:p w14:paraId="0210818E" w14:textId="77777777" w:rsidR="00BD4053" w:rsidRPr="00227181" w:rsidRDefault="00286F41" w:rsidP="00B72D57">
      <w:pPr>
        <w:pStyle w:val="Heading2"/>
        <w:jc w:val="center"/>
        <w:rPr>
          <w:rFonts w:cs="Times New Roman"/>
          <w:szCs w:val="24"/>
          <w:lang w:val="en-GB"/>
        </w:rPr>
      </w:pPr>
      <w:bookmarkStart w:id="4" w:name="_Toc167918975"/>
      <w:r w:rsidRPr="00227181">
        <w:rPr>
          <w:rFonts w:cs="Times New Roman"/>
          <w:szCs w:val="24"/>
          <w:lang w:val="en-GB"/>
        </w:rPr>
        <w:t xml:space="preserve">1.1. </w:t>
      </w:r>
      <w:r w:rsidR="00BD4053" w:rsidRPr="00227181">
        <w:rPr>
          <w:rFonts w:cs="Times New Roman"/>
          <w:szCs w:val="24"/>
          <w:lang w:val="en-GB"/>
        </w:rPr>
        <w:t>ESG and cost of debt</w:t>
      </w:r>
      <w:bookmarkEnd w:id="4"/>
    </w:p>
    <w:p w14:paraId="4E46C721" w14:textId="77777777" w:rsidR="006C373F" w:rsidRPr="00487834" w:rsidRDefault="006C373F" w:rsidP="003128F6">
      <w:pPr>
        <w:autoSpaceDE w:val="0"/>
        <w:autoSpaceDN w:val="0"/>
        <w:adjustRightInd w:val="0"/>
        <w:spacing w:line="300" w:lineRule="auto"/>
        <w:rPr>
          <w:rFonts w:eastAsiaTheme="minorHAnsi"/>
          <w:lang w:val="en-GB" w:eastAsia="en-US"/>
        </w:rPr>
      </w:pPr>
    </w:p>
    <w:p w14:paraId="0C520CB8" w14:textId="77777777" w:rsidR="006C373F" w:rsidRPr="00487834" w:rsidRDefault="00672007" w:rsidP="003128F6">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The debate on whether firm’s ESG risk profile is accounted for by lenders and investors in determining firm’s creditworthiness in the academia is shifting towards nearly universal consensus that it is.</w:t>
      </w:r>
      <w:r w:rsidR="005A199E" w:rsidRPr="00487834">
        <w:rPr>
          <w:rFonts w:eastAsiaTheme="minorHAnsi"/>
          <w:lang w:val="en-US" w:eastAsia="en-US"/>
        </w:rPr>
        <w:t xml:space="preserve"> For </w:t>
      </w:r>
      <w:proofErr w:type="gramStart"/>
      <w:r w:rsidR="005A199E" w:rsidRPr="00487834">
        <w:rPr>
          <w:rFonts w:eastAsiaTheme="minorHAnsi"/>
          <w:lang w:val="en-US" w:eastAsia="en-US"/>
        </w:rPr>
        <w:t>instance</w:t>
      </w:r>
      <w:proofErr w:type="gramEnd"/>
      <w:r w:rsidR="00286F41" w:rsidRPr="00487834">
        <w:rPr>
          <w:rFonts w:eastAsiaTheme="minorHAnsi"/>
          <w:lang w:val="en-US" w:eastAsia="en-US"/>
        </w:rPr>
        <w:t xml:space="preserve"> </w:t>
      </w:r>
      <w:proofErr w:type="spellStart"/>
      <w:r w:rsidR="005A199E" w:rsidRPr="00487834">
        <w:rPr>
          <w:rFonts w:eastAsiaTheme="minorHAnsi"/>
          <w:lang w:val="en-US" w:eastAsia="en-US"/>
        </w:rPr>
        <w:t>Apergis</w:t>
      </w:r>
      <w:proofErr w:type="spellEnd"/>
      <w:r w:rsidR="005A199E" w:rsidRPr="00487834">
        <w:rPr>
          <w:rFonts w:eastAsiaTheme="minorHAnsi"/>
          <w:lang w:val="en-US" w:eastAsia="en-US"/>
        </w:rPr>
        <w:t xml:space="preserve"> et. al. (2022) </w:t>
      </w:r>
      <w:proofErr w:type="gramStart"/>
      <w:r w:rsidR="005A199E" w:rsidRPr="00487834">
        <w:rPr>
          <w:rFonts w:eastAsiaTheme="minorHAnsi"/>
          <w:lang w:val="en-US" w:eastAsia="en-US"/>
        </w:rPr>
        <w:t>stipulate</w:t>
      </w:r>
      <w:proofErr w:type="gramEnd"/>
      <w:r w:rsidR="005A199E" w:rsidRPr="00487834">
        <w:rPr>
          <w:rFonts w:eastAsiaTheme="minorHAnsi"/>
          <w:lang w:val="en-US" w:eastAsia="en-US"/>
        </w:rPr>
        <w:t xml:space="preserve"> that all pillars of ESG score exert a negative and statisti</w:t>
      </w:r>
      <w:r w:rsidR="00AC13A7" w:rsidRPr="00487834">
        <w:rPr>
          <w:rFonts w:eastAsiaTheme="minorHAnsi"/>
          <w:lang w:val="en-US" w:eastAsia="en-US"/>
        </w:rPr>
        <w:t xml:space="preserve">cally significant influence on corporate bond yields. Dwelling on the research of the firms from S&amp;P 500 </w:t>
      </w:r>
      <w:r w:rsidR="001A39FB" w:rsidRPr="00487834">
        <w:rPr>
          <w:rFonts w:eastAsiaTheme="minorHAnsi"/>
          <w:lang w:val="en-US" w:eastAsia="en-US"/>
        </w:rPr>
        <w:t>in the period of 2010-2019 authors argue that firms with higher ESG scores exhibit lower bond spreads and higher credit ratings. These findings hold true across aggregate ESG scores and separate pillars alike.</w:t>
      </w:r>
      <w:r w:rsidR="00286F41" w:rsidRPr="00487834">
        <w:rPr>
          <w:rFonts w:eastAsiaTheme="minorHAnsi"/>
          <w:lang w:val="en-US" w:eastAsia="en-US"/>
        </w:rPr>
        <w:t xml:space="preserve"> </w:t>
      </w:r>
      <w:proofErr w:type="spellStart"/>
      <w:r w:rsidR="00092184" w:rsidRPr="00487834">
        <w:rPr>
          <w:rFonts w:eastAsiaTheme="minorHAnsi"/>
          <w:lang w:val="en-US" w:eastAsia="en-US"/>
        </w:rPr>
        <w:t>Asimakopoulos</w:t>
      </w:r>
      <w:proofErr w:type="spellEnd"/>
      <w:r w:rsidR="00092184" w:rsidRPr="00487834">
        <w:rPr>
          <w:rFonts w:eastAsiaTheme="minorHAnsi"/>
          <w:lang w:val="en-US" w:eastAsia="en-US"/>
        </w:rPr>
        <w:t xml:space="preserve"> et. al. (2023) </w:t>
      </w:r>
      <w:proofErr w:type="gramStart"/>
      <w:r w:rsidR="00092184" w:rsidRPr="00487834">
        <w:rPr>
          <w:rFonts w:eastAsiaTheme="minorHAnsi"/>
          <w:lang w:val="en-US" w:eastAsia="en-US"/>
        </w:rPr>
        <w:t>take</w:t>
      </w:r>
      <w:proofErr w:type="gramEnd"/>
      <w:r w:rsidR="00092184" w:rsidRPr="00487834">
        <w:rPr>
          <w:rFonts w:eastAsiaTheme="minorHAnsi"/>
          <w:lang w:val="en-US" w:eastAsia="en-US"/>
        </w:rPr>
        <w:t xml:space="preserve"> on a different approach, aiming to determine the relationship between ESG scores, leverage, and debt structure. </w:t>
      </w:r>
      <w:r w:rsidR="00FB3223" w:rsidRPr="00487834">
        <w:rPr>
          <w:rFonts w:eastAsiaTheme="minorHAnsi"/>
          <w:lang w:val="en-US" w:eastAsia="en-US"/>
        </w:rPr>
        <w:t xml:space="preserve">Their findings suggest that a one standard deviation increase in ESG score will translate into 3,8% increase in bank </w:t>
      </w:r>
      <w:proofErr w:type="spellStart"/>
      <w:r w:rsidR="00FB3223" w:rsidRPr="00487834">
        <w:rPr>
          <w:rFonts w:eastAsiaTheme="minorHAnsi"/>
          <w:lang w:val="en-US" w:eastAsia="en-US"/>
        </w:rPr>
        <w:t>loanand</w:t>
      </w:r>
      <w:proofErr w:type="spellEnd"/>
      <w:r w:rsidR="00FB3223" w:rsidRPr="00487834">
        <w:rPr>
          <w:rFonts w:eastAsiaTheme="minorHAnsi"/>
          <w:lang w:val="en-US" w:eastAsia="en-US"/>
        </w:rPr>
        <w:t xml:space="preserve"> 6.7% decrease in bond issuing</w:t>
      </w:r>
      <w:r w:rsidR="00C152AE" w:rsidRPr="00487834">
        <w:rPr>
          <w:rFonts w:eastAsiaTheme="minorHAnsi"/>
          <w:lang w:val="en-US" w:eastAsia="en-US"/>
        </w:rPr>
        <w:t>.</w:t>
      </w:r>
    </w:p>
    <w:p w14:paraId="42BE9D26" w14:textId="77777777" w:rsidR="00431DF4" w:rsidRPr="00487834" w:rsidRDefault="008B1072" w:rsidP="003128F6">
      <w:pPr>
        <w:autoSpaceDE w:val="0"/>
        <w:autoSpaceDN w:val="0"/>
        <w:adjustRightInd w:val="0"/>
        <w:spacing w:line="300" w:lineRule="auto"/>
        <w:ind w:firstLine="720"/>
        <w:rPr>
          <w:rFonts w:eastAsiaTheme="minorHAnsi"/>
          <w:lang w:val="en-GB" w:eastAsia="en-US"/>
        </w:rPr>
      </w:pPr>
      <w:r w:rsidRPr="00487834">
        <w:rPr>
          <w:rFonts w:eastAsiaTheme="minorHAnsi"/>
          <w:lang w:val="en-GB" w:eastAsia="en-US"/>
        </w:rPr>
        <w:t xml:space="preserve">Another issue in the topic of ESG scores effect on debt markets and cost of debt is the moderating effect of </w:t>
      </w:r>
      <w:r w:rsidR="00D53A8D" w:rsidRPr="00487834">
        <w:rPr>
          <w:rFonts w:eastAsiaTheme="minorHAnsi"/>
          <w:lang w:val="en-GB" w:eastAsia="en-US"/>
        </w:rPr>
        <w:t xml:space="preserve">the country-specific environment. </w:t>
      </w:r>
      <w:proofErr w:type="spellStart"/>
      <w:r w:rsidR="00D53A8D" w:rsidRPr="00487834">
        <w:rPr>
          <w:rFonts w:eastAsiaTheme="minorHAnsi"/>
          <w:lang w:val="en-GB" w:eastAsia="en-US"/>
        </w:rPr>
        <w:t>Stellner</w:t>
      </w:r>
      <w:proofErr w:type="spellEnd"/>
      <w:r w:rsidR="00D53A8D" w:rsidRPr="00487834">
        <w:rPr>
          <w:rFonts w:eastAsiaTheme="minorHAnsi"/>
          <w:lang w:val="en-GB" w:eastAsia="en-US"/>
        </w:rPr>
        <w:t xml:space="preserve"> et. al. (2015) </w:t>
      </w:r>
      <w:proofErr w:type="gramStart"/>
      <w:r w:rsidR="00D53A8D" w:rsidRPr="00487834">
        <w:rPr>
          <w:rFonts w:eastAsiaTheme="minorHAnsi"/>
          <w:lang w:val="en-GB" w:eastAsia="en-US"/>
        </w:rPr>
        <w:t>argue</w:t>
      </w:r>
      <w:proofErr w:type="gramEnd"/>
      <w:r w:rsidR="00D53A8D" w:rsidRPr="00487834">
        <w:rPr>
          <w:rFonts w:eastAsiaTheme="minorHAnsi"/>
          <w:lang w:val="en-GB" w:eastAsia="en-US"/>
        </w:rPr>
        <w:t xml:space="preserve"> that top ESG corporate performers in countries leading the sustainability trend enjoy </w:t>
      </w:r>
      <w:r w:rsidR="00571043" w:rsidRPr="00487834">
        <w:rPr>
          <w:rFonts w:eastAsiaTheme="minorHAnsi"/>
          <w:lang w:val="en-GB" w:eastAsia="en-US"/>
        </w:rPr>
        <w:t xml:space="preserve">smaller spreads by approximately 7.7% than their counterparts in markets less preoccupied with the agenda. This is the crucial aspect for our research, as we shall attempt to </w:t>
      </w:r>
      <w:r w:rsidR="00787CC6" w:rsidRPr="00487834">
        <w:rPr>
          <w:rFonts w:eastAsiaTheme="minorHAnsi"/>
          <w:lang w:val="en-GB" w:eastAsia="en-US"/>
        </w:rPr>
        <w:t>determine if this rule holds true for Russian market.</w:t>
      </w:r>
      <w:r w:rsidR="00366737" w:rsidRPr="00487834">
        <w:rPr>
          <w:rFonts w:eastAsiaTheme="minorHAnsi"/>
          <w:lang w:val="en-GB" w:eastAsia="en-US"/>
        </w:rPr>
        <w:t xml:space="preserve"> The research is further continued with the analysis of the mortgage portfolio of firms. Eichholtz et. al. (2019</w:t>
      </w:r>
      <w:r w:rsidR="00A821C7" w:rsidRPr="00487834">
        <w:rPr>
          <w:rFonts w:eastAsiaTheme="minorHAnsi"/>
          <w:lang w:val="en-GB" w:eastAsia="en-US"/>
        </w:rPr>
        <w:t xml:space="preserve">) </w:t>
      </w:r>
      <w:proofErr w:type="gramStart"/>
      <w:r w:rsidR="00A821C7" w:rsidRPr="00487834">
        <w:rPr>
          <w:rFonts w:eastAsiaTheme="minorHAnsi"/>
          <w:lang w:val="en-GB" w:eastAsia="en-US"/>
        </w:rPr>
        <w:t>have</w:t>
      </w:r>
      <w:proofErr w:type="gramEnd"/>
      <w:r w:rsidR="00366737" w:rsidRPr="00487834">
        <w:rPr>
          <w:rFonts w:eastAsiaTheme="minorHAnsi"/>
          <w:lang w:val="en-GB" w:eastAsia="en-US"/>
        </w:rPr>
        <w:t xml:space="preserve"> analysed a vast dataset </w:t>
      </w:r>
      <w:r w:rsidR="00A821C7" w:rsidRPr="00487834">
        <w:rPr>
          <w:rFonts w:eastAsiaTheme="minorHAnsi"/>
          <w:lang w:val="en-GB" w:eastAsia="en-US"/>
        </w:rPr>
        <w:t xml:space="preserve">of EU firms </w:t>
      </w:r>
      <w:r w:rsidR="00493D17" w:rsidRPr="00487834">
        <w:rPr>
          <w:rFonts w:eastAsiaTheme="minorHAnsi"/>
          <w:lang w:val="en-GB" w:eastAsia="en-US"/>
        </w:rPr>
        <w:t xml:space="preserve">in the real estate sector. </w:t>
      </w:r>
      <w:proofErr w:type="gramStart"/>
      <w:r w:rsidR="00493D17" w:rsidRPr="00487834">
        <w:rPr>
          <w:rFonts w:eastAsiaTheme="minorHAnsi"/>
          <w:lang w:val="en-GB" w:eastAsia="en-US"/>
        </w:rPr>
        <w:t>In particular, collateralized</w:t>
      </w:r>
      <w:proofErr w:type="gramEnd"/>
      <w:r w:rsidR="00493D17" w:rsidRPr="00487834">
        <w:rPr>
          <w:rFonts w:eastAsiaTheme="minorHAnsi"/>
          <w:lang w:val="en-GB" w:eastAsia="en-US"/>
        </w:rPr>
        <w:t xml:space="preserve"> assets of such firms were researched, such as asset-backed securities. The findings suggest that assets certified as sustainable by Energy S</w:t>
      </w:r>
      <w:r w:rsidR="00D9173E" w:rsidRPr="00487834">
        <w:rPr>
          <w:rFonts w:eastAsiaTheme="minorHAnsi"/>
          <w:lang w:val="en-GB" w:eastAsia="en-US"/>
        </w:rPr>
        <w:t>tar enjoyed lower mortgage spreads as compared to non-certified assets. Mortgage spread declines ranged from 24 to 29 basis points</w:t>
      </w:r>
      <w:r w:rsidR="00A97B7F" w:rsidRPr="00487834">
        <w:rPr>
          <w:rFonts w:eastAsiaTheme="minorHAnsi"/>
          <w:lang w:val="en-GB" w:eastAsia="en-US"/>
        </w:rPr>
        <w:t>.</w:t>
      </w:r>
      <w:r w:rsidR="00431DF4" w:rsidRPr="00487834">
        <w:rPr>
          <w:rFonts w:eastAsiaTheme="minorHAnsi"/>
          <w:lang w:val="en-GB" w:eastAsia="en-US"/>
        </w:rPr>
        <w:t xml:space="preserve"> Additionally, Bhuiyan and Nguyen (2020) </w:t>
      </w:r>
      <w:proofErr w:type="gramStart"/>
      <w:r w:rsidR="00431DF4" w:rsidRPr="00487834">
        <w:rPr>
          <w:rFonts w:eastAsiaTheme="minorHAnsi"/>
          <w:lang w:val="en-GB" w:eastAsia="en-US"/>
        </w:rPr>
        <w:t>using</w:t>
      </w:r>
      <w:r w:rsidR="00255E71" w:rsidRPr="00487834">
        <w:rPr>
          <w:rFonts w:eastAsiaTheme="minorHAnsi"/>
          <w:lang w:val="en-GB" w:eastAsia="en-US"/>
        </w:rPr>
        <w:t xml:space="preserve">  multivariate</w:t>
      </w:r>
      <w:proofErr w:type="gramEnd"/>
      <w:r w:rsidR="00255E71" w:rsidRPr="00487834">
        <w:rPr>
          <w:rFonts w:eastAsiaTheme="minorHAnsi"/>
          <w:lang w:val="en-GB" w:eastAsia="en-US"/>
        </w:rPr>
        <w:t xml:space="preserve"> regression analysis to investigate the association between ESG performance and cost </w:t>
      </w:r>
      <w:r w:rsidR="00CF2A9A" w:rsidRPr="00487834">
        <w:rPr>
          <w:rFonts w:eastAsiaTheme="minorHAnsi"/>
          <w:lang w:val="en-GB" w:eastAsia="en-US"/>
        </w:rPr>
        <w:t xml:space="preserve">of debt </w:t>
      </w:r>
      <w:r w:rsidR="00255E71" w:rsidRPr="00487834">
        <w:rPr>
          <w:rFonts w:eastAsiaTheme="minorHAnsi"/>
          <w:lang w:val="en-GB" w:eastAsia="en-US"/>
        </w:rPr>
        <w:t xml:space="preserve">for a vast sample of Australian firms, suggest that via </w:t>
      </w:r>
      <w:r w:rsidR="0067047C" w:rsidRPr="00487834">
        <w:rPr>
          <w:rFonts w:eastAsiaTheme="minorHAnsi"/>
          <w:lang w:val="en-GB" w:eastAsia="en-US"/>
        </w:rPr>
        <w:t>enhanced corporate reputation and reduced information asymmetry better ESG performance  negatively affects cost of debt, indicating that CSR disclosure reduces financing costs. This supports the risk mitigation perspective that is going to be used in managerial implications of this study.</w:t>
      </w:r>
    </w:p>
    <w:p w14:paraId="259F9E63" w14:textId="77777777" w:rsidR="00A7604E" w:rsidRPr="00487834" w:rsidRDefault="00A7604E" w:rsidP="003128F6">
      <w:pPr>
        <w:autoSpaceDE w:val="0"/>
        <w:autoSpaceDN w:val="0"/>
        <w:adjustRightInd w:val="0"/>
        <w:spacing w:line="300" w:lineRule="auto"/>
        <w:ind w:firstLine="720"/>
        <w:rPr>
          <w:rFonts w:eastAsiaTheme="minorHAnsi"/>
          <w:lang w:val="en-GB" w:eastAsia="en-US"/>
        </w:rPr>
      </w:pPr>
      <w:r w:rsidRPr="00487834">
        <w:rPr>
          <w:rFonts w:eastAsiaTheme="minorHAnsi"/>
          <w:lang w:val="en-GB" w:eastAsia="en-US"/>
        </w:rPr>
        <w:t xml:space="preserve">Furthermore, important mediating factor that conveys </w:t>
      </w:r>
      <w:r w:rsidR="00361BB2" w:rsidRPr="00487834">
        <w:rPr>
          <w:rFonts w:eastAsiaTheme="minorHAnsi"/>
          <w:lang w:val="en-GB" w:eastAsia="en-US"/>
        </w:rPr>
        <w:t xml:space="preserve">better ESG performance into lower cost of debt is the corporate reputation. For instance, </w:t>
      </w:r>
      <w:proofErr w:type="spellStart"/>
      <w:r w:rsidR="00361BB2" w:rsidRPr="00487834">
        <w:rPr>
          <w:rFonts w:eastAsiaTheme="minorHAnsi"/>
          <w:lang w:val="en-GB" w:eastAsia="en-US"/>
        </w:rPr>
        <w:t>Maaloul</w:t>
      </w:r>
      <w:proofErr w:type="spellEnd"/>
      <w:r w:rsidR="00361BB2" w:rsidRPr="00487834">
        <w:rPr>
          <w:rFonts w:eastAsiaTheme="minorHAnsi"/>
          <w:lang w:val="en-GB" w:eastAsia="en-US"/>
        </w:rPr>
        <w:t xml:space="preserve"> et al. (2021) uses SPSS PROCESS Macro and AMOS for mediation analysis to examine the relationship between ESG scores, corporate reputation, and cost of debt.</w:t>
      </w:r>
      <w:r w:rsidR="006F2D42" w:rsidRPr="00487834">
        <w:rPr>
          <w:lang w:val="en-US"/>
        </w:rPr>
        <w:t xml:space="preserve"> T</w:t>
      </w:r>
      <w:r w:rsidR="006F2D42" w:rsidRPr="00487834">
        <w:rPr>
          <w:rFonts w:eastAsiaTheme="minorHAnsi"/>
          <w:lang w:val="en-GB" w:eastAsia="en-US"/>
        </w:rPr>
        <w:t>he findings indicate that both ESG performance and ESG disclosure positively influence corporate reputation, which in turn reduces the cost of debt. The mediation effect of corporate reputation is more pronounced for ESG performance compared to ESG disclosure. The study highlights the indirect role of corporate reputation in the relationship between ESG factors and cost of debt, showing that better ESG practices lead to lower debt costs through enhanced reputation</w:t>
      </w:r>
      <w:r w:rsidR="00CC6F1F" w:rsidRPr="00487834">
        <w:rPr>
          <w:rFonts w:eastAsiaTheme="minorHAnsi"/>
          <w:lang w:val="en-GB" w:eastAsia="en-US"/>
        </w:rPr>
        <w:t>.</w:t>
      </w:r>
      <w:r w:rsidR="0061587C" w:rsidRPr="00487834">
        <w:rPr>
          <w:rFonts w:eastAsiaTheme="minorHAnsi"/>
          <w:lang w:val="en-GB" w:eastAsia="en-US"/>
        </w:rPr>
        <w:t xml:space="preserve"> Meanwhile, Bae et. al (2022)</w:t>
      </w:r>
      <w:r w:rsidR="006F6F58" w:rsidRPr="00487834">
        <w:rPr>
          <w:rFonts w:eastAsiaTheme="minorHAnsi"/>
          <w:lang w:val="en-GB" w:eastAsia="en-US"/>
        </w:rPr>
        <w:t xml:space="preserve"> in their panel regression models across 16 countries (widest country sample to be covered)</w:t>
      </w:r>
      <w:r w:rsidR="00BC3C9C" w:rsidRPr="00487834">
        <w:rPr>
          <w:rFonts w:eastAsiaTheme="minorHAnsi"/>
          <w:lang w:val="en-GB" w:eastAsia="en-US"/>
        </w:rPr>
        <w:t xml:space="preserve"> found robust </w:t>
      </w:r>
      <w:r w:rsidR="00BC3C9C" w:rsidRPr="00487834">
        <w:rPr>
          <w:rFonts w:eastAsiaTheme="minorHAnsi"/>
          <w:lang w:val="en-GB" w:eastAsia="en-US"/>
        </w:rPr>
        <w:lastRenderedPageBreak/>
        <w:t xml:space="preserve">association between higher ESG performance (upper quartile of the sample) with a lower cost of borrowing in corporate debt markets. Both long-term 10 years Eurobonds and short-term </w:t>
      </w:r>
      <w:proofErr w:type="gramStart"/>
      <w:r w:rsidR="00BC3C9C" w:rsidRPr="00487834">
        <w:rPr>
          <w:rFonts w:eastAsiaTheme="minorHAnsi"/>
          <w:lang w:val="en-GB" w:eastAsia="en-US"/>
        </w:rPr>
        <w:t>1 year</w:t>
      </w:r>
      <w:proofErr w:type="gramEnd"/>
      <w:r w:rsidR="00BC3C9C" w:rsidRPr="00487834">
        <w:rPr>
          <w:rFonts w:eastAsiaTheme="minorHAnsi"/>
          <w:lang w:val="en-GB" w:eastAsia="en-US"/>
        </w:rPr>
        <w:t xml:space="preserve"> bonds </w:t>
      </w:r>
      <w:r w:rsidR="00DA2069" w:rsidRPr="00487834">
        <w:rPr>
          <w:rFonts w:eastAsiaTheme="minorHAnsi"/>
          <w:lang w:val="en-GB" w:eastAsia="en-US"/>
        </w:rPr>
        <w:t xml:space="preserve">of the issuers in upper quartile enjoyed lower </w:t>
      </w:r>
      <w:r w:rsidR="00424A23" w:rsidRPr="00487834">
        <w:rPr>
          <w:rFonts w:eastAsiaTheme="minorHAnsi"/>
          <w:lang w:val="en-GB" w:eastAsia="en-US"/>
        </w:rPr>
        <w:t>spreads. The</w:t>
      </w:r>
      <w:r w:rsidR="00BC3C9C" w:rsidRPr="00487834">
        <w:rPr>
          <w:rFonts w:eastAsiaTheme="minorHAnsi"/>
          <w:lang w:val="en-GB" w:eastAsia="en-US"/>
        </w:rPr>
        <w:t xml:space="preserve"> study emphasizes the global applicability of these findings, demonstrating consistent effects across different legal and cultural frameworks. </w:t>
      </w:r>
    </w:p>
    <w:p w14:paraId="778BFECC" w14:textId="77777777" w:rsidR="007C4E56" w:rsidRPr="00487834" w:rsidRDefault="007C4E56" w:rsidP="003128F6">
      <w:pPr>
        <w:autoSpaceDE w:val="0"/>
        <w:autoSpaceDN w:val="0"/>
        <w:adjustRightInd w:val="0"/>
        <w:spacing w:line="300" w:lineRule="auto"/>
        <w:ind w:firstLine="720"/>
        <w:rPr>
          <w:rFonts w:eastAsiaTheme="minorHAnsi"/>
          <w:lang w:val="en-GB" w:eastAsia="en-US"/>
        </w:rPr>
      </w:pPr>
      <w:r w:rsidRPr="00487834">
        <w:rPr>
          <w:rFonts w:eastAsiaTheme="minorHAnsi"/>
          <w:lang w:val="en-GB" w:eastAsia="en-US"/>
        </w:rPr>
        <w:t xml:space="preserve">Lastly, another important moderating variable in the research of the effects of ESG scores and disclosure on the cost of debt is the </w:t>
      </w:r>
      <w:r w:rsidR="003207C4" w:rsidRPr="00487834">
        <w:rPr>
          <w:rFonts w:eastAsiaTheme="minorHAnsi"/>
          <w:lang w:val="en-GB" w:eastAsia="en-US"/>
        </w:rPr>
        <w:t xml:space="preserve">dominance of stakeholder-oriented countries. </w:t>
      </w:r>
      <w:proofErr w:type="spellStart"/>
      <w:r w:rsidR="003207C4" w:rsidRPr="00487834">
        <w:rPr>
          <w:rFonts w:eastAsiaTheme="minorHAnsi"/>
          <w:lang w:val="en-GB" w:eastAsia="en-US"/>
        </w:rPr>
        <w:t>Eliwa</w:t>
      </w:r>
      <w:proofErr w:type="spellEnd"/>
      <w:r w:rsidR="003207C4" w:rsidRPr="00487834">
        <w:rPr>
          <w:rFonts w:eastAsiaTheme="minorHAnsi"/>
          <w:lang w:val="en-GB" w:eastAsia="en-US"/>
        </w:rPr>
        <w:t xml:space="preserve"> et. al. (2021), have argued that among EU 27 countries </w:t>
      </w:r>
      <w:r w:rsidR="00054741" w:rsidRPr="00487834">
        <w:rPr>
          <w:rFonts w:eastAsiaTheme="minorHAnsi"/>
          <w:lang w:val="en-GB" w:eastAsia="en-US"/>
        </w:rPr>
        <w:t xml:space="preserve">the better ESG scores were most strongly associated with lower costs of borrowing in countries with stronger societal preoccupation with ESG and </w:t>
      </w:r>
      <w:r w:rsidR="008F7A3E" w:rsidRPr="00487834">
        <w:rPr>
          <w:rFonts w:eastAsiaTheme="minorHAnsi"/>
          <w:lang w:val="en-GB" w:eastAsia="en-US"/>
        </w:rPr>
        <w:t>ethical</w:t>
      </w:r>
      <w:r w:rsidR="00054741" w:rsidRPr="00487834">
        <w:rPr>
          <w:rFonts w:eastAsiaTheme="minorHAnsi"/>
          <w:lang w:val="en-GB" w:eastAsia="en-US"/>
        </w:rPr>
        <w:t xml:space="preserve"> issues, such as France, Germany, and Nordic Countries.</w:t>
      </w:r>
      <w:r w:rsidR="008F7A3E" w:rsidRPr="00487834">
        <w:rPr>
          <w:rFonts w:eastAsiaTheme="minorHAnsi"/>
          <w:lang w:val="en-GB" w:eastAsia="en-US"/>
        </w:rPr>
        <w:t xml:space="preserve"> Once </w:t>
      </w:r>
      <w:proofErr w:type="gramStart"/>
      <w:r w:rsidR="008F7A3E" w:rsidRPr="00487834">
        <w:rPr>
          <w:rFonts w:eastAsiaTheme="minorHAnsi"/>
          <w:lang w:val="en-GB" w:eastAsia="en-US"/>
        </w:rPr>
        <w:t>again</w:t>
      </w:r>
      <w:proofErr w:type="gramEnd"/>
      <w:r w:rsidR="008F7A3E" w:rsidRPr="00487834">
        <w:rPr>
          <w:rFonts w:eastAsiaTheme="minorHAnsi"/>
          <w:lang w:val="en-GB" w:eastAsia="en-US"/>
        </w:rPr>
        <w:t xml:space="preserve"> this logic should be put under scrutiny in our research, and will be further discussed in the hypotheses and problem statement section.</w:t>
      </w:r>
    </w:p>
    <w:p w14:paraId="50BAD936" w14:textId="77777777" w:rsidR="00BD4053" w:rsidRPr="00487834" w:rsidRDefault="00BD4053" w:rsidP="003128F6">
      <w:pPr>
        <w:autoSpaceDE w:val="0"/>
        <w:autoSpaceDN w:val="0"/>
        <w:adjustRightInd w:val="0"/>
        <w:spacing w:line="300" w:lineRule="auto"/>
        <w:jc w:val="center"/>
        <w:rPr>
          <w:rFonts w:eastAsiaTheme="minorHAnsi"/>
          <w:b/>
          <w:bCs/>
          <w:lang w:val="en-GB" w:eastAsia="en-US"/>
        </w:rPr>
      </w:pPr>
    </w:p>
    <w:p w14:paraId="2B2BC542" w14:textId="77777777" w:rsidR="00BD4053" w:rsidRPr="00487834" w:rsidRDefault="00BD4053" w:rsidP="003128F6">
      <w:pPr>
        <w:autoSpaceDE w:val="0"/>
        <w:autoSpaceDN w:val="0"/>
        <w:adjustRightInd w:val="0"/>
        <w:spacing w:line="300" w:lineRule="auto"/>
        <w:jc w:val="center"/>
        <w:rPr>
          <w:rFonts w:eastAsiaTheme="minorHAnsi"/>
          <w:b/>
          <w:bCs/>
          <w:lang w:val="en-GB" w:eastAsia="en-US"/>
        </w:rPr>
      </w:pPr>
    </w:p>
    <w:p w14:paraId="493B4A3F" w14:textId="77777777" w:rsidR="00BD4053" w:rsidRPr="00487834" w:rsidRDefault="00286F41" w:rsidP="00B72D57">
      <w:pPr>
        <w:pStyle w:val="Heading2"/>
        <w:jc w:val="center"/>
        <w:rPr>
          <w:rFonts w:cs="Times New Roman"/>
          <w:lang w:val="en-GB"/>
        </w:rPr>
      </w:pPr>
      <w:bookmarkStart w:id="5" w:name="_Toc167918976"/>
      <w:r w:rsidRPr="00487834">
        <w:rPr>
          <w:rFonts w:cs="Times New Roman"/>
          <w:lang w:val="en-GB"/>
        </w:rPr>
        <w:t xml:space="preserve">1.2. </w:t>
      </w:r>
      <w:r w:rsidR="00BD4053" w:rsidRPr="00487834">
        <w:rPr>
          <w:rFonts w:cs="Times New Roman"/>
          <w:lang w:val="en-GB"/>
        </w:rPr>
        <w:t>ESG and cost of equity</w:t>
      </w:r>
      <w:bookmarkEnd w:id="5"/>
    </w:p>
    <w:p w14:paraId="029C217E" w14:textId="77777777" w:rsidR="003B1531" w:rsidRPr="00487834" w:rsidRDefault="003B1531" w:rsidP="003128F6">
      <w:pPr>
        <w:autoSpaceDE w:val="0"/>
        <w:autoSpaceDN w:val="0"/>
        <w:adjustRightInd w:val="0"/>
        <w:spacing w:line="300" w:lineRule="auto"/>
        <w:rPr>
          <w:rFonts w:eastAsiaTheme="minorHAnsi"/>
          <w:lang w:val="en-GB" w:eastAsia="en-US"/>
        </w:rPr>
      </w:pPr>
    </w:p>
    <w:p w14:paraId="3ABD80A4" w14:textId="3D36B6E0" w:rsidR="00B23B4D" w:rsidRPr="00487834" w:rsidRDefault="00117591" w:rsidP="003128F6">
      <w:pPr>
        <w:autoSpaceDE w:val="0"/>
        <w:autoSpaceDN w:val="0"/>
        <w:adjustRightInd w:val="0"/>
        <w:spacing w:line="300" w:lineRule="auto"/>
        <w:ind w:firstLine="720"/>
        <w:rPr>
          <w:rFonts w:eastAsiaTheme="minorHAnsi"/>
          <w:lang w:val="en-GB" w:eastAsia="en-US"/>
        </w:rPr>
      </w:pPr>
      <w:r w:rsidRPr="00487834">
        <w:rPr>
          <w:rFonts w:eastAsiaTheme="minorHAnsi"/>
          <w:lang w:val="en-GB" w:eastAsia="en-US"/>
        </w:rPr>
        <w:t xml:space="preserve">Cost of equity is a crucial metric determining corporate equity value, as it </w:t>
      </w:r>
      <w:r w:rsidR="00A17777" w:rsidRPr="00487834">
        <w:rPr>
          <w:rFonts w:eastAsiaTheme="minorHAnsi"/>
          <w:lang w:val="en-GB" w:eastAsia="en-US"/>
        </w:rPr>
        <w:t>is universally used as a discount factor for the free cashflow to equity</w:t>
      </w:r>
      <w:r w:rsidR="00072428" w:rsidRPr="00487834">
        <w:rPr>
          <w:rFonts w:eastAsiaTheme="minorHAnsi"/>
          <w:lang w:val="en-GB" w:eastAsia="en-US"/>
        </w:rPr>
        <w:t xml:space="preserve">, </w:t>
      </w:r>
      <w:proofErr w:type="spellStart"/>
      <w:r w:rsidR="00072428" w:rsidRPr="00487834">
        <w:rPr>
          <w:rFonts w:eastAsiaTheme="minorHAnsi"/>
          <w:lang w:val="en-GB" w:eastAsia="en-US"/>
        </w:rPr>
        <w:t>and</w:t>
      </w:r>
      <w:r w:rsidR="00071E51" w:rsidRPr="00487834">
        <w:rPr>
          <w:rFonts w:eastAsiaTheme="minorHAnsi"/>
          <w:lang w:val="en-GB" w:eastAsia="en-US"/>
        </w:rPr>
        <w:t>is</w:t>
      </w:r>
      <w:proofErr w:type="spellEnd"/>
      <w:r w:rsidR="00071E51" w:rsidRPr="00487834">
        <w:rPr>
          <w:rFonts w:eastAsiaTheme="minorHAnsi"/>
          <w:lang w:val="en-GB" w:eastAsia="en-US"/>
        </w:rPr>
        <w:t xml:space="preserve"> </w:t>
      </w:r>
      <w:r w:rsidR="00072428" w:rsidRPr="00487834">
        <w:rPr>
          <w:rFonts w:eastAsiaTheme="minorHAnsi"/>
          <w:lang w:val="en-GB" w:eastAsia="en-US"/>
        </w:rPr>
        <w:t xml:space="preserve">a major </w:t>
      </w:r>
      <w:r w:rsidR="00071E51" w:rsidRPr="00487834">
        <w:rPr>
          <w:rFonts w:eastAsiaTheme="minorHAnsi"/>
          <w:lang w:val="en-GB" w:eastAsia="en-US"/>
        </w:rPr>
        <w:t xml:space="preserve">component </w:t>
      </w:r>
      <w:r w:rsidR="006C7B08" w:rsidRPr="00487834">
        <w:rPr>
          <w:rFonts w:eastAsiaTheme="minorHAnsi"/>
          <w:lang w:val="en-GB" w:eastAsia="en-US"/>
        </w:rPr>
        <w:t>of weighted</w:t>
      </w:r>
      <w:r w:rsidR="00072428" w:rsidRPr="00487834">
        <w:rPr>
          <w:rFonts w:eastAsiaTheme="minorHAnsi"/>
          <w:lang w:val="en-GB" w:eastAsia="en-US"/>
        </w:rPr>
        <w:t xml:space="preserve">-average cost of </w:t>
      </w:r>
      <w:proofErr w:type="spellStart"/>
      <w:proofErr w:type="gramStart"/>
      <w:r w:rsidR="00072428" w:rsidRPr="00487834">
        <w:rPr>
          <w:rFonts w:eastAsiaTheme="minorHAnsi"/>
          <w:lang w:val="en-GB" w:eastAsia="en-US"/>
        </w:rPr>
        <w:t>capital.</w:t>
      </w:r>
      <w:r w:rsidR="00EB304B" w:rsidRPr="00487834">
        <w:rPr>
          <w:rFonts w:eastAsiaTheme="minorHAnsi"/>
          <w:lang w:val="en-GB" w:eastAsia="en-US"/>
        </w:rPr>
        <w:t>Giese</w:t>
      </w:r>
      <w:proofErr w:type="spellEnd"/>
      <w:proofErr w:type="gramEnd"/>
      <w:r w:rsidR="00EB304B" w:rsidRPr="00487834">
        <w:rPr>
          <w:rFonts w:eastAsiaTheme="minorHAnsi"/>
          <w:lang w:val="en-GB" w:eastAsia="en-US"/>
        </w:rPr>
        <w:t xml:space="preserve"> et. al. (2019) </w:t>
      </w:r>
      <w:proofErr w:type="gramStart"/>
      <w:r w:rsidR="00EB304B" w:rsidRPr="00487834">
        <w:rPr>
          <w:rFonts w:eastAsiaTheme="minorHAnsi"/>
          <w:lang w:val="en-GB" w:eastAsia="en-US"/>
        </w:rPr>
        <w:t>give</w:t>
      </w:r>
      <w:proofErr w:type="gramEnd"/>
      <w:r w:rsidR="00EB304B" w:rsidRPr="00487834">
        <w:rPr>
          <w:rFonts w:eastAsiaTheme="minorHAnsi"/>
          <w:lang w:val="en-GB" w:eastAsia="en-US"/>
        </w:rPr>
        <w:t xml:space="preserve"> a detailed account of ho</w:t>
      </w:r>
      <w:r w:rsidR="004B761E" w:rsidRPr="00487834">
        <w:rPr>
          <w:rFonts w:eastAsiaTheme="minorHAnsi"/>
          <w:lang w:val="en-GB" w:eastAsia="en-US"/>
        </w:rPr>
        <w:t xml:space="preserve">w a </w:t>
      </w:r>
      <w:r w:rsidR="00096BB9" w:rsidRPr="00487834">
        <w:rPr>
          <w:rFonts w:eastAsiaTheme="minorHAnsi"/>
          <w:lang w:val="en-GB" w:eastAsia="en-US"/>
        </w:rPr>
        <w:t>favourable</w:t>
      </w:r>
      <w:r w:rsidR="004B761E" w:rsidRPr="00487834">
        <w:rPr>
          <w:rFonts w:eastAsiaTheme="minorHAnsi"/>
          <w:lang w:val="en-GB" w:eastAsia="en-US"/>
        </w:rPr>
        <w:t xml:space="preserve"> ESG risk profile is translated into lower cost of equity and consequently into </w:t>
      </w:r>
      <w:r w:rsidR="00096BB9" w:rsidRPr="00487834">
        <w:rPr>
          <w:rFonts w:eastAsiaTheme="minorHAnsi"/>
          <w:lang w:val="en-GB" w:eastAsia="en-US"/>
        </w:rPr>
        <w:t>higher valuation</w:t>
      </w:r>
      <w:r w:rsidR="00072428" w:rsidRPr="00487834">
        <w:rPr>
          <w:rFonts w:eastAsiaTheme="minorHAnsi"/>
          <w:lang w:val="en-GB" w:eastAsia="en-US"/>
        </w:rPr>
        <w:t xml:space="preserve">. They argue that top ESG performers are less vulnerable to </w:t>
      </w:r>
      <w:proofErr w:type="spellStart"/>
      <w:r w:rsidR="00072428" w:rsidRPr="00487834">
        <w:rPr>
          <w:rFonts w:eastAsiaTheme="minorHAnsi"/>
          <w:lang w:val="en-GB" w:eastAsia="en-US"/>
        </w:rPr>
        <w:t>systematic</w:t>
      </w:r>
      <w:r w:rsidR="00373933" w:rsidRPr="00487834">
        <w:rPr>
          <w:rFonts w:eastAsiaTheme="minorHAnsi"/>
          <w:lang w:val="en-GB" w:eastAsia="en-US"/>
        </w:rPr>
        <w:t>shocks</w:t>
      </w:r>
      <w:proofErr w:type="spellEnd"/>
      <w:r w:rsidR="00373933" w:rsidRPr="00487834">
        <w:rPr>
          <w:rFonts w:eastAsiaTheme="minorHAnsi"/>
          <w:lang w:val="en-GB" w:eastAsia="en-US"/>
        </w:rPr>
        <w:t xml:space="preserve">, giving examples of how those companies were quicker to recover from the march 2020 pandemic </w:t>
      </w:r>
      <w:proofErr w:type="spellStart"/>
      <w:proofErr w:type="gramStart"/>
      <w:r w:rsidR="00373933" w:rsidRPr="00487834">
        <w:rPr>
          <w:rFonts w:eastAsiaTheme="minorHAnsi"/>
          <w:lang w:val="en-GB" w:eastAsia="en-US"/>
        </w:rPr>
        <w:t>slump.</w:t>
      </w:r>
      <w:r w:rsidR="00AA5F22" w:rsidRPr="00487834">
        <w:rPr>
          <w:rFonts w:eastAsiaTheme="minorHAnsi"/>
          <w:lang w:val="en-GB" w:eastAsia="en-US"/>
        </w:rPr>
        <w:t>As</w:t>
      </w:r>
      <w:proofErr w:type="spellEnd"/>
      <w:proofErr w:type="gramEnd"/>
      <w:r w:rsidR="00AA5F22" w:rsidRPr="00487834">
        <w:rPr>
          <w:rFonts w:eastAsiaTheme="minorHAnsi"/>
          <w:lang w:val="en-GB" w:eastAsia="en-US"/>
        </w:rPr>
        <w:t xml:space="preserve"> the beta coefficient in the CAPM is a proxy for a system</w:t>
      </w:r>
      <w:r w:rsidR="00071E51" w:rsidRPr="00487834">
        <w:rPr>
          <w:rFonts w:eastAsiaTheme="minorHAnsi"/>
          <w:lang w:val="en-GB" w:eastAsia="en-US"/>
        </w:rPr>
        <w:t>i</w:t>
      </w:r>
      <w:r w:rsidR="00AA5F22" w:rsidRPr="00487834">
        <w:rPr>
          <w:rFonts w:eastAsiaTheme="minorHAnsi"/>
          <w:lang w:val="en-GB" w:eastAsia="en-US"/>
        </w:rPr>
        <w:t>c risk</w:t>
      </w:r>
      <w:r w:rsidR="006469C8" w:rsidRPr="00487834">
        <w:rPr>
          <w:rFonts w:eastAsiaTheme="minorHAnsi"/>
          <w:lang w:val="en-GB" w:eastAsia="en-US"/>
        </w:rPr>
        <w:t xml:space="preserve">, lower exposure to the latter translates into lower beta and consequently lower required rate of return. In a DCF valuation this ultimately leads to a higher valuation for the said company. This fact alone </w:t>
      </w:r>
      <w:r w:rsidR="00B176A8" w:rsidRPr="00487834">
        <w:rPr>
          <w:rFonts w:eastAsiaTheme="minorHAnsi"/>
          <w:lang w:val="en-GB" w:eastAsia="en-US"/>
        </w:rPr>
        <w:t xml:space="preserve">underscores the cruciality of the interrelation at hand, as </w:t>
      </w:r>
      <w:r w:rsidR="00071E51" w:rsidRPr="00487834">
        <w:rPr>
          <w:rFonts w:eastAsiaTheme="minorHAnsi"/>
          <w:lang w:val="en-GB" w:eastAsia="en-US"/>
        </w:rPr>
        <w:t xml:space="preserve">growth of </w:t>
      </w:r>
      <w:r w:rsidR="00B176A8" w:rsidRPr="00487834">
        <w:rPr>
          <w:rFonts w:eastAsiaTheme="minorHAnsi"/>
          <w:lang w:val="en-GB" w:eastAsia="en-US"/>
        </w:rPr>
        <w:t xml:space="preserve">shareholder’s value is the </w:t>
      </w:r>
      <w:proofErr w:type="gramStart"/>
      <w:r w:rsidR="00B176A8" w:rsidRPr="00487834">
        <w:rPr>
          <w:rFonts w:eastAsiaTheme="minorHAnsi"/>
          <w:lang w:val="en-GB" w:eastAsia="en-US"/>
        </w:rPr>
        <w:t>ultimate goal</w:t>
      </w:r>
      <w:proofErr w:type="gramEnd"/>
      <w:r w:rsidR="00B176A8" w:rsidRPr="00487834">
        <w:rPr>
          <w:rFonts w:eastAsiaTheme="minorHAnsi"/>
          <w:lang w:val="en-GB" w:eastAsia="en-US"/>
        </w:rPr>
        <w:t xml:space="preserve"> of any enterprise.</w:t>
      </w:r>
      <w:r w:rsidR="00297B83" w:rsidRPr="00487834">
        <w:rPr>
          <w:rFonts w:eastAsiaTheme="minorHAnsi"/>
          <w:lang w:val="en-GB" w:eastAsia="en-US"/>
        </w:rPr>
        <w:t xml:space="preserve"> This logic is further tested in the context of the Chinese capital markets by Chen et.al (2023) who come to a conclusion that ESG score is negatively related to the cost of </w:t>
      </w:r>
      <w:proofErr w:type="spellStart"/>
      <w:proofErr w:type="gramStart"/>
      <w:r w:rsidR="00297B83" w:rsidRPr="00487834">
        <w:rPr>
          <w:rFonts w:eastAsiaTheme="minorHAnsi"/>
          <w:lang w:val="en-GB" w:eastAsia="en-US"/>
        </w:rPr>
        <w:t>equity.</w:t>
      </w:r>
      <w:r w:rsidR="00B72B9A" w:rsidRPr="00487834">
        <w:rPr>
          <w:rFonts w:eastAsiaTheme="minorHAnsi"/>
          <w:lang w:val="en-GB" w:eastAsia="en-US"/>
        </w:rPr>
        <w:t>The</w:t>
      </w:r>
      <w:proofErr w:type="spellEnd"/>
      <w:proofErr w:type="gramEnd"/>
      <w:r w:rsidR="00B72B9A" w:rsidRPr="00487834">
        <w:rPr>
          <w:rFonts w:eastAsiaTheme="minorHAnsi"/>
          <w:lang w:val="en-GB" w:eastAsia="en-US"/>
        </w:rPr>
        <w:t xml:space="preserve"> study by Chen et al. (2023) examines the impact of  ESG performance on the cost of equity  for Chinese A-share companies spanning </w:t>
      </w:r>
      <w:proofErr w:type="spellStart"/>
      <w:r w:rsidR="00B72B9A" w:rsidRPr="00487834">
        <w:rPr>
          <w:rFonts w:eastAsiaTheme="minorHAnsi"/>
          <w:lang w:val="en-GB" w:eastAsia="en-US"/>
        </w:rPr>
        <w:t>fro</w:t>
      </w:r>
      <w:proofErr w:type="spellEnd"/>
      <w:r w:rsidR="00B72B9A" w:rsidRPr="00487834">
        <w:rPr>
          <w:rFonts w:eastAsiaTheme="minorHAnsi"/>
          <w:lang w:val="en-GB" w:eastAsia="en-US"/>
        </w:rPr>
        <w:t xml:space="preserve"> 2010 to 2020. Using a comprehensive model that accounts for various controls including heteroscedasticity, sequence, and cross-section correlations, they discover that superior ESG performance significantly lowers the cost of equity capital. The paper finds that better ESG scores can reduce cost of equity not only directly but also indirectly by decreasing market risk and enhancing equity diversification. </w:t>
      </w:r>
      <w:r w:rsidR="00063611" w:rsidRPr="00487834">
        <w:rPr>
          <w:rFonts w:eastAsiaTheme="minorHAnsi"/>
          <w:lang w:val="en-GB" w:eastAsia="en-US"/>
        </w:rPr>
        <w:t>This line of reasoning is continued in the work of Nga</w:t>
      </w:r>
      <w:r w:rsidR="00E65C70" w:rsidRPr="00487834">
        <w:rPr>
          <w:rFonts w:eastAsiaTheme="minorHAnsi"/>
          <w:lang w:val="en-GB" w:eastAsia="en-US"/>
        </w:rPr>
        <w:t xml:space="preserve"> </w:t>
      </w:r>
      <w:r w:rsidR="00063611" w:rsidRPr="00487834">
        <w:rPr>
          <w:rFonts w:eastAsiaTheme="minorHAnsi"/>
          <w:lang w:val="en-GB" w:eastAsia="en-US"/>
        </w:rPr>
        <w:t>&amp;</w:t>
      </w:r>
      <w:r w:rsidR="00E65C70" w:rsidRPr="00487834">
        <w:rPr>
          <w:rFonts w:eastAsiaTheme="minorHAnsi"/>
          <w:lang w:val="en-GB" w:eastAsia="en-US"/>
        </w:rPr>
        <w:t xml:space="preserve"> </w:t>
      </w:r>
      <w:proofErr w:type="spellStart"/>
      <w:r w:rsidR="00063611" w:rsidRPr="00487834">
        <w:rPr>
          <w:rFonts w:eastAsiaTheme="minorHAnsi"/>
          <w:lang w:val="en-GB" w:eastAsia="en-US"/>
        </w:rPr>
        <w:t>Rezaee</w:t>
      </w:r>
      <w:proofErr w:type="spellEnd"/>
      <w:r w:rsidR="00063611" w:rsidRPr="00487834">
        <w:rPr>
          <w:rFonts w:eastAsiaTheme="minorHAnsi"/>
          <w:lang w:val="en-GB" w:eastAsia="en-US"/>
        </w:rPr>
        <w:t xml:space="preserve"> (2015)</w:t>
      </w:r>
      <w:r w:rsidR="009B62CB" w:rsidRPr="00487834">
        <w:rPr>
          <w:rFonts w:eastAsiaTheme="minorHAnsi"/>
          <w:lang w:val="en-GB" w:eastAsia="en-US"/>
        </w:rPr>
        <w:t xml:space="preserve"> who </w:t>
      </w:r>
      <w:r w:rsidR="006A6713" w:rsidRPr="00487834">
        <w:rPr>
          <w:rFonts w:eastAsiaTheme="minorHAnsi"/>
          <w:lang w:val="en-GB" w:eastAsia="en-US"/>
        </w:rPr>
        <w:t>have developed a strong negative interrelation between environmental and governance pillars and cost of equity, in other words, the higher is the E and G scores of a respective firm</w:t>
      </w:r>
      <w:r w:rsidR="004946C1" w:rsidRPr="00487834">
        <w:rPr>
          <w:rFonts w:eastAsiaTheme="minorHAnsi"/>
          <w:lang w:val="en-GB" w:eastAsia="en-US"/>
        </w:rPr>
        <w:t xml:space="preserve"> the lower is the required rate of return for its investors. </w:t>
      </w:r>
      <w:r w:rsidR="00FC7082" w:rsidRPr="00487834">
        <w:rPr>
          <w:rFonts w:eastAsiaTheme="minorHAnsi"/>
          <w:lang w:val="en-GB" w:eastAsia="en-US"/>
        </w:rPr>
        <w:t>Another surprising finding by Nga &amp;</w:t>
      </w:r>
      <w:r w:rsidR="00E65C70" w:rsidRPr="00487834">
        <w:rPr>
          <w:rFonts w:eastAsiaTheme="minorHAnsi"/>
          <w:lang w:val="en-GB" w:eastAsia="en-US"/>
        </w:rPr>
        <w:t xml:space="preserve"> </w:t>
      </w:r>
      <w:proofErr w:type="spellStart"/>
      <w:r w:rsidR="00FC7082" w:rsidRPr="00487834">
        <w:rPr>
          <w:rFonts w:eastAsiaTheme="minorHAnsi"/>
          <w:lang w:val="en-GB" w:eastAsia="en-US"/>
        </w:rPr>
        <w:t>Rezaee</w:t>
      </w:r>
      <w:proofErr w:type="spellEnd"/>
      <w:r w:rsidR="00FC7082" w:rsidRPr="00487834">
        <w:rPr>
          <w:rFonts w:eastAsiaTheme="minorHAnsi"/>
          <w:lang w:val="en-GB" w:eastAsia="en-US"/>
        </w:rPr>
        <w:t xml:space="preserve"> is that social pillar (S) of the ESG metric has no significant impact on the cost of equity.</w:t>
      </w:r>
      <w:r w:rsidR="00D63E1F" w:rsidRPr="00487834">
        <w:rPr>
          <w:rFonts w:eastAsiaTheme="minorHAnsi"/>
          <w:lang w:val="en-GB" w:eastAsia="en-US"/>
        </w:rPr>
        <w:t xml:space="preserve"> This gives ground for our future hypotheses regarding the effect of the separate pillars of ESG on cost of equity.</w:t>
      </w:r>
      <w:r w:rsidR="00B23B4D" w:rsidRPr="00487834">
        <w:rPr>
          <w:rFonts w:eastAsiaTheme="minorHAnsi"/>
          <w:lang w:val="en-GB" w:eastAsia="en-US"/>
        </w:rPr>
        <w:t xml:space="preserve"> Moving on, El Ghoul et. al. (</w:t>
      </w:r>
      <w:proofErr w:type="gramStart"/>
      <w:r w:rsidR="00B23B4D" w:rsidRPr="00487834">
        <w:rPr>
          <w:rFonts w:eastAsiaTheme="minorHAnsi"/>
          <w:lang w:val="en-GB" w:eastAsia="en-US"/>
        </w:rPr>
        <w:t>2011)</w:t>
      </w:r>
      <w:r w:rsidR="00D96E21" w:rsidRPr="00487834">
        <w:rPr>
          <w:rFonts w:eastAsiaTheme="minorHAnsi"/>
          <w:lang w:val="en-GB" w:eastAsia="en-US"/>
        </w:rPr>
        <w:t>have</w:t>
      </w:r>
      <w:proofErr w:type="gramEnd"/>
      <w:r w:rsidR="00D96E21" w:rsidRPr="00487834">
        <w:rPr>
          <w:rFonts w:eastAsiaTheme="minorHAnsi"/>
          <w:lang w:val="en-GB" w:eastAsia="en-US"/>
        </w:rPr>
        <w:t xml:space="preserve"> come to a </w:t>
      </w:r>
      <w:r w:rsidR="00D96E21" w:rsidRPr="00487834">
        <w:rPr>
          <w:rFonts w:eastAsiaTheme="minorHAnsi"/>
          <w:lang w:val="en-GB" w:eastAsia="en-US"/>
        </w:rPr>
        <w:lastRenderedPageBreak/>
        <w:t>similar conclusion dwelling on a vast dataset of the US firms observations from 1992 to 2007. The results are in line with Nga &amp;</w:t>
      </w:r>
      <w:proofErr w:type="spellStart"/>
      <w:r w:rsidR="00D96E21" w:rsidRPr="00487834">
        <w:rPr>
          <w:rFonts w:eastAsiaTheme="minorHAnsi"/>
          <w:lang w:val="en-GB" w:eastAsia="en-US"/>
        </w:rPr>
        <w:t>Rezaee</w:t>
      </w:r>
      <w:proofErr w:type="spellEnd"/>
      <w:r w:rsidR="00E65C70" w:rsidRPr="00487834">
        <w:rPr>
          <w:rFonts w:eastAsiaTheme="minorHAnsi"/>
          <w:lang w:val="en-GB" w:eastAsia="en-US"/>
        </w:rPr>
        <w:t xml:space="preserve"> </w:t>
      </w:r>
      <w:r w:rsidR="00463489" w:rsidRPr="00487834">
        <w:rPr>
          <w:rFonts w:eastAsiaTheme="minorHAnsi"/>
          <w:lang w:val="en-GB" w:eastAsia="en-US"/>
        </w:rPr>
        <w:t xml:space="preserve">even </w:t>
      </w:r>
      <w:proofErr w:type="gramStart"/>
      <w:r w:rsidR="00463489" w:rsidRPr="00487834">
        <w:rPr>
          <w:rFonts w:eastAsiaTheme="minorHAnsi"/>
          <w:lang w:val="en-GB" w:eastAsia="en-US"/>
        </w:rPr>
        <w:t>in regard to</w:t>
      </w:r>
      <w:proofErr w:type="gramEnd"/>
      <w:r w:rsidR="00463489" w:rsidRPr="00487834">
        <w:rPr>
          <w:rFonts w:eastAsiaTheme="minorHAnsi"/>
          <w:lang w:val="en-GB" w:eastAsia="en-US"/>
        </w:rPr>
        <w:t xml:space="preserve"> weak to no significant effect of social performance of the firm on the cost of equity.</w:t>
      </w:r>
    </w:p>
    <w:p w14:paraId="12FCF152" w14:textId="77777777" w:rsidR="00012F94" w:rsidRPr="00487834" w:rsidRDefault="00012F94" w:rsidP="003128F6">
      <w:pPr>
        <w:autoSpaceDE w:val="0"/>
        <w:autoSpaceDN w:val="0"/>
        <w:adjustRightInd w:val="0"/>
        <w:spacing w:line="300" w:lineRule="auto"/>
        <w:ind w:firstLine="720"/>
        <w:rPr>
          <w:rFonts w:eastAsiaTheme="minorHAnsi"/>
          <w:lang w:val="en-GB" w:eastAsia="en-US"/>
        </w:rPr>
      </w:pPr>
      <w:r w:rsidRPr="00487834">
        <w:rPr>
          <w:rFonts w:eastAsiaTheme="minorHAnsi"/>
          <w:lang w:val="en-GB" w:eastAsia="en-US"/>
        </w:rPr>
        <w:t xml:space="preserve">Another important dimension of the implied interrelation is the extent of investor protection </w:t>
      </w:r>
      <w:r w:rsidR="0021109E" w:rsidRPr="00487834">
        <w:rPr>
          <w:rFonts w:eastAsiaTheme="minorHAnsi"/>
          <w:lang w:val="en-GB" w:eastAsia="en-US"/>
        </w:rPr>
        <w:t xml:space="preserve">in a country of observation.  Breuer et. al. (2018) </w:t>
      </w:r>
      <w:proofErr w:type="gramStart"/>
      <w:r w:rsidR="00865772" w:rsidRPr="00487834">
        <w:rPr>
          <w:rFonts w:eastAsiaTheme="minorHAnsi"/>
          <w:lang w:val="en-GB" w:eastAsia="en-US"/>
        </w:rPr>
        <w:t>stipulate</w:t>
      </w:r>
      <w:proofErr w:type="gramEnd"/>
      <w:r w:rsidR="00865772" w:rsidRPr="00487834">
        <w:rPr>
          <w:rFonts w:eastAsiaTheme="minorHAnsi"/>
          <w:lang w:val="en-GB" w:eastAsia="en-US"/>
        </w:rPr>
        <w:t xml:space="preserve"> that ESG score as a proxy for firm’s CSR performance has a potential to reduce cost of equity only in countries with high levels of investor protection. Thus, investor protection takes on a role of a moderating variable in their model. Meanwhile</w:t>
      </w:r>
      <w:r w:rsidR="00EB51A4" w:rsidRPr="00487834">
        <w:rPr>
          <w:rFonts w:eastAsiaTheme="minorHAnsi"/>
          <w:lang w:val="en-GB" w:eastAsia="en-US"/>
        </w:rPr>
        <w:t xml:space="preserve">, in countries with low investor protection higher ESG score is found to translate into higher cost of equity. </w:t>
      </w:r>
      <w:proofErr w:type="gramStart"/>
      <w:r w:rsidR="00EB51A4" w:rsidRPr="00487834">
        <w:rPr>
          <w:rFonts w:eastAsiaTheme="minorHAnsi"/>
          <w:lang w:val="en-GB" w:eastAsia="en-US"/>
        </w:rPr>
        <w:t>In particular this</w:t>
      </w:r>
      <w:proofErr w:type="gramEnd"/>
      <w:r w:rsidR="00EB51A4" w:rsidRPr="00487834">
        <w:rPr>
          <w:rFonts w:eastAsiaTheme="minorHAnsi"/>
          <w:lang w:val="en-GB" w:eastAsia="en-US"/>
        </w:rPr>
        <w:t xml:space="preserve"> is due to the social pillar of the said companies and increased </w:t>
      </w:r>
      <w:r w:rsidR="00E622A7" w:rsidRPr="00487834">
        <w:rPr>
          <w:rFonts w:eastAsiaTheme="minorHAnsi"/>
          <w:lang w:val="en-GB" w:eastAsia="en-US"/>
        </w:rPr>
        <w:t xml:space="preserve">spending on the social programs Breuer et. al. (2018) </w:t>
      </w:r>
      <w:proofErr w:type="gramStart"/>
      <w:r w:rsidR="00E622A7" w:rsidRPr="00487834">
        <w:rPr>
          <w:rFonts w:eastAsiaTheme="minorHAnsi"/>
          <w:lang w:val="en-GB" w:eastAsia="en-US"/>
        </w:rPr>
        <w:t>argue</w:t>
      </w:r>
      <w:proofErr w:type="gramEnd"/>
      <w:r w:rsidR="00E622A7" w:rsidRPr="00487834">
        <w:rPr>
          <w:rFonts w:eastAsiaTheme="minorHAnsi"/>
          <w:lang w:val="en-GB" w:eastAsia="en-US"/>
        </w:rPr>
        <w:t xml:space="preserve">. </w:t>
      </w:r>
      <w:r w:rsidR="005566F4" w:rsidRPr="00487834">
        <w:rPr>
          <w:rFonts w:eastAsiaTheme="minorHAnsi"/>
          <w:lang w:val="en-GB" w:eastAsia="en-US"/>
        </w:rPr>
        <w:t>This argument shall be further examined in our study, as the Russia’s country risk premium is notoriously high partly due to perceived lack of investor’s protection.</w:t>
      </w:r>
    </w:p>
    <w:p w14:paraId="0CC283D3" w14:textId="77777777" w:rsidR="00F16936" w:rsidRPr="00487834" w:rsidRDefault="00F16936" w:rsidP="003128F6">
      <w:pPr>
        <w:autoSpaceDE w:val="0"/>
        <w:autoSpaceDN w:val="0"/>
        <w:adjustRightInd w:val="0"/>
        <w:spacing w:line="300" w:lineRule="auto"/>
        <w:ind w:firstLine="720"/>
        <w:rPr>
          <w:rFonts w:eastAsiaTheme="minorHAnsi"/>
          <w:lang w:val="en-GB" w:eastAsia="en-US"/>
        </w:rPr>
      </w:pPr>
      <w:r w:rsidRPr="00487834">
        <w:rPr>
          <w:rFonts w:eastAsiaTheme="minorHAnsi"/>
          <w:lang w:val="en-GB" w:eastAsia="en-US"/>
        </w:rPr>
        <w:t>What is more, executive compensation could be an important moderator in the interaction of the ESG performance and cost of equity.</w:t>
      </w:r>
      <w:r w:rsidR="00972DE6" w:rsidRPr="00487834">
        <w:rPr>
          <w:rFonts w:eastAsiaTheme="minorHAnsi"/>
          <w:lang w:val="en-GB" w:eastAsia="en-US"/>
        </w:rPr>
        <w:t xml:space="preserve"> A study by </w:t>
      </w:r>
      <w:proofErr w:type="spellStart"/>
      <w:r w:rsidR="00972DE6" w:rsidRPr="00487834">
        <w:rPr>
          <w:rFonts w:eastAsiaTheme="minorHAnsi"/>
          <w:lang w:val="en-GB" w:eastAsia="en-US"/>
        </w:rPr>
        <w:t>Chouaibi</w:t>
      </w:r>
      <w:proofErr w:type="spellEnd"/>
      <w:r w:rsidR="00972DE6" w:rsidRPr="00487834">
        <w:rPr>
          <w:rFonts w:eastAsiaTheme="minorHAnsi"/>
          <w:lang w:val="en-GB" w:eastAsia="en-US"/>
        </w:rPr>
        <w:t xml:space="preserve"> et.al. (2021) investigates the impact of ESG performance and executive compensation on the implicit cost of equity within French firms that adhere to Environmental, Social, and Governance (ESG) standards. </w:t>
      </w:r>
      <w:r w:rsidR="00A1221B" w:rsidRPr="00487834">
        <w:rPr>
          <w:rFonts w:eastAsiaTheme="minorHAnsi"/>
          <w:lang w:val="en-GB" w:eastAsia="en-US"/>
        </w:rPr>
        <w:t xml:space="preserve">This study uses a combination of the Capital Asset Pricing Model (CAPM) and the </w:t>
      </w:r>
      <w:proofErr w:type="spellStart"/>
      <w:r w:rsidR="00A1221B" w:rsidRPr="00487834">
        <w:rPr>
          <w:rFonts w:eastAsiaTheme="minorHAnsi"/>
          <w:lang w:val="en-GB" w:eastAsia="en-US"/>
        </w:rPr>
        <w:t>Fama</w:t>
      </w:r>
      <w:proofErr w:type="spellEnd"/>
      <w:r w:rsidR="00A1221B" w:rsidRPr="00487834">
        <w:rPr>
          <w:rFonts w:eastAsiaTheme="minorHAnsi"/>
          <w:lang w:val="en-GB" w:eastAsia="en-US"/>
        </w:rPr>
        <w:t xml:space="preserve">-French three-factor model to evaluate cost of equity. </w:t>
      </w:r>
      <w:r w:rsidR="00972DE6" w:rsidRPr="00487834">
        <w:rPr>
          <w:rFonts w:eastAsiaTheme="minorHAnsi"/>
          <w:lang w:val="en-GB" w:eastAsia="en-US"/>
        </w:rPr>
        <w:t xml:space="preserve">Conducted over the period 2015–2020 and involving 154 French companies, the research utilizes linear regression analyses on data sourced from Thomson Reuters ASSET4 and Thompson Institutional Brokers Earnings Services (I/B/E/S). The findings indicate a significant negative relationship between </w:t>
      </w:r>
      <w:r w:rsidR="00A1221B" w:rsidRPr="00487834">
        <w:rPr>
          <w:rFonts w:eastAsiaTheme="minorHAnsi"/>
          <w:lang w:val="en-GB" w:eastAsia="en-US"/>
        </w:rPr>
        <w:t>ESG score</w:t>
      </w:r>
      <w:r w:rsidR="00972DE6" w:rsidRPr="00487834">
        <w:rPr>
          <w:rFonts w:eastAsiaTheme="minorHAnsi"/>
          <w:lang w:val="en-GB" w:eastAsia="en-US"/>
        </w:rPr>
        <w:t xml:space="preserve"> and the cost of equity, suggesting that CSR engagements can lower financing costs and influence investment and financial decisions. Furthermore, the study highlights the role of executive compensation structured around sustainability goals, emphasizing its importance in shareholder value enhancement. This research contributes to understanding how CSR and tailored executive incentives can affect the financial standing of companies committed to sustainability.</w:t>
      </w:r>
    </w:p>
    <w:p w14:paraId="1D47EF80" w14:textId="77777777" w:rsidR="009B62CB" w:rsidRPr="00487834" w:rsidRDefault="009B62CB" w:rsidP="003128F6">
      <w:pPr>
        <w:spacing w:line="300" w:lineRule="auto"/>
        <w:ind w:firstLine="720"/>
        <w:rPr>
          <w:rFonts w:eastAsiaTheme="minorHAnsi"/>
          <w:lang w:val="en-GB" w:eastAsia="en-US"/>
        </w:rPr>
      </w:pPr>
      <w:proofErr w:type="spellStart"/>
      <w:r w:rsidRPr="00487834">
        <w:rPr>
          <w:rFonts w:eastAsiaTheme="minorHAnsi"/>
          <w:lang w:val="en-GB" w:eastAsia="en-US"/>
        </w:rPr>
        <w:t>Lastlty</w:t>
      </w:r>
      <w:proofErr w:type="spellEnd"/>
      <w:r w:rsidRPr="00487834">
        <w:rPr>
          <w:rFonts w:eastAsiaTheme="minorHAnsi"/>
          <w:lang w:val="en-GB" w:eastAsia="en-US"/>
        </w:rPr>
        <w:t xml:space="preserve">, </w:t>
      </w:r>
      <w:r w:rsidR="008A25B9" w:rsidRPr="00487834">
        <w:rPr>
          <w:rFonts w:eastAsiaTheme="minorHAnsi"/>
          <w:lang w:val="en-GB" w:eastAsia="en-US"/>
        </w:rPr>
        <w:t xml:space="preserve">it is crucial to cover the mediating and moderating effects of wider investors base, analyst coverage </w:t>
      </w:r>
      <w:r w:rsidR="00511CD2" w:rsidRPr="00487834">
        <w:rPr>
          <w:rFonts w:eastAsiaTheme="minorHAnsi"/>
          <w:lang w:val="en-GB" w:eastAsia="en-US"/>
        </w:rPr>
        <w:t xml:space="preserve">and </w:t>
      </w:r>
      <w:r w:rsidR="00C41607" w:rsidRPr="00487834">
        <w:rPr>
          <w:rFonts w:eastAsiaTheme="minorHAnsi"/>
          <w:lang w:val="en-GB" w:eastAsia="en-US"/>
        </w:rPr>
        <w:t xml:space="preserve">materiality of the ESG issues. For example, </w:t>
      </w:r>
      <w:r w:rsidRPr="00487834">
        <w:rPr>
          <w:rFonts w:eastAsiaTheme="minorHAnsi"/>
          <w:lang w:val="en-GB" w:eastAsia="en-US"/>
        </w:rPr>
        <w:t xml:space="preserve">Duarte et al. (2018) investigate how CSR disclosure affects the cost of equity, finding that firms with better CSR disclosure practices enjoy a lower cost of equity. This relationship is mediated by improved analyst coverage and higher investor base. Similarly, Moussa et al. (2022) </w:t>
      </w:r>
      <w:proofErr w:type="spellStart"/>
      <w:r w:rsidRPr="00487834">
        <w:rPr>
          <w:rFonts w:eastAsiaTheme="minorHAnsi"/>
          <w:lang w:val="en-GB" w:eastAsia="en-US"/>
        </w:rPr>
        <w:t>analyze</w:t>
      </w:r>
      <w:proofErr w:type="spellEnd"/>
      <w:r w:rsidRPr="00487834">
        <w:rPr>
          <w:rFonts w:eastAsiaTheme="minorHAnsi"/>
          <w:lang w:val="en-GB" w:eastAsia="en-US"/>
        </w:rPr>
        <w:t xml:space="preserve"> the relationship between ESG performance and firm risk in European markets, showing that higher ESG scores correlate with reduced firm risk, particularly in the environmental and governance dimensions, leading to a lower cost of equity. They found that environmental performance significantly reduces firm-specific risk, which in turn lowers the cost of equity.</w:t>
      </w:r>
      <w:r w:rsidR="00C41607" w:rsidRPr="00487834">
        <w:rPr>
          <w:rFonts w:eastAsiaTheme="minorHAnsi"/>
          <w:lang w:val="en-GB" w:eastAsia="en-US"/>
        </w:rPr>
        <w:t xml:space="preserve"> Furthermore, </w:t>
      </w:r>
      <w:r w:rsidRPr="00487834">
        <w:rPr>
          <w:rFonts w:eastAsiaTheme="minorHAnsi"/>
          <w:lang w:val="en-GB" w:eastAsia="en-US"/>
        </w:rPr>
        <w:t xml:space="preserve">Cardoso (2020) explores the link between ESG performance and cost of equity, emphasizing the role of materiality. The study finds that companies with better ESG performance have lower costs of equity, particularly in sectors where ESG issues are highly material. However, top-ranking ESG firms sometimes face higher costs due to potential overinvestment concerns. This nuanced finding suggests that while ESG integration can lead to financial benefits, it must be strategically managed to avoid </w:t>
      </w:r>
      <w:proofErr w:type="spellStart"/>
      <w:proofErr w:type="gramStart"/>
      <w:r w:rsidRPr="00487834">
        <w:rPr>
          <w:rFonts w:eastAsiaTheme="minorHAnsi"/>
          <w:lang w:val="en-GB" w:eastAsia="en-US"/>
        </w:rPr>
        <w:t>inefficiencies.Additionally</w:t>
      </w:r>
      <w:proofErr w:type="spellEnd"/>
      <w:proofErr w:type="gramEnd"/>
      <w:r w:rsidRPr="00487834">
        <w:rPr>
          <w:rFonts w:eastAsiaTheme="minorHAnsi"/>
          <w:lang w:val="en-GB" w:eastAsia="en-US"/>
        </w:rPr>
        <w:t xml:space="preserve">, Fatemi et al. (2018) find that ESG </w:t>
      </w:r>
      <w:r w:rsidRPr="00487834">
        <w:rPr>
          <w:rFonts w:eastAsiaTheme="minorHAnsi"/>
          <w:lang w:val="en-GB" w:eastAsia="en-US"/>
        </w:rPr>
        <w:lastRenderedPageBreak/>
        <w:t xml:space="preserve">strengths positively impact firm value, while ESG concerns have a negative effect. The study shows that environmental strengths are particularly beneficial, whereas social and governance strengths are less impactful. This differentiation underscores the varying importance of different ESG dimensions in influencing firm value and cost of equity. </w:t>
      </w:r>
    </w:p>
    <w:p w14:paraId="6BBBBDAA" w14:textId="77777777" w:rsidR="009B62CB" w:rsidRPr="00487834" w:rsidRDefault="009B62CB" w:rsidP="003128F6">
      <w:pPr>
        <w:autoSpaceDE w:val="0"/>
        <w:autoSpaceDN w:val="0"/>
        <w:adjustRightInd w:val="0"/>
        <w:spacing w:line="300" w:lineRule="auto"/>
        <w:rPr>
          <w:rFonts w:eastAsiaTheme="minorHAnsi"/>
          <w:lang w:val="en-GB" w:eastAsia="en-US"/>
        </w:rPr>
      </w:pPr>
    </w:p>
    <w:p w14:paraId="1C681D7E" w14:textId="77777777" w:rsidR="0018279A" w:rsidRPr="00487834" w:rsidRDefault="0018279A" w:rsidP="003128F6">
      <w:pPr>
        <w:autoSpaceDE w:val="0"/>
        <w:autoSpaceDN w:val="0"/>
        <w:adjustRightInd w:val="0"/>
        <w:spacing w:line="300" w:lineRule="auto"/>
        <w:rPr>
          <w:rFonts w:eastAsiaTheme="minorHAnsi"/>
          <w:lang w:val="en-GB" w:eastAsia="en-US"/>
        </w:rPr>
      </w:pPr>
    </w:p>
    <w:p w14:paraId="6140327A" w14:textId="77777777" w:rsidR="00212910" w:rsidRPr="00487834" w:rsidRDefault="00212910" w:rsidP="003128F6">
      <w:pPr>
        <w:autoSpaceDE w:val="0"/>
        <w:autoSpaceDN w:val="0"/>
        <w:adjustRightInd w:val="0"/>
        <w:spacing w:line="300" w:lineRule="auto"/>
        <w:ind w:firstLine="720"/>
        <w:rPr>
          <w:rFonts w:eastAsiaTheme="minorHAnsi"/>
          <w:lang w:val="en-GB" w:eastAsia="en-US"/>
        </w:rPr>
      </w:pPr>
    </w:p>
    <w:p w14:paraId="76DD6C00" w14:textId="77777777" w:rsidR="005D21BB" w:rsidRPr="00487834" w:rsidRDefault="00286F41" w:rsidP="00B72D57">
      <w:pPr>
        <w:pStyle w:val="Heading2"/>
        <w:jc w:val="center"/>
        <w:rPr>
          <w:rFonts w:cs="Times New Roman"/>
          <w:lang w:val="en-GB"/>
        </w:rPr>
      </w:pPr>
      <w:bookmarkStart w:id="6" w:name="_Toc167918977"/>
      <w:r w:rsidRPr="00487834">
        <w:rPr>
          <w:rFonts w:cs="Times New Roman"/>
          <w:lang w:val="en-GB"/>
        </w:rPr>
        <w:t xml:space="preserve">1.3. </w:t>
      </w:r>
      <w:r w:rsidR="005D21BB" w:rsidRPr="00487834">
        <w:rPr>
          <w:rFonts w:cs="Times New Roman"/>
          <w:lang w:val="en-GB"/>
        </w:rPr>
        <w:t>ESG and cost of capital in emerging markets</w:t>
      </w:r>
      <w:bookmarkEnd w:id="6"/>
    </w:p>
    <w:p w14:paraId="27853B9B" w14:textId="77777777" w:rsidR="0050276C" w:rsidRPr="00487834" w:rsidRDefault="0050276C" w:rsidP="003128F6">
      <w:pPr>
        <w:autoSpaceDE w:val="0"/>
        <w:autoSpaceDN w:val="0"/>
        <w:adjustRightInd w:val="0"/>
        <w:spacing w:line="300" w:lineRule="auto"/>
        <w:rPr>
          <w:rFonts w:eastAsiaTheme="minorHAnsi"/>
          <w:lang w:val="en-GB" w:eastAsia="en-US"/>
        </w:rPr>
      </w:pPr>
    </w:p>
    <w:p w14:paraId="3D4C69AC" w14:textId="77777777" w:rsidR="0050276C" w:rsidRPr="00487834" w:rsidRDefault="0050276C" w:rsidP="00F36A29">
      <w:pPr>
        <w:autoSpaceDE w:val="0"/>
        <w:autoSpaceDN w:val="0"/>
        <w:adjustRightInd w:val="0"/>
        <w:spacing w:line="300" w:lineRule="auto"/>
        <w:ind w:firstLine="709"/>
        <w:rPr>
          <w:rFonts w:eastAsiaTheme="minorHAnsi"/>
          <w:lang w:val="en-GB" w:eastAsia="en-US"/>
        </w:rPr>
      </w:pPr>
      <w:r w:rsidRPr="00487834">
        <w:rPr>
          <w:rFonts w:eastAsiaTheme="minorHAnsi"/>
          <w:lang w:val="en-GB" w:eastAsia="en-US"/>
        </w:rPr>
        <w:t xml:space="preserve">Aside from necessary investor protection legislation </w:t>
      </w:r>
      <w:r w:rsidR="00C853DF" w:rsidRPr="00487834">
        <w:rPr>
          <w:rFonts w:eastAsiaTheme="minorHAnsi"/>
          <w:lang w:val="en-GB" w:eastAsia="en-US"/>
        </w:rPr>
        <w:t xml:space="preserve">and functioning enforcement mechanisms in place there are certain characteristics and nuances to ESG performance effect on cost of equity and debt in developing markets. While the research existing in the academia is still in nascent stage, there are certain </w:t>
      </w:r>
      <w:r w:rsidR="00855D3B" w:rsidRPr="00487834">
        <w:rPr>
          <w:rFonts w:eastAsiaTheme="minorHAnsi"/>
          <w:lang w:val="en-GB" w:eastAsia="en-US"/>
        </w:rPr>
        <w:t>developments in examination of how ESG scores affect cost of capital in emerging markets.</w:t>
      </w:r>
    </w:p>
    <w:p w14:paraId="377EC673" w14:textId="77777777" w:rsidR="008A1149" w:rsidRPr="00487834" w:rsidRDefault="008A1149" w:rsidP="00F36A29">
      <w:pPr>
        <w:autoSpaceDE w:val="0"/>
        <w:autoSpaceDN w:val="0"/>
        <w:adjustRightInd w:val="0"/>
        <w:spacing w:line="300" w:lineRule="auto"/>
        <w:ind w:firstLine="709"/>
        <w:rPr>
          <w:rFonts w:eastAsiaTheme="minorHAnsi"/>
          <w:lang w:val="en-US" w:eastAsia="en-US"/>
        </w:rPr>
      </w:pPr>
      <w:r w:rsidRPr="00487834">
        <w:rPr>
          <w:rFonts w:eastAsiaTheme="minorHAnsi"/>
          <w:lang w:val="en-US" w:eastAsia="en-US"/>
        </w:rPr>
        <w:t>The literature on the effects of ESG scores on the cost of capital in emerging markets underscores the multidimensio</w:t>
      </w:r>
      <w:r w:rsidR="00286F41" w:rsidRPr="00487834">
        <w:rPr>
          <w:rFonts w:eastAsiaTheme="minorHAnsi"/>
          <w:lang w:val="en-US" w:eastAsia="en-US"/>
        </w:rPr>
        <w:t xml:space="preserve">nal role of sustainability for </w:t>
      </w:r>
      <w:r w:rsidRPr="00487834">
        <w:rPr>
          <w:rFonts w:eastAsiaTheme="minorHAnsi"/>
          <w:lang w:val="en-US" w:eastAsia="en-US"/>
        </w:rPr>
        <w:t>financial performance and financing costs optimization. S</w:t>
      </w:r>
      <w:r w:rsidR="00AA6C84" w:rsidRPr="00487834">
        <w:rPr>
          <w:rFonts w:eastAsiaTheme="minorHAnsi"/>
          <w:lang w:val="en-US" w:eastAsia="en-US"/>
        </w:rPr>
        <w:t>everal new studies</w:t>
      </w:r>
      <w:r w:rsidRPr="00487834">
        <w:rPr>
          <w:rFonts w:eastAsiaTheme="minorHAnsi"/>
          <w:lang w:val="en-US" w:eastAsia="en-US"/>
        </w:rPr>
        <w:t xml:space="preserve">, focusing on Latin America and BRICS countries, have observed that the transparency and governance aspects of ESG can substantially influence </w:t>
      </w:r>
      <w:r w:rsidR="00AA6C84" w:rsidRPr="00487834">
        <w:rPr>
          <w:rFonts w:eastAsiaTheme="minorHAnsi"/>
          <w:lang w:val="en-US" w:eastAsia="en-US"/>
        </w:rPr>
        <w:t>elements of firm’s cost of capital.</w:t>
      </w:r>
      <w:r w:rsidR="00324925" w:rsidRPr="00487834">
        <w:rPr>
          <w:rFonts w:eastAsiaTheme="minorHAnsi"/>
          <w:lang w:val="en-US" w:eastAsia="en-US"/>
        </w:rPr>
        <w:t xml:space="preserve"> Whereas </w:t>
      </w:r>
      <w:proofErr w:type="gramStart"/>
      <w:r w:rsidR="00324925" w:rsidRPr="00487834">
        <w:rPr>
          <w:rFonts w:eastAsiaTheme="minorHAnsi"/>
          <w:lang w:val="en-US" w:eastAsia="en-US"/>
        </w:rPr>
        <w:t>a research</w:t>
      </w:r>
      <w:proofErr w:type="gramEnd"/>
      <w:r w:rsidR="00324925" w:rsidRPr="00487834">
        <w:rPr>
          <w:rFonts w:eastAsiaTheme="minorHAnsi"/>
          <w:lang w:val="en-US" w:eastAsia="en-US"/>
        </w:rPr>
        <w:t xml:space="preserve"> focusing on ESG score effects on WACC in </w:t>
      </w:r>
      <w:r w:rsidR="00D925C1" w:rsidRPr="00487834">
        <w:rPr>
          <w:rFonts w:eastAsiaTheme="minorHAnsi"/>
          <w:lang w:val="en-US" w:eastAsia="en-US"/>
        </w:rPr>
        <w:t>Malaysia suggests that aggregate ESG scores only affect firms in the financial sector.</w:t>
      </w:r>
    </w:p>
    <w:p w14:paraId="158FF0E3" w14:textId="77777777" w:rsidR="008A1149" w:rsidRPr="00487834" w:rsidRDefault="00F575C6" w:rsidP="00F36A29">
      <w:pPr>
        <w:autoSpaceDE w:val="0"/>
        <w:autoSpaceDN w:val="0"/>
        <w:adjustRightInd w:val="0"/>
        <w:spacing w:line="300" w:lineRule="auto"/>
        <w:ind w:firstLine="709"/>
        <w:rPr>
          <w:rFonts w:eastAsiaTheme="minorHAnsi"/>
          <w:lang w:val="en-US" w:eastAsia="en-US"/>
        </w:rPr>
      </w:pPr>
      <w:r w:rsidRPr="00487834">
        <w:rPr>
          <w:rFonts w:eastAsiaTheme="minorHAnsi"/>
          <w:lang w:val="en-US" w:eastAsia="en-US"/>
        </w:rPr>
        <w:t xml:space="preserve">Firstly, </w:t>
      </w:r>
      <w:r w:rsidR="008A1149" w:rsidRPr="00487834">
        <w:rPr>
          <w:rFonts w:eastAsiaTheme="minorHAnsi"/>
          <w:lang w:val="en-US" w:eastAsia="en-US"/>
        </w:rPr>
        <w:t xml:space="preserve">Ramirez et al. (2022) </w:t>
      </w:r>
      <w:r w:rsidR="00AA6C84" w:rsidRPr="00487834">
        <w:rPr>
          <w:rFonts w:eastAsiaTheme="minorHAnsi"/>
          <w:lang w:val="en-US" w:eastAsia="en-US"/>
        </w:rPr>
        <w:t xml:space="preserve">figured out </w:t>
      </w:r>
      <w:r w:rsidR="008A1149" w:rsidRPr="00487834">
        <w:rPr>
          <w:rFonts w:eastAsiaTheme="minorHAnsi"/>
          <w:lang w:val="en-US" w:eastAsia="en-US"/>
        </w:rPr>
        <w:t xml:space="preserve">an inverse relationship between ESG scores and the cost of capital within Latin American firms. Their research, covering over 600 </w:t>
      </w:r>
      <w:r w:rsidR="002A1B77" w:rsidRPr="00487834">
        <w:rPr>
          <w:rFonts w:eastAsiaTheme="minorHAnsi"/>
          <w:lang w:val="en-US" w:eastAsia="en-US"/>
        </w:rPr>
        <w:t xml:space="preserve">firm-year </w:t>
      </w:r>
      <w:r w:rsidR="008A1149" w:rsidRPr="00487834">
        <w:rPr>
          <w:rFonts w:eastAsiaTheme="minorHAnsi"/>
          <w:lang w:val="en-US" w:eastAsia="en-US"/>
        </w:rPr>
        <w:t xml:space="preserve">observations from 202 firms between 2017 and 2019, reveals that while Environmental and Social Pillar scores did not show a </w:t>
      </w:r>
      <w:r w:rsidR="006166B9" w:rsidRPr="00487834">
        <w:rPr>
          <w:rFonts w:eastAsiaTheme="minorHAnsi"/>
          <w:lang w:val="en-US" w:eastAsia="en-US"/>
        </w:rPr>
        <w:t xml:space="preserve">significant effect on the </w:t>
      </w:r>
      <w:r w:rsidR="008A1149" w:rsidRPr="00487834">
        <w:rPr>
          <w:rFonts w:eastAsiaTheme="minorHAnsi"/>
          <w:lang w:val="en-US" w:eastAsia="en-US"/>
        </w:rPr>
        <w:t xml:space="preserve">cost of capital, the Governance Pillar displayed a </w:t>
      </w:r>
      <w:r w:rsidR="00B00041" w:rsidRPr="00487834">
        <w:rPr>
          <w:rFonts w:eastAsiaTheme="minorHAnsi"/>
          <w:lang w:val="en-US" w:eastAsia="en-US"/>
        </w:rPr>
        <w:t>strong negative correlation</w:t>
      </w:r>
      <w:r w:rsidR="008A1149" w:rsidRPr="00487834">
        <w:rPr>
          <w:rFonts w:eastAsiaTheme="minorHAnsi"/>
          <w:lang w:val="en-US" w:eastAsia="en-US"/>
        </w:rPr>
        <w:t xml:space="preserve">. The </w:t>
      </w:r>
      <w:r w:rsidR="00B00041" w:rsidRPr="00487834">
        <w:rPr>
          <w:rFonts w:eastAsiaTheme="minorHAnsi"/>
          <w:lang w:val="en-US" w:eastAsia="en-US"/>
        </w:rPr>
        <w:t>idea behind this</w:t>
      </w:r>
      <w:r w:rsidR="008A1149" w:rsidRPr="00487834">
        <w:rPr>
          <w:rFonts w:eastAsiaTheme="minorHAnsi"/>
          <w:lang w:val="en-US" w:eastAsia="en-US"/>
        </w:rPr>
        <w:t xml:space="preserve"> is clear</w:t>
      </w:r>
      <w:r w:rsidR="006166B9" w:rsidRPr="00487834">
        <w:rPr>
          <w:rFonts w:eastAsiaTheme="minorHAnsi"/>
          <w:lang w:val="en-US" w:eastAsia="en-US"/>
        </w:rPr>
        <w:t xml:space="preserve"> - </w:t>
      </w:r>
      <w:r w:rsidR="008A1149" w:rsidRPr="00487834">
        <w:rPr>
          <w:rFonts w:eastAsiaTheme="minorHAnsi"/>
          <w:lang w:val="en-US" w:eastAsia="en-US"/>
        </w:rPr>
        <w:t>governance plays a cr</w:t>
      </w:r>
      <w:r w:rsidR="006166B9" w:rsidRPr="00487834">
        <w:rPr>
          <w:rFonts w:eastAsiaTheme="minorHAnsi"/>
          <w:lang w:val="en-US" w:eastAsia="en-US"/>
        </w:rPr>
        <w:t xml:space="preserve">ucial </w:t>
      </w:r>
      <w:r w:rsidR="008A1149" w:rsidRPr="00487834">
        <w:rPr>
          <w:rFonts w:eastAsiaTheme="minorHAnsi"/>
          <w:lang w:val="en-US" w:eastAsia="en-US"/>
        </w:rPr>
        <w:t>role,</w:t>
      </w:r>
      <w:r w:rsidR="006166B9" w:rsidRPr="00487834">
        <w:rPr>
          <w:rFonts w:eastAsiaTheme="minorHAnsi"/>
          <w:lang w:val="en-US" w:eastAsia="en-US"/>
        </w:rPr>
        <w:t xml:space="preserve"> where </w:t>
      </w:r>
      <w:r w:rsidR="008A1149" w:rsidRPr="00487834">
        <w:rPr>
          <w:rFonts w:eastAsiaTheme="minorHAnsi"/>
          <w:lang w:val="en-US" w:eastAsia="en-US"/>
        </w:rPr>
        <w:t xml:space="preserve">increased transparency and better governance practices correlate with reduced cost of capital. </w:t>
      </w:r>
      <w:r w:rsidR="002A1B77" w:rsidRPr="00487834">
        <w:rPr>
          <w:rFonts w:eastAsiaTheme="minorHAnsi"/>
          <w:lang w:val="en-US" w:eastAsia="en-US"/>
        </w:rPr>
        <w:t xml:space="preserve">What is especially crucial for our research is the </w:t>
      </w:r>
      <w:r w:rsidR="006166B9" w:rsidRPr="00487834">
        <w:rPr>
          <w:rFonts w:eastAsiaTheme="minorHAnsi"/>
          <w:lang w:val="en-US" w:eastAsia="en-US"/>
        </w:rPr>
        <w:t xml:space="preserve">ESG scores breakdown conducted </w:t>
      </w:r>
      <w:r w:rsidR="00A93A04" w:rsidRPr="00487834">
        <w:rPr>
          <w:rFonts w:eastAsiaTheme="minorHAnsi"/>
          <w:lang w:val="en-US" w:eastAsia="en-US"/>
        </w:rPr>
        <w:t xml:space="preserve">in Ramirez et al. (2022), they have subdivided the firms according the </w:t>
      </w:r>
      <w:proofErr w:type="spellStart"/>
      <w:r w:rsidR="00A93A04" w:rsidRPr="00487834">
        <w:rPr>
          <w:rFonts w:eastAsiaTheme="minorHAnsi"/>
          <w:lang w:val="en-US" w:eastAsia="en-US"/>
        </w:rPr>
        <w:t>quatiles</w:t>
      </w:r>
      <w:proofErr w:type="spellEnd"/>
      <w:r w:rsidR="00A93A04" w:rsidRPr="00487834">
        <w:rPr>
          <w:rFonts w:eastAsiaTheme="minorHAnsi"/>
          <w:lang w:val="en-US" w:eastAsia="en-US"/>
        </w:rPr>
        <w:t xml:space="preserve"> of </w:t>
      </w:r>
      <w:proofErr w:type="spellStart"/>
      <w:r w:rsidR="00A93A04" w:rsidRPr="00487834">
        <w:rPr>
          <w:rFonts w:eastAsiaTheme="minorHAnsi"/>
          <w:lang w:val="en-US" w:eastAsia="en-US"/>
        </w:rPr>
        <w:t>theior</w:t>
      </w:r>
      <w:proofErr w:type="spellEnd"/>
      <w:r w:rsidR="00A93A04" w:rsidRPr="00487834">
        <w:rPr>
          <w:rFonts w:eastAsiaTheme="minorHAnsi"/>
          <w:lang w:val="en-US" w:eastAsia="en-US"/>
        </w:rPr>
        <w:t xml:space="preserve"> respective ESG scores. Findings suggest </w:t>
      </w:r>
      <w:r w:rsidR="008A1149" w:rsidRPr="00487834">
        <w:rPr>
          <w:rFonts w:eastAsiaTheme="minorHAnsi"/>
          <w:lang w:val="en-US" w:eastAsia="en-US"/>
        </w:rPr>
        <w:t>that th</w:t>
      </w:r>
      <w:r w:rsidR="00A93A04" w:rsidRPr="00487834">
        <w:rPr>
          <w:rFonts w:eastAsiaTheme="minorHAnsi"/>
          <w:lang w:val="en-US" w:eastAsia="en-US"/>
        </w:rPr>
        <w:t xml:space="preserve">e observed </w:t>
      </w:r>
      <w:r w:rsidR="008A1149" w:rsidRPr="00487834">
        <w:rPr>
          <w:rFonts w:eastAsiaTheme="minorHAnsi"/>
          <w:lang w:val="en-US" w:eastAsia="en-US"/>
        </w:rPr>
        <w:t>relationship is stronger for firm</w:t>
      </w:r>
      <w:r w:rsidR="00A93A04" w:rsidRPr="00487834">
        <w:rPr>
          <w:rFonts w:eastAsiaTheme="minorHAnsi"/>
          <w:lang w:val="en-US" w:eastAsia="en-US"/>
        </w:rPr>
        <w:t>s in lowest</w:t>
      </w:r>
      <w:r w:rsidR="00F73BAB" w:rsidRPr="00487834">
        <w:rPr>
          <w:rFonts w:eastAsiaTheme="minorHAnsi"/>
          <w:lang w:val="en-US" w:eastAsia="en-US"/>
        </w:rPr>
        <w:t xml:space="preserve"> first quartile (lowest 25% of the ESG </w:t>
      </w:r>
      <w:r w:rsidR="00286F41" w:rsidRPr="00487834">
        <w:rPr>
          <w:rFonts w:eastAsiaTheme="minorHAnsi"/>
          <w:lang w:val="en-US" w:eastAsia="en-US"/>
        </w:rPr>
        <w:t>performers)</w:t>
      </w:r>
      <w:r w:rsidR="008A1149" w:rsidRPr="00487834">
        <w:rPr>
          <w:rFonts w:eastAsiaTheme="minorHAnsi"/>
          <w:lang w:val="en-US" w:eastAsia="en-US"/>
        </w:rPr>
        <w:t>, highlighting that even modest improvements in governance may lead to significant c</w:t>
      </w:r>
      <w:r w:rsidR="00F73BAB" w:rsidRPr="00487834">
        <w:rPr>
          <w:rFonts w:eastAsiaTheme="minorHAnsi"/>
          <w:lang w:val="en-US" w:eastAsia="en-US"/>
        </w:rPr>
        <w:t xml:space="preserve">ost of capital reductions for firms that </w:t>
      </w:r>
      <w:r w:rsidR="00C36830" w:rsidRPr="00487834">
        <w:rPr>
          <w:rFonts w:eastAsiaTheme="minorHAnsi"/>
          <w:lang w:val="en-US" w:eastAsia="en-US"/>
        </w:rPr>
        <w:t>just start their path on improving their ESG record.</w:t>
      </w:r>
    </w:p>
    <w:p w14:paraId="4E18F667" w14:textId="77777777" w:rsidR="008A1149" w:rsidRPr="00487834" w:rsidRDefault="00F575C6" w:rsidP="003128F6">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Furthermore, an important factor to consider is the industry</w:t>
      </w:r>
      <w:r w:rsidR="00D7775D" w:rsidRPr="00487834">
        <w:rPr>
          <w:rFonts w:eastAsiaTheme="minorHAnsi"/>
          <w:lang w:val="en-US" w:eastAsia="en-US"/>
        </w:rPr>
        <w:t xml:space="preserve">-specific </w:t>
      </w:r>
      <w:r w:rsidRPr="00487834">
        <w:rPr>
          <w:rFonts w:eastAsiaTheme="minorHAnsi"/>
          <w:lang w:val="en-US" w:eastAsia="en-US"/>
        </w:rPr>
        <w:t xml:space="preserve">effects </w:t>
      </w:r>
      <w:r w:rsidR="00D7775D" w:rsidRPr="00487834">
        <w:rPr>
          <w:rFonts w:eastAsiaTheme="minorHAnsi"/>
          <w:lang w:val="en-US" w:eastAsia="en-US"/>
        </w:rPr>
        <w:t>of the ESG scores on cost of capital</w:t>
      </w:r>
      <w:r w:rsidR="00E60546" w:rsidRPr="00487834">
        <w:rPr>
          <w:rFonts w:eastAsiaTheme="minorHAnsi"/>
          <w:lang w:val="en-US" w:eastAsia="en-US"/>
        </w:rPr>
        <w:t xml:space="preserve"> in developing markets</w:t>
      </w:r>
      <w:r w:rsidR="00D7775D" w:rsidRPr="00487834">
        <w:rPr>
          <w:rFonts w:eastAsiaTheme="minorHAnsi"/>
          <w:lang w:val="en-US" w:eastAsia="en-US"/>
        </w:rPr>
        <w:t xml:space="preserve">. For instance, </w:t>
      </w:r>
      <w:r w:rsidRPr="00487834">
        <w:rPr>
          <w:rFonts w:eastAsiaTheme="minorHAnsi"/>
          <w:lang w:val="en-US" w:eastAsia="en-US"/>
        </w:rPr>
        <w:t>M</w:t>
      </w:r>
      <w:r w:rsidR="008A1149" w:rsidRPr="00487834">
        <w:rPr>
          <w:rFonts w:eastAsiaTheme="minorHAnsi"/>
          <w:lang w:val="en-US" w:eastAsia="en-US"/>
        </w:rPr>
        <w:t>ohammad et al. (2023</w:t>
      </w:r>
      <w:proofErr w:type="gramStart"/>
      <w:r w:rsidR="008A1149" w:rsidRPr="00487834">
        <w:rPr>
          <w:rFonts w:eastAsiaTheme="minorHAnsi"/>
          <w:lang w:val="en-US" w:eastAsia="en-US"/>
        </w:rPr>
        <w:t xml:space="preserve">) </w:t>
      </w:r>
      <w:r w:rsidR="001858A2" w:rsidRPr="00487834">
        <w:rPr>
          <w:rFonts w:eastAsiaTheme="minorHAnsi"/>
          <w:lang w:val="en-US" w:eastAsia="en-US"/>
        </w:rPr>
        <w:t xml:space="preserve"> have</w:t>
      </w:r>
      <w:proofErr w:type="gramEnd"/>
      <w:r w:rsidR="001858A2" w:rsidRPr="00487834">
        <w:rPr>
          <w:rFonts w:eastAsiaTheme="minorHAnsi"/>
          <w:lang w:val="en-US" w:eastAsia="en-US"/>
        </w:rPr>
        <w:t xml:space="preserve"> </w:t>
      </w:r>
      <w:r w:rsidR="008A1149" w:rsidRPr="00487834">
        <w:rPr>
          <w:rFonts w:eastAsiaTheme="minorHAnsi"/>
          <w:lang w:val="en-US" w:eastAsia="en-US"/>
        </w:rPr>
        <w:t>scrutiniz</w:t>
      </w:r>
      <w:r w:rsidR="001858A2" w:rsidRPr="00487834">
        <w:rPr>
          <w:rFonts w:eastAsiaTheme="minorHAnsi"/>
          <w:lang w:val="en-US" w:eastAsia="en-US"/>
        </w:rPr>
        <w:t xml:space="preserve">ed </w:t>
      </w:r>
      <w:r w:rsidR="008A1149" w:rsidRPr="00487834">
        <w:rPr>
          <w:rFonts w:eastAsiaTheme="minorHAnsi"/>
          <w:lang w:val="en-US" w:eastAsia="en-US"/>
        </w:rPr>
        <w:t>the effect of corporate governance and ESG scores on the</w:t>
      </w:r>
      <w:r w:rsidR="00B00041" w:rsidRPr="00487834">
        <w:rPr>
          <w:rFonts w:eastAsiaTheme="minorHAnsi"/>
          <w:lang w:val="en-US" w:eastAsia="en-US"/>
        </w:rPr>
        <w:t xml:space="preserve"> aggregate</w:t>
      </w:r>
      <w:r w:rsidR="008A1149" w:rsidRPr="00487834">
        <w:rPr>
          <w:rFonts w:eastAsiaTheme="minorHAnsi"/>
          <w:lang w:val="en-US" w:eastAsia="en-US"/>
        </w:rPr>
        <w:t xml:space="preserve"> cost of capital </w:t>
      </w:r>
      <w:r w:rsidR="00B00041" w:rsidRPr="00487834">
        <w:rPr>
          <w:rFonts w:eastAsiaTheme="minorHAnsi"/>
          <w:lang w:val="en-US" w:eastAsia="en-US"/>
        </w:rPr>
        <w:t xml:space="preserve">(WACC) </w:t>
      </w:r>
      <w:r w:rsidR="008A1149" w:rsidRPr="00487834">
        <w:rPr>
          <w:rFonts w:eastAsiaTheme="minorHAnsi"/>
          <w:lang w:val="en-US" w:eastAsia="en-US"/>
        </w:rPr>
        <w:t>across 800 firm-year observations in emerging markets. Their findings through panel-corrected standard errors regressions suggest that in the financial sector of these markets, there’s a negative association between ESG scores and the cost of capital. However, this relationship is not observed in the non-financial sector</w:t>
      </w:r>
      <w:r w:rsidR="00C337A9" w:rsidRPr="00487834">
        <w:rPr>
          <w:rFonts w:eastAsiaTheme="minorHAnsi"/>
          <w:lang w:val="en-US" w:eastAsia="en-US"/>
        </w:rPr>
        <w:t>, hence our suggestion to include dummy variable for industry in our model.</w:t>
      </w:r>
    </w:p>
    <w:p w14:paraId="2EB1A144" w14:textId="77777777" w:rsidR="008A1149" w:rsidRPr="00487834" w:rsidRDefault="00C337A9" w:rsidP="003128F6">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lastRenderedPageBreak/>
        <w:t xml:space="preserve">Lastly, </w:t>
      </w:r>
      <w:proofErr w:type="spellStart"/>
      <w:r w:rsidR="008A1149" w:rsidRPr="00487834">
        <w:rPr>
          <w:rFonts w:eastAsiaTheme="minorHAnsi"/>
          <w:lang w:val="en-US" w:eastAsia="en-US"/>
        </w:rPr>
        <w:t>Fandella</w:t>
      </w:r>
      <w:proofErr w:type="spellEnd"/>
      <w:r w:rsidRPr="00487834">
        <w:rPr>
          <w:rFonts w:eastAsiaTheme="minorHAnsi"/>
          <w:lang w:val="en-US" w:eastAsia="en-US"/>
        </w:rPr>
        <w:t xml:space="preserve"> et. al (</w:t>
      </w:r>
      <w:r w:rsidR="008A1149" w:rsidRPr="00487834">
        <w:rPr>
          <w:rFonts w:eastAsiaTheme="minorHAnsi"/>
          <w:lang w:val="en-US" w:eastAsia="en-US"/>
        </w:rPr>
        <w:t xml:space="preserve">2022) </w:t>
      </w:r>
      <w:r w:rsidRPr="00487834">
        <w:rPr>
          <w:rFonts w:eastAsiaTheme="minorHAnsi"/>
          <w:lang w:val="en-US" w:eastAsia="en-US"/>
        </w:rPr>
        <w:t>research</w:t>
      </w:r>
      <w:r w:rsidR="00286F41" w:rsidRPr="00487834">
        <w:rPr>
          <w:rFonts w:eastAsiaTheme="minorHAnsi"/>
          <w:lang w:val="en-US" w:eastAsia="en-US"/>
        </w:rPr>
        <w:t xml:space="preserve"> </w:t>
      </w:r>
      <w:r w:rsidR="00884572" w:rsidRPr="00487834">
        <w:rPr>
          <w:rFonts w:eastAsiaTheme="minorHAnsi"/>
          <w:lang w:val="en-US" w:eastAsia="en-US"/>
        </w:rPr>
        <w:t xml:space="preserve">ESG score effect on </w:t>
      </w:r>
      <w:r w:rsidRPr="00487834">
        <w:rPr>
          <w:rFonts w:eastAsiaTheme="minorHAnsi"/>
          <w:lang w:val="en-US" w:eastAsia="en-US"/>
        </w:rPr>
        <w:t xml:space="preserve">separate elements of </w:t>
      </w:r>
      <w:r w:rsidR="008A1149" w:rsidRPr="00487834">
        <w:rPr>
          <w:rFonts w:eastAsiaTheme="minorHAnsi"/>
          <w:lang w:val="en-US" w:eastAsia="en-US"/>
        </w:rPr>
        <w:t>the cost of capital</w:t>
      </w:r>
      <w:r w:rsidR="00884572" w:rsidRPr="00487834">
        <w:rPr>
          <w:rFonts w:eastAsiaTheme="minorHAnsi"/>
          <w:lang w:val="en-US" w:eastAsia="en-US"/>
        </w:rPr>
        <w:t>, namely t</w:t>
      </w:r>
      <w:r w:rsidR="008A1149" w:rsidRPr="00487834">
        <w:rPr>
          <w:rFonts w:eastAsiaTheme="minorHAnsi"/>
          <w:lang w:val="en-US" w:eastAsia="en-US"/>
        </w:rPr>
        <w:t xml:space="preserve">he cost of debt and the cost of equity </w:t>
      </w:r>
      <w:r w:rsidR="00884572" w:rsidRPr="00487834">
        <w:rPr>
          <w:rFonts w:eastAsiaTheme="minorHAnsi"/>
          <w:lang w:val="en-US" w:eastAsia="en-US"/>
        </w:rPr>
        <w:t>i</w:t>
      </w:r>
      <w:r w:rsidR="008A1149" w:rsidRPr="00487834">
        <w:rPr>
          <w:rFonts w:eastAsiaTheme="minorHAnsi"/>
          <w:lang w:val="en-US" w:eastAsia="en-US"/>
        </w:rPr>
        <w:t>n BRICS countries</w:t>
      </w:r>
      <w:r w:rsidR="00884572" w:rsidRPr="00487834">
        <w:rPr>
          <w:rFonts w:eastAsiaTheme="minorHAnsi"/>
          <w:lang w:val="en-US" w:eastAsia="en-US"/>
        </w:rPr>
        <w:t xml:space="preserve"> from a new </w:t>
      </w:r>
      <w:proofErr w:type="spellStart"/>
      <w:proofErr w:type="gramStart"/>
      <w:r w:rsidR="00884572" w:rsidRPr="00487834">
        <w:rPr>
          <w:rFonts w:eastAsiaTheme="minorHAnsi"/>
          <w:lang w:val="en-US" w:eastAsia="en-US"/>
        </w:rPr>
        <w:t>angle.</w:t>
      </w:r>
      <w:r w:rsidR="008A1149" w:rsidRPr="00487834">
        <w:rPr>
          <w:rFonts w:eastAsiaTheme="minorHAnsi"/>
          <w:lang w:val="en-US" w:eastAsia="en-US"/>
        </w:rPr>
        <w:t>.</w:t>
      </w:r>
      <w:proofErr w:type="gramEnd"/>
      <w:r w:rsidR="008A1149" w:rsidRPr="00487834">
        <w:rPr>
          <w:rFonts w:eastAsiaTheme="minorHAnsi"/>
          <w:lang w:val="en-US" w:eastAsia="en-US"/>
        </w:rPr>
        <w:t>Their</w:t>
      </w:r>
      <w:proofErr w:type="spellEnd"/>
      <w:r w:rsidR="008A1149" w:rsidRPr="00487834">
        <w:rPr>
          <w:rFonts w:eastAsiaTheme="minorHAnsi"/>
          <w:lang w:val="en-US" w:eastAsia="en-US"/>
        </w:rPr>
        <w:t xml:space="preserve"> </w:t>
      </w:r>
      <w:r w:rsidR="00884572" w:rsidRPr="00487834">
        <w:rPr>
          <w:rFonts w:eastAsiaTheme="minorHAnsi"/>
          <w:lang w:val="en-US" w:eastAsia="en-US"/>
        </w:rPr>
        <w:t xml:space="preserve">dataset spans from </w:t>
      </w:r>
      <w:r w:rsidR="008A1149" w:rsidRPr="00487834">
        <w:rPr>
          <w:rFonts w:eastAsiaTheme="minorHAnsi"/>
          <w:lang w:val="en-US" w:eastAsia="en-US"/>
        </w:rPr>
        <w:t xml:space="preserve">spans 2014 to 2019 and employs panel regressions to </w:t>
      </w:r>
      <w:r w:rsidR="00884572" w:rsidRPr="00487834">
        <w:rPr>
          <w:rFonts w:eastAsiaTheme="minorHAnsi"/>
          <w:lang w:val="en-US" w:eastAsia="en-US"/>
        </w:rPr>
        <w:t xml:space="preserve">figure out </w:t>
      </w:r>
      <w:r w:rsidR="008A1149" w:rsidRPr="00487834">
        <w:rPr>
          <w:rFonts w:eastAsiaTheme="minorHAnsi"/>
          <w:lang w:val="en-US" w:eastAsia="en-US"/>
        </w:rPr>
        <w:t xml:space="preserve">the significance of the relationship between CSR performance, measured through ESG scores, and </w:t>
      </w:r>
      <w:r w:rsidR="009C2B89" w:rsidRPr="00487834">
        <w:rPr>
          <w:rFonts w:eastAsiaTheme="minorHAnsi"/>
          <w:lang w:val="en-US" w:eastAsia="en-US"/>
        </w:rPr>
        <w:t>corporate</w:t>
      </w:r>
      <w:r w:rsidR="00214256" w:rsidRPr="00487834">
        <w:rPr>
          <w:rFonts w:eastAsiaTheme="minorHAnsi"/>
          <w:lang w:val="en-US" w:eastAsia="en-US"/>
        </w:rPr>
        <w:t xml:space="preserve"> financing </w:t>
      </w:r>
      <w:r w:rsidR="008A1149" w:rsidRPr="00487834">
        <w:rPr>
          <w:rFonts w:eastAsiaTheme="minorHAnsi"/>
          <w:lang w:val="en-US" w:eastAsia="en-US"/>
        </w:rPr>
        <w:t xml:space="preserve">costs. The researchers provide a </w:t>
      </w:r>
      <w:r w:rsidR="00214256" w:rsidRPr="00487834">
        <w:rPr>
          <w:rFonts w:eastAsiaTheme="minorHAnsi"/>
          <w:lang w:val="en-US" w:eastAsia="en-US"/>
        </w:rPr>
        <w:t xml:space="preserve">new angle </w:t>
      </w:r>
      <w:r w:rsidR="008A1149" w:rsidRPr="00487834">
        <w:rPr>
          <w:rFonts w:eastAsiaTheme="minorHAnsi"/>
          <w:lang w:val="en-US" w:eastAsia="en-US"/>
        </w:rPr>
        <w:t xml:space="preserve">by differentiating between the mere inclusion in an ESG ranking </w:t>
      </w:r>
      <w:r w:rsidR="00214256" w:rsidRPr="00487834">
        <w:rPr>
          <w:rFonts w:eastAsiaTheme="minorHAnsi"/>
          <w:lang w:val="en-US" w:eastAsia="en-US"/>
        </w:rPr>
        <w:t xml:space="preserve">(meaning the presence of ESG reporting) </w:t>
      </w:r>
      <w:r w:rsidR="008A1149" w:rsidRPr="00487834">
        <w:rPr>
          <w:rFonts w:eastAsiaTheme="minorHAnsi"/>
          <w:lang w:val="en-US" w:eastAsia="en-US"/>
        </w:rPr>
        <w:t xml:space="preserve">and the level of the ESG score itself. Their findings </w:t>
      </w:r>
      <w:r w:rsidR="00214256" w:rsidRPr="00487834">
        <w:rPr>
          <w:rFonts w:eastAsiaTheme="minorHAnsi"/>
          <w:lang w:val="en-US" w:eastAsia="en-US"/>
        </w:rPr>
        <w:t xml:space="preserve">suggest the following - </w:t>
      </w:r>
      <w:r w:rsidR="008A1149" w:rsidRPr="00487834">
        <w:rPr>
          <w:rFonts w:eastAsiaTheme="minorHAnsi"/>
          <w:lang w:val="en-US" w:eastAsia="en-US"/>
        </w:rPr>
        <w:t xml:space="preserve">while the presence in the ESG </w:t>
      </w:r>
      <w:r w:rsidR="006E7363" w:rsidRPr="00487834">
        <w:rPr>
          <w:rFonts w:eastAsiaTheme="minorHAnsi"/>
          <w:lang w:val="en-US" w:eastAsia="en-US"/>
        </w:rPr>
        <w:t xml:space="preserve">ranking </w:t>
      </w:r>
      <w:r w:rsidR="008A1149" w:rsidRPr="00487834">
        <w:rPr>
          <w:rFonts w:eastAsiaTheme="minorHAnsi"/>
          <w:lang w:val="en-US" w:eastAsia="en-US"/>
        </w:rPr>
        <w:t>correlates with lower</w:t>
      </w:r>
      <w:r w:rsidR="006E7363" w:rsidRPr="00487834">
        <w:rPr>
          <w:rFonts w:eastAsiaTheme="minorHAnsi"/>
          <w:lang w:val="en-US" w:eastAsia="en-US"/>
        </w:rPr>
        <w:t xml:space="preserve"> required rate of return </w:t>
      </w:r>
      <w:r w:rsidR="008A1149" w:rsidRPr="00487834">
        <w:rPr>
          <w:rFonts w:eastAsiaTheme="minorHAnsi"/>
          <w:lang w:val="en-US" w:eastAsia="en-US"/>
        </w:rPr>
        <w:t xml:space="preserve">and average cost of capital, the ESG score level itself does not significantly impact the cost of capital among the sampled firms. This suggests that, in </w:t>
      </w:r>
      <w:r w:rsidR="006E7363" w:rsidRPr="00487834">
        <w:rPr>
          <w:rFonts w:eastAsiaTheme="minorHAnsi"/>
          <w:lang w:val="en-US" w:eastAsia="en-US"/>
        </w:rPr>
        <w:t xml:space="preserve">BRICS </w:t>
      </w:r>
      <w:r w:rsidR="008A1149" w:rsidRPr="00487834">
        <w:rPr>
          <w:rFonts w:eastAsiaTheme="minorHAnsi"/>
          <w:lang w:val="en-US" w:eastAsia="en-US"/>
        </w:rPr>
        <w:t>markets,</w:t>
      </w:r>
      <w:r w:rsidR="006E7363" w:rsidRPr="00487834">
        <w:rPr>
          <w:rFonts w:eastAsiaTheme="minorHAnsi"/>
          <w:lang w:val="en-US" w:eastAsia="en-US"/>
        </w:rPr>
        <w:t xml:space="preserve"> differentiation in ESG scores is not </w:t>
      </w:r>
      <w:r w:rsidR="002D18A9" w:rsidRPr="00487834">
        <w:rPr>
          <w:rFonts w:eastAsiaTheme="minorHAnsi"/>
          <w:lang w:val="en-US" w:eastAsia="en-US"/>
        </w:rPr>
        <w:t>able to influence the cost of capital.</w:t>
      </w:r>
    </w:p>
    <w:p w14:paraId="6F846AFE" w14:textId="77777777" w:rsidR="008A1149" w:rsidRPr="00487834" w:rsidRDefault="008A1149" w:rsidP="003128F6">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Across these studies</w:t>
      </w:r>
      <w:r w:rsidR="002D18A9" w:rsidRPr="00487834">
        <w:rPr>
          <w:rFonts w:eastAsiaTheme="minorHAnsi"/>
          <w:lang w:val="en-US" w:eastAsia="en-US"/>
        </w:rPr>
        <w:t xml:space="preserve"> there is no consensus as to whether ESG combined score are influencing the cost of capital. While </w:t>
      </w:r>
      <w:r w:rsidR="00BD6B62" w:rsidRPr="00487834">
        <w:rPr>
          <w:rFonts w:eastAsiaTheme="minorHAnsi"/>
          <w:lang w:val="en-US" w:eastAsia="en-US"/>
        </w:rPr>
        <w:t xml:space="preserve">Ramirez et. al (2022) suggest that only Governance pillar is </w:t>
      </w:r>
      <w:r w:rsidR="009C2B89" w:rsidRPr="00487834">
        <w:rPr>
          <w:rFonts w:eastAsiaTheme="minorHAnsi"/>
          <w:lang w:val="en-US" w:eastAsia="en-US"/>
        </w:rPr>
        <w:t>decreasing</w:t>
      </w:r>
      <w:r w:rsidR="00BD6B62" w:rsidRPr="00487834">
        <w:rPr>
          <w:rFonts w:eastAsiaTheme="minorHAnsi"/>
          <w:lang w:val="en-US" w:eastAsia="en-US"/>
        </w:rPr>
        <w:t xml:space="preserve"> the cost of capital</w:t>
      </w:r>
      <w:r w:rsidR="0087073D" w:rsidRPr="00487834">
        <w:rPr>
          <w:rFonts w:eastAsiaTheme="minorHAnsi"/>
          <w:lang w:val="en-US" w:eastAsia="en-US"/>
        </w:rPr>
        <w:t xml:space="preserve"> in </w:t>
      </w:r>
      <w:proofErr w:type="spellStart"/>
      <w:r w:rsidR="0087073D" w:rsidRPr="00487834">
        <w:rPr>
          <w:rFonts w:eastAsiaTheme="minorHAnsi"/>
          <w:lang w:val="en-US" w:eastAsia="en-US"/>
        </w:rPr>
        <w:t>Latam</w:t>
      </w:r>
      <w:proofErr w:type="spellEnd"/>
      <w:r w:rsidR="0087073D" w:rsidRPr="00487834">
        <w:rPr>
          <w:rFonts w:eastAsiaTheme="minorHAnsi"/>
          <w:lang w:val="en-US" w:eastAsia="en-US"/>
        </w:rPr>
        <w:t xml:space="preserve"> region, </w:t>
      </w:r>
      <w:proofErr w:type="spellStart"/>
      <w:r w:rsidR="0087073D" w:rsidRPr="00487834">
        <w:rPr>
          <w:rFonts w:eastAsiaTheme="minorHAnsi"/>
          <w:lang w:val="en-US" w:eastAsia="en-US"/>
        </w:rPr>
        <w:t>Fandella</w:t>
      </w:r>
      <w:proofErr w:type="spellEnd"/>
      <w:r w:rsidR="0087073D" w:rsidRPr="00487834">
        <w:rPr>
          <w:rFonts w:eastAsiaTheme="minorHAnsi"/>
          <w:lang w:val="en-US" w:eastAsia="en-US"/>
        </w:rPr>
        <w:t xml:space="preserve"> et. al (2022) found no such relationship in BRICS countries. Mohammad et al. (2023</w:t>
      </w:r>
      <w:proofErr w:type="gramStart"/>
      <w:r w:rsidR="0087073D" w:rsidRPr="00487834">
        <w:rPr>
          <w:rFonts w:eastAsiaTheme="minorHAnsi"/>
          <w:lang w:val="en-US" w:eastAsia="en-US"/>
        </w:rPr>
        <w:t>)  on</w:t>
      </w:r>
      <w:proofErr w:type="gramEnd"/>
      <w:r w:rsidR="0087073D" w:rsidRPr="00487834">
        <w:rPr>
          <w:rFonts w:eastAsiaTheme="minorHAnsi"/>
          <w:lang w:val="en-US" w:eastAsia="en-US"/>
        </w:rPr>
        <w:t xml:space="preserve"> the other hand argues about industry-specific effects. </w:t>
      </w:r>
      <w:r w:rsidR="00AB48C9" w:rsidRPr="00487834">
        <w:rPr>
          <w:rFonts w:eastAsiaTheme="minorHAnsi"/>
          <w:lang w:val="en-US" w:eastAsia="en-US"/>
        </w:rPr>
        <w:t>While the ongoing debate is fruitful for our research gap it is also contributing to the research design, as some of the ideas, such as industry breakdown will be employed.</w:t>
      </w:r>
    </w:p>
    <w:p w14:paraId="46098271" w14:textId="77777777" w:rsidR="005D21BB" w:rsidRPr="00487834" w:rsidRDefault="00212910" w:rsidP="00756009">
      <w:pPr>
        <w:autoSpaceDE w:val="0"/>
        <w:autoSpaceDN w:val="0"/>
        <w:adjustRightInd w:val="0"/>
        <w:spacing w:line="300" w:lineRule="auto"/>
        <w:ind w:firstLine="720"/>
        <w:jc w:val="left"/>
        <w:rPr>
          <w:rFonts w:eastAsiaTheme="minorHAnsi"/>
          <w:lang w:val="en-US" w:eastAsia="en-US"/>
        </w:rPr>
      </w:pPr>
      <w:r w:rsidRPr="00487834">
        <w:rPr>
          <w:rFonts w:eastAsiaTheme="minorHAnsi"/>
          <w:lang w:val="en-US" w:eastAsia="en-US"/>
        </w:rPr>
        <w:t xml:space="preserve">To sum up, the existing </w:t>
      </w:r>
      <w:r w:rsidR="009C2B89" w:rsidRPr="00487834">
        <w:rPr>
          <w:rFonts w:eastAsiaTheme="minorHAnsi"/>
          <w:lang w:val="en-US" w:eastAsia="en-US"/>
        </w:rPr>
        <w:t>literature</w:t>
      </w:r>
      <w:r w:rsidRPr="00487834">
        <w:rPr>
          <w:rFonts w:eastAsiaTheme="minorHAnsi"/>
          <w:lang w:val="en-US" w:eastAsia="en-US"/>
        </w:rPr>
        <w:t xml:space="preserve"> attempts to provide </w:t>
      </w:r>
      <w:r w:rsidR="001F1DF6" w:rsidRPr="00487834">
        <w:rPr>
          <w:rFonts w:eastAsiaTheme="minorHAnsi"/>
          <w:lang w:val="en-US" w:eastAsia="en-US"/>
        </w:rPr>
        <w:t>evidence that high ESG scores signal lower risk to investors, thereby lowering the cost of equity, which extends the stakeholder theory’s understanding of how CSR activities influence financial performance.</w:t>
      </w:r>
      <w:r w:rsidRPr="00487834">
        <w:rPr>
          <w:rFonts w:eastAsiaTheme="minorHAnsi"/>
          <w:lang w:val="en-US" w:eastAsia="en-US"/>
        </w:rPr>
        <w:t xml:space="preserve"> The same goes for </w:t>
      </w:r>
      <w:r w:rsidR="009C2B89" w:rsidRPr="00487834">
        <w:rPr>
          <w:rFonts w:eastAsiaTheme="minorHAnsi"/>
          <w:lang w:val="en-US" w:eastAsia="en-US"/>
        </w:rPr>
        <w:t>debt holders</w:t>
      </w:r>
      <w:r w:rsidRPr="00487834">
        <w:rPr>
          <w:rFonts w:eastAsiaTheme="minorHAnsi"/>
          <w:lang w:val="en-US" w:eastAsia="en-US"/>
        </w:rPr>
        <w:t>, yet to a smaller extent, as well as with a less extensive scholarly coverage.</w:t>
      </w:r>
    </w:p>
    <w:p w14:paraId="75DDFFBD" w14:textId="77777777" w:rsidR="000F5220" w:rsidRPr="00487834" w:rsidRDefault="00756009" w:rsidP="00B72D57">
      <w:pPr>
        <w:pStyle w:val="Heading2"/>
        <w:jc w:val="center"/>
        <w:rPr>
          <w:rFonts w:cs="Times New Roman"/>
          <w:shd w:val="clear" w:color="auto" w:fill="FFFFFF"/>
          <w:lang w:val="en-US"/>
        </w:rPr>
      </w:pPr>
      <w:bookmarkStart w:id="7" w:name="_Toc167918978"/>
      <w:r w:rsidRPr="00487834">
        <w:rPr>
          <w:rFonts w:cs="Times New Roman"/>
          <w:shd w:val="clear" w:color="auto" w:fill="FFFFFF"/>
          <w:lang w:val="en-US"/>
        </w:rPr>
        <w:t xml:space="preserve">1.4. </w:t>
      </w:r>
      <w:r w:rsidR="000F5220" w:rsidRPr="00487834">
        <w:rPr>
          <w:rFonts w:cs="Times New Roman"/>
          <w:shd w:val="clear" w:color="auto" w:fill="FFFFFF"/>
          <w:lang w:val="en-US"/>
        </w:rPr>
        <w:t>Research gap</w:t>
      </w:r>
      <w:bookmarkEnd w:id="7"/>
    </w:p>
    <w:p w14:paraId="60A8FBEE" w14:textId="77777777" w:rsidR="000F5220" w:rsidRPr="00487834" w:rsidRDefault="000F5220" w:rsidP="003128F6">
      <w:pPr>
        <w:spacing w:line="300" w:lineRule="auto"/>
        <w:jc w:val="center"/>
        <w:rPr>
          <w:b/>
          <w:bCs/>
          <w:color w:val="222222"/>
          <w:shd w:val="clear" w:color="auto" w:fill="FFFFFF"/>
          <w:lang w:val="en-US"/>
        </w:rPr>
      </w:pPr>
    </w:p>
    <w:p w14:paraId="4DD5C67B" w14:textId="77777777" w:rsidR="000F5220" w:rsidRPr="00487834" w:rsidRDefault="000F5220" w:rsidP="003128F6">
      <w:pPr>
        <w:spacing w:line="300" w:lineRule="auto"/>
        <w:ind w:firstLine="720"/>
        <w:rPr>
          <w:shd w:val="clear" w:color="auto" w:fill="FFFFFF"/>
          <w:lang w:val="en-US"/>
        </w:rPr>
      </w:pPr>
      <w:r w:rsidRPr="00487834">
        <w:rPr>
          <w:shd w:val="clear" w:color="auto" w:fill="FFFFFF"/>
          <w:lang w:val="en-US"/>
        </w:rPr>
        <w:t>The research on the effect of ESG scores on different elements of cost of capital has been limited in the emerging markets. Whereas for Russian stock market it is close to being non-existent. Previous studies were mostly directed at the examination of the phenomena in the developed markets such as EU and the US. What is more, the lack of consensus on the presence of the significant effect of ESG scores on cost of capital in BRICS countries is staggering. Lastly, previous studies mainly focused on separate aspects of cost of capital, either cost of debt or cost of equity. This research will attempt to take on holistic approach, as the capital structures and tax regimes of the firms are highly contextual yet cost of debt and equity are defining aspects of the cost of capital in any circumstance. From the side of the managerial implications thus will also be fruitful for potential stakeholders and users of this paper, as we aim to supply them with useful lens to look at the prospects of cost of capital improvement with better ESG performance. They will be shown if ESG scores affect cost of equity or cost of debt in a more significant fashion.</w:t>
      </w:r>
    </w:p>
    <w:p w14:paraId="1D2C418A" w14:textId="77777777" w:rsidR="000F5220" w:rsidRPr="00487834" w:rsidRDefault="000F5220" w:rsidP="003128F6">
      <w:pPr>
        <w:spacing w:line="300" w:lineRule="auto"/>
        <w:ind w:firstLine="720"/>
        <w:rPr>
          <w:shd w:val="clear" w:color="auto" w:fill="FFFFFF"/>
          <w:lang w:val="en-US"/>
        </w:rPr>
      </w:pPr>
      <w:r w:rsidRPr="00487834">
        <w:rPr>
          <w:shd w:val="clear" w:color="auto" w:fill="FFFFFF"/>
          <w:lang w:val="en-US"/>
        </w:rPr>
        <w:t xml:space="preserve">Moreover, no study on BRICS market have attempted to differentiate between top </w:t>
      </w:r>
      <w:proofErr w:type="spellStart"/>
      <w:r w:rsidRPr="00487834">
        <w:rPr>
          <w:shd w:val="clear" w:color="auto" w:fill="FFFFFF"/>
          <w:lang w:val="en-US"/>
        </w:rPr>
        <w:t>esg</w:t>
      </w:r>
      <w:proofErr w:type="spellEnd"/>
      <w:r w:rsidRPr="00487834">
        <w:rPr>
          <w:shd w:val="clear" w:color="auto" w:fill="FFFFFF"/>
          <w:lang w:val="en-US"/>
        </w:rPr>
        <w:t xml:space="preserve"> performers and underperforming firms. The distinction will come in handy for managers, as we expect for the relationship between ESG performance and cost of capital elements to differ for firms with different record on ESG activities. Lastly, a staggering lack of comparative analysis </w:t>
      </w:r>
      <w:r w:rsidRPr="00487834">
        <w:rPr>
          <w:shd w:val="clear" w:color="auto" w:fill="FFFFFF"/>
          <w:lang w:val="en-US"/>
        </w:rPr>
        <w:lastRenderedPageBreak/>
        <w:t>of the ESG relationship with the cost of capital in BRICS is evident. Previous studies were taking an aggregated approach to BRICS markets, where weight of Chinese market in terms of firm-year observations and valuation was overwhelming. In this study we aim to shine the light at t</w:t>
      </w:r>
      <w:r w:rsidR="009C2B89" w:rsidRPr="00487834">
        <w:rPr>
          <w:shd w:val="clear" w:color="auto" w:fill="FFFFFF"/>
          <w:lang w:val="en-US"/>
        </w:rPr>
        <w:t xml:space="preserve">he comparison between Russian, </w:t>
      </w:r>
      <w:r w:rsidRPr="00487834">
        <w:rPr>
          <w:shd w:val="clear" w:color="auto" w:fill="FFFFFF"/>
          <w:lang w:val="en-US"/>
        </w:rPr>
        <w:t>Brazilian, and South African Markets, which we believe to be comparable d</w:t>
      </w:r>
      <w:r w:rsidR="009C2B89" w:rsidRPr="00487834">
        <w:rPr>
          <w:shd w:val="clear" w:color="auto" w:fill="FFFFFF"/>
          <w:lang w:val="en-US"/>
        </w:rPr>
        <w:t xml:space="preserve">ue to the factors discussed in </w:t>
      </w:r>
      <w:r w:rsidRPr="00487834">
        <w:rPr>
          <w:shd w:val="clear" w:color="auto" w:fill="FFFFFF"/>
          <w:lang w:val="en-US"/>
        </w:rPr>
        <w:t>the upcoming passage.</w:t>
      </w:r>
    </w:p>
    <w:p w14:paraId="45DB1157" w14:textId="77777777" w:rsidR="0018279A" w:rsidRPr="00487834" w:rsidRDefault="0018279A" w:rsidP="00B250C8">
      <w:pPr>
        <w:autoSpaceDE w:val="0"/>
        <w:autoSpaceDN w:val="0"/>
        <w:adjustRightInd w:val="0"/>
        <w:spacing w:line="300" w:lineRule="auto"/>
        <w:ind w:firstLine="0"/>
        <w:rPr>
          <w:rFonts w:eastAsiaTheme="minorHAnsi"/>
          <w:b/>
          <w:bCs/>
          <w:lang w:val="en-US" w:eastAsia="en-US"/>
        </w:rPr>
      </w:pPr>
    </w:p>
    <w:p w14:paraId="00351804" w14:textId="77777777" w:rsidR="00463489" w:rsidRPr="00487834" w:rsidRDefault="00756009" w:rsidP="00B72D57">
      <w:pPr>
        <w:pStyle w:val="Heading2"/>
        <w:jc w:val="center"/>
        <w:rPr>
          <w:rFonts w:cs="Times New Roman"/>
          <w:lang w:val="en-GB"/>
        </w:rPr>
      </w:pPr>
      <w:bookmarkStart w:id="8" w:name="_Toc167918979"/>
      <w:r w:rsidRPr="00487834">
        <w:rPr>
          <w:rFonts w:cs="Times New Roman"/>
          <w:lang w:val="en-GB"/>
        </w:rPr>
        <w:t xml:space="preserve">1.5. </w:t>
      </w:r>
      <w:r w:rsidR="00C44571" w:rsidRPr="00487834">
        <w:rPr>
          <w:rFonts w:cs="Times New Roman"/>
          <w:lang w:val="en-GB"/>
        </w:rPr>
        <w:t>Problem statement and hypotheses</w:t>
      </w:r>
      <w:bookmarkEnd w:id="8"/>
    </w:p>
    <w:p w14:paraId="0FE70A07" w14:textId="77777777" w:rsidR="003857B7" w:rsidRPr="00487834" w:rsidRDefault="003857B7" w:rsidP="003128F6">
      <w:pPr>
        <w:spacing w:line="300" w:lineRule="auto"/>
        <w:rPr>
          <w:color w:val="222222"/>
          <w:shd w:val="clear" w:color="auto" w:fill="FFFFFF"/>
          <w:lang w:val="en-US"/>
        </w:rPr>
      </w:pPr>
    </w:p>
    <w:p w14:paraId="2D786757" w14:textId="77777777" w:rsidR="008A4004" w:rsidRPr="00487834" w:rsidRDefault="003857B7" w:rsidP="003128F6">
      <w:pPr>
        <w:spacing w:line="300" w:lineRule="auto"/>
        <w:ind w:firstLine="720"/>
        <w:rPr>
          <w:shd w:val="clear" w:color="auto" w:fill="FFFFFF"/>
          <w:lang w:val="en-US"/>
        </w:rPr>
      </w:pPr>
      <w:r w:rsidRPr="00487834">
        <w:rPr>
          <w:shd w:val="clear" w:color="auto" w:fill="FFFFFF"/>
          <w:lang w:val="en-US"/>
        </w:rPr>
        <w:t xml:space="preserve">The research goal of this paper is to </w:t>
      </w:r>
      <w:r w:rsidR="00226478" w:rsidRPr="00487834">
        <w:rPr>
          <w:shd w:val="clear" w:color="auto" w:fill="FFFFFF"/>
          <w:lang w:val="en-US"/>
        </w:rPr>
        <w:t xml:space="preserve">determine whether the ESG information disclosure affects the cost of capital in </w:t>
      </w:r>
      <w:r w:rsidR="00154DBF" w:rsidRPr="00487834">
        <w:rPr>
          <w:shd w:val="clear" w:color="auto" w:fill="FFFFFF"/>
          <w:lang w:val="en-US"/>
        </w:rPr>
        <w:t>some of the BRICS markets, namely in Russia, Brazil, and South Africa</w:t>
      </w:r>
      <w:r w:rsidR="00226478" w:rsidRPr="00487834">
        <w:rPr>
          <w:shd w:val="clear" w:color="auto" w:fill="FFFFFF"/>
          <w:lang w:val="en-US"/>
        </w:rPr>
        <w:t xml:space="preserve">, and to propose </w:t>
      </w:r>
      <w:r w:rsidR="009D0D0A" w:rsidRPr="00487834">
        <w:rPr>
          <w:shd w:val="clear" w:color="auto" w:fill="FFFFFF"/>
          <w:lang w:val="en-US"/>
        </w:rPr>
        <w:t>certain managerial recommendations based on this knowledge</w:t>
      </w:r>
      <w:r w:rsidR="008E09D8" w:rsidRPr="00487834">
        <w:rPr>
          <w:shd w:val="clear" w:color="auto" w:fill="FFFFFF"/>
          <w:lang w:val="en-US"/>
        </w:rPr>
        <w:t>.</w:t>
      </w:r>
    </w:p>
    <w:p w14:paraId="7F2150AC" w14:textId="77777777" w:rsidR="008A4004" w:rsidRPr="00487834" w:rsidRDefault="008E09D8" w:rsidP="003128F6">
      <w:pPr>
        <w:spacing w:line="300" w:lineRule="auto"/>
        <w:ind w:firstLine="720"/>
        <w:rPr>
          <w:shd w:val="clear" w:color="auto" w:fill="FFFFFF"/>
          <w:lang w:val="en-US"/>
        </w:rPr>
      </w:pPr>
      <w:r w:rsidRPr="00487834">
        <w:rPr>
          <w:shd w:val="clear" w:color="auto" w:fill="FFFFFF"/>
          <w:lang w:val="en-US"/>
        </w:rPr>
        <w:t xml:space="preserve">Existing literature has primarily centered on developed markets, leaving a research gap regarding how ESG disclosures may impact the cost of equity and debt in markets characterized by diverse institutional and legal structures, such as Russia, Brazil, and South Africa. </w:t>
      </w:r>
    </w:p>
    <w:p w14:paraId="3C20C142" w14:textId="77777777" w:rsidR="00305988" w:rsidRPr="00487834" w:rsidRDefault="00305988" w:rsidP="003128F6">
      <w:pPr>
        <w:spacing w:line="300" w:lineRule="auto"/>
        <w:rPr>
          <w:shd w:val="clear" w:color="auto" w:fill="FFFFFF"/>
          <w:lang w:val="en-US"/>
        </w:rPr>
      </w:pPr>
    </w:p>
    <w:p w14:paraId="4FA2D4AC" w14:textId="77777777" w:rsidR="003857B7" w:rsidRPr="00487834" w:rsidRDefault="003857B7" w:rsidP="003128F6">
      <w:pPr>
        <w:spacing w:line="300" w:lineRule="auto"/>
        <w:ind w:firstLine="360"/>
        <w:rPr>
          <w:shd w:val="clear" w:color="auto" w:fill="FFFFFF"/>
          <w:lang w:val="en-US"/>
        </w:rPr>
      </w:pPr>
      <w:r w:rsidRPr="00487834">
        <w:rPr>
          <w:shd w:val="clear" w:color="auto" w:fill="FFFFFF"/>
          <w:lang w:val="en-US"/>
        </w:rPr>
        <w:t>To facilitate for this research goal the following research questions have been posed:</w:t>
      </w:r>
    </w:p>
    <w:p w14:paraId="34C5A034" w14:textId="77777777" w:rsidR="00E067CF" w:rsidRPr="00487834" w:rsidRDefault="00E067CF" w:rsidP="003128F6">
      <w:pPr>
        <w:spacing w:line="300" w:lineRule="auto"/>
        <w:rPr>
          <w:shd w:val="clear" w:color="auto" w:fill="FFFFFF"/>
          <w:lang w:val="en-US"/>
        </w:rPr>
      </w:pPr>
    </w:p>
    <w:p w14:paraId="1C9FBCF1" w14:textId="77777777" w:rsidR="003857B7" w:rsidRPr="00487834" w:rsidRDefault="009D0D0A" w:rsidP="003128F6">
      <w:pPr>
        <w:pStyle w:val="ListParagraph"/>
        <w:numPr>
          <w:ilvl w:val="0"/>
          <w:numId w:val="2"/>
        </w:numPr>
        <w:spacing w:line="300" w:lineRule="auto"/>
        <w:rPr>
          <w:rFonts w:ascii="Times New Roman" w:hAnsi="Times New Roman" w:cs="Times New Roman"/>
          <w:sz w:val="24"/>
          <w:szCs w:val="24"/>
          <w:shd w:val="clear" w:color="auto" w:fill="FFFFFF"/>
          <w:lang w:val="en-US"/>
        </w:rPr>
      </w:pPr>
      <w:r w:rsidRPr="00487834">
        <w:rPr>
          <w:rFonts w:ascii="Times New Roman" w:hAnsi="Times New Roman" w:cs="Times New Roman"/>
          <w:sz w:val="24"/>
          <w:szCs w:val="24"/>
          <w:shd w:val="clear" w:color="auto" w:fill="FFFFFF"/>
          <w:lang w:val="en-US"/>
        </w:rPr>
        <w:t xml:space="preserve">Do the aggregate ESG </w:t>
      </w:r>
      <w:r w:rsidR="007C7440" w:rsidRPr="00487834">
        <w:rPr>
          <w:rFonts w:ascii="Times New Roman" w:hAnsi="Times New Roman" w:cs="Times New Roman"/>
          <w:sz w:val="24"/>
          <w:szCs w:val="24"/>
          <w:shd w:val="clear" w:color="auto" w:fill="FFFFFF"/>
          <w:lang w:val="en-US"/>
        </w:rPr>
        <w:t xml:space="preserve">scores </w:t>
      </w:r>
      <w:r w:rsidRPr="00487834">
        <w:rPr>
          <w:rFonts w:ascii="Times New Roman" w:hAnsi="Times New Roman" w:cs="Times New Roman"/>
          <w:sz w:val="24"/>
          <w:szCs w:val="24"/>
          <w:shd w:val="clear" w:color="auto" w:fill="FFFFFF"/>
          <w:lang w:val="en-US"/>
        </w:rPr>
        <w:t>affect the firm’s cost of equity</w:t>
      </w:r>
      <w:r w:rsidR="007C7440" w:rsidRPr="00487834">
        <w:rPr>
          <w:rFonts w:ascii="Times New Roman" w:hAnsi="Times New Roman" w:cs="Times New Roman"/>
          <w:sz w:val="24"/>
          <w:szCs w:val="24"/>
          <w:shd w:val="clear" w:color="auto" w:fill="FFFFFF"/>
          <w:lang w:val="en-US"/>
        </w:rPr>
        <w:t xml:space="preserve"> in BRICS countries</w:t>
      </w:r>
      <w:r w:rsidR="003857B7" w:rsidRPr="00487834">
        <w:rPr>
          <w:rFonts w:ascii="Times New Roman" w:hAnsi="Times New Roman" w:cs="Times New Roman"/>
          <w:sz w:val="24"/>
          <w:szCs w:val="24"/>
          <w:shd w:val="clear" w:color="auto" w:fill="FFFFFF"/>
          <w:lang w:val="en-US"/>
        </w:rPr>
        <w:t>?</w:t>
      </w:r>
    </w:p>
    <w:p w14:paraId="3720190E" w14:textId="77777777" w:rsidR="009D0D0A" w:rsidRPr="00487834" w:rsidRDefault="009D0D0A" w:rsidP="003128F6">
      <w:pPr>
        <w:pStyle w:val="ListParagraph"/>
        <w:numPr>
          <w:ilvl w:val="0"/>
          <w:numId w:val="2"/>
        </w:numPr>
        <w:spacing w:line="300" w:lineRule="auto"/>
        <w:rPr>
          <w:rFonts w:ascii="Times New Roman" w:hAnsi="Times New Roman" w:cs="Times New Roman"/>
          <w:sz w:val="24"/>
          <w:szCs w:val="24"/>
          <w:shd w:val="clear" w:color="auto" w:fill="FFFFFF"/>
          <w:lang w:val="en-US"/>
        </w:rPr>
      </w:pPr>
      <w:r w:rsidRPr="00487834">
        <w:rPr>
          <w:rFonts w:ascii="Times New Roman" w:hAnsi="Times New Roman" w:cs="Times New Roman"/>
          <w:sz w:val="24"/>
          <w:szCs w:val="24"/>
          <w:shd w:val="clear" w:color="auto" w:fill="FFFFFF"/>
          <w:lang w:val="en-US"/>
        </w:rPr>
        <w:t xml:space="preserve">Do the aggregate ESG </w:t>
      </w:r>
      <w:r w:rsidR="007C7440" w:rsidRPr="00487834">
        <w:rPr>
          <w:rFonts w:ascii="Times New Roman" w:hAnsi="Times New Roman" w:cs="Times New Roman"/>
          <w:sz w:val="24"/>
          <w:szCs w:val="24"/>
          <w:shd w:val="clear" w:color="auto" w:fill="FFFFFF"/>
          <w:lang w:val="en-US"/>
        </w:rPr>
        <w:t xml:space="preserve">scores </w:t>
      </w:r>
      <w:r w:rsidRPr="00487834">
        <w:rPr>
          <w:rFonts w:ascii="Times New Roman" w:hAnsi="Times New Roman" w:cs="Times New Roman"/>
          <w:sz w:val="24"/>
          <w:szCs w:val="24"/>
          <w:shd w:val="clear" w:color="auto" w:fill="FFFFFF"/>
          <w:lang w:val="en-US"/>
        </w:rPr>
        <w:t>affect the firm’s cost debt</w:t>
      </w:r>
      <w:r w:rsidR="007C7440" w:rsidRPr="00487834">
        <w:rPr>
          <w:rFonts w:ascii="Times New Roman" w:hAnsi="Times New Roman" w:cs="Times New Roman"/>
          <w:sz w:val="24"/>
          <w:szCs w:val="24"/>
          <w:shd w:val="clear" w:color="auto" w:fill="FFFFFF"/>
          <w:lang w:val="en-US"/>
        </w:rPr>
        <w:t xml:space="preserve"> in BRICS countries?</w:t>
      </w:r>
    </w:p>
    <w:p w14:paraId="656E0E11" w14:textId="77777777" w:rsidR="009D0D0A" w:rsidRPr="00487834" w:rsidRDefault="00D72B10" w:rsidP="003128F6">
      <w:pPr>
        <w:pStyle w:val="ListParagraph"/>
        <w:numPr>
          <w:ilvl w:val="0"/>
          <w:numId w:val="2"/>
        </w:numPr>
        <w:spacing w:line="300" w:lineRule="auto"/>
        <w:rPr>
          <w:rFonts w:ascii="Times New Roman" w:hAnsi="Times New Roman" w:cs="Times New Roman"/>
          <w:sz w:val="24"/>
          <w:szCs w:val="24"/>
          <w:shd w:val="clear" w:color="auto" w:fill="FFFFFF"/>
          <w:lang w:val="en-US"/>
        </w:rPr>
      </w:pPr>
      <w:r w:rsidRPr="00487834">
        <w:rPr>
          <w:rFonts w:ascii="Times New Roman" w:hAnsi="Times New Roman" w:cs="Times New Roman"/>
          <w:sz w:val="24"/>
          <w:szCs w:val="24"/>
          <w:shd w:val="clear" w:color="auto" w:fill="FFFFFF"/>
          <w:lang w:val="en-US"/>
        </w:rPr>
        <w:t>Does this effect variate in significance across</w:t>
      </w:r>
      <w:r w:rsidR="007C7440" w:rsidRPr="00487834">
        <w:rPr>
          <w:rFonts w:ascii="Times New Roman" w:hAnsi="Times New Roman" w:cs="Times New Roman"/>
          <w:sz w:val="24"/>
          <w:szCs w:val="24"/>
          <w:shd w:val="clear" w:color="auto" w:fill="FFFFFF"/>
          <w:lang w:val="en-US"/>
        </w:rPr>
        <w:t xml:space="preserve"> BRICS members, namely Russia, Brazil, and South Africa</w:t>
      </w:r>
      <w:r w:rsidRPr="00487834">
        <w:rPr>
          <w:rFonts w:ascii="Times New Roman" w:hAnsi="Times New Roman" w:cs="Times New Roman"/>
          <w:sz w:val="24"/>
          <w:szCs w:val="24"/>
          <w:shd w:val="clear" w:color="auto" w:fill="FFFFFF"/>
          <w:lang w:val="en-US"/>
        </w:rPr>
        <w:t>?</w:t>
      </w:r>
    </w:p>
    <w:p w14:paraId="4A1E962A" w14:textId="77777777" w:rsidR="00D43D21" w:rsidRPr="00487834" w:rsidRDefault="00BE7D60" w:rsidP="003128F6">
      <w:pPr>
        <w:pStyle w:val="ListParagraph"/>
        <w:numPr>
          <w:ilvl w:val="0"/>
          <w:numId w:val="2"/>
        </w:numPr>
        <w:spacing w:line="300" w:lineRule="auto"/>
        <w:rPr>
          <w:rFonts w:ascii="Times New Roman" w:hAnsi="Times New Roman" w:cs="Times New Roman"/>
          <w:sz w:val="24"/>
          <w:szCs w:val="24"/>
          <w:shd w:val="clear" w:color="auto" w:fill="FFFFFF"/>
          <w:lang w:val="en-US"/>
        </w:rPr>
      </w:pPr>
      <w:r w:rsidRPr="00487834">
        <w:rPr>
          <w:rFonts w:ascii="Times New Roman" w:hAnsi="Times New Roman" w:cs="Times New Roman"/>
          <w:sz w:val="24"/>
          <w:szCs w:val="24"/>
          <w:shd w:val="clear" w:color="auto" w:fill="FFFFFF"/>
          <w:lang w:val="en-US"/>
        </w:rPr>
        <w:t xml:space="preserve">Is </w:t>
      </w:r>
      <w:proofErr w:type="spellStart"/>
      <w:r w:rsidRPr="00487834">
        <w:rPr>
          <w:rFonts w:ascii="Times New Roman" w:hAnsi="Times New Roman" w:cs="Times New Roman"/>
          <w:sz w:val="24"/>
          <w:szCs w:val="24"/>
          <w:shd w:val="clear" w:color="auto" w:fill="FFFFFF"/>
          <w:lang w:val="en-US"/>
        </w:rPr>
        <w:t>theeffect</w:t>
      </w:r>
      <w:proofErr w:type="spellEnd"/>
      <w:r w:rsidRPr="00487834">
        <w:rPr>
          <w:rFonts w:ascii="Times New Roman" w:hAnsi="Times New Roman" w:cs="Times New Roman"/>
          <w:sz w:val="24"/>
          <w:szCs w:val="24"/>
          <w:shd w:val="clear" w:color="auto" w:fill="FFFFFF"/>
          <w:lang w:val="en-US"/>
        </w:rPr>
        <w:t xml:space="preserve"> of higher ESG score is more significant for cost of equity or cost of debt?</w:t>
      </w:r>
    </w:p>
    <w:p w14:paraId="1273A9FE" w14:textId="77777777" w:rsidR="00DD1177" w:rsidRPr="00487834" w:rsidRDefault="00DD1177" w:rsidP="003128F6">
      <w:pPr>
        <w:pStyle w:val="ListParagraph"/>
        <w:numPr>
          <w:ilvl w:val="0"/>
          <w:numId w:val="2"/>
        </w:numPr>
        <w:spacing w:line="300" w:lineRule="auto"/>
        <w:rPr>
          <w:rFonts w:ascii="Times New Roman" w:hAnsi="Times New Roman" w:cs="Times New Roman"/>
          <w:sz w:val="24"/>
          <w:szCs w:val="24"/>
          <w:shd w:val="clear" w:color="auto" w:fill="FFFFFF"/>
          <w:lang w:val="en-US"/>
        </w:rPr>
      </w:pPr>
      <w:r w:rsidRPr="00487834">
        <w:rPr>
          <w:rFonts w:ascii="Times New Roman" w:hAnsi="Times New Roman" w:cs="Times New Roman"/>
          <w:sz w:val="24"/>
          <w:szCs w:val="24"/>
          <w:shd w:val="clear" w:color="auto" w:fill="FFFFFF"/>
          <w:lang w:val="en-US"/>
        </w:rPr>
        <w:t xml:space="preserve">Does the relationship between ESG score, cost of equity, and cost of debt is variating between </w:t>
      </w:r>
      <w:r w:rsidR="00735051" w:rsidRPr="00487834">
        <w:rPr>
          <w:rFonts w:ascii="Times New Roman" w:hAnsi="Times New Roman" w:cs="Times New Roman"/>
          <w:sz w:val="24"/>
          <w:szCs w:val="24"/>
          <w:shd w:val="clear" w:color="auto" w:fill="FFFFFF"/>
          <w:lang w:val="en-US"/>
        </w:rPr>
        <w:t>top ESG performers and underperforming companies?</w:t>
      </w:r>
    </w:p>
    <w:p w14:paraId="7A4D3BDA" w14:textId="77777777" w:rsidR="003857B7" w:rsidRPr="00487834" w:rsidRDefault="003857B7" w:rsidP="003128F6">
      <w:pPr>
        <w:spacing w:line="300" w:lineRule="auto"/>
        <w:ind w:firstLine="360"/>
        <w:rPr>
          <w:shd w:val="clear" w:color="auto" w:fill="FFFFFF"/>
          <w:lang w:val="en-US"/>
        </w:rPr>
      </w:pPr>
      <w:r w:rsidRPr="00487834">
        <w:rPr>
          <w:shd w:val="clear" w:color="auto" w:fill="FFFFFF"/>
          <w:lang w:val="en-US"/>
        </w:rPr>
        <w:t>Based on the research goal and resulting research questions the following hypotheses are suggested:</w:t>
      </w:r>
    </w:p>
    <w:p w14:paraId="7FFE1E71" w14:textId="77777777" w:rsidR="00E067CF" w:rsidRPr="00487834" w:rsidRDefault="00E067CF" w:rsidP="003128F6">
      <w:pPr>
        <w:spacing w:line="300" w:lineRule="auto"/>
        <w:rPr>
          <w:shd w:val="clear" w:color="auto" w:fill="FFFFFF"/>
          <w:lang w:val="en-US"/>
        </w:rPr>
      </w:pPr>
    </w:p>
    <w:p w14:paraId="52E2C5D1" w14:textId="77777777" w:rsidR="003857B7" w:rsidRPr="00487834" w:rsidRDefault="003857B7" w:rsidP="003128F6">
      <w:pPr>
        <w:spacing w:line="300" w:lineRule="auto"/>
        <w:rPr>
          <w:shd w:val="clear" w:color="auto" w:fill="FFFFFF"/>
          <w:lang w:val="en-US"/>
        </w:rPr>
      </w:pPr>
      <w:r w:rsidRPr="00487834">
        <w:rPr>
          <w:shd w:val="clear" w:color="auto" w:fill="FFFFFF"/>
          <w:lang w:val="en-US"/>
        </w:rPr>
        <w:t xml:space="preserve">H1 </w:t>
      </w:r>
      <w:r w:rsidR="006D7DCE" w:rsidRPr="00487834">
        <w:rPr>
          <w:shd w:val="clear" w:color="auto" w:fill="FFFFFF"/>
          <w:lang w:val="en-US"/>
        </w:rPr>
        <w:t xml:space="preserve">The aggregate ESG scores will </w:t>
      </w:r>
      <w:r w:rsidR="007C7440" w:rsidRPr="00487834">
        <w:rPr>
          <w:shd w:val="clear" w:color="auto" w:fill="FFFFFF"/>
          <w:lang w:val="en-US"/>
        </w:rPr>
        <w:t xml:space="preserve">have an inverse relationship with </w:t>
      </w:r>
      <w:r w:rsidR="006D7DCE" w:rsidRPr="00487834">
        <w:rPr>
          <w:shd w:val="clear" w:color="auto" w:fill="FFFFFF"/>
          <w:lang w:val="en-US"/>
        </w:rPr>
        <w:t>cost of equity</w:t>
      </w:r>
      <w:r w:rsidR="007C7440" w:rsidRPr="00487834">
        <w:rPr>
          <w:shd w:val="clear" w:color="auto" w:fill="FFFFFF"/>
          <w:lang w:val="en-US"/>
        </w:rPr>
        <w:t xml:space="preserve"> in BRIC</w:t>
      </w:r>
      <w:r w:rsidR="00897AF8" w:rsidRPr="00487834">
        <w:rPr>
          <w:shd w:val="clear" w:color="auto" w:fill="FFFFFF"/>
          <w:lang w:val="en-US"/>
        </w:rPr>
        <w:t xml:space="preserve">S </w:t>
      </w:r>
      <w:r w:rsidR="00D43D21" w:rsidRPr="00487834">
        <w:rPr>
          <w:shd w:val="clear" w:color="auto" w:fill="FFFFFF"/>
          <w:lang w:val="en-US"/>
        </w:rPr>
        <w:t>markets</w:t>
      </w:r>
      <w:r w:rsidR="006D7DCE" w:rsidRPr="00487834">
        <w:rPr>
          <w:shd w:val="clear" w:color="auto" w:fill="FFFFFF"/>
          <w:lang w:val="en-US"/>
        </w:rPr>
        <w:t>.</w:t>
      </w:r>
    </w:p>
    <w:p w14:paraId="60CBCB00" w14:textId="77777777" w:rsidR="00046EFC" w:rsidRPr="00487834" w:rsidRDefault="00046EFC" w:rsidP="003128F6">
      <w:pPr>
        <w:spacing w:line="300" w:lineRule="auto"/>
        <w:rPr>
          <w:shd w:val="clear" w:color="auto" w:fill="FFFFFF"/>
          <w:lang w:val="en-US"/>
        </w:rPr>
      </w:pPr>
    </w:p>
    <w:p w14:paraId="0537A44F" w14:textId="77777777" w:rsidR="005A353B" w:rsidRPr="00487834" w:rsidRDefault="00E13F86" w:rsidP="003128F6">
      <w:pPr>
        <w:spacing w:line="300" w:lineRule="auto"/>
        <w:ind w:firstLine="720"/>
        <w:rPr>
          <w:shd w:val="clear" w:color="auto" w:fill="FFFFFF"/>
          <w:lang w:val="en-US"/>
        </w:rPr>
      </w:pPr>
      <w:r w:rsidRPr="00487834">
        <w:rPr>
          <w:shd w:val="clear" w:color="auto" w:fill="FFFFFF"/>
          <w:lang w:val="en-US"/>
        </w:rPr>
        <w:t xml:space="preserve">This is supported by </w:t>
      </w:r>
      <w:proofErr w:type="gramStart"/>
      <w:r w:rsidRPr="00487834">
        <w:rPr>
          <w:shd w:val="clear" w:color="auto" w:fill="FFFFFF"/>
          <w:lang w:val="en-US"/>
        </w:rPr>
        <w:t>the majority of</w:t>
      </w:r>
      <w:proofErr w:type="gramEnd"/>
      <w:r w:rsidRPr="00487834">
        <w:rPr>
          <w:shd w:val="clear" w:color="auto" w:fill="FFFFFF"/>
          <w:lang w:val="en-US"/>
        </w:rPr>
        <w:t xml:space="preserve"> studies that have been reviewed</w:t>
      </w:r>
      <w:r w:rsidR="00B2339F" w:rsidRPr="00487834">
        <w:rPr>
          <w:shd w:val="clear" w:color="auto" w:fill="FFFFFF"/>
          <w:lang w:val="en-US"/>
        </w:rPr>
        <w:t>: such as Giese et al. (2019) suggesting that lower cost of equity for top ESG performers is tied to lower systematic risk</w:t>
      </w:r>
      <w:r w:rsidR="00CE4838" w:rsidRPr="00487834">
        <w:rPr>
          <w:shd w:val="clear" w:color="auto" w:fill="FFFFFF"/>
          <w:lang w:val="en-US"/>
        </w:rPr>
        <w:t xml:space="preserve">.  </w:t>
      </w:r>
      <w:proofErr w:type="spellStart"/>
      <w:r w:rsidR="00CE4838" w:rsidRPr="00487834">
        <w:rPr>
          <w:shd w:val="clear" w:color="auto" w:fill="FFFFFF"/>
          <w:lang w:val="en-US"/>
        </w:rPr>
        <w:t>Also</w:t>
      </w:r>
      <w:r w:rsidR="00B2339F" w:rsidRPr="00487834">
        <w:rPr>
          <w:shd w:val="clear" w:color="auto" w:fill="FFFFFF"/>
          <w:lang w:val="en-US"/>
        </w:rPr>
        <w:t>Chen</w:t>
      </w:r>
      <w:proofErr w:type="spellEnd"/>
      <w:r w:rsidR="00B2339F" w:rsidRPr="00487834">
        <w:rPr>
          <w:shd w:val="clear" w:color="auto" w:fill="FFFFFF"/>
          <w:lang w:val="en-US"/>
        </w:rPr>
        <w:t xml:space="preserve"> et al. (2023)</w:t>
      </w:r>
      <w:r w:rsidR="00CE4838" w:rsidRPr="00487834">
        <w:rPr>
          <w:shd w:val="clear" w:color="auto" w:fill="FFFFFF"/>
          <w:lang w:val="en-US"/>
        </w:rPr>
        <w:t xml:space="preserve"> argued for s</w:t>
      </w:r>
      <w:r w:rsidR="00B2339F" w:rsidRPr="00487834">
        <w:rPr>
          <w:shd w:val="clear" w:color="auto" w:fill="FFFFFF"/>
          <w:lang w:val="en-US"/>
        </w:rPr>
        <w:t xml:space="preserve">uperior ESG performance </w:t>
      </w:r>
      <w:r w:rsidR="00CE4838" w:rsidRPr="00487834">
        <w:rPr>
          <w:shd w:val="clear" w:color="auto" w:fill="FFFFFF"/>
          <w:lang w:val="en-US"/>
        </w:rPr>
        <w:t xml:space="preserve">being conducive to </w:t>
      </w:r>
      <w:r w:rsidR="00B2339F" w:rsidRPr="00487834">
        <w:rPr>
          <w:shd w:val="clear" w:color="auto" w:fill="FFFFFF"/>
          <w:lang w:val="en-US"/>
        </w:rPr>
        <w:t>lowers cost of equity in Chinese markets.</w:t>
      </w:r>
      <w:r w:rsidR="00CE4838" w:rsidRPr="00487834">
        <w:rPr>
          <w:shd w:val="clear" w:color="auto" w:fill="FFFFFF"/>
          <w:lang w:val="en-US"/>
        </w:rPr>
        <w:t xml:space="preserve"> Finally, Moussa et al. (2022) suggested higher ESG scores correlate with reduced firm-specific risk and lower cost of equity. Yet, th</w:t>
      </w:r>
      <w:r w:rsidR="003D5B2F" w:rsidRPr="00487834">
        <w:rPr>
          <w:shd w:val="clear" w:color="auto" w:fill="FFFFFF"/>
          <w:lang w:val="en-US"/>
        </w:rPr>
        <w:t xml:space="preserve">ese conclusions are undermined by other scholars, suggesting that country-specific context might change or eliminate the nature of the relationship between </w:t>
      </w:r>
      <w:r w:rsidR="005A353B" w:rsidRPr="00487834">
        <w:rPr>
          <w:shd w:val="clear" w:color="auto" w:fill="FFFFFF"/>
          <w:lang w:val="en-US"/>
        </w:rPr>
        <w:t xml:space="preserve">ESG scores and cost of equity altogether (Breuer et.al. (2018). </w:t>
      </w:r>
      <w:proofErr w:type="gramStart"/>
      <w:r w:rsidR="005A353B" w:rsidRPr="00487834">
        <w:rPr>
          <w:shd w:val="clear" w:color="auto" w:fill="FFFFFF"/>
          <w:lang w:val="en-US"/>
        </w:rPr>
        <w:t>Thus</w:t>
      </w:r>
      <w:proofErr w:type="gramEnd"/>
      <w:r w:rsidR="005A353B" w:rsidRPr="00487834">
        <w:rPr>
          <w:shd w:val="clear" w:color="auto" w:fill="FFFFFF"/>
          <w:lang w:val="en-US"/>
        </w:rPr>
        <w:t xml:space="preserve"> the country-specific context will be considered in further hypotheses.</w:t>
      </w:r>
    </w:p>
    <w:p w14:paraId="42A70DFE" w14:textId="77777777" w:rsidR="00046EFC" w:rsidRPr="00487834" w:rsidRDefault="00046EFC" w:rsidP="003128F6">
      <w:pPr>
        <w:spacing w:line="300" w:lineRule="auto"/>
        <w:ind w:firstLine="720"/>
        <w:rPr>
          <w:shd w:val="clear" w:color="auto" w:fill="FFFFFF"/>
          <w:lang w:val="en-US"/>
        </w:rPr>
      </w:pPr>
    </w:p>
    <w:p w14:paraId="1DD091F5" w14:textId="77777777" w:rsidR="00BE7D60" w:rsidRPr="00487834" w:rsidRDefault="003857B7" w:rsidP="003128F6">
      <w:pPr>
        <w:spacing w:line="300" w:lineRule="auto"/>
        <w:rPr>
          <w:shd w:val="clear" w:color="auto" w:fill="FFFFFF"/>
          <w:lang w:val="en-US"/>
        </w:rPr>
      </w:pPr>
      <w:r w:rsidRPr="00487834">
        <w:rPr>
          <w:shd w:val="clear" w:color="auto" w:fill="FFFFFF"/>
          <w:lang w:val="en-US"/>
        </w:rPr>
        <w:lastRenderedPageBreak/>
        <w:t xml:space="preserve">H2 </w:t>
      </w:r>
      <w:r w:rsidR="006D7DCE" w:rsidRPr="00487834">
        <w:rPr>
          <w:shd w:val="clear" w:color="auto" w:fill="FFFFFF"/>
          <w:lang w:val="en-US"/>
        </w:rPr>
        <w:t xml:space="preserve">The aggregate ESG scores </w:t>
      </w:r>
      <w:r w:rsidR="00D43D21" w:rsidRPr="00487834">
        <w:rPr>
          <w:shd w:val="clear" w:color="auto" w:fill="FFFFFF"/>
          <w:lang w:val="en-US"/>
        </w:rPr>
        <w:t xml:space="preserve">will have an inverse relationship with cost of debt in BRICS </w:t>
      </w:r>
      <w:r w:rsidR="005C42BE" w:rsidRPr="00487834">
        <w:rPr>
          <w:shd w:val="clear" w:color="auto" w:fill="FFFFFF"/>
          <w:lang w:val="en-US"/>
        </w:rPr>
        <w:t>markets.</w:t>
      </w:r>
    </w:p>
    <w:p w14:paraId="657C1ED2" w14:textId="77777777" w:rsidR="005A353B" w:rsidRPr="00487834" w:rsidRDefault="005A353B" w:rsidP="003128F6">
      <w:pPr>
        <w:spacing w:line="300" w:lineRule="auto"/>
        <w:rPr>
          <w:shd w:val="clear" w:color="auto" w:fill="FFFFFF"/>
          <w:lang w:val="en-US"/>
        </w:rPr>
      </w:pPr>
    </w:p>
    <w:p w14:paraId="65B74EAE" w14:textId="77777777" w:rsidR="005A353B" w:rsidRPr="00487834" w:rsidRDefault="00AB6C15" w:rsidP="003128F6">
      <w:pPr>
        <w:spacing w:line="300" w:lineRule="auto"/>
        <w:ind w:firstLine="720"/>
        <w:rPr>
          <w:shd w:val="clear" w:color="auto" w:fill="FFFFFF"/>
          <w:lang w:val="en-US"/>
        </w:rPr>
      </w:pPr>
      <w:r w:rsidRPr="00487834">
        <w:rPr>
          <w:shd w:val="clear" w:color="auto" w:fill="FFFFFF"/>
          <w:lang w:val="en-US"/>
        </w:rPr>
        <w:t xml:space="preserve">The majority of studies also yielded </w:t>
      </w:r>
      <w:proofErr w:type="gramStart"/>
      <w:r w:rsidR="00CC201D" w:rsidRPr="00487834">
        <w:rPr>
          <w:shd w:val="clear" w:color="auto" w:fill="FFFFFF"/>
          <w:lang w:val="en-US"/>
        </w:rPr>
        <w:t>results  that</w:t>
      </w:r>
      <w:proofErr w:type="gramEnd"/>
      <w:r w:rsidR="00CC201D" w:rsidRPr="00487834">
        <w:rPr>
          <w:shd w:val="clear" w:color="auto" w:fill="FFFFFF"/>
          <w:lang w:val="en-US"/>
        </w:rPr>
        <w:t xml:space="preserve"> are consistent with this hypothesis. The literature consistently indicates that higher ESG scores tend to lower the cost of debt by improving corporate creditworthiness and reducing perceived risk among lenders. Studies by </w:t>
      </w:r>
      <w:proofErr w:type="spellStart"/>
      <w:r w:rsidR="00CC201D" w:rsidRPr="00487834">
        <w:rPr>
          <w:shd w:val="clear" w:color="auto" w:fill="FFFFFF"/>
          <w:lang w:val="en-US"/>
        </w:rPr>
        <w:t>Apergis</w:t>
      </w:r>
      <w:proofErr w:type="spellEnd"/>
      <w:r w:rsidR="00CC201D" w:rsidRPr="00487834">
        <w:rPr>
          <w:shd w:val="clear" w:color="auto" w:fill="FFFFFF"/>
          <w:lang w:val="en-US"/>
        </w:rPr>
        <w:t xml:space="preserve"> et al. (2022) and Bhuiyan and Nguyen (2020) demonstrate a significant inverse relationship between ESG performance and corporate bond yields, emphasizing that firms with better ESG ratings enjoy lower borrowing costs. However, country-specific contexts play a crucial role in this dynamic. For instance, </w:t>
      </w:r>
      <w:proofErr w:type="spellStart"/>
      <w:r w:rsidR="00CC201D" w:rsidRPr="00487834">
        <w:rPr>
          <w:shd w:val="clear" w:color="auto" w:fill="FFFFFF"/>
          <w:lang w:val="en-US"/>
        </w:rPr>
        <w:t>Stellner</w:t>
      </w:r>
      <w:proofErr w:type="spellEnd"/>
      <w:r w:rsidR="00CC201D" w:rsidRPr="00487834">
        <w:rPr>
          <w:shd w:val="clear" w:color="auto" w:fill="FFFFFF"/>
          <w:lang w:val="en-US"/>
        </w:rPr>
        <w:t xml:space="preserve"> et al. (2015) </w:t>
      </w:r>
      <w:proofErr w:type="gramStart"/>
      <w:r w:rsidR="00CC201D" w:rsidRPr="00487834">
        <w:rPr>
          <w:shd w:val="clear" w:color="auto" w:fill="FFFFFF"/>
          <w:lang w:val="en-US"/>
        </w:rPr>
        <w:t>highlight</w:t>
      </w:r>
      <w:proofErr w:type="gramEnd"/>
      <w:r w:rsidR="00CC201D" w:rsidRPr="00487834">
        <w:rPr>
          <w:shd w:val="clear" w:color="auto" w:fill="FFFFFF"/>
          <w:lang w:val="en-US"/>
        </w:rPr>
        <w:t xml:space="preserve"> that firms in countries with strong sustainability practices benefit more significantly from ESG improvements. This suggests that while the overall hypothesis holds, the extent of its validity may vary across BRICS countries, necessitating an examination of the unique economic and regulatory landscapes in Russia, Brazil, and South Africa to fully understand the impact of ESG scores on the cost of debt in these markets.</w:t>
      </w:r>
    </w:p>
    <w:p w14:paraId="445254BC" w14:textId="77777777" w:rsidR="00422B23" w:rsidRPr="00487834" w:rsidRDefault="00422B23" w:rsidP="003128F6">
      <w:pPr>
        <w:spacing w:line="300" w:lineRule="auto"/>
        <w:ind w:firstLine="720"/>
        <w:rPr>
          <w:shd w:val="clear" w:color="auto" w:fill="FFFFFF"/>
          <w:lang w:val="en-US"/>
        </w:rPr>
      </w:pPr>
    </w:p>
    <w:p w14:paraId="25897CE0" w14:textId="77777777" w:rsidR="003857B7" w:rsidRPr="00487834" w:rsidRDefault="003857B7" w:rsidP="003128F6">
      <w:pPr>
        <w:spacing w:line="300" w:lineRule="auto"/>
        <w:rPr>
          <w:shd w:val="clear" w:color="auto" w:fill="FFFFFF"/>
          <w:lang w:val="en-US"/>
        </w:rPr>
      </w:pPr>
      <w:r w:rsidRPr="00487834">
        <w:rPr>
          <w:shd w:val="clear" w:color="auto" w:fill="FFFFFF"/>
          <w:lang w:val="en-US"/>
        </w:rPr>
        <w:t>H</w:t>
      </w:r>
      <w:r w:rsidR="005C42BE" w:rsidRPr="00487834">
        <w:rPr>
          <w:shd w:val="clear" w:color="auto" w:fill="FFFFFF"/>
          <w:lang w:val="en-US"/>
        </w:rPr>
        <w:t>3 The</w:t>
      </w:r>
      <w:r w:rsidR="00BE7D60" w:rsidRPr="00487834">
        <w:rPr>
          <w:shd w:val="clear" w:color="auto" w:fill="FFFFFF"/>
          <w:lang w:val="en-US"/>
        </w:rPr>
        <w:t xml:space="preserve"> aggregate ESG scores</w:t>
      </w:r>
      <w:r w:rsidR="005C42BE" w:rsidRPr="00487834">
        <w:rPr>
          <w:shd w:val="clear" w:color="auto" w:fill="FFFFFF"/>
          <w:lang w:val="en-US"/>
        </w:rPr>
        <w:t xml:space="preserve"> effect is stronger </w:t>
      </w:r>
      <w:r w:rsidR="00C72CD9" w:rsidRPr="00487834">
        <w:rPr>
          <w:shd w:val="clear" w:color="auto" w:fill="FFFFFF"/>
          <w:lang w:val="en-US"/>
        </w:rPr>
        <w:t xml:space="preserve">for cost of </w:t>
      </w:r>
      <w:r w:rsidR="00735051" w:rsidRPr="00487834">
        <w:rPr>
          <w:shd w:val="clear" w:color="auto" w:fill="FFFFFF"/>
          <w:lang w:val="en-US"/>
        </w:rPr>
        <w:t>equity</w:t>
      </w:r>
      <w:r w:rsidR="00C72CD9" w:rsidRPr="00487834">
        <w:rPr>
          <w:shd w:val="clear" w:color="auto" w:fill="FFFFFF"/>
          <w:lang w:val="en-US"/>
        </w:rPr>
        <w:t xml:space="preserve"> rather than cost of </w:t>
      </w:r>
      <w:r w:rsidR="00735051" w:rsidRPr="00487834">
        <w:rPr>
          <w:shd w:val="clear" w:color="auto" w:fill="FFFFFF"/>
          <w:lang w:val="en-US"/>
        </w:rPr>
        <w:t xml:space="preserve">debt </w:t>
      </w:r>
      <w:r w:rsidR="00C72CD9" w:rsidRPr="00487834">
        <w:rPr>
          <w:shd w:val="clear" w:color="auto" w:fill="FFFFFF"/>
          <w:lang w:val="en-US"/>
        </w:rPr>
        <w:t>in BRICS markets</w:t>
      </w:r>
    </w:p>
    <w:p w14:paraId="26886947" w14:textId="77777777" w:rsidR="00DE1CD7" w:rsidRPr="00487834" w:rsidRDefault="00DE1CD7" w:rsidP="003128F6">
      <w:pPr>
        <w:spacing w:line="300" w:lineRule="auto"/>
        <w:rPr>
          <w:shd w:val="clear" w:color="auto" w:fill="FFFFFF"/>
          <w:lang w:val="en-US"/>
        </w:rPr>
      </w:pPr>
    </w:p>
    <w:p w14:paraId="5A3BA2B5" w14:textId="77777777" w:rsidR="00422B23" w:rsidRPr="00487834" w:rsidRDefault="00DE1CD7" w:rsidP="003128F6">
      <w:pPr>
        <w:spacing w:line="300" w:lineRule="auto"/>
        <w:ind w:firstLine="720"/>
        <w:rPr>
          <w:shd w:val="clear" w:color="auto" w:fill="FFFFFF"/>
          <w:lang w:val="en-US"/>
        </w:rPr>
      </w:pPr>
      <w:r w:rsidRPr="00487834">
        <w:rPr>
          <w:shd w:val="clear" w:color="auto" w:fill="FFFFFF"/>
          <w:lang w:val="en-US"/>
        </w:rPr>
        <w:t xml:space="preserve">While ESG also influences the cost of debt, as noted by </w:t>
      </w:r>
      <w:proofErr w:type="spellStart"/>
      <w:r w:rsidRPr="00487834">
        <w:rPr>
          <w:shd w:val="clear" w:color="auto" w:fill="FFFFFF"/>
          <w:lang w:val="en-US"/>
        </w:rPr>
        <w:t>Apergis</w:t>
      </w:r>
      <w:proofErr w:type="spellEnd"/>
      <w:r w:rsidRPr="00487834">
        <w:rPr>
          <w:shd w:val="clear" w:color="auto" w:fill="FFFFFF"/>
          <w:lang w:val="en-US"/>
        </w:rPr>
        <w:t xml:space="preserve"> et al. (2022) and Bhuiyan and Nguyen (2020), the impact on equity is often more pronounced due to the heightened sensitivity of equity investors to firm-specific risks and long-term sustainability. Thus, the literature supports the notion that ESG performance exerts a more substantial effect on the cost of equity than on the cost of debt.</w:t>
      </w:r>
    </w:p>
    <w:p w14:paraId="3CDDD265" w14:textId="77777777" w:rsidR="00DE1CD7" w:rsidRPr="00487834" w:rsidRDefault="00DE1CD7" w:rsidP="003128F6">
      <w:pPr>
        <w:spacing w:line="300" w:lineRule="auto"/>
        <w:ind w:firstLine="720"/>
        <w:rPr>
          <w:shd w:val="clear" w:color="auto" w:fill="FFFFFF"/>
          <w:lang w:val="en-US"/>
        </w:rPr>
      </w:pPr>
    </w:p>
    <w:p w14:paraId="24DD41F6" w14:textId="77777777" w:rsidR="00E067CF" w:rsidRPr="00487834" w:rsidRDefault="00E067CF" w:rsidP="003128F6">
      <w:pPr>
        <w:spacing w:line="300" w:lineRule="auto"/>
        <w:rPr>
          <w:shd w:val="clear" w:color="auto" w:fill="FFFFFF"/>
          <w:lang w:val="en-US"/>
        </w:rPr>
      </w:pPr>
      <w:r w:rsidRPr="00487834">
        <w:rPr>
          <w:shd w:val="clear" w:color="auto" w:fill="FFFFFF"/>
          <w:lang w:val="en-US"/>
        </w:rPr>
        <w:t xml:space="preserve">H4 The effect on cost </w:t>
      </w:r>
      <w:r w:rsidR="00735051" w:rsidRPr="00487834">
        <w:rPr>
          <w:shd w:val="clear" w:color="auto" w:fill="FFFFFF"/>
          <w:lang w:val="en-US"/>
        </w:rPr>
        <w:t>of debt</w:t>
      </w:r>
      <w:r w:rsidR="00176816" w:rsidRPr="00487834">
        <w:rPr>
          <w:shd w:val="clear" w:color="auto" w:fill="FFFFFF"/>
          <w:lang w:val="en-US"/>
        </w:rPr>
        <w:t xml:space="preserve"> and cost of equity </w:t>
      </w:r>
      <w:r w:rsidRPr="00487834">
        <w:rPr>
          <w:shd w:val="clear" w:color="auto" w:fill="FFFFFF"/>
          <w:lang w:val="en-US"/>
        </w:rPr>
        <w:t xml:space="preserve">will be stronger </w:t>
      </w:r>
      <w:r w:rsidR="00176816" w:rsidRPr="00487834">
        <w:rPr>
          <w:shd w:val="clear" w:color="auto" w:fill="FFFFFF"/>
          <w:lang w:val="en-US"/>
        </w:rPr>
        <w:t xml:space="preserve">in Russia, due to the prevalence of </w:t>
      </w:r>
      <w:r w:rsidRPr="00487834">
        <w:rPr>
          <w:shd w:val="clear" w:color="auto" w:fill="FFFFFF"/>
          <w:lang w:val="en-US"/>
        </w:rPr>
        <w:t xml:space="preserve">emission-intensive </w:t>
      </w:r>
      <w:r w:rsidR="00176816" w:rsidRPr="00487834">
        <w:rPr>
          <w:shd w:val="clear" w:color="auto" w:fill="FFFFFF"/>
          <w:lang w:val="en-US"/>
        </w:rPr>
        <w:t>industries in its structure of economy</w:t>
      </w:r>
    </w:p>
    <w:p w14:paraId="573848F7" w14:textId="77777777" w:rsidR="00D65DF9" w:rsidRPr="00487834" w:rsidRDefault="00D65DF9" w:rsidP="003128F6">
      <w:pPr>
        <w:spacing w:line="300" w:lineRule="auto"/>
        <w:rPr>
          <w:shd w:val="clear" w:color="auto" w:fill="FFFFFF"/>
          <w:lang w:val="en-US"/>
        </w:rPr>
      </w:pPr>
    </w:p>
    <w:p w14:paraId="25541A54" w14:textId="77777777" w:rsidR="00D65DF9" w:rsidRPr="00487834" w:rsidRDefault="00D65DF9" w:rsidP="003128F6">
      <w:pPr>
        <w:spacing w:line="300" w:lineRule="auto"/>
        <w:ind w:firstLine="720"/>
        <w:rPr>
          <w:shd w:val="clear" w:color="auto" w:fill="FFFFFF"/>
          <w:lang w:val="en-US"/>
        </w:rPr>
      </w:pPr>
      <w:r w:rsidRPr="00487834">
        <w:rPr>
          <w:shd w:val="clear" w:color="auto" w:fill="FFFFFF"/>
          <w:lang w:val="en-US"/>
        </w:rPr>
        <w:t xml:space="preserve">This is grounded in the literature that emphasizes the heightened impact of ESG performance in environmentally sensitive sectors. Studies such as </w:t>
      </w:r>
      <w:proofErr w:type="spellStart"/>
      <w:r w:rsidRPr="00487834">
        <w:rPr>
          <w:shd w:val="clear" w:color="auto" w:fill="FFFFFF"/>
          <w:lang w:val="en-US"/>
        </w:rPr>
        <w:t>Stellner</w:t>
      </w:r>
      <w:proofErr w:type="spellEnd"/>
      <w:r w:rsidRPr="00487834">
        <w:rPr>
          <w:shd w:val="clear" w:color="auto" w:fill="FFFFFF"/>
          <w:lang w:val="en-US"/>
        </w:rPr>
        <w:t xml:space="preserve"> et al. (2015) suggest that top ESG performers in sectors with significant environmental footprints enjoy greater reductions in financing costs. Additionally, </w:t>
      </w:r>
      <w:proofErr w:type="spellStart"/>
      <w:r w:rsidRPr="00487834">
        <w:rPr>
          <w:shd w:val="clear" w:color="auto" w:fill="FFFFFF"/>
          <w:lang w:val="en-US"/>
        </w:rPr>
        <w:t>Maaloul</w:t>
      </w:r>
      <w:proofErr w:type="spellEnd"/>
      <w:r w:rsidRPr="00487834">
        <w:rPr>
          <w:shd w:val="clear" w:color="auto" w:fill="FFFFFF"/>
          <w:lang w:val="en-US"/>
        </w:rPr>
        <w:t xml:space="preserve"> et al. (2021) and Bae et al. (2022) highlight that companies in industries with higher environmental risks tend to benefit more from enhanced ESG ratings through improved corporate reputation and lower perceived risk. Furthermore, Cardoso (2020) underscores the role of materiality in ESG performance, indicating that companies in sectors where ESG issues are highly material see more substantial financial benefits. Given Russia's economic structure, heavily dominated by oil, gas, and mining sectors</w:t>
      </w:r>
      <w:r w:rsidR="008B08F6" w:rsidRPr="00487834">
        <w:rPr>
          <w:shd w:val="clear" w:color="auto" w:fill="FFFFFF"/>
          <w:lang w:val="en-US"/>
        </w:rPr>
        <w:t xml:space="preserve"> (up to 40% of state revenue)</w:t>
      </w:r>
      <w:r w:rsidRPr="00487834">
        <w:rPr>
          <w:shd w:val="clear" w:color="auto" w:fill="FFFFFF"/>
          <w:lang w:val="en-US"/>
        </w:rPr>
        <w:t xml:space="preserve"> firms within these industries are likely to experience more pronounced effects from ESG improvements. This suggests that emission-</w:t>
      </w:r>
      <w:proofErr w:type="gramStart"/>
      <w:r w:rsidRPr="00487834">
        <w:rPr>
          <w:shd w:val="clear" w:color="auto" w:fill="FFFFFF"/>
          <w:lang w:val="en-US"/>
        </w:rPr>
        <w:t xml:space="preserve">intensive </w:t>
      </w:r>
      <w:r w:rsidR="00610F6D" w:rsidRPr="00487834">
        <w:rPr>
          <w:shd w:val="clear" w:color="auto" w:fill="FFFFFF"/>
          <w:lang w:val="en-US"/>
        </w:rPr>
        <w:t xml:space="preserve"> market</w:t>
      </w:r>
      <w:proofErr w:type="gramEnd"/>
      <w:r w:rsidR="00610F6D" w:rsidRPr="00487834">
        <w:rPr>
          <w:shd w:val="clear" w:color="auto" w:fill="FFFFFF"/>
          <w:lang w:val="en-US"/>
        </w:rPr>
        <w:t xml:space="preserve"> of </w:t>
      </w:r>
      <w:r w:rsidRPr="00487834">
        <w:rPr>
          <w:shd w:val="clear" w:color="auto" w:fill="FFFFFF"/>
          <w:lang w:val="en-US"/>
        </w:rPr>
        <w:t xml:space="preserve">Russia could see a more substantial impact on </w:t>
      </w:r>
      <w:r w:rsidR="00610F6D" w:rsidRPr="00487834">
        <w:rPr>
          <w:shd w:val="clear" w:color="auto" w:fill="FFFFFF"/>
          <w:lang w:val="en-US"/>
        </w:rPr>
        <w:t xml:space="preserve">their participant’s </w:t>
      </w:r>
      <w:r w:rsidRPr="00487834">
        <w:rPr>
          <w:shd w:val="clear" w:color="auto" w:fill="FFFFFF"/>
          <w:lang w:val="en-US"/>
        </w:rPr>
        <w:t>cost of debt and equity due to their greater exposure to environmental and governance risks, supporting hypothesis 4.</w:t>
      </w:r>
    </w:p>
    <w:p w14:paraId="2682BFE4" w14:textId="77777777" w:rsidR="00DE1CD7" w:rsidRPr="00487834" w:rsidRDefault="00DE1CD7" w:rsidP="003128F6">
      <w:pPr>
        <w:spacing w:line="300" w:lineRule="auto"/>
        <w:rPr>
          <w:shd w:val="clear" w:color="auto" w:fill="FFFFFF"/>
          <w:lang w:val="en-US"/>
        </w:rPr>
      </w:pPr>
    </w:p>
    <w:p w14:paraId="01084A39" w14:textId="77777777" w:rsidR="009F1CAF" w:rsidRPr="00487834" w:rsidRDefault="00735051" w:rsidP="003128F6">
      <w:pPr>
        <w:spacing w:line="300" w:lineRule="auto"/>
        <w:rPr>
          <w:shd w:val="clear" w:color="auto" w:fill="FFFFFF"/>
          <w:lang w:val="en-US"/>
        </w:rPr>
      </w:pPr>
      <w:r w:rsidRPr="00487834">
        <w:rPr>
          <w:shd w:val="clear" w:color="auto" w:fill="FFFFFF"/>
          <w:lang w:val="en-US"/>
        </w:rPr>
        <w:t xml:space="preserve">H5 </w:t>
      </w:r>
      <w:r w:rsidR="00C7457A" w:rsidRPr="00487834">
        <w:rPr>
          <w:shd w:val="clear" w:color="auto" w:fill="FFFFFF"/>
          <w:lang w:val="en-US"/>
        </w:rPr>
        <w:t xml:space="preserve">The </w:t>
      </w:r>
      <w:r w:rsidR="00456F79" w:rsidRPr="00487834">
        <w:rPr>
          <w:shd w:val="clear" w:color="auto" w:fill="FFFFFF"/>
          <w:lang w:val="en-US"/>
        </w:rPr>
        <w:t>relationship at hand will be stronger for underperformers</w:t>
      </w:r>
      <w:r w:rsidR="00F2695F" w:rsidRPr="00487834">
        <w:rPr>
          <w:shd w:val="clear" w:color="auto" w:fill="FFFFFF"/>
          <w:lang w:val="en-US"/>
        </w:rPr>
        <w:t xml:space="preserve"> (lower 25%</w:t>
      </w:r>
      <w:proofErr w:type="gramStart"/>
      <w:r w:rsidR="00F2695F" w:rsidRPr="00487834">
        <w:rPr>
          <w:shd w:val="clear" w:color="auto" w:fill="FFFFFF"/>
          <w:lang w:val="en-US"/>
        </w:rPr>
        <w:t xml:space="preserve">) </w:t>
      </w:r>
      <w:r w:rsidR="00456F79" w:rsidRPr="00487834">
        <w:rPr>
          <w:shd w:val="clear" w:color="auto" w:fill="FFFFFF"/>
          <w:lang w:val="en-US"/>
        </w:rPr>
        <w:t>,</w:t>
      </w:r>
      <w:proofErr w:type="gramEnd"/>
      <w:r w:rsidR="00456F79" w:rsidRPr="00487834">
        <w:rPr>
          <w:shd w:val="clear" w:color="auto" w:fill="FFFFFF"/>
          <w:lang w:val="en-US"/>
        </w:rPr>
        <w:t xml:space="preserve"> rather than for top performers</w:t>
      </w:r>
      <w:r w:rsidR="00F2695F" w:rsidRPr="00487834">
        <w:rPr>
          <w:shd w:val="clear" w:color="auto" w:fill="FFFFFF"/>
          <w:lang w:val="en-US"/>
        </w:rPr>
        <w:t xml:space="preserve"> (top 25%) </w:t>
      </w:r>
    </w:p>
    <w:p w14:paraId="36142F9E" w14:textId="77777777" w:rsidR="00E440A1" w:rsidRPr="00487834" w:rsidRDefault="00E440A1" w:rsidP="003128F6">
      <w:pPr>
        <w:spacing w:line="300" w:lineRule="auto"/>
        <w:rPr>
          <w:shd w:val="clear" w:color="auto" w:fill="FFFFFF"/>
          <w:lang w:val="en-US"/>
        </w:rPr>
      </w:pPr>
    </w:p>
    <w:p w14:paraId="3F73A21B" w14:textId="77777777" w:rsidR="00E440A1" w:rsidRPr="00487834" w:rsidRDefault="0082115F" w:rsidP="003128F6">
      <w:pPr>
        <w:spacing w:line="300" w:lineRule="auto"/>
        <w:ind w:firstLine="360"/>
        <w:rPr>
          <w:shd w:val="clear" w:color="auto" w:fill="FFFFFF"/>
          <w:lang w:val="en-US"/>
        </w:rPr>
      </w:pPr>
      <w:r w:rsidRPr="00487834">
        <w:rPr>
          <w:shd w:val="clear" w:color="auto" w:fill="FFFFFF"/>
          <w:lang w:val="en-US"/>
        </w:rPr>
        <w:t>This hypothesis is substantiated by the literature, which suggests a diminishing marginal effect of ESG improvements. Research by Ramirez et al. (2022) indicates that even modest enhancements in governance can lead to significant reductions in the cost of capital for firms in the lowest ESG performance quartile. Cardoso (2020) also supports this approach by emphasizing the importance of materiality and the differential impact of ESG improvements across percentiles. His findings suggest that firms in the lower percentiles of ESG performance have more room for significant gains compared to those in the upper percentiles, where the marginal benefits of further improvements are reduced. Similarly, studies such as Fatemi et al. (2018) find that ESG strengths positively impact firm value, but the returns diminish as firms achieve higher ESG scores. This aligns with the notion that the initial improvements in ESG performance yield the most significant reductions in perceived risk and financing costs. Therefore, the literature supports the idea that underperforming firms will see a more pronounced impact on their cost of debt and equity from improving their ESG scores, validating hypothesis 5.</w:t>
      </w:r>
    </w:p>
    <w:p w14:paraId="521EC5B7" w14:textId="77777777" w:rsidR="0053042A" w:rsidRPr="00487834" w:rsidRDefault="0053042A" w:rsidP="003128F6">
      <w:pPr>
        <w:spacing w:line="300" w:lineRule="auto"/>
        <w:ind w:firstLine="360"/>
        <w:rPr>
          <w:color w:val="222222"/>
          <w:shd w:val="clear" w:color="auto" w:fill="FFFFFF"/>
          <w:lang w:val="en-US"/>
        </w:rPr>
      </w:pPr>
    </w:p>
    <w:p w14:paraId="4458CC9D" w14:textId="77777777" w:rsidR="00DE6057" w:rsidRPr="00487834" w:rsidRDefault="00DE6057" w:rsidP="004A5290">
      <w:pPr>
        <w:pStyle w:val="Heading1"/>
        <w:rPr>
          <w:shd w:val="clear" w:color="auto" w:fill="FFFFFF"/>
          <w:lang w:val="en-US"/>
        </w:rPr>
      </w:pPr>
    </w:p>
    <w:p w14:paraId="0193EA81" w14:textId="07A79DAE" w:rsidR="004610AF" w:rsidRPr="00487834" w:rsidRDefault="00B72D57" w:rsidP="004A5290">
      <w:pPr>
        <w:pStyle w:val="Heading1"/>
        <w:rPr>
          <w:shd w:val="clear" w:color="auto" w:fill="FFFFFF"/>
          <w:lang w:val="en-US"/>
        </w:rPr>
      </w:pPr>
      <w:bookmarkStart w:id="9" w:name="_Toc167918980"/>
      <w:r w:rsidRPr="00487834">
        <w:rPr>
          <w:shd w:val="clear" w:color="auto" w:fill="FFFFFF"/>
          <w:lang w:val="en-US"/>
        </w:rPr>
        <w:t xml:space="preserve">3. </w:t>
      </w:r>
      <w:r w:rsidR="004610AF" w:rsidRPr="00487834">
        <w:rPr>
          <w:shd w:val="clear" w:color="auto" w:fill="FFFFFF"/>
          <w:lang w:val="en-US"/>
        </w:rPr>
        <w:t>Data</w:t>
      </w:r>
      <w:bookmarkEnd w:id="9"/>
    </w:p>
    <w:p w14:paraId="2298155B" w14:textId="77777777" w:rsidR="004610AF" w:rsidRPr="00487834" w:rsidRDefault="00B72D57" w:rsidP="00B72D57">
      <w:pPr>
        <w:pStyle w:val="Heading2"/>
        <w:jc w:val="center"/>
        <w:rPr>
          <w:rFonts w:cs="Times New Roman"/>
          <w:szCs w:val="28"/>
          <w:shd w:val="clear" w:color="auto" w:fill="FFFFFF"/>
          <w:lang w:val="en-US"/>
        </w:rPr>
      </w:pPr>
      <w:bookmarkStart w:id="10" w:name="_Toc167918981"/>
      <w:r w:rsidRPr="00487834">
        <w:rPr>
          <w:rFonts w:cs="Times New Roman"/>
          <w:szCs w:val="28"/>
          <w:shd w:val="clear" w:color="auto" w:fill="FFFFFF"/>
          <w:lang w:val="en-US"/>
        </w:rPr>
        <w:t xml:space="preserve">3.1. </w:t>
      </w:r>
      <w:r w:rsidR="00BB3AE0" w:rsidRPr="00487834">
        <w:rPr>
          <w:rFonts w:cs="Times New Roman"/>
          <w:szCs w:val="28"/>
          <w:shd w:val="clear" w:color="auto" w:fill="FFFFFF"/>
          <w:lang w:val="en-US"/>
        </w:rPr>
        <w:t>Why drop I and C from BRICS?</w:t>
      </w:r>
      <w:bookmarkEnd w:id="10"/>
    </w:p>
    <w:p w14:paraId="3F780A45" w14:textId="77777777" w:rsidR="00B72D57" w:rsidRPr="00487834" w:rsidRDefault="00B72D57" w:rsidP="00B72D57">
      <w:pPr>
        <w:rPr>
          <w:lang w:val="en-US"/>
        </w:rPr>
      </w:pPr>
    </w:p>
    <w:p w14:paraId="7B2EBF9C" w14:textId="77777777" w:rsidR="00156D6F" w:rsidRPr="00487834" w:rsidRDefault="00616E48" w:rsidP="003128F6">
      <w:pPr>
        <w:spacing w:line="300" w:lineRule="auto"/>
        <w:ind w:firstLine="720"/>
        <w:rPr>
          <w:shd w:val="clear" w:color="auto" w:fill="FFFFFF"/>
          <w:lang w:val="en-US"/>
        </w:rPr>
      </w:pPr>
      <w:r w:rsidRPr="00487834">
        <w:rPr>
          <w:shd w:val="clear" w:color="auto" w:fill="FFFFFF"/>
          <w:lang w:val="en-US"/>
        </w:rPr>
        <w:t>The choice of countries at hand is not coincidental</w:t>
      </w:r>
      <w:r w:rsidR="00FC6913" w:rsidRPr="00487834">
        <w:rPr>
          <w:shd w:val="clear" w:color="auto" w:fill="FFFFFF"/>
          <w:lang w:val="en-US"/>
        </w:rPr>
        <w:t xml:space="preserve">. The population, size of the economy, GDP per capita and structure of the economy being highly dependent on </w:t>
      </w:r>
      <w:proofErr w:type="spellStart"/>
      <w:r w:rsidR="00FC6913" w:rsidRPr="00487834">
        <w:rPr>
          <w:shd w:val="clear" w:color="auto" w:fill="FFFFFF"/>
          <w:lang w:val="en-US"/>
        </w:rPr>
        <w:t>Oil&amp;Gas</w:t>
      </w:r>
      <w:proofErr w:type="spellEnd"/>
      <w:r w:rsidR="00FC6913" w:rsidRPr="00487834">
        <w:rPr>
          <w:shd w:val="clear" w:color="auto" w:fill="FFFFFF"/>
          <w:lang w:val="en-US"/>
        </w:rPr>
        <w:t xml:space="preserve"> (Russia</w:t>
      </w:r>
      <w:r w:rsidR="00715A54" w:rsidRPr="00487834">
        <w:rPr>
          <w:shd w:val="clear" w:color="auto" w:fill="FFFFFF"/>
          <w:lang w:val="en-US"/>
        </w:rPr>
        <w:t>) and Metals &amp; Mining (South Africa</w:t>
      </w:r>
      <w:r w:rsidR="00CC2E98" w:rsidRPr="00487834">
        <w:rPr>
          <w:shd w:val="clear" w:color="auto" w:fill="FFFFFF"/>
          <w:lang w:val="en-US"/>
        </w:rPr>
        <w:t xml:space="preserve"> and Brazil</w:t>
      </w:r>
      <w:r w:rsidR="00715A54" w:rsidRPr="00487834">
        <w:rPr>
          <w:shd w:val="clear" w:color="auto" w:fill="FFFFFF"/>
          <w:lang w:val="en-US"/>
        </w:rPr>
        <w:t xml:space="preserve">) </w:t>
      </w:r>
      <w:r w:rsidR="004C1902" w:rsidRPr="00487834">
        <w:rPr>
          <w:shd w:val="clear" w:color="auto" w:fill="FFFFFF"/>
          <w:lang w:val="en-US"/>
        </w:rPr>
        <w:t xml:space="preserve">makes those three </w:t>
      </w:r>
      <w:r w:rsidR="00AE5F47" w:rsidRPr="00487834">
        <w:rPr>
          <w:shd w:val="clear" w:color="auto" w:fill="FFFFFF"/>
          <w:lang w:val="en-US"/>
        </w:rPr>
        <w:t xml:space="preserve">somewhat </w:t>
      </w:r>
      <w:r w:rsidR="004C1902" w:rsidRPr="00487834">
        <w:rPr>
          <w:shd w:val="clear" w:color="auto" w:fill="FFFFFF"/>
          <w:lang w:val="en-US"/>
        </w:rPr>
        <w:t xml:space="preserve">comparable. </w:t>
      </w:r>
      <w:r w:rsidR="00AE5F47" w:rsidRPr="00487834">
        <w:rPr>
          <w:shd w:val="clear" w:color="auto" w:fill="FFFFFF"/>
          <w:lang w:val="en-US"/>
        </w:rPr>
        <w:t>Furthermore, the structure of the GDP by sector is alike among our peers</w:t>
      </w:r>
      <w:r w:rsidR="00E60523" w:rsidRPr="00487834">
        <w:rPr>
          <w:shd w:val="clear" w:color="auto" w:fill="FFFFFF"/>
          <w:lang w:val="en-US"/>
        </w:rPr>
        <w:t>. Brazil breakdown by sector is the following: 59% for services, 21% industry and 7% agriculture. For Russia ser</w:t>
      </w:r>
      <w:r w:rsidR="00E440A1" w:rsidRPr="00487834">
        <w:rPr>
          <w:shd w:val="clear" w:color="auto" w:fill="FFFFFF"/>
          <w:lang w:val="en-US"/>
        </w:rPr>
        <w:t xml:space="preserve">vices account for 67.8% of the GDP, industry is responsible for 27% of the output, and agriculture is producing 6% of the GDP respectively. </w:t>
      </w:r>
      <w:r w:rsidR="002714B1" w:rsidRPr="00487834">
        <w:rPr>
          <w:shd w:val="clear" w:color="auto" w:fill="FFFFFF"/>
          <w:lang w:val="en-US"/>
        </w:rPr>
        <w:t xml:space="preserve">Lastly, for South Africa services account for 68% of the </w:t>
      </w:r>
      <w:proofErr w:type="spellStart"/>
      <w:r w:rsidR="002714B1" w:rsidRPr="00487834">
        <w:rPr>
          <w:shd w:val="clear" w:color="auto" w:fill="FFFFFF"/>
          <w:lang w:val="en-US"/>
        </w:rPr>
        <w:t>gdp</w:t>
      </w:r>
      <w:proofErr w:type="spellEnd"/>
      <w:r w:rsidR="002714B1" w:rsidRPr="00487834">
        <w:rPr>
          <w:shd w:val="clear" w:color="auto" w:fill="FFFFFF"/>
          <w:lang w:val="en-US"/>
        </w:rPr>
        <w:t xml:space="preserve">, industry produces 30%, while </w:t>
      </w:r>
      <w:r w:rsidR="00824B9F" w:rsidRPr="00487834">
        <w:rPr>
          <w:shd w:val="clear" w:color="auto" w:fill="FFFFFF"/>
          <w:lang w:val="en-US"/>
        </w:rPr>
        <w:t>a</w:t>
      </w:r>
      <w:r w:rsidR="002714B1" w:rsidRPr="00487834">
        <w:rPr>
          <w:shd w:val="clear" w:color="auto" w:fill="FFFFFF"/>
          <w:lang w:val="en-US"/>
        </w:rPr>
        <w:t xml:space="preserve">griculture is </w:t>
      </w:r>
      <w:r w:rsidR="00824B9F" w:rsidRPr="00487834">
        <w:rPr>
          <w:shd w:val="clear" w:color="auto" w:fill="FFFFFF"/>
          <w:lang w:val="en-US"/>
        </w:rPr>
        <w:t xml:space="preserve">responsible for only 2% of the GDP. In terms of structure of the economy two other BRICS members </w:t>
      </w:r>
      <w:r w:rsidR="00501563" w:rsidRPr="00487834">
        <w:rPr>
          <w:shd w:val="clear" w:color="auto" w:fill="FFFFFF"/>
          <w:lang w:val="en-US"/>
        </w:rPr>
        <w:t xml:space="preserve">have very different distributions. While Chinese industrial sector is still accounting for up to 39% of its GDP, share of agricultural sector in Indian economy is also vast and up to 19%. </w:t>
      </w:r>
      <w:r w:rsidR="00824B9F" w:rsidRPr="00487834">
        <w:rPr>
          <w:shd w:val="clear" w:color="auto" w:fill="FFFFFF"/>
          <w:lang w:val="en-US"/>
        </w:rPr>
        <w:t>Moreover,</w:t>
      </w:r>
      <w:r w:rsidR="004C1902" w:rsidRPr="00487834">
        <w:rPr>
          <w:shd w:val="clear" w:color="auto" w:fill="FFFFFF"/>
          <w:lang w:val="en-US"/>
        </w:rPr>
        <w:t xml:space="preserve"> two other members of the BRICS, namely China and India have populations and GDPs far exceeding our peer group</w:t>
      </w:r>
      <w:r w:rsidR="009E2E29" w:rsidRPr="00487834">
        <w:rPr>
          <w:shd w:val="clear" w:color="auto" w:fill="FFFFFF"/>
          <w:lang w:val="en-US"/>
        </w:rPr>
        <w:t xml:space="preserve">. The combined valuation using market cap size of markets at hand in descending order is as follows: Brazil – 881 billion USD, Russia – 551 billion USD, and South Africa – 282 billion USD. </w:t>
      </w:r>
      <w:r w:rsidR="00F37DE5" w:rsidRPr="00487834">
        <w:rPr>
          <w:shd w:val="clear" w:color="auto" w:fill="FFFFFF"/>
          <w:lang w:val="en-US"/>
        </w:rPr>
        <w:t xml:space="preserve"> The </w:t>
      </w:r>
      <w:r w:rsidR="00F37DE5" w:rsidRPr="00487834">
        <w:rPr>
          <w:shd w:val="clear" w:color="auto" w:fill="FFFFFF"/>
          <w:lang w:val="en-US"/>
        </w:rPr>
        <w:lastRenderedPageBreak/>
        <w:t>size of respective market valuations for China and India would have dwarfed our trio, deeming implications made and parallels drawn irrelevant.</w:t>
      </w:r>
    </w:p>
    <w:p w14:paraId="4B79B14B" w14:textId="77777777" w:rsidR="00D4470C" w:rsidRPr="00487834" w:rsidRDefault="00D4470C" w:rsidP="003128F6">
      <w:pPr>
        <w:spacing w:line="300" w:lineRule="auto"/>
        <w:rPr>
          <w:color w:val="222222"/>
          <w:shd w:val="clear" w:color="auto" w:fill="FFFFFF"/>
          <w:lang w:val="en-US"/>
        </w:rPr>
      </w:pPr>
    </w:p>
    <w:p w14:paraId="16935A33" w14:textId="77777777" w:rsidR="00A21C95" w:rsidRPr="00487834" w:rsidRDefault="00A21C95" w:rsidP="003128F6">
      <w:pPr>
        <w:spacing w:line="300" w:lineRule="auto"/>
        <w:rPr>
          <w:b/>
          <w:bCs/>
          <w:color w:val="222222"/>
          <w:shd w:val="clear" w:color="auto" w:fill="FFFFFF"/>
          <w:lang w:val="en-US"/>
        </w:rPr>
      </w:pPr>
    </w:p>
    <w:p w14:paraId="2DF802BD" w14:textId="77777777" w:rsidR="00156D6F" w:rsidRPr="00487834" w:rsidRDefault="00B72D57" w:rsidP="00B72D57">
      <w:pPr>
        <w:pStyle w:val="Heading2"/>
        <w:jc w:val="center"/>
        <w:rPr>
          <w:rFonts w:cs="Times New Roman"/>
          <w:shd w:val="clear" w:color="auto" w:fill="FFFFFF"/>
          <w:lang w:val="en-US"/>
        </w:rPr>
      </w:pPr>
      <w:bookmarkStart w:id="11" w:name="_Toc167918982"/>
      <w:r w:rsidRPr="00487834">
        <w:rPr>
          <w:rFonts w:cs="Times New Roman"/>
          <w:shd w:val="clear" w:color="auto" w:fill="FFFFFF"/>
          <w:lang w:val="en-US"/>
        </w:rPr>
        <w:t xml:space="preserve">3.2. </w:t>
      </w:r>
      <w:r w:rsidR="00AD2E2E" w:rsidRPr="00487834">
        <w:rPr>
          <w:rFonts w:cs="Times New Roman"/>
          <w:shd w:val="clear" w:color="auto" w:fill="FFFFFF"/>
          <w:lang w:val="en-US"/>
        </w:rPr>
        <w:t>Data sourcing and sampling</w:t>
      </w:r>
      <w:bookmarkEnd w:id="11"/>
    </w:p>
    <w:p w14:paraId="1E8DC695" w14:textId="77777777" w:rsidR="00A21C95" w:rsidRPr="00487834" w:rsidRDefault="00A21C95" w:rsidP="003128F6">
      <w:pPr>
        <w:spacing w:line="300" w:lineRule="auto"/>
        <w:ind w:left="360"/>
        <w:rPr>
          <w:b/>
          <w:bCs/>
          <w:color w:val="222222"/>
          <w:shd w:val="clear" w:color="auto" w:fill="FFFFFF"/>
          <w:lang w:val="en-US"/>
        </w:rPr>
      </w:pPr>
    </w:p>
    <w:p w14:paraId="40080544" w14:textId="77777777" w:rsidR="00AD2E2E" w:rsidRPr="00487834" w:rsidRDefault="00AD2E2E" w:rsidP="009C2B89">
      <w:pPr>
        <w:spacing w:line="300" w:lineRule="auto"/>
        <w:ind w:firstLine="360"/>
        <w:rPr>
          <w:shd w:val="clear" w:color="auto" w:fill="FFFFFF"/>
          <w:lang w:val="en-US"/>
        </w:rPr>
      </w:pPr>
      <w:r w:rsidRPr="00487834">
        <w:rPr>
          <w:shd w:val="clear" w:color="auto" w:fill="FFFFFF"/>
          <w:lang w:val="en-US"/>
        </w:rPr>
        <w:t xml:space="preserve">The data has been gathered using Reuters’ Eikon terminal and Eikon Excel </w:t>
      </w:r>
      <w:proofErr w:type="spellStart"/>
      <w:r w:rsidRPr="00487834">
        <w:rPr>
          <w:shd w:val="clear" w:color="auto" w:fill="FFFFFF"/>
          <w:lang w:val="en-US"/>
        </w:rPr>
        <w:t>Dataroom</w:t>
      </w:r>
      <w:proofErr w:type="spellEnd"/>
      <w:r w:rsidRPr="00487834">
        <w:rPr>
          <w:shd w:val="clear" w:color="auto" w:fill="FFFFFF"/>
          <w:lang w:val="en-US"/>
        </w:rPr>
        <w:t xml:space="preserve"> software, for both ESG scores and </w:t>
      </w:r>
      <w:r w:rsidR="00B83C7F" w:rsidRPr="00487834">
        <w:rPr>
          <w:shd w:val="clear" w:color="auto" w:fill="FFFFFF"/>
          <w:lang w:val="en-US"/>
        </w:rPr>
        <w:t xml:space="preserve">the financials of the companies. This is justified by the fact that Refinitiv remains the sole </w:t>
      </w:r>
      <w:r w:rsidR="003C4409" w:rsidRPr="00487834">
        <w:rPr>
          <w:shd w:val="clear" w:color="auto" w:fill="FFFFFF"/>
          <w:lang w:val="en-US"/>
        </w:rPr>
        <w:t xml:space="preserve">foreign </w:t>
      </w:r>
      <w:r w:rsidR="00B83C7F" w:rsidRPr="00487834">
        <w:rPr>
          <w:shd w:val="clear" w:color="auto" w:fill="FFFFFF"/>
          <w:lang w:val="en-US"/>
        </w:rPr>
        <w:t xml:space="preserve">provider of </w:t>
      </w:r>
      <w:r w:rsidR="003C4409" w:rsidRPr="00487834">
        <w:rPr>
          <w:shd w:val="clear" w:color="auto" w:fill="FFFFFF"/>
          <w:lang w:val="en-US"/>
        </w:rPr>
        <w:t>trustable ESG ratings for Russia public companies, while RAEX sustainability ESG ratings are rather new</w:t>
      </w:r>
      <w:r w:rsidR="00A21C95" w:rsidRPr="00487834">
        <w:rPr>
          <w:shd w:val="clear" w:color="auto" w:fill="FFFFFF"/>
          <w:lang w:val="en-US"/>
        </w:rPr>
        <w:t>, with insufficient sample dating back to 2021.</w:t>
      </w:r>
      <w:r w:rsidR="003C41CA" w:rsidRPr="00487834">
        <w:rPr>
          <w:shd w:val="clear" w:color="auto" w:fill="FFFFFF"/>
          <w:lang w:val="en-US"/>
        </w:rPr>
        <w:t xml:space="preserve"> On the contrary, Refinitiv’s database history for BRICS markets goes back to 2014, covering more than 70% of global capitalization.</w:t>
      </w:r>
      <w:r w:rsidR="00DC2872" w:rsidRPr="00487834">
        <w:rPr>
          <w:shd w:val="clear" w:color="auto" w:fill="FFFFFF"/>
          <w:lang w:val="en-US"/>
        </w:rPr>
        <w:t xml:space="preserve"> ESG scores provided by Refinitiv are comprehensive and robust and used by multiple scholars such as Nga (2015) and Cardoso (2020)</w:t>
      </w:r>
      <w:r w:rsidR="00434EC9" w:rsidRPr="00487834">
        <w:rPr>
          <w:shd w:val="clear" w:color="auto" w:fill="FFFFFF"/>
          <w:lang w:val="en-US"/>
        </w:rPr>
        <w:t>.</w:t>
      </w:r>
      <w:r w:rsidR="000818CE" w:rsidRPr="00487834">
        <w:rPr>
          <w:shd w:val="clear" w:color="auto" w:fill="FFFFFF"/>
          <w:lang w:val="en-US"/>
        </w:rPr>
        <w:t xml:space="preserve"> </w:t>
      </w:r>
      <w:r w:rsidR="00E95795" w:rsidRPr="00487834">
        <w:rPr>
          <w:shd w:val="clear" w:color="auto" w:fill="FFFFFF"/>
          <w:lang w:val="en-US"/>
        </w:rPr>
        <w:t>It is based on 178 indicators and presents both aggregate ESG scores, and separate pillars. Due to elevated ambiguity surrounding the existence of the effect of separate pillars of the ESG on the cost of capital</w:t>
      </w:r>
      <w:r w:rsidR="006E2AB0" w:rsidRPr="00487834">
        <w:rPr>
          <w:shd w:val="clear" w:color="auto" w:fill="FFFFFF"/>
          <w:lang w:val="en-US"/>
        </w:rPr>
        <w:t xml:space="preserve"> (Nga 2015). What is more, following Breuer et.al. (2018) logic we do not expect </w:t>
      </w:r>
      <w:r w:rsidR="00015BA3" w:rsidRPr="00487834">
        <w:rPr>
          <w:shd w:val="clear" w:color="auto" w:fill="FFFFFF"/>
          <w:lang w:val="en-US"/>
        </w:rPr>
        <w:t>significant impact of S and G pillars due to investment culture</w:t>
      </w:r>
      <w:r w:rsidR="00DA1E1C" w:rsidRPr="00487834">
        <w:rPr>
          <w:shd w:val="clear" w:color="auto" w:fill="FFFFFF"/>
          <w:lang w:val="en-US"/>
        </w:rPr>
        <w:t>s</w:t>
      </w:r>
      <w:r w:rsidR="00015BA3" w:rsidRPr="00487834">
        <w:rPr>
          <w:shd w:val="clear" w:color="auto" w:fill="FFFFFF"/>
          <w:lang w:val="en-US"/>
        </w:rPr>
        <w:t xml:space="preserve"> different from </w:t>
      </w:r>
      <w:r w:rsidR="00DA1E1C" w:rsidRPr="00487834">
        <w:rPr>
          <w:shd w:val="clear" w:color="auto" w:fill="FFFFFF"/>
          <w:lang w:val="en-US"/>
        </w:rPr>
        <w:t xml:space="preserve">those </w:t>
      </w:r>
      <w:proofErr w:type="spellStart"/>
      <w:r w:rsidR="00DA1E1C" w:rsidRPr="00487834">
        <w:rPr>
          <w:shd w:val="clear" w:color="auto" w:fill="FFFFFF"/>
          <w:lang w:val="en-US"/>
        </w:rPr>
        <w:t>inthe</w:t>
      </w:r>
      <w:proofErr w:type="spellEnd"/>
      <w:r w:rsidR="00DA1E1C" w:rsidRPr="00487834">
        <w:rPr>
          <w:shd w:val="clear" w:color="auto" w:fill="FFFFFF"/>
          <w:lang w:val="en-US"/>
        </w:rPr>
        <w:t xml:space="preserve"> developed markets</w:t>
      </w:r>
      <w:r w:rsidR="004E0969" w:rsidRPr="00487834">
        <w:rPr>
          <w:shd w:val="clear" w:color="auto" w:fill="FFFFFF"/>
          <w:lang w:val="en-US"/>
        </w:rPr>
        <w:t xml:space="preserve">. </w:t>
      </w:r>
    </w:p>
    <w:p w14:paraId="0EBED1F4" w14:textId="77777777" w:rsidR="00B808AF" w:rsidRPr="00487834" w:rsidRDefault="004E0969" w:rsidP="009C2B89">
      <w:pPr>
        <w:spacing w:line="300" w:lineRule="auto"/>
        <w:ind w:firstLine="360"/>
        <w:rPr>
          <w:shd w:val="clear" w:color="auto" w:fill="FFFFFF"/>
          <w:lang w:val="en-US"/>
        </w:rPr>
      </w:pPr>
      <w:r w:rsidRPr="00487834">
        <w:rPr>
          <w:shd w:val="clear" w:color="auto" w:fill="FFFFFF"/>
          <w:lang w:val="en-US"/>
        </w:rPr>
        <w:t>The sample used in this study covers the period from 2014 to 2023 for the models without</w:t>
      </w:r>
      <w:r w:rsidR="00740FB4" w:rsidRPr="00487834">
        <w:rPr>
          <w:shd w:val="clear" w:color="auto" w:fill="FFFFFF"/>
          <w:lang w:val="en-US"/>
        </w:rPr>
        <w:t xml:space="preserve"> lagged predictor and controls and 2015-2023 for the </w:t>
      </w:r>
      <w:r w:rsidR="00AB6580" w:rsidRPr="00487834">
        <w:rPr>
          <w:shd w:val="clear" w:color="auto" w:fill="FFFFFF"/>
          <w:lang w:val="en-US"/>
        </w:rPr>
        <w:t xml:space="preserve">lagged model.  Sample is composed of companies headquartered in Brazil, Russia, and South Africa </w:t>
      </w:r>
      <w:r w:rsidR="00C619D8" w:rsidRPr="00487834">
        <w:rPr>
          <w:shd w:val="clear" w:color="auto" w:fill="FFFFFF"/>
          <w:lang w:val="en-US"/>
        </w:rPr>
        <w:t xml:space="preserve">with some exception in Russia, where there </w:t>
      </w:r>
      <w:proofErr w:type="gramStart"/>
      <w:r w:rsidR="00C619D8" w:rsidRPr="00487834">
        <w:rPr>
          <w:shd w:val="clear" w:color="auto" w:fill="FFFFFF"/>
          <w:lang w:val="en-US"/>
        </w:rPr>
        <w:t>are</w:t>
      </w:r>
      <w:proofErr w:type="gramEnd"/>
      <w:r w:rsidR="00C619D8" w:rsidRPr="00487834">
        <w:rPr>
          <w:shd w:val="clear" w:color="auto" w:fill="FFFFFF"/>
          <w:lang w:val="en-US"/>
        </w:rPr>
        <w:t xml:space="preserve"> instance of overseas headquartered companies in the beginning of redomiciling process, such as retail giant X5. </w:t>
      </w:r>
      <w:r w:rsidR="00100716" w:rsidRPr="00487834">
        <w:rPr>
          <w:shd w:val="clear" w:color="auto" w:fill="FFFFFF"/>
          <w:lang w:val="en-US"/>
        </w:rPr>
        <w:t xml:space="preserve"> Initial sample was based on the ESG score availability</w:t>
      </w:r>
      <w:r w:rsidR="002137A2" w:rsidRPr="00487834">
        <w:rPr>
          <w:shd w:val="clear" w:color="auto" w:fill="FFFFFF"/>
          <w:lang w:val="en-US"/>
        </w:rPr>
        <w:t xml:space="preserve"> and publicly listed status</w:t>
      </w:r>
      <w:r w:rsidR="00100716" w:rsidRPr="00487834">
        <w:rPr>
          <w:shd w:val="clear" w:color="auto" w:fill="FFFFFF"/>
          <w:lang w:val="en-US"/>
        </w:rPr>
        <w:t>. This left us with 41 company in Russia, 104 company for South Africa, and 129 companies for Brazil</w:t>
      </w:r>
      <w:r w:rsidR="00034539" w:rsidRPr="00487834">
        <w:rPr>
          <w:shd w:val="clear" w:color="auto" w:fill="FFFFFF"/>
          <w:lang w:val="en-US"/>
        </w:rPr>
        <w:t>, making the total number of observation</w:t>
      </w:r>
      <w:r w:rsidR="00704665" w:rsidRPr="00487834">
        <w:rPr>
          <w:shd w:val="clear" w:color="auto" w:fill="FFFFFF"/>
          <w:lang w:val="en-US"/>
        </w:rPr>
        <w:t>s to reach 2,466.</w:t>
      </w:r>
      <w:r w:rsidR="00100716" w:rsidRPr="00487834">
        <w:rPr>
          <w:shd w:val="clear" w:color="auto" w:fill="FFFFFF"/>
          <w:lang w:val="en-US"/>
        </w:rPr>
        <w:t xml:space="preserve"> The sampling </w:t>
      </w:r>
      <w:r w:rsidR="00704665" w:rsidRPr="00487834">
        <w:rPr>
          <w:shd w:val="clear" w:color="auto" w:fill="FFFFFF"/>
          <w:lang w:val="en-US"/>
        </w:rPr>
        <w:t>continued was</w:t>
      </w:r>
      <w:r w:rsidR="00B808AF" w:rsidRPr="00487834">
        <w:rPr>
          <w:shd w:val="clear" w:color="auto" w:fill="FFFFFF"/>
          <w:lang w:val="en-US"/>
        </w:rPr>
        <w:t xml:space="preserve"> with a simple criterion in mind </w:t>
      </w:r>
      <w:r w:rsidR="002137A2" w:rsidRPr="00487834">
        <w:rPr>
          <w:shd w:val="clear" w:color="auto" w:fill="FFFFFF"/>
          <w:lang w:val="en-US"/>
        </w:rPr>
        <w:t>presence of all the needed financials and disregard for companies in f</w:t>
      </w:r>
      <w:r w:rsidR="0012424F" w:rsidRPr="00487834">
        <w:rPr>
          <w:shd w:val="clear" w:color="auto" w:fill="FFFFFF"/>
          <w:lang w:val="en-US"/>
        </w:rPr>
        <w:t xml:space="preserve">inancial services industry or banking. </w:t>
      </w:r>
      <w:r w:rsidR="00034539" w:rsidRPr="00487834">
        <w:rPr>
          <w:shd w:val="clear" w:color="auto" w:fill="FFFFFF"/>
          <w:lang w:val="en-US"/>
        </w:rPr>
        <w:t>At</w:t>
      </w:r>
      <w:r w:rsidR="00704665" w:rsidRPr="00487834">
        <w:rPr>
          <w:shd w:val="clear" w:color="auto" w:fill="FFFFFF"/>
          <w:lang w:val="en-US"/>
        </w:rPr>
        <w:t xml:space="preserve"> the end we had 1238 firm-year observations for three countries.</w:t>
      </w:r>
    </w:p>
    <w:p w14:paraId="498945B9" w14:textId="77777777" w:rsidR="00CB2ED9" w:rsidRPr="00487834" w:rsidRDefault="00CB2ED9" w:rsidP="003128F6">
      <w:pPr>
        <w:spacing w:line="300" w:lineRule="auto"/>
        <w:ind w:left="360" w:firstLine="360"/>
        <w:rPr>
          <w:color w:val="222222"/>
          <w:shd w:val="clear" w:color="auto" w:fill="FFFFFF"/>
          <w:lang w:val="en-US"/>
        </w:rPr>
      </w:pPr>
    </w:p>
    <w:p w14:paraId="32449A02" w14:textId="77777777" w:rsidR="00CB2ED9" w:rsidRPr="00487834" w:rsidRDefault="00BF355C" w:rsidP="003128F6">
      <w:pPr>
        <w:autoSpaceDE w:val="0"/>
        <w:autoSpaceDN w:val="0"/>
        <w:adjustRightInd w:val="0"/>
        <w:spacing w:line="300" w:lineRule="auto"/>
        <w:rPr>
          <w:rFonts w:eastAsiaTheme="minorHAnsi"/>
          <w:lang w:val="en-GB" w:eastAsia="en-US"/>
        </w:rPr>
      </w:pPr>
      <w:r w:rsidRPr="00487834">
        <w:rPr>
          <w:rFonts w:eastAsiaTheme="minorHAnsi"/>
          <w:b/>
          <w:bCs/>
          <w:lang w:val="en-GB" w:eastAsia="en-US"/>
        </w:rPr>
        <w:t>Table 1</w:t>
      </w:r>
      <w:r w:rsidR="00CB2ED9" w:rsidRPr="00487834">
        <w:rPr>
          <w:rFonts w:eastAsiaTheme="minorHAnsi"/>
          <w:b/>
          <w:bCs/>
          <w:lang w:val="en-GB" w:eastAsia="en-US"/>
        </w:rPr>
        <w:t xml:space="preserve"> – </w:t>
      </w:r>
      <w:r w:rsidR="00CB2ED9" w:rsidRPr="00487834">
        <w:rPr>
          <w:rFonts w:eastAsiaTheme="minorHAnsi"/>
          <w:lang w:val="en-GB" w:eastAsia="en-US"/>
        </w:rPr>
        <w:t>Observations distribution by industry</w:t>
      </w:r>
    </w:p>
    <w:p w14:paraId="0CD5035D" w14:textId="77777777" w:rsidR="00CB6B79" w:rsidRPr="00487834" w:rsidRDefault="00CB6B79" w:rsidP="003128F6">
      <w:pPr>
        <w:spacing w:line="300" w:lineRule="auto"/>
        <w:ind w:left="360" w:firstLine="360"/>
        <w:rPr>
          <w:color w:val="222222"/>
          <w:shd w:val="clear" w:color="auto" w:fill="FFFFFF"/>
          <w:lang w:val="en-US"/>
        </w:rPr>
      </w:pPr>
    </w:p>
    <w:tbl>
      <w:tblPr>
        <w:tblW w:w="9781" w:type="dxa"/>
        <w:jc w:val="center"/>
        <w:tblLook w:val="04A0" w:firstRow="1" w:lastRow="0" w:firstColumn="1" w:lastColumn="0" w:noHBand="0" w:noVBand="1"/>
      </w:tblPr>
      <w:tblGrid>
        <w:gridCol w:w="6640"/>
        <w:gridCol w:w="1377"/>
        <w:gridCol w:w="1869"/>
      </w:tblGrid>
      <w:tr w:rsidR="00D0249A" w:rsidRPr="00487834" w14:paraId="76019EB9" w14:textId="77777777" w:rsidTr="00BF355C">
        <w:trPr>
          <w:trHeight w:val="300"/>
          <w:jc w:val="center"/>
        </w:trPr>
        <w:tc>
          <w:tcPr>
            <w:tcW w:w="6640" w:type="dxa"/>
            <w:tcBorders>
              <w:top w:val="single" w:sz="4" w:space="0" w:color="auto"/>
              <w:left w:val="nil"/>
              <w:bottom w:val="single" w:sz="4" w:space="0" w:color="auto"/>
              <w:right w:val="nil"/>
            </w:tcBorders>
            <w:shd w:val="clear" w:color="auto" w:fill="auto"/>
            <w:noWrap/>
            <w:vAlign w:val="center"/>
            <w:hideMark/>
          </w:tcPr>
          <w:p w14:paraId="62EEC8F2" w14:textId="77777777" w:rsidR="00D0249A" w:rsidRPr="00487834" w:rsidRDefault="00D0249A" w:rsidP="00F36A29">
            <w:pPr>
              <w:pStyle w:val="NoSpacing"/>
            </w:pPr>
            <w:r w:rsidRPr="00487834">
              <w:t>Industry</w:t>
            </w:r>
          </w:p>
        </w:tc>
        <w:tc>
          <w:tcPr>
            <w:tcW w:w="1272" w:type="dxa"/>
            <w:tcBorders>
              <w:top w:val="single" w:sz="4" w:space="0" w:color="auto"/>
              <w:left w:val="nil"/>
              <w:bottom w:val="single" w:sz="4" w:space="0" w:color="auto"/>
              <w:right w:val="nil"/>
            </w:tcBorders>
            <w:shd w:val="clear" w:color="auto" w:fill="auto"/>
            <w:noWrap/>
            <w:vAlign w:val="center"/>
            <w:hideMark/>
          </w:tcPr>
          <w:p w14:paraId="7D9FD4A9" w14:textId="77777777" w:rsidR="00D0249A" w:rsidRPr="00487834" w:rsidRDefault="00D0249A" w:rsidP="00F36A29">
            <w:pPr>
              <w:pStyle w:val="NoSpacing"/>
            </w:pPr>
            <w:proofErr w:type="spellStart"/>
            <w:r w:rsidRPr="00487834">
              <w:t>Observations</w:t>
            </w:r>
            <w:proofErr w:type="spellEnd"/>
          </w:p>
        </w:tc>
        <w:tc>
          <w:tcPr>
            <w:tcW w:w="1869" w:type="dxa"/>
            <w:tcBorders>
              <w:top w:val="single" w:sz="4" w:space="0" w:color="auto"/>
              <w:left w:val="nil"/>
              <w:bottom w:val="single" w:sz="4" w:space="0" w:color="auto"/>
              <w:right w:val="nil"/>
            </w:tcBorders>
            <w:shd w:val="clear" w:color="auto" w:fill="auto"/>
            <w:noWrap/>
            <w:vAlign w:val="center"/>
            <w:hideMark/>
          </w:tcPr>
          <w:p w14:paraId="77AE550C" w14:textId="77777777" w:rsidR="00D0249A" w:rsidRPr="00487834" w:rsidRDefault="00D0249A" w:rsidP="00F36A29">
            <w:pPr>
              <w:pStyle w:val="NoSpacing"/>
            </w:pPr>
            <w:proofErr w:type="spellStart"/>
            <w:r w:rsidRPr="00487834">
              <w:t>Percentage</w:t>
            </w:r>
            <w:proofErr w:type="spellEnd"/>
            <w:r w:rsidRPr="00487834">
              <w:t xml:space="preserve"> </w:t>
            </w:r>
            <w:proofErr w:type="spellStart"/>
            <w:r w:rsidRPr="00487834">
              <w:t>of</w:t>
            </w:r>
            <w:proofErr w:type="spellEnd"/>
            <w:r w:rsidRPr="00487834">
              <w:t xml:space="preserve"> </w:t>
            </w:r>
            <w:proofErr w:type="spellStart"/>
            <w:r w:rsidRPr="00487834">
              <w:t>total</w:t>
            </w:r>
            <w:proofErr w:type="spellEnd"/>
          </w:p>
        </w:tc>
      </w:tr>
      <w:tr w:rsidR="00D0249A" w:rsidRPr="00487834" w14:paraId="6FB4184A" w14:textId="77777777" w:rsidTr="00BF355C">
        <w:trPr>
          <w:trHeight w:val="300"/>
          <w:jc w:val="center"/>
        </w:trPr>
        <w:tc>
          <w:tcPr>
            <w:tcW w:w="6640" w:type="dxa"/>
            <w:tcBorders>
              <w:top w:val="nil"/>
              <w:left w:val="nil"/>
              <w:bottom w:val="nil"/>
              <w:right w:val="nil"/>
            </w:tcBorders>
            <w:shd w:val="clear" w:color="auto" w:fill="auto"/>
            <w:noWrap/>
            <w:vAlign w:val="bottom"/>
            <w:hideMark/>
          </w:tcPr>
          <w:p w14:paraId="373318AB" w14:textId="77777777" w:rsidR="00D0249A" w:rsidRPr="00487834" w:rsidRDefault="00D0249A" w:rsidP="00F36A29">
            <w:pPr>
              <w:pStyle w:val="NoSpacing"/>
            </w:pPr>
            <w:r w:rsidRPr="00487834">
              <w:t>Manufacturing</w:t>
            </w:r>
          </w:p>
        </w:tc>
        <w:tc>
          <w:tcPr>
            <w:tcW w:w="1272" w:type="dxa"/>
            <w:tcBorders>
              <w:top w:val="nil"/>
              <w:left w:val="nil"/>
              <w:bottom w:val="nil"/>
              <w:right w:val="nil"/>
            </w:tcBorders>
            <w:shd w:val="clear" w:color="auto" w:fill="auto"/>
            <w:noWrap/>
            <w:vAlign w:val="bottom"/>
            <w:hideMark/>
          </w:tcPr>
          <w:p w14:paraId="3E461C88" w14:textId="77777777" w:rsidR="00D0249A" w:rsidRPr="00487834" w:rsidRDefault="00D0249A" w:rsidP="00F36A29">
            <w:pPr>
              <w:pStyle w:val="NoSpacing"/>
            </w:pPr>
            <w:r w:rsidRPr="00487834">
              <w:t>259</w:t>
            </w:r>
          </w:p>
        </w:tc>
        <w:tc>
          <w:tcPr>
            <w:tcW w:w="1869" w:type="dxa"/>
            <w:tcBorders>
              <w:top w:val="nil"/>
              <w:left w:val="nil"/>
              <w:bottom w:val="nil"/>
              <w:right w:val="nil"/>
            </w:tcBorders>
            <w:shd w:val="clear" w:color="auto" w:fill="auto"/>
            <w:noWrap/>
            <w:vAlign w:val="bottom"/>
            <w:hideMark/>
          </w:tcPr>
          <w:p w14:paraId="22C16107" w14:textId="77777777" w:rsidR="00D0249A" w:rsidRPr="00487834" w:rsidRDefault="00D0249A" w:rsidP="00F36A29">
            <w:pPr>
              <w:pStyle w:val="NoSpacing"/>
            </w:pPr>
            <w:r w:rsidRPr="00487834">
              <w:t>20.9%</w:t>
            </w:r>
          </w:p>
        </w:tc>
      </w:tr>
      <w:tr w:rsidR="00D0249A" w:rsidRPr="00487834" w14:paraId="44E7FCF7" w14:textId="77777777" w:rsidTr="00BF355C">
        <w:trPr>
          <w:trHeight w:val="300"/>
          <w:jc w:val="center"/>
        </w:trPr>
        <w:tc>
          <w:tcPr>
            <w:tcW w:w="6640" w:type="dxa"/>
            <w:tcBorders>
              <w:top w:val="nil"/>
              <w:left w:val="nil"/>
              <w:bottom w:val="nil"/>
              <w:right w:val="nil"/>
            </w:tcBorders>
            <w:shd w:val="clear" w:color="auto" w:fill="auto"/>
            <w:noWrap/>
            <w:vAlign w:val="bottom"/>
            <w:hideMark/>
          </w:tcPr>
          <w:p w14:paraId="6B14CB69" w14:textId="77777777" w:rsidR="00D0249A" w:rsidRPr="00487834" w:rsidRDefault="00D0249A" w:rsidP="00F36A29">
            <w:pPr>
              <w:pStyle w:val="NoSpacing"/>
            </w:pPr>
            <w:r w:rsidRPr="00487834">
              <w:t>Utilities</w:t>
            </w:r>
          </w:p>
        </w:tc>
        <w:tc>
          <w:tcPr>
            <w:tcW w:w="1272" w:type="dxa"/>
            <w:tcBorders>
              <w:top w:val="nil"/>
              <w:left w:val="nil"/>
              <w:bottom w:val="nil"/>
              <w:right w:val="nil"/>
            </w:tcBorders>
            <w:shd w:val="clear" w:color="auto" w:fill="auto"/>
            <w:noWrap/>
            <w:vAlign w:val="bottom"/>
            <w:hideMark/>
          </w:tcPr>
          <w:p w14:paraId="17CC7701" w14:textId="77777777" w:rsidR="00D0249A" w:rsidRPr="00487834" w:rsidRDefault="00D0249A" w:rsidP="00F36A29">
            <w:pPr>
              <w:pStyle w:val="NoSpacing"/>
            </w:pPr>
            <w:r w:rsidRPr="00487834">
              <w:t>157</w:t>
            </w:r>
          </w:p>
        </w:tc>
        <w:tc>
          <w:tcPr>
            <w:tcW w:w="1869" w:type="dxa"/>
            <w:tcBorders>
              <w:top w:val="nil"/>
              <w:left w:val="nil"/>
              <w:bottom w:val="nil"/>
              <w:right w:val="nil"/>
            </w:tcBorders>
            <w:shd w:val="clear" w:color="auto" w:fill="auto"/>
            <w:noWrap/>
            <w:vAlign w:val="bottom"/>
            <w:hideMark/>
          </w:tcPr>
          <w:p w14:paraId="19FE1E95" w14:textId="77777777" w:rsidR="00D0249A" w:rsidRPr="00487834" w:rsidRDefault="00D0249A" w:rsidP="00F36A29">
            <w:pPr>
              <w:pStyle w:val="NoSpacing"/>
            </w:pPr>
            <w:r w:rsidRPr="00487834">
              <w:t>12.7%</w:t>
            </w:r>
          </w:p>
        </w:tc>
      </w:tr>
      <w:tr w:rsidR="00D0249A" w:rsidRPr="00487834" w14:paraId="09F31DE3" w14:textId="77777777" w:rsidTr="00BF355C">
        <w:trPr>
          <w:trHeight w:val="300"/>
          <w:jc w:val="center"/>
        </w:trPr>
        <w:tc>
          <w:tcPr>
            <w:tcW w:w="6640" w:type="dxa"/>
            <w:tcBorders>
              <w:top w:val="nil"/>
              <w:left w:val="nil"/>
              <w:bottom w:val="nil"/>
              <w:right w:val="nil"/>
            </w:tcBorders>
            <w:shd w:val="clear" w:color="auto" w:fill="auto"/>
            <w:noWrap/>
            <w:vAlign w:val="bottom"/>
            <w:hideMark/>
          </w:tcPr>
          <w:p w14:paraId="12E06A79" w14:textId="77777777" w:rsidR="00D0249A" w:rsidRPr="00487834" w:rsidRDefault="00D0249A" w:rsidP="00F36A29">
            <w:pPr>
              <w:pStyle w:val="NoSpacing"/>
              <w:rPr>
                <w:lang w:val="en-US"/>
              </w:rPr>
            </w:pPr>
            <w:r w:rsidRPr="00487834">
              <w:rPr>
                <w:lang w:val="en-US"/>
              </w:rPr>
              <w:t>Mining, Quarrying, and Oil and Gas Extraction</w:t>
            </w:r>
          </w:p>
        </w:tc>
        <w:tc>
          <w:tcPr>
            <w:tcW w:w="1272" w:type="dxa"/>
            <w:tcBorders>
              <w:top w:val="nil"/>
              <w:left w:val="nil"/>
              <w:bottom w:val="nil"/>
              <w:right w:val="nil"/>
            </w:tcBorders>
            <w:shd w:val="clear" w:color="auto" w:fill="auto"/>
            <w:noWrap/>
            <w:vAlign w:val="bottom"/>
            <w:hideMark/>
          </w:tcPr>
          <w:p w14:paraId="46615629" w14:textId="77777777" w:rsidR="00D0249A" w:rsidRPr="00487834" w:rsidRDefault="00D0249A" w:rsidP="00F36A29">
            <w:pPr>
              <w:pStyle w:val="NoSpacing"/>
            </w:pPr>
            <w:r w:rsidRPr="00487834">
              <w:t>151</w:t>
            </w:r>
          </w:p>
        </w:tc>
        <w:tc>
          <w:tcPr>
            <w:tcW w:w="1869" w:type="dxa"/>
            <w:tcBorders>
              <w:top w:val="nil"/>
              <w:left w:val="nil"/>
              <w:bottom w:val="nil"/>
              <w:right w:val="nil"/>
            </w:tcBorders>
            <w:shd w:val="clear" w:color="auto" w:fill="auto"/>
            <w:noWrap/>
            <w:vAlign w:val="bottom"/>
            <w:hideMark/>
          </w:tcPr>
          <w:p w14:paraId="1F333132" w14:textId="77777777" w:rsidR="00D0249A" w:rsidRPr="00487834" w:rsidRDefault="00D0249A" w:rsidP="00F36A29">
            <w:pPr>
              <w:pStyle w:val="NoSpacing"/>
            </w:pPr>
            <w:r w:rsidRPr="00487834">
              <w:t>12.2%</w:t>
            </w:r>
          </w:p>
        </w:tc>
      </w:tr>
      <w:tr w:rsidR="00D0249A" w:rsidRPr="00487834" w14:paraId="56A8FF75" w14:textId="77777777" w:rsidTr="00BF355C">
        <w:trPr>
          <w:trHeight w:val="300"/>
          <w:jc w:val="center"/>
        </w:trPr>
        <w:tc>
          <w:tcPr>
            <w:tcW w:w="6640" w:type="dxa"/>
            <w:tcBorders>
              <w:top w:val="nil"/>
              <w:left w:val="nil"/>
              <w:bottom w:val="nil"/>
              <w:right w:val="nil"/>
            </w:tcBorders>
            <w:shd w:val="clear" w:color="auto" w:fill="auto"/>
            <w:noWrap/>
            <w:vAlign w:val="bottom"/>
            <w:hideMark/>
          </w:tcPr>
          <w:p w14:paraId="4ECE5552" w14:textId="77777777" w:rsidR="00D0249A" w:rsidRPr="00487834" w:rsidRDefault="00D0249A" w:rsidP="00F36A29">
            <w:pPr>
              <w:pStyle w:val="NoSpacing"/>
            </w:pPr>
            <w:r w:rsidRPr="00487834">
              <w:t>Retail Trade</w:t>
            </w:r>
          </w:p>
        </w:tc>
        <w:tc>
          <w:tcPr>
            <w:tcW w:w="1272" w:type="dxa"/>
            <w:tcBorders>
              <w:top w:val="nil"/>
              <w:left w:val="nil"/>
              <w:bottom w:val="nil"/>
              <w:right w:val="nil"/>
            </w:tcBorders>
            <w:shd w:val="clear" w:color="auto" w:fill="auto"/>
            <w:noWrap/>
            <w:vAlign w:val="bottom"/>
            <w:hideMark/>
          </w:tcPr>
          <w:p w14:paraId="5CAC0C0B" w14:textId="77777777" w:rsidR="00D0249A" w:rsidRPr="00487834" w:rsidRDefault="00D0249A" w:rsidP="00F36A29">
            <w:pPr>
              <w:pStyle w:val="NoSpacing"/>
            </w:pPr>
            <w:r w:rsidRPr="00487834">
              <w:t>135</w:t>
            </w:r>
          </w:p>
        </w:tc>
        <w:tc>
          <w:tcPr>
            <w:tcW w:w="1869" w:type="dxa"/>
            <w:tcBorders>
              <w:top w:val="nil"/>
              <w:left w:val="nil"/>
              <w:bottom w:val="nil"/>
              <w:right w:val="nil"/>
            </w:tcBorders>
            <w:shd w:val="clear" w:color="auto" w:fill="auto"/>
            <w:noWrap/>
            <w:vAlign w:val="bottom"/>
            <w:hideMark/>
          </w:tcPr>
          <w:p w14:paraId="4F56F95B" w14:textId="77777777" w:rsidR="00D0249A" w:rsidRPr="00487834" w:rsidRDefault="00D0249A" w:rsidP="00F36A29">
            <w:pPr>
              <w:pStyle w:val="NoSpacing"/>
            </w:pPr>
            <w:r w:rsidRPr="00487834">
              <w:t>10.9%</w:t>
            </w:r>
          </w:p>
        </w:tc>
      </w:tr>
      <w:tr w:rsidR="00D0249A" w:rsidRPr="00487834" w14:paraId="490D9B42" w14:textId="77777777" w:rsidTr="00BF355C">
        <w:trPr>
          <w:trHeight w:val="300"/>
          <w:jc w:val="center"/>
        </w:trPr>
        <w:tc>
          <w:tcPr>
            <w:tcW w:w="6640" w:type="dxa"/>
            <w:tcBorders>
              <w:top w:val="nil"/>
              <w:left w:val="nil"/>
              <w:bottom w:val="nil"/>
              <w:right w:val="nil"/>
            </w:tcBorders>
            <w:shd w:val="clear" w:color="auto" w:fill="auto"/>
            <w:noWrap/>
            <w:vAlign w:val="bottom"/>
            <w:hideMark/>
          </w:tcPr>
          <w:p w14:paraId="2C5D1ED2" w14:textId="77777777" w:rsidR="00D0249A" w:rsidRPr="00487834" w:rsidRDefault="00D0249A" w:rsidP="00F36A29">
            <w:pPr>
              <w:pStyle w:val="NoSpacing"/>
              <w:rPr>
                <w:lang w:val="en-US"/>
              </w:rPr>
            </w:pPr>
            <w:r w:rsidRPr="00487834">
              <w:rPr>
                <w:lang w:val="en-US"/>
              </w:rPr>
              <w:t>Real Estate and Rental and Leasing</w:t>
            </w:r>
          </w:p>
        </w:tc>
        <w:tc>
          <w:tcPr>
            <w:tcW w:w="1272" w:type="dxa"/>
            <w:tcBorders>
              <w:top w:val="nil"/>
              <w:left w:val="nil"/>
              <w:bottom w:val="nil"/>
              <w:right w:val="nil"/>
            </w:tcBorders>
            <w:shd w:val="clear" w:color="auto" w:fill="auto"/>
            <w:noWrap/>
            <w:vAlign w:val="bottom"/>
            <w:hideMark/>
          </w:tcPr>
          <w:p w14:paraId="0B7426AC" w14:textId="77777777" w:rsidR="00D0249A" w:rsidRPr="00487834" w:rsidRDefault="00D0249A" w:rsidP="00F36A29">
            <w:pPr>
              <w:pStyle w:val="NoSpacing"/>
            </w:pPr>
            <w:r w:rsidRPr="00487834">
              <w:t>102</w:t>
            </w:r>
          </w:p>
        </w:tc>
        <w:tc>
          <w:tcPr>
            <w:tcW w:w="1869" w:type="dxa"/>
            <w:tcBorders>
              <w:top w:val="nil"/>
              <w:left w:val="nil"/>
              <w:bottom w:val="nil"/>
              <w:right w:val="nil"/>
            </w:tcBorders>
            <w:shd w:val="clear" w:color="auto" w:fill="auto"/>
            <w:noWrap/>
            <w:vAlign w:val="bottom"/>
            <w:hideMark/>
          </w:tcPr>
          <w:p w14:paraId="01FC59CC" w14:textId="77777777" w:rsidR="00D0249A" w:rsidRPr="00487834" w:rsidRDefault="00D0249A" w:rsidP="00F36A29">
            <w:pPr>
              <w:pStyle w:val="NoSpacing"/>
            </w:pPr>
            <w:r w:rsidRPr="00487834">
              <w:t>8.2%</w:t>
            </w:r>
          </w:p>
        </w:tc>
      </w:tr>
      <w:tr w:rsidR="00D0249A" w:rsidRPr="00487834" w14:paraId="657A6BE9" w14:textId="77777777" w:rsidTr="00BF355C">
        <w:trPr>
          <w:trHeight w:val="300"/>
          <w:jc w:val="center"/>
        </w:trPr>
        <w:tc>
          <w:tcPr>
            <w:tcW w:w="6640" w:type="dxa"/>
            <w:tcBorders>
              <w:top w:val="nil"/>
              <w:left w:val="nil"/>
              <w:bottom w:val="nil"/>
              <w:right w:val="nil"/>
            </w:tcBorders>
            <w:shd w:val="clear" w:color="auto" w:fill="auto"/>
            <w:noWrap/>
            <w:vAlign w:val="bottom"/>
            <w:hideMark/>
          </w:tcPr>
          <w:p w14:paraId="2A0A1D01" w14:textId="77777777" w:rsidR="00D0249A" w:rsidRPr="00487834" w:rsidRDefault="00D0249A" w:rsidP="00F36A29">
            <w:pPr>
              <w:pStyle w:val="NoSpacing"/>
            </w:pPr>
            <w:r w:rsidRPr="00487834">
              <w:t>Information</w:t>
            </w:r>
          </w:p>
        </w:tc>
        <w:tc>
          <w:tcPr>
            <w:tcW w:w="1272" w:type="dxa"/>
            <w:tcBorders>
              <w:top w:val="nil"/>
              <w:left w:val="nil"/>
              <w:bottom w:val="nil"/>
              <w:right w:val="nil"/>
            </w:tcBorders>
            <w:shd w:val="clear" w:color="auto" w:fill="auto"/>
            <w:noWrap/>
            <w:vAlign w:val="bottom"/>
            <w:hideMark/>
          </w:tcPr>
          <w:p w14:paraId="61077AAA" w14:textId="77777777" w:rsidR="00D0249A" w:rsidRPr="00487834" w:rsidRDefault="00D0249A" w:rsidP="00F36A29">
            <w:pPr>
              <w:pStyle w:val="NoSpacing"/>
            </w:pPr>
            <w:r w:rsidRPr="00487834">
              <w:t>82</w:t>
            </w:r>
          </w:p>
        </w:tc>
        <w:tc>
          <w:tcPr>
            <w:tcW w:w="1869" w:type="dxa"/>
            <w:tcBorders>
              <w:top w:val="nil"/>
              <w:left w:val="nil"/>
              <w:bottom w:val="nil"/>
              <w:right w:val="nil"/>
            </w:tcBorders>
            <w:shd w:val="clear" w:color="auto" w:fill="auto"/>
            <w:noWrap/>
            <w:vAlign w:val="bottom"/>
            <w:hideMark/>
          </w:tcPr>
          <w:p w14:paraId="76F9BAA6" w14:textId="77777777" w:rsidR="00D0249A" w:rsidRPr="00487834" w:rsidRDefault="00D0249A" w:rsidP="00F36A29">
            <w:pPr>
              <w:pStyle w:val="NoSpacing"/>
            </w:pPr>
            <w:r w:rsidRPr="00487834">
              <w:t>6.6%</w:t>
            </w:r>
          </w:p>
        </w:tc>
      </w:tr>
      <w:tr w:rsidR="00D0249A" w:rsidRPr="00487834" w14:paraId="3AA060A3" w14:textId="77777777" w:rsidTr="00BF355C">
        <w:trPr>
          <w:trHeight w:val="300"/>
          <w:jc w:val="center"/>
        </w:trPr>
        <w:tc>
          <w:tcPr>
            <w:tcW w:w="6640" w:type="dxa"/>
            <w:tcBorders>
              <w:top w:val="nil"/>
              <w:left w:val="nil"/>
              <w:bottom w:val="nil"/>
              <w:right w:val="nil"/>
            </w:tcBorders>
            <w:shd w:val="clear" w:color="auto" w:fill="auto"/>
            <w:noWrap/>
            <w:vAlign w:val="bottom"/>
            <w:hideMark/>
          </w:tcPr>
          <w:p w14:paraId="248AC25B" w14:textId="77777777" w:rsidR="00D0249A" w:rsidRPr="00487834" w:rsidRDefault="00D0249A" w:rsidP="00F36A29">
            <w:pPr>
              <w:pStyle w:val="NoSpacing"/>
            </w:pPr>
            <w:r w:rsidRPr="00487834">
              <w:t>Construction</w:t>
            </w:r>
          </w:p>
        </w:tc>
        <w:tc>
          <w:tcPr>
            <w:tcW w:w="1272" w:type="dxa"/>
            <w:tcBorders>
              <w:top w:val="nil"/>
              <w:left w:val="nil"/>
              <w:bottom w:val="nil"/>
              <w:right w:val="nil"/>
            </w:tcBorders>
            <w:shd w:val="clear" w:color="auto" w:fill="auto"/>
            <w:noWrap/>
            <w:vAlign w:val="bottom"/>
            <w:hideMark/>
          </w:tcPr>
          <w:p w14:paraId="7A4EE86F" w14:textId="77777777" w:rsidR="00D0249A" w:rsidRPr="00487834" w:rsidRDefault="00D0249A" w:rsidP="00F36A29">
            <w:pPr>
              <w:pStyle w:val="NoSpacing"/>
            </w:pPr>
            <w:r w:rsidRPr="00487834">
              <w:t>75</w:t>
            </w:r>
          </w:p>
        </w:tc>
        <w:tc>
          <w:tcPr>
            <w:tcW w:w="1869" w:type="dxa"/>
            <w:tcBorders>
              <w:top w:val="nil"/>
              <w:left w:val="nil"/>
              <w:bottom w:val="nil"/>
              <w:right w:val="nil"/>
            </w:tcBorders>
            <w:shd w:val="clear" w:color="auto" w:fill="auto"/>
            <w:noWrap/>
            <w:vAlign w:val="bottom"/>
            <w:hideMark/>
          </w:tcPr>
          <w:p w14:paraId="4037E030" w14:textId="77777777" w:rsidR="00D0249A" w:rsidRPr="00487834" w:rsidRDefault="00D0249A" w:rsidP="00F36A29">
            <w:pPr>
              <w:pStyle w:val="NoSpacing"/>
            </w:pPr>
            <w:r w:rsidRPr="00487834">
              <w:t>6.1%</w:t>
            </w:r>
          </w:p>
        </w:tc>
      </w:tr>
      <w:tr w:rsidR="00D0249A" w:rsidRPr="00487834" w14:paraId="0F9DFE45" w14:textId="77777777" w:rsidTr="00BF355C">
        <w:trPr>
          <w:trHeight w:val="300"/>
          <w:jc w:val="center"/>
        </w:trPr>
        <w:tc>
          <w:tcPr>
            <w:tcW w:w="6640" w:type="dxa"/>
            <w:tcBorders>
              <w:top w:val="nil"/>
              <w:left w:val="nil"/>
              <w:bottom w:val="nil"/>
              <w:right w:val="nil"/>
            </w:tcBorders>
            <w:shd w:val="clear" w:color="auto" w:fill="auto"/>
            <w:noWrap/>
            <w:vAlign w:val="bottom"/>
            <w:hideMark/>
          </w:tcPr>
          <w:p w14:paraId="35A826D4" w14:textId="77777777" w:rsidR="00D0249A" w:rsidRPr="00487834" w:rsidRDefault="00D0249A" w:rsidP="00F36A29">
            <w:pPr>
              <w:pStyle w:val="NoSpacing"/>
              <w:rPr>
                <w:lang w:val="en-US"/>
              </w:rPr>
            </w:pPr>
            <w:r w:rsidRPr="00487834">
              <w:rPr>
                <w:lang w:val="en-US"/>
              </w:rPr>
              <w:t>Health Care and Social Assistance</w:t>
            </w:r>
          </w:p>
        </w:tc>
        <w:tc>
          <w:tcPr>
            <w:tcW w:w="1272" w:type="dxa"/>
            <w:tcBorders>
              <w:top w:val="nil"/>
              <w:left w:val="nil"/>
              <w:bottom w:val="nil"/>
              <w:right w:val="nil"/>
            </w:tcBorders>
            <w:shd w:val="clear" w:color="auto" w:fill="auto"/>
            <w:noWrap/>
            <w:vAlign w:val="bottom"/>
            <w:hideMark/>
          </w:tcPr>
          <w:p w14:paraId="0EE67626" w14:textId="77777777" w:rsidR="00D0249A" w:rsidRPr="00487834" w:rsidRDefault="00D0249A" w:rsidP="00F36A29">
            <w:pPr>
              <w:pStyle w:val="NoSpacing"/>
            </w:pPr>
            <w:r w:rsidRPr="00487834">
              <w:t>51</w:t>
            </w:r>
          </w:p>
        </w:tc>
        <w:tc>
          <w:tcPr>
            <w:tcW w:w="1869" w:type="dxa"/>
            <w:tcBorders>
              <w:top w:val="nil"/>
              <w:left w:val="nil"/>
              <w:bottom w:val="nil"/>
              <w:right w:val="nil"/>
            </w:tcBorders>
            <w:shd w:val="clear" w:color="auto" w:fill="auto"/>
            <w:noWrap/>
            <w:vAlign w:val="bottom"/>
            <w:hideMark/>
          </w:tcPr>
          <w:p w14:paraId="3A4F4F32" w14:textId="77777777" w:rsidR="00D0249A" w:rsidRPr="00487834" w:rsidRDefault="00D0249A" w:rsidP="00F36A29">
            <w:pPr>
              <w:pStyle w:val="NoSpacing"/>
            </w:pPr>
            <w:r w:rsidRPr="00487834">
              <w:t>4.1%</w:t>
            </w:r>
          </w:p>
        </w:tc>
      </w:tr>
      <w:tr w:rsidR="00D0249A" w:rsidRPr="00487834" w14:paraId="0899ACCA" w14:textId="77777777" w:rsidTr="00BF355C">
        <w:trPr>
          <w:trHeight w:val="300"/>
          <w:jc w:val="center"/>
        </w:trPr>
        <w:tc>
          <w:tcPr>
            <w:tcW w:w="6640" w:type="dxa"/>
            <w:tcBorders>
              <w:top w:val="nil"/>
              <w:left w:val="nil"/>
              <w:bottom w:val="nil"/>
              <w:right w:val="nil"/>
            </w:tcBorders>
            <w:shd w:val="clear" w:color="auto" w:fill="auto"/>
            <w:noWrap/>
            <w:vAlign w:val="bottom"/>
            <w:hideMark/>
          </w:tcPr>
          <w:p w14:paraId="3B304D05" w14:textId="77777777" w:rsidR="00D0249A" w:rsidRPr="00487834" w:rsidRDefault="00D0249A" w:rsidP="00F36A29">
            <w:pPr>
              <w:pStyle w:val="NoSpacing"/>
            </w:pPr>
            <w:proofErr w:type="spellStart"/>
            <w:r w:rsidRPr="00487834">
              <w:t>Wholesale</w:t>
            </w:r>
            <w:proofErr w:type="spellEnd"/>
            <w:r w:rsidRPr="00487834">
              <w:t xml:space="preserve"> Trade</w:t>
            </w:r>
          </w:p>
        </w:tc>
        <w:tc>
          <w:tcPr>
            <w:tcW w:w="1272" w:type="dxa"/>
            <w:tcBorders>
              <w:top w:val="nil"/>
              <w:left w:val="nil"/>
              <w:bottom w:val="nil"/>
              <w:right w:val="nil"/>
            </w:tcBorders>
            <w:shd w:val="clear" w:color="auto" w:fill="auto"/>
            <w:noWrap/>
            <w:vAlign w:val="bottom"/>
            <w:hideMark/>
          </w:tcPr>
          <w:p w14:paraId="47079C3F" w14:textId="77777777" w:rsidR="00D0249A" w:rsidRPr="00487834" w:rsidRDefault="00D0249A" w:rsidP="00F36A29">
            <w:pPr>
              <w:pStyle w:val="NoSpacing"/>
            </w:pPr>
            <w:r w:rsidRPr="00487834">
              <w:t>43</w:t>
            </w:r>
          </w:p>
        </w:tc>
        <w:tc>
          <w:tcPr>
            <w:tcW w:w="1869" w:type="dxa"/>
            <w:tcBorders>
              <w:top w:val="nil"/>
              <w:left w:val="nil"/>
              <w:bottom w:val="nil"/>
              <w:right w:val="nil"/>
            </w:tcBorders>
            <w:shd w:val="clear" w:color="auto" w:fill="auto"/>
            <w:noWrap/>
            <w:vAlign w:val="bottom"/>
            <w:hideMark/>
          </w:tcPr>
          <w:p w14:paraId="0A01F827" w14:textId="77777777" w:rsidR="00D0249A" w:rsidRPr="00487834" w:rsidRDefault="00D0249A" w:rsidP="00F36A29">
            <w:pPr>
              <w:pStyle w:val="NoSpacing"/>
            </w:pPr>
            <w:r w:rsidRPr="00487834">
              <w:t>3.5%</w:t>
            </w:r>
          </w:p>
        </w:tc>
      </w:tr>
      <w:tr w:rsidR="00D0249A" w:rsidRPr="00487834" w14:paraId="5E60EE6C" w14:textId="77777777" w:rsidTr="00BF355C">
        <w:trPr>
          <w:trHeight w:val="300"/>
          <w:jc w:val="center"/>
        </w:trPr>
        <w:tc>
          <w:tcPr>
            <w:tcW w:w="6640" w:type="dxa"/>
            <w:tcBorders>
              <w:top w:val="nil"/>
              <w:left w:val="nil"/>
              <w:bottom w:val="nil"/>
              <w:right w:val="nil"/>
            </w:tcBorders>
            <w:shd w:val="clear" w:color="auto" w:fill="auto"/>
            <w:noWrap/>
            <w:vAlign w:val="bottom"/>
            <w:hideMark/>
          </w:tcPr>
          <w:p w14:paraId="0A8672D7" w14:textId="77777777" w:rsidR="00D0249A" w:rsidRPr="00487834" w:rsidRDefault="00D0249A" w:rsidP="00F36A29">
            <w:pPr>
              <w:pStyle w:val="NoSpacing"/>
            </w:pPr>
            <w:r w:rsidRPr="00487834">
              <w:lastRenderedPageBreak/>
              <w:t xml:space="preserve">Transportation </w:t>
            </w:r>
            <w:proofErr w:type="spellStart"/>
            <w:r w:rsidRPr="00487834">
              <w:t>and</w:t>
            </w:r>
            <w:proofErr w:type="spellEnd"/>
            <w:r w:rsidRPr="00487834">
              <w:t xml:space="preserve"> </w:t>
            </w:r>
            <w:proofErr w:type="spellStart"/>
            <w:r w:rsidRPr="00487834">
              <w:t>Warehousing</w:t>
            </w:r>
            <w:proofErr w:type="spellEnd"/>
          </w:p>
        </w:tc>
        <w:tc>
          <w:tcPr>
            <w:tcW w:w="1272" w:type="dxa"/>
            <w:tcBorders>
              <w:top w:val="nil"/>
              <w:left w:val="nil"/>
              <w:bottom w:val="nil"/>
              <w:right w:val="nil"/>
            </w:tcBorders>
            <w:shd w:val="clear" w:color="auto" w:fill="auto"/>
            <w:noWrap/>
            <w:vAlign w:val="bottom"/>
            <w:hideMark/>
          </w:tcPr>
          <w:p w14:paraId="62F05115" w14:textId="77777777" w:rsidR="00D0249A" w:rsidRPr="00487834" w:rsidRDefault="00D0249A" w:rsidP="00F36A29">
            <w:pPr>
              <w:pStyle w:val="NoSpacing"/>
            </w:pPr>
            <w:r w:rsidRPr="00487834">
              <w:t>41</w:t>
            </w:r>
          </w:p>
        </w:tc>
        <w:tc>
          <w:tcPr>
            <w:tcW w:w="1869" w:type="dxa"/>
            <w:tcBorders>
              <w:top w:val="nil"/>
              <w:left w:val="nil"/>
              <w:bottom w:val="nil"/>
              <w:right w:val="nil"/>
            </w:tcBorders>
            <w:shd w:val="clear" w:color="auto" w:fill="auto"/>
            <w:noWrap/>
            <w:vAlign w:val="bottom"/>
            <w:hideMark/>
          </w:tcPr>
          <w:p w14:paraId="38638E90" w14:textId="77777777" w:rsidR="00D0249A" w:rsidRPr="00487834" w:rsidRDefault="00D0249A" w:rsidP="00F36A29">
            <w:pPr>
              <w:pStyle w:val="NoSpacing"/>
            </w:pPr>
            <w:r w:rsidRPr="00487834">
              <w:t>3.3%</w:t>
            </w:r>
          </w:p>
        </w:tc>
      </w:tr>
      <w:tr w:rsidR="00D0249A" w:rsidRPr="00487834" w14:paraId="74606A87" w14:textId="77777777" w:rsidTr="00BF355C">
        <w:trPr>
          <w:trHeight w:val="300"/>
          <w:jc w:val="center"/>
        </w:trPr>
        <w:tc>
          <w:tcPr>
            <w:tcW w:w="6640" w:type="dxa"/>
            <w:tcBorders>
              <w:top w:val="nil"/>
              <w:left w:val="nil"/>
              <w:bottom w:val="nil"/>
              <w:right w:val="nil"/>
            </w:tcBorders>
            <w:shd w:val="clear" w:color="auto" w:fill="auto"/>
            <w:noWrap/>
            <w:vAlign w:val="bottom"/>
            <w:hideMark/>
          </w:tcPr>
          <w:p w14:paraId="47A78358" w14:textId="77777777" w:rsidR="00D0249A" w:rsidRPr="00487834" w:rsidRDefault="00D0249A" w:rsidP="00F36A29">
            <w:pPr>
              <w:pStyle w:val="NoSpacing"/>
            </w:pPr>
            <w:proofErr w:type="spellStart"/>
            <w:r w:rsidRPr="00487834">
              <w:t>Educational</w:t>
            </w:r>
            <w:proofErr w:type="spellEnd"/>
            <w:r w:rsidRPr="00487834">
              <w:t xml:space="preserve"> Services</w:t>
            </w:r>
          </w:p>
        </w:tc>
        <w:tc>
          <w:tcPr>
            <w:tcW w:w="1272" w:type="dxa"/>
            <w:tcBorders>
              <w:top w:val="nil"/>
              <w:left w:val="nil"/>
              <w:bottom w:val="nil"/>
              <w:right w:val="nil"/>
            </w:tcBorders>
            <w:shd w:val="clear" w:color="auto" w:fill="auto"/>
            <w:noWrap/>
            <w:vAlign w:val="bottom"/>
            <w:hideMark/>
          </w:tcPr>
          <w:p w14:paraId="0066A635" w14:textId="77777777" w:rsidR="00D0249A" w:rsidRPr="00487834" w:rsidRDefault="00D0249A" w:rsidP="00F36A29">
            <w:pPr>
              <w:pStyle w:val="NoSpacing"/>
            </w:pPr>
            <w:r w:rsidRPr="00487834">
              <w:t>34</w:t>
            </w:r>
          </w:p>
        </w:tc>
        <w:tc>
          <w:tcPr>
            <w:tcW w:w="1869" w:type="dxa"/>
            <w:tcBorders>
              <w:top w:val="nil"/>
              <w:left w:val="nil"/>
              <w:bottom w:val="nil"/>
              <w:right w:val="nil"/>
            </w:tcBorders>
            <w:shd w:val="clear" w:color="auto" w:fill="auto"/>
            <w:noWrap/>
            <w:vAlign w:val="bottom"/>
            <w:hideMark/>
          </w:tcPr>
          <w:p w14:paraId="7D02ED8E" w14:textId="77777777" w:rsidR="00D0249A" w:rsidRPr="00487834" w:rsidRDefault="00D0249A" w:rsidP="00F36A29">
            <w:pPr>
              <w:pStyle w:val="NoSpacing"/>
            </w:pPr>
            <w:r w:rsidRPr="00487834">
              <w:t>2.7%</w:t>
            </w:r>
          </w:p>
        </w:tc>
      </w:tr>
      <w:tr w:rsidR="00D0249A" w:rsidRPr="00487834" w14:paraId="1A183834" w14:textId="77777777" w:rsidTr="00BF355C">
        <w:trPr>
          <w:trHeight w:val="300"/>
          <w:jc w:val="center"/>
        </w:trPr>
        <w:tc>
          <w:tcPr>
            <w:tcW w:w="6640" w:type="dxa"/>
            <w:tcBorders>
              <w:top w:val="nil"/>
              <w:left w:val="nil"/>
              <w:bottom w:val="nil"/>
              <w:right w:val="nil"/>
            </w:tcBorders>
            <w:shd w:val="clear" w:color="auto" w:fill="auto"/>
            <w:noWrap/>
            <w:vAlign w:val="bottom"/>
            <w:hideMark/>
          </w:tcPr>
          <w:p w14:paraId="31E3B48E" w14:textId="77777777" w:rsidR="00D0249A" w:rsidRPr="00487834" w:rsidRDefault="00D0249A" w:rsidP="00F36A29">
            <w:pPr>
              <w:pStyle w:val="NoSpacing"/>
            </w:pPr>
            <w:proofErr w:type="spellStart"/>
            <w:r w:rsidRPr="00487834">
              <w:t>Accommodation</w:t>
            </w:r>
            <w:proofErr w:type="spellEnd"/>
            <w:r w:rsidRPr="00487834">
              <w:t xml:space="preserve"> </w:t>
            </w:r>
            <w:proofErr w:type="spellStart"/>
            <w:r w:rsidRPr="00487834">
              <w:t>and</w:t>
            </w:r>
            <w:proofErr w:type="spellEnd"/>
            <w:r w:rsidRPr="00487834">
              <w:t xml:space="preserve"> Food Services</w:t>
            </w:r>
          </w:p>
        </w:tc>
        <w:tc>
          <w:tcPr>
            <w:tcW w:w="1272" w:type="dxa"/>
            <w:tcBorders>
              <w:top w:val="nil"/>
              <w:left w:val="nil"/>
              <w:bottom w:val="nil"/>
              <w:right w:val="nil"/>
            </w:tcBorders>
            <w:shd w:val="clear" w:color="auto" w:fill="auto"/>
            <w:noWrap/>
            <w:vAlign w:val="bottom"/>
            <w:hideMark/>
          </w:tcPr>
          <w:p w14:paraId="07927AA4" w14:textId="77777777" w:rsidR="00D0249A" w:rsidRPr="00487834" w:rsidRDefault="00D0249A" w:rsidP="00F36A29">
            <w:pPr>
              <w:pStyle w:val="NoSpacing"/>
            </w:pPr>
            <w:r w:rsidRPr="00487834">
              <w:t>28</w:t>
            </w:r>
          </w:p>
        </w:tc>
        <w:tc>
          <w:tcPr>
            <w:tcW w:w="1869" w:type="dxa"/>
            <w:tcBorders>
              <w:top w:val="nil"/>
              <w:left w:val="nil"/>
              <w:bottom w:val="nil"/>
              <w:right w:val="nil"/>
            </w:tcBorders>
            <w:shd w:val="clear" w:color="auto" w:fill="auto"/>
            <w:noWrap/>
            <w:vAlign w:val="bottom"/>
            <w:hideMark/>
          </w:tcPr>
          <w:p w14:paraId="19778AE5" w14:textId="77777777" w:rsidR="00D0249A" w:rsidRPr="00487834" w:rsidRDefault="00D0249A" w:rsidP="00F36A29">
            <w:pPr>
              <w:pStyle w:val="NoSpacing"/>
            </w:pPr>
            <w:r w:rsidRPr="00487834">
              <w:t>2.3%</w:t>
            </w:r>
          </w:p>
        </w:tc>
      </w:tr>
      <w:tr w:rsidR="00D0249A" w:rsidRPr="00487834" w14:paraId="677F89A5" w14:textId="77777777" w:rsidTr="00BF355C">
        <w:trPr>
          <w:trHeight w:val="300"/>
          <w:jc w:val="center"/>
        </w:trPr>
        <w:tc>
          <w:tcPr>
            <w:tcW w:w="6640" w:type="dxa"/>
            <w:tcBorders>
              <w:top w:val="nil"/>
              <w:left w:val="nil"/>
              <w:bottom w:val="nil"/>
              <w:right w:val="nil"/>
            </w:tcBorders>
            <w:shd w:val="clear" w:color="auto" w:fill="auto"/>
            <w:noWrap/>
            <w:vAlign w:val="bottom"/>
            <w:hideMark/>
          </w:tcPr>
          <w:p w14:paraId="2E30E188" w14:textId="77777777" w:rsidR="00D0249A" w:rsidRPr="00487834" w:rsidRDefault="00D0249A" w:rsidP="00F36A29">
            <w:pPr>
              <w:pStyle w:val="NoSpacing"/>
              <w:rPr>
                <w:lang w:val="en-US"/>
              </w:rPr>
            </w:pPr>
            <w:r w:rsidRPr="00487834">
              <w:rPr>
                <w:lang w:val="en-US"/>
              </w:rPr>
              <w:t>Professional, Scientific, and Technical Services</w:t>
            </w:r>
          </w:p>
        </w:tc>
        <w:tc>
          <w:tcPr>
            <w:tcW w:w="1272" w:type="dxa"/>
            <w:tcBorders>
              <w:top w:val="nil"/>
              <w:left w:val="nil"/>
              <w:bottom w:val="nil"/>
              <w:right w:val="nil"/>
            </w:tcBorders>
            <w:shd w:val="clear" w:color="auto" w:fill="auto"/>
            <w:noWrap/>
            <w:vAlign w:val="bottom"/>
            <w:hideMark/>
          </w:tcPr>
          <w:p w14:paraId="2448F28E" w14:textId="77777777" w:rsidR="00D0249A" w:rsidRPr="00487834" w:rsidRDefault="00D0249A" w:rsidP="00F36A29">
            <w:pPr>
              <w:pStyle w:val="NoSpacing"/>
            </w:pPr>
            <w:r w:rsidRPr="00487834">
              <w:t>24</w:t>
            </w:r>
          </w:p>
        </w:tc>
        <w:tc>
          <w:tcPr>
            <w:tcW w:w="1869" w:type="dxa"/>
            <w:tcBorders>
              <w:top w:val="nil"/>
              <w:left w:val="nil"/>
              <w:bottom w:val="nil"/>
              <w:right w:val="nil"/>
            </w:tcBorders>
            <w:shd w:val="clear" w:color="auto" w:fill="auto"/>
            <w:noWrap/>
            <w:vAlign w:val="bottom"/>
            <w:hideMark/>
          </w:tcPr>
          <w:p w14:paraId="1D8DE464" w14:textId="77777777" w:rsidR="00D0249A" w:rsidRPr="00487834" w:rsidRDefault="00D0249A" w:rsidP="00F36A29">
            <w:pPr>
              <w:pStyle w:val="NoSpacing"/>
            </w:pPr>
            <w:r w:rsidRPr="00487834">
              <w:t>1.9%</w:t>
            </w:r>
          </w:p>
        </w:tc>
      </w:tr>
      <w:tr w:rsidR="00D0249A" w:rsidRPr="00487834" w14:paraId="23386AA9" w14:textId="77777777" w:rsidTr="00BF355C">
        <w:trPr>
          <w:trHeight w:val="300"/>
          <w:jc w:val="center"/>
        </w:trPr>
        <w:tc>
          <w:tcPr>
            <w:tcW w:w="6640" w:type="dxa"/>
            <w:tcBorders>
              <w:top w:val="nil"/>
              <w:left w:val="nil"/>
              <w:bottom w:val="nil"/>
              <w:right w:val="nil"/>
            </w:tcBorders>
            <w:shd w:val="clear" w:color="auto" w:fill="auto"/>
            <w:noWrap/>
            <w:vAlign w:val="bottom"/>
            <w:hideMark/>
          </w:tcPr>
          <w:p w14:paraId="22D07D6C" w14:textId="77777777" w:rsidR="00D0249A" w:rsidRPr="00487834" w:rsidRDefault="00D0249A" w:rsidP="00F36A29">
            <w:pPr>
              <w:pStyle w:val="NoSpacing"/>
              <w:rPr>
                <w:lang w:val="en-US"/>
              </w:rPr>
            </w:pPr>
            <w:r w:rsidRPr="00487834">
              <w:rPr>
                <w:lang w:val="en-US"/>
              </w:rPr>
              <w:t>Management of Companies and Enterprises</w:t>
            </w:r>
          </w:p>
        </w:tc>
        <w:tc>
          <w:tcPr>
            <w:tcW w:w="1272" w:type="dxa"/>
            <w:tcBorders>
              <w:top w:val="nil"/>
              <w:left w:val="nil"/>
              <w:bottom w:val="nil"/>
              <w:right w:val="nil"/>
            </w:tcBorders>
            <w:shd w:val="clear" w:color="auto" w:fill="auto"/>
            <w:noWrap/>
            <w:vAlign w:val="bottom"/>
            <w:hideMark/>
          </w:tcPr>
          <w:p w14:paraId="33686317" w14:textId="77777777" w:rsidR="00D0249A" w:rsidRPr="00487834" w:rsidRDefault="00D0249A" w:rsidP="00F36A29">
            <w:pPr>
              <w:pStyle w:val="NoSpacing"/>
            </w:pPr>
            <w:r w:rsidRPr="00487834">
              <w:t>21</w:t>
            </w:r>
          </w:p>
        </w:tc>
        <w:tc>
          <w:tcPr>
            <w:tcW w:w="1869" w:type="dxa"/>
            <w:tcBorders>
              <w:top w:val="nil"/>
              <w:left w:val="nil"/>
              <w:bottom w:val="nil"/>
              <w:right w:val="nil"/>
            </w:tcBorders>
            <w:shd w:val="clear" w:color="auto" w:fill="auto"/>
            <w:noWrap/>
            <w:vAlign w:val="bottom"/>
            <w:hideMark/>
          </w:tcPr>
          <w:p w14:paraId="46AE2E70" w14:textId="77777777" w:rsidR="00D0249A" w:rsidRPr="00487834" w:rsidRDefault="00D0249A" w:rsidP="00F36A29">
            <w:pPr>
              <w:pStyle w:val="NoSpacing"/>
            </w:pPr>
            <w:r w:rsidRPr="00487834">
              <w:t>1.7%</w:t>
            </w:r>
          </w:p>
        </w:tc>
      </w:tr>
      <w:tr w:rsidR="00D0249A" w:rsidRPr="00487834" w14:paraId="4D5E7D36" w14:textId="77777777" w:rsidTr="00BF355C">
        <w:trPr>
          <w:trHeight w:val="300"/>
          <w:jc w:val="center"/>
        </w:trPr>
        <w:tc>
          <w:tcPr>
            <w:tcW w:w="6640" w:type="dxa"/>
            <w:tcBorders>
              <w:top w:val="nil"/>
              <w:left w:val="nil"/>
              <w:bottom w:val="nil"/>
              <w:right w:val="nil"/>
            </w:tcBorders>
            <w:shd w:val="clear" w:color="auto" w:fill="auto"/>
            <w:noWrap/>
            <w:vAlign w:val="bottom"/>
            <w:hideMark/>
          </w:tcPr>
          <w:p w14:paraId="4660A56B" w14:textId="77777777" w:rsidR="00D0249A" w:rsidRPr="00487834" w:rsidRDefault="00D0249A" w:rsidP="00F36A29">
            <w:pPr>
              <w:pStyle w:val="NoSpacing"/>
              <w:rPr>
                <w:lang w:val="en-US"/>
              </w:rPr>
            </w:pPr>
            <w:r w:rsidRPr="00487834">
              <w:rPr>
                <w:lang w:val="en-US"/>
              </w:rPr>
              <w:t>Agriculture, Forestry, Fishing and Hunting</w:t>
            </w:r>
          </w:p>
        </w:tc>
        <w:tc>
          <w:tcPr>
            <w:tcW w:w="1272" w:type="dxa"/>
            <w:tcBorders>
              <w:top w:val="nil"/>
              <w:left w:val="nil"/>
              <w:bottom w:val="nil"/>
              <w:right w:val="nil"/>
            </w:tcBorders>
            <w:shd w:val="clear" w:color="auto" w:fill="auto"/>
            <w:noWrap/>
            <w:vAlign w:val="bottom"/>
            <w:hideMark/>
          </w:tcPr>
          <w:p w14:paraId="04B6D36A" w14:textId="77777777" w:rsidR="00D0249A" w:rsidRPr="00487834" w:rsidRDefault="00D0249A" w:rsidP="00F36A29">
            <w:pPr>
              <w:pStyle w:val="NoSpacing"/>
            </w:pPr>
            <w:r w:rsidRPr="00487834">
              <w:t>19</w:t>
            </w:r>
          </w:p>
        </w:tc>
        <w:tc>
          <w:tcPr>
            <w:tcW w:w="1869" w:type="dxa"/>
            <w:tcBorders>
              <w:top w:val="nil"/>
              <w:left w:val="nil"/>
              <w:bottom w:val="nil"/>
              <w:right w:val="nil"/>
            </w:tcBorders>
            <w:shd w:val="clear" w:color="auto" w:fill="auto"/>
            <w:noWrap/>
            <w:vAlign w:val="bottom"/>
            <w:hideMark/>
          </w:tcPr>
          <w:p w14:paraId="74D93F4E" w14:textId="77777777" w:rsidR="00D0249A" w:rsidRPr="00487834" w:rsidRDefault="00D0249A" w:rsidP="00F36A29">
            <w:pPr>
              <w:pStyle w:val="NoSpacing"/>
            </w:pPr>
            <w:r w:rsidRPr="00487834">
              <w:t>1.5%</w:t>
            </w:r>
          </w:p>
        </w:tc>
      </w:tr>
      <w:tr w:rsidR="00D0249A" w:rsidRPr="00487834" w14:paraId="4A38E49B" w14:textId="77777777" w:rsidTr="00BF355C">
        <w:trPr>
          <w:trHeight w:val="300"/>
          <w:jc w:val="center"/>
        </w:trPr>
        <w:tc>
          <w:tcPr>
            <w:tcW w:w="6640" w:type="dxa"/>
            <w:tcBorders>
              <w:top w:val="nil"/>
              <w:left w:val="nil"/>
              <w:bottom w:val="nil"/>
              <w:right w:val="nil"/>
            </w:tcBorders>
            <w:shd w:val="clear" w:color="auto" w:fill="auto"/>
            <w:noWrap/>
            <w:vAlign w:val="bottom"/>
            <w:hideMark/>
          </w:tcPr>
          <w:p w14:paraId="3CF64D6B" w14:textId="77777777" w:rsidR="00D0249A" w:rsidRPr="00487834" w:rsidRDefault="00D0249A" w:rsidP="00F36A29">
            <w:pPr>
              <w:pStyle w:val="NoSpacing"/>
              <w:rPr>
                <w:lang w:val="en-US"/>
              </w:rPr>
            </w:pPr>
            <w:r w:rsidRPr="00487834">
              <w:rPr>
                <w:lang w:val="en-US"/>
              </w:rPr>
              <w:t>Administrative and Support and Waste Management and Remediation Services</w:t>
            </w:r>
          </w:p>
        </w:tc>
        <w:tc>
          <w:tcPr>
            <w:tcW w:w="1272" w:type="dxa"/>
            <w:tcBorders>
              <w:top w:val="nil"/>
              <w:left w:val="nil"/>
              <w:bottom w:val="nil"/>
              <w:right w:val="nil"/>
            </w:tcBorders>
            <w:shd w:val="clear" w:color="auto" w:fill="auto"/>
            <w:noWrap/>
            <w:vAlign w:val="bottom"/>
            <w:hideMark/>
          </w:tcPr>
          <w:p w14:paraId="5004E2AE" w14:textId="77777777" w:rsidR="00D0249A" w:rsidRPr="00487834" w:rsidRDefault="00D0249A" w:rsidP="00F36A29">
            <w:pPr>
              <w:pStyle w:val="NoSpacing"/>
            </w:pPr>
            <w:r w:rsidRPr="00487834">
              <w:t>16</w:t>
            </w:r>
          </w:p>
        </w:tc>
        <w:tc>
          <w:tcPr>
            <w:tcW w:w="1869" w:type="dxa"/>
            <w:tcBorders>
              <w:top w:val="nil"/>
              <w:left w:val="nil"/>
              <w:bottom w:val="nil"/>
              <w:right w:val="nil"/>
            </w:tcBorders>
            <w:shd w:val="clear" w:color="auto" w:fill="auto"/>
            <w:noWrap/>
            <w:vAlign w:val="bottom"/>
            <w:hideMark/>
          </w:tcPr>
          <w:p w14:paraId="6678FAC2" w14:textId="77777777" w:rsidR="00D0249A" w:rsidRPr="00487834" w:rsidRDefault="00D0249A" w:rsidP="00F36A29">
            <w:pPr>
              <w:pStyle w:val="NoSpacing"/>
            </w:pPr>
            <w:r w:rsidRPr="00487834">
              <w:t>1.3%</w:t>
            </w:r>
          </w:p>
        </w:tc>
      </w:tr>
      <w:tr w:rsidR="00D0249A" w:rsidRPr="00487834" w14:paraId="52E82B62" w14:textId="77777777" w:rsidTr="00BF355C">
        <w:trPr>
          <w:trHeight w:val="300"/>
          <w:jc w:val="center"/>
        </w:trPr>
        <w:tc>
          <w:tcPr>
            <w:tcW w:w="6640" w:type="dxa"/>
            <w:tcBorders>
              <w:top w:val="single" w:sz="4" w:space="0" w:color="auto"/>
              <w:left w:val="nil"/>
              <w:bottom w:val="single" w:sz="4" w:space="0" w:color="auto"/>
              <w:right w:val="nil"/>
            </w:tcBorders>
            <w:shd w:val="clear" w:color="auto" w:fill="auto"/>
            <w:noWrap/>
            <w:vAlign w:val="bottom"/>
            <w:hideMark/>
          </w:tcPr>
          <w:p w14:paraId="03A6D904" w14:textId="77777777" w:rsidR="00D0249A" w:rsidRPr="00487834" w:rsidRDefault="00D0249A" w:rsidP="00F36A29">
            <w:pPr>
              <w:pStyle w:val="NoSpacing"/>
            </w:pPr>
            <w:r w:rsidRPr="00487834">
              <w:t>Total</w:t>
            </w:r>
          </w:p>
        </w:tc>
        <w:tc>
          <w:tcPr>
            <w:tcW w:w="1272" w:type="dxa"/>
            <w:tcBorders>
              <w:top w:val="single" w:sz="4" w:space="0" w:color="auto"/>
              <w:left w:val="nil"/>
              <w:bottom w:val="single" w:sz="4" w:space="0" w:color="auto"/>
              <w:right w:val="nil"/>
            </w:tcBorders>
            <w:shd w:val="clear" w:color="auto" w:fill="auto"/>
            <w:noWrap/>
            <w:vAlign w:val="bottom"/>
            <w:hideMark/>
          </w:tcPr>
          <w:p w14:paraId="32E0259A" w14:textId="77777777" w:rsidR="00D0249A" w:rsidRPr="00487834" w:rsidRDefault="00D0249A" w:rsidP="00F36A29">
            <w:pPr>
              <w:pStyle w:val="NoSpacing"/>
            </w:pPr>
            <w:r w:rsidRPr="00487834">
              <w:t>1238</w:t>
            </w:r>
          </w:p>
        </w:tc>
        <w:tc>
          <w:tcPr>
            <w:tcW w:w="1869" w:type="dxa"/>
            <w:tcBorders>
              <w:top w:val="single" w:sz="4" w:space="0" w:color="auto"/>
              <w:left w:val="nil"/>
              <w:bottom w:val="single" w:sz="4" w:space="0" w:color="auto"/>
              <w:right w:val="nil"/>
            </w:tcBorders>
            <w:shd w:val="clear" w:color="auto" w:fill="auto"/>
            <w:noWrap/>
            <w:vAlign w:val="bottom"/>
            <w:hideMark/>
          </w:tcPr>
          <w:p w14:paraId="5C0F52CB" w14:textId="77777777" w:rsidR="00D0249A" w:rsidRPr="00487834" w:rsidRDefault="00D0249A" w:rsidP="00F36A29">
            <w:pPr>
              <w:pStyle w:val="NoSpacing"/>
            </w:pPr>
            <w:r w:rsidRPr="00487834">
              <w:t>100%</w:t>
            </w:r>
          </w:p>
        </w:tc>
      </w:tr>
    </w:tbl>
    <w:p w14:paraId="2FD52F2F" w14:textId="77777777" w:rsidR="009C2B89" w:rsidRPr="00487834" w:rsidRDefault="009C2B89" w:rsidP="003128F6">
      <w:pPr>
        <w:spacing w:line="300" w:lineRule="auto"/>
        <w:rPr>
          <w:color w:val="222222"/>
          <w:shd w:val="clear" w:color="auto" w:fill="FFFFFF"/>
          <w:lang w:val="en-US"/>
        </w:rPr>
      </w:pPr>
    </w:p>
    <w:p w14:paraId="207FFD16" w14:textId="77777777" w:rsidR="00CB6B79" w:rsidRPr="00487834" w:rsidRDefault="00A40744" w:rsidP="003128F6">
      <w:pPr>
        <w:spacing w:line="300" w:lineRule="auto"/>
        <w:rPr>
          <w:color w:val="222222"/>
          <w:shd w:val="clear" w:color="auto" w:fill="FFFFFF"/>
          <w:lang w:val="en-US"/>
        </w:rPr>
      </w:pPr>
      <w:r w:rsidRPr="00487834">
        <w:rPr>
          <w:color w:val="222222"/>
          <w:shd w:val="clear" w:color="auto" w:fill="FFFFFF"/>
          <w:lang w:val="en-US"/>
        </w:rPr>
        <w:t xml:space="preserve">As a result, more than 50% of the firm-year observations accounted for </w:t>
      </w:r>
      <w:r w:rsidR="00D75622" w:rsidRPr="00487834">
        <w:rPr>
          <w:color w:val="222222"/>
          <w:shd w:val="clear" w:color="auto" w:fill="FFFFFF"/>
          <w:lang w:val="en-US"/>
        </w:rPr>
        <w:t>companies</w:t>
      </w:r>
      <w:r w:rsidRPr="00487834">
        <w:rPr>
          <w:color w:val="222222"/>
          <w:shd w:val="clear" w:color="auto" w:fill="FFFFFF"/>
          <w:lang w:val="en-US"/>
        </w:rPr>
        <w:t xml:space="preserve"> in manufacturing, utilities, metals and mining, oil&amp; gas</w:t>
      </w:r>
      <w:r w:rsidR="00D75622" w:rsidRPr="00487834">
        <w:rPr>
          <w:color w:val="222222"/>
          <w:shd w:val="clear" w:color="auto" w:fill="FFFFFF"/>
          <w:lang w:val="en-US"/>
        </w:rPr>
        <w:t xml:space="preserve">, </w:t>
      </w:r>
      <w:r w:rsidRPr="00487834">
        <w:rPr>
          <w:color w:val="222222"/>
          <w:shd w:val="clear" w:color="auto" w:fill="FFFFFF"/>
          <w:lang w:val="en-US"/>
        </w:rPr>
        <w:t>and retail industries.</w:t>
      </w:r>
    </w:p>
    <w:p w14:paraId="691CF4C1" w14:textId="77777777" w:rsidR="00513697" w:rsidRPr="00487834" w:rsidRDefault="00513697" w:rsidP="003128F6">
      <w:pPr>
        <w:spacing w:line="300" w:lineRule="auto"/>
        <w:rPr>
          <w:color w:val="222222"/>
          <w:shd w:val="clear" w:color="auto" w:fill="FFFFFF"/>
          <w:lang w:val="en-US"/>
        </w:rPr>
      </w:pPr>
    </w:p>
    <w:p w14:paraId="16E6800F" w14:textId="77777777" w:rsidR="009C2B89" w:rsidRPr="00487834" w:rsidRDefault="00B72D57" w:rsidP="009C2B89">
      <w:pPr>
        <w:pStyle w:val="Heading2"/>
        <w:jc w:val="center"/>
        <w:rPr>
          <w:rFonts w:cs="Times New Roman"/>
          <w:shd w:val="clear" w:color="auto" w:fill="FFFFFF"/>
          <w:lang w:val="en-US"/>
        </w:rPr>
      </w:pPr>
      <w:bookmarkStart w:id="12" w:name="_Toc167918983"/>
      <w:r w:rsidRPr="00487834">
        <w:rPr>
          <w:rFonts w:cs="Times New Roman"/>
          <w:shd w:val="clear" w:color="auto" w:fill="FFFFFF"/>
          <w:lang w:val="en-US"/>
        </w:rPr>
        <w:t xml:space="preserve">3.3. </w:t>
      </w:r>
      <w:r w:rsidR="00513697" w:rsidRPr="00487834">
        <w:rPr>
          <w:rFonts w:cs="Times New Roman"/>
          <w:shd w:val="clear" w:color="auto" w:fill="FFFFFF"/>
          <w:lang w:val="en-US"/>
        </w:rPr>
        <w:t>Variables</w:t>
      </w:r>
      <w:bookmarkEnd w:id="12"/>
    </w:p>
    <w:p w14:paraId="23CB812A" w14:textId="77777777" w:rsidR="00D75622" w:rsidRPr="00487834" w:rsidRDefault="009C2B89" w:rsidP="00756009">
      <w:pPr>
        <w:rPr>
          <w:shd w:val="clear" w:color="auto" w:fill="FFFFFF"/>
          <w:lang w:val="en-US"/>
        </w:rPr>
      </w:pPr>
      <w:r w:rsidRPr="00487834">
        <w:rPr>
          <w:b/>
          <w:lang w:val="en-GB"/>
        </w:rPr>
        <w:t xml:space="preserve">Table </w:t>
      </w:r>
      <w:r w:rsidR="00BF355C" w:rsidRPr="00487834">
        <w:rPr>
          <w:b/>
          <w:lang w:val="en-GB"/>
        </w:rPr>
        <w:t>2</w:t>
      </w:r>
      <w:r w:rsidR="00D75622" w:rsidRPr="00487834">
        <w:rPr>
          <w:lang w:val="en-GB"/>
        </w:rPr>
        <w:t xml:space="preserve"> – </w:t>
      </w:r>
      <w:r w:rsidR="00F85F9E" w:rsidRPr="00487834">
        <w:rPr>
          <w:lang w:val="en-GB"/>
        </w:rPr>
        <w:t>Used variables</w:t>
      </w:r>
    </w:p>
    <w:p w14:paraId="5126E732" w14:textId="77777777" w:rsidR="00D75622" w:rsidRPr="00487834" w:rsidRDefault="00D75622" w:rsidP="00B250C8">
      <w:pPr>
        <w:spacing w:line="300" w:lineRule="auto"/>
        <w:ind w:firstLine="0"/>
        <w:rPr>
          <w:b/>
          <w:bCs/>
          <w:color w:val="222222"/>
          <w:shd w:val="clear" w:color="auto" w:fill="FFFFFF"/>
        </w:rPr>
      </w:pPr>
    </w:p>
    <w:tbl>
      <w:tblPr>
        <w:tblW w:w="6160" w:type="dxa"/>
        <w:jc w:val="center"/>
        <w:tblLook w:val="04A0" w:firstRow="1" w:lastRow="0" w:firstColumn="1" w:lastColumn="0" w:noHBand="0" w:noVBand="1"/>
      </w:tblPr>
      <w:tblGrid>
        <w:gridCol w:w="1341"/>
        <w:gridCol w:w="4991"/>
      </w:tblGrid>
      <w:tr w:rsidR="00D75622" w:rsidRPr="00487834" w14:paraId="42EA28C1" w14:textId="77777777" w:rsidTr="00BF355C">
        <w:trPr>
          <w:trHeight w:val="260"/>
          <w:jc w:val="center"/>
        </w:trPr>
        <w:tc>
          <w:tcPr>
            <w:tcW w:w="6160" w:type="dxa"/>
            <w:gridSpan w:val="2"/>
            <w:tcBorders>
              <w:top w:val="single" w:sz="4" w:space="0" w:color="auto"/>
              <w:left w:val="nil"/>
              <w:bottom w:val="nil"/>
              <w:right w:val="nil"/>
            </w:tcBorders>
            <w:shd w:val="clear" w:color="auto" w:fill="auto"/>
            <w:noWrap/>
            <w:vAlign w:val="bottom"/>
            <w:hideMark/>
          </w:tcPr>
          <w:p w14:paraId="5C80592E" w14:textId="77777777" w:rsidR="00D75622" w:rsidRPr="00487834" w:rsidRDefault="00D75622" w:rsidP="00F36A29">
            <w:pPr>
              <w:pStyle w:val="NoSpacing"/>
            </w:pPr>
            <w:proofErr w:type="spellStart"/>
            <w:r w:rsidRPr="00487834">
              <w:t>Dependent</w:t>
            </w:r>
            <w:proofErr w:type="spellEnd"/>
            <w:r w:rsidRPr="00487834">
              <w:t xml:space="preserve"> </w:t>
            </w:r>
            <w:proofErr w:type="spellStart"/>
            <w:r w:rsidRPr="00487834">
              <w:t>variables</w:t>
            </w:r>
            <w:proofErr w:type="spellEnd"/>
            <w:r w:rsidRPr="00487834">
              <w:t>:</w:t>
            </w:r>
          </w:p>
        </w:tc>
      </w:tr>
      <w:tr w:rsidR="00D75622" w:rsidRPr="00487834" w14:paraId="62996EBC" w14:textId="77777777" w:rsidTr="00BF355C">
        <w:trPr>
          <w:trHeight w:val="260"/>
          <w:jc w:val="center"/>
        </w:trPr>
        <w:tc>
          <w:tcPr>
            <w:tcW w:w="1169" w:type="dxa"/>
            <w:tcBorders>
              <w:top w:val="nil"/>
              <w:left w:val="nil"/>
              <w:bottom w:val="nil"/>
              <w:right w:val="nil"/>
            </w:tcBorders>
            <w:shd w:val="clear" w:color="auto" w:fill="auto"/>
            <w:noWrap/>
            <w:vAlign w:val="center"/>
            <w:hideMark/>
          </w:tcPr>
          <w:p w14:paraId="2C2A554C" w14:textId="77777777" w:rsidR="00D75622" w:rsidRPr="00487834" w:rsidRDefault="00D75622" w:rsidP="00F36A29">
            <w:pPr>
              <w:pStyle w:val="NoSpacing"/>
              <w:rPr>
                <w:i/>
                <w:iCs/>
              </w:rPr>
            </w:pPr>
            <w:proofErr w:type="spellStart"/>
            <w:r w:rsidRPr="00487834">
              <w:rPr>
                <w:i/>
                <w:iCs/>
              </w:rPr>
              <w:t>Kd</w:t>
            </w:r>
            <w:proofErr w:type="spellEnd"/>
          </w:p>
        </w:tc>
        <w:tc>
          <w:tcPr>
            <w:tcW w:w="4991" w:type="dxa"/>
            <w:tcBorders>
              <w:top w:val="nil"/>
              <w:left w:val="nil"/>
              <w:bottom w:val="nil"/>
              <w:right w:val="nil"/>
            </w:tcBorders>
            <w:shd w:val="clear" w:color="auto" w:fill="auto"/>
            <w:noWrap/>
            <w:vAlign w:val="center"/>
            <w:hideMark/>
          </w:tcPr>
          <w:p w14:paraId="6F170EA3" w14:textId="77777777" w:rsidR="00D75622" w:rsidRPr="00487834" w:rsidRDefault="00D75622" w:rsidP="00F36A29">
            <w:pPr>
              <w:pStyle w:val="NoSpacing"/>
            </w:pPr>
            <w:r w:rsidRPr="00487834">
              <w:t xml:space="preserve">Cost </w:t>
            </w:r>
            <w:proofErr w:type="spellStart"/>
            <w:r w:rsidRPr="00487834">
              <w:t>of</w:t>
            </w:r>
            <w:proofErr w:type="spellEnd"/>
            <w:r w:rsidRPr="00487834">
              <w:t xml:space="preserve"> </w:t>
            </w:r>
            <w:proofErr w:type="spellStart"/>
            <w:r w:rsidRPr="00487834">
              <w:t>debt</w:t>
            </w:r>
            <w:proofErr w:type="spellEnd"/>
          </w:p>
        </w:tc>
      </w:tr>
      <w:tr w:rsidR="00D75622" w:rsidRPr="00487834" w14:paraId="6709569D" w14:textId="77777777" w:rsidTr="00BF355C">
        <w:trPr>
          <w:trHeight w:val="260"/>
          <w:jc w:val="center"/>
        </w:trPr>
        <w:tc>
          <w:tcPr>
            <w:tcW w:w="1169" w:type="dxa"/>
            <w:tcBorders>
              <w:top w:val="nil"/>
              <w:left w:val="nil"/>
              <w:bottom w:val="nil"/>
              <w:right w:val="nil"/>
            </w:tcBorders>
            <w:shd w:val="clear" w:color="auto" w:fill="auto"/>
            <w:noWrap/>
            <w:vAlign w:val="center"/>
            <w:hideMark/>
          </w:tcPr>
          <w:p w14:paraId="333A1550" w14:textId="77777777" w:rsidR="00D75622" w:rsidRPr="00487834" w:rsidRDefault="00D75622" w:rsidP="00F36A29">
            <w:pPr>
              <w:pStyle w:val="NoSpacing"/>
              <w:rPr>
                <w:i/>
                <w:iCs/>
              </w:rPr>
            </w:pPr>
            <w:proofErr w:type="spellStart"/>
            <w:r w:rsidRPr="00487834">
              <w:rPr>
                <w:i/>
                <w:iCs/>
              </w:rPr>
              <w:t>Ke</w:t>
            </w:r>
            <w:proofErr w:type="spellEnd"/>
          </w:p>
        </w:tc>
        <w:tc>
          <w:tcPr>
            <w:tcW w:w="4991" w:type="dxa"/>
            <w:tcBorders>
              <w:top w:val="nil"/>
              <w:left w:val="nil"/>
              <w:bottom w:val="nil"/>
              <w:right w:val="nil"/>
            </w:tcBorders>
            <w:shd w:val="clear" w:color="auto" w:fill="auto"/>
            <w:noWrap/>
            <w:vAlign w:val="center"/>
            <w:hideMark/>
          </w:tcPr>
          <w:p w14:paraId="565070EF" w14:textId="77777777" w:rsidR="00D75622" w:rsidRPr="00487834" w:rsidRDefault="00D75622" w:rsidP="00F36A29">
            <w:pPr>
              <w:pStyle w:val="NoSpacing"/>
            </w:pPr>
            <w:r w:rsidRPr="00487834">
              <w:t xml:space="preserve">Cost </w:t>
            </w:r>
            <w:proofErr w:type="spellStart"/>
            <w:r w:rsidRPr="00487834">
              <w:t>of</w:t>
            </w:r>
            <w:proofErr w:type="spellEnd"/>
            <w:r w:rsidRPr="00487834">
              <w:t xml:space="preserve"> </w:t>
            </w:r>
            <w:proofErr w:type="spellStart"/>
            <w:r w:rsidRPr="00487834">
              <w:t>equity</w:t>
            </w:r>
            <w:proofErr w:type="spellEnd"/>
          </w:p>
        </w:tc>
      </w:tr>
      <w:tr w:rsidR="00D75622" w:rsidRPr="00487834" w14:paraId="5817E841" w14:textId="77777777" w:rsidTr="00BF355C">
        <w:trPr>
          <w:trHeight w:val="260"/>
          <w:jc w:val="center"/>
        </w:trPr>
        <w:tc>
          <w:tcPr>
            <w:tcW w:w="6160" w:type="dxa"/>
            <w:gridSpan w:val="2"/>
            <w:tcBorders>
              <w:top w:val="nil"/>
              <w:left w:val="nil"/>
              <w:bottom w:val="nil"/>
              <w:right w:val="nil"/>
            </w:tcBorders>
            <w:shd w:val="clear" w:color="auto" w:fill="auto"/>
            <w:noWrap/>
            <w:vAlign w:val="bottom"/>
            <w:hideMark/>
          </w:tcPr>
          <w:p w14:paraId="6C4CC469" w14:textId="77777777" w:rsidR="00D75622" w:rsidRPr="00487834" w:rsidRDefault="00D75622" w:rsidP="00F36A29">
            <w:pPr>
              <w:pStyle w:val="NoSpacing"/>
            </w:pPr>
            <w:r w:rsidRPr="00487834">
              <w:t xml:space="preserve">Independent </w:t>
            </w:r>
            <w:proofErr w:type="spellStart"/>
            <w:r w:rsidRPr="00487834">
              <w:t>variable</w:t>
            </w:r>
            <w:proofErr w:type="spellEnd"/>
            <w:r w:rsidRPr="00487834">
              <w:t>:</w:t>
            </w:r>
          </w:p>
        </w:tc>
      </w:tr>
      <w:tr w:rsidR="00D75622" w:rsidRPr="00487834" w14:paraId="11DA0955" w14:textId="77777777" w:rsidTr="00BF355C">
        <w:trPr>
          <w:trHeight w:val="260"/>
          <w:jc w:val="center"/>
        </w:trPr>
        <w:tc>
          <w:tcPr>
            <w:tcW w:w="1169" w:type="dxa"/>
            <w:tcBorders>
              <w:top w:val="nil"/>
              <w:left w:val="nil"/>
              <w:bottom w:val="nil"/>
              <w:right w:val="nil"/>
            </w:tcBorders>
            <w:shd w:val="clear" w:color="auto" w:fill="auto"/>
            <w:noWrap/>
            <w:vAlign w:val="center"/>
            <w:hideMark/>
          </w:tcPr>
          <w:p w14:paraId="2835E60C" w14:textId="77777777" w:rsidR="00D75622" w:rsidRPr="00487834" w:rsidRDefault="00D75622" w:rsidP="00F36A29">
            <w:pPr>
              <w:pStyle w:val="NoSpacing"/>
              <w:rPr>
                <w:i/>
                <w:iCs/>
              </w:rPr>
            </w:pPr>
            <w:r w:rsidRPr="00487834">
              <w:rPr>
                <w:i/>
                <w:iCs/>
              </w:rPr>
              <w:t>ESG</w:t>
            </w:r>
          </w:p>
        </w:tc>
        <w:tc>
          <w:tcPr>
            <w:tcW w:w="4991" w:type="dxa"/>
            <w:tcBorders>
              <w:top w:val="nil"/>
              <w:left w:val="nil"/>
              <w:bottom w:val="nil"/>
              <w:right w:val="nil"/>
            </w:tcBorders>
            <w:shd w:val="clear" w:color="auto" w:fill="auto"/>
            <w:noWrap/>
            <w:vAlign w:val="center"/>
            <w:hideMark/>
          </w:tcPr>
          <w:p w14:paraId="36C72B6F" w14:textId="77777777" w:rsidR="00D75622" w:rsidRPr="00487834" w:rsidRDefault="00D75622" w:rsidP="00F36A29">
            <w:pPr>
              <w:pStyle w:val="NoSpacing"/>
            </w:pPr>
            <w:r w:rsidRPr="00487834">
              <w:t xml:space="preserve">ESG </w:t>
            </w:r>
            <w:proofErr w:type="spellStart"/>
            <w:r w:rsidRPr="00487834">
              <w:t>score</w:t>
            </w:r>
            <w:proofErr w:type="spellEnd"/>
          </w:p>
        </w:tc>
      </w:tr>
      <w:tr w:rsidR="00D75622" w:rsidRPr="00487834" w14:paraId="710170DF" w14:textId="77777777" w:rsidTr="00BF355C">
        <w:trPr>
          <w:trHeight w:val="260"/>
          <w:jc w:val="center"/>
        </w:trPr>
        <w:tc>
          <w:tcPr>
            <w:tcW w:w="6160" w:type="dxa"/>
            <w:gridSpan w:val="2"/>
            <w:tcBorders>
              <w:top w:val="nil"/>
              <w:left w:val="nil"/>
              <w:bottom w:val="nil"/>
              <w:right w:val="nil"/>
            </w:tcBorders>
            <w:shd w:val="clear" w:color="auto" w:fill="auto"/>
            <w:noWrap/>
            <w:vAlign w:val="bottom"/>
            <w:hideMark/>
          </w:tcPr>
          <w:p w14:paraId="74A4CAB5" w14:textId="77777777" w:rsidR="00D75622" w:rsidRPr="00487834" w:rsidRDefault="00D75622" w:rsidP="00F36A29">
            <w:pPr>
              <w:pStyle w:val="NoSpacing"/>
            </w:pPr>
            <w:r w:rsidRPr="00487834">
              <w:t xml:space="preserve">Control </w:t>
            </w:r>
            <w:proofErr w:type="spellStart"/>
            <w:r w:rsidRPr="00487834">
              <w:t>variables</w:t>
            </w:r>
            <w:proofErr w:type="spellEnd"/>
            <w:r w:rsidRPr="00487834">
              <w:t xml:space="preserve"> </w:t>
            </w:r>
            <w:proofErr w:type="spellStart"/>
            <w:r w:rsidRPr="00487834">
              <w:t>for</w:t>
            </w:r>
            <w:proofErr w:type="spellEnd"/>
            <w:r w:rsidRPr="00487834">
              <w:t xml:space="preserve"> </w:t>
            </w:r>
            <w:proofErr w:type="spellStart"/>
            <w:r w:rsidRPr="00487834">
              <w:t>Kd</w:t>
            </w:r>
            <w:proofErr w:type="spellEnd"/>
            <w:r w:rsidRPr="00487834">
              <w:t>:</w:t>
            </w:r>
          </w:p>
        </w:tc>
      </w:tr>
      <w:tr w:rsidR="00D75622" w:rsidRPr="00487834" w14:paraId="4FFD08EA" w14:textId="77777777" w:rsidTr="00BF355C">
        <w:trPr>
          <w:trHeight w:val="260"/>
          <w:jc w:val="center"/>
        </w:trPr>
        <w:tc>
          <w:tcPr>
            <w:tcW w:w="1169" w:type="dxa"/>
            <w:tcBorders>
              <w:top w:val="nil"/>
              <w:left w:val="nil"/>
              <w:bottom w:val="nil"/>
              <w:right w:val="nil"/>
            </w:tcBorders>
            <w:shd w:val="clear" w:color="auto" w:fill="auto"/>
            <w:noWrap/>
            <w:vAlign w:val="center"/>
            <w:hideMark/>
          </w:tcPr>
          <w:p w14:paraId="5F54033C" w14:textId="77777777" w:rsidR="00D75622" w:rsidRPr="00487834" w:rsidRDefault="00D75622" w:rsidP="00F36A29">
            <w:pPr>
              <w:pStyle w:val="NoSpacing"/>
              <w:rPr>
                <w:i/>
                <w:iCs/>
              </w:rPr>
            </w:pPr>
            <w:r w:rsidRPr="00487834">
              <w:rPr>
                <w:i/>
                <w:iCs/>
              </w:rPr>
              <w:t>MCAP</w:t>
            </w:r>
          </w:p>
        </w:tc>
        <w:tc>
          <w:tcPr>
            <w:tcW w:w="4991" w:type="dxa"/>
            <w:tcBorders>
              <w:top w:val="nil"/>
              <w:left w:val="nil"/>
              <w:bottom w:val="nil"/>
              <w:right w:val="nil"/>
            </w:tcBorders>
            <w:shd w:val="clear" w:color="auto" w:fill="auto"/>
            <w:noWrap/>
            <w:vAlign w:val="center"/>
            <w:hideMark/>
          </w:tcPr>
          <w:p w14:paraId="350D081D" w14:textId="77777777" w:rsidR="00D75622" w:rsidRPr="00487834" w:rsidRDefault="00D75622" w:rsidP="00F36A29">
            <w:pPr>
              <w:pStyle w:val="NoSpacing"/>
            </w:pPr>
            <w:r w:rsidRPr="00487834">
              <w:t xml:space="preserve">Market </w:t>
            </w:r>
            <w:proofErr w:type="spellStart"/>
            <w:r w:rsidRPr="00487834">
              <w:t>capitalization</w:t>
            </w:r>
            <w:proofErr w:type="spellEnd"/>
          </w:p>
        </w:tc>
      </w:tr>
      <w:tr w:rsidR="00D75622" w:rsidRPr="00006E41" w14:paraId="5F64C03B" w14:textId="77777777" w:rsidTr="00BF355C">
        <w:trPr>
          <w:trHeight w:val="260"/>
          <w:jc w:val="center"/>
        </w:trPr>
        <w:tc>
          <w:tcPr>
            <w:tcW w:w="1169" w:type="dxa"/>
            <w:tcBorders>
              <w:top w:val="nil"/>
              <w:left w:val="nil"/>
              <w:bottom w:val="nil"/>
              <w:right w:val="nil"/>
            </w:tcBorders>
            <w:shd w:val="clear" w:color="auto" w:fill="auto"/>
            <w:noWrap/>
            <w:vAlign w:val="center"/>
            <w:hideMark/>
          </w:tcPr>
          <w:p w14:paraId="394BE4AE" w14:textId="77777777" w:rsidR="00D75622" w:rsidRPr="00487834" w:rsidRDefault="00D75622" w:rsidP="00F36A29">
            <w:pPr>
              <w:pStyle w:val="NoSpacing"/>
              <w:rPr>
                <w:i/>
                <w:iCs/>
              </w:rPr>
            </w:pPr>
            <w:r w:rsidRPr="00487834">
              <w:rPr>
                <w:i/>
                <w:iCs/>
              </w:rPr>
              <w:t>LEV</w:t>
            </w:r>
          </w:p>
        </w:tc>
        <w:tc>
          <w:tcPr>
            <w:tcW w:w="4991" w:type="dxa"/>
            <w:tcBorders>
              <w:top w:val="nil"/>
              <w:left w:val="nil"/>
              <w:bottom w:val="nil"/>
              <w:right w:val="nil"/>
            </w:tcBorders>
            <w:shd w:val="clear" w:color="auto" w:fill="auto"/>
            <w:noWrap/>
            <w:vAlign w:val="center"/>
            <w:hideMark/>
          </w:tcPr>
          <w:p w14:paraId="2F90C1BA" w14:textId="77777777" w:rsidR="00D75622" w:rsidRPr="00487834" w:rsidRDefault="00D75622" w:rsidP="00F36A29">
            <w:pPr>
              <w:pStyle w:val="NoSpacing"/>
              <w:rPr>
                <w:lang w:val="en-US"/>
              </w:rPr>
            </w:pPr>
            <w:r w:rsidRPr="00487834">
              <w:rPr>
                <w:lang w:val="en-US"/>
              </w:rPr>
              <w:t>Leverage defined as the ratio of total debt to total assets</w:t>
            </w:r>
          </w:p>
        </w:tc>
      </w:tr>
      <w:tr w:rsidR="00D75622" w:rsidRPr="00487834" w14:paraId="4EF5B7A2" w14:textId="77777777" w:rsidTr="00BF355C">
        <w:trPr>
          <w:trHeight w:val="260"/>
          <w:jc w:val="center"/>
        </w:trPr>
        <w:tc>
          <w:tcPr>
            <w:tcW w:w="1169" w:type="dxa"/>
            <w:tcBorders>
              <w:top w:val="nil"/>
              <w:left w:val="nil"/>
              <w:bottom w:val="nil"/>
              <w:right w:val="nil"/>
            </w:tcBorders>
            <w:shd w:val="clear" w:color="auto" w:fill="auto"/>
            <w:noWrap/>
            <w:vAlign w:val="center"/>
            <w:hideMark/>
          </w:tcPr>
          <w:p w14:paraId="372F7219" w14:textId="77777777" w:rsidR="00D75622" w:rsidRPr="00487834" w:rsidRDefault="00D75622" w:rsidP="00F36A29">
            <w:pPr>
              <w:pStyle w:val="NoSpacing"/>
              <w:rPr>
                <w:i/>
                <w:iCs/>
              </w:rPr>
            </w:pPr>
            <w:r w:rsidRPr="00487834">
              <w:rPr>
                <w:i/>
                <w:iCs/>
              </w:rPr>
              <w:t>ICR</w:t>
            </w:r>
          </w:p>
        </w:tc>
        <w:tc>
          <w:tcPr>
            <w:tcW w:w="4991" w:type="dxa"/>
            <w:tcBorders>
              <w:top w:val="nil"/>
              <w:left w:val="nil"/>
              <w:bottom w:val="nil"/>
              <w:right w:val="nil"/>
            </w:tcBorders>
            <w:shd w:val="clear" w:color="auto" w:fill="auto"/>
            <w:noWrap/>
            <w:vAlign w:val="center"/>
            <w:hideMark/>
          </w:tcPr>
          <w:p w14:paraId="3238FAAE" w14:textId="77777777" w:rsidR="00D75622" w:rsidRPr="00487834" w:rsidRDefault="00D75622" w:rsidP="00F36A29">
            <w:pPr>
              <w:pStyle w:val="NoSpacing"/>
            </w:pPr>
            <w:proofErr w:type="spellStart"/>
            <w:r w:rsidRPr="00487834">
              <w:t>Interest</w:t>
            </w:r>
            <w:proofErr w:type="spellEnd"/>
            <w:r w:rsidRPr="00487834">
              <w:t xml:space="preserve"> </w:t>
            </w:r>
            <w:proofErr w:type="spellStart"/>
            <w:r w:rsidRPr="00487834">
              <w:t>coverage</w:t>
            </w:r>
            <w:proofErr w:type="spellEnd"/>
            <w:r w:rsidRPr="00487834">
              <w:t xml:space="preserve"> </w:t>
            </w:r>
            <w:proofErr w:type="spellStart"/>
            <w:r w:rsidRPr="00487834">
              <w:t>ratio</w:t>
            </w:r>
            <w:proofErr w:type="spellEnd"/>
          </w:p>
        </w:tc>
      </w:tr>
      <w:tr w:rsidR="00D75622" w:rsidRPr="00487834" w14:paraId="2B701AC8" w14:textId="77777777" w:rsidTr="00BF355C">
        <w:trPr>
          <w:trHeight w:val="260"/>
          <w:jc w:val="center"/>
        </w:trPr>
        <w:tc>
          <w:tcPr>
            <w:tcW w:w="1169" w:type="dxa"/>
            <w:tcBorders>
              <w:top w:val="nil"/>
              <w:left w:val="nil"/>
              <w:bottom w:val="nil"/>
              <w:right w:val="nil"/>
            </w:tcBorders>
            <w:shd w:val="clear" w:color="auto" w:fill="auto"/>
            <w:noWrap/>
            <w:vAlign w:val="center"/>
            <w:hideMark/>
          </w:tcPr>
          <w:p w14:paraId="43929433" w14:textId="77777777" w:rsidR="00D75622" w:rsidRPr="00487834" w:rsidRDefault="00D75622" w:rsidP="00F36A29">
            <w:pPr>
              <w:pStyle w:val="NoSpacing"/>
              <w:rPr>
                <w:i/>
                <w:iCs/>
              </w:rPr>
            </w:pPr>
            <w:r w:rsidRPr="00487834">
              <w:rPr>
                <w:i/>
                <w:iCs/>
              </w:rPr>
              <w:t>Current</w:t>
            </w:r>
          </w:p>
        </w:tc>
        <w:tc>
          <w:tcPr>
            <w:tcW w:w="4991" w:type="dxa"/>
            <w:tcBorders>
              <w:top w:val="nil"/>
              <w:left w:val="nil"/>
              <w:bottom w:val="nil"/>
              <w:right w:val="nil"/>
            </w:tcBorders>
            <w:shd w:val="clear" w:color="auto" w:fill="auto"/>
            <w:noWrap/>
            <w:vAlign w:val="center"/>
            <w:hideMark/>
          </w:tcPr>
          <w:p w14:paraId="694C33E7" w14:textId="77777777" w:rsidR="00D75622" w:rsidRPr="00487834" w:rsidRDefault="00D75622" w:rsidP="00F36A29">
            <w:pPr>
              <w:pStyle w:val="NoSpacing"/>
            </w:pPr>
            <w:r w:rsidRPr="00487834">
              <w:t xml:space="preserve">Current </w:t>
            </w:r>
            <w:proofErr w:type="spellStart"/>
            <w:r w:rsidRPr="00487834">
              <w:t>ratio</w:t>
            </w:r>
            <w:proofErr w:type="spellEnd"/>
          </w:p>
        </w:tc>
      </w:tr>
      <w:tr w:rsidR="00D75622" w:rsidRPr="00006E41" w14:paraId="11C7F13A" w14:textId="77777777" w:rsidTr="00BF355C">
        <w:trPr>
          <w:trHeight w:val="260"/>
          <w:jc w:val="center"/>
        </w:trPr>
        <w:tc>
          <w:tcPr>
            <w:tcW w:w="1169" w:type="dxa"/>
            <w:tcBorders>
              <w:top w:val="nil"/>
              <w:left w:val="nil"/>
              <w:bottom w:val="nil"/>
              <w:right w:val="nil"/>
            </w:tcBorders>
            <w:shd w:val="clear" w:color="auto" w:fill="auto"/>
            <w:noWrap/>
            <w:vAlign w:val="center"/>
            <w:hideMark/>
          </w:tcPr>
          <w:p w14:paraId="06C039C9" w14:textId="77777777" w:rsidR="00D75622" w:rsidRPr="00487834" w:rsidRDefault="00D75622" w:rsidP="00F36A29">
            <w:pPr>
              <w:pStyle w:val="NoSpacing"/>
              <w:rPr>
                <w:i/>
                <w:iCs/>
              </w:rPr>
            </w:pPr>
            <w:r w:rsidRPr="00487834">
              <w:rPr>
                <w:i/>
                <w:iCs/>
              </w:rPr>
              <w:t>TLPA</w:t>
            </w:r>
          </w:p>
        </w:tc>
        <w:tc>
          <w:tcPr>
            <w:tcW w:w="4991" w:type="dxa"/>
            <w:tcBorders>
              <w:top w:val="nil"/>
              <w:left w:val="nil"/>
              <w:bottom w:val="nil"/>
              <w:right w:val="nil"/>
            </w:tcBorders>
            <w:shd w:val="clear" w:color="auto" w:fill="auto"/>
            <w:noWrap/>
            <w:vAlign w:val="center"/>
            <w:hideMark/>
          </w:tcPr>
          <w:p w14:paraId="1775804E" w14:textId="77777777" w:rsidR="00D75622" w:rsidRPr="00487834" w:rsidRDefault="00D75622" w:rsidP="00F36A29">
            <w:pPr>
              <w:pStyle w:val="NoSpacing"/>
              <w:rPr>
                <w:lang w:val="en-US"/>
              </w:rPr>
            </w:pPr>
            <w:r w:rsidRPr="00487834">
              <w:rPr>
                <w:lang w:val="en-US"/>
              </w:rPr>
              <w:t>Total liabilities as a percentage of total assets</w:t>
            </w:r>
          </w:p>
        </w:tc>
      </w:tr>
      <w:tr w:rsidR="00D75622" w:rsidRPr="00487834" w14:paraId="2BDB42F6" w14:textId="77777777" w:rsidTr="00BF355C">
        <w:trPr>
          <w:trHeight w:val="260"/>
          <w:jc w:val="center"/>
        </w:trPr>
        <w:tc>
          <w:tcPr>
            <w:tcW w:w="1169" w:type="dxa"/>
            <w:tcBorders>
              <w:top w:val="nil"/>
              <w:left w:val="nil"/>
              <w:bottom w:val="nil"/>
              <w:right w:val="nil"/>
            </w:tcBorders>
            <w:shd w:val="clear" w:color="auto" w:fill="auto"/>
            <w:noWrap/>
            <w:vAlign w:val="center"/>
            <w:hideMark/>
          </w:tcPr>
          <w:p w14:paraId="3E7DFD16" w14:textId="77777777" w:rsidR="00D75622" w:rsidRPr="00487834" w:rsidRDefault="00D75622" w:rsidP="00F36A29">
            <w:pPr>
              <w:pStyle w:val="NoSpacing"/>
              <w:rPr>
                <w:i/>
                <w:iCs/>
              </w:rPr>
            </w:pPr>
            <w:r w:rsidRPr="00487834">
              <w:rPr>
                <w:i/>
                <w:iCs/>
              </w:rPr>
              <w:t>ND/EBITDA</w:t>
            </w:r>
          </w:p>
        </w:tc>
        <w:tc>
          <w:tcPr>
            <w:tcW w:w="4991" w:type="dxa"/>
            <w:tcBorders>
              <w:top w:val="nil"/>
              <w:left w:val="nil"/>
              <w:bottom w:val="nil"/>
              <w:right w:val="nil"/>
            </w:tcBorders>
            <w:shd w:val="clear" w:color="auto" w:fill="auto"/>
            <w:noWrap/>
            <w:vAlign w:val="center"/>
            <w:hideMark/>
          </w:tcPr>
          <w:p w14:paraId="0263059E" w14:textId="77777777" w:rsidR="00D75622" w:rsidRPr="00487834" w:rsidRDefault="00D75622" w:rsidP="00F36A29">
            <w:pPr>
              <w:pStyle w:val="NoSpacing"/>
            </w:pPr>
            <w:r w:rsidRPr="00487834">
              <w:t xml:space="preserve">Net </w:t>
            </w:r>
            <w:proofErr w:type="spellStart"/>
            <w:r w:rsidRPr="00487834">
              <w:t>debt</w:t>
            </w:r>
            <w:proofErr w:type="spellEnd"/>
            <w:r w:rsidRPr="00487834">
              <w:t xml:space="preserve"> </w:t>
            </w:r>
            <w:proofErr w:type="spellStart"/>
            <w:r w:rsidRPr="00487834">
              <w:t>to</w:t>
            </w:r>
            <w:proofErr w:type="spellEnd"/>
            <w:r w:rsidRPr="00487834">
              <w:t xml:space="preserve"> EBITDA</w:t>
            </w:r>
          </w:p>
        </w:tc>
      </w:tr>
      <w:tr w:rsidR="00D75622" w:rsidRPr="00487834" w14:paraId="7F761B80" w14:textId="77777777" w:rsidTr="00BF355C">
        <w:trPr>
          <w:trHeight w:val="260"/>
          <w:jc w:val="center"/>
        </w:trPr>
        <w:tc>
          <w:tcPr>
            <w:tcW w:w="1169" w:type="dxa"/>
            <w:tcBorders>
              <w:top w:val="nil"/>
              <w:left w:val="nil"/>
              <w:bottom w:val="nil"/>
              <w:right w:val="nil"/>
            </w:tcBorders>
            <w:shd w:val="clear" w:color="auto" w:fill="auto"/>
            <w:noWrap/>
            <w:vAlign w:val="center"/>
            <w:hideMark/>
          </w:tcPr>
          <w:p w14:paraId="15A49291" w14:textId="77777777" w:rsidR="00D75622" w:rsidRPr="00487834" w:rsidRDefault="00D75622" w:rsidP="00F36A29">
            <w:pPr>
              <w:pStyle w:val="NoSpacing"/>
              <w:rPr>
                <w:i/>
                <w:iCs/>
              </w:rPr>
            </w:pPr>
            <w:r w:rsidRPr="00487834">
              <w:rPr>
                <w:i/>
                <w:iCs/>
              </w:rPr>
              <w:t>ROA</w:t>
            </w:r>
          </w:p>
        </w:tc>
        <w:tc>
          <w:tcPr>
            <w:tcW w:w="4991" w:type="dxa"/>
            <w:tcBorders>
              <w:top w:val="nil"/>
              <w:left w:val="nil"/>
              <w:bottom w:val="nil"/>
              <w:right w:val="nil"/>
            </w:tcBorders>
            <w:shd w:val="clear" w:color="auto" w:fill="auto"/>
            <w:noWrap/>
            <w:vAlign w:val="center"/>
            <w:hideMark/>
          </w:tcPr>
          <w:p w14:paraId="65977BD2" w14:textId="77777777" w:rsidR="00D75622" w:rsidRPr="00487834" w:rsidRDefault="00D75622" w:rsidP="00F36A29">
            <w:pPr>
              <w:pStyle w:val="NoSpacing"/>
            </w:pPr>
            <w:r w:rsidRPr="00487834">
              <w:t xml:space="preserve">Return </w:t>
            </w:r>
            <w:proofErr w:type="spellStart"/>
            <w:r w:rsidRPr="00487834">
              <w:t>on</w:t>
            </w:r>
            <w:proofErr w:type="spellEnd"/>
            <w:r w:rsidRPr="00487834">
              <w:t xml:space="preserve"> </w:t>
            </w:r>
            <w:proofErr w:type="spellStart"/>
            <w:r w:rsidRPr="00487834">
              <w:t>assets</w:t>
            </w:r>
            <w:proofErr w:type="spellEnd"/>
          </w:p>
        </w:tc>
      </w:tr>
      <w:tr w:rsidR="00D75622" w:rsidRPr="00487834" w14:paraId="25C1664D" w14:textId="77777777" w:rsidTr="00BF355C">
        <w:trPr>
          <w:trHeight w:val="260"/>
          <w:jc w:val="center"/>
        </w:trPr>
        <w:tc>
          <w:tcPr>
            <w:tcW w:w="6160" w:type="dxa"/>
            <w:gridSpan w:val="2"/>
            <w:tcBorders>
              <w:top w:val="nil"/>
              <w:left w:val="nil"/>
              <w:bottom w:val="nil"/>
              <w:right w:val="nil"/>
            </w:tcBorders>
            <w:shd w:val="clear" w:color="auto" w:fill="auto"/>
            <w:noWrap/>
            <w:vAlign w:val="bottom"/>
            <w:hideMark/>
          </w:tcPr>
          <w:p w14:paraId="7109F322" w14:textId="77777777" w:rsidR="00D75622" w:rsidRPr="00487834" w:rsidRDefault="00D75622" w:rsidP="00F36A29">
            <w:pPr>
              <w:pStyle w:val="NoSpacing"/>
            </w:pPr>
            <w:r w:rsidRPr="00487834">
              <w:t xml:space="preserve">Control </w:t>
            </w:r>
            <w:proofErr w:type="spellStart"/>
            <w:r w:rsidRPr="00487834">
              <w:t>variables</w:t>
            </w:r>
            <w:proofErr w:type="spellEnd"/>
            <w:r w:rsidRPr="00487834">
              <w:t xml:space="preserve"> </w:t>
            </w:r>
            <w:proofErr w:type="spellStart"/>
            <w:r w:rsidRPr="00487834">
              <w:t>for</w:t>
            </w:r>
            <w:proofErr w:type="spellEnd"/>
            <w:r w:rsidRPr="00487834">
              <w:t xml:space="preserve"> </w:t>
            </w:r>
            <w:proofErr w:type="spellStart"/>
            <w:r w:rsidRPr="00487834">
              <w:t>Ke</w:t>
            </w:r>
            <w:proofErr w:type="spellEnd"/>
            <w:r w:rsidRPr="00487834">
              <w:t>:</w:t>
            </w:r>
          </w:p>
        </w:tc>
      </w:tr>
      <w:tr w:rsidR="00D75622" w:rsidRPr="00487834" w14:paraId="26BFA584" w14:textId="77777777" w:rsidTr="00BF355C">
        <w:trPr>
          <w:trHeight w:val="260"/>
          <w:jc w:val="center"/>
        </w:trPr>
        <w:tc>
          <w:tcPr>
            <w:tcW w:w="1169" w:type="dxa"/>
            <w:tcBorders>
              <w:top w:val="nil"/>
              <w:left w:val="nil"/>
              <w:bottom w:val="nil"/>
              <w:right w:val="nil"/>
            </w:tcBorders>
            <w:shd w:val="clear" w:color="auto" w:fill="auto"/>
            <w:noWrap/>
            <w:vAlign w:val="center"/>
            <w:hideMark/>
          </w:tcPr>
          <w:p w14:paraId="077E50B2" w14:textId="77777777" w:rsidR="00D75622" w:rsidRPr="00487834" w:rsidRDefault="00D75622" w:rsidP="00F36A29">
            <w:pPr>
              <w:pStyle w:val="NoSpacing"/>
              <w:rPr>
                <w:i/>
                <w:iCs/>
              </w:rPr>
            </w:pPr>
            <w:r w:rsidRPr="00487834">
              <w:rPr>
                <w:i/>
                <w:iCs/>
              </w:rPr>
              <w:t>MCAP</w:t>
            </w:r>
          </w:p>
        </w:tc>
        <w:tc>
          <w:tcPr>
            <w:tcW w:w="4991" w:type="dxa"/>
            <w:tcBorders>
              <w:top w:val="nil"/>
              <w:left w:val="nil"/>
              <w:bottom w:val="nil"/>
              <w:right w:val="nil"/>
            </w:tcBorders>
            <w:shd w:val="clear" w:color="auto" w:fill="auto"/>
            <w:noWrap/>
            <w:vAlign w:val="center"/>
            <w:hideMark/>
          </w:tcPr>
          <w:p w14:paraId="13EA8366" w14:textId="77777777" w:rsidR="00D75622" w:rsidRPr="00487834" w:rsidRDefault="00D75622" w:rsidP="00F36A29">
            <w:pPr>
              <w:pStyle w:val="NoSpacing"/>
            </w:pPr>
            <w:r w:rsidRPr="00487834">
              <w:t xml:space="preserve">Market </w:t>
            </w:r>
            <w:proofErr w:type="spellStart"/>
            <w:r w:rsidRPr="00487834">
              <w:t>capitalization</w:t>
            </w:r>
            <w:proofErr w:type="spellEnd"/>
          </w:p>
        </w:tc>
      </w:tr>
      <w:tr w:rsidR="00D75622" w:rsidRPr="00487834" w14:paraId="53D08DEB" w14:textId="77777777" w:rsidTr="00BF355C">
        <w:trPr>
          <w:trHeight w:val="260"/>
          <w:jc w:val="center"/>
        </w:trPr>
        <w:tc>
          <w:tcPr>
            <w:tcW w:w="1169" w:type="dxa"/>
            <w:tcBorders>
              <w:top w:val="nil"/>
              <w:left w:val="nil"/>
              <w:bottom w:val="nil"/>
              <w:right w:val="nil"/>
            </w:tcBorders>
            <w:shd w:val="clear" w:color="auto" w:fill="auto"/>
            <w:noWrap/>
            <w:vAlign w:val="center"/>
            <w:hideMark/>
          </w:tcPr>
          <w:p w14:paraId="213D7B0B" w14:textId="77777777" w:rsidR="00D75622" w:rsidRPr="00487834" w:rsidRDefault="00D75622" w:rsidP="00F36A29">
            <w:pPr>
              <w:pStyle w:val="NoSpacing"/>
              <w:rPr>
                <w:i/>
                <w:iCs/>
              </w:rPr>
            </w:pPr>
            <w:r w:rsidRPr="00487834">
              <w:rPr>
                <w:i/>
                <w:iCs/>
              </w:rPr>
              <w:t>PE</w:t>
            </w:r>
          </w:p>
        </w:tc>
        <w:tc>
          <w:tcPr>
            <w:tcW w:w="4991" w:type="dxa"/>
            <w:tcBorders>
              <w:top w:val="nil"/>
              <w:left w:val="nil"/>
              <w:bottom w:val="nil"/>
              <w:right w:val="nil"/>
            </w:tcBorders>
            <w:shd w:val="clear" w:color="auto" w:fill="auto"/>
            <w:noWrap/>
            <w:vAlign w:val="center"/>
            <w:hideMark/>
          </w:tcPr>
          <w:p w14:paraId="4EA6106A" w14:textId="77777777" w:rsidR="00D75622" w:rsidRPr="00487834" w:rsidRDefault="00D75622" w:rsidP="00F36A29">
            <w:pPr>
              <w:pStyle w:val="NoSpacing"/>
            </w:pPr>
            <w:r w:rsidRPr="00487834">
              <w:t xml:space="preserve">Price </w:t>
            </w:r>
            <w:proofErr w:type="spellStart"/>
            <w:r w:rsidRPr="00487834">
              <w:t>to</w:t>
            </w:r>
            <w:proofErr w:type="spellEnd"/>
            <w:r w:rsidRPr="00487834">
              <w:t xml:space="preserve"> </w:t>
            </w:r>
            <w:proofErr w:type="spellStart"/>
            <w:r w:rsidRPr="00487834">
              <w:t>earnings</w:t>
            </w:r>
            <w:proofErr w:type="spellEnd"/>
          </w:p>
        </w:tc>
      </w:tr>
      <w:tr w:rsidR="00D75622" w:rsidRPr="00006E41" w14:paraId="0583159A" w14:textId="77777777" w:rsidTr="00BF355C">
        <w:trPr>
          <w:trHeight w:val="260"/>
          <w:jc w:val="center"/>
        </w:trPr>
        <w:tc>
          <w:tcPr>
            <w:tcW w:w="1169" w:type="dxa"/>
            <w:tcBorders>
              <w:top w:val="nil"/>
              <w:left w:val="nil"/>
              <w:bottom w:val="nil"/>
              <w:right w:val="nil"/>
            </w:tcBorders>
            <w:shd w:val="clear" w:color="auto" w:fill="auto"/>
            <w:noWrap/>
            <w:vAlign w:val="center"/>
            <w:hideMark/>
          </w:tcPr>
          <w:p w14:paraId="02E1614B" w14:textId="77777777" w:rsidR="00D75622" w:rsidRPr="00487834" w:rsidRDefault="00D75622" w:rsidP="00F36A29">
            <w:pPr>
              <w:pStyle w:val="NoSpacing"/>
              <w:rPr>
                <w:i/>
                <w:iCs/>
              </w:rPr>
            </w:pPr>
            <w:r w:rsidRPr="00487834">
              <w:rPr>
                <w:i/>
                <w:iCs/>
              </w:rPr>
              <w:t>MTB</w:t>
            </w:r>
          </w:p>
        </w:tc>
        <w:tc>
          <w:tcPr>
            <w:tcW w:w="4991" w:type="dxa"/>
            <w:tcBorders>
              <w:top w:val="nil"/>
              <w:left w:val="nil"/>
              <w:bottom w:val="nil"/>
              <w:right w:val="nil"/>
            </w:tcBorders>
            <w:shd w:val="clear" w:color="auto" w:fill="auto"/>
            <w:noWrap/>
            <w:vAlign w:val="center"/>
            <w:hideMark/>
          </w:tcPr>
          <w:p w14:paraId="1B5E2376" w14:textId="77777777" w:rsidR="00D75622" w:rsidRPr="00487834" w:rsidRDefault="00D75622" w:rsidP="00F36A29">
            <w:pPr>
              <w:pStyle w:val="NoSpacing"/>
              <w:rPr>
                <w:lang w:val="en-US"/>
              </w:rPr>
            </w:pPr>
            <w:r w:rsidRPr="00487834">
              <w:rPr>
                <w:lang w:val="en-US"/>
              </w:rPr>
              <w:t>Market to book value of equity</w:t>
            </w:r>
          </w:p>
        </w:tc>
      </w:tr>
      <w:tr w:rsidR="00D75622" w:rsidRPr="00487834" w14:paraId="7A9ACC9C" w14:textId="77777777" w:rsidTr="00BF355C">
        <w:trPr>
          <w:trHeight w:val="260"/>
          <w:jc w:val="center"/>
        </w:trPr>
        <w:tc>
          <w:tcPr>
            <w:tcW w:w="1169" w:type="dxa"/>
            <w:tcBorders>
              <w:top w:val="nil"/>
              <w:left w:val="nil"/>
              <w:bottom w:val="nil"/>
              <w:right w:val="nil"/>
            </w:tcBorders>
            <w:shd w:val="clear" w:color="auto" w:fill="auto"/>
            <w:noWrap/>
            <w:vAlign w:val="center"/>
            <w:hideMark/>
          </w:tcPr>
          <w:p w14:paraId="10E0741D" w14:textId="77777777" w:rsidR="00D75622" w:rsidRPr="00487834" w:rsidRDefault="00D75622" w:rsidP="00F36A29">
            <w:pPr>
              <w:pStyle w:val="NoSpacing"/>
              <w:rPr>
                <w:i/>
                <w:iCs/>
              </w:rPr>
            </w:pPr>
            <w:r w:rsidRPr="00487834">
              <w:rPr>
                <w:i/>
                <w:iCs/>
              </w:rPr>
              <w:t>BETA</w:t>
            </w:r>
          </w:p>
        </w:tc>
        <w:tc>
          <w:tcPr>
            <w:tcW w:w="4991" w:type="dxa"/>
            <w:tcBorders>
              <w:top w:val="nil"/>
              <w:left w:val="nil"/>
              <w:bottom w:val="nil"/>
              <w:right w:val="nil"/>
            </w:tcBorders>
            <w:shd w:val="clear" w:color="auto" w:fill="auto"/>
            <w:noWrap/>
            <w:vAlign w:val="center"/>
            <w:hideMark/>
          </w:tcPr>
          <w:p w14:paraId="0DD334BC" w14:textId="77777777" w:rsidR="00D75622" w:rsidRPr="00487834" w:rsidRDefault="00D75622" w:rsidP="00F36A29">
            <w:pPr>
              <w:pStyle w:val="NoSpacing"/>
            </w:pPr>
            <w:proofErr w:type="spellStart"/>
            <w:r w:rsidRPr="00487834">
              <w:t>Beta</w:t>
            </w:r>
            <w:proofErr w:type="spellEnd"/>
            <w:r w:rsidRPr="00487834">
              <w:t xml:space="preserve"> </w:t>
            </w:r>
            <w:proofErr w:type="spellStart"/>
            <w:r w:rsidRPr="00487834">
              <w:t>levered</w:t>
            </w:r>
            <w:proofErr w:type="spellEnd"/>
          </w:p>
        </w:tc>
      </w:tr>
      <w:tr w:rsidR="00D75622" w:rsidRPr="00487834" w14:paraId="4D84B665" w14:textId="77777777" w:rsidTr="00BF355C">
        <w:trPr>
          <w:trHeight w:val="260"/>
          <w:jc w:val="center"/>
        </w:trPr>
        <w:tc>
          <w:tcPr>
            <w:tcW w:w="1169" w:type="dxa"/>
            <w:tcBorders>
              <w:top w:val="nil"/>
              <w:left w:val="nil"/>
              <w:bottom w:val="nil"/>
              <w:right w:val="nil"/>
            </w:tcBorders>
            <w:shd w:val="clear" w:color="auto" w:fill="auto"/>
            <w:noWrap/>
            <w:vAlign w:val="center"/>
            <w:hideMark/>
          </w:tcPr>
          <w:p w14:paraId="1FA88558" w14:textId="77777777" w:rsidR="00D75622" w:rsidRPr="00487834" w:rsidRDefault="00D75622" w:rsidP="00F36A29">
            <w:pPr>
              <w:pStyle w:val="NoSpacing"/>
              <w:rPr>
                <w:i/>
                <w:iCs/>
              </w:rPr>
            </w:pPr>
            <w:r w:rsidRPr="00487834">
              <w:rPr>
                <w:i/>
                <w:iCs/>
              </w:rPr>
              <w:t>ROE</w:t>
            </w:r>
          </w:p>
        </w:tc>
        <w:tc>
          <w:tcPr>
            <w:tcW w:w="4991" w:type="dxa"/>
            <w:tcBorders>
              <w:top w:val="nil"/>
              <w:left w:val="nil"/>
              <w:bottom w:val="nil"/>
              <w:right w:val="nil"/>
            </w:tcBorders>
            <w:shd w:val="clear" w:color="auto" w:fill="auto"/>
            <w:noWrap/>
            <w:vAlign w:val="center"/>
            <w:hideMark/>
          </w:tcPr>
          <w:p w14:paraId="1F10406F" w14:textId="77777777" w:rsidR="00D75622" w:rsidRPr="00487834" w:rsidRDefault="00D75622" w:rsidP="00F36A29">
            <w:pPr>
              <w:pStyle w:val="NoSpacing"/>
            </w:pPr>
            <w:r w:rsidRPr="00487834">
              <w:t xml:space="preserve">Return </w:t>
            </w:r>
            <w:proofErr w:type="spellStart"/>
            <w:r w:rsidRPr="00487834">
              <w:t>on</w:t>
            </w:r>
            <w:proofErr w:type="spellEnd"/>
            <w:r w:rsidRPr="00487834">
              <w:t xml:space="preserve"> </w:t>
            </w:r>
            <w:proofErr w:type="spellStart"/>
            <w:r w:rsidRPr="00487834">
              <w:t>equity</w:t>
            </w:r>
            <w:proofErr w:type="spellEnd"/>
          </w:p>
        </w:tc>
      </w:tr>
      <w:tr w:rsidR="00D75622" w:rsidRPr="00487834" w14:paraId="1D6F98CF" w14:textId="77777777" w:rsidTr="00BF355C">
        <w:trPr>
          <w:trHeight w:val="260"/>
          <w:jc w:val="center"/>
        </w:trPr>
        <w:tc>
          <w:tcPr>
            <w:tcW w:w="1169" w:type="dxa"/>
            <w:tcBorders>
              <w:top w:val="nil"/>
              <w:left w:val="nil"/>
              <w:bottom w:val="single" w:sz="4" w:space="0" w:color="auto"/>
              <w:right w:val="nil"/>
            </w:tcBorders>
            <w:shd w:val="clear" w:color="auto" w:fill="auto"/>
            <w:noWrap/>
            <w:vAlign w:val="center"/>
            <w:hideMark/>
          </w:tcPr>
          <w:p w14:paraId="775612E2" w14:textId="77777777" w:rsidR="00D75622" w:rsidRPr="00487834" w:rsidRDefault="00D75622" w:rsidP="00F36A29">
            <w:pPr>
              <w:pStyle w:val="NoSpacing"/>
              <w:rPr>
                <w:i/>
                <w:iCs/>
              </w:rPr>
            </w:pPr>
            <w:r w:rsidRPr="00487834">
              <w:rPr>
                <w:i/>
                <w:iCs/>
              </w:rPr>
              <w:t>EV/EBITDA</w:t>
            </w:r>
          </w:p>
        </w:tc>
        <w:tc>
          <w:tcPr>
            <w:tcW w:w="4991" w:type="dxa"/>
            <w:tcBorders>
              <w:top w:val="nil"/>
              <w:left w:val="nil"/>
              <w:bottom w:val="single" w:sz="4" w:space="0" w:color="auto"/>
              <w:right w:val="nil"/>
            </w:tcBorders>
            <w:shd w:val="clear" w:color="auto" w:fill="auto"/>
            <w:noWrap/>
            <w:vAlign w:val="center"/>
            <w:hideMark/>
          </w:tcPr>
          <w:p w14:paraId="3C1F7245" w14:textId="77777777" w:rsidR="00D75622" w:rsidRPr="00487834" w:rsidRDefault="00D75622" w:rsidP="00F36A29">
            <w:pPr>
              <w:pStyle w:val="NoSpacing"/>
            </w:pPr>
            <w:r w:rsidRPr="00487834">
              <w:t xml:space="preserve">Enterprise </w:t>
            </w:r>
            <w:proofErr w:type="spellStart"/>
            <w:r w:rsidRPr="00487834">
              <w:t>value</w:t>
            </w:r>
            <w:proofErr w:type="spellEnd"/>
            <w:r w:rsidRPr="00487834">
              <w:t xml:space="preserve"> </w:t>
            </w:r>
            <w:proofErr w:type="spellStart"/>
            <w:r w:rsidRPr="00487834">
              <w:t>to</w:t>
            </w:r>
            <w:proofErr w:type="spellEnd"/>
            <w:r w:rsidRPr="00487834">
              <w:t xml:space="preserve"> EBITDA</w:t>
            </w:r>
          </w:p>
        </w:tc>
      </w:tr>
    </w:tbl>
    <w:p w14:paraId="5D460B93" w14:textId="77777777" w:rsidR="00D75622" w:rsidRPr="00487834" w:rsidRDefault="00D75622" w:rsidP="003128F6">
      <w:pPr>
        <w:spacing w:line="300" w:lineRule="auto"/>
        <w:rPr>
          <w:b/>
          <w:bCs/>
          <w:color w:val="222222"/>
          <w:shd w:val="clear" w:color="auto" w:fill="FFFFFF"/>
          <w:lang w:val="en-US"/>
        </w:rPr>
      </w:pPr>
    </w:p>
    <w:p w14:paraId="6336E017" w14:textId="77777777" w:rsidR="00F85F9E" w:rsidRPr="00487834" w:rsidRDefault="00F85F9E" w:rsidP="003128F6">
      <w:pPr>
        <w:autoSpaceDE w:val="0"/>
        <w:autoSpaceDN w:val="0"/>
        <w:adjustRightInd w:val="0"/>
        <w:spacing w:line="300" w:lineRule="auto"/>
        <w:jc w:val="center"/>
        <w:rPr>
          <w:rFonts w:eastAsiaTheme="minorHAnsi"/>
          <w:lang w:val="en-GB" w:eastAsia="en-US"/>
        </w:rPr>
      </w:pPr>
    </w:p>
    <w:p w14:paraId="4B3FBC74" w14:textId="77777777" w:rsidR="00F85F9E" w:rsidRPr="00487834" w:rsidRDefault="00F85F9E" w:rsidP="003128F6">
      <w:pPr>
        <w:autoSpaceDE w:val="0"/>
        <w:autoSpaceDN w:val="0"/>
        <w:adjustRightInd w:val="0"/>
        <w:spacing w:line="300" w:lineRule="auto"/>
        <w:ind w:firstLine="720"/>
        <w:rPr>
          <w:rFonts w:eastAsiaTheme="minorHAnsi"/>
          <w:lang w:val="en-GB" w:eastAsia="en-US"/>
        </w:rPr>
      </w:pPr>
      <w:r w:rsidRPr="00487834">
        <w:rPr>
          <w:rFonts w:eastAsiaTheme="minorHAnsi"/>
          <w:lang w:val="en-GB" w:eastAsia="en-US"/>
        </w:rPr>
        <w:t xml:space="preserve">The independent variable in our model will be the ESG score of a respective firm. Meanwhile, the dependent variables will be the cost of equity r, and the cost of debt </w:t>
      </w:r>
      <w:proofErr w:type="spellStart"/>
      <w:r w:rsidRPr="00487834">
        <w:rPr>
          <w:rFonts w:eastAsiaTheme="minorHAnsi"/>
          <w:lang w:val="en-GB" w:eastAsia="en-US"/>
        </w:rPr>
        <w:t>K</w:t>
      </w:r>
      <w:r w:rsidRPr="00487834">
        <w:rPr>
          <w:rFonts w:eastAsiaTheme="minorHAnsi"/>
          <w:vertAlign w:val="subscript"/>
          <w:lang w:val="en-GB" w:eastAsia="en-US"/>
        </w:rPr>
        <w:t>d</w:t>
      </w:r>
      <w:proofErr w:type="spellEnd"/>
      <w:r w:rsidRPr="00487834">
        <w:rPr>
          <w:rFonts w:eastAsiaTheme="minorHAnsi"/>
          <w:lang w:val="en-GB" w:eastAsia="en-US"/>
        </w:rPr>
        <w:t>. A range of control variables will later be considered to ensure the substantiality of the model.</w:t>
      </w:r>
      <w:r w:rsidR="00B72D57" w:rsidRPr="00487834">
        <w:rPr>
          <w:rFonts w:eastAsiaTheme="minorHAnsi"/>
          <w:lang w:val="en-GB" w:eastAsia="en-US"/>
        </w:rPr>
        <w:tab/>
      </w:r>
      <w:r w:rsidR="00F47C69" w:rsidRPr="00487834">
        <w:rPr>
          <w:rFonts w:eastAsiaTheme="minorHAnsi"/>
          <w:lang w:val="en-GB" w:eastAsia="en-US"/>
        </w:rPr>
        <w:t>To proxy the size of a company there were two major option – average of total assets and market capitalization. Due to the former having immense multicollinearity and correlation with controls</w:t>
      </w:r>
      <w:r w:rsidR="001241BC" w:rsidRPr="00487834">
        <w:rPr>
          <w:rFonts w:eastAsiaTheme="minorHAnsi"/>
          <w:lang w:val="en-GB" w:eastAsia="en-US"/>
        </w:rPr>
        <w:t xml:space="preserve">, we decided to go forward with the market capitalization. To include it in our model without measurement errors we have taken natural logarithm values of market cap. </w:t>
      </w:r>
    </w:p>
    <w:p w14:paraId="672D8FC5" w14:textId="77777777" w:rsidR="00CF2A9A" w:rsidRPr="00487834" w:rsidRDefault="00CF2A9A" w:rsidP="003128F6">
      <w:pPr>
        <w:autoSpaceDE w:val="0"/>
        <w:autoSpaceDN w:val="0"/>
        <w:adjustRightInd w:val="0"/>
        <w:spacing w:line="300" w:lineRule="auto"/>
        <w:ind w:firstLine="720"/>
        <w:rPr>
          <w:rFonts w:eastAsiaTheme="minorHAnsi"/>
          <w:lang w:val="en-GB" w:eastAsia="en-US"/>
        </w:rPr>
      </w:pPr>
      <w:r w:rsidRPr="00487834">
        <w:rPr>
          <w:rFonts w:eastAsiaTheme="minorHAnsi"/>
          <w:lang w:val="en-GB" w:eastAsia="en-US"/>
        </w:rPr>
        <w:lastRenderedPageBreak/>
        <w:t xml:space="preserve">A range of controls for cost of debt was </w:t>
      </w:r>
      <w:r w:rsidR="008A3A49" w:rsidRPr="00487834">
        <w:rPr>
          <w:rFonts w:eastAsiaTheme="minorHAnsi"/>
          <w:lang w:val="en-GB" w:eastAsia="en-US"/>
        </w:rPr>
        <w:t xml:space="preserve">partly </w:t>
      </w:r>
      <w:r w:rsidRPr="00487834">
        <w:rPr>
          <w:rFonts w:eastAsiaTheme="minorHAnsi"/>
          <w:lang w:val="en-GB" w:eastAsia="en-US"/>
        </w:rPr>
        <w:t xml:space="preserve">based on </w:t>
      </w:r>
      <w:proofErr w:type="spellStart"/>
      <w:r w:rsidR="008A3A49" w:rsidRPr="00487834">
        <w:rPr>
          <w:rFonts w:eastAsiaTheme="minorHAnsi"/>
          <w:lang w:val="en-GB" w:eastAsia="en-US"/>
        </w:rPr>
        <w:t>Bhuyian</w:t>
      </w:r>
      <w:proofErr w:type="spellEnd"/>
      <w:r w:rsidR="008A3A49" w:rsidRPr="00487834">
        <w:rPr>
          <w:rFonts w:eastAsiaTheme="minorHAnsi"/>
          <w:lang w:val="en-GB" w:eastAsia="en-US"/>
        </w:rPr>
        <w:t xml:space="preserve"> et.al. (2020) that took the key liquidity and solvency ratios for credit analysis to substantiate the risk reflected in the spread part of the cost of debt. To </w:t>
      </w:r>
      <w:r w:rsidR="006F634A" w:rsidRPr="00487834">
        <w:rPr>
          <w:rFonts w:eastAsiaTheme="minorHAnsi"/>
          <w:lang w:val="en-GB" w:eastAsia="en-US"/>
        </w:rPr>
        <w:t xml:space="preserve">continue this </w:t>
      </w:r>
      <w:proofErr w:type="gramStart"/>
      <w:r w:rsidR="006F634A" w:rsidRPr="00487834">
        <w:rPr>
          <w:rFonts w:eastAsiaTheme="minorHAnsi"/>
          <w:lang w:val="en-GB" w:eastAsia="en-US"/>
        </w:rPr>
        <w:t>logic</w:t>
      </w:r>
      <w:proofErr w:type="gramEnd"/>
      <w:r w:rsidR="006F634A" w:rsidRPr="00487834">
        <w:rPr>
          <w:rFonts w:eastAsiaTheme="minorHAnsi"/>
          <w:lang w:val="en-GB" w:eastAsia="en-US"/>
        </w:rPr>
        <w:t xml:space="preserve"> we have decided to add Net Debt/EBITDA ratio as a control, as it is a widespread ratio in credit analysis and ubiquitous element to many corporate debt finance covenants.</w:t>
      </w:r>
    </w:p>
    <w:p w14:paraId="59F16C67" w14:textId="77777777" w:rsidR="006F634A" w:rsidRPr="00487834" w:rsidRDefault="00A21FB9" w:rsidP="003128F6">
      <w:pPr>
        <w:autoSpaceDE w:val="0"/>
        <w:autoSpaceDN w:val="0"/>
        <w:adjustRightInd w:val="0"/>
        <w:spacing w:line="300" w:lineRule="auto"/>
        <w:ind w:firstLine="720"/>
        <w:rPr>
          <w:rFonts w:eastAsiaTheme="minorHAnsi"/>
          <w:lang w:val="en-GB" w:eastAsia="en-US"/>
        </w:rPr>
      </w:pPr>
      <w:r w:rsidRPr="00487834">
        <w:rPr>
          <w:rFonts w:eastAsiaTheme="minorHAnsi"/>
          <w:lang w:val="en-GB" w:eastAsia="en-US"/>
        </w:rPr>
        <w:t>A range of control variables for cost of equity model was based on some classics like price-to-earnings and market-to-book value of equity, as well as beta included in many studies focusing on cost of equity, like (</w:t>
      </w:r>
      <w:proofErr w:type="spellStart"/>
      <w:r w:rsidRPr="00487834">
        <w:rPr>
          <w:rFonts w:eastAsiaTheme="minorHAnsi"/>
          <w:lang w:val="en-GB" w:eastAsia="en-US"/>
        </w:rPr>
        <w:t>Caroso</w:t>
      </w:r>
      <w:proofErr w:type="spellEnd"/>
      <w:r w:rsidRPr="00487834">
        <w:rPr>
          <w:rFonts w:eastAsiaTheme="minorHAnsi"/>
          <w:lang w:val="en-GB" w:eastAsia="en-US"/>
        </w:rPr>
        <w:t xml:space="preserve">, 2020), and </w:t>
      </w:r>
      <w:r w:rsidR="003A6D3C" w:rsidRPr="00487834">
        <w:rPr>
          <w:rFonts w:eastAsiaTheme="minorHAnsi"/>
          <w:lang w:val="en-GB" w:eastAsia="en-US"/>
        </w:rPr>
        <w:t xml:space="preserve">(Nga, 2015). </w:t>
      </w:r>
      <w:proofErr w:type="gramStart"/>
      <w:r w:rsidR="003A6D3C" w:rsidRPr="00487834">
        <w:rPr>
          <w:rFonts w:eastAsiaTheme="minorHAnsi"/>
          <w:lang w:val="en-GB" w:eastAsia="en-US"/>
        </w:rPr>
        <w:t>Also</w:t>
      </w:r>
      <w:proofErr w:type="gramEnd"/>
      <w:r w:rsidR="003A6D3C" w:rsidRPr="00487834">
        <w:rPr>
          <w:rFonts w:eastAsiaTheme="minorHAnsi"/>
          <w:lang w:val="en-GB" w:eastAsia="en-US"/>
        </w:rPr>
        <w:t xml:space="preserve"> the set of controls was enriched by EV/EBITDA multiple to account for effects of high valuation on required rate of return</w:t>
      </w:r>
    </w:p>
    <w:p w14:paraId="1DD8A494" w14:textId="77777777" w:rsidR="00A40744" w:rsidRPr="00487834" w:rsidRDefault="00A40744" w:rsidP="003128F6">
      <w:pPr>
        <w:spacing w:line="300" w:lineRule="auto"/>
        <w:rPr>
          <w:color w:val="222222"/>
          <w:shd w:val="clear" w:color="auto" w:fill="FFFFFF"/>
          <w:lang w:val="en-GB"/>
        </w:rPr>
      </w:pPr>
    </w:p>
    <w:p w14:paraId="1B2E9098" w14:textId="77777777" w:rsidR="00D4470C" w:rsidRPr="00487834" w:rsidRDefault="00B72D57" w:rsidP="00B72D57">
      <w:pPr>
        <w:pStyle w:val="Heading2"/>
        <w:jc w:val="center"/>
        <w:rPr>
          <w:rFonts w:cs="Times New Roman"/>
          <w:lang w:val="en-GB"/>
        </w:rPr>
      </w:pPr>
      <w:bookmarkStart w:id="13" w:name="_Toc167918984"/>
      <w:r w:rsidRPr="00487834">
        <w:rPr>
          <w:rFonts w:cs="Times New Roman"/>
          <w:lang w:val="en-GB"/>
        </w:rPr>
        <w:t xml:space="preserve">3.4. </w:t>
      </w:r>
      <w:r w:rsidR="00494BDE" w:rsidRPr="00487834">
        <w:rPr>
          <w:rFonts w:cs="Times New Roman"/>
          <w:lang w:val="en-GB"/>
        </w:rPr>
        <w:t>Descriptive statistics</w:t>
      </w:r>
      <w:bookmarkEnd w:id="13"/>
    </w:p>
    <w:p w14:paraId="646DCDFD" w14:textId="77777777" w:rsidR="006C78A9" w:rsidRPr="00487834" w:rsidRDefault="006C78A9" w:rsidP="003128F6">
      <w:pPr>
        <w:autoSpaceDE w:val="0"/>
        <w:autoSpaceDN w:val="0"/>
        <w:adjustRightInd w:val="0"/>
        <w:spacing w:line="300" w:lineRule="auto"/>
        <w:jc w:val="center"/>
        <w:rPr>
          <w:rFonts w:eastAsiaTheme="minorHAnsi"/>
          <w:b/>
          <w:bCs/>
          <w:lang w:val="en-GB" w:eastAsia="en-US"/>
        </w:rPr>
      </w:pPr>
    </w:p>
    <w:p w14:paraId="63845AA5" w14:textId="77777777" w:rsidR="00D4470C" w:rsidRPr="00487834" w:rsidRDefault="00D4470C" w:rsidP="00756009">
      <w:pPr>
        <w:autoSpaceDE w:val="0"/>
        <w:autoSpaceDN w:val="0"/>
        <w:adjustRightInd w:val="0"/>
        <w:spacing w:line="300" w:lineRule="auto"/>
        <w:jc w:val="left"/>
        <w:rPr>
          <w:rFonts w:eastAsiaTheme="minorHAnsi"/>
          <w:lang w:val="en-GB" w:eastAsia="en-US"/>
        </w:rPr>
      </w:pPr>
      <w:r w:rsidRPr="00487834">
        <w:rPr>
          <w:rFonts w:eastAsiaTheme="minorHAnsi"/>
          <w:b/>
          <w:bCs/>
          <w:lang w:val="en-GB" w:eastAsia="en-US"/>
        </w:rPr>
        <w:t xml:space="preserve">Table </w:t>
      </w:r>
      <w:r w:rsidR="00BF355C" w:rsidRPr="00487834">
        <w:rPr>
          <w:rFonts w:eastAsiaTheme="minorHAnsi"/>
          <w:b/>
          <w:bCs/>
          <w:lang w:val="en-GB" w:eastAsia="en-US"/>
        </w:rPr>
        <w:t>3</w:t>
      </w:r>
      <w:r w:rsidRPr="00487834">
        <w:rPr>
          <w:rFonts w:eastAsiaTheme="minorHAnsi"/>
          <w:b/>
          <w:bCs/>
          <w:lang w:val="en-GB" w:eastAsia="en-US"/>
        </w:rPr>
        <w:t xml:space="preserve"> – </w:t>
      </w:r>
      <w:r w:rsidR="00D14C14" w:rsidRPr="00487834">
        <w:rPr>
          <w:rFonts w:eastAsiaTheme="minorHAnsi"/>
          <w:lang w:val="en-GB" w:eastAsia="en-US"/>
        </w:rPr>
        <w:t>D</w:t>
      </w:r>
      <w:r w:rsidRPr="00487834">
        <w:rPr>
          <w:rFonts w:eastAsiaTheme="minorHAnsi"/>
          <w:lang w:val="en-GB" w:eastAsia="en-US"/>
        </w:rPr>
        <w:t xml:space="preserve">escriptive statistics </w:t>
      </w:r>
      <w:r w:rsidR="006C78A9" w:rsidRPr="00487834">
        <w:rPr>
          <w:rFonts w:eastAsiaTheme="minorHAnsi"/>
          <w:lang w:val="en-GB" w:eastAsia="en-US"/>
        </w:rPr>
        <w:t xml:space="preserve">for the </w:t>
      </w:r>
      <w:r w:rsidR="00B11195" w:rsidRPr="00487834">
        <w:rPr>
          <w:rFonts w:eastAsiaTheme="minorHAnsi"/>
          <w:lang w:val="en-GB" w:eastAsia="en-US"/>
        </w:rPr>
        <w:t xml:space="preserve">aggregated </w:t>
      </w:r>
      <w:r w:rsidR="006C78A9" w:rsidRPr="00487834">
        <w:rPr>
          <w:rFonts w:eastAsiaTheme="minorHAnsi"/>
          <w:lang w:val="en-GB" w:eastAsia="en-US"/>
        </w:rPr>
        <w:t>cost of equity model</w:t>
      </w:r>
      <w:r w:rsidR="00D14C14" w:rsidRPr="00487834">
        <w:rPr>
          <w:rFonts w:eastAsiaTheme="minorHAnsi"/>
          <w:lang w:val="en-GB" w:eastAsia="en-US"/>
        </w:rPr>
        <w:t xml:space="preserve">, including </w:t>
      </w:r>
      <w:r w:rsidR="006C78A9" w:rsidRPr="00487834">
        <w:rPr>
          <w:rFonts w:eastAsiaTheme="minorHAnsi"/>
          <w:lang w:val="en-GB" w:eastAsia="en-US"/>
        </w:rPr>
        <w:t>respective control variables</w:t>
      </w:r>
    </w:p>
    <w:p w14:paraId="67964FD2" w14:textId="77777777" w:rsidR="00BF355C" w:rsidRPr="00487834" w:rsidRDefault="00BF355C" w:rsidP="003128F6">
      <w:pPr>
        <w:autoSpaceDE w:val="0"/>
        <w:autoSpaceDN w:val="0"/>
        <w:adjustRightInd w:val="0"/>
        <w:spacing w:line="300" w:lineRule="auto"/>
        <w:jc w:val="center"/>
        <w:rPr>
          <w:rFonts w:eastAsiaTheme="minorHAnsi"/>
          <w:b/>
          <w:bCs/>
          <w:lang w:val="en-GB" w:eastAsia="en-US"/>
        </w:rPr>
      </w:pPr>
    </w:p>
    <w:tbl>
      <w:tblPr>
        <w:tblW w:w="9680" w:type="dxa"/>
        <w:jc w:val="center"/>
        <w:tblLook w:val="04A0" w:firstRow="1" w:lastRow="0" w:firstColumn="1" w:lastColumn="0" w:noHBand="0" w:noVBand="1"/>
      </w:tblPr>
      <w:tblGrid>
        <w:gridCol w:w="1304"/>
        <w:gridCol w:w="1060"/>
        <w:gridCol w:w="1060"/>
        <w:gridCol w:w="1060"/>
        <w:gridCol w:w="1060"/>
        <w:gridCol w:w="1060"/>
        <w:gridCol w:w="1060"/>
        <w:gridCol w:w="1060"/>
        <w:gridCol w:w="1060"/>
      </w:tblGrid>
      <w:tr w:rsidR="00D4470C" w:rsidRPr="00487834" w14:paraId="6926388F" w14:textId="77777777" w:rsidTr="00BF355C">
        <w:trPr>
          <w:trHeight w:val="260"/>
          <w:jc w:val="center"/>
        </w:trPr>
        <w:tc>
          <w:tcPr>
            <w:tcW w:w="1200" w:type="dxa"/>
            <w:tcBorders>
              <w:top w:val="single" w:sz="4" w:space="0" w:color="auto"/>
              <w:left w:val="nil"/>
              <w:bottom w:val="single" w:sz="4" w:space="0" w:color="auto"/>
              <w:right w:val="nil"/>
            </w:tcBorders>
            <w:shd w:val="clear" w:color="auto" w:fill="auto"/>
            <w:noWrap/>
            <w:hideMark/>
          </w:tcPr>
          <w:p w14:paraId="0C810A00" w14:textId="77777777" w:rsidR="00D4470C" w:rsidRPr="00487834" w:rsidRDefault="00D4470C" w:rsidP="00F36A29">
            <w:pPr>
              <w:pStyle w:val="NoSpacing"/>
            </w:pPr>
            <w:proofErr w:type="spellStart"/>
            <w:r w:rsidRPr="00487834">
              <w:t>Variable</w:t>
            </w:r>
            <w:proofErr w:type="spellEnd"/>
          </w:p>
        </w:tc>
        <w:tc>
          <w:tcPr>
            <w:tcW w:w="1060" w:type="dxa"/>
            <w:tcBorders>
              <w:top w:val="single" w:sz="4" w:space="0" w:color="auto"/>
              <w:left w:val="nil"/>
              <w:bottom w:val="single" w:sz="4" w:space="0" w:color="auto"/>
              <w:right w:val="nil"/>
            </w:tcBorders>
            <w:shd w:val="clear" w:color="auto" w:fill="auto"/>
            <w:noWrap/>
            <w:hideMark/>
          </w:tcPr>
          <w:p w14:paraId="4D696C41" w14:textId="77777777" w:rsidR="00D4470C" w:rsidRPr="00487834" w:rsidRDefault="00D4470C" w:rsidP="00F36A29">
            <w:pPr>
              <w:pStyle w:val="NoSpacing"/>
            </w:pPr>
            <w:proofErr w:type="spellStart"/>
            <w:r w:rsidRPr="00487834">
              <w:t>Mean</w:t>
            </w:r>
            <w:proofErr w:type="spellEnd"/>
          </w:p>
        </w:tc>
        <w:tc>
          <w:tcPr>
            <w:tcW w:w="1060" w:type="dxa"/>
            <w:tcBorders>
              <w:top w:val="single" w:sz="4" w:space="0" w:color="auto"/>
              <w:left w:val="nil"/>
              <w:bottom w:val="single" w:sz="4" w:space="0" w:color="auto"/>
              <w:right w:val="nil"/>
            </w:tcBorders>
            <w:shd w:val="clear" w:color="auto" w:fill="auto"/>
            <w:noWrap/>
            <w:hideMark/>
          </w:tcPr>
          <w:p w14:paraId="606AD3AD" w14:textId="77777777" w:rsidR="00D4470C" w:rsidRPr="00487834" w:rsidRDefault="00D4470C" w:rsidP="00F36A29">
            <w:pPr>
              <w:pStyle w:val="NoSpacing"/>
            </w:pPr>
            <w:proofErr w:type="spellStart"/>
            <w:r w:rsidRPr="00487834">
              <w:t>Std.Dev</w:t>
            </w:r>
            <w:proofErr w:type="spellEnd"/>
            <w:r w:rsidRPr="00487834">
              <w:t>.</w:t>
            </w:r>
          </w:p>
        </w:tc>
        <w:tc>
          <w:tcPr>
            <w:tcW w:w="1060" w:type="dxa"/>
            <w:tcBorders>
              <w:top w:val="single" w:sz="4" w:space="0" w:color="auto"/>
              <w:left w:val="nil"/>
              <w:bottom w:val="single" w:sz="4" w:space="0" w:color="auto"/>
              <w:right w:val="nil"/>
            </w:tcBorders>
            <w:shd w:val="clear" w:color="auto" w:fill="auto"/>
            <w:noWrap/>
            <w:hideMark/>
          </w:tcPr>
          <w:p w14:paraId="7D477A6C" w14:textId="77777777" w:rsidR="00D4470C" w:rsidRPr="00487834" w:rsidRDefault="00D4470C" w:rsidP="00F36A29">
            <w:pPr>
              <w:pStyle w:val="NoSpacing"/>
            </w:pPr>
            <w:r w:rsidRPr="00487834">
              <w:t>N</w:t>
            </w:r>
          </w:p>
        </w:tc>
        <w:tc>
          <w:tcPr>
            <w:tcW w:w="1060" w:type="dxa"/>
            <w:tcBorders>
              <w:top w:val="single" w:sz="4" w:space="0" w:color="auto"/>
              <w:left w:val="nil"/>
              <w:bottom w:val="single" w:sz="4" w:space="0" w:color="auto"/>
              <w:right w:val="nil"/>
            </w:tcBorders>
            <w:shd w:val="clear" w:color="auto" w:fill="auto"/>
            <w:noWrap/>
            <w:hideMark/>
          </w:tcPr>
          <w:p w14:paraId="3A3074A0" w14:textId="77777777" w:rsidR="00D4470C" w:rsidRPr="00487834" w:rsidRDefault="00D4470C" w:rsidP="00F36A29">
            <w:pPr>
              <w:pStyle w:val="NoSpacing"/>
            </w:pPr>
            <w:proofErr w:type="spellStart"/>
            <w:r w:rsidRPr="00487834">
              <w:t>Min</w:t>
            </w:r>
            <w:proofErr w:type="spellEnd"/>
          </w:p>
        </w:tc>
        <w:tc>
          <w:tcPr>
            <w:tcW w:w="1060" w:type="dxa"/>
            <w:tcBorders>
              <w:top w:val="single" w:sz="4" w:space="0" w:color="auto"/>
              <w:left w:val="nil"/>
              <w:bottom w:val="single" w:sz="4" w:space="0" w:color="auto"/>
              <w:right w:val="nil"/>
            </w:tcBorders>
            <w:shd w:val="clear" w:color="auto" w:fill="auto"/>
            <w:noWrap/>
            <w:hideMark/>
          </w:tcPr>
          <w:p w14:paraId="6FF6ED79" w14:textId="77777777" w:rsidR="00D4470C" w:rsidRPr="00487834" w:rsidRDefault="00D4470C" w:rsidP="00F36A29">
            <w:pPr>
              <w:pStyle w:val="NoSpacing"/>
            </w:pPr>
            <w:r w:rsidRPr="00487834">
              <w:t>Q1</w:t>
            </w:r>
          </w:p>
        </w:tc>
        <w:tc>
          <w:tcPr>
            <w:tcW w:w="1060" w:type="dxa"/>
            <w:tcBorders>
              <w:top w:val="single" w:sz="4" w:space="0" w:color="auto"/>
              <w:left w:val="nil"/>
              <w:bottom w:val="single" w:sz="4" w:space="0" w:color="auto"/>
              <w:right w:val="nil"/>
            </w:tcBorders>
            <w:shd w:val="clear" w:color="auto" w:fill="auto"/>
            <w:noWrap/>
            <w:hideMark/>
          </w:tcPr>
          <w:p w14:paraId="6F012281" w14:textId="77777777" w:rsidR="00D4470C" w:rsidRPr="00487834" w:rsidRDefault="00D4470C" w:rsidP="00F36A29">
            <w:pPr>
              <w:pStyle w:val="NoSpacing"/>
            </w:pPr>
            <w:proofErr w:type="spellStart"/>
            <w:r w:rsidRPr="00487834">
              <w:t>Median</w:t>
            </w:r>
            <w:proofErr w:type="spellEnd"/>
          </w:p>
        </w:tc>
        <w:tc>
          <w:tcPr>
            <w:tcW w:w="1060" w:type="dxa"/>
            <w:tcBorders>
              <w:top w:val="single" w:sz="4" w:space="0" w:color="auto"/>
              <w:left w:val="nil"/>
              <w:bottom w:val="single" w:sz="4" w:space="0" w:color="auto"/>
              <w:right w:val="nil"/>
            </w:tcBorders>
            <w:shd w:val="clear" w:color="auto" w:fill="auto"/>
            <w:noWrap/>
            <w:hideMark/>
          </w:tcPr>
          <w:p w14:paraId="1995B01E" w14:textId="77777777" w:rsidR="00D4470C" w:rsidRPr="00487834" w:rsidRDefault="00D4470C" w:rsidP="00F36A29">
            <w:pPr>
              <w:pStyle w:val="NoSpacing"/>
            </w:pPr>
            <w:r w:rsidRPr="00487834">
              <w:t>Q3</w:t>
            </w:r>
          </w:p>
        </w:tc>
        <w:tc>
          <w:tcPr>
            <w:tcW w:w="1060" w:type="dxa"/>
            <w:tcBorders>
              <w:top w:val="single" w:sz="4" w:space="0" w:color="auto"/>
              <w:left w:val="nil"/>
              <w:bottom w:val="single" w:sz="4" w:space="0" w:color="auto"/>
              <w:right w:val="nil"/>
            </w:tcBorders>
            <w:shd w:val="clear" w:color="auto" w:fill="auto"/>
            <w:noWrap/>
            <w:hideMark/>
          </w:tcPr>
          <w:p w14:paraId="1E922F1D" w14:textId="77777777" w:rsidR="00D4470C" w:rsidRPr="00487834" w:rsidRDefault="00D4470C" w:rsidP="00F36A29">
            <w:pPr>
              <w:pStyle w:val="NoSpacing"/>
            </w:pPr>
            <w:r w:rsidRPr="00487834">
              <w:t>Max</w:t>
            </w:r>
          </w:p>
        </w:tc>
      </w:tr>
      <w:tr w:rsidR="00D4470C" w:rsidRPr="00487834" w14:paraId="72E36B29" w14:textId="77777777" w:rsidTr="00BF355C">
        <w:trPr>
          <w:trHeight w:val="580"/>
          <w:jc w:val="center"/>
        </w:trPr>
        <w:tc>
          <w:tcPr>
            <w:tcW w:w="1200" w:type="dxa"/>
            <w:tcBorders>
              <w:top w:val="nil"/>
              <w:left w:val="nil"/>
              <w:bottom w:val="nil"/>
              <w:right w:val="nil"/>
            </w:tcBorders>
            <w:shd w:val="clear" w:color="auto" w:fill="auto"/>
            <w:noWrap/>
            <w:vAlign w:val="center"/>
            <w:hideMark/>
          </w:tcPr>
          <w:p w14:paraId="7A54BBA9" w14:textId="77777777" w:rsidR="00D4470C" w:rsidRPr="00487834" w:rsidRDefault="00D4470C" w:rsidP="00F36A29">
            <w:pPr>
              <w:pStyle w:val="NoSpacing"/>
              <w:rPr>
                <w:i/>
                <w:iCs/>
              </w:rPr>
            </w:pPr>
            <w:r w:rsidRPr="00487834">
              <w:rPr>
                <w:i/>
                <w:iCs/>
              </w:rPr>
              <w:t>ESG</w:t>
            </w:r>
          </w:p>
        </w:tc>
        <w:tc>
          <w:tcPr>
            <w:tcW w:w="1060" w:type="dxa"/>
            <w:tcBorders>
              <w:top w:val="nil"/>
              <w:left w:val="nil"/>
              <w:bottom w:val="nil"/>
              <w:right w:val="nil"/>
            </w:tcBorders>
            <w:shd w:val="clear" w:color="auto" w:fill="auto"/>
            <w:noWrap/>
            <w:vAlign w:val="center"/>
            <w:hideMark/>
          </w:tcPr>
          <w:p w14:paraId="1FB029F3" w14:textId="77777777" w:rsidR="00D4470C" w:rsidRPr="00487834" w:rsidRDefault="00D4470C" w:rsidP="00F36A29">
            <w:pPr>
              <w:pStyle w:val="NoSpacing"/>
              <w:rPr>
                <w:color w:val="000000"/>
              </w:rPr>
            </w:pPr>
            <w:r w:rsidRPr="00487834">
              <w:rPr>
                <w:color w:val="000000"/>
              </w:rPr>
              <w:t>53.638</w:t>
            </w:r>
          </w:p>
        </w:tc>
        <w:tc>
          <w:tcPr>
            <w:tcW w:w="1060" w:type="dxa"/>
            <w:tcBorders>
              <w:top w:val="nil"/>
              <w:left w:val="nil"/>
              <w:bottom w:val="nil"/>
              <w:right w:val="nil"/>
            </w:tcBorders>
            <w:shd w:val="clear" w:color="auto" w:fill="auto"/>
            <w:noWrap/>
            <w:vAlign w:val="center"/>
            <w:hideMark/>
          </w:tcPr>
          <w:p w14:paraId="444603CD" w14:textId="77777777" w:rsidR="00D4470C" w:rsidRPr="00487834" w:rsidRDefault="00D4470C" w:rsidP="00F36A29">
            <w:pPr>
              <w:pStyle w:val="NoSpacing"/>
              <w:rPr>
                <w:color w:val="000000"/>
              </w:rPr>
            </w:pPr>
            <w:r w:rsidRPr="00487834">
              <w:rPr>
                <w:color w:val="000000"/>
              </w:rPr>
              <w:t>18.246</w:t>
            </w:r>
          </w:p>
        </w:tc>
        <w:tc>
          <w:tcPr>
            <w:tcW w:w="1060" w:type="dxa"/>
            <w:tcBorders>
              <w:top w:val="nil"/>
              <w:left w:val="nil"/>
              <w:bottom w:val="nil"/>
              <w:right w:val="nil"/>
            </w:tcBorders>
            <w:shd w:val="clear" w:color="auto" w:fill="auto"/>
            <w:noWrap/>
            <w:vAlign w:val="center"/>
            <w:hideMark/>
          </w:tcPr>
          <w:p w14:paraId="4D0CB5F9" w14:textId="77777777" w:rsidR="00D4470C" w:rsidRPr="00487834" w:rsidRDefault="00D4470C" w:rsidP="00F36A29">
            <w:pPr>
              <w:pStyle w:val="NoSpacing"/>
              <w:rPr>
                <w:color w:val="000000"/>
              </w:rPr>
            </w:pPr>
            <w:r w:rsidRPr="00487834">
              <w:rPr>
                <w:color w:val="000000"/>
              </w:rPr>
              <w:t>1238</w:t>
            </w:r>
          </w:p>
        </w:tc>
        <w:tc>
          <w:tcPr>
            <w:tcW w:w="1060" w:type="dxa"/>
            <w:tcBorders>
              <w:top w:val="nil"/>
              <w:left w:val="nil"/>
              <w:bottom w:val="nil"/>
              <w:right w:val="nil"/>
            </w:tcBorders>
            <w:shd w:val="clear" w:color="auto" w:fill="auto"/>
            <w:noWrap/>
            <w:vAlign w:val="center"/>
            <w:hideMark/>
          </w:tcPr>
          <w:p w14:paraId="7BADFDE0" w14:textId="77777777" w:rsidR="00D4470C" w:rsidRPr="00487834" w:rsidRDefault="00D4470C" w:rsidP="00F36A29">
            <w:pPr>
              <w:pStyle w:val="NoSpacing"/>
              <w:rPr>
                <w:color w:val="000000"/>
              </w:rPr>
            </w:pPr>
            <w:r w:rsidRPr="00487834">
              <w:rPr>
                <w:color w:val="000000"/>
              </w:rPr>
              <w:t>1.283</w:t>
            </w:r>
          </w:p>
        </w:tc>
        <w:tc>
          <w:tcPr>
            <w:tcW w:w="1060" w:type="dxa"/>
            <w:tcBorders>
              <w:top w:val="nil"/>
              <w:left w:val="nil"/>
              <w:bottom w:val="nil"/>
              <w:right w:val="nil"/>
            </w:tcBorders>
            <w:shd w:val="clear" w:color="auto" w:fill="auto"/>
            <w:noWrap/>
            <w:vAlign w:val="center"/>
            <w:hideMark/>
          </w:tcPr>
          <w:p w14:paraId="5CF17435" w14:textId="77777777" w:rsidR="00D4470C" w:rsidRPr="00487834" w:rsidRDefault="00D4470C" w:rsidP="00F36A29">
            <w:pPr>
              <w:pStyle w:val="NoSpacing"/>
              <w:rPr>
                <w:color w:val="000000"/>
              </w:rPr>
            </w:pPr>
            <w:r w:rsidRPr="00487834">
              <w:rPr>
                <w:color w:val="000000"/>
              </w:rPr>
              <w:t>41.655</w:t>
            </w:r>
          </w:p>
        </w:tc>
        <w:tc>
          <w:tcPr>
            <w:tcW w:w="1060" w:type="dxa"/>
            <w:tcBorders>
              <w:top w:val="nil"/>
              <w:left w:val="nil"/>
              <w:bottom w:val="nil"/>
              <w:right w:val="nil"/>
            </w:tcBorders>
            <w:shd w:val="clear" w:color="auto" w:fill="auto"/>
            <w:noWrap/>
            <w:vAlign w:val="center"/>
            <w:hideMark/>
          </w:tcPr>
          <w:p w14:paraId="3603FC6E" w14:textId="77777777" w:rsidR="00D4470C" w:rsidRPr="00487834" w:rsidRDefault="00D4470C" w:rsidP="00F36A29">
            <w:pPr>
              <w:pStyle w:val="NoSpacing"/>
              <w:rPr>
                <w:color w:val="000000"/>
              </w:rPr>
            </w:pPr>
            <w:r w:rsidRPr="00487834">
              <w:rPr>
                <w:color w:val="000000"/>
              </w:rPr>
              <w:t>55.665</w:t>
            </w:r>
          </w:p>
        </w:tc>
        <w:tc>
          <w:tcPr>
            <w:tcW w:w="1060" w:type="dxa"/>
            <w:tcBorders>
              <w:top w:val="nil"/>
              <w:left w:val="nil"/>
              <w:bottom w:val="nil"/>
              <w:right w:val="nil"/>
            </w:tcBorders>
            <w:shd w:val="clear" w:color="auto" w:fill="auto"/>
            <w:noWrap/>
            <w:vAlign w:val="center"/>
            <w:hideMark/>
          </w:tcPr>
          <w:p w14:paraId="51F7E65F" w14:textId="77777777" w:rsidR="00D4470C" w:rsidRPr="00487834" w:rsidRDefault="00D4470C" w:rsidP="00F36A29">
            <w:pPr>
              <w:pStyle w:val="NoSpacing"/>
              <w:rPr>
                <w:color w:val="000000"/>
              </w:rPr>
            </w:pPr>
            <w:r w:rsidRPr="00487834">
              <w:rPr>
                <w:color w:val="000000"/>
              </w:rPr>
              <w:t>66.912</w:t>
            </w:r>
          </w:p>
        </w:tc>
        <w:tc>
          <w:tcPr>
            <w:tcW w:w="1060" w:type="dxa"/>
            <w:tcBorders>
              <w:top w:val="nil"/>
              <w:left w:val="nil"/>
              <w:bottom w:val="nil"/>
              <w:right w:val="nil"/>
            </w:tcBorders>
            <w:shd w:val="clear" w:color="auto" w:fill="auto"/>
            <w:noWrap/>
            <w:vAlign w:val="center"/>
            <w:hideMark/>
          </w:tcPr>
          <w:p w14:paraId="2E4D9F42" w14:textId="77777777" w:rsidR="00D4470C" w:rsidRPr="00487834" w:rsidRDefault="00D4470C" w:rsidP="00F36A29">
            <w:pPr>
              <w:pStyle w:val="NoSpacing"/>
              <w:rPr>
                <w:color w:val="000000"/>
              </w:rPr>
            </w:pPr>
            <w:r w:rsidRPr="00487834">
              <w:rPr>
                <w:color w:val="000000"/>
              </w:rPr>
              <w:t>91.316</w:t>
            </w:r>
          </w:p>
        </w:tc>
      </w:tr>
      <w:tr w:rsidR="00D4470C" w:rsidRPr="00487834" w14:paraId="1E3B1CD5" w14:textId="77777777" w:rsidTr="00BF355C">
        <w:trPr>
          <w:trHeight w:val="560"/>
          <w:jc w:val="center"/>
        </w:trPr>
        <w:tc>
          <w:tcPr>
            <w:tcW w:w="1200" w:type="dxa"/>
            <w:tcBorders>
              <w:top w:val="nil"/>
              <w:left w:val="nil"/>
              <w:bottom w:val="nil"/>
              <w:right w:val="nil"/>
            </w:tcBorders>
            <w:shd w:val="clear" w:color="auto" w:fill="auto"/>
            <w:noWrap/>
            <w:vAlign w:val="center"/>
            <w:hideMark/>
          </w:tcPr>
          <w:p w14:paraId="1992E8FA" w14:textId="77777777" w:rsidR="00D4470C" w:rsidRPr="00487834" w:rsidRDefault="00D4470C" w:rsidP="00F36A29">
            <w:pPr>
              <w:pStyle w:val="NoSpacing"/>
              <w:rPr>
                <w:i/>
                <w:iCs/>
              </w:rPr>
            </w:pPr>
            <w:r w:rsidRPr="00487834">
              <w:rPr>
                <w:i/>
                <w:iCs/>
              </w:rPr>
              <w:t>MCAP</w:t>
            </w:r>
          </w:p>
        </w:tc>
        <w:tc>
          <w:tcPr>
            <w:tcW w:w="1060" w:type="dxa"/>
            <w:tcBorders>
              <w:top w:val="nil"/>
              <w:left w:val="nil"/>
              <w:bottom w:val="nil"/>
              <w:right w:val="nil"/>
            </w:tcBorders>
            <w:shd w:val="clear" w:color="auto" w:fill="auto"/>
            <w:noWrap/>
            <w:vAlign w:val="center"/>
            <w:hideMark/>
          </w:tcPr>
          <w:p w14:paraId="340073A5" w14:textId="77777777" w:rsidR="00D4470C" w:rsidRPr="00487834" w:rsidRDefault="00D4470C" w:rsidP="00F36A29">
            <w:pPr>
              <w:pStyle w:val="NoSpacing"/>
              <w:rPr>
                <w:color w:val="000000"/>
              </w:rPr>
            </w:pPr>
            <w:r w:rsidRPr="00487834">
              <w:rPr>
                <w:color w:val="000000"/>
              </w:rPr>
              <w:t>21.770</w:t>
            </w:r>
          </w:p>
        </w:tc>
        <w:tc>
          <w:tcPr>
            <w:tcW w:w="1060" w:type="dxa"/>
            <w:tcBorders>
              <w:top w:val="nil"/>
              <w:left w:val="nil"/>
              <w:bottom w:val="nil"/>
              <w:right w:val="nil"/>
            </w:tcBorders>
            <w:shd w:val="clear" w:color="auto" w:fill="auto"/>
            <w:noWrap/>
            <w:vAlign w:val="center"/>
            <w:hideMark/>
          </w:tcPr>
          <w:p w14:paraId="10615CF5" w14:textId="77777777" w:rsidR="00D4470C" w:rsidRPr="00487834" w:rsidRDefault="00D4470C" w:rsidP="00F36A29">
            <w:pPr>
              <w:pStyle w:val="NoSpacing"/>
              <w:rPr>
                <w:color w:val="000000"/>
              </w:rPr>
            </w:pPr>
            <w:r w:rsidRPr="00487834">
              <w:rPr>
                <w:color w:val="000000"/>
              </w:rPr>
              <w:t>1.321</w:t>
            </w:r>
          </w:p>
        </w:tc>
        <w:tc>
          <w:tcPr>
            <w:tcW w:w="1060" w:type="dxa"/>
            <w:tcBorders>
              <w:top w:val="nil"/>
              <w:left w:val="nil"/>
              <w:bottom w:val="nil"/>
              <w:right w:val="nil"/>
            </w:tcBorders>
            <w:shd w:val="clear" w:color="auto" w:fill="auto"/>
            <w:noWrap/>
            <w:vAlign w:val="center"/>
            <w:hideMark/>
          </w:tcPr>
          <w:p w14:paraId="0237D895" w14:textId="77777777" w:rsidR="00D4470C" w:rsidRPr="00487834" w:rsidRDefault="00D4470C" w:rsidP="00F36A29">
            <w:pPr>
              <w:pStyle w:val="NoSpacing"/>
              <w:rPr>
                <w:color w:val="000000"/>
              </w:rPr>
            </w:pPr>
            <w:r w:rsidRPr="00487834">
              <w:rPr>
                <w:color w:val="000000"/>
              </w:rPr>
              <w:t>1238</w:t>
            </w:r>
          </w:p>
        </w:tc>
        <w:tc>
          <w:tcPr>
            <w:tcW w:w="1060" w:type="dxa"/>
            <w:tcBorders>
              <w:top w:val="nil"/>
              <w:left w:val="nil"/>
              <w:bottom w:val="nil"/>
              <w:right w:val="nil"/>
            </w:tcBorders>
            <w:shd w:val="clear" w:color="auto" w:fill="auto"/>
            <w:noWrap/>
            <w:vAlign w:val="center"/>
            <w:hideMark/>
          </w:tcPr>
          <w:p w14:paraId="337C7ABC" w14:textId="77777777" w:rsidR="00D4470C" w:rsidRPr="00487834" w:rsidRDefault="00D4470C" w:rsidP="00F36A29">
            <w:pPr>
              <w:pStyle w:val="NoSpacing"/>
              <w:rPr>
                <w:color w:val="000000"/>
              </w:rPr>
            </w:pPr>
            <w:r w:rsidRPr="00487834">
              <w:rPr>
                <w:color w:val="000000"/>
              </w:rPr>
              <w:t>18</w:t>
            </w:r>
          </w:p>
        </w:tc>
        <w:tc>
          <w:tcPr>
            <w:tcW w:w="1060" w:type="dxa"/>
            <w:tcBorders>
              <w:top w:val="nil"/>
              <w:left w:val="nil"/>
              <w:bottom w:val="nil"/>
              <w:right w:val="nil"/>
            </w:tcBorders>
            <w:shd w:val="clear" w:color="auto" w:fill="auto"/>
            <w:noWrap/>
            <w:vAlign w:val="center"/>
            <w:hideMark/>
          </w:tcPr>
          <w:p w14:paraId="497D5764" w14:textId="77777777" w:rsidR="00D4470C" w:rsidRPr="00487834" w:rsidRDefault="00D4470C" w:rsidP="00F36A29">
            <w:pPr>
              <w:pStyle w:val="NoSpacing"/>
              <w:rPr>
                <w:color w:val="000000"/>
              </w:rPr>
            </w:pPr>
            <w:r w:rsidRPr="00487834">
              <w:rPr>
                <w:color w:val="000000"/>
              </w:rPr>
              <w:t>20.781</w:t>
            </w:r>
          </w:p>
        </w:tc>
        <w:tc>
          <w:tcPr>
            <w:tcW w:w="1060" w:type="dxa"/>
            <w:tcBorders>
              <w:top w:val="nil"/>
              <w:left w:val="nil"/>
              <w:bottom w:val="nil"/>
              <w:right w:val="nil"/>
            </w:tcBorders>
            <w:shd w:val="clear" w:color="auto" w:fill="auto"/>
            <w:noWrap/>
            <w:vAlign w:val="center"/>
            <w:hideMark/>
          </w:tcPr>
          <w:p w14:paraId="688E60AE" w14:textId="77777777" w:rsidR="00D4470C" w:rsidRPr="00487834" w:rsidRDefault="00D4470C" w:rsidP="00F36A29">
            <w:pPr>
              <w:pStyle w:val="NoSpacing"/>
              <w:rPr>
                <w:color w:val="000000"/>
              </w:rPr>
            </w:pPr>
            <w:r w:rsidRPr="00487834">
              <w:rPr>
                <w:color w:val="000000"/>
              </w:rPr>
              <w:t>21.767</w:t>
            </w:r>
          </w:p>
        </w:tc>
        <w:tc>
          <w:tcPr>
            <w:tcW w:w="1060" w:type="dxa"/>
            <w:tcBorders>
              <w:top w:val="nil"/>
              <w:left w:val="nil"/>
              <w:bottom w:val="nil"/>
              <w:right w:val="nil"/>
            </w:tcBorders>
            <w:shd w:val="clear" w:color="auto" w:fill="auto"/>
            <w:noWrap/>
            <w:vAlign w:val="center"/>
            <w:hideMark/>
          </w:tcPr>
          <w:p w14:paraId="391FECBF" w14:textId="77777777" w:rsidR="00D4470C" w:rsidRPr="00487834" w:rsidRDefault="00D4470C" w:rsidP="00F36A29">
            <w:pPr>
              <w:pStyle w:val="NoSpacing"/>
              <w:rPr>
                <w:color w:val="000000"/>
              </w:rPr>
            </w:pPr>
            <w:r w:rsidRPr="00487834">
              <w:rPr>
                <w:color w:val="000000"/>
              </w:rPr>
              <w:t>22.604</w:t>
            </w:r>
          </w:p>
        </w:tc>
        <w:tc>
          <w:tcPr>
            <w:tcW w:w="1060" w:type="dxa"/>
            <w:tcBorders>
              <w:top w:val="nil"/>
              <w:left w:val="nil"/>
              <w:bottom w:val="nil"/>
              <w:right w:val="nil"/>
            </w:tcBorders>
            <w:shd w:val="clear" w:color="auto" w:fill="auto"/>
            <w:noWrap/>
            <w:vAlign w:val="center"/>
            <w:hideMark/>
          </w:tcPr>
          <w:p w14:paraId="18CA26B1" w14:textId="77777777" w:rsidR="00D4470C" w:rsidRPr="00487834" w:rsidRDefault="00D4470C" w:rsidP="00F36A29">
            <w:pPr>
              <w:pStyle w:val="NoSpacing"/>
              <w:rPr>
                <w:color w:val="000000"/>
              </w:rPr>
            </w:pPr>
            <w:r w:rsidRPr="00487834">
              <w:rPr>
                <w:color w:val="000000"/>
              </w:rPr>
              <w:t>25.416</w:t>
            </w:r>
          </w:p>
        </w:tc>
      </w:tr>
      <w:tr w:rsidR="00D4470C" w:rsidRPr="00487834" w14:paraId="31C0132F" w14:textId="77777777" w:rsidTr="00BF355C">
        <w:trPr>
          <w:trHeight w:val="560"/>
          <w:jc w:val="center"/>
        </w:trPr>
        <w:tc>
          <w:tcPr>
            <w:tcW w:w="1200" w:type="dxa"/>
            <w:tcBorders>
              <w:top w:val="nil"/>
              <w:left w:val="nil"/>
              <w:bottom w:val="nil"/>
              <w:right w:val="nil"/>
            </w:tcBorders>
            <w:shd w:val="clear" w:color="auto" w:fill="auto"/>
            <w:noWrap/>
            <w:vAlign w:val="center"/>
            <w:hideMark/>
          </w:tcPr>
          <w:p w14:paraId="5CCDEA9F" w14:textId="77777777" w:rsidR="00D4470C" w:rsidRPr="00487834" w:rsidRDefault="00D4470C" w:rsidP="00F36A29">
            <w:pPr>
              <w:pStyle w:val="NoSpacing"/>
              <w:rPr>
                <w:i/>
                <w:iCs/>
              </w:rPr>
            </w:pPr>
            <w:r w:rsidRPr="00487834">
              <w:rPr>
                <w:i/>
                <w:iCs/>
              </w:rPr>
              <w:t>PE</w:t>
            </w:r>
          </w:p>
        </w:tc>
        <w:tc>
          <w:tcPr>
            <w:tcW w:w="1060" w:type="dxa"/>
            <w:tcBorders>
              <w:top w:val="nil"/>
              <w:left w:val="nil"/>
              <w:bottom w:val="nil"/>
              <w:right w:val="nil"/>
            </w:tcBorders>
            <w:shd w:val="clear" w:color="auto" w:fill="auto"/>
            <w:noWrap/>
            <w:vAlign w:val="center"/>
            <w:hideMark/>
          </w:tcPr>
          <w:p w14:paraId="62AECE65" w14:textId="77777777" w:rsidR="00D4470C" w:rsidRPr="00487834" w:rsidRDefault="00D4470C" w:rsidP="00F36A29">
            <w:pPr>
              <w:pStyle w:val="NoSpacing"/>
              <w:rPr>
                <w:color w:val="000000"/>
              </w:rPr>
            </w:pPr>
            <w:r w:rsidRPr="00487834">
              <w:rPr>
                <w:color w:val="000000"/>
              </w:rPr>
              <w:t>15.113</w:t>
            </w:r>
          </w:p>
        </w:tc>
        <w:tc>
          <w:tcPr>
            <w:tcW w:w="1060" w:type="dxa"/>
            <w:tcBorders>
              <w:top w:val="nil"/>
              <w:left w:val="nil"/>
              <w:bottom w:val="nil"/>
              <w:right w:val="nil"/>
            </w:tcBorders>
            <w:shd w:val="clear" w:color="auto" w:fill="auto"/>
            <w:noWrap/>
            <w:vAlign w:val="center"/>
            <w:hideMark/>
          </w:tcPr>
          <w:p w14:paraId="6730E376" w14:textId="77777777" w:rsidR="00D4470C" w:rsidRPr="00487834" w:rsidRDefault="00D4470C" w:rsidP="00F36A29">
            <w:pPr>
              <w:pStyle w:val="NoSpacing"/>
              <w:rPr>
                <w:color w:val="000000"/>
              </w:rPr>
            </w:pPr>
            <w:r w:rsidRPr="00487834">
              <w:rPr>
                <w:color w:val="000000"/>
              </w:rPr>
              <w:t>12.482</w:t>
            </w:r>
          </w:p>
        </w:tc>
        <w:tc>
          <w:tcPr>
            <w:tcW w:w="1060" w:type="dxa"/>
            <w:tcBorders>
              <w:top w:val="nil"/>
              <w:left w:val="nil"/>
              <w:bottom w:val="nil"/>
              <w:right w:val="nil"/>
            </w:tcBorders>
            <w:shd w:val="clear" w:color="auto" w:fill="auto"/>
            <w:noWrap/>
            <w:vAlign w:val="center"/>
            <w:hideMark/>
          </w:tcPr>
          <w:p w14:paraId="59931FD9" w14:textId="77777777" w:rsidR="00D4470C" w:rsidRPr="00487834" w:rsidRDefault="00D4470C" w:rsidP="00F36A29">
            <w:pPr>
              <w:pStyle w:val="NoSpacing"/>
              <w:rPr>
                <w:color w:val="000000"/>
              </w:rPr>
            </w:pPr>
            <w:r w:rsidRPr="00487834">
              <w:rPr>
                <w:color w:val="000000"/>
              </w:rPr>
              <w:t>1238</w:t>
            </w:r>
          </w:p>
        </w:tc>
        <w:tc>
          <w:tcPr>
            <w:tcW w:w="1060" w:type="dxa"/>
            <w:tcBorders>
              <w:top w:val="nil"/>
              <w:left w:val="nil"/>
              <w:bottom w:val="nil"/>
              <w:right w:val="nil"/>
            </w:tcBorders>
            <w:shd w:val="clear" w:color="auto" w:fill="auto"/>
            <w:noWrap/>
            <w:vAlign w:val="center"/>
            <w:hideMark/>
          </w:tcPr>
          <w:p w14:paraId="7C39BCF1" w14:textId="77777777" w:rsidR="00D4470C" w:rsidRPr="00487834" w:rsidRDefault="00D4470C" w:rsidP="00F36A29">
            <w:pPr>
              <w:pStyle w:val="NoSpacing"/>
              <w:rPr>
                <w:color w:val="000000"/>
              </w:rPr>
            </w:pPr>
            <w:r w:rsidRPr="00487834">
              <w:rPr>
                <w:color w:val="000000"/>
              </w:rPr>
              <w:t>0.654</w:t>
            </w:r>
          </w:p>
        </w:tc>
        <w:tc>
          <w:tcPr>
            <w:tcW w:w="1060" w:type="dxa"/>
            <w:tcBorders>
              <w:top w:val="nil"/>
              <w:left w:val="nil"/>
              <w:bottom w:val="nil"/>
              <w:right w:val="nil"/>
            </w:tcBorders>
            <w:shd w:val="clear" w:color="auto" w:fill="auto"/>
            <w:noWrap/>
            <w:vAlign w:val="center"/>
            <w:hideMark/>
          </w:tcPr>
          <w:p w14:paraId="4E126615" w14:textId="77777777" w:rsidR="00D4470C" w:rsidRPr="00487834" w:rsidRDefault="00D4470C" w:rsidP="00F36A29">
            <w:pPr>
              <w:pStyle w:val="NoSpacing"/>
              <w:rPr>
                <w:color w:val="000000"/>
              </w:rPr>
            </w:pPr>
            <w:r w:rsidRPr="00487834">
              <w:rPr>
                <w:color w:val="000000"/>
              </w:rPr>
              <w:t>6.834</w:t>
            </w:r>
          </w:p>
        </w:tc>
        <w:tc>
          <w:tcPr>
            <w:tcW w:w="1060" w:type="dxa"/>
            <w:tcBorders>
              <w:top w:val="nil"/>
              <w:left w:val="nil"/>
              <w:bottom w:val="nil"/>
              <w:right w:val="nil"/>
            </w:tcBorders>
            <w:shd w:val="clear" w:color="auto" w:fill="auto"/>
            <w:noWrap/>
            <w:vAlign w:val="center"/>
            <w:hideMark/>
          </w:tcPr>
          <w:p w14:paraId="32E30920" w14:textId="77777777" w:rsidR="00D4470C" w:rsidRPr="00487834" w:rsidRDefault="00D4470C" w:rsidP="00F36A29">
            <w:pPr>
              <w:pStyle w:val="NoSpacing"/>
              <w:rPr>
                <w:color w:val="000000"/>
              </w:rPr>
            </w:pPr>
            <w:r w:rsidRPr="00487834">
              <w:rPr>
                <w:color w:val="000000"/>
              </w:rPr>
              <w:t>11.540</w:t>
            </w:r>
          </w:p>
        </w:tc>
        <w:tc>
          <w:tcPr>
            <w:tcW w:w="1060" w:type="dxa"/>
            <w:tcBorders>
              <w:top w:val="nil"/>
              <w:left w:val="nil"/>
              <w:bottom w:val="nil"/>
              <w:right w:val="nil"/>
            </w:tcBorders>
            <w:shd w:val="clear" w:color="auto" w:fill="auto"/>
            <w:noWrap/>
            <w:vAlign w:val="center"/>
            <w:hideMark/>
          </w:tcPr>
          <w:p w14:paraId="4AE1CDC4" w14:textId="77777777" w:rsidR="00D4470C" w:rsidRPr="00487834" w:rsidRDefault="00D4470C" w:rsidP="00F36A29">
            <w:pPr>
              <w:pStyle w:val="NoSpacing"/>
              <w:rPr>
                <w:color w:val="000000"/>
              </w:rPr>
            </w:pPr>
            <w:r w:rsidRPr="00487834">
              <w:rPr>
                <w:color w:val="000000"/>
              </w:rPr>
              <w:t>18.651</w:t>
            </w:r>
          </w:p>
        </w:tc>
        <w:tc>
          <w:tcPr>
            <w:tcW w:w="1060" w:type="dxa"/>
            <w:tcBorders>
              <w:top w:val="nil"/>
              <w:left w:val="nil"/>
              <w:bottom w:val="nil"/>
              <w:right w:val="nil"/>
            </w:tcBorders>
            <w:shd w:val="clear" w:color="auto" w:fill="auto"/>
            <w:noWrap/>
            <w:vAlign w:val="center"/>
            <w:hideMark/>
          </w:tcPr>
          <w:p w14:paraId="539FBA6F" w14:textId="77777777" w:rsidR="00D4470C" w:rsidRPr="00487834" w:rsidRDefault="00D4470C" w:rsidP="00F36A29">
            <w:pPr>
              <w:pStyle w:val="NoSpacing"/>
              <w:rPr>
                <w:color w:val="000000"/>
              </w:rPr>
            </w:pPr>
            <w:r w:rsidRPr="00487834">
              <w:rPr>
                <w:color w:val="000000"/>
              </w:rPr>
              <w:t>80.658</w:t>
            </w:r>
          </w:p>
        </w:tc>
      </w:tr>
      <w:tr w:rsidR="00D4470C" w:rsidRPr="00487834" w14:paraId="3E5003A1" w14:textId="77777777" w:rsidTr="00BF355C">
        <w:trPr>
          <w:trHeight w:val="560"/>
          <w:jc w:val="center"/>
        </w:trPr>
        <w:tc>
          <w:tcPr>
            <w:tcW w:w="1200" w:type="dxa"/>
            <w:tcBorders>
              <w:top w:val="nil"/>
              <w:left w:val="nil"/>
              <w:bottom w:val="nil"/>
              <w:right w:val="nil"/>
            </w:tcBorders>
            <w:shd w:val="clear" w:color="auto" w:fill="auto"/>
            <w:noWrap/>
            <w:vAlign w:val="center"/>
            <w:hideMark/>
          </w:tcPr>
          <w:p w14:paraId="30ACCA44" w14:textId="77777777" w:rsidR="00D4470C" w:rsidRPr="00487834" w:rsidRDefault="00D4470C" w:rsidP="00F36A29">
            <w:pPr>
              <w:pStyle w:val="NoSpacing"/>
              <w:rPr>
                <w:i/>
                <w:iCs/>
              </w:rPr>
            </w:pPr>
            <w:r w:rsidRPr="00487834">
              <w:rPr>
                <w:i/>
                <w:iCs/>
              </w:rPr>
              <w:t>MTB</w:t>
            </w:r>
          </w:p>
        </w:tc>
        <w:tc>
          <w:tcPr>
            <w:tcW w:w="1060" w:type="dxa"/>
            <w:tcBorders>
              <w:top w:val="nil"/>
              <w:left w:val="nil"/>
              <w:bottom w:val="nil"/>
              <w:right w:val="nil"/>
            </w:tcBorders>
            <w:shd w:val="clear" w:color="auto" w:fill="auto"/>
            <w:noWrap/>
            <w:vAlign w:val="center"/>
            <w:hideMark/>
          </w:tcPr>
          <w:p w14:paraId="6FD86486" w14:textId="77777777" w:rsidR="00D4470C" w:rsidRPr="00487834" w:rsidRDefault="00D4470C" w:rsidP="00F36A29">
            <w:pPr>
              <w:pStyle w:val="NoSpacing"/>
              <w:rPr>
                <w:color w:val="000000"/>
              </w:rPr>
            </w:pPr>
            <w:r w:rsidRPr="00487834">
              <w:rPr>
                <w:color w:val="000000"/>
              </w:rPr>
              <w:t>2.116</w:t>
            </w:r>
          </w:p>
        </w:tc>
        <w:tc>
          <w:tcPr>
            <w:tcW w:w="1060" w:type="dxa"/>
            <w:tcBorders>
              <w:top w:val="nil"/>
              <w:left w:val="nil"/>
              <w:bottom w:val="nil"/>
              <w:right w:val="nil"/>
            </w:tcBorders>
            <w:shd w:val="clear" w:color="auto" w:fill="auto"/>
            <w:noWrap/>
            <w:vAlign w:val="center"/>
            <w:hideMark/>
          </w:tcPr>
          <w:p w14:paraId="5B955001" w14:textId="77777777" w:rsidR="00D4470C" w:rsidRPr="00487834" w:rsidRDefault="00D4470C" w:rsidP="00F36A29">
            <w:pPr>
              <w:pStyle w:val="NoSpacing"/>
              <w:rPr>
                <w:color w:val="000000"/>
              </w:rPr>
            </w:pPr>
            <w:r w:rsidRPr="00487834">
              <w:rPr>
                <w:color w:val="000000"/>
              </w:rPr>
              <w:t>1.702</w:t>
            </w:r>
          </w:p>
        </w:tc>
        <w:tc>
          <w:tcPr>
            <w:tcW w:w="1060" w:type="dxa"/>
            <w:tcBorders>
              <w:top w:val="nil"/>
              <w:left w:val="nil"/>
              <w:bottom w:val="nil"/>
              <w:right w:val="nil"/>
            </w:tcBorders>
            <w:shd w:val="clear" w:color="auto" w:fill="auto"/>
            <w:noWrap/>
            <w:vAlign w:val="center"/>
            <w:hideMark/>
          </w:tcPr>
          <w:p w14:paraId="0A2B22CA" w14:textId="77777777" w:rsidR="00D4470C" w:rsidRPr="00487834" w:rsidRDefault="00D4470C" w:rsidP="00F36A29">
            <w:pPr>
              <w:pStyle w:val="NoSpacing"/>
              <w:rPr>
                <w:color w:val="000000"/>
              </w:rPr>
            </w:pPr>
            <w:r w:rsidRPr="00487834">
              <w:rPr>
                <w:color w:val="000000"/>
              </w:rPr>
              <w:t>1238</w:t>
            </w:r>
          </w:p>
        </w:tc>
        <w:tc>
          <w:tcPr>
            <w:tcW w:w="1060" w:type="dxa"/>
            <w:tcBorders>
              <w:top w:val="nil"/>
              <w:left w:val="nil"/>
              <w:bottom w:val="nil"/>
              <w:right w:val="nil"/>
            </w:tcBorders>
            <w:shd w:val="clear" w:color="auto" w:fill="auto"/>
            <w:noWrap/>
            <w:vAlign w:val="center"/>
            <w:hideMark/>
          </w:tcPr>
          <w:p w14:paraId="33E24C7E" w14:textId="77777777" w:rsidR="00D4470C" w:rsidRPr="00487834" w:rsidRDefault="00D4470C" w:rsidP="00F36A29">
            <w:pPr>
              <w:pStyle w:val="NoSpacing"/>
              <w:rPr>
                <w:color w:val="000000"/>
              </w:rPr>
            </w:pPr>
            <w:r w:rsidRPr="00487834">
              <w:rPr>
                <w:color w:val="000000"/>
              </w:rPr>
              <w:t>0.055</w:t>
            </w:r>
          </w:p>
        </w:tc>
        <w:tc>
          <w:tcPr>
            <w:tcW w:w="1060" w:type="dxa"/>
            <w:tcBorders>
              <w:top w:val="nil"/>
              <w:left w:val="nil"/>
              <w:bottom w:val="nil"/>
              <w:right w:val="nil"/>
            </w:tcBorders>
            <w:shd w:val="clear" w:color="auto" w:fill="auto"/>
            <w:noWrap/>
            <w:vAlign w:val="center"/>
            <w:hideMark/>
          </w:tcPr>
          <w:p w14:paraId="0B9D3E97" w14:textId="77777777" w:rsidR="00D4470C" w:rsidRPr="00487834" w:rsidRDefault="00D4470C" w:rsidP="00F36A29">
            <w:pPr>
              <w:pStyle w:val="NoSpacing"/>
              <w:rPr>
                <w:color w:val="000000"/>
              </w:rPr>
            </w:pPr>
            <w:r w:rsidRPr="00487834">
              <w:rPr>
                <w:color w:val="000000"/>
              </w:rPr>
              <w:t>0.907</w:t>
            </w:r>
          </w:p>
        </w:tc>
        <w:tc>
          <w:tcPr>
            <w:tcW w:w="1060" w:type="dxa"/>
            <w:tcBorders>
              <w:top w:val="nil"/>
              <w:left w:val="nil"/>
              <w:bottom w:val="nil"/>
              <w:right w:val="nil"/>
            </w:tcBorders>
            <w:shd w:val="clear" w:color="auto" w:fill="auto"/>
            <w:noWrap/>
            <w:vAlign w:val="center"/>
            <w:hideMark/>
          </w:tcPr>
          <w:p w14:paraId="2A76DEE7" w14:textId="77777777" w:rsidR="00D4470C" w:rsidRPr="00487834" w:rsidRDefault="00D4470C" w:rsidP="00F36A29">
            <w:pPr>
              <w:pStyle w:val="NoSpacing"/>
              <w:rPr>
                <w:color w:val="000000"/>
              </w:rPr>
            </w:pPr>
            <w:r w:rsidRPr="00487834">
              <w:rPr>
                <w:color w:val="000000"/>
              </w:rPr>
              <w:t>1.597</w:t>
            </w:r>
          </w:p>
        </w:tc>
        <w:tc>
          <w:tcPr>
            <w:tcW w:w="1060" w:type="dxa"/>
            <w:tcBorders>
              <w:top w:val="nil"/>
              <w:left w:val="nil"/>
              <w:bottom w:val="nil"/>
              <w:right w:val="nil"/>
            </w:tcBorders>
            <w:shd w:val="clear" w:color="auto" w:fill="auto"/>
            <w:noWrap/>
            <w:vAlign w:val="center"/>
            <w:hideMark/>
          </w:tcPr>
          <w:p w14:paraId="2D5218AA" w14:textId="77777777" w:rsidR="00D4470C" w:rsidRPr="00487834" w:rsidRDefault="00D4470C" w:rsidP="00F36A29">
            <w:pPr>
              <w:pStyle w:val="NoSpacing"/>
              <w:rPr>
                <w:color w:val="000000"/>
              </w:rPr>
            </w:pPr>
            <w:r w:rsidRPr="00487834">
              <w:rPr>
                <w:color w:val="000000"/>
              </w:rPr>
              <w:t>2.801</w:t>
            </w:r>
          </w:p>
        </w:tc>
        <w:tc>
          <w:tcPr>
            <w:tcW w:w="1060" w:type="dxa"/>
            <w:tcBorders>
              <w:top w:val="nil"/>
              <w:left w:val="nil"/>
              <w:bottom w:val="nil"/>
              <w:right w:val="nil"/>
            </w:tcBorders>
            <w:shd w:val="clear" w:color="auto" w:fill="auto"/>
            <w:noWrap/>
            <w:vAlign w:val="center"/>
            <w:hideMark/>
          </w:tcPr>
          <w:p w14:paraId="4188F5F1" w14:textId="77777777" w:rsidR="00D4470C" w:rsidRPr="00487834" w:rsidRDefault="00D4470C" w:rsidP="00F36A29">
            <w:pPr>
              <w:pStyle w:val="NoSpacing"/>
              <w:rPr>
                <w:color w:val="000000"/>
              </w:rPr>
            </w:pPr>
            <w:r w:rsidRPr="00487834">
              <w:rPr>
                <w:color w:val="000000"/>
              </w:rPr>
              <w:t>8.655</w:t>
            </w:r>
          </w:p>
        </w:tc>
      </w:tr>
      <w:tr w:rsidR="00D4470C" w:rsidRPr="00487834" w14:paraId="46F98EFA" w14:textId="77777777" w:rsidTr="00BF355C">
        <w:trPr>
          <w:trHeight w:val="560"/>
          <w:jc w:val="center"/>
        </w:trPr>
        <w:tc>
          <w:tcPr>
            <w:tcW w:w="1200" w:type="dxa"/>
            <w:tcBorders>
              <w:top w:val="nil"/>
              <w:left w:val="nil"/>
              <w:bottom w:val="nil"/>
              <w:right w:val="nil"/>
            </w:tcBorders>
            <w:shd w:val="clear" w:color="auto" w:fill="auto"/>
            <w:noWrap/>
            <w:vAlign w:val="center"/>
            <w:hideMark/>
          </w:tcPr>
          <w:p w14:paraId="1EA8129A" w14:textId="77777777" w:rsidR="00D4470C" w:rsidRPr="00487834" w:rsidRDefault="00D4470C" w:rsidP="00F36A29">
            <w:pPr>
              <w:pStyle w:val="NoSpacing"/>
              <w:rPr>
                <w:i/>
                <w:iCs/>
              </w:rPr>
            </w:pPr>
            <w:r w:rsidRPr="00487834">
              <w:rPr>
                <w:i/>
                <w:iCs/>
              </w:rPr>
              <w:t>BETA</w:t>
            </w:r>
          </w:p>
        </w:tc>
        <w:tc>
          <w:tcPr>
            <w:tcW w:w="1060" w:type="dxa"/>
            <w:tcBorders>
              <w:top w:val="nil"/>
              <w:left w:val="nil"/>
              <w:bottom w:val="nil"/>
              <w:right w:val="nil"/>
            </w:tcBorders>
            <w:shd w:val="clear" w:color="auto" w:fill="auto"/>
            <w:noWrap/>
            <w:vAlign w:val="center"/>
            <w:hideMark/>
          </w:tcPr>
          <w:p w14:paraId="30DE72FD" w14:textId="77777777" w:rsidR="00D4470C" w:rsidRPr="00487834" w:rsidRDefault="00D4470C" w:rsidP="00F36A29">
            <w:pPr>
              <w:pStyle w:val="NoSpacing"/>
              <w:rPr>
                <w:color w:val="000000"/>
              </w:rPr>
            </w:pPr>
            <w:r w:rsidRPr="00487834">
              <w:rPr>
                <w:color w:val="000000"/>
              </w:rPr>
              <w:t>0.822</w:t>
            </w:r>
          </w:p>
        </w:tc>
        <w:tc>
          <w:tcPr>
            <w:tcW w:w="1060" w:type="dxa"/>
            <w:tcBorders>
              <w:top w:val="nil"/>
              <w:left w:val="nil"/>
              <w:bottom w:val="nil"/>
              <w:right w:val="nil"/>
            </w:tcBorders>
            <w:shd w:val="clear" w:color="auto" w:fill="auto"/>
            <w:noWrap/>
            <w:vAlign w:val="center"/>
            <w:hideMark/>
          </w:tcPr>
          <w:p w14:paraId="60EE33F7" w14:textId="77777777" w:rsidR="00D4470C" w:rsidRPr="00487834" w:rsidRDefault="00D4470C" w:rsidP="00F36A29">
            <w:pPr>
              <w:pStyle w:val="NoSpacing"/>
              <w:rPr>
                <w:color w:val="000000"/>
              </w:rPr>
            </w:pPr>
            <w:r w:rsidRPr="00487834">
              <w:rPr>
                <w:color w:val="000000"/>
              </w:rPr>
              <w:t>0.417</w:t>
            </w:r>
          </w:p>
        </w:tc>
        <w:tc>
          <w:tcPr>
            <w:tcW w:w="1060" w:type="dxa"/>
            <w:tcBorders>
              <w:top w:val="nil"/>
              <w:left w:val="nil"/>
              <w:bottom w:val="nil"/>
              <w:right w:val="nil"/>
            </w:tcBorders>
            <w:shd w:val="clear" w:color="auto" w:fill="auto"/>
            <w:noWrap/>
            <w:vAlign w:val="center"/>
            <w:hideMark/>
          </w:tcPr>
          <w:p w14:paraId="2D4C85B0" w14:textId="77777777" w:rsidR="00D4470C" w:rsidRPr="00487834" w:rsidRDefault="00D4470C" w:rsidP="00F36A29">
            <w:pPr>
              <w:pStyle w:val="NoSpacing"/>
              <w:rPr>
                <w:color w:val="000000"/>
              </w:rPr>
            </w:pPr>
            <w:r w:rsidRPr="00487834">
              <w:rPr>
                <w:color w:val="000000"/>
              </w:rPr>
              <w:t>1238</w:t>
            </w:r>
          </w:p>
        </w:tc>
        <w:tc>
          <w:tcPr>
            <w:tcW w:w="1060" w:type="dxa"/>
            <w:tcBorders>
              <w:top w:val="nil"/>
              <w:left w:val="nil"/>
              <w:bottom w:val="nil"/>
              <w:right w:val="nil"/>
            </w:tcBorders>
            <w:shd w:val="clear" w:color="auto" w:fill="auto"/>
            <w:noWrap/>
            <w:vAlign w:val="center"/>
            <w:hideMark/>
          </w:tcPr>
          <w:p w14:paraId="6BB18D8C" w14:textId="77777777" w:rsidR="00D4470C" w:rsidRPr="00487834" w:rsidRDefault="00D4470C" w:rsidP="00F36A29">
            <w:pPr>
              <w:pStyle w:val="NoSpacing"/>
              <w:rPr>
                <w:color w:val="000000"/>
              </w:rPr>
            </w:pPr>
            <w:r w:rsidRPr="00487834">
              <w:rPr>
                <w:color w:val="000000"/>
              </w:rPr>
              <w:t>-0.223</w:t>
            </w:r>
          </w:p>
        </w:tc>
        <w:tc>
          <w:tcPr>
            <w:tcW w:w="1060" w:type="dxa"/>
            <w:tcBorders>
              <w:top w:val="nil"/>
              <w:left w:val="nil"/>
              <w:bottom w:val="nil"/>
              <w:right w:val="nil"/>
            </w:tcBorders>
            <w:shd w:val="clear" w:color="auto" w:fill="auto"/>
            <w:noWrap/>
            <w:vAlign w:val="center"/>
            <w:hideMark/>
          </w:tcPr>
          <w:p w14:paraId="1590212F" w14:textId="77777777" w:rsidR="00D4470C" w:rsidRPr="00487834" w:rsidRDefault="00D4470C" w:rsidP="00F36A29">
            <w:pPr>
              <w:pStyle w:val="NoSpacing"/>
              <w:rPr>
                <w:color w:val="000000"/>
              </w:rPr>
            </w:pPr>
            <w:r w:rsidRPr="00487834">
              <w:rPr>
                <w:color w:val="000000"/>
              </w:rPr>
              <w:t>0.513</w:t>
            </w:r>
          </w:p>
        </w:tc>
        <w:tc>
          <w:tcPr>
            <w:tcW w:w="1060" w:type="dxa"/>
            <w:tcBorders>
              <w:top w:val="nil"/>
              <w:left w:val="nil"/>
              <w:bottom w:val="nil"/>
              <w:right w:val="nil"/>
            </w:tcBorders>
            <w:shd w:val="clear" w:color="auto" w:fill="auto"/>
            <w:noWrap/>
            <w:vAlign w:val="center"/>
            <w:hideMark/>
          </w:tcPr>
          <w:p w14:paraId="5555BC26" w14:textId="77777777" w:rsidR="00D4470C" w:rsidRPr="00487834" w:rsidRDefault="00D4470C" w:rsidP="00F36A29">
            <w:pPr>
              <w:pStyle w:val="NoSpacing"/>
              <w:rPr>
                <w:color w:val="000000"/>
              </w:rPr>
            </w:pPr>
            <w:r w:rsidRPr="00487834">
              <w:rPr>
                <w:color w:val="000000"/>
              </w:rPr>
              <w:t>0.811</w:t>
            </w:r>
          </w:p>
        </w:tc>
        <w:tc>
          <w:tcPr>
            <w:tcW w:w="1060" w:type="dxa"/>
            <w:tcBorders>
              <w:top w:val="nil"/>
              <w:left w:val="nil"/>
              <w:bottom w:val="nil"/>
              <w:right w:val="nil"/>
            </w:tcBorders>
            <w:shd w:val="clear" w:color="auto" w:fill="auto"/>
            <w:noWrap/>
            <w:vAlign w:val="center"/>
            <w:hideMark/>
          </w:tcPr>
          <w:p w14:paraId="551FE0DC" w14:textId="77777777" w:rsidR="00D4470C" w:rsidRPr="00487834" w:rsidRDefault="00D4470C" w:rsidP="00F36A29">
            <w:pPr>
              <w:pStyle w:val="NoSpacing"/>
              <w:rPr>
                <w:color w:val="000000"/>
              </w:rPr>
            </w:pPr>
            <w:r w:rsidRPr="00487834">
              <w:rPr>
                <w:color w:val="000000"/>
              </w:rPr>
              <w:t>1.078</w:t>
            </w:r>
          </w:p>
        </w:tc>
        <w:tc>
          <w:tcPr>
            <w:tcW w:w="1060" w:type="dxa"/>
            <w:tcBorders>
              <w:top w:val="nil"/>
              <w:left w:val="nil"/>
              <w:bottom w:val="nil"/>
              <w:right w:val="nil"/>
            </w:tcBorders>
            <w:shd w:val="clear" w:color="auto" w:fill="auto"/>
            <w:noWrap/>
            <w:vAlign w:val="center"/>
            <w:hideMark/>
          </w:tcPr>
          <w:p w14:paraId="430236B5" w14:textId="77777777" w:rsidR="00D4470C" w:rsidRPr="00487834" w:rsidRDefault="00D4470C" w:rsidP="00F36A29">
            <w:pPr>
              <w:pStyle w:val="NoSpacing"/>
              <w:rPr>
                <w:color w:val="000000"/>
              </w:rPr>
            </w:pPr>
            <w:r w:rsidRPr="00487834">
              <w:rPr>
                <w:color w:val="000000"/>
              </w:rPr>
              <w:t>2.103</w:t>
            </w:r>
          </w:p>
        </w:tc>
      </w:tr>
      <w:tr w:rsidR="00D4470C" w:rsidRPr="00487834" w14:paraId="51950C69" w14:textId="77777777" w:rsidTr="00BF355C">
        <w:trPr>
          <w:trHeight w:val="560"/>
          <w:jc w:val="center"/>
        </w:trPr>
        <w:tc>
          <w:tcPr>
            <w:tcW w:w="1200" w:type="dxa"/>
            <w:tcBorders>
              <w:top w:val="nil"/>
              <w:left w:val="nil"/>
              <w:bottom w:val="nil"/>
              <w:right w:val="nil"/>
            </w:tcBorders>
            <w:shd w:val="clear" w:color="auto" w:fill="auto"/>
            <w:noWrap/>
            <w:vAlign w:val="center"/>
            <w:hideMark/>
          </w:tcPr>
          <w:p w14:paraId="6EEEE2C3" w14:textId="77777777" w:rsidR="00D4470C" w:rsidRPr="00487834" w:rsidRDefault="00D4470C" w:rsidP="00F36A29">
            <w:pPr>
              <w:pStyle w:val="NoSpacing"/>
              <w:rPr>
                <w:i/>
                <w:iCs/>
              </w:rPr>
            </w:pPr>
            <w:r w:rsidRPr="00487834">
              <w:rPr>
                <w:i/>
                <w:iCs/>
              </w:rPr>
              <w:t>ROE</w:t>
            </w:r>
          </w:p>
        </w:tc>
        <w:tc>
          <w:tcPr>
            <w:tcW w:w="1060" w:type="dxa"/>
            <w:tcBorders>
              <w:top w:val="nil"/>
              <w:left w:val="nil"/>
              <w:bottom w:val="nil"/>
              <w:right w:val="nil"/>
            </w:tcBorders>
            <w:shd w:val="clear" w:color="auto" w:fill="auto"/>
            <w:noWrap/>
            <w:vAlign w:val="center"/>
            <w:hideMark/>
          </w:tcPr>
          <w:p w14:paraId="5D7E39CA" w14:textId="77777777" w:rsidR="00D4470C" w:rsidRPr="00487834" w:rsidRDefault="00D4470C" w:rsidP="00F36A29">
            <w:pPr>
              <w:pStyle w:val="NoSpacing"/>
              <w:rPr>
                <w:color w:val="000000"/>
              </w:rPr>
            </w:pPr>
            <w:r w:rsidRPr="00487834">
              <w:rPr>
                <w:color w:val="000000"/>
              </w:rPr>
              <w:t>0.116</w:t>
            </w:r>
          </w:p>
        </w:tc>
        <w:tc>
          <w:tcPr>
            <w:tcW w:w="1060" w:type="dxa"/>
            <w:tcBorders>
              <w:top w:val="nil"/>
              <w:left w:val="nil"/>
              <w:bottom w:val="nil"/>
              <w:right w:val="nil"/>
            </w:tcBorders>
            <w:shd w:val="clear" w:color="auto" w:fill="auto"/>
            <w:noWrap/>
            <w:vAlign w:val="center"/>
            <w:hideMark/>
          </w:tcPr>
          <w:p w14:paraId="4E7BEA40" w14:textId="77777777" w:rsidR="00D4470C" w:rsidRPr="00487834" w:rsidRDefault="00D4470C" w:rsidP="00F36A29">
            <w:pPr>
              <w:pStyle w:val="NoSpacing"/>
              <w:rPr>
                <w:color w:val="000000"/>
              </w:rPr>
            </w:pPr>
            <w:r w:rsidRPr="00487834">
              <w:rPr>
                <w:color w:val="000000"/>
              </w:rPr>
              <w:t>0.180</w:t>
            </w:r>
          </w:p>
        </w:tc>
        <w:tc>
          <w:tcPr>
            <w:tcW w:w="1060" w:type="dxa"/>
            <w:tcBorders>
              <w:top w:val="nil"/>
              <w:left w:val="nil"/>
              <w:bottom w:val="nil"/>
              <w:right w:val="nil"/>
            </w:tcBorders>
            <w:shd w:val="clear" w:color="auto" w:fill="auto"/>
            <w:noWrap/>
            <w:vAlign w:val="center"/>
            <w:hideMark/>
          </w:tcPr>
          <w:p w14:paraId="02D67A5C" w14:textId="77777777" w:rsidR="00D4470C" w:rsidRPr="00487834" w:rsidRDefault="00D4470C" w:rsidP="00F36A29">
            <w:pPr>
              <w:pStyle w:val="NoSpacing"/>
              <w:rPr>
                <w:color w:val="000000"/>
              </w:rPr>
            </w:pPr>
            <w:r w:rsidRPr="00487834">
              <w:rPr>
                <w:color w:val="000000"/>
              </w:rPr>
              <w:t>1238</w:t>
            </w:r>
          </w:p>
        </w:tc>
        <w:tc>
          <w:tcPr>
            <w:tcW w:w="1060" w:type="dxa"/>
            <w:tcBorders>
              <w:top w:val="nil"/>
              <w:left w:val="nil"/>
              <w:bottom w:val="nil"/>
              <w:right w:val="nil"/>
            </w:tcBorders>
            <w:shd w:val="clear" w:color="auto" w:fill="auto"/>
            <w:noWrap/>
            <w:vAlign w:val="center"/>
            <w:hideMark/>
          </w:tcPr>
          <w:p w14:paraId="7920DE7B" w14:textId="77777777" w:rsidR="00D4470C" w:rsidRPr="00487834" w:rsidRDefault="00D4470C" w:rsidP="00F36A29">
            <w:pPr>
              <w:pStyle w:val="NoSpacing"/>
              <w:rPr>
                <w:color w:val="000000"/>
              </w:rPr>
            </w:pPr>
            <w:r w:rsidRPr="00487834">
              <w:rPr>
                <w:color w:val="000000"/>
              </w:rPr>
              <w:t>-0.</w:t>
            </w:r>
            <w:r w:rsidR="003A6FF1" w:rsidRPr="00487834">
              <w:rPr>
                <w:color w:val="000000"/>
              </w:rPr>
              <w:t>5</w:t>
            </w:r>
            <w:r w:rsidRPr="00487834">
              <w:rPr>
                <w:color w:val="000000"/>
              </w:rPr>
              <w:t>98</w:t>
            </w:r>
          </w:p>
        </w:tc>
        <w:tc>
          <w:tcPr>
            <w:tcW w:w="1060" w:type="dxa"/>
            <w:tcBorders>
              <w:top w:val="nil"/>
              <w:left w:val="nil"/>
              <w:bottom w:val="nil"/>
              <w:right w:val="nil"/>
            </w:tcBorders>
            <w:shd w:val="clear" w:color="auto" w:fill="auto"/>
            <w:noWrap/>
            <w:vAlign w:val="center"/>
            <w:hideMark/>
          </w:tcPr>
          <w:p w14:paraId="7D040453" w14:textId="77777777" w:rsidR="00D4470C" w:rsidRPr="00487834" w:rsidRDefault="00D4470C" w:rsidP="00F36A29">
            <w:pPr>
              <w:pStyle w:val="NoSpacing"/>
              <w:rPr>
                <w:color w:val="000000"/>
              </w:rPr>
            </w:pPr>
            <w:r w:rsidRPr="00487834">
              <w:rPr>
                <w:color w:val="000000"/>
              </w:rPr>
              <w:t>0</w:t>
            </w:r>
          </w:p>
        </w:tc>
        <w:tc>
          <w:tcPr>
            <w:tcW w:w="1060" w:type="dxa"/>
            <w:tcBorders>
              <w:top w:val="nil"/>
              <w:left w:val="nil"/>
              <w:bottom w:val="nil"/>
              <w:right w:val="nil"/>
            </w:tcBorders>
            <w:shd w:val="clear" w:color="auto" w:fill="auto"/>
            <w:noWrap/>
            <w:vAlign w:val="center"/>
            <w:hideMark/>
          </w:tcPr>
          <w:p w14:paraId="1E26EDA6" w14:textId="77777777" w:rsidR="00D4470C" w:rsidRPr="00487834" w:rsidRDefault="00D4470C" w:rsidP="00F36A29">
            <w:pPr>
              <w:pStyle w:val="NoSpacing"/>
              <w:rPr>
                <w:color w:val="000000"/>
              </w:rPr>
            </w:pPr>
            <w:r w:rsidRPr="00487834">
              <w:rPr>
                <w:color w:val="000000"/>
              </w:rPr>
              <w:t>0.096</w:t>
            </w:r>
          </w:p>
        </w:tc>
        <w:tc>
          <w:tcPr>
            <w:tcW w:w="1060" w:type="dxa"/>
            <w:tcBorders>
              <w:top w:val="nil"/>
              <w:left w:val="nil"/>
              <w:bottom w:val="nil"/>
              <w:right w:val="nil"/>
            </w:tcBorders>
            <w:shd w:val="clear" w:color="auto" w:fill="auto"/>
            <w:noWrap/>
            <w:vAlign w:val="center"/>
            <w:hideMark/>
          </w:tcPr>
          <w:p w14:paraId="5677B8C5" w14:textId="77777777" w:rsidR="00D4470C" w:rsidRPr="00487834" w:rsidRDefault="00D4470C" w:rsidP="00F36A29">
            <w:pPr>
              <w:pStyle w:val="NoSpacing"/>
              <w:rPr>
                <w:color w:val="000000"/>
              </w:rPr>
            </w:pPr>
            <w:r w:rsidRPr="00487834">
              <w:rPr>
                <w:color w:val="000000"/>
              </w:rPr>
              <w:t>0.189</w:t>
            </w:r>
          </w:p>
        </w:tc>
        <w:tc>
          <w:tcPr>
            <w:tcW w:w="1060" w:type="dxa"/>
            <w:tcBorders>
              <w:top w:val="nil"/>
              <w:left w:val="nil"/>
              <w:bottom w:val="nil"/>
              <w:right w:val="nil"/>
            </w:tcBorders>
            <w:shd w:val="clear" w:color="auto" w:fill="auto"/>
            <w:noWrap/>
            <w:vAlign w:val="center"/>
            <w:hideMark/>
          </w:tcPr>
          <w:p w14:paraId="49F831A3" w14:textId="77777777" w:rsidR="00D4470C" w:rsidRPr="00487834" w:rsidRDefault="00D4470C" w:rsidP="00F36A29">
            <w:pPr>
              <w:pStyle w:val="NoSpacing"/>
              <w:rPr>
                <w:color w:val="000000"/>
              </w:rPr>
            </w:pPr>
            <w:r w:rsidRPr="00487834">
              <w:rPr>
                <w:color w:val="000000"/>
              </w:rPr>
              <w:t>1.018</w:t>
            </w:r>
          </w:p>
        </w:tc>
      </w:tr>
      <w:tr w:rsidR="00D4470C" w:rsidRPr="00487834" w14:paraId="20AC57F4" w14:textId="77777777" w:rsidTr="00BF355C">
        <w:trPr>
          <w:trHeight w:val="520"/>
          <w:jc w:val="center"/>
        </w:trPr>
        <w:tc>
          <w:tcPr>
            <w:tcW w:w="1200" w:type="dxa"/>
            <w:tcBorders>
              <w:top w:val="nil"/>
              <w:left w:val="nil"/>
              <w:bottom w:val="single" w:sz="4" w:space="0" w:color="auto"/>
              <w:right w:val="nil"/>
            </w:tcBorders>
            <w:shd w:val="clear" w:color="auto" w:fill="auto"/>
            <w:noWrap/>
            <w:vAlign w:val="center"/>
            <w:hideMark/>
          </w:tcPr>
          <w:p w14:paraId="5E09FBF3" w14:textId="77777777" w:rsidR="00D4470C" w:rsidRPr="00487834" w:rsidRDefault="00D4470C" w:rsidP="00F36A29">
            <w:pPr>
              <w:pStyle w:val="NoSpacing"/>
              <w:rPr>
                <w:i/>
                <w:iCs/>
              </w:rPr>
            </w:pPr>
            <w:r w:rsidRPr="00487834">
              <w:rPr>
                <w:i/>
                <w:iCs/>
              </w:rPr>
              <w:t>EV/EBITDA</w:t>
            </w:r>
          </w:p>
        </w:tc>
        <w:tc>
          <w:tcPr>
            <w:tcW w:w="1060" w:type="dxa"/>
            <w:tcBorders>
              <w:top w:val="nil"/>
              <w:left w:val="nil"/>
              <w:bottom w:val="single" w:sz="4" w:space="0" w:color="auto"/>
              <w:right w:val="nil"/>
            </w:tcBorders>
            <w:shd w:val="clear" w:color="auto" w:fill="auto"/>
            <w:noWrap/>
            <w:vAlign w:val="center"/>
            <w:hideMark/>
          </w:tcPr>
          <w:p w14:paraId="40137105" w14:textId="77777777" w:rsidR="00D4470C" w:rsidRPr="00487834" w:rsidRDefault="00D4470C" w:rsidP="00F36A29">
            <w:pPr>
              <w:pStyle w:val="NoSpacing"/>
              <w:rPr>
                <w:color w:val="000000"/>
              </w:rPr>
            </w:pPr>
            <w:r w:rsidRPr="00487834">
              <w:rPr>
                <w:color w:val="000000"/>
              </w:rPr>
              <w:t>7.977</w:t>
            </w:r>
          </w:p>
        </w:tc>
        <w:tc>
          <w:tcPr>
            <w:tcW w:w="1060" w:type="dxa"/>
            <w:tcBorders>
              <w:top w:val="nil"/>
              <w:left w:val="nil"/>
              <w:bottom w:val="single" w:sz="4" w:space="0" w:color="auto"/>
              <w:right w:val="nil"/>
            </w:tcBorders>
            <w:shd w:val="clear" w:color="auto" w:fill="auto"/>
            <w:noWrap/>
            <w:vAlign w:val="center"/>
            <w:hideMark/>
          </w:tcPr>
          <w:p w14:paraId="44E39B31" w14:textId="77777777" w:rsidR="00D4470C" w:rsidRPr="00487834" w:rsidRDefault="00D4470C" w:rsidP="00F36A29">
            <w:pPr>
              <w:pStyle w:val="NoSpacing"/>
              <w:rPr>
                <w:color w:val="000000"/>
              </w:rPr>
            </w:pPr>
            <w:r w:rsidRPr="00487834">
              <w:rPr>
                <w:color w:val="000000"/>
              </w:rPr>
              <w:t>5.030</w:t>
            </w:r>
          </w:p>
        </w:tc>
        <w:tc>
          <w:tcPr>
            <w:tcW w:w="1060" w:type="dxa"/>
            <w:tcBorders>
              <w:top w:val="nil"/>
              <w:left w:val="nil"/>
              <w:bottom w:val="single" w:sz="4" w:space="0" w:color="auto"/>
              <w:right w:val="nil"/>
            </w:tcBorders>
            <w:shd w:val="clear" w:color="auto" w:fill="auto"/>
            <w:noWrap/>
            <w:vAlign w:val="center"/>
            <w:hideMark/>
          </w:tcPr>
          <w:p w14:paraId="6AC5807D" w14:textId="77777777" w:rsidR="00D4470C" w:rsidRPr="00487834" w:rsidRDefault="00D4470C" w:rsidP="00F36A29">
            <w:pPr>
              <w:pStyle w:val="NoSpacing"/>
              <w:rPr>
                <w:color w:val="000000"/>
              </w:rPr>
            </w:pPr>
            <w:r w:rsidRPr="00487834">
              <w:rPr>
                <w:color w:val="000000"/>
              </w:rPr>
              <w:t>1238</w:t>
            </w:r>
          </w:p>
        </w:tc>
        <w:tc>
          <w:tcPr>
            <w:tcW w:w="1060" w:type="dxa"/>
            <w:tcBorders>
              <w:top w:val="nil"/>
              <w:left w:val="nil"/>
              <w:bottom w:val="single" w:sz="4" w:space="0" w:color="auto"/>
              <w:right w:val="nil"/>
            </w:tcBorders>
            <w:shd w:val="clear" w:color="auto" w:fill="auto"/>
            <w:noWrap/>
            <w:vAlign w:val="center"/>
            <w:hideMark/>
          </w:tcPr>
          <w:p w14:paraId="35DF2582" w14:textId="77777777" w:rsidR="00D4470C" w:rsidRPr="00487834" w:rsidRDefault="00D4470C" w:rsidP="00F36A29">
            <w:pPr>
              <w:pStyle w:val="NoSpacing"/>
              <w:rPr>
                <w:color w:val="000000"/>
              </w:rPr>
            </w:pPr>
            <w:r w:rsidRPr="00487834">
              <w:rPr>
                <w:color w:val="000000"/>
              </w:rPr>
              <w:t>-</w:t>
            </w:r>
            <w:r w:rsidR="003A6FF1" w:rsidRPr="00487834">
              <w:rPr>
                <w:color w:val="000000"/>
              </w:rPr>
              <w:t>3</w:t>
            </w:r>
            <w:r w:rsidRPr="00487834">
              <w:rPr>
                <w:color w:val="000000"/>
              </w:rPr>
              <w:t>.629</w:t>
            </w:r>
          </w:p>
        </w:tc>
        <w:tc>
          <w:tcPr>
            <w:tcW w:w="1060" w:type="dxa"/>
            <w:tcBorders>
              <w:top w:val="nil"/>
              <w:left w:val="nil"/>
              <w:bottom w:val="single" w:sz="4" w:space="0" w:color="auto"/>
              <w:right w:val="nil"/>
            </w:tcBorders>
            <w:shd w:val="clear" w:color="auto" w:fill="auto"/>
            <w:noWrap/>
            <w:vAlign w:val="center"/>
            <w:hideMark/>
          </w:tcPr>
          <w:p w14:paraId="4CAECDDC" w14:textId="77777777" w:rsidR="00D4470C" w:rsidRPr="00487834" w:rsidRDefault="00D4470C" w:rsidP="00F36A29">
            <w:pPr>
              <w:pStyle w:val="NoSpacing"/>
              <w:rPr>
                <w:color w:val="000000"/>
              </w:rPr>
            </w:pPr>
            <w:r w:rsidRPr="00487834">
              <w:rPr>
                <w:color w:val="000000"/>
              </w:rPr>
              <w:t>4.565</w:t>
            </w:r>
          </w:p>
        </w:tc>
        <w:tc>
          <w:tcPr>
            <w:tcW w:w="1060" w:type="dxa"/>
            <w:tcBorders>
              <w:top w:val="nil"/>
              <w:left w:val="nil"/>
              <w:bottom w:val="single" w:sz="4" w:space="0" w:color="auto"/>
              <w:right w:val="nil"/>
            </w:tcBorders>
            <w:shd w:val="clear" w:color="auto" w:fill="auto"/>
            <w:noWrap/>
            <w:vAlign w:val="center"/>
            <w:hideMark/>
          </w:tcPr>
          <w:p w14:paraId="691C3E65" w14:textId="77777777" w:rsidR="00D4470C" w:rsidRPr="00487834" w:rsidRDefault="00D4470C" w:rsidP="00F36A29">
            <w:pPr>
              <w:pStyle w:val="NoSpacing"/>
              <w:rPr>
                <w:color w:val="000000"/>
              </w:rPr>
            </w:pPr>
            <w:r w:rsidRPr="00487834">
              <w:rPr>
                <w:color w:val="000000"/>
              </w:rPr>
              <w:t>6.765</w:t>
            </w:r>
          </w:p>
        </w:tc>
        <w:tc>
          <w:tcPr>
            <w:tcW w:w="1060" w:type="dxa"/>
            <w:tcBorders>
              <w:top w:val="nil"/>
              <w:left w:val="nil"/>
              <w:bottom w:val="single" w:sz="4" w:space="0" w:color="auto"/>
              <w:right w:val="nil"/>
            </w:tcBorders>
            <w:shd w:val="clear" w:color="auto" w:fill="auto"/>
            <w:noWrap/>
            <w:vAlign w:val="center"/>
            <w:hideMark/>
          </w:tcPr>
          <w:p w14:paraId="7B92A1D9" w14:textId="77777777" w:rsidR="00D4470C" w:rsidRPr="00487834" w:rsidRDefault="00D4470C" w:rsidP="00F36A29">
            <w:pPr>
              <w:pStyle w:val="NoSpacing"/>
              <w:rPr>
                <w:color w:val="000000"/>
              </w:rPr>
            </w:pPr>
            <w:r w:rsidRPr="00487834">
              <w:rPr>
                <w:color w:val="000000"/>
              </w:rPr>
              <w:t>10.908</w:t>
            </w:r>
          </w:p>
        </w:tc>
        <w:tc>
          <w:tcPr>
            <w:tcW w:w="1060" w:type="dxa"/>
            <w:tcBorders>
              <w:top w:val="nil"/>
              <w:left w:val="nil"/>
              <w:bottom w:val="single" w:sz="4" w:space="0" w:color="auto"/>
              <w:right w:val="nil"/>
            </w:tcBorders>
            <w:shd w:val="clear" w:color="auto" w:fill="auto"/>
            <w:noWrap/>
            <w:vAlign w:val="center"/>
            <w:hideMark/>
          </w:tcPr>
          <w:p w14:paraId="4357F705" w14:textId="77777777" w:rsidR="00D4470C" w:rsidRPr="00487834" w:rsidRDefault="00D4470C" w:rsidP="00F36A29">
            <w:pPr>
              <w:pStyle w:val="NoSpacing"/>
              <w:rPr>
                <w:color w:val="000000"/>
              </w:rPr>
            </w:pPr>
            <w:r w:rsidRPr="00487834">
              <w:rPr>
                <w:color w:val="000000"/>
              </w:rPr>
              <w:t>28.658</w:t>
            </w:r>
          </w:p>
        </w:tc>
      </w:tr>
    </w:tbl>
    <w:p w14:paraId="0EB6FD04" w14:textId="77777777" w:rsidR="00B11195" w:rsidRPr="00487834" w:rsidRDefault="00B11195" w:rsidP="00756009">
      <w:pPr>
        <w:autoSpaceDE w:val="0"/>
        <w:autoSpaceDN w:val="0"/>
        <w:adjustRightInd w:val="0"/>
        <w:spacing w:line="300" w:lineRule="auto"/>
        <w:jc w:val="left"/>
        <w:rPr>
          <w:rFonts w:eastAsiaTheme="minorHAnsi"/>
          <w:b/>
          <w:bCs/>
          <w:lang w:val="en-GB" w:eastAsia="en-US"/>
        </w:rPr>
      </w:pPr>
    </w:p>
    <w:p w14:paraId="1D153FF9" w14:textId="77777777" w:rsidR="00B11195" w:rsidRPr="00487834" w:rsidRDefault="00B11195" w:rsidP="003128F6">
      <w:pPr>
        <w:autoSpaceDE w:val="0"/>
        <w:autoSpaceDN w:val="0"/>
        <w:adjustRightInd w:val="0"/>
        <w:spacing w:line="300" w:lineRule="auto"/>
        <w:jc w:val="center"/>
        <w:rPr>
          <w:rFonts w:eastAsiaTheme="minorHAnsi"/>
          <w:b/>
          <w:bCs/>
          <w:lang w:val="en-GB" w:eastAsia="en-US"/>
        </w:rPr>
      </w:pPr>
    </w:p>
    <w:p w14:paraId="5343EBCD" w14:textId="77777777" w:rsidR="00E824D5" w:rsidRPr="00487834" w:rsidRDefault="00B11195" w:rsidP="00BF355C">
      <w:pPr>
        <w:autoSpaceDE w:val="0"/>
        <w:autoSpaceDN w:val="0"/>
        <w:adjustRightInd w:val="0"/>
        <w:spacing w:line="300" w:lineRule="auto"/>
        <w:rPr>
          <w:rFonts w:eastAsiaTheme="minorHAnsi"/>
          <w:lang w:val="en-GB" w:eastAsia="en-US"/>
        </w:rPr>
      </w:pPr>
      <w:r w:rsidRPr="00487834">
        <w:rPr>
          <w:rFonts w:eastAsiaTheme="minorHAnsi"/>
          <w:b/>
          <w:bCs/>
          <w:lang w:val="en-GB" w:eastAsia="en-US"/>
        </w:rPr>
        <w:t xml:space="preserve">Table </w:t>
      </w:r>
      <w:r w:rsidR="00BF355C" w:rsidRPr="00487834">
        <w:rPr>
          <w:rFonts w:eastAsiaTheme="minorHAnsi"/>
          <w:b/>
          <w:bCs/>
          <w:lang w:val="en-GB" w:eastAsia="en-US"/>
        </w:rPr>
        <w:t>4</w:t>
      </w:r>
      <w:r w:rsidRPr="00487834">
        <w:rPr>
          <w:rFonts w:eastAsiaTheme="minorHAnsi"/>
          <w:b/>
          <w:bCs/>
          <w:lang w:val="en-GB" w:eastAsia="en-US"/>
        </w:rPr>
        <w:t xml:space="preserve"> – </w:t>
      </w:r>
      <w:r w:rsidR="00B90429" w:rsidRPr="00487834">
        <w:rPr>
          <w:rFonts w:eastAsiaTheme="minorHAnsi"/>
          <w:lang w:val="en-GB" w:eastAsia="en-US"/>
        </w:rPr>
        <w:t>D</w:t>
      </w:r>
      <w:r w:rsidRPr="00487834">
        <w:rPr>
          <w:rFonts w:eastAsiaTheme="minorHAnsi"/>
          <w:lang w:val="en-GB" w:eastAsia="en-US"/>
        </w:rPr>
        <w:t xml:space="preserve">escriptive statistics for the aggregated cost of </w:t>
      </w:r>
      <w:r w:rsidR="00E824D5" w:rsidRPr="00487834">
        <w:rPr>
          <w:rFonts w:eastAsiaTheme="minorHAnsi"/>
          <w:lang w:val="en-GB" w:eastAsia="en-US"/>
        </w:rPr>
        <w:t>debt</w:t>
      </w:r>
      <w:r w:rsidRPr="00487834">
        <w:rPr>
          <w:rFonts w:eastAsiaTheme="minorHAnsi"/>
          <w:lang w:val="en-GB" w:eastAsia="en-US"/>
        </w:rPr>
        <w:t xml:space="preserve"> model</w:t>
      </w:r>
      <w:r w:rsidR="00B90429" w:rsidRPr="00487834">
        <w:rPr>
          <w:rFonts w:eastAsiaTheme="minorHAnsi"/>
          <w:lang w:val="en-GB" w:eastAsia="en-US"/>
        </w:rPr>
        <w:t>, including</w:t>
      </w:r>
      <w:r w:rsidRPr="00487834">
        <w:rPr>
          <w:rFonts w:eastAsiaTheme="minorHAnsi"/>
          <w:lang w:val="en-GB" w:eastAsia="en-US"/>
        </w:rPr>
        <w:t xml:space="preserve"> respective control variables</w:t>
      </w:r>
    </w:p>
    <w:p w14:paraId="6FBA0816" w14:textId="77777777" w:rsidR="00E824D5" w:rsidRPr="00487834" w:rsidRDefault="00E824D5" w:rsidP="003128F6">
      <w:pPr>
        <w:autoSpaceDE w:val="0"/>
        <w:autoSpaceDN w:val="0"/>
        <w:adjustRightInd w:val="0"/>
        <w:spacing w:line="300" w:lineRule="auto"/>
        <w:rPr>
          <w:rFonts w:eastAsiaTheme="minorHAnsi"/>
          <w:lang w:val="en-US" w:eastAsia="en-US"/>
        </w:rPr>
      </w:pPr>
    </w:p>
    <w:tbl>
      <w:tblPr>
        <w:tblW w:w="9680" w:type="dxa"/>
        <w:jc w:val="center"/>
        <w:tblLook w:val="04A0" w:firstRow="1" w:lastRow="0" w:firstColumn="1" w:lastColumn="0" w:noHBand="0" w:noVBand="1"/>
      </w:tblPr>
      <w:tblGrid>
        <w:gridCol w:w="1341"/>
        <w:gridCol w:w="1060"/>
        <w:gridCol w:w="1060"/>
        <w:gridCol w:w="1060"/>
        <w:gridCol w:w="1060"/>
        <w:gridCol w:w="1060"/>
        <w:gridCol w:w="1060"/>
        <w:gridCol w:w="1060"/>
        <w:gridCol w:w="1060"/>
      </w:tblGrid>
      <w:tr w:rsidR="00E824D5" w:rsidRPr="00487834" w14:paraId="346FF4E2" w14:textId="77777777" w:rsidTr="009D24BE">
        <w:trPr>
          <w:trHeight w:val="280"/>
          <w:jc w:val="center"/>
        </w:trPr>
        <w:tc>
          <w:tcPr>
            <w:tcW w:w="1200" w:type="dxa"/>
            <w:tcBorders>
              <w:top w:val="single" w:sz="4" w:space="0" w:color="auto"/>
              <w:left w:val="nil"/>
              <w:bottom w:val="single" w:sz="4" w:space="0" w:color="auto"/>
              <w:right w:val="nil"/>
            </w:tcBorders>
            <w:shd w:val="clear" w:color="auto" w:fill="auto"/>
            <w:noWrap/>
            <w:hideMark/>
          </w:tcPr>
          <w:p w14:paraId="4ED5346B" w14:textId="77777777" w:rsidR="00E824D5" w:rsidRPr="00487834" w:rsidRDefault="00E824D5" w:rsidP="00F36A29">
            <w:pPr>
              <w:pStyle w:val="NoSpacing"/>
            </w:pPr>
            <w:proofErr w:type="spellStart"/>
            <w:r w:rsidRPr="00487834">
              <w:t>Variable</w:t>
            </w:r>
            <w:proofErr w:type="spellEnd"/>
          </w:p>
        </w:tc>
        <w:tc>
          <w:tcPr>
            <w:tcW w:w="1060" w:type="dxa"/>
            <w:tcBorders>
              <w:top w:val="single" w:sz="4" w:space="0" w:color="auto"/>
              <w:left w:val="nil"/>
              <w:bottom w:val="single" w:sz="4" w:space="0" w:color="auto"/>
              <w:right w:val="nil"/>
            </w:tcBorders>
            <w:shd w:val="clear" w:color="auto" w:fill="auto"/>
            <w:noWrap/>
            <w:hideMark/>
          </w:tcPr>
          <w:p w14:paraId="6448D372" w14:textId="77777777" w:rsidR="00E824D5" w:rsidRPr="00487834" w:rsidRDefault="00E824D5" w:rsidP="00F36A29">
            <w:pPr>
              <w:pStyle w:val="NoSpacing"/>
            </w:pPr>
            <w:proofErr w:type="spellStart"/>
            <w:r w:rsidRPr="00487834">
              <w:t>Mean</w:t>
            </w:r>
            <w:proofErr w:type="spellEnd"/>
          </w:p>
        </w:tc>
        <w:tc>
          <w:tcPr>
            <w:tcW w:w="1060" w:type="dxa"/>
            <w:tcBorders>
              <w:top w:val="single" w:sz="4" w:space="0" w:color="auto"/>
              <w:left w:val="nil"/>
              <w:bottom w:val="single" w:sz="4" w:space="0" w:color="auto"/>
              <w:right w:val="nil"/>
            </w:tcBorders>
            <w:shd w:val="clear" w:color="auto" w:fill="auto"/>
            <w:noWrap/>
            <w:hideMark/>
          </w:tcPr>
          <w:p w14:paraId="58E4AFCD" w14:textId="77777777" w:rsidR="00E824D5" w:rsidRPr="00487834" w:rsidRDefault="00E824D5" w:rsidP="00F36A29">
            <w:pPr>
              <w:pStyle w:val="NoSpacing"/>
            </w:pPr>
            <w:proofErr w:type="spellStart"/>
            <w:r w:rsidRPr="00487834">
              <w:t>Std.Dev</w:t>
            </w:r>
            <w:proofErr w:type="spellEnd"/>
            <w:r w:rsidRPr="00487834">
              <w:t>.</w:t>
            </w:r>
          </w:p>
        </w:tc>
        <w:tc>
          <w:tcPr>
            <w:tcW w:w="1060" w:type="dxa"/>
            <w:tcBorders>
              <w:top w:val="single" w:sz="4" w:space="0" w:color="auto"/>
              <w:left w:val="nil"/>
              <w:bottom w:val="single" w:sz="4" w:space="0" w:color="auto"/>
              <w:right w:val="nil"/>
            </w:tcBorders>
            <w:shd w:val="clear" w:color="auto" w:fill="auto"/>
            <w:noWrap/>
            <w:hideMark/>
          </w:tcPr>
          <w:p w14:paraId="5839412F" w14:textId="77777777" w:rsidR="00E824D5" w:rsidRPr="00487834" w:rsidRDefault="00E824D5" w:rsidP="00F36A29">
            <w:pPr>
              <w:pStyle w:val="NoSpacing"/>
            </w:pPr>
            <w:r w:rsidRPr="00487834">
              <w:t>N</w:t>
            </w:r>
          </w:p>
        </w:tc>
        <w:tc>
          <w:tcPr>
            <w:tcW w:w="1060" w:type="dxa"/>
            <w:tcBorders>
              <w:top w:val="single" w:sz="4" w:space="0" w:color="auto"/>
              <w:left w:val="nil"/>
              <w:bottom w:val="single" w:sz="4" w:space="0" w:color="auto"/>
              <w:right w:val="nil"/>
            </w:tcBorders>
            <w:shd w:val="clear" w:color="auto" w:fill="auto"/>
            <w:noWrap/>
            <w:hideMark/>
          </w:tcPr>
          <w:p w14:paraId="27868FA0" w14:textId="77777777" w:rsidR="00E824D5" w:rsidRPr="00487834" w:rsidRDefault="00E824D5" w:rsidP="00F36A29">
            <w:pPr>
              <w:pStyle w:val="NoSpacing"/>
            </w:pPr>
            <w:proofErr w:type="spellStart"/>
            <w:r w:rsidRPr="00487834">
              <w:t>Min</w:t>
            </w:r>
            <w:proofErr w:type="spellEnd"/>
          </w:p>
        </w:tc>
        <w:tc>
          <w:tcPr>
            <w:tcW w:w="1060" w:type="dxa"/>
            <w:tcBorders>
              <w:top w:val="single" w:sz="4" w:space="0" w:color="auto"/>
              <w:left w:val="nil"/>
              <w:bottom w:val="single" w:sz="4" w:space="0" w:color="auto"/>
              <w:right w:val="nil"/>
            </w:tcBorders>
            <w:shd w:val="clear" w:color="auto" w:fill="auto"/>
            <w:noWrap/>
            <w:hideMark/>
          </w:tcPr>
          <w:p w14:paraId="7040C803" w14:textId="77777777" w:rsidR="00E824D5" w:rsidRPr="00487834" w:rsidRDefault="00E824D5" w:rsidP="00F36A29">
            <w:pPr>
              <w:pStyle w:val="NoSpacing"/>
            </w:pPr>
            <w:r w:rsidRPr="00487834">
              <w:t>Q1</w:t>
            </w:r>
          </w:p>
        </w:tc>
        <w:tc>
          <w:tcPr>
            <w:tcW w:w="1060" w:type="dxa"/>
            <w:tcBorders>
              <w:top w:val="single" w:sz="4" w:space="0" w:color="auto"/>
              <w:left w:val="nil"/>
              <w:bottom w:val="single" w:sz="4" w:space="0" w:color="auto"/>
              <w:right w:val="nil"/>
            </w:tcBorders>
            <w:shd w:val="clear" w:color="auto" w:fill="auto"/>
            <w:noWrap/>
            <w:hideMark/>
          </w:tcPr>
          <w:p w14:paraId="00460199" w14:textId="77777777" w:rsidR="00E824D5" w:rsidRPr="00487834" w:rsidRDefault="00E824D5" w:rsidP="00F36A29">
            <w:pPr>
              <w:pStyle w:val="NoSpacing"/>
            </w:pPr>
            <w:proofErr w:type="spellStart"/>
            <w:r w:rsidRPr="00487834">
              <w:t>Median</w:t>
            </w:r>
            <w:proofErr w:type="spellEnd"/>
          </w:p>
        </w:tc>
        <w:tc>
          <w:tcPr>
            <w:tcW w:w="1060" w:type="dxa"/>
            <w:tcBorders>
              <w:top w:val="single" w:sz="4" w:space="0" w:color="auto"/>
              <w:left w:val="nil"/>
              <w:bottom w:val="single" w:sz="4" w:space="0" w:color="auto"/>
              <w:right w:val="nil"/>
            </w:tcBorders>
            <w:shd w:val="clear" w:color="auto" w:fill="auto"/>
            <w:noWrap/>
            <w:hideMark/>
          </w:tcPr>
          <w:p w14:paraId="18B7EA48" w14:textId="77777777" w:rsidR="00E824D5" w:rsidRPr="00487834" w:rsidRDefault="00E824D5" w:rsidP="00F36A29">
            <w:pPr>
              <w:pStyle w:val="NoSpacing"/>
            </w:pPr>
            <w:r w:rsidRPr="00487834">
              <w:t>Q3</w:t>
            </w:r>
          </w:p>
        </w:tc>
        <w:tc>
          <w:tcPr>
            <w:tcW w:w="1060" w:type="dxa"/>
            <w:tcBorders>
              <w:top w:val="single" w:sz="4" w:space="0" w:color="auto"/>
              <w:left w:val="nil"/>
              <w:bottom w:val="single" w:sz="4" w:space="0" w:color="auto"/>
              <w:right w:val="nil"/>
            </w:tcBorders>
            <w:shd w:val="clear" w:color="auto" w:fill="auto"/>
            <w:noWrap/>
            <w:hideMark/>
          </w:tcPr>
          <w:p w14:paraId="62A37943" w14:textId="77777777" w:rsidR="00E824D5" w:rsidRPr="00487834" w:rsidRDefault="00E824D5" w:rsidP="00F36A29">
            <w:pPr>
              <w:pStyle w:val="NoSpacing"/>
            </w:pPr>
            <w:r w:rsidRPr="00487834">
              <w:t>Max</w:t>
            </w:r>
          </w:p>
        </w:tc>
      </w:tr>
      <w:tr w:rsidR="00E824D5" w:rsidRPr="00487834" w14:paraId="3047F16B" w14:textId="77777777" w:rsidTr="009D24BE">
        <w:trPr>
          <w:trHeight w:val="560"/>
          <w:jc w:val="center"/>
        </w:trPr>
        <w:tc>
          <w:tcPr>
            <w:tcW w:w="1200" w:type="dxa"/>
            <w:tcBorders>
              <w:top w:val="nil"/>
              <w:left w:val="nil"/>
              <w:bottom w:val="nil"/>
              <w:right w:val="nil"/>
            </w:tcBorders>
            <w:shd w:val="clear" w:color="auto" w:fill="auto"/>
            <w:noWrap/>
            <w:vAlign w:val="center"/>
            <w:hideMark/>
          </w:tcPr>
          <w:p w14:paraId="46126395" w14:textId="77777777" w:rsidR="00E824D5" w:rsidRPr="00487834" w:rsidRDefault="00E824D5" w:rsidP="00F36A29">
            <w:pPr>
              <w:pStyle w:val="NoSpacing"/>
              <w:rPr>
                <w:i/>
                <w:iCs/>
                <w:color w:val="000000"/>
              </w:rPr>
            </w:pPr>
            <w:r w:rsidRPr="00487834">
              <w:rPr>
                <w:i/>
                <w:iCs/>
                <w:color w:val="000000"/>
              </w:rPr>
              <w:t>ESG</w:t>
            </w:r>
          </w:p>
        </w:tc>
        <w:tc>
          <w:tcPr>
            <w:tcW w:w="1060" w:type="dxa"/>
            <w:tcBorders>
              <w:top w:val="nil"/>
              <w:left w:val="nil"/>
              <w:bottom w:val="nil"/>
              <w:right w:val="nil"/>
            </w:tcBorders>
            <w:shd w:val="clear" w:color="auto" w:fill="auto"/>
            <w:noWrap/>
            <w:vAlign w:val="center"/>
            <w:hideMark/>
          </w:tcPr>
          <w:p w14:paraId="4A833108" w14:textId="77777777" w:rsidR="00E824D5" w:rsidRPr="00487834" w:rsidRDefault="00E824D5" w:rsidP="00F36A29">
            <w:pPr>
              <w:pStyle w:val="NoSpacing"/>
              <w:rPr>
                <w:color w:val="000000"/>
              </w:rPr>
            </w:pPr>
            <w:r w:rsidRPr="00487834">
              <w:rPr>
                <w:color w:val="000000"/>
              </w:rPr>
              <w:t>53.703</w:t>
            </w:r>
          </w:p>
        </w:tc>
        <w:tc>
          <w:tcPr>
            <w:tcW w:w="1060" w:type="dxa"/>
            <w:tcBorders>
              <w:top w:val="nil"/>
              <w:left w:val="nil"/>
              <w:bottom w:val="nil"/>
              <w:right w:val="nil"/>
            </w:tcBorders>
            <w:shd w:val="clear" w:color="auto" w:fill="auto"/>
            <w:noWrap/>
            <w:vAlign w:val="center"/>
            <w:hideMark/>
          </w:tcPr>
          <w:p w14:paraId="25FCDAF2" w14:textId="77777777" w:rsidR="00E824D5" w:rsidRPr="00487834" w:rsidRDefault="00E824D5" w:rsidP="00F36A29">
            <w:pPr>
              <w:pStyle w:val="NoSpacing"/>
              <w:rPr>
                <w:color w:val="000000"/>
              </w:rPr>
            </w:pPr>
            <w:r w:rsidRPr="00487834">
              <w:rPr>
                <w:color w:val="000000"/>
              </w:rPr>
              <w:t>18.253</w:t>
            </w:r>
          </w:p>
        </w:tc>
        <w:tc>
          <w:tcPr>
            <w:tcW w:w="1060" w:type="dxa"/>
            <w:tcBorders>
              <w:top w:val="nil"/>
              <w:left w:val="nil"/>
              <w:bottom w:val="nil"/>
              <w:right w:val="nil"/>
            </w:tcBorders>
            <w:shd w:val="clear" w:color="auto" w:fill="auto"/>
            <w:noWrap/>
            <w:vAlign w:val="center"/>
            <w:hideMark/>
          </w:tcPr>
          <w:p w14:paraId="706843FD" w14:textId="77777777" w:rsidR="00E824D5" w:rsidRPr="00487834" w:rsidRDefault="00E824D5" w:rsidP="00F36A29">
            <w:pPr>
              <w:pStyle w:val="NoSpacing"/>
              <w:rPr>
                <w:color w:val="000000"/>
              </w:rPr>
            </w:pPr>
            <w:r w:rsidRPr="00487834">
              <w:rPr>
                <w:color w:val="000000"/>
              </w:rPr>
              <w:t>1192</w:t>
            </w:r>
          </w:p>
        </w:tc>
        <w:tc>
          <w:tcPr>
            <w:tcW w:w="1060" w:type="dxa"/>
            <w:tcBorders>
              <w:top w:val="nil"/>
              <w:left w:val="nil"/>
              <w:bottom w:val="nil"/>
              <w:right w:val="nil"/>
            </w:tcBorders>
            <w:shd w:val="clear" w:color="auto" w:fill="auto"/>
            <w:noWrap/>
            <w:vAlign w:val="center"/>
            <w:hideMark/>
          </w:tcPr>
          <w:p w14:paraId="6B052516" w14:textId="77777777" w:rsidR="00E824D5" w:rsidRPr="00487834" w:rsidRDefault="00E824D5" w:rsidP="00F36A29">
            <w:pPr>
              <w:pStyle w:val="NoSpacing"/>
              <w:rPr>
                <w:color w:val="000000"/>
              </w:rPr>
            </w:pPr>
            <w:r w:rsidRPr="00487834">
              <w:rPr>
                <w:color w:val="000000"/>
              </w:rPr>
              <w:t>1.283</w:t>
            </w:r>
          </w:p>
        </w:tc>
        <w:tc>
          <w:tcPr>
            <w:tcW w:w="1060" w:type="dxa"/>
            <w:tcBorders>
              <w:top w:val="nil"/>
              <w:left w:val="nil"/>
              <w:bottom w:val="nil"/>
              <w:right w:val="nil"/>
            </w:tcBorders>
            <w:shd w:val="clear" w:color="auto" w:fill="auto"/>
            <w:noWrap/>
            <w:vAlign w:val="center"/>
            <w:hideMark/>
          </w:tcPr>
          <w:p w14:paraId="3F6CB7A6" w14:textId="77777777" w:rsidR="00E824D5" w:rsidRPr="00487834" w:rsidRDefault="00E824D5" w:rsidP="00F36A29">
            <w:pPr>
              <w:pStyle w:val="NoSpacing"/>
              <w:rPr>
                <w:color w:val="000000"/>
              </w:rPr>
            </w:pPr>
            <w:r w:rsidRPr="00487834">
              <w:rPr>
                <w:color w:val="000000"/>
              </w:rPr>
              <w:t>41.743</w:t>
            </w:r>
          </w:p>
        </w:tc>
        <w:tc>
          <w:tcPr>
            <w:tcW w:w="1060" w:type="dxa"/>
            <w:tcBorders>
              <w:top w:val="nil"/>
              <w:left w:val="nil"/>
              <w:bottom w:val="nil"/>
              <w:right w:val="nil"/>
            </w:tcBorders>
            <w:shd w:val="clear" w:color="auto" w:fill="auto"/>
            <w:noWrap/>
            <w:vAlign w:val="center"/>
            <w:hideMark/>
          </w:tcPr>
          <w:p w14:paraId="48CE427B" w14:textId="77777777" w:rsidR="00E824D5" w:rsidRPr="00487834" w:rsidRDefault="00E824D5" w:rsidP="00F36A29">
            <w:pPr>
              <w:pStyle w:val="NoSpacing"/>
              <w:rPr>
                <w:color w:val="000000"/>
              </w:rPr>
            </w:pPr>
            <w:r w:rsidRPr="00487834">
              <w:rPr>
                <w:color w:val="000000"/>
              </w:rPr>
              <w:t>56.008</w:t>
            </w:r>
          </w:p>
        </w:tc>
        <w:tc>
          <w:tcPr>
            <w:tcW w:w="1060" w:type="dxa"/>
            <w:tcBorders>
              <w:top w:val="nil"/>
              <w:left w:val="nil"/>
              <w:bottom w:val="nil"/>
              <w:right w:val="nil"/>
            </w:tcBorders>
            <w:shd w:val="clear" w:color="auto" w:fill="auto"/>
            <w:noWrap/>
            <w:vAlign w:val="center"/>
            <w:hideMark/>
          </w:tcPr>
          <w:p w14:paraId="2BD94718" w14:textId="77777777" w:rsidR="00E824D5" w:rsidRPr="00487834" w:rsidRDefault="00E824D5" w:rsidP="00F36A29">
            <w:pPr>
              <w:pStyle w:val="NoSpacing"/>
              <w:rPr>
                <w:color w:val="000000"/>
              </w:rPr>
            </w:pPr>
            <w:r w:rsidRPr="00487834">
              <w:rPr>
                <w:color w:val="000000"/>
              </w:rPr>
              <w:t>66.782</w:t>
            </w:r>
          </w:p>
        </w:tc>
        <w:tc>
          <w:tcPr>
            <w:tcW w:w="1060" w:type="dxa"/>
            <w:tcBorders>
              <w:top w:val="nil"/>
              <w:left w:val="nil"/>
              <w:bottom w:val="nil"/>
              <w:right w:val="nil"/>
            </w:tcBorders>
            <w:shd w:val="clear" w:color="auto" w:fill="auto"/>
            <w:noWrap/>
            <w:vAlign w:val="center"/>
            <w:hideMark/>
          </w:tcPr>
          <w:p w14:paraId="49893876" w14:textId="77777777" w:rsidR="00E824D5" w:rsidRPr="00487834" w:rsidRDefault="00E824D5" w:rsidP="00F36A29">
            <w:pPr>
              <w:pStyle w:val="NoSpacing"/>
              <w:rPr>
                <w:color w:val="000000"/>
              </w:rPr>
            </w:pPr>
            <w:r w:rsidRPr="00487834">
              <w:rPr>
                <w:color w:val="000000"/>
              </w:rPr>
              <w:t>91.316</w:t>
            </w:r>
          </w:p>
        </w:tc>
      </w:tr>
      <w:tr w:rsidR="00E824D5" w:rsidRPr="00487834" w14:paraId="46E33656" w14:textId="77777777" w:rsidTr="009D24BE">
        <w:trPr>
          <w:trHeight w:val="580"/>
          <w:jc w:val="center"/>
        </w:trPr>
        <w:tc>
          <w:tcPr>
            <w:tcW w:w="1200" w:type="dxa"/>
            <w:tcBorders>
              <w:top w:val="nil"/>
              <w:left w:val="nil"/>
              <w:bottom w:val="nil"/>
              <w:right w:val="nil"/>
            </w:tcBorders>
            <w:shd w:val="clear" w:color="auto" w:fill="auto"/>
            <w:noWrap/>
            <w:vAlign w:val="center"/>
            <w:hideMark/>
          </w:tcPr>
          <w:p w14:paraId="53055496" w14:textId="77777777" w:rsidR="00E824D5" w:rsidRPr="00487834" w:rsidRDefault="00E824D5" w:rsidP="00F36A29">
            <w:pPr>
              <w:pStyle w:val="NoSpacing"/>
              <w:rPr>
                <w:i/>
                <w:iCs/>
                <w:color w:val="000000"/>
              </w:rPr>
            </w:pPr>
            <w:r w:rsidRPr="00487834">
              <w:rPr>
                <w:i/>
                <w:iCs/>
                <w:color w:val="000000"/>
              </w:rPr>
              <w:t>MCAP</w:t>
            </w:r>
          </w:p>
        </w:tc>
        <w:tc>
          <w:tcPr>
            <w:tcW w:w="1060" w:type="dxa"/>
            <w:tcBorders>
              <w:top w:val="nil"/>
              <w:left w:val="nil"/>
              <w:bottom w:val="nil"/>
              <w:right w:val="nil"/>
            </w:tcBorders>
            <w:shd w:val="clear" w:color="auto" w:fill="auto"/>
            <w:noWrap/>
            <w:vAlign w:val="center"/>
            <w:hideMark/>
          </w:tcPr>
          <w:p w14:paraId="0E8AD99C" w14:textId="77777777" w:rsidR="00E824D5" w:rsidRPr="00487834" w:rsidRDefault="00E824D5" w:rsidP="00F36A29">
            <w:pPr>
              <w:pStyle w:val="NoSpacing"/>
              <w:rPr>
                <w:color w:val="000000"/>
              </w:rPr>
            </w:pPr>
            <w:r w:rsidRPr="00487834">
              <w:rPr>
                <w:color w:val="000000"/>
              </w:rPr>
              <w:t>21.788</w:t>
            </w:r>
          </w:p>
        </w:tc>
        <w:tc>
          <w:tcPr>
            <w:tcW w:w="1060" w:type="dxa"/>
            <w:tcBorders>
              <w:top w:val="nil"/>
              <w:left w:val="nil"/>
              <w:bottom w:val="nil"/>
              <w:right w:val="nil"/>
            </w:tcBorders>
            <w:shd w:val="clear" w:color="auto" w:fill="auto"/>
            <w:noWrap/>
            <w:vAlign w:val="center"/>
            <w:hideMark/>
          </w:tcPr>
          <w:p w14:paraId="7FCAE459" w14:textId="77777777" w:rsidR="00E824D5" w:rsidRPr="00487834" w:rsidRDefault="00E824D5" w:rsidP="00F36A29">
            <w:pPr>
              <w:pStyle w:val="NoSpacing"/>
              <w:rPr>
                <w:color w:val="000000"/>
              </w:rPr>
            </w:pPr>
            <w:r w:rsidRPr="00487834">
              <w:rPr>
                <w:color w:val="000000"/>
              </w:rPr>
              <w:t>1.299</w:t>
            </w:r>
          </w:p>
        </w:tc>
        <w:tc>
          <w:tcPr>
            <w:tcW w:w="1060" w:type="dxa"/>
            <w:tcBorders>
              <w:top w:val="nil"/>
              <w:left w:val="nil"/>
              <w:bottom w:val="nil"/>
              <w:right w:val="nil"/>
            </w:tcBorders>
            <w:shd w:val="clear" w:color="auto" w:fill="auto"/>
            <w:noWrap/>
            <w:vAlign w:val="center"/>
            <w:hideMark/>
          </w:tcPr>
          <w:p w14:paraId="25A730C1" w14:textId="77777777" w:rsidR="00E824D5" w:rsidRPr="00487834" w:rsidRDefault="00E824D5" w:rsidP="00F36A29">
            <w:pPr>
              <w:pStyle w:val="NoSpacing"/>
              <w:rPr>
                <w:color w:val="000000"/>
              </w:rPr>
            </w:pPr>
            <w:r w:rsidRPr="00487834">
              <w:rPr>
                <w:color w:val="000000"/>
              </w:rPr>
              <w:t>1192</w:t>
            </w:r>
          </w:p>
        </w:tc>
        <w:tc>
          <w:tcPr>
            <w:tcW w:w="1060" w:type="dxa"/>
            <w:tcBorders>
              <w:top w:val="nil"/>
              <w:left w:val="nil"/>
              <w:bottom w:val="nil"/>
              <w:right w:val="nil"/>
            </w:tcBorders>
            <w:shd w:val="clear" w:color="auto" w:fill="auto"/>
            <w:noWrap/>
            <w:vAlign w:val="center"/>
            <w:hideMark/>
          </w:tcPr>
          <w:p w14:paraId="1A0630B6" w14:textId="77777777" w:rsidR="00E824D5" w:rsidRPr="00487834" w:rsidRDefault="00E824D5" w:rsidP="00F36A29">
            <w:pPr>
              <w:pStyle w:val="NoSpacing"/>
              <w:rPr>
                <w:color w:val="000000"/>
              </w:rPr>
            </w:pPr>
            <w:r w:rsidRPr="00487834">
              <w:rPr>
                <w:color w:val="000000"/>
              </w:rPr>
              <w:t>18.000</w:t>
            </w:r>
          </w:p>
        </w:tc>
        <w:tc>
          <w:tcPr>
            <w:tcW w:w="1060" w:type="dxa"/>
            <w:tcBorders>
              <w:top w:val="nil"/>
              <w:left w:val="nil"/>
              <w:bottom w:val="nil"/>
              <w:right w:val="nil"/>
            </w:tcBorders>
            <w:shd w:val="clear" w:color="auto" w:fill="auto"/>
            <w:noWrap/>
            <w:vAlign w:val="center"/>
            <w:hideMark/>
          </w:tcPr>
          <w:p w14:paraId="7A876C5D" w14:textId="77777777" w:rsidR="00E824D5" w:rsidRPr="00487834" w:rsidRDefault="00E824D5" w:rsidP="00F36A29">
            <w:pPr>
              <w:pStyle w:val="NoSpacing"/>
              <w:rPr>
                <w:color w:val="000000"/>
              </w:rPr>
            </w:pPr>
            <w:r w:rsidRPr="00487834">
              <w:rPr>
                <w:color w:val="000000"/>
              </w:rPr>
              <w:t>20.813</w:t>
            </w:r>
          </w:p>
        </w:tc>
        <w:tc>
          <w:tcPr>
            <w:tcW w:w="1060" w:type="dxa"/>
            <w:tcBorders>
              <w:top w:val="nil"/>
              <w:left w:val="nil"/>
              <w:bottom w:val="nil"/>
              <w:right w:val="nil"/>
            </w:tcBorders>
            <w:shd w:val="clear" w:color="auto" w:fill="auto"/>
            <w:noWrap/>
            <w:vAlign w:val="center"/>
            <w:hideMark/>
          </w:tcPr>
          <w:p w14:paraId="3855191B" w14:textId="77777777" w:rsidR="00E824D5" w:rsidRPr="00487834" w:rsidRDefault="00E824D5" w:rsidP="00F36A29">
            <w:pPr>
              <w:pStyle w:val="NoSpacing"/>
              <w:rPr>
                <w:color w:val="000000"/>
              </w:rPr>
            </w:pPr>
            <w:r w:rsidRPr="00487834">
              <w:rPr>
                <w:color w:val="000000"/>
              </w:rPr>
              <w:t>21.832</w:t>
            </w:r>
          </w:p>
        </w:tc>
        <w:tc>
          <w:tcPr>
            <w:tcW w:w="1060" w:type="dxa"/>
            <w:tcBorders>
              <w:top w:val="nil"/>
              <w:left w:val="nil"/>
              <w:bottom w:val="nil"/>
              <w:right w:val="nil"/>
            </w:tcBorders>
            <w:shd w:val="clear" w:color="auto" w:fill="auto"/>
            <w:noWrap/>
            <w:vAlign w:val="center"/>
            <w:hideMark/>
          </w:tcPr>
          <w:p w14:paraId="33B0FB40" w14:textId="77777777" w:rsidR="00E824D5" w:rsidRPr="00487834" w:rsidRDefault="00E824D5" w:rsidP="00F36A29">
            <w:pPr>
              <w:pStyle w:val="NoSpacing"/>
              <w:rPr>
                <w:color w:val="000000"/>
              </w:rPr>
            </w:pPr>
            <w:r w:rsidRPr="00487834">
              <w:rPr>
                <w:color w:val="000000"/>
              </w:rPr>
              <w:t>22.631</w:t>
            </w:r>
          </w:p>
        </w:tc>
        <w:tc>
          <w:tcPr>
            <w:tcW w:w="1060" w:type="dxa"/>
            <w:tcBorders>
              <w:top w:val="nil"/>
              <w:left w:val="nil"/>
              <w:bottom w:val="nil"/>
              <w:right w:val="nil"/>
            </w:tcBorders>
            <w:shd w:val="clear" w:color="auto" w:fill="auto"/>
            <w:noWrap/>
            <w:vAlign w:val="center"/>
            <w:hideMark/>
          </w:tcPr>
          <w:p w14:paraId="27A382F2" w14:textId="77777777" w:rsidR="00E824D5" w:rsidRPr="00487834" w:rsidRDefault="00E824D5" w:rsidP="00F36A29">
            <w:pPr>
              <w:pStyle w:val="NoSpacing"/>
              <w:rPr>
                <w:color w:val="000000"/>
              </w:rPr>
            </w:pPr>
            <w:r w:rsidRPr="00487834">
              <w:rPr>
                <w:color w:val="000000"/>
              </w:rPr>
              <w:t>25.218</w:t>
            </w:r>
          </w:p>
        </w:tc>
      </w:tr>
      <w:tr w:rsidR="00E824D5" w:rsidRPr="00487834" w14:paraId="4AB7AE2A" w14:textId="77777777" w:rsidTr="009D24BE">
        <w:trPr>
          <w:trHeight w:val="600"/>
          <w:jc w:val="center"/>
        </w:trPr>
        <w:tc>
          <w:tcPr>
            <w:tcW w:w="1200" w:type="dxa"/>
            <w:tcBorders>
              <w:top w:val="nil"/>
              <w:left w:val="nil"/>
              <w:bottom w:val="nil"/>
              <w:right w:val="nil"/>
            </w:tcBorders>
            <w:shd w:val="clear" w:color="auto" w:fill="auto"/>
            <w:noWrap/>
            <w:vAlign w:val="center"/>
            <w:hideMark/>
          </w:tcPr>
          <w:p w14:paraId="15A85278" w14:textId="77777777" w:rsidR="00E824D5" w:rsidRPr="00487834" w:rsidRDefault="00E824D5" w:rsidP="00F36A29">
            <w:pPr>
              <w:pStyle w:val="NoSpacing"/>
              <w:rPr>
                <w:i/>
                <w:iCs/>
                <w:color w:val="000000"/>
              </w:rPr>
            </w:pPr>
            <w:r w:rsidRPr="00487834">
              <w:rPr>
                <w:i/>
                <w:iCs/>
                <w:color w:val="000000"/>
              </w:rPr>
              <w:t>ICR</w:t>
            </w:r>
          </w:p>
        </w:tc>
        <w:tc>
          <w:tcPr>
            <w:tcW w:w="1060" w:type="dxa"/>
            <w:tcBorders>
              <w:top w:val="nil"/>
              <w:left w:val="nil"/>
              <w:bottom w:val="nil"/>
              <w:right w:val="nil"/>
            </w:tcBorders>
            <w:shd w:val="clear" w:color="auto" w:fill="auto"/>
            <w:noWrap/>
            <w:vAlign w:val="center"/>
            <w:hideMark/>
          </w:tcPr>
          <w:p w14:paraId="7570752C" w14:textId="77777777" w:rsidR="00E824D5" w:rsidRPr="00487834" w:rsidRDefault="00E824D5" w:rsidP="00F36A29">
            <w:pPr>
              <w:pStyle w:val="NoSpacing"/>
              <w:rPr>
                <w:color w:val="000000"/>
              </w:rPr>
            </w:pPr>
            <w:r w:rsidRPr="00487834">
              <w:rPr>
                <w:color w:val="000000"/>
              </w:rPr>
              <w:t>10.672</w:t>
            </w:r>
          </w:p>
        </w:tc>
        <w:tc>
          <w:tcPr>
            <w:tcW w:w="1060" w:type="dxa"/>
            <w:tcBorders>
              <w:top w:val="nil"/>
              <w:left w:val="nil"/>
              <w:bottom w:val="nil"/>
              <w:right w:val="nil"/>
            </w:tcBorders>
            <w:shd w:val="clear" w:color="auto" w:fill="auto"/>
            <w:noWrap/>
            <w:vAlign w:val="center"/>
            <w:hideMark/>
          </w:tcPr>
          <w:p w14:paraId="764BFFEF" w14:textId="77777777" w:rsidR="00E824D5" w:rsidRPr="00487834" w:rsidRDefault="00E824D5" w:rsidP="00F36A29">
            <w:pPr>
              <w:pStyle w:val="NoSpacing"/>
              <w:rPr>
                <w:color w:val="000000"/>
              </w:rPr>
            </w:pPr>
            <w:r w:rsidRPr="00487834">
              <w:rPr>
                <w:color w:val="000000"/>
              </w:rPr>
              <w:t>16.683</w:t>
            </w:r>
          </w:p>
        </w:tc>
        <w:tc>
          <w:tcPr>
            <w:tcW w:w="1060" w:type="dxa"/>
            <w:tcBorders>
              <w:top w:val="nil"/>
              <w:left w:val="nil"/>
              <w:bottom w:val="nil"/>
              <w:right w:val="nil"/>
            </w:tcBorders>
            <w:shd w:val="clear" w:color="auto" w:fill="auto"/>
            <w:noWrap/>
            <w:vAlign w:val="center"/>
            <w:hideMark/>
          </w:tcPr>
          <w:p w14:paraId="5CA663B1" w14:textId="77777777" w:rsidR="00E824D5" w:rsidRPr="00487834" w:rsidRDefault="00E824D5" w:rsidP="00F36A29">
            <w:pPr>
              <w:pStyle w:val="NoSpacing"/>
              <w:rPr>
                <w:color w:val="000000"/>
              </w:rPr>
            </w:pPr>
            <w:r w:rsidRPr="00487834">
              <w:rPr>
                <w:color w:val="000000"/>
              </w:rPr>
              <w:t>1192</w:t>
            </w:r>
          </w:p>
        </w:tc>
        <w:tc>
          <w:tcPr>
            <w:tcW w:w="1060" w:type="dxa"/>
            <w:tcBorders>
              <w:top w:val="nil"/>
              <w:left w:val="nil"/>
              <w:bottom w:val="nil"/>
              <w:right w:val="nil"/>
            </w:tcBorders>
            <w:shd w:val="clear" w:color="auto" w:fill="auto"/>
            <w:noWrap/>
            <w:vAlign w:val="center"/>
            <w:hideMark/>
          </w:tcPr>
          <w:p w14:paraId="764B5E7B" w14:textId="77777777" w:rsidR="00E824D5" w:rsidRPr="00487834" w:rsidRDefault="00E824D5" w:rsidP="00F36A29">
            <w:pPr>
              <w:pStyle w:val="NoSpacing"/>
              <w:rPr>
                <w:color w:val="000000"/>
              </w:rPr>
            </w:pPr>
            <w:r w:rsidRPr="00487834">
              <w:rPr>
                <w:color w:val="000000"/>
              </w:rPr>
              <w:t>-</w:t>
            </w:r>
            <w:r w:rsidR="003A6FF1" w:rsidRPr="00487834">
              <w:rPr>
                <w:color w:val="000000"/>
              </w:rPr>
              <w:t>1</w:t>
            </w:r>
            <w:r w:rsidRPr="00487834">
              <w:rPr>
                <w:color w:val="000000"/>
              </w:rPr>
              <w:t>6</w:t>
            </w:r>
          </w:p>
        </w:tc>
        <w:tc>
          <w:tcPr>
            <w:tcW w:w="1060" w:type="dxa"/>
            <w:tcBorders>
              <w:top w:val="nil"/>
              <w:left w:val="nil"/>
              <w:bottom w:val="nil"/>
              <w:right w:val="nil"/>
            </w:tcBorders>
            <w:shd w:val="clear" w:color="auto" w:fill="auto"/>
            <w:noWrap/>
            <w:vAlign w:val="center"/>
            <w:hideMark/>
          </w:tcPr>
          <w:p w14:paraId="44748513" w14:textId="77777777" w:rsidR="00E824D5" w:rsidRPr="00487834" w:rsidRDefault="00E824D5" w:rsidP="00F36A29">
            <w:pPr>
              <w:pStyle w:val="NoSpacing"/>
              <w:rPr>
                <w:color w:val="000000"/>
              </w:rPr>
            </w:pPr>
            <w:r w:rsidRPr="00487834">
              <w:rPr>
                <w:color w:val="000000"/>
              </w:rPr>
              <w:t>2.455</w:t>
            </w:r>
          </w:p>
        </w:tc>
        <w:tc>
          <w:tcPr>
            <w:tcW w:w="1060" w:type="dxa"/>
            <w:tcBorders>
              <w:top w:val="nil"/>
              <w:left w:val="nil"/>
              <w:bottom w:val="nil"/>
              <w:right w:val="nil"/>
            </w:tcBorders>
            <w:shd w:val="clear" w:color="auto" w:fill="auto"/>
            <w:noWrap/>
            <w:vAlign w:val="center"/>
            <w:hideMark/>
          </w:tcPr>
          <w:p w14:paraId="4522156D" w14:textId="77777777" w:rsidR="00E824D5" w:rsidRPr="00487834" w:rsidRDefault="00E824D5" w:rsidP="00F36A29">
            <w:pPr>
              <w:pStyle w:val="NoSpacing"/>
              <w:rPr>
                <w:color w:val="000000"/>
              </w:rPr>
            </w:pPr>
            <w:r w:rsidRPr="00487834">
              <w:rPr>
                <w:color w:val="000000"/>
              </w:rPr>
              <w:t>4.529</w:t>
            </w:r>
          </w:p>
        </w:tc>
        <w:tc>
          <w:tcPr>
            <w:tcW w:w="1060" w:type="dxa"/>
            <w:tcBorders>
              <w:top w:val="nil"/>
              <w:left w:val="nil"/>
              <w:bottom w:val="nil"/>
              <w:right w:val="nil"/>
            </w:tcBorders>
            <w:shd w:val="clear" w:color="auto" w:fill="auto"/>
            <w:noWrap/>
            <w:vAlign w:val="center"/>
            <w:hideMark/>
          </w:tcPr>
          <w:p w14:paraId="479CC32D" w14:textId="77777777" w:rsidR="00E824D5" w:rsidRPr="00487834" w:rsidRDefault="00E824D5" w:rsidP="00F36A29">
            <w:pPr>
              <w:pStyle w:val="NoSpacing"/>
              <w:rPr>
                <w:color w:val="000000"/>
              </w:rPr>
            </w:pPr>
            <w:r w:rsidRPr="00487834">
              <w:rPr>
                <w:color w:val="000000"/>
              </w:rPr>
              <w:t>11.395</w:t>
            </w:r>
          </w:p>
        </w:tc>
        <w:tc>
          <w:tcPr>
            <w:tcW w:w="1060" w:type="dxa"/>
            <w:tcBorders>
              <w:top w:val="nil"/>
              <w:left w:val="nil"/>
              <w:bottom w:val="nil"/>
              <w:right w:val="nil"/>
            </w:tcBorders>
            <w:shd w:val="clear" w:color="auto" w:fill="auto"/>
            <w:noWrap/>
            <w:vAlign w:val="center"/>
            <w:hideMark/>
          </w:tcPr>
          <w:p w14:paraId="63F86140" w14:textId="77777777" w:rsidR="00E824D5" w:rsidRPr="00487834" w:rsidRDefault="00E824D5" w:rsidP="00F36A29">
            <w:pPr>
              <w:pStyle w:val="NoSpacing"/>
              <w:rPr>
                <w:color w:val="000000"/>
              </w:rPr>
            </w:pPr>
            <w:r w:rsidRPr="00487834">
              <w:rPr>
                <w:color w:val="000000"/>
              </w:rPr>
              <w:t>134.214</w:t>
            </w:r>
          </w:p>
        </w:tc>
      </w:tr>
      <w:tr w:rsidR="00E824D5" w:rsidRPr="00487834" w14:paraId="405B4A2B" w14:textId="77777777" w:rsidTr="009D24BE">
        <w:trPr>
          <w:trHeight w:val="560"/>
          <w:jc w:val="center"/>
        </w:trPr>
        <w:tc>
          <w:tcPr>
            <w:tcW w:w="1200" w:type="dxa"/>
            <w:tcBorders>
              <w:top w:val="nil"/>
              <w:left w:val="nil"/>
              <w:bottom w:val="nil"/>
              <w:right w:val="nil"/>
            </w:tcBorders>
            <w:shd w:val="clear" w:color="auto" w:fill="auto"/>
            <w:noWrap/>
            <w:vAlign w:val="center"/>
            <w:hideMark/>
          </w:tcPr>
          <w:p w14:paraId="03A159E7" w14:textId="77777777" w:rsidR="00E824D5" w:rsidRPr="00487834" w:rsidRDefault="00E824D5" w:rsidP="00F36A29">
            <w:pPr>
              <w:pStyle w:val="NoSpacing"/>
              <w:rPr>
                <w:i/>
                <w:iCs/>
                <w:color w:val="000000"/>
              </w:rPr>
            </w:pPr>
            <w:r w:rsidRPr="00487834">
              <w:rPr>
                <w:i/>
                <w:iCs/>
                <w:color w:val="000000"/>
              </w:rPr>
              <w:lastRenderedPageBreak/>
              <w:t>ROA</w:t>
            </w:r>
          </w:p>
        </w:tc>
        <w:tc>
          <w:tcPr>
            <w:tcW w:w="1060" w:type="dxa"/>
            <w:tcBorders>
              <w:top w:val="nil"/>
              <w:left w:val="nil"/>
              <w:bottom w:val="nil"/>
              <w:right w:val="nil"/>
            </w:tcBorders>
            <w:shd w:val="clear" w:color="auto" w:fill="auto"/>
            <w:noWrap/>
            <w:vAlign w:val="center"/>
            <w:hideMark/>
          </w:tcPr>
          <w:p w14:paraId="6002A1D2" w14:textId="77777777" w:rsidR="00E824D5" w:rsidRPr="00487834" w:rsidRDefault="00E824D5" w:rsidP="00F36A29">
            <w:pPr>
              <w:pStyle w:val="NoSpacing"/>
              <w:rPr>
                <w:color w:val="000000"/>
              </w:rPr>
            </w:pPr>
            <w:r w:rsidRPr="00487834">
              <w:rPr>
                <w:color w:val="000000"/>
              </w:rPr>
              <w:t>0.045</w:t>
            </w:r>
          </w:p>
        </w:tc>
        <w:tc>
          <w:tcPr>
            <w:tcW w:w="1060" w:type="dxa"/>
            <w:tcBorders>
              <w:top w:val="nil"/>
              <w:left w:val="nil"/>
              <w:bottom w:val="nil"/>
              <w:right w:val="nil"/>
            </w:tcBorders>
            <w:shd w:val="clear" w:color="auto" w:fill="auto"/>
            <w:noWrap/>
            <w:vAlign w:val="center"/>
            <w:hideMark/>
          </w:tcPr>
          <w:p w14:paraId="6006EA40" w14:textId="77777777" w:rsidR="00E824D5" w:rsidRPr="00487834" w:rsidRDefault="00E824D5" w:rsidP="00F36A29">
            <w:pPr>
              <w:pStyle w:val="NoSpacing"/>
              <w:rPr>
                <w:color w:val="000000"/>
              </w:rPr>
            </w:pPr>
            <w:r w:rsidRPr="00487834">
              <w:rPr>
                <w:color w:val="000000"/>
              </w:rPr>
              <w:t>0.056</w:t>
            </w:r>
          </w:p>
        </w:tc>
        <w:tc>
          <w:tcPr>
            <w:tcW w:w="1060" w:type="dxa"/>
            <w:tcBorders>
              <w:top w:val="nil"/>
              <w:left w:val="nil"/>
              <w:bottom w:val="nil"/>
              <w:right w:val="nil"/>
            </w:tcBorders>
            <w:shd w:val="clear" w:color="auto" w:fill="auto"/>
            <w:noWrap/>
            <w:vAlign w:val="center"/>
            <w:hideMark/>
          </w:tcPr>
          <w:p w14:paraId="045587D9" w14:textId="77777777" w:rsidR="00E824D5" w:rsidRPr="00487834" w:rsidRDefault="00E824D5" w:rsidP="00F36A29">
            <w:pPr>
              <w:pStyle w:val="NoSpacing"/>
              <w:rPr>
                <w:color w:val="000000"/>
              </w:rPr>
            </w:pPr>
            <w:r w:rsidRPr="00487834">
              <w:rPr>
                <w:color w:val="000000"/>
              </w:rPr>
              <w:t>1192</w:t>
            </w:r>
          </w:p>
        </w:tc>
        <w:tc>
          <w:tcPr>
            <w:tcW w:w="1060" w:type="dxa"/>
            <w:tcBorders>
              <w:top w:val="nil"/>
              <w:left w:val="nil"/>
              <w:bottom w:val="nil"/>
              <w:right w:val="nil"/>
            </w:tcBorders>
            <w:shd w:val="clear" w:color="auto" w:fill="auto"/>
            <w:noWrap/>
            <w:vAlign w:val="center"/>
            <w:hideMark/>
          </w:tcPr>
          <w:p w14:paraId="60494734" w14:textId="77777777" w:rsidR="00E824D5" w:rsidRPr="00487834" w:rsidRDefault="00E824D5" w:rsidP="00F36A29">
            <w:pPr>
              <w:pStyle w:val="NoSpacing"/>
              <w:rPr>
                <w:color w:val="000000"/>
              </w:rPr>
            </w:pPr>
            <w:r w:rsidRPr="00487834">
              <w:rPr>
                <w:color w:val="000000"/>
              </w:rPr>
              <w:t>-0.143</w:t>
            </w:r>
          </w:p>
        </w:tc>
        <w:tc>
          <w:tcPr>
            <w:tcW w:w="1060" w:type="dxa"/>
            <w:tcBorders>
              <w:top w:val="nil"/>
              <w:left w:val="nil"/>
              <w:bottom w:val="nil"/>
              <w:right w:val="nil"/>
            </w:tcBorders>
            <w:shd w:val="clear" w:color="auto" w:fill="auto"/>
            <w:noWrap/>
            <w:vAlign w:val="center"/>
            <w:hideMark/>
          </w:tcPr>
          <w:p w14:paraId="763D78A5" w14:textId="77777777" w:rsidR="00E824D5" w:rsidRPr="00487834" w:rsidRDefault="00E824D5" w:rsidP="00F36A29">
            <w:pPr>
              <w:pStyle w:val="NoSpacing"/>
              <w:rPr>
                <w:color w:val="000000"/>
              </w:rPr>
            </w:pPr>
            <w:r w:rsidRPr="00487834">
              <w:rPr>
                <w:color w:val="000000"/>
              </w:rPr>
              <w:t>0.000</w:t>
            </w:r>
          </w:p>
        </w:tc>
        <w:tc>
          <w:tcPr>
            <w:tcW w:w="1060" w:type="dxa"/>
            <w:tcBorders>
              <w:top w:val="nil"/>
              <w:left w:val="nil"/>
              <w:bottom w:val="nil"/>
              <w:right w:val="nil"/>
            </w:tcBorders>
            <w:shd w:val="clear" w:color="auto" w:fill="auto"/>
            <w:noWrap/>
            <w:vAlign w:val="center"/>
            <w:hideMark/>
          </w:tcPr>
          <w:p w14:paraId="2F4A3B38" w14:textId="77777777" w:rsidR="00E824D5" w:rsidRPr="00487834" w:rsidRDefault="00E824D5" w:rsidP="00F36A29">
            <w:pPr>
              <w:pStyle w:val="NoSpacing"/>
              <w:rPr>
                <w:color w:val="000000"/>
              </w:rPr>
            </w:pPr>
            <w:r w:rsidRPr="00487834">
              <w:rPr>
                <w:color w:val="000000"/>
              </w:rPr>
              <w:t>0.039</w:t>
            </w:r>
          </w:p>
        </w:tc>
        <w:tc>
          <w:tcPr>
            <w:tcW w:w="1060" w:type="dxa"/>
            <w:tcBorders>
              <w:top w:val="nil"/>
              <w:left w:val="nil"/>
              <w:bottom w:val="nil"/>
              <w:right w:val="nil"/>
            </w:tcBorders>
            <w:shd w:val="clear" w:color="auto" w:fill="auto"/>
            <w:noWrap/>
            <w:vAlign w:val="center"/>
            <w:hideMark/>
          </w:tcPr>
          <w:p w14:paraId="4DCE8EC3" w14:textId="77777777" w:rsidR="00E824D5" w:rsidRPr="00487834" w:rsidRDefault="00E824D5" w:rsidP="00F36A29">
            <w:pPr>
              <w:pStyle w:val="NoSpacing"/>
              <w:rPr>
                <w:color w:val="000000"/>
              </w:rPr>
            </w:pPr>
            <w:r w:rsidRPr="00487834">
              <w:rPr>
                <w:color w:val="000000"/>
              </w:rPr>
              <w:t>0.072</w:t>
            </w:r>
          </w:p>
        </w:tc>
        <w:tc>
          <w:tcPr>
            <w:tcW w:w="1060" w:type="dxa"/>
            <w:tcBorders>
              <w:top w:val="nil"/>
              <w:left w:val="nil"/>
              <w:bottom w:val="nil"/>
              <w:right w:val="nil"/>
            </w:tcBorders>
            <w:shd w:val="clear" w:color="auto" w:fill="auto"/>
            <w:noWrap/>
            <w:vAlign w:val="center"/>
            <w:hideMark/>
          </w:tcPr>
          <w:p w14:paraId="0847AA42" w14:textId="77777777" w:rsidR="00E824D5" w:rsidRPr="00487834" w:rsidRDefault="00E824D5" w:rsidP="00F36A29">
            <w:pPr>
              <w:pStyle w:val="NoSpacing"/>
              <w:rPr>
                <w:color w:val="000000"/>
              </w:rPr>
            </w:pPr>
            <w:r w:rsidRPr="00487834">
              <w:rPr>
                <w:color w:val="000000"/>
              </w:rPr>
              <w:t>0.242</w:t>
            </w:r>
          </w:p>
        </w:tc>
      </w:tr>
      <w:tr w:rsidR="00E824D5" w:rsidRPr="00487834" w14:paraId="1672BCBD" w14:textId="77777777" w:rsidTr="009D24BE">
        <w:trPr>
          <w:trHeight w:val="560"/>
          <w:jc w:val="center"/>
        </w:trPr>
        <w:tc>
          <w:tcPr>
            <w:tcW w:w="1200" w:type="dxa"/>
            <w:tcBorders>
              <w:top w:val="nil"/>
              <w:left w:val="nil"/>
              <w:bottom w:val="nil"/>
              <w:right w:val="nil"/>
            </w:tcBorders>
            <w:shd w:val="clear" w:color="auto" w:fill="auto"/>
            <w:noWrap/>
            <w:vAlign w:val="center"/>
            <w:hideMark/>
          </w:tcPr>
          <w:p w14:paraId="09392333" w14:textId="77777777" w:rsidR="00E824D5" w:rsidRPr="00487834" w:rsidRDefault="00E824D5" w:rsidP="00F36A29">
            <w:pPr>
              <w:pStyle w:val="NoSpacing"/>
              <w:rPr>
                <w:i/>
                <w:iCs/>
                <w:color w:val="000000"/>
              </w:rPr>
            </w:pPr>
            <w:r w:rsidRPr="00487834">
              <w:rPr>
                <w:i/>
                <w:iCs/>
                <w:color w:val="000000"/>
              </w:rPr>
              <w:t>Current</w:t>
            </w:r>
          </w:p>
        </w:tc>
        <w:tc>
          <w:tcPr>
            <w:tcW w:w="1060" w:type="dxa"/>
            <w:tcBorders>
              <w:top w:val="nil"/>
              <w:left w:val="nil"/>
              <w:bottom w:val="nil"/>
              <w:right w:val="nil"/>
            </w:tcBorders>
            <w:shd w:val="clear" w:color="auto" w:fill="auto"/>
            <w:noWrap/>
            <w:vAlign w:val="center"/>
            <w:hideMark/>
          </w:tcPr>
          <w:p w14:paraId="70080B41" w14:textId="77777777" w:rsidR="00E824D5" w:rsidRPr="00487834" w:rsidRDefault="00E824D5" w:rsidP="00F36A29">
            <w:pPr>
              <w:pStyle w:val="NoSpacing"/>
              <w:rPr>
                <w:color w:val="000000"/>
              </w:rPr>
            </w:pPr>
            <w:r w:rsidRPr="00487834">
              <w:rPr>
                <w:color w:val="000000"/>
              </w:rPr>
              <w:t>1.681</w:t>
            </w:r>
          </w:p>
        </w:tc>
        <w:tc>
          <w:tcPr>
            <w:tcW w:w="1060" w:type="dxa"/>
            <w:tcBorders>
              <w:top w:val="nil"/>
              <w:left w:val="nil"/>
              <w:bottom w:val="nil"/>
              <w:right w:val="nil"/>
            </w:tcBorders>
            <w:shd w:val="clear" w:color="auto" w:fill="auto"/>
            <w:noWrap/>
            <w:vAlign w:val="center"/>
            <w:hideMark/>
          </w:tcPr>
          <w:p w14:paraId="7FA4B17F" w14:textId="77777777" w:rsidR="00E824D5" w:rsidRPr="00487834" w:rsidRDefault="00E824D5" w:rsidP="00F36A29">
            <w:pPr>
              <w:pStyle w:val="NoSpacing"/>
              <w:rPr>
                <w:color w:val="000000"/>
              </w:rPr>
            </w:pPr>
            <w:r w:rsidRPr="00487834">
              <w:rPr>
                <w:color w:val="000000"/>
              </w:rPr>
              <w:t>1.190</w:t>
            </w:r>
          </w:p>
        </w:tc>
        <w:tc>
          <w:tcPr>
            <w:tcW w:w="1060" w:type="dxa"/>
            <w:tcBorders>
              <w:top w:val="nil"/>
              <w:left w:val="nil"/>
              <w:bottom w:val="nil"/>
              <w:right w:val="nil"/>
            </w:tcBorders>
            <w:shd w:val="clear" w:color="auto" w:fill="auto"/>
            <w:noWrap/>
            <w:vAlign w:val="center"/>
            <w:hideMark/>
          </w:tcPr>
          <w:p w14:paraId="6C3A6320" w14:textId="77777777" w:rsidR="00E824D5" w:rsidRPr="00487834" w:rsidRDefault="00E824D5" w:rsidP="00F36A29">
            <w:pPr>
              <w:pStyle w:val="NoSpacing"/>
              <w:rPr>
                <w:color w:val="000000"/>
              </w:rPr>
            </w:pPr>
            <w:r w:rsidRPr="00487834">
              <w:rPr>
                <w:color w:val="000000"/>
              </w:rPr>
              <w:t>1192</w:t>
            </w:r>
          </w:p>
        </w:tc>
        <w:tc>
          <w:tcPr>
            <w:tcW w:w="1060" w:type="dxa"/>
            <w:tcBorders>
              <w:top w:val="nil"/>
              <w:left w:val="nil"/>
              <w:bottom w:val="nil"/>
              <w:right w:val="nil"/>
            </w:tcBorders>
            <w:shd w:val="clear" w:color="auto" w:fill="auto"/>
            <w:noWrap/>
            <w:vAlign w:val="center"/>
            <w:hideMark/>
          </w:tcPr>
          <w:p w14:paraId="16F9A48F" w14:textId="77777777" w:rsidR="00E824D5" w:rsidRPr="00487834" w:rsidRDefault="00E824D5" w:rsidP="00F36A29">
            <w:pPr>
              <w:pStyle w:val="NoSpacing"/>
              <w:rPr>
                <w:color w:val="000000"/>
              </w:rPr>
            </w:pPr>
            <w:r w:rsidRPr="00487834">
              <w:rPr>
                <w:color w:val="000000"/>
              </w:rPr>
              <w:t>0.087</w:t>
            </w:r>
          </w:p>
        </w:tc>
        <w:tc>
          <w:tcPr>
            <w:tcW w:w="1060" w:type="dxa"/>
            <w:tcBorders>
              <w:top w:val="nil"/>
              <w:left w:val="nil"/>
              <w:bottom w:val="nil"/>
              <w:right w:val="nil"/>
            </w:tcBorders>
            <w:shd w:val="clear" w:color="auto" w:fill="auto"/>
            <w:noWrap/>
            <w:vAlign w:val="center"/>
            <w:hideMark/>
          </w:tcPr>
          <w:p w14:paraId="022AC504" w14:textId="77777777" w:rsidR="00E824D5" w:rsidRPr="00487834" w:rsidRDefault="00E824D5" w:rsidP="00F36A29">
            <w:pPr>
              <w:pStyle w:val="NoSpacing"/>
              <w:rPr>
                <w:color w:val="000000"/>
              </w:rPr>
            </w:pPr>
            <w:r w:rsidRPr="00487834">
              <w:rPr>
                <w:color w:val="000000"/>
              </w:rPr>
              <w:t>1.031</w:t>
            </w:r>
          </w:p>
        </w:tc>
        <w:tc>
          <w:tcPr>
            <w:tcW w:w="1060" w:type="dxa"/>
            <w:tcBorders>
              <w:top w:val="nil"/>
              <w:left w:val="nil"/>
              <w:bottom w:val="nil"/>
              <w:right w:val="nil"/>
            </w:tcBorders>
            <w:shd w:val="clear" w:color="auto" w:fill="auto"/>
            <w:noWrap/>
            <w:vAlign w:val="center"/>
            <w:hideMark/>
          </w:tcPr>
          <w:p w14:paraId="3DD4CD5F" w14:textId="77777777" w:rsidR="00E824D5" w:rsidRPr="00487834" w:rsidRDefault="00E824D5" w:rsidP="00F36A29">
            <w:pPr>
              <w:pStyle w:val="NoSpacing"/>
              <w:rPr>
                <w:color w:val="000000"/>
              </w:rPr>
            </w:pPr>
            <w:r w:rsidRPr="00487834">
              <w:rPr>
                <w:color w:val="000000"/>
              </w:rPr>
              <w:t>1.373</w:t>
            </w:r>
          </w:p>
        </w:tc>
        <w:tc>
          <w:tcPr>
            <w:tcW w:w="1060" w:type="dxa"/>
            <w:tcBorders>
              <w:top w:val="nil"/>
              <w:left w:val="nil"/>
              <w:bottom w:val="nil"/>
              <w:right w:val="nil"/>
            </w:tcBorders>
            <w:shd w:val="clear" w:color="auto" w:fill="auto"/>
            <w:noWrap/>
            <w:vAlign w:val="center"/>
            <w:hideMark/>
          </w:tcPr>
          <w:p w14:paraId="27D781B8" w14:textId="77777777" w:rsidR="00E824D5" w:rsidRPr="00487834" w:rsidRDefault="00E824D5" w:rsidP="00F36A29">
            <w:pPr>
              <w:pStyle w:val="NoSpacing"/>
              <w:rPr>
                <w:color w:val="000000"/>
              </w:rPr>
            </w:pPr>
            <w:r w:rsidRPr="00487834">
              <w:rPr>
                <w:color w:val="000000"/>
              </w:rPr>
              <w:t>1.901</w:t>
            </w:r>
          </w:p>
        </w:tc>
        <w:tc>
          <w:tcPr>
            <w:tcW w:w="1060" w:type="dxa"/>
            <w:tcBorders>
              <w:top w:val="nil"/>
              <w:left w:val="nil"/>
              <w:bottom w:val="nil"/>
              <w:right w:val="nil"/>
            </w:tcBorders>
            <w:shd w:val="clear" w:color="auto" w:fill="auto"/>
            <w:noWrap/>
            <w:vAlign w:val="center"/>
            <w:hideMark/>
          </w:tcPr>
          <w:p w14:paraId="11982FE9" w14:textId="77777777" w:rsidR="00E824D5" w:rsidRPr="00487834" w:rsidRDefault="00E824D5" w:rsidP="00F36A29">
            <w:pPr>
              <w:pStyle w:val="NoSpacing"/>
              <w:rPr>
                <w:color w:val="000000"/>
              </w:rPr>
            </w:pPr>
            <w:r w:rsidRPr="00487834">
              <w:rPr>
                <w:color w:val="000000"/>
              </w:rPr>
              <w:t>9.124</w:t>
            </w:r>
          </w:p>
        </w:tc>
      </w:tr>
      <w:tr w:rsidR="00E824D5" w:rsidRPr="00487834" w14:paraId="7F4D4180" w14:textId="77777777" w:rsidTr="009D24BE">
        <w:trPr>
          <w:trHeight w:val="560"/>
          <w:jc w:val="center"/>
        </w:trPr>
        <w:tc>
          <w:tcPr>
            <w:tcW w:w="1200" w:type="dxa"/>
            <w:tcBorders>
              <w:top w:val="nil"/>
              <w:left w:val="nil"/>
              <w:bottom w:val="nil"/>
              <w:right w:val="nil"/>
            </w:tcBorders>
            <w:shd w:val="clear" w:color="auto" w:fill="auto"/>
            <w:noWrap/>
            <w:vAlign w:val="center"/>
            <w:hideMark/>
          </w:tcPr>
          <w:p w14:paraId="4ABF4FE3" w14:textId="77777777" w:rsidR="00E824D5" w:rsidRPr="00487834" w:rsidRDefault="00E824D5" w:rsidP="00F36A29">
            <w:pPr>
              <w:pStyle w:val="NoSpacing"/>
              <w:rPr>
                <w:i/>
                <w:iCs/>
                <w:color w:val="000000"/>
              </w:rPr>
            </w:pPr>
            <w:r w:rsidRPr="00487834">
              <w:rPr>
                <w:i/>
                <w:iCs/>
                <w:color w:val="000000"/>
              </w:rPr>
              <w:t>LEV</w:t>
            </w:r>
          </w:p>
        </w:tc>
        <w:tc>
          <w:tcPr>
            <w:tcW w:w="1060" w:type="dxa"/>
            <w:tcBorders>
              <w:top w:val="nil"/>
              <w:left w:val="nil"/>
              <w:bottom w:val="nil"/>
              <w:right w:val="nil"/>
            </w:tcBorders>
            <w:shd w:val="clear" w:color="auto" w:fill="auto"/>
            <w:noWrap/>
            <w:vAlign w:val="center"/>
            <w:hideMark/>
          </w:tcPr>
          <w:p w14:paraId="28689E45" w14:textId="77777777" w:rsidR="00E824D5" w:rsidRPr="00487834" w:rsidRDefault="00E824D5" w:rsidP="00F36A29">
            <w:pPr>
              <w:pStyle w:val="NoSpacing"/>
              <w:rPr>
                <w:color w:val="000000"/>
              </w:rPr>
            </w:pPr>
            <w:r w:rsidRPr="00487834">
              <w:rPr>
                <w:color w:val="000000"/>
              </w:rPr>
              <w:t>0.289</w:t>
            </w:r>
          </w:p>
        </w:tc>
        <w:tc>
          <w:tcPr>
            <w:tcW w:w="1060" w:type="dxa"/>
            <w:tcBorders>
              <w:top w:val="nil"/>
              <w:left w:val="nil"/>
              <w:bottom w:val="nil"/>
              <w:right w:val="nil"/>
            </w:tcBorders>
            <w:shd w:val="clear" w:color="auto" w:fill="auto"/>
            <w:noWrap/>
            <w:vAlign w:val="center"/>
            <w:hideMark/>
          </w:tcPr>
          <w:p w14:paraId="508C78A2" w14:textId="77777777" w:rsidR="00E824D5" w:rsidRPr="00487834" w:rsidRDefault="00E824D5" w:rsidP="00F36A29">
            <w:pPr>
              <w:pStyle w:val="NoSpacing"/>
              <w:rPr>
                <w:color w:val="000000"/>
              </w:rPr>
            </w:pPr>
            <w:r w:rsidRPr="00487834">
              <w:rPr>
                <w:color w:val="000000"/>
              </w:rPr>
              <w:t>0.170</w:t>
            </w:r>
          </w:p>
        </w:tc>
        <w:tc>
          <w:tcPr>
            <w:tcW w:w="1060" w:type="dxa"/>
            <w:tcBorders>
              <w:top w:val="nil"/>
              <w:left w:val="nil"/>
              <w:bottom w:val="nil"/>
              <w:right w:val="nil"/>
            </w:tcBorders>
            <w:shd w:val="clear" w:color="auto" w:fill="auto"/>
            <w:noWrap/>
            <w:vAlign w:val="center"/>
            <w:hideMark/>
          </w:tcPr>
          <w:p w14:paraId="37FCC834" w14:textId="77777777" w:rsidR="00E824D5" w:rsidRPr="00487834" w:rsidRDefault="00E824D5" w:rsidP="00F36A29">
            <w:pPr>
              <w:pStyle w:val="NoSpacing"/>
              <w:rPr>
                <w:color w:val="000000"/>
              </w:rPr>
            </w:pPr>
            <w:r w:rsidRPr="00487834">
              <w:rPr>
                <w:color w:val="000000"/>
              </w:rPr>
              <w:t>1192</w:t>
            </w:r>
          </w:p>
        </w:tc>
        <w:tc>
          <w:tcPr>
            <w:tcW w:w="1060" w:type="dxa"/>
            <w:tcBorders>
              <w:top w:val="nil"/>
              <w:left w:val="nil"/>
              <w:bottom w:val="nil"/>
              <w:right w:val="nil"/>
            </w:tcBorders>
            <w:shd w:val="clear" w:color="auto" w:fill="auto"/>
            <w:noWrap/>
            <w:vAlign w:val="center"/>
            <w:hideMark/>
          </w:tcPr>
          <w:p w14:paraId="77993533" w14:textId="77777777" w:rsidR="00E824D5" w:rsidRPr="00487834" w:rsidRDefault="00E824D5" w:rsidP="00F36A29">
            <w:pPr>
              <w:pStyle w:val="NoSpacing"/>
              <w:rPr>
                <w:color w:val="000000"/>
              </w:rPr>
            </w:pPr>
            <w:r w:rsidRPr="00487834">
              <w:rPr>
                <w:color w:val="000000"/>
              </w:rPr>
              <w:t>0.000</w:t>
            </w:r>
          </w:p>
        </w:tc>
        <w:tc>
          <w:tcPr>
            <w:tcW w:w="1060" w:type="dxa"/>
            <w:tcBorders>
              <w:top w:val="nil"/>
              <w:left w:val="nil"/>
              <w:bottom w:val="nil"/>
              <w:right w:val="nil"/>
            </w:tcBorders>
            <w:shd w:val="clear" w:color="auto" w:fill="auto"/>
            <w:noWrap/>
            <w:vAlign w:val="center"/>
            <w:hideMark/>
          </w:tcPr>
          <w:p w14:paraId="4B9ADC37" w14:textId="77777777" w:rsidR="00E824D5" w:rsidRPr="00487834" w:rsidRDefault="00E824D5" w:rsidP="00F36A29">
            <w:pPr>
              <w:pStyle w:val="NoSpacing"/>
              <w:rPr>
                <w:color w:val="000000"/>
              </w:rPr>
            </w:pPr>
            <w:r w:rsidRPr="00487834">
              <w:rPr>
                <w:color w:val="000000"/>
              </w:rPr>
              <w:t>0.170</w:t>
            </w:r>
          </w:p>
        </w:tc>
        <w:tc>
          <w:tcPr>
            <w:tcW w:w="1060" w:type="dxa"/>
            <w:tcBorders>
              <w:top w:val="nil"/>
              <w:left w:val="nil"/>
              <w:bottom w:val="nil"/>
              <w:right w:val="nil"/>
            </w:tcBorders>
            <w:shd w:val="clear" w:color="auto" w:fill="auto"/>
            <w:noWrap/>
            <w:vAlign w:val="center"/>
            <w:hideMark/>
          </w:tcPr>
          <w:p w14:paraId="0EFEF908" w14:textId="77777777" w:rsidR="00E824D5" w:rsidRPr="00487834" w:rsidRDefault="00E824D5" w:rsidP="00F36A29">
            <w:pPr>
              <w:pStyle w:val="NoSpacing"/>
              <w:rPr>
                <w:color w:val="000000"/>
              </w:rPr>
            </w:pPr>
            <w:r w:rsidRPr="00487834">
              <w:rPr>
                <w:color w:val="000000"/>
              </w:rPr>
              <w:t>0.290</w:t>
            </w:r>
          </w:p>
        </w:tc>
        <w:tc>
          <w:tcPr>
            <w:tcW w:w="1060" w:type="dxa"/>
            <w:tcBorders>
              <w:top w:val="nil"/>
              <w:left w:val="nil"/>
              <w:bottom w:val="nil"/>
              <w:right w:val="nil"/>
            </w:tcBorders>
            <w:shd w:val="clear" w:color="auto" w:fill="auto"/>
            <w:noWrap/>
            <w:vAlign w:val="center"/>
            <w:hideMark/>
          </w:tcPr>
          <w:p w14:paraId="66A47395" w14:textId="77777777" w:rsidR="00E824D5" w:rsidRPr="00487834" w:rsidRDefault="00E824D5" w:rsidP="00F36A29">
            <w:pPr>
              <w:pStyle w:val="NoSpacing"/>
              <w:rPr>
                <w:color w:val="000000"/>
              </w:rPr>
            </w:pPr>
            <w:r w:rsidRPr="00487834">
              <w:rPr>
                <w:color w:val="000000"/>
              </w:rPr>
              <w:t>0.398</w:t>
            </w:r>
          </w:p>
        </w:tc>
        <w:tc>
          <w:tcPr>
            <w:tcW w:w="1060" w:type="dxa"/>
            <w:tcBorders>
              <w:top w:val="nil"/>
              <w:left w:val="nil"/>
              <w:bottom w:val="nil"/>
              <w:right w:val="nil"/>
            </w:tcBorders>
            <w:shd w:val="clear" w:color="auto" w:fill="auto"/>
            <w:noWrap/>
            <w:vAlign w:val="center"/>
            <w:hideMark/>
          </w:tcPr>
          <w:p w14:paraId="4DF30680" w14:textId="77777777" w:rsidR="00E824D5" w:rsidRPr="00487834" w:rsidRDefault="00E824D5" w:rsidP="00F36A29">
            <w:pPr>
              <w:pStyle w:val="NoSpacing"/>
              <w:rPr>
                <w:color w:val="000000"/>
              </w:rPr>
            </w:pPr>
            <w:r w:rsidRPr="00487834">
              <w:rPr>
                <w:color w:val="000000"/>
              </w:rPr>
              <w:t>0.795</w:t>
            </w:r>
          </w:p>
        </w:tc>
      </w:tr>
      <w:tr w:rsidR="00E824D5" w:rsidRPr="00487834" w14:paraId="04312025" w14:textId="77777777" w:rsidTr="009D24BE">
        <w:trPr>
          <w:trHeight w:val="540"/>
          <w:jc w:val="center"/>
        </w:trPr>
        <w:tc>
          <w:tcPr>
            <w:tcW w:w="1200" w:type="dxa"/>
            <w:tcBorders>
              <w:top w:val="nil"/>
              <w:left w:val="nil"/>
              <w:bottom w:val="nil"/>
              <w:right w:val="nil"/>
            </w:tcBorders>
            <w:shd w:val="clear" w:color="auto" w:fill="auto"/>
            <w:noWrap/>
            <w:vAlign w:val="center"/>
            <w:hideMark/>
          </w:tcPr>
          <w:p w14:paraId="51D6C602" w14:textId="77777777" w:rsidR="00E824D5" w:rsidRPr="00487834" w:rsidRDefault="00E824D5" w:rsidP="00F36A29">
            <w:pPr>
              <w:pStyle w:val="NoSpacing"/>
              <w:rPr>
                <w:i/>
                <w:iCs/>
                <w:color w:val="000000"/>
              </w:rPr>
            </w:pPr>
            <w:r w:rsidRPr="00487834">
              <w:rPr>
                <w:i/>
                <w:iCs/>
                <w:color w:val="000000"/>
              </w:rPr>
              <w:t>ND/EBITDA</w:t>
            </w:r>
          </w:p>
        </w:tc>
        <w:tc>
          <w:tcPr>
            <w:tcW w:w="1060" w:type="dxa"/>
            <w:tcBorders>
              <w:top w:val="nil"/>
              <w:left w:val="nil"/>
              <w:bottom w:val="nil"/>
              <w:right w:val="nil"/>
            </w:tcBorders>
            <w:shd w:val="clear" w:color="auto" w:fill="auto"/>
            <w:noWrap/>
            <w:vAlign w:val="center"/>
            <w:hideMark/>
          </w:tcPr>
          <w:p w14:paraId="377713F8" w14:textId="77777777" w:rsidR="00E824D5" w:rsidRPr="00487834" w:rsidRDefault="00E824D5" w:rsidP="00F36A29">
            <w:pPr>
              <w:pStyle w:val="NoSpacing"/>
              <w:rPr>
                <w:color w:val="000000"/>
              </w:rPr>
            </w:pPr>
            <w:r w:rsidRPr="00487834">
              <w:rPr>
                <w:color w:val="000000"/>
              </w:rPr>
              <w:t>1.707</w:t>
            </w:r>
          </w:p>
        </w:tc>
        <w:tc>
          <w:tcPr>
            <w:tcW w:w="1060" w:type="dxa"/>
            <w:tcBorders>
              <w:top w:val="nil"/>
              <w:left w:val="nil"/>
              <w:bottom w:val="nil"/>
              <w:right w:val="nil"/>
            </w:tcBorders>
            <w:shd w:val="clear" w:color="auto" w:fill="auto"/>
            <w:noWrap/>
            <w:vAlign w:val="center"/>
            <w:hideMark/>
          </w:tcPr>
          <w:p w14:paraId="6E45D161" w14:textId="77777777" w:rsidR="00E824D5" w:rsidRPr="00487834" w:rsidRDefault="00E824D5" w:rsidP="00F36A29">
            <w:pPr>
              <w:pStyle w:val="NoSpacing"/>
              <w:rPr>
                <w:color w:val="000000"/>
              </w:rPr>
            </w:pPr>
            <w:r w:rsidRPr="00487834">
              <w:rPr>
                <w:color w:val="000000"/>
              </w:rPr>
              <w:t>2.279</w:t>
            </w:r>
          </w:p>
        </w:tc>
        <w:tc>
          <w:tcPr>
            <w:tcW w:w="1060" w:type="dxa"/>
            <w:tcBorders>
              <w:top w:val="nil"/>
              <w:left w:val="nil"/>
              <w:bottom w:val="nil"/>
              <w:right w:val="nil"/>
            </w:tcBorders>
            <w:shd w:val="clear" w:color="auto" w:fill="auto"/>
            <w:noWrap/>
            <w:vAlign w:val="center"/>
            <w:hideMark/>
          </w:tcPr>
          <w:p w14:paraId="077E709A" w14:textId="77777777" w:rsidR="00E824D5" w:rsidRPr="00487834" w:rsidRDefault="00E824D5" w:rsidP="00F36A29">
            <w:pPr>
              <w:pStyle w:val="NoSpacing"/>
              <w:rPr>
                <w:color w:val="000000"/>
              </w:rPr>
            </w:pPr>
            <w:r w:rsidRPr="00487834">
              <w:rPr>
                <w:color w:val="000000"/>
              </w:rPr>
              <w:t>1192</w:t>
            </w:r>
          </w:p>
        </w:tc>
        <w:tc>
          <w:tcPr>
            <w:tcW w:w="1060" w:type="dxa"/>
            <w:tcBorders>
              <w:top w:val="nil"/>
              <w:left w:val="nil"/>
              <w:bottom w:val="nil"/>
              <w:right w:val="nil"/>
            </w:tcBorders>
            <w:shd w:val="clear" w:color="auto" w:fill="auto"/>
            <w:noWrap/>
            <w:vAlign w:val="center"/>
            <w:hideMark/>
          </w:tcPr>
          <w:p w14:paraId="18B268E3" w14:textId="77777777" w:rsidR="00E824D5" w:rsidRPr="00487834" w:rsidRDefault="00E824D5" w:rsidP="00F36A29">
            <w:pPr>
              <w:pStyle w:val="NoSpacing"/>
              <w:rPr>
                <w:color w:val="000000"/>
              </w:rPr>
            </w:pPr>
            <w:r w:rsidRPr="00487834">
              <w:rPr>
                <w:color w:val="000000"/>
              </w:rPr>
              <w:t>-</w:t>
            </w:r>
            <w:r w:rsidR="003A6FF1" w:rsidRPr="00487834">
              <w:rPr>
                <w:color w:val="000000"/>
              </w:rPr>
              <w:t>1</w:t>
            </w:r>
            <w:r w:rsidRPr="00487834">
              <w:rPr>
                <w:color w:val="000000"/>
              </w:rPr>
              <w:t>.209</w:t>
            </w:r>
          </w:p>
        </w:tc>
        <w:tc>
          <w:tcPr>
            <w:tcW w:w="1060" w:type="dxa"/>
            <w:tcBorders>
              <w:top w:val="nil"/>
              <w:left w:val="nil"/>
              <w:bottom w:val="nil"/>
              <w:right w:val="nil"/>
            </w:tcBorders>
            <w:shd w:val="clear" w:color="auto" w:fill="auto"/>
            <w:noWrap/>
            <w:vAlign w:val="center"/>
            <w:hideMark/>
          </w:tcPr>
          <w:p w14:paraId="0F6E9500" w14:textId="77777777" w:rsidR="00E824D5" w:rsidRPr="00487834" w:rsidRDefault="00E824D5" w:rsidP="00F36A29">
            <w:pPr>
              <w:pStyle w:val="NoSpacing"/>
              <w:rPr>
                <w:color w:val="000000"/>
              </w:rPr>
            </w:pPr>
            <w:r w:rsidRPr="00487834">
              <w:rPr>
                <w:color w:val="000000"/>
              </w:rPr>
              <w:t>0</w:t>
            </w:r>
          </w:p>
        </w:tc>
        <w:tc>
          <w:tcPr>
            <w:tcW w:w="1060" w:type="dxa"/>
            <w:tcBorders>
              <w:top w:val="nil"/>
              <w:left w:val="nil"/>
              <w:bottom w:val="nil"/>
              <w:right w:val="nil"/>
            </w:tcBorders>
            <w:shd w:val="clear" w:color="auto" w:fill="auto"/>
            <w:noWrap/>
            <w:vAlign w:val="center"/>
            <w:hideMark/>
          </w:tcPr>
          <w:p w14:paraId="2056CDE2" w14:textId="77777777" w:rsidR="00E824D5" w:rsidRPr="00487834" w:rsidRDefault="00E824D5" w:rsidP="00F36A29">
            <w:pPr>
              <w:pStyle w:val="NoSpacing"/>
              <w:rPr>
                <w:color w:val="000000"/>
              </w:rPr>
            </w:pPr>
            <w:r w:rsidRPr="00487834">
              <w:rPr>
                <w:color w:val="000000"/>
              </w:rPr>
              <w:t>1.417</w:t>
            </w:r>
          </w:p>
        </w:tc>
        <w:tc>
          <w:tcPr>
            <w:tcW w:w="1060" w:type="dxa"/>
            <w:tcBorders>
              <w:top w:val="nil"/>
              <w:left w:val="nil"/>
              <w:bottom w:val="nil"/>
              <w:right w:val="nil"/>
            </w:tcBorders>
            <w:shd w:val="clear" w:color="auto" w:fill="auto"/>
            <w:noWrap/>
            <w:vAlign w:val="center"/>
            <w:hideMark/>
          </w:tcPr>
          <w:p w14:paraId="3D252960" w14:textId="77777777" w:rsidR="00E824D5" w:rsidRPr="00487834" w:rsidRDefault="00E824D5" w:rsidP="00F36A29">
            <w:pPr>
              <w:pStyle w:val="NoSpacing"/>
              <w:rPr>
                <w:color w:val="000000"/>
              </w:rPr>
            </w:pPr>
            <w:r w:rsidRPr="00487834">
              <w:rPr>
                <w:color w:val="000000"/>
              </w:rPr>
              <w:t>2.954</w:t>
            </w:r>
          </w:p>
        </w:tc>
        <w:tc>
          <w:tcPr>
            <w:tcW w:w="1060" w:type="dxa"/>
            <w:tcBorders>
              <w:top w:val="nil"/>
              <w:left w:val="nil"/>
              <w:bottom w:val="nil"/>
              <w:right w:val="nil"/>
            </w:tcBorders>
            <w:shd w:val="clear" w:color="auto" w:fill="auto"/>
            <w:noWrap/>
            <w:vAlign w:val="center"/>
            <w:hideMark/>
          </w:tcPr>
          <w:p w14:paraId="55B10C49" w14:textId="77777777" w:rsidR="00E824D5" w:rsidRPr="00487834" w:rsidRDefault="00E824D5" w:rsidP="00F36A29">
            <w:pPr>
              <w:pStyle w:val="NoSpacing"/>
              <w:rPr>
                <w:color w:val="000000"/>
              </w:rPr>
            </w:pPr>
            <w:r w:rsidRPr="00487834">
              <w:rPr>
                <w:color w:val="000000"/>
              </w:rPr>
              <w:t>8.988</w:t>
            </w:r>
          </w:p>
        </w:tc>
      </w:tr>
      <w:tr w:rsidR="00E824D5" w:rsidRPr="00487834" w14:paraId="112F7F10" w14:textId="77777777" w:rsidTr="009D24BE">
        <w:trPr>
          <w:trHeight w:val="560"/>
          <w:jc w:val="center"/>
        </w:trPr>
        <w:tc>
          <w:tcPr>
            <w:tcW w:w="1200" w:type="dxa"/>
            <w:tcBorders>
              <w:top w:val="nil"/>
              <w:left w:val="nil"/>
              <w:bottom w:val="single" w:sz="4" w:space="0" w:color="auto"/>
              <w:right w:val="nil"/>
            </w:tcBorders>
            <w:shd w:val="clear" w:color="auto" w:fill="auto"/>
            <w:noWrap/>
            <w:vAlign w:val="center"/>
            <w:hideMark/>
          </w:tcPr>
          <w:p w14:paraId="6BAAD3D3" w14:textId="77777777" w:rsidR="00E824D5" w:rsidRPr="00487834" w:rsidRDefault="00E824D5" w:rsidP="00F36A29">
            <w:pPr>
              <w:pStyle w:val="NoSpacing"/>
              <w:rPr>
                <w:i/>
                <w:iCs/>
              </w:rPr>
            </w:pPr>
            <w:r w:rsidRPr="00487834">
              <w:rPr>
                <w:i/>
                <w:iCs/>
              </w:rPr>
              <w:t>TLPA</w:t>
            </w:r>
          </w:p>
        </w:tc>
        <w:tc>
          <w:tcPr>
            <w:tcW w:w="1060" w:type="dxa"/>
            <w:tcBorders>
              <w:top w:val="nil"/>
              <w:left w:val="nil"/>
              <w:bottom w:val="single" w:sz="4" w:space="0" w:color="auto"/>
              <w:right w:val="nil"/>
            </w:tcBorders>
            <w:shd w:val="clear" w:color="auto" w:fill="auto"/>
            <w:noWrap/>
            <w:vAlign w:val="center"/>
            <w:hideMark/>
          </w:tcPr>
          <w:p w14:paraId="138D4230" w14:textId="77777777" w:rsidR="00E824D5" w:rsidRPr="00487834" w:rsidRDefault="00E824D5" w:rsidP="00F36A29">
            <w:pPr>
              <w:pStyle w:val="NoSpacing"/>
              <w:rPr>
                <w:color w:val="000000"/>
              </w:rPr>
            </w:pPr>
            <w:r w:rsidRPr="00487834">
              <w:rPr>
                <w:color w:val="000000"/>
              </w:rPr>
              <w:t>0.549</w:t>
            </w:r>
          </w:p>
        </w:tc>
        <w:tc>
          <w:tcPr>
            <w:tcW w:w="1060" w:type="dxa"/>
            <w:tcBorders>
              <w:top w:val="nil"/>
              <w:left w:val="nil"/>
              <w:bottom w:val="single" w:sz="4" w:space="0" w:color="auto"/>
              <w:right w:val="nil"/>
            </w:tcBorders>
            <w:shd w:val="clear" w:color="auto" w:fill="auto"/>
            <w:noWrap/>
            <w:vAlign w:val="center"/>
            <w:hideMark/>
          </w:tcPr>
          <w:p w14:paraId="2D30DA92" w14:textId="77777777" w:rsidR="00E824D5" w:rsidRPr="00487834" w:rsidRDefault="00E824D5" w:rsidP="00F36A29">
            <w:pPr>
              <w:pStyle w:val="NoSpacing"/>
              <w:rPr>
                <w:color w:val="000000"/>
              </w:rPr>
            </w:pPr>
            <w:r w:rsidRPr="00487834">
              <w:rPr>
                <w:color w:val="000000"/>
              </w:rPr>
              <w:t>0.181</w:t>
            </w:r>
          </w:p>
        </w:tc>
        <w:tc>
          <w:tcPr>
            <w:tcW w:w="1060" w:type="dxa"/>
            <w:tcBorders>
              <w:top w:val="nil"/>
              <w:left w:val="nil"/>
              <w:bottom w:val="single" w:sz="4" w:space="0" w:color="auto"/>
              <w:right w:val="nil"/>
            </w:tcBorders>
            <w:shd w:val="clear" w:color="auto" w:fill="auto"/>
            <w:noWrap/>
            <w:vAlign w:val="center"/>
            <w:hideMark/>
          </w:tcPr>
          <w:p w14:paraId="463DD02E" w14:textId="77777777" w:rsidR="00E824D5" w:rsidRPr="00487834" w:rsidRDefault="00E824D5" w:rsidP="00F36A29">
            <w:pPr>
              <w:pStyle w:val="NoSpacing"/>
              <w:rPr>
                <w:color w:val="000000"/>
              </w:rPr>
            </w:pPr>
            <w:r w:rsidRPr="00487834">
              <w:rPr>
                <w:color w:val="000000"/>
              </w:rPr>
              <w:t>1192</w:t>
            </w:r>
          </w:p>
        </w:tc>
        <w:tc>
          <w:tcPr>
            <w:tcW w:w="1060" w:type="dxa"/>
            <w:tcBorders>
              <w:top w:val="nil"/>
              <w:left w:val="nil"/>
              <w:bottom w:val="single" w:sz="4" w:space="0" w:color="auto"/>
              <w:right w:val="nil"/>
            </w:tcBorders>
            <w:shd w:val="clear" w:color="auto" w:fill="auto"/>
            <w:noWrap/>
            <w:vAlign w:val="center"/>
            <w:hideMark/>
          </w:tcPr>
          <w:p w14:paraId="4C6856F1" w14:textId="77777777" w:rsidR="00E824D5" w:rsidRPr="00487834" w:rsidRDefault="00E824D5" w:rsidP="00F36A29">
            <w:pPr>
              <w:pStyle w:val="NoSpacing"/>
              <w:rPr>
                <w:color w:val="000000"/>
              </w:rPr>
            </w:pPr>
            <w:r w:rsidRPr="00487834">
              <w:rPr>
                <w:color w:val="000000"/>
              </w:rPr>
              <w:t>0.095</w:t>
            </w:r>
          </w:p>
        </w:tc>
        <w:tc>
          <w:tcPr>
            <w:tcW w:w="1060" w:type="dxa"/>
            <w:tcBorders>
              <w:top w:val="nil"/>
              <w:left w:val="nil"/>
              <w:bottom w:val="single" w:sz="4" w:space="0" w:color="auto"/>
              <w:right w:val="nil"/>
            </w:tcBorders>
            <w:shd w:val="clear" w:color="auto" w:fill="auto"/>
            <w:noWrap/>
            <w:vAlign w:val="center"/>
            <w:hideMark/>
          </w:tcPr>
          <w:p w14:paraId="59DC3A69" w14:textId="77777777" w:rsidR="00E824D5" w:rsidRPr="00487834" w:rsidRDefault="00E824D5" w:rsidP="00F36A29">
            <w:pPr>
              <w:pStyle w:val="NoSpacing"/>
              <w:rPr>
                <w:color w:val="000000"/>
              </w:rPr>
            </w:pPr>
            <w:r w:rsidRPr="00487834">
              <w:rPr>
                <w:color w:val="000000"/>
              </w:rPr>
              <w:t>0.414</w:t>
            </w:r>
          </w:p>
        </w:tc>
        <w:tc>
          <w:tcPr>
            <w:tcW w:w="1060" w:type="dxa"/>
            <w:tcBorders>
              <w:top w:val="nil"/>
              <w:left w:val="nil"/>
              <w:bottom w:val="single" w:sz="4" w:space="0" w:color="auto"/>
              <w:right w:val="nil"/>
            </w:tcBorders>
            <w:shd w:val="clear" w:color="auto" w:fill="auto"/>
            <w:noWrap/>
            <w:vAlign w:val="center"/>
            <w:hideMark/>
          </w:tcPr>
          <w:p w14:paraId="70B9A655" w14:textId="77777777" w:rsidR="00E824D5" w:rsidRPr="00487834" w:rsidRDefault="00E824D5" w:rsidP="00F36A29">
            <w:pPr>
              <w:pStyle w:val="NoSpacing"/>
              <w:rPr>
                <w:color w:val="000000"/>
              </w:rPr>
            </w:pPr>
            <w:r w:rsidRPr="00487834">
              <w:rPr>
                <w:color w:val="000000"/>
              </w:rPr>
              <w:t>0.546</w:t>
            </w:r>
          </w:p>
        </w:tc>
        <w:tc>
          <w:tcPr>
            <w:tcW w:w="1060" w:type="dxa"/>
            <w:tcBorders>
              <w:top w:val="nil"/>
              <w:left w:val="nil"/>
              <w:bottom w:val="single" w:sz="4" w:space="0" w:color="auto"/>
              <w:right w:val="nil"/>
            </w:tcBorders>
            <w:shd w:val="clear" w:color="auto" w:fill="auto"/>
            <w:noWrap/>
            <w:vAlign w:val="center"/>
            <w:hideMark/>
          </w:tcPr>
          <w:p w14:paraId="1D2F0311" w14:textId="77777777" w:rsidR="00E824D5" w:rsidRPr="00487834" w:rsidRDefault="00E824D5" w:rsidP="00F36A29">
            <w:pPr>
              <w:pStyle w:val="NoSpacing"/>
              <w:rPr>
                <w:color w:val="000000"/>
              </w:rPr>
            </w:pPr>
            <w:r w:rsidRPr="00487834">
              <w:rPr>
                <w:color w:val="000000"/>
              </w:rPr>
              <w:t>0.684</w:t>
            </w:r>
          </w:p>
        </w:tc>
        <w:tc>
          <w:tcPr>
            <w:tcW w:w="1060" w:type="dxa"/>
            <w:tcBorders>
              <w:top w:val="nil"/>
              <w:left w:val="nil"/>
              <w:bottom w:val="single" w:sz="4" w:space="0" w:color="auto"/>
              <w:right w:val="nil"/>
            </w:tcBorders>
            <w:shd w:val="clear" w:color="auto" w:fill="auto"/>
            <w:noWrap/>
            <w:vAlign w:val="center"/>
            <w:hideMark/>
          </w:tcPr>
          <w:p w14:paraId="2F956424" w14:textId="77777777" w:rsidR="00E824D5" w:rsidRPr="00487834" w:rsidRDefault="00E824D5" w:rsidP="00F36A29">
            <w:pPr>
              <w:pStyle w:val="NoSpacing"/>
              <w:rPr>
                <w:color w:val="000000"/>
              </w:rPr>
            </w:pPr>
            <w:r w:rsidRPr="00487834">
              <w:rPr>
                <w:color w:val="000000"/>
              </w:rPr>
              <w:t>0.977</w:t>
            </w:r>
          </w:p>
        </w:tc>
      </w:tr>
    </w:tbl>
    <w:p w14:paraId="0894AC76" w14:textId="7C4395F6" w:rsidR="00CD335C" w:rsidRDefault="0035628B" w:rsidP="0035628B">
      <w:pPr>
        <w:autoSpaceDE w:val="0"/>
        <w:autoSpaceDN w:val="0"/>
        <w:adjustRightInd w:val="0"/>
        <w:spacing w:line="300" w:lineRule="auto"/>
        <w:ind w:firstLine="720"/>
        <w:jc w:val="left"/>
        <w:rPr>
          <w:rFonts w:eastAsiaTheme="minorHAnsi"/>
          <w:lang w:val="en-GB" w:eastAsia="en-US"/>
        </w:rPr>
      </w:pPr>
      <w:r>
        <w:rPr>
          <w:rFonts w:eastAsiaTheme="minorHAnsi"/>
          <w:lang w:val="en-GB" w:eastAsia="en-US"/>
        </w:rPr>
        <w:t>Descriptive statistics for the country breakdown can be found in appendix.</w:t>
      </w:r>
    </w:p>
    <w:p w14:paraId="44C3D035" w14:textId="77777777" w:rsidR="0035628B" w:rsidRPr="0035628B" w:rsidRDefault="0035628B" w:rsidP="0035628B">
      <w:pPr>
        <w:autoSpaceDE w:val="0"/>
        <w:autoSpaceDN w:val="0"/>
        <w:adjustRightInd w:val="0"/>
        <w:spacing w:line="300" w:lineRule="auto"/>
        <w:ind w:firstLine="720"/>
        <w:jc w:val="left"/>
        <w:rPr>
          <w:rFonts w:eastAsiaTheme="minorHAnsi"/>
          <w:lang w:val="en-GB" w:eastAsia="en-US"/>
        </w:rPr>
      </w:pPr>
    </w:p>
    <w:p w14:paraId="044A282A" w14:textId="77777777" w:rsidR="00E36545" w:rsidRPr="00487834" w:rsidRDefault="00E36545" w:rsidP="003128F6">
      <w:pPr>
        <w:autoSpaceDE w:val="0"/>
        <w:autoSpaceDN w:val="0"/>
        <w:adjustRightInd w:val="0"/>
        <w:spacing w:line="300" w:lineRule="auto"/>
        <w:rPr>
          <w:rFonts w:eastAsiaTheme="minorHAnsi"/>
          <w:lang w:val="en-US" w:eastAsia="en-US"/>
        </w:rPr>
      </w:pPr>
    </w:p>
    <w:p w14:paraId="2BF39413" w14:textId="77777777" w:rsidR="00756009" w:rsidRPr="00487834" w:rsidRDefault="00756009" w:rsidP="00756009">
      <w:pPr>
        <w:pStyle w:val="Heading2"/>
        <w:jc w:val="center"/>
        <w:rPr>
          <w:rFonts w:eastAsiaTheme="minorHAnsi" w:cs="Times New Roman"/>
          <w:lang w:val="en-US" w:eastAsia="en-US"/>
        </w:rPr>
      </w:pPr>
      <w:bookmarkStart w:id="14" w:name="_Toc167918985"/>
      <w:r w:rsidRPr="00487834">
        <w:rPr>
          <w:rFonts w:eastAsiaTheme="minorHAnsi" w:cs="Times New Roman"/>
          <w:lang w:val="en-US" w:eastAsia="en-US"/>
        </w:rPr>
        <w:t>3.5. VIF test</w:t>
      </w:r>
      <w:bookmarkEnd w:id="14"/>
    </w:p>
    <w:p w14:paraId="3A8454F3" w14:textId="77777777" w:rsidR="00454B15" w:rsidRPr="00487834" w:rsidRDefault="00454B15" w:rsidP="003128F6">
      <w:pPr>
        <w:autoSpaceDE w:val="0"/>
        <w:autoSpaceDN w:val="0"/>
        <w:adjustRightInd w:val="0"/>
        <w:spacing w:line="300" w:lineRule="auto"/>
        <w:rPr>
          <w:lang w:val="en-US"/>
        </w:rPr>
      </w:pPr>
    </w:p>
    <w:p w14:paraId="01BBC306" w14:textId="77777777" w:rsidR="00454B15" w:rsidRPr="00487834" w:rsidRDefault="00454B15" w:rsidP="003128F6">
      <w:pPr>
        <w:autoSpaceDE w:val="0"/>
        <w:autoSpaceDN w:val="0"/>
        <w:adjustRightInd w:val="0"/>
        <w:spacing w:line="300" w:lineRule="auto"/>
        <w:rPr>
          <w:lang w:val="en-US"/>
        </w:rPr>
      </w:pPr>
      <w:r w:rsidRPr="00487834">
        <w:rPr>
          <w:lang w:val="en-US"/>
        </w:rPr>
        <w:t>We should also consider the potential issue of multicollinearity in our control variables. To track it, we will used Variance Inflation Factor (VIF) analysis.</w:t>
      </w:r>
    </w:p>
    <w:p w14:paraId="1B35815E" w14:textId="77777777" w:rsidR="00E824D5" w:rsidRPr="00487834" w:rsidRDefault="00E824D5" w:rsidP="003128F6">
      <w:pPr>
        <w:autoSpaceDE w:val="0"/>
        <w:autoSpaceDN w:val="0"/>
        <w:adjustRightInd w:val="0"/>
        <w:spacing w:line="300" w:lineRule="auto"/>
        <w:rPr>
          <w:rFonts w:eastAsiaTheme="minorHAnsi"/>
          <w:lang w:val="en-US" w:eastAsia="en-US"/>
        </w:rPr>
      </w:pPr>
    </w:p>
    <w:p w14:paraId="6EB0B1DD" w14:textId="77777777" w:rsidR="00E36545" w:rsidRPr="00487834" w:rsidRDefault="00E36545" w:rsidP="003128F6">
      <w:pPr>
        <w:autoSpaceDE w:val="0"/>
        <w:autoSpaceDN w:val="0"/>
        <w:adjustRightInd w:val="0"/>
        <w:spacing w:line="300" w:lineRule="auto"/>
        <w:rPr>
          <w:color w:val="0D0D0D"/>
          <w:shd w:val="clear" w:color="auto" w:fill="FFFFFF"/>
          <w:lang w:val="en-US"/>
        </w:rPr>
      </w:pPr>
      <w:r w:rsidRPr="00487834">
        <w:rPr>
          <w:rFonts w:eastAsiaTheme="minorHAnsi"/>
          <w:b/>
          <w:bCs/>
          <w:lang w:val="en-GB" w:eastAsia="en-US"/>
        </w:rPr>
        <w:t xml:space="preserve">Table </w:t>
      </w:r>
      <w:r w:rsidR="00BF355C" w:rsidRPr="00487834">
        <w:rPr>
          <w:rFonts w:eastAsiaTheme="minorHAnsi"/>
          <w:b/>
          <w:bCs/>
          <w:lang w:val="en-GB" w:eastAsia="en-US"/>
        </w:rPr>
        <w:t>11</w:t>
      </w:r>
      <w:r w:rsidRPr="00487834">
        <w:rPr>
          <w:rFonts w:eastAsiaTheme="minorHAnsi"/>
          <w:b/>
          <w:bCs/>
          <w:lang w:val="en-GB" w:eastAsia="en-US"/>
        </w:rPr>
        <w:t xml:space="preserve"> – </w:t>
      </w:r>
      <w:r w:rsidRPr="00487834">
        <w:rPr>
          <w:color w:val="0D0D0D"/>
          <w:shd w:val="clear" w:color="auto" w:fill="FFFFFF"/>
          <w:lang w:val="en-US"/>
        </w:rPr>
        <w:t>Variance Inflation Factor (VIF</w:t>
      </w:r>
      <w:r w:rsidR="003A6FF1" w:rsidRPr="00487834">
        <w:rPr>
          <w:color w:val="0D0D0D"/>
          <w:shd w:val="clear" w:color="auto" w:fill="FFFFFF"/>
          <w:lang w:val="en-US"/>
        </w:rPr>
        <w:t>)</w:t>
      </w:r>
      <w:r w:rsidRPr="00487834">
        <w:rPr>
          <w:color w:val="0D0D0D"/>
          <w:shd w:val="clear" w:color="auto" w:fill="FFFFFF"/>
          <w:lang w:val="en-US"/>
        </w:rPr>
        <w:t xml:space="preserve"> test for the </w:t>
      </w:r>
      <w:r w:rsidR="00FD7884" w:rsidRPr="00487834">
        <w:rPr>
          <w:color w:val="0D0D0D"/>
          <w:shd w:val="clear" w:color="auto" w:fill="FFFFFF"/>
          <w:lang w:val="en-US"/>
        </w:rPr>
        <w:t>cost of equity model</w:t>
      </w:r>
    </w:p>
    <w:p w14:paraId="0BA45D68" w14:textId="77777777" w:rsidR="00FD7884" w:rsidRPr="00487834" w:rsidRDefault="00FD7884" w:rsidP="00F36A29">
      <w:pPr>
        <w:autoSpaceDE w:val="0"/>
        <w:autoSpaceDN w:val="0"/>
        <w:adjustRightInd w:val="0"/>
        <w:spacing w:line="300" w:lineRule="auto"/>
        <w:ind w:firstLine="0"/>
        <w:rPr>
          <w:color w:val="0D0D0D"/>
          <w:shd w:val="clear" w:color="auto" w:fill="FFFFFF"/>
          <w:lang w:val="en-US"/>
        </w:rPr>
      </w:pPr>
    </w:p>
    <w:tbl>
      <w:tblPr>
        <w:tblW w:w="2520" w:type="dxa"/>
        <w:jc w:val="center"/>
        <w:tblLook w:val="04A0" w:firstRow="1" w:lastRow="0" w:firstColumn="1" w:lastColumn="0" w:noHBand="0" w:noVBand="1"/>
      </w:tblPr>
      <w:tblGrid>
        <w:gridCol w:w="1304"/>
        <w:gridCol w:w="1260"/>
      </w:tblGrid>
      <w:tr w:rsidR="00FD7884" w:rsidRPr="00487834" w14:paraId="7A9F80CF" w14:textId="77777777" w:rsidTr="000818CE">
        <w:trPr>
          <w:trHeight w:val="580"/>
          <w:jc w:val="center"/>
        </w:trPr>
        <w:tc>
          <w:tcPr>
            <w:tcW w:w="1260" w:type="dxa"/>
            <w:tcBorders>
              <w:top w:val="single" w:sz="4" w:space="0" w:color="auto"/>
              <w:left w:val="nil"/>
              <w:bottom w:val="single" w:sz="4" w:space="0" w:color="auto"/>
              <w:right w:val="nil"/>
            </w:tcBorders>
            <w:shd w:val="clear" w:color="auto" w:fill="auto"/>
            <w:noWrap/>
            <w:vAlign w:val="center"/>
            <w:hideMark/>
          </w:tcPr>
          <w:p w14:paraId="3BA00479" w14:textId="77777777" w:rsidR="00FD7884" w:rsidRPr="00487834" w:rsidRDefault="00FD7884" w:rsidP="00F36A29">
            <w:pPr>
              <w:pStyle w:val="NoSpacing"/>
            </w:pPr>
            <w:proofErr w:type="spellStart"/>
            <w:r w:rsidRPr="00487834">
              <w:t>Variable</w:t>
            </w:r>
            <w:proofErr w:type="spellEnd"/>
          </w:p>
        </w:tc>
        <w:tc>
          <w:tcPr>
            <w:tcW w:w="1260" w:type="dxa"/>
            <w:tcBorders>
              <w:top w:val="single" w:sz="4" w:space="0" w:color="auto"/>
              <w:left w:val="nil"/>
              <w:bottom w:val="single" w:sz="4" w:space="0" w:color="auto"/>
              <w:right w:val="nil"/>
            </w:tcBorders>
            <w:shd w:val="clear" w:color="auto" w:fill="auto"/>
            <w:noWrap/>
            <w:vAlign w:val="center"/>
            <w:hideMark/>
          </w:tcPr>
          <w:p w14:paraId="04D85773" w14:textId="77777777" w:rsidR="00FD7884" w:rsidRPr="00487834" w:rsidRDefault="00FD7884" w:rsidP="00F36A29">
            <w:pPr>
              <w:pStyle w:val="NoSpacing"/>
            </w:pPr>
            <w:r w:rsidRPr="00487834">
              <w:t>VIF</w:t>
            </w:r>
          </w:p>
        </w:tc>
      </w:tr>
      <w:tr w:rsidR="00FD7884" w:rsidRPr="00487834" w14:paraId="3F513D52" w14:textId="77777777" w:rsidTr="000818CE">
        <w:trPr>
          <w:trHeight w:val="560"/>
          <w:jc w:val="center"/>
        </w:trPr>
        <w:tc>
          <w:tcPr>
            <w:tcW w:w="1260" w:type="dxa"/>
            <w:tcBorders>
              <w:top w:val="nil"/>
              <w:left w:val="nil"/>
              <w:bottom w:val="nil"/>
              <w:right w:val="nil"/>
            </w:tcBorders>
            <w:shd w:val="clear" w:color="auto" w:fill="auto"/>
            <w:noWrap/>
            <w:vAlign w:val="center"/>
            <w:hideMark/>
          </w:tcPr>
          <w:p w14:paraId="541D8194" w14:textId="77777777" w:rsidR="00FD7884" w:rsidRPr="00487834" w:rsidRDefault="00FD7884" w:rsidP="00F36A29">
            <w:pPr>
              <w:pStyle w:val="NoSpacing"/>
              <w:rPr>
                <w:i/>
                <w:iCs/>
                <w:color w:val="000000"/>
              </w:rPr>
            </w:pPr>
            <w:r w:rsidRPr="00487834">
              <w:rPr>
                <w:i/>
                <w:iCs/>
                <w:color w:val="000000"/>
              </w:rPr>
              <w:t>ESG</w:t>
            </w:r>
          </w:p>
        </w:tc>
        <w:tc>
          <w:tcPr>
            <w:tcW w:w="1260" w:type="dxa"/>
            <w:tcBorders>
              <w:top w:val="nil"/>
              <w:left w:val="nil"/>
              <w:bottom w:val="nil"/>
              <w:right w:val="nil"/>
            </w:tcBorders>
            <w:shd w:val="clear" w:color="auto" w:fill="auto"/>
            <w:noWrap/>
            <w:vAlign w:val="center"/>
            <w:hideMark/>
          </w:tcPr>
          <w:p w14:paraId="0B00F8B0" w14:textId="77777777" w:rsidR="00FD7884" w:rsidRPr="00487834" w:rsidRDefault="00FD7884" w:rsidP="00F36A29">
            <w:pPr>
              <w:pStyle w:val="NoSpacing"/>
              <w:rPr>
                <w:color w:val="000000"/>
              </w:rPr>
            </w:pPr>
            <w:r w:rsidRPr="00487834">
              <w:rPr>
                <w:color w:val="000000"/>
              </w:rPr>
              <w:t>9.109</w:t>
            </w:r>
          </w:p>
        </w:tc>
      </w:tr>
      <w:tr w:rsidR="00FD7884" w:rsidRPr="00487834" w14:paraId="514AC522" w14:textId="77777777" w:rsidTr="000818CE">
        <w:trPr>
          <w:trHeight w:val="560"/>
          <w:jc w:val="center"/>
        </w:trPr>
        <w:tc>
          <w:tcPr>
            <w:tcW w:w="1260" w:type="dxa"/>
            <w:tcBorders>
              <w:top w:val="nil"/>
              <w:left w:val="nil"/>
              <w:bottom w:val="nil"/>
              <w:right w:val="nil"/>
            </w:tcBorders>
            <w:shd w:val="clear" w:color="auto" w:fill="auto"/>
            <w:noWrap/>
            <w:vAlign w:val="center"/>
            <w:hideMark/>
          </w:tcPr>
          <w:p w14:paraId="2AAA5446" w14:textId="77777777" w:rsidR="00FD7884" w:rsidRPr="00487834" w:rsidRDefault="00FD7884" w:rsidP="00F36A29">
            <w:pPr>
              <w:pStyle w:val="NoSpacing"/>
              <w:rPr>
                <w:i/>
                <w:iCs/>
                <w:color w:val="000000"/>
              </w:rPr>
            </w:pPr>
            <w:r w:rsidRPr="00487834">
              <w:rPr>
                <w:i/>
                <w:iCs/>
                <w:color w:val="000000"/>
              </w:rPr>
              <w:t>MCAP</w:t>
            </w:r>
          </w:p>
        </w:tc>
        <w:tc>
          <w:tcPr>
            <w:tcW w:w="1260" w:type="dxa"/>
            <w:tcBorders>
              <w:top w:val="nil"/>
              <w:left w:val="nil"/>
              <w:bottom w:val="nil"/>
              <w:right w:val="nil"/>
            </w:tcBorders>
            <w:shd w:val="clear" w:color="auto" w:fill="auto"/>
            <w:noWrap/>
            <w:vAlign w:val="center"/>
            <w:hideMark/>
          </w:tcPr>
          <w:p w14:paraId="636FC0F8" w14:textId="77777777" w:rsidR="00FD7884" w:rsidRPr="00487834" w:rsidRDefault="00FD7884" w:rsidP="00F36A29">
            <w:pPr>
              <w:pStyle w:val="NoSpacing"/>
              <w:rPr>
                <w:color w:val="000000"/>
              </w:rPr>
            </w:pPr>
            <w:r w:rsidRPr="00487834">
              <w:rPr>
                <w:color w:val="000000"/>
              </w:rPr>
              <w:t>12.882</w:t>
            </w:r>
          </w:p>
        </w:tc>
      </w:tr>
      <w:tr w:rsidR="00FD7884" w:rsidRPr="00487834" w14:paraId="3C77CA83" w14:textId="77777777" w:rsidTr="000818CE">
        <w:trPr>
          <w:trHeight w:val="560"/>
          <w:jc w:val="center"/>
        </w:trPr>
        <w:tc>
          <w:tcPr>
            <w:tcW w:w="1260" w:type="dxa"/>
            <w:tcBorders>
              <w:top w:val="nil"/>
              <w:left w:val="nil"/>
              <w:bottom w:val="nil"/>
              <w:right w:val="nil"/>
            </w:tcBorders>
            <w:shd w:val="clear" w:color="auto" w:fill="auto"/>
            <w:noWrap/>
            <w:vAlign w:val="center"/>
            <w:hideMark/>
          </w:tcPr>
          <w:p w14:paraId="3C79776D" w14:textId="77777777" w:rsidR="00FD7884" w:rsidRPr="00487834" w:rsidRDefault="00FD7884" w:rsidP="00F36A29">
            <w:pPr>
              <w:pStyle w:val="NoSpacing"/>
              <w:rPr>
                <w:i/>
                <w:iCs/>
                <w:color w:val="000000"/>
              </w:rPr>
            </w:pPr>
            <w:r w:rsidRPr="00487834">
              <w:rPr>
                <w:i/>
                <w:iCs/>
                <w:color w:val="000000"/>
              </w:rPr>
              <w:t>PE</w:t>
            </w:r>
          </w:p>
        </w:tc>
        <w:tc>
          <w:tcPr>
            <w:tcW w:w="1260" w:type="dxa"/>
            <w:tcBorders>
              <w:top w:val="nil"/>
              <w:left w:val="nil"/>
              <w:bottom w:val="nil"/>
              <w:right w:val="nil"/>
            </w:tcBorders>
            <w:shd w:val="clear" w:color="auto" w:fill="auto"/>
            <w:noWrap/>
            <w:vAlign w:val="center"/>
            <w:hideMark/>
          </w:tcPr>
          <w:p w14:paraId="1AE774C8" w14:textId="77777777" w:rsidR="00FD7884" w:rsidRPr="00487834" w:rsidRDefault="00FD7884" w:rsidP="00F36A29">
            <w:pPr>
              <w:pStyle w:val="NoSpacing"/>
              <w:rPr>
                <w:color w:val="000000"/>
              </w:rPr>
            </w:pPr>
            <w:r w:rsidRPr="00487834">
              <w:rPr>
                <w:color w:val="000000"/>
              </w:rPr>
              <w:t>1.116</w:t>
            </w:r>
          </w:p>
        </w:tc>
      </w:tr>
      <w:tr w:rsidR="00FD7884" w:rsidRPr="00487834" w14:paraId="4BC95D0E" w14:textId="77777777" w:rsidTr="000818CE">
        <w:trPr>
          <w:trHeight w:val="560"/>
          <w:jc w:val="center"/>
        </w:trPr>
        <w:tc>
          <w:tcPr>
            <w:tcW w:w="1260" w:type="dxa"/>
            <w:tcBorders>
              <w:top w:val="nil"/>
              <w:left w:val="nil"/>
              <w:bottom w:val="nil"/>
              <w:right w:val="nil"/>
            </w:tcBorders>
            <w:shd w:val="clear" w:color="auto" w:fill="auto"/>
            <w:noWrap/>
            <w:vAlign w:val="center"/>
            <w:hideMark/>
          </w:tcPr>
          <w:p w14:paraId="5AA0E3B9" w14:textId="77777777" w:rsidR="00FD7884" w:rsidRPr="00487834" w:rsidRDefault="00FD7884" w:rsidP="00F36A29">
            <w:pPr>
              <w:pStyle w:val="NoSpacing"/>
              <w:rPr>
                <w:i/>
                <w:iCs/>
                <w:color w:val="000000"/>
              </w:rPr>
            </w:pPr>
            <w:r w:rsidRPr="00487834">
              <w:rPr>
                <w:i/>
                <w:iCs/>
                <w:color w:val="000000"/>
              </w:rPr>
              <w:t>MTB</w:t>
            </w:r>
          </w:p>
        </w:tc>
        <w:tc>
          <w:tcPr>
            <w:tcW w:w="1260" w:type="dxa"/>
            <w:tcBorders>
              <w:top w:val="nil"/>
              <w:left w:val="nil"/>
              <w:bottom w:val="nil"/>
              <w:right w:val="nil"/>
            </w:tcBorders>
            <w:shd w:val="clear" w:color="auto" w:fill="auto"/>
            <w:noWrap/>
            <w:vAlign w:val="center"/>
            <w:hideMark/>
          </w:tcPr>
          <w:p w14:paraId="694D0BC4" w14:textId="77777777" w:rsidR="00FD7884" w:rsidRPr="00487834" w:rsidRDefault="00FD7884" w:rsidP="00F36A29">
            <w:pPr>
              <w:pStyle w:val="NoSpacing"/>
              <w:rPr>
                <w:color w:val="000000"/>
              </w:rPr>
            </w:pPr>
            <w:r w:rsidRPr="00487834">
              <w:rPr>
                <w:color w:val="000000"/>
              </w:rPr>
              <w:t>1.493</w:t>
            </w:r>
          </w:p>
        </w:tc>
      </w:tr>
      <w:tr w:rsidR="00FD7884" w:rsidRPr="00487834" w14:paraId="1737AFFC" w14:textId="77777777" w:rsidTr="000818CE">
        <w:trPr>
          <w:trHeight w:val="580"/>
          <w:jc w:val="center"/>
        </w:trPr>
        <w:tc>
          <w:tcPr>
            <w:tcW w:w="1260" w:type="dxa"/>
            <w:tcBorders>
              <w:top w:val="nil"/>
              <w:left w:val="nil"/>
              <w:bottom w:val="nil"/>
              <w:right w:val="nil"/>
            </w:tcBorders>
            <w:shd w:val="clear" w:color="auto" w:fill="auto"/>
            <w:noWrap/>
            <w:vAlign w:val="center"/>
            <w:hideMark/>
          </w:tcPr>
          <w:p w14:paraId="0703CFC9" w14:textId="77777777" w:rsidR="00FD7884" w:rsidRPr="00487834" w:rsidRDefault="00FD7884" w:rsidP="00F36A29">
            <w:pPr>
              <w:pStyle w:val="NoSpacing"/>
              <w:rPr>
                <w:i/>
                <w:iCs/>
                <w:color w:val="000000"/>
              </w:rPr>
            </w:pPr>
            <w:r w:rsidRPr="00487834">
              <w:rPr>
                <w:i/>
                <w:iCs/>
                <w:color w:val="000000"/>
              </w:rPr>
              <w:t>BETA</w:t>
            </w:r>
          </w:p>
        </w:tc>
        <w:tc>
          <w:tcPr>
            <w:tcW w:w="1260" w:type="dxa"/>
            <w:tcBorders>
              <w:top w:val="nil"/>
              <w:left w:val="nil"/>
              <w:bottom w:val="nil"/>
              <w:right w:val="nil"/>
            </w:tcBorders>
            <w:shd w:val="clear" w:color="auto" w:fill="auto"/>
            <w:noWrap/>
            <w:vAlign w:val="center"/>
            <w:hideMark/>
          </w:tcPr>
          <w:p w14:paraId="38470280" w14:textId="77777777" w:rsidR="00FD7884" w:rsidRPr="00487834" w:rsidRDefault="00FD7884" w:rsidP="00F36A29">
            <w:pPr>
              <w:pStyle w:val="NoSpacing"/>
              <w:rPr>
                <w:color w:val="000000"/>
              </w:rPr>
            </w:pPr>
            <w:r w:rsidRPr="00487834">
              <w:rPr>
                <w:color w:val="000000"/>
              </w:rPr>
              <w:t>4.502</w:t>
            </w:r>
          </w:p>
        </w:tc>
      </w:tr>
      <w:tr w:rsidR="00FD7884" w:rsidRPr="00487834" w14:paraId="73C43D9E" w14:textId="77777777" w:rsidTr="000818CE">
        <w:trPr>
          <w:trHeight w:val="560"/>
          <w:jc w:val="center"/>
        </w:trPr>
        <w:tc>
          <w:tcPr>
            <w:tcW w:w="1260" w:type="dxa"/>
            <w:tcBorders>
              <w:top w:val="nil"/>
              <w:left w:val="nil"/>
              <w:bottom w:val="nil"/>
              <w:right w:val="nil"/>
            </w:tcBorders>
            <w:shd w:val="clear" w:color="auto" w:fill="auto"/>
            <w:noWrap/>
            <w:vAlign w:val="center"/>
            <w:hideMark/>
          </w:tcPr>
          <w:p w14:paraId="4E6714F6" w14:textId="77777777" w:rsidR="00FD7884" w:rsidRPr="00487834" w:rsidRDefault="00FD7884" w:rsidP="00F36A29">
            <w:pPr>
              <w:pStyle w:val="NoSpacing"/>
              <w:rPr>
                <w:i/>
                <w:iCs/>
                <w:color w:val="000000"/>
              </w:rPr>
            </w:pPr>
            <w:r w:rsidRPr="00487834">
              <w:rPr>
                <w:i/>
                <w:iCs/>
                <w:color w:val="000000"/>
              </w:rPr>
              <w:t>ROE</w:t>
            </w:r>
          </w:p>
        </w:tc>
        <w:tc>
          <w:tcPr>
            <w:tcW w:w="1260" w:type="dxa"/>
            <w:tcBorders>
              <w:top w:val="nil"/>
              <w:left w:val="nil"/>
              <w:bottom w:val="nil"/>
              <w:right w:val="nil"/>
            </w:tcBorders>
            <w:shd w:val="clear" w:color="auto" w:fill="auto"/>
            <w:noWrap/>
            <w:vAlign w:val="center"/>
            <w:hideMark/>
          </w:tcPr>
          <w:p w14:paraId="639C06F8" w14:textId="77777777" w:rsidR="00FD7884" w:rsidRPr="00487834" w:rsidRDefault="00FD7884" w:rsidP="00F36A29">
            <w:pPr>
              <w:pStyle w:val="NoSpacing"/>
              <w:rPr>
                <w:color w:val="000000"/>
              </w:rPr>
            </w:pPr>
            <w:r w:rsidRPr="00487834">
              <w:rPr>
                <w:color w:val="000000"/>
              </w:rPr>
              <w:t>1.007</w:t>
            </w:r>
          </w:p>
        </w:tc>
      </w:tr>
      <w:tr w:rsidR="00FD7884" w:rsidRPr="00487834" w14:paraId="3E82CCE6" w14:textId="77777777" w:rsidTr="000818CE">
        <w:trPr>
          <w:trHeight w:val="580"/>
          <w:jc w:val="center"/>
        </w:trPr>
        <w:tc>
          <w:tcPr>
            <w:tcW w:w="1260" w:type="dxa"/>
            <w:tcBorders>
              <w:top w:val="nil"/>
              <w:left w:val="nil"/>
              <w:bottom w:val="single" w:sz="4" w:space="0" w:color="auto"/>
              <w:right w:val="nil"/>
            </w:tcBorders>
            <w:shd w:val="clear" w:color="auto" w:fill="auto"/>
            <w:noWrap/>
            <w:vAlign w:val="center"/>
            <w:hideMark/>
          </w:tcPr>
          <w:p w14:paraId="4A7CDB52" w14:textId="77777777" w:rsidR="00FD7884" w:rsidRPr="00487834" w:rsidRDefault="00FD7884" w:rsidP="00F36A29">
            <w:pPr>
              <w:pStyle w:val="NoSpacing"/>
              <w:rPr>
                <w:i/>
                <w:iCs/>
                <w:color w:val="000000"/>
              </w:rPr>
            </w:pPr>
            <w:r w:rsidRPr="00487834">
              <w:rPr>
                <w:i/>
                <w:iCs/>
                <w:color w:val="000000"/>
              </w:rPr>
              <w:t>EV/EBITDA</w:t>
            </w:r>
          </w:p>
        </w:tc>
        <w:tc>
          <w:tcPr>
            <w:tcW w:w="1260" w:type="dxa"/>
            <w:tcBorders>
              <w:top w:val="nil"/>
              <w:left w:val="nil"/>
              <w:bottom w:val="single" w:sz="4" w:space="0" w:color="auto"/>
              <w:right w:val="nil"/>
            </w:tcBorders>
            <w:shd w:val="clear" w:color="auto" w:fill="auto"/>
            <w:noWrap/>
            <w:vAlign w:val="center"/>
            <w:hideMark/>
          </w:tcPr>
          <w:p w14:paraId="32F6BB79" w14:textId="77777777" w:rsidR="00FD7884" w:rsidRPr="00487834" w:rsidRDefault="00FD7884" w:rsidP="00F36A29">
            <w:pPr>
              <w:pStyle w:val="NoSpacing"/>
              <w:rPr>
                <w:color w:val="000000"/>
              </w:rPr>
            </w:pPr>
            <w:r w:rsidRPr="00487834">
              <w:rPr>
                <w:color w:val="000000"/>
              </w:rPr>
              <w:t>1.012</w:t>
            </w:r>
          </w:p>
        </w:tc>
      </w:tr>
    </w:tbl>
    <w:p w14:paraId="3AFB7962" w14:textId="77777777" w:rsidR="009945C2" w:rsidRPr="00487834" w:rsidRDefault="009945C2" w:rsidP="003128F6">
      <w:pPr>
        <w:autoSpaceDE w:val="0"/>
        <w:autoSpaceDN w:val="0"/>
        <w:adjustRightInd w:val="0"/>
        <w:spacing w:line="300" w:lineRule="auto"/>
        <w:rPr>
          <w:rFonts w:eastAsiaTheme="minorHAnsi"/>
          <w:lang w:val="en-GB" w:eastAsia="en-US"/>
        </w:rPr>
      </w:pPr>
    </w:p>
    <w:p w14:paraId="5C6C78AB" w14:textId="77777777" w:rsidR="00FD7884" w:rsidRPr="00487834" w:rsidRDefault="00FD7884" w:rsidP="003128F6">
      <w:pPr>
        <w:autoSpaceDE w:val="0"/>
        <w:autoSpaceDN w:val="0"/>
        <w:adjustRightInd w:val="0"/>
        <w:spacing w:line="300" w:lineRule="auto"/>
        <w:rPr>
          <w:color w:val="0D0D0D"/>
          <w:shd w:val="clear" w:color="auto" w:fill="FFFFFF"/>
          <w:lang w:val="en-US"/>
        </w:rPr>
      </w:pPr>
      <w:r w:rsidRPr="00487834">
        <w:rPr>
          <w:rFonts w:eastAsiaTheme="minorHAnsi"/>
          <w:b/>
          <w:bCs/>
          <w:lang w:val="en-GB" w:eastAsia="en-US"/>
        </w:rPr>
        <w:t>Table 1</w:t>
      </w:r>
      <w:r w:rsidR="00BF355C" w:rsidRPr="00487834">
        <w:rPr>
          <w:rFonts w:eastAsiaTheme="minorHAnsi"/>
          <w:b/>
          <w:bCs/>
          <w:lang w:val="en-GB" w:eastAsia="en-US"/>
        </w:rPr>
        <w:t>2</w:t>
      </w:r>
      <w:r w:rsidRPr="00487834">
        <w:rPr>
          <w:rFonts w:eastAsiaTheme="minorHAnsi"/>
          <w:b/>
          <w:bCs/>
          <w:lang w:val="en-GB" w:eastAsia="en-US"/>
        </w:rPr>
        <w:t xml:space="preserve"> – </w:t>
      </w:r>
      <w:r w:rsidRPr="00487834">
        <w:rPr>
          <w:color w:val="0D0D0D"/>
          <w:shd w:val="clear" w:color="auto" w:fill="FFFFFF"/>
          <w:lang w:val="en-US"/>
        </w:rPr>
        <w:t>Variance Inflation Factor (VIF</w:t>
      </w:r>
      <w:r w:rsidR="003A6FF1" w:rsidRPr="00487834">
        <w:rPr>
          <w:color w:val="0D0D0D"/>
          <w:shd w:val="clear" w:color="auto" w:fill="FFFFFF"/>
          <w:lang w:val="en-US"/>
        </w:rPr>
        <w:t>)</w:t>
      </w:r>
      <w:r w:rsidRPr="00487834">
        <w:rPr>
          <w:color w:val="0D0D0D"/>
          <w:shd w:val="clear" w:color="auto" w:fill="FFFFFF"/>
          <w:lang w:val="en-US"/>
        </w:rPr>
        <w:t xml:space="preserve"> test for the cost of </w:t>
      </w:r>
      <w:r w:rsidR="006164C5" w:rsidRPr="00487834">
        <w:rPr>
          <w:color w:val="0D0D0D"/>
          <w:shd w:val="clear" w:color="auto" w:fill="FFFFFF"/>
          <w:lang w:val="en-US"/>
        </w:rPr>
        <w:t>debt</w:t>
      </w:r>
      <w:r w:rsidRPr="00487834">
        <w:rPr>
          <w:color w:val="0D0D0D"/>
          <w:shd w:val="clear" w:color="auto" w:fill="FFFFFF"/>
          <w:lang w:val="en-US"/>
        </w:rPr>
        <w:t xml:space="preserve"> model</w:t>
      </w:r>
    </w:p>
    <w:p w14:paraId="485E30AE" w14:textId="77777777" w:rsidR="00007E9A" w:rsidRPr="00487834" w:rsidRDefault="00007E9A" w:rsidP="003128F6">
      <w:pPr>
        <w:autoSpaceDE w:val="0"/>
        <w:autoSpaceDN w:val="0"/>
        <w:adjustRightInd w:val="0"/>
        <w:spacing w:line="300" w:lineRule="auto"/>
        <w:rPr>
          <w:rFonts w:eastAsiaTheme="minorHAnsi"/>
          <w:b/>
          <w:bCs/>
          <w:lang w:val="en-US" w:eastAsia="en-US"/>
        </w:rPr>
      </w:pPr>
    </w:p>
    <w:p w14:paraId="607E6704" w14:textId="77777777" w:rsidR="00FD7884" w:rsidRPr="00487834" w:rsidRDefault="00FD7884" w:rsidP="003128F6">
      <w:pPr>
        <w:autoSpaceDE w:val="0"/>
        <w:autoSpaceDN w:val="0"/>
        <w:adjustRightInd w:val="0"/>
        <w:spacing w:line="300" w:lineRule="auto"/>
        <w:rPr>
          <w:rFonts w:eastAsiaTheme="minorHAnsi"/>
          <w:b/>
          <w:bCs/>
          <w:lang w:val="en-US" w:eastAsia="en-US"/>
        </w:rPr>
      </w:pPr>
    </w:p>
    <w:tbl>
      <w:tblPr>
        <w:tblW w:w="2540" w:type="dxa"/>
        <w:jc w:val="center"/>
        <w:tblLook w:val="04A0" w:firstRow="1" w:lastRow="0" w:firstColumn="1" w:lastColumn="0" w:noHBand="0" w:noVBand="1"/>
      </w:tblPr>
      <w:tblGrid>
        <w:gridCol w:w="1341"/>
        <w:gridCol w:w="1260"/>
      </w:tblGrid>
      <w:tr w:rsidR="00FD7884" w:rsidRPr="00487834" w14:paraId="75B3DFD2" w14:textId="77777777" w:rsidTr="00756009">
        <w:trPr>
          <w:trHeight w:val="580"/>
          <w:jc w:val="center"/>
        </w:trPr>
        <w:tc>
          <w:tcPr>
            <w:tcW w:w="1280" w:type="dxa"/>
            <w:tcBorders>
              <w:top w:val="single" w:sz="4" w:space="0" w:color="auto"/>
              <w:left w:val="nil"/>
              <w:bottom w:val="single" w:sz="4" w:space="0" w:color="auto"/>
              <w:right w:val="nil"/>
            </w:tcBorders>
            <w:shd w:val="clear" w:color="auto" w:fill="auto"/>
            <w:noWrap/>
            <w:vAlign w:val="center"/>
            <w:hideMark/>
          </w:tcPr>
          <w:p w14:paraId="6C42DC31" w14:textId="77777777" w:rsidR="00FD7884" w:rsidRPr="00487834" w:rsidRDefault="00FD7884" w:rsidP="00F36A29">
            <w:pPr>
              <w:pStyle w:val="NoSpacing"/>
            </w:pPr>
            <w:proofErr w:type="spellStart"/>
            <w:r w:rsidRPr="00487834">
              <w:t>Variable</w:t>
            </w:r>
            <w:proofErr w:type="spellEnd"/>
          </w:p>
        </w:tc>
        <w:tc>
          <w:tcPr>
            <w:tcW w:w="1260" w:type="dxa"/>
            <w:tcBorders>
              <w:top w:val="single" w:sz="4" w:space="0" w:color="auto"/>
              <w:left w:val="nil"/>
              <w:bottom w:val="single" w:sz="4" w:space="0" w:color="auto"/>
              <w:right w:val="nil"/>
            </w:tcBorders>
            <w:shd w:val="clear" w:color="auto" w:fill="auto"/>
            <w:noWrap/>
            <w:vAlign w:val="center"/>
            <w:hideMark/>
          </w:tcPr>
          <w:p w14:paraId="5C06388A" w14:textId="77777777" w:rsidR="00FD7884" w:rsidRPr="00487834" w:rsidRDefault="00FD7884" w:rsidP="00F36A29">
            <w:pPr>
              <w:pStyle w:val="NoSpacing"/>
            </w:pPr>
            <w:r w:rsidRPr="00487834">
              <w:t>VIF</w:t>
            </w:r>
          </w:p>
        </w:tc>
      </w:tr>
      <w:tr w:rsidR="00FD7884" w:rsidRPr="00487834" w14:paraId="694D830E" w14:textId="77777777" w:rsidTr="00756009">
        <w:trPr>
          <w:trHeight w:val="560"/>
          <w:jc w:val="center"/>
        </w:trPr>
        <w:tc>
          <w:tcPr>
            <w:tcW w:w="1280" w:type="dxa"/>
            <w:tcBorders>
              <w:top w:val="nil"/>
              <w:left w:val="nil"/>
              <w:bottom w:val="nil"/>
              <w:right w:val="nil"/>
            </w:tcBorders>
            <w:shd w:val="clear" w:color="auto" w:fill="auto"/>
            <w:noWrap/>
            <w:vAlign w:val="center"/>
            <w:hideMark/>
          </w:tcPr>
          <w:p w14:paraId="109E6564" w14:textId="77777777" w:rsidR="00FD7884" w:rsidRPr="00487834" w:rsidRDefault="00FD7884" w:rsidP="00F36A29">
            <w:pPr>
              <w:pStyle w:val="NoSpacing"/>
              <w:rPr>
                <w:i/>
                <w:iCs/>
                <w:color w:val="000000"/>
              </w:rPr>
            </w:pPr>
            <w:r w:rsidRPr="00487834">
              <w:rPr>
                <w:i/>
                <w:iCs/>
                <w:color w:val="000000"/>
              </w:rPr>
              <w:t>ESG</w:t>
            </w:r>
          </w:p>
        </w:tc>
        <w:tc>
          <w:tcPr>
            <w:tcW w:w="1260" w:type="dxa"/>
            <w:tcBorders>
              <w:top w:val="nil"/>
              <w:left w:val="nil"/>
              <w:bottom w:val="nil"/>
              <w:right w:val="nil"/>
            </w:tcBorders>
            <w:shd w:val="clear" w:color="auto" w:fill="auto"/>
            <w:noWrap/>
            <w:vAlign w:val="center"/>
            <w:hideMark/>
          </w:tcPr>
          <w:p w14:paraId="27A46899" w14:textId="77777777" w:rsidR="00FD7884" w:rsidRPr="00487834" w:rsidRDefault="00FD7884" w:rsidP="00F36A29">
            <w:pPr>
              <w:pStyle w:val="NoSpacing"/>
              <w:rPr>
                <w:color w:val="000000"/>
              </w:rPr>
            </w:pPr>
            <w:r w:rsidRPr="00487834">
              <w:rPr>
                <w:color w:val="000000"/>
              </w:rPr>
              <w:t>10.162</w:t>
            </w:r>
          </w:p>
        </w:tc>
      </w:tr>
      <w:tr w:rsidR="00FD7884" w:rsidRPr="00487834" w14:paraId="2291B741" w14:textId="77777777" w:rsidTr="00756009">
        <w:trPr>
          <w:trHeight w:val="560"/>
          <w:jc w:val="center"/>
        </w:trPr>
        <w:tc>
          <w:tcPr>
            <w:tcW w:w="1280" w:type="dxa"/>
            <w:tcBorders>
              <w:top w:val="nil"/>
              <w:left w:val="nil"/>
              <w:bottom w:val="nil"/>
              <w:right w:val="nil"/>
            </w:tcBorders>
            <w:shd w:val="clear" w:color="auto" w:fill="auto"/>
            <w:noWrap/>
            <w:vAlign w:val="center"/>
            <w:hideMark/>
          </w:tcPr>
          <w:p w14:paraId="5DA9A93E" w14:textId="77777777" w:rsidR="00FD7884" w:rsidRPr="00487834" w:rsidRDefault="00FD7884" w:rsidP="00F36A29">
            <w:pPr>
              <w:pStyle w:val="NoSpacing"/>
              <w:rPr>
                <w:i/>
                <w:iCs/>
                <w:color w:val="000000"/>
              </w:rPr>
            </w:pPr>
            <w:r w:rsidRPr="00487834">
              <w:rPr>
                <w:i/>
                <w:iCs/>
                <w:color w:val="000000"/>
              </w:rPr>
              <w:lastRenderedPageBreak/>
              <w:t>MCAP</w:t>
            </w:r>
          </w:p>
        </w:tc>
        <w:tc>
          <w:tcPr>
            <w:tcW w:w="1260" w:type="dxa"/>
            <w:tcBorders>
              <w:top w:val="nil"/>
              <w:left w:val="nil"/>
              <w:bottom w:val="nil"/>
              <w:right w:val="nil"/>
            </w:tcBorders>
            <w:shd w:val="clear" w:color="auto" w:fill="auto"/>
            <w:noWrap/>
            <w:vAlign w:val="center"/>
            <w:hideMark/>
          </w:tcPr>
          <w:p w14:paraId="50CEA4B6" w14:textId="77777777" w:rsidR="00FD7884" w:rsidRPr="00487834" w:rsidRDefault="00FD7884" w:rsidP="00F36A29">
            <w:pPr>
              <w:pStyle w:val="NoSpacing"/>
              <w:rPr>
                <w:color w:val="000000"/>
              </w:rPr>
            </w:pPr>
            <w:r w:rsidRPr="00487834">
              <w:rPr>
                <w:color w:val="000000"/>
              </w:rPr>
              <w:t>20.243</w:t>
            </w:r>
          </w:p>
        </w:tc>
      </w:tr>
      <w:tr w:rsidR="00FD7884" w:rsidRPr="00487834" w14:paraId="37A9F04F" w14:textId="77777777" w:rsidTr="00756009">
        <w:trPr>
          <w:trHeight w:val="560"/>
          <w:jc w:val="center"/>
        </w:trPr>
        <w:tc>
          <w:tcPr>
            <w:tcW w:w="1280" w:type="dxa"/>
            <w:tcBorders>
              <w:top w:val="nil"/>
              <w:left w:val="nil"/>
              <w:bottom w:val="nil"/>
              <w:right w:val="nil"/>
            </w:tcBorders>
            <w:shd w:val="clear" w:color="auto" w:fill="auto"/>
            <w:noWrap/>
            <w:vAlign w:val="center"/>
            <w:hideMark/>
          </w:tcPr>
          <w:p w14:paraId="4B3009FC" w14:textId="77777777" w:rsidR="00FD7884" w:rsidRPr="00487834" w:rsidRDefault="00FD7884" w:rsidP="00F36A29">
            <w:pPr>
              <w:pStyle w:val="NoSpacing"/>
              <w:rPr>
                <w:i/>
                <w:iCs/>
                <w:color w:val="000000"/>
              </w:rPr>
            </w:pPr>
            <w:r w:rsidRPr="00487834">
              <w:rPr>
                <w:i/>
                <w:iCs/>
                <w:color w:val="000000"/>
              </w:rPr>
              <w:t>ICR</w:t>
            </w:r>
          </w:p>
        </w:tc>
        <w:tc>
          <w:tcPr>
            <w:tcW w:w="1260" w:type="dxa"/>
            <w:tcBorders>
              <w:top w:val="nil"/>
              <w:left w:val="nil"/>
              <w:bottom w:val="nil"/>
              <w:right w:val="nil"/>
            </w:tcBorders>
            <w:shd w:val="clear" w:color="auto" w:fill="auto"/>
            <w:noWrap/>
            <w:vAlign w:val="center"/>
            <w:hideMark/>
          </w:tcPr>
          <w:p w14:paraId="0CFBEC6E" w14:textId="77777777" w:rsidR="00FD7884" w:rsidRPr="00487834" w:rsidRDefault="00FD7884" w:rsidP="00F36A29">
            <w:pPr>
              <w:pStyle w:val="NoSpacing"/>
              <w:rPr>
                <w:color w:val="000000"/>
              </w:rPr>
            </w:pPr>
            <w:r w:rsidRPr="00487834">
              <w:rPr>
                <w:color w:val="000000"/>
              </w:rPr>
              <w:t>1.005</w:t>
            </w:r>
          </w:p>
        </w:tc>
      </w:tr>
      <w:tr w:rsidR="00FD7884" w:rsidRPr="00487834" w14:paraId="501EB1F8" w14:textId="77777777" w:rsidTr="00756009">
        <w:trPr>
          <w:trHeight w:val="560"/>
          <w:jc w:val="center"/>
        </w:trPr>
        <w:tc>
          <w:tcPr>
            <w:tcW w:w="1280" w:type="dxa"/>
            <w:tcBorders>
              <w:top w:val="nil"/>
              <w:left w:val="nil"/>
              <w:bottom w:val="nil"/>
              <w:right w:val="nil"/>
            </w:tcBorders>
            <w:shd w:val="clear" w:color="auto" w:fill="auto"/>
            <w:noWrap/>
            <w:vAlign w:val="center"/>
            <w:hideMark/>
          </w:tcPr>
          <w:p w14:paraId="0D74D0F5" w14:textId="77777777" w:rsidR="00FD7884" w:rsidRPr="00487834" w:rsidRDefault="00FD7884" w:rsidP="00F36A29">
            <w:pPr>
              <w:pStyle w:val="NoSpacing"/>
              <w:rPr>
                <w:i/>
                <w:iCs/>
                <w:color w:val="000000"/>
              </w:rPr>
            </w:pPr>
            <w:r w:rsidRPr="00487834">
              <w:rPr>
                <w:i/>
                <w:iCs/>
                <w:color w:val="000000"/>
              </w:rPr>
              <w:t>ROA</w:t>
            </w:r>
          </w:p>
        </w:tc>
        <w:tc>
          <w:tcPr>
            <w:tcW w:w="1260" w:type="dxa"/>
            <w:tcBorders>
              <w:top w:val="nil"/>
              <w:left w:val="nil"/>
              <w:bottom w:val="nil"/>
              <w:right w:val="nil"/>
            </w:tcBorders>
            <w:shd w:val="clear" w:color="auto" w:fill="auto"/>
            <w:noWrap/>
            <w:vAlign w:val="center"/>
            <w:hideMark/>
          </w:tcPr>
          <w:p w14:paraId="5580FAB4" w14:textId="77777777" w:rsidR="00FD7884" w:rsidRPr="00487834" w:rsidRDefault="00FD7884" w:rsidP="00F36A29">
            <w:pPr>
              <w:pStyle w:val="NoSpacing"/>
              <w:rPr>
                <w:color w:val="000000"/>
              </w:rPr>
            </w:pPr>
            <w:r w:rsidRPr="00487834">
              <w:rPr>
                <w:color w:val="000000"/>
              </w:rPr>
              <w:t>1.427</w:t>
            </w:r>
          </w:p>
        </w:tc>
      </w:tr>
      <w:tr w:rsidR="00FD7884" w:rsidRPr="00487834" w14:paraId="7C2AD038" w14:textId="77777777" w:rsidTr="00756009">
        <w:trPr>
          <w:trHeight w:val="580"/>
          <w:jc w:val="center"/>
        </w:trPr>
        <w:tc>
          <w:tcPr>
            <w:tcW w:w="1280" w:type="dxa"/>
            <w:tcBorders>
              <w:top w:val="nil"/>
              <w:left w:val="nil"/>
              <w:bottom w:val="nil"/>
              <w:right w:val="nil"/>
            </w:tcBorders>
            <w:shd w:val="clear" w:color="auto" w:fill="auto"/>
            <w:noWrap/>
            <w:vAlign w:val="center"/>
            <w:hideMark/>
          </w:tcPr>
          <w:p w14:paraId="449E441F" w14:textId="77777777" w:rsidR="00FD7884" w:rsidRPr="00487834" w:rsidRDefault="00FD7884" w:rsidP="00F36A29">
            <w:pPr>
              <w:pStyle w:val="NoSpacing"/>
              <w:rPr>
                <w:i/>
                <w:iCs/>
                <w:color w:val="000000"/>
              </w:rPr>
            </w:pPr>
            <w:r w:rsidRPr="00487834">
              <w:rPr>
                <w:i/>
                <w:iCs/>
                <w:color w:val="000000"/>
              </w:rPr>
              <w:t>Current</w:t>
            </w:r>
          </w:p>
        </w:tc>
        <w:tc>
          <w:tcPr>
            <w:tcW w:w="1260" w:type="dxa"/>
            <w:tcBorders>
              <w:top w:val="nil"/>
              <w:left w:val="nil"/>
              <w:bottom w:val="nil"/>
              <w:right w:val="nil"/>
            </w:tcBorders>
            <w:shd w:val="clear" w:color="auto" w:fill="auto"/>
            <w:noWrap/>
            <w:vAlign w:val="center"/>
            <w:hideMark/>
          </w:tcPr>
          <w:p w14:paraId="06A8289D" w14:textId="77777777" w:rsidR="00FD7884" w:rsidRPr="00487834" w:rsidRDefault="00FD7884" w:rsidP="00F36A29">
            <w:pPr>
              <w:pStyle w:val="NoSpacing"/>
              <w:rPr>
                <w:color w:val="000000"/>
              </w:rPr>
            </w:pPr>
            <w:r w:rsidRPr="00487834">
              <w:rPr>
                <w:color w:val="000000"/>
              </w:rPr>
              <w:t>1.103</w:t>
            </w:r>
          </w:p>
        </w:tc>
      </w:tr>
      <w:tr w:rsidR="00FD7884" w:rsidRPr="00487834" w14:paraId="7C829522" w14:textId="77777777" w:rsidTr="00756009">
        <w:trPr>
          <w:trHeight w:val="560"/>
          <w:jc w:val="center"/>
        </w:trPr>
        <w:tc>
          <w:tcPr>
            <w:tcW w:w="1280" w:type="dxa"/>
            <w:tcBorders>
              <w:top w:val="nil"/>
              <w:left w:val="nil"/>
              <w:bottom w:val="nil"/>
              <w:right w:val="nil"/>
            </w:tcBorders>
            <w:shd w:val="clear" w:color="auto" w:fill="auto"/>
            <w:noWrap/>
            <w:vAlign w:val="center"/>
            <w:hideMark/>
          </w:tcPr>
          <w:p w14:paraId="1182F599" w14:textId="77777777" w:rsidR="00FD7884" w:rsidRPr="00487834" w:rsidRDefault="00FD7884" w:rsidP="00F36A29">
            <w:pPr>
              <w:pStyle w:val="NoSpacing"/>
              <w:rPr>
                <w:i/>
                <w:iCs/>
                <w:color w:val="000000"/>
              </w:rPr>
            </w:pPr>
            <w:r w:rsidRPr="00487834">
              <w:rPr>
                <w:i/>
                <w:iCs/>
                <w:color w:val="000000"/>
              </w:rPr>
              <w:t>LEV</w:t>
            </w:r>
          </w:p>
        </w:tc>
        <w:tc>
          <w:tcPr>
            <w:tcW w:w="1260" w:type="dxa"/>
            <w:tcBorders>
              <w:top w:val="nil"/>
              <w:left w:val="nil"/>
              <w:bottom w:val="nil"/>
              <w:right w:val="nil"/>
            </w:tcBorders>
            <w:shd w:val="clear" w:color="auto" w:fill="auto"/>
            <w:noWrap/>
            <w:vAlign w:val="center"/>
            <w:hideMark/>
          </w:tcPr>
          <w:p w14:paraId="6814AECB" w14:textId="77777777" w:rsidR="00FD7884" w:rsidRPr="00487834" w:rsidRDefault="00FD7884" w:rsidP="00F36A29">
            <w:pPr>
              <w:pStyle w:val="NoSpacing"/>
              <w:rPr>
                <w:color w:val="000000"/>
              </w:rPr>
            </w:pPr>
            <w:r w:rsidRPr="00487834">
              <w:rPr>
                <w:color w:val="000000"/>
              </w:rPr>
              <w:t>3.758</w:t>
            </w:r>
          </w:p>
        </w:tc>
      </w:tr>
      <w:tr w:rsidR="00FD7884" w:rsidRPr="00487834" w14:paraId="7E928A8A" w14:textId="77777777" w:rsidTr="00756009">
        <w:trPr>
          <w:trHeight w:val="580"/>
          <w:jc w:val="center"/>
        </w:trPr>
        <w:tc>
          <w:tcPr>
            <w:tcW w:w="1280" w:type="dxa"/>
            <w:tcBorders>
              <w:top w:val="nil"/>
              <w:left w:val="nil"/>
              <w:bottom w:val="nil"/>
              <w:right w:val="nil"/>
            </w:tcBorders>
            <w:shd w:val="clear" w:color="auto" w:fill="auto"/>
            <w:noWrap/>
            <w:vAlign w:val="center"/>
            <w:hideMark/>
          </w:tcPr>
          <w:p w14:paraId="38A02F11" w14:textId="77777777" w:rsidR="00FD7884" w:rsidRPr="00487834" w:rsidRDefault="00FD7884" w:rsidP="00F36A29">
            <w:pPr>
              <w:pStyle w:val="NoSpacing"/>
              <w:rPr>
                <w:i/>
                <w:iCs/>
                <w:color w:val="000000"/>
              </w:rPr>
            </w:pPr>
            <w:r w:rsidRPr="00487834">
              <w:rPr>
                <w:i/>
                <w:iCs/>
                <w:color w:val="000000"/>
              </w:rPr>
              <w:t>ND/EBITDA</w:t>
            </w:r>
          </w:p>
        </w:tc>
        <w:tc>
          <w:tcPr>
            <w:tcW w:w="1260" w:type="dxa"/>
            <w:tcBorders>
              <w:top w:val="nil"/>
              <w:left w:val="nil"/>
              <w:bottom w:val="nil"/>
              <w:right w:val="nil"/>
            </w:tcBorders>
            <w:shd w:val="clear" w:color="auto" w:fill="auto"/>
            <w:noWrap/>
            <w:vAlign w:val="center"/>
            <w:hideMark/>
          </w:tcPr>
          <w:p w14:paraId="743A606F" w14:textId="77777777" w:rsidR="00FD7884" w:rsidRPr="00487834" w:rsidRDefault="00FD7884" w:rsidP="00F36A29">
            <w:pPr>
              <w:pStyle w:val="NoSpacing"/>
              <w:rPr>
                <w:color w:val="000000"/>
              </w:rPr>
            </w:pPr>
            <w:r w:rsidRPr="00487834">
              <w:rPr>
                <w:color w:val="000000"/>
              </w:rPr>
              <w:t>1.018</w:t>
            </w:r>
          </w:p>
        </w:tc>
      </w:tr>
      <w:tr w:rsidR="00FD7884" w:rsidRPr="00487834" w14:paraId="0F30A5CF" w14:textId="77777777" w:rsidTr="00756009">
        <w:trPr>
          <w:trHeight w:val="560"/>
          <w:jc w:val="center"/>
        </w:trPr>
        <w:tc>
          <w:tcPr>
            <w:tcW w:w="1280" w:type="dxa"/>
            <w:tcBorders>
              <w:top w:val="nil"/>
              <w:left w:val="nil"/>
              <w:bottom w:val="single" w:sz="4" w:space="0" w:color="auto"/>
              <w:right w:val="nil"/>
            </w:tcBorders>
            <w:shd w:val="clear" w:color="auto" w:fill="auto"/>
            <w:noWrap/>
            <w:vAlign w:val="center"/>
            <w:hideMark/>
          </w:tcPr>
          <w:p w14:paraId="56D9D8E0" w14:textId="77777777" w:rsidR="00FD7884" w:rsidRPr="00487834" w:rsidRDefault="00FD7884" w:rsidP="00F36A29">
            <w:pPr>
              <w:pStyle w:val="NoSpacing"/>
              <w:rPr>
                <w:i/>
                <w:iCs/>
                <w:color w:val="000000"/>
              </w:rPr>
            </w:pPr>
            <w:r w:rsidRPr="00487834">
              <w:rPr>
                <w:i/>
                <w:iCs/>
                <w:color w:val="000000"/>
              </w:rPr>
              <w:t>TLPA</w:t>
            </w:r>
          </w:p>
        </w:tc>
        <w:tc>
          <w:tcPr>
            <w:tcW w:w="1260" w:type="dxa"/>
            <w:tcBorders>
              <w:top w:val="nil"/>
              <w:left w:val="nil"/>
              <w:bottom w:val="single" w:sz="4" w:space="0" w:color="auto"/>
              <w:right w:val="nil"/>
            </w:tcBorders>
            <w:shd w:val="clear" w:color="auto" w:fill="auto"/>
            <w:noWrap/>
            <w:vAlign w:val="center"/>
            <w:hideMark/>
          </w:tcPr>
          <w:p w14:paraId="7E61F63E" w14:textId="77777777" w:rsidR="00FD7884" w:rsidRPr="00487834" w:rsidRDefault="00FD7884" w:rsidP="00F36A29">
            <w:pPr>
              <w:pStyle w:val="NoSpacing"/>
              <w:rPr>
                <w:color w:val="000000"/>
              </w:rPr>
            </w:pPr>
            <w:r w:rsidRPr="00487834">
              <w:rPr>
                <w:color w:val="000000"/>
              </w:rPr>
              <w:t>1.008</w:t>
            </w:r>
          </w:p>
        </w:tc>
      </w:tr>
    </w:tbl>
    <w:p w14:paraId="58559E49" w14:textId="77777777" w:rsidR="00756009" w:rsidRPr="00487834" w:rsidRDefault="00756009" w:rsidP="003128F6">
      <w:pPr>
        <w:autoSpaceDE w:val="0"/>
        <w:autoSpaceDN w:val="0"/>
        <w:adjustRightInd w:val="0"/>
        <w:spacing w:line="300" w:lineRule="auto"/>
        <w:rPr>
          <w:rFonts w:eastAsiaTheme="minorHAnsi"/>
          <w:lang w:val="en-US" w:eastAsia="en-US"/>
        </w:rPr>
      </w:pPr>
    </w:p>
    <w:p w14:paraId="67A6372D" w14:textId="77777777" w:rsidR="004D51D4" w:rsidRPr="00487834" w:rsidRDefault="00754B43" w:rsidP="003128F6">
      <w:pPr>
        <w:autoSpaceDE w:val="0"/>
        <w:autoSpaceDN w:val="0"/>
        <w:adjustRightInd w:val="0"/>
        <w:spacing w:line="300" w:lineRule="auto"/>
        <w:rPr>
          <w:rFonts w:eastAsiaTheme="minorHAnsi"/>
          <w:lang w:val="en-US" w:eastAsia="en-US"/>
        </w:rPr>
      </w:pPr>
      <w:r w:rsidRPr="00487834">
        <w:rPr>
          <w:rFonts w:eastAsiaTheme="minorHAnsi"/>
          <w:lang w:val="en-US" w:eastAsia="en-US"/>
        </w:rPr>
        <w:t>To deal with potential multicollinearity, especially between ESG score and MCAP we have decided to standardize our variables in the following fashion:</w:t>
      </w:r>
    </w:p>
    <w:p w14:paraId="6E9F9F53" w14:textId="77777777" w:rsidR="004D51D4" w:rsidRPr="00487834" w:rsidRDefault="004D51D4" w:rsidP="003128F6">
      <w:pPr>
        <w:autoSpaceDE w:val="0"/>
        <w:autoSpaceDN w:val="0"/>
        <w:adjustRightInd w:val="0"/>
        <w:spacing w:line="300" w:lineRule="auto"/>
        <w:rPr>
          <w:rStyle w:val="mord"/>
          <w:rFonts w:eastAsiaTheme="minorEastAsia"/>
          <w:iCs/>
        </w:rPr>
      </w:pPr>
      <w:proofErr w:type="spellStart"/>
      <w:r w:rsidRPr="00487834">
        <w:rPr>
          <w:rStyle w:val="mord"/>
          <w:rFonts w:eastAsiaTheme="minorEastAsia"/>
          <w:iCs/>
        </w:rPr>
        <w:t>Standartization</w:t>
      </w:r>
      <w:proofErr w:type="spellEnd"/>
      <w:r w:rsidRPr="00487834">
        <w:rPr>
          <w:rStyle w:val="mord"/>
          <w:rFonts w:eastAsiaTheme="minorEastAsia"/>
          <w:iCs/>
        </w:rPr>
        <w:t xml:space="preserve"> </w:t>
      </w:r>
      <w:proofErr w:type="spellStart"/>
      <w:r w:rsidRPr="00487834">
        <w:rPr>
          <w:rStyle w:val="mord"/>
          <w:rFonts w:eastAsiaTheme="minorEastAsia"/>
          <w:iCs/>
        </w:rPr>
        <w:t>equation</w:t>
      </w:r>
      <w:proofErr w:type="spellEnd"/>
      <w:r w:rsidRPr="00487834">
        <w:rPr>
          <w:rStyle w:val="mord"/>
          <w:rFonts w:eastAsiaTheme="minorEastAsia"/>
          <w:iCs/>
        </w:rPr>
        <w:t>:</w:t>
      </w:r>
    </w:p>
    <w:p w14:paraId="7CB01528" w14:textId="77777777" w:rsidR="004D51D4" w:rsidRPr="00487834" w:rsidRDefault="004D51D4" w:rsidP="003128F6">
      <w:pPr>
        <w:autoSpaceDE w:val="0"/>
        <w:autoSpaceDN w:val="0"/>
        <w:adjustRightInd w:val="0"/>
        <w:spacing w:line="300" w:lineRule="auto"/>
        <w:rPr>
          <w:rStyle w:val="mord"/>
          <w:rFonts w:eastAsiaTheme="minorEastAsia"/>
          <w:iCs/>
        </w:rPr>
      </w:pPr>
    </w:p>
    <w:p w14:paraId="0A288FDA" w14:textId="77777777" w:rsidR="004D51D4" w:rsidRPr="00487834" w:rsidRDefault="004D51D4" w:rsidP="003128F6">
      <w:pPr>
        <w:autoSpaceDE w:val="0"/>
        <w:autoSpaceDN w:val="0"/>
        <w:adjustRightInd w:val="0"/>
        <w:spacing w:line="300" w:lineRule="auto"/>
        <w:rPr>
          <w:rFonts w:eastAsiaTheme="minorHAnsi"/>
          <w:lang w:eastAsia="en-US"/>
        </w:rPr>
      </w:pPr>
      <m:oMathPara>
        <m:oMath>
          <m:r>
            <w:rPr>
              <w:rStyle w:val="mord"/>
              <w:rFonts w:ascii="Cambria Math" w:hAnsi="Cambria Math"/>
            </w:rPr>
            <m:t xml:space="preserve">Z </m:t>
          </m:r>
          <m:r>
            <m:rPr>
              <m:sty m:val="p"/>
            </m:rPr>
            <w:rPr>
              <w:rStyle w:val="mrel"/>
              <w:rFonts w:ascii="Cambria Math" w:hAnsi="Cambria Math"/>
            </w:rPr>
            <m:t xml:space="preserve">= </m:t>
          </m:r>
          <m:r>
            <m:rPr>
              <m:sty m:val="p"/>
            </m:rPr>
            <w:rPr>
              <w:rStyle w:val="vlist-s"/>
              <w:rFonts w:ascii="Cambria Math" w:hAnsi="Cambria Math"/>
              <w:color w:val="0D0D0D"/>
              <w:shd w:val="clear" w:color="auto" w:fill="FFFFFF"/>
            </w:rPr>
            <m:t>​</m:t>
          </m:r>
          <m:f>
            <m:fPr>
              <m:ctrlPr>
                <w:rPr>
                  <w:rStyle w:val="vlist-s"/>
                  <w:rFonts w:ascii="Cambria Math" w:hAnsi="Cambria Math"/>
                  <w:color w:val="0D0D0D"/>
                  <w:shd w:val="clear" w:color="auto" w:fill="FFFFFF"/>
                </w:rPr>
              </m:ctrlPr>
            </m:fPr>
            <m:num>
              <m:r>
                <w:rPr>
                  <w:rStyle w:val="mord"/>
                  <w:rFonts w:ascii="Cambria Math" w:hAnsi="Cambria Math"/>
                  <w:color w:val="0D0D0D"/>
                  <w:shd w:val="clear" w:color="auto" w:fill="FFFFFF"/>
                </w:rPr>
                <m:t>X</m:t>
              </m:r>
              <m:r>
                <m:rPr>
                  <m:sty m:val="p"/>
                </m:rPr>
                <w:rPr>
                  <w:rStyle w:val="mbin"/>
                  <w:rFonts w:ascii="Cambria Math" w:hAnsi="Cambria Math"/>
                  <w:color w:val="0D0D0D"/>
                  <w:shd w:val="clear" w:color="auto" w:fill="FFFFFF"/>
                </w:rPr>
                <m:t>-</m:t>
              </m:r>
              <m:r>
                <w:rPr>
                  <w:rStyle w:val="mord"/>
                  <w:rFonts w:ascii="Cambria Math" w:hAnsi="Cambria Math"/>
                  <w:color w:val="0D0D0D"/>
                  <w:shd w:val="clear" w:color="auto" w:fill="FFFFFF"/>
                </w:rPr>
                <m:t>μ</m:t>
              </m:r>
            </m:num>
            <m:den>
              <m:r>
                <w:rPr>
                  <w:rFonts w:ascii="Cambria Math" w:hAnsi="Cambria Math"/>
                  <w:color w:val="0D0D0D"/>
                  <w:shd w:val="clear" w:color="auto" w:fill="FFFFFF"/>
                </w:rPr>
                <m:t>σ</m:t>
              </m:r>
            </m:den>
          </m:f>
        </m:oMath>
      </m:oMathPara>
    </w:p>
    <w:p w14:paraId="51235C76" w14:textId="77777777" w:rsidR="009477CC" w:rsidRPr="00487834" w:rsidRDefault="009477CC" w:rsidP="003128F6">
      <w:pPr>
        <w:autoSpaceDE w:val="0"/>
        <w:autoSpaceDN w:val="0"/>
        <w:adjustRightInd w:val="0"/>
        <w:spacing w:line="300" w:lineRule="auto"/>
        <w:rPr>
          <w:rFonts w:eastAsiaTheme="minorHAnsi"/>
          <w:lang w:eastAsia="en-US"/>
        </w:rPr>
      </w:pPr>
    </w:p>
    <w:p w14:paraId="549EF288" w14:textId="77777777" w:rsidR="003315E8" w:rsidRPr="00487834" w:rsidRDefault="009477CC" w:rsidP="00F36A29">
      <w:pPr>
        <w:autoSpaceDE w:val="0"/>
        <w:autoSpaceDN w:val="0"/>
        <w:adjustRightInd w:val="0"/>
        <w:spacing w:line="300" w:lineRule="auto"/>
        <w:rPr>
          <w:color w:val="0D0D0D"/>
          <w:shd w:val="clear" w:color="auto" w:fill="FFFFFF"/>
          <w:lang w:val="en-US"/>
        </w:rPr>
      </w:pPr>
      <w:r w:rsidRPr="00487834">
        <w:rPr>
          <w:rFonts w:eastAsiaTheme="minorHAnsi"/>
          <w:lang w:val="en-US" w:eastAsia="en-US"/>
        </w:rPr>
        <w:t xml:space="preserve">Where </w:t>
      </w:r>
      <w:r w:rsidRPr="00487834">
        <w:rPr>
          <w:rStyle w:val="mord"/>
          <w:i/>
          <w:iCs/>
          <w:color w:val="0D0D0D"/>
          <w:shd w:val="clear" w:color="auto" w:fill="FFFFFF"/>
          <w:lang w:val="en-US"/>
        </w:rPr>
        <w:t>Z</w:t>
      </w:r>
      <w:r w:rsidRPr="00487834">
        <w:rPr>
          <w:rFonts w:eastAsiaTheme="minorHAnsi"/>
          <w:lang w:val="en-US" w:eastAsia="en-US"/>
        </w:rPr>
        <w:t xml:space="preserve"> is a </w:t>
      </w:r>
      <w:proofErr w:type="spellStart"/>
      <w:r w:rsidRPr="00487834">
        <w:rPr>
          <w:rFonts w:eastAsiaTheme="minorHAnsi"/>
          <w:lang w:val="en-US" w:eastAsia="en-US"/>
        </w:rPr>
        <w:t>standadrized</w:t>
      </w:r>
      <w:proofErr w:type="spellEnd"/>
      <w:r w:rsidRPr="00487834">
        <w:rPr>
          <w:rFonts w:eastAsiaTheme="minorHAnsi"/>
          <w:lang w:val="en-US" w:eastAsia="en-US"/>
        </w:rPr>
        <w:t xml:space="preserve"> value, </w:t>
      </w:r>
      <w:r w:rsidRPr="00487834">
        <w:rPr>
          <w:rStyle w:val="mord"/>
          <w:i/>
          <w:iCs/>
          <w:color w:val="0D0D0D"/>
          <w:shd w:val="clear" w:color="auto" w:fill="FFFFFF"/>
          <w:lang w:val="en-US"/>
        </w:rPr>
        <w:t xml:space="preserve">X </w:t>
      </w:r>
      <w:r w:rsidRPr="00487834">
        <w:rPr>
          <w:rStyle w:val="mord"/>
          <w:color w:val="0D0D0D"/>
          <w:shd w:val="clear" w:color="auto" w:fill="FFFFFF"/>
          <w:lang w:val="en-US"/>
        </w:rPr>
        <w:t>i</w:t>
      </w:r>
      <w:r w:rsidRPr="00487834">
        <w:rPr>
          <w:rFonts w:eastAsiaTheme="minorHAnsi"/>
          <w:lang w:val="en-US" w:eastAsia="en-US"/>
        </w:rPr>
        <w:t xml:space="preserve">s an original value, </w:t>
      </w:r>
      <w:r w:rsidRPr="00487834">
        <w:rPr>
          <w:i/>
          <w:iCs/>
          <w:color w:val="0D0D0D"/>
          <w:shd w:val="clear" w:color="auto" w:fill="FFFFFF"/>
        </w:rPr>
        <w:t>μ</w:t>
      </w:r>
      <w:r w:rsidRPr="00487834">
        <w:rPr>
          <w:i/>
          <w:iCs/>
          <w:color w:val="0D0D0D"/>
          <w:shd w:val="clear" w:color="auto" w:fill="FFFFFF"/>
          <w:lang w:val="en-US"/>
        </w:rPr>
        <w:t xml:space="preserve"> </w:t>
      </w:r>
      <w:r w:rsidRPr="00487834">
        <w:rPr>
          <w:color w:val="0D0D0D"/>
          <w:shd w:val="clear" w:color="auto" w:fill="FFFFFF"/>
          <w:lang w:val="en-US"/>
        </w:rPr>
        <w:t>is the mean o</w:t>
      </w:r>
      <w:r w:rsidR="003315E8" w:rsidRPr="00487834">
        <w:rPr>
          <w:color w:val="0D0D0D"/>
          <w:shd w:val="clear" w:color="auto" w:fill="FFFFFF"/>
          <w:lang w:val="en-US"/>
        </w:rPr>
        <w:t>f</w:t>
      </w:r>
      <w:r w:rsidRPr="00487834">
        <w:rPr>
          <w:color w:val="0D0D0D"/>
          <w:shd w:val="clear" w:color="auto" w:fill="FFFFFF"/>
          <w:lang w:val="en-US"/>
        </w:rPr>
        <w:t xml:space="preserve"> the variable, and</w:t>
      </w:r>
      <m:oMath>
        <m:r>
          <w:rPr>
            <w:rFonts w:ascii="Cambria Math" w:hAnsi="Cambria Math"/>
            <w:color w:val="0D0D0D"/>
            <w:shd w:val="clear" w:color="auto" w:fill="FFFFFF"/>
          </w:rPr>
          <m:t>σ</m:t>
        </m:r>
      </m:oMath>
      <w:r w:rsidRPr="00487834">
        <w:rPr>
          <w:color w:val="0D0D0D"/>
          <w:shd w:val="clear" w:color="auto" w:fill="FFFFFF"/>
          <w:lang w:val="en-US"/>
        </w:rPr>
        <w:t>is the standard deviation of the variable</w:t>
      </w:r>
    </w:p>
    <w:p w14:paraId="70CB392C" w14:textId="77777777" w:rsidR="004D51D4" w:rsidRPr="00487834" w:rsidRDefault="004D51D4" w:rsidP="003128F6">
      <w:pPr>
        <w:autoSpaceDE w:val="0"/>
        <w:autoSpaceDN w:val="0"/>
        <w:adjustRightInd w:val="0"/>
        <w:spacing w:line="300" w:lineRule="auto"/>
        <w:rPr>
          <w:rFonts w:eastAsiaTheme="minorHAnsi"/>
          <w:b/>
          <w:bCs/>
          <w:lang w:val="en-US" w:eastAsia="en-US"/>
        </w:rPr>
      </w:pPr>
    </w:p>
    <w:p w14:paraId="3F5D5129" w14:textId="77777777" w:rsidR="00FD7884" w:rsidRPr="00487834" w:rsidRDefault="00FD7884" w:rsidP="003128F6">
      <w:pPr>
        <w:autoSpaceDE w:val="0"/>
        <w:autoSpaceDN w:val="0"/>
        <w:adjustRightInd w:val="0"/>
        <w:spacing w:line="300" w:lineRule="auto"/>
        <w:rPr>
          <w:color w:val="0D0D0D"/>
          <w:shd w:val="clear" w:color="auto" w:fill="FFFFFF"/>
          <w:lang w:val="en-US"/>
        </w:rPr>
      </w:pPr>
      <w:r w:rsidRPr="00487834">
        <w:rPr>
          <w:rFonts w:eastAsiaTheme="minorHAnsi"/>
          <w:b/>
          <w:bCs/>
          <w:lang w:val="en-GB" w:eastAsia="en-US"/>
        </w:rPr>
        <w:t>Table 1</w:t>
      </w:r>
      <w:r w:rsidR="00BF355C" w:rsidRPr="00487834">
        <w:rPr>
          <w:rFonts w:eastAsiaTheme="minorHAnsi"/>
          <w:b/>
          <w:bCs/>
          <w:lang w:val="en-GB" w:eastAsia="en-US"/>
        </w:rPr>
        <w:t>3</w:t>
      </w:r>
      <w:r w:rsidRPr="00487834">
        <w:rPr>
          <w:rFonts w:eastAsiaTheme="minorHAnsi"/>
          <w:b/>
          <w:bCs/>
          <w:lang w:val="en-GB" w:eastAsia="en-US"/>
        </w:rPr>
        <w:t xml:space="preserve"> – </w:t>
      </w:r>
      <w:r w:rsidRPr="00487834">
        <w:rPr>
          <w:color w:val="0D0D0D"/>
          <w:shd w:val="clear" w:color="auto" w:fill="FFFFFF"/>
          <w:lang w:val="en-US"/>
        </w:rPr>
        <w:t>Variance Inflation Factor (</w:t>
      </w:r>
      <w:r w:rsidR="006164C5" w:rsidRPr="00487834">
        <w:rPr>
          <w:color w:val="0D0D0D"/>
          <w:shd w:val="clear" w:color="auto" w:fill="FFFFFF"/>
          <w:lang w:val="en-US"/>
        </w:rPr>
        <w:t>VIF) test</w:t>
      </w:r>
      <w:r w:rsidRPr="00487834">
        <w:rPr>
          <w:color w:val="0D0D0D"/>
          <w:shd w:val="clear" w:color="auto" w:fill="FFFFFF"/>
          <w:lang w:val="en-US"/>
        </w:rPr>
        <w:t xml:space="preserve"> for the cost of equity model after variables </w:t>
      </w:r>
      <w:proofErr w:type="spellStart"/>
      <w:r w:rsidRPr="00487834">
        <w:rPr>
          <w:color w:val="0D0D0D"/>
          <w:shd w:val="clear" w:color="auto" w:fill="FFFFFF"/>
          <w:lang w:val="en-US"/>
        </w:rPr>
        <w:t>standar</w:t>
      </w:r>
      <w:r w:rsidR="006164C5" w:rsidRPr="00487834">
        <w:rPr>
          <w:color w:val="0D0D0D"/>
          <w:shd w:val="clear" w:color="auto" w:fill="FFFFFF"/>
          <w:lang w:val="en-US"/>
        </w:rPr>
        <w:t>tization</w:t>
      </w:r>
      <w:proofErr w:type="spellEnd"/>
      <w:r w:rsidR="006164C5" w:rsidRPr="00487834">
        <w:rPr>
          <w:color w:val="0D0D0D"/>
          <w:shd w:val="clear" w:color="auto" w:fill="FFFFFF"/>
          <w:lang w:val="en-US"/>
        </w:rPr>
        <w:t xml:space="preserve"> </w:t>
      </w:r>
    </w:p>
    <w:p w14:paraId="79FF5540" w14:textId="77777777" w:rsidR="006164C5" w:rsidRPr="00487834" w:rsidRDefault="006164C5" w:rsidP="00F36A29">
      <w:pPr>
        <w:autoSpaceDE w:val="0"/>
        <w:autoSpaceDN w:val="0"/>
        <w:adjustRightInd w:val="0"/>
        <w:spacing w:line="300" w:lineRule="auto"/>
        <w:ind w:firstLine="0"/>
        <w:rPr>
          <w:color w:val="0D0D0D"/>
          <w:shd w:val="clear" w:color="auto" w:fill="FFFFFF"/>
          <w:lang w:val="en-US"/>
        </w:rPr>
      </w:pPr>
    </w:p>
    <w:tbl>
      <w:tblPr>
        <w:tblW w:w="2520" w:type="dxa"/>
        <w:jc w:val="center"/>
        <w:tblLook w:val="04A0" w:firstRow="1" w:lastRow="0" w:firstColumn="1" w:lastColumn="0" w:noHBand="0" w:noVBand="1"/>
      </w:tblPr>
      <w:tblGrid>
        <w:gridCol w:w="1390"/>
        <w:gridCol w:w="1260"/>
      </w:tblGrid>
      <w:tr w:rsidR="006164C5" w:rsidRPr="00487834" w14:paraId="02DB3972" w14:textId="77777777" w:rsidTr="00BF355C">
        <w:trPr>
          <w:trHeight w:val="560"/>
          <w:jc w:val="center"/>
        </w:trPr>
        <w:tc>
          <w:tcPr>
            <w:tcW w:w="1260" w:type="dxa"/>
            <w:tcBorders>
              <w:top w:val="single" w:sz="4" w:space="0" w:color="auto"/>
              <w:left w:val="nil"/>
              <w:bottom w:val="single" w:sz="4" w:space="0" w:color="auto"/>
              <w:right w:val="nil"/>
            </w:tcBorders>
            <w:shd w:val="clear" w:color="auto" w:fill="auto"/>
            <w:noWrap/>
            <w:vAlign w:val="center"/>
            <w:hideMark/>
          </w:tcPr>
          <w:p w14:paraId="537683C4" w14:textId="77777777" w:rsidR="006164C5" w:rsidRPr="00487834" w:rsidRDefault="006164C5" w:rsidP="00F36A29">
            <w:pPr>
              <w:pStyle w:val="NoSpacing"/>
            </w:pPr>
            <w:proofErr w:type="spellStart"/>
            <w:r w:rsidRPr="00487834">
              <w:t>Variable</w:t>
            </w:r>
            <w:proofErr w:type="spellEnd"/>
          </w:p>
        </w:tc>
        <w:tc>
          <w:tcPr>
            <w:tcW w:w="1260" w:type="dxa"/>
            <w:tcBorders>
              <w:top w:val="single" w:sz="4" w:space="0" w:color="auto"/>
              <w:left w:val="nil"/>
              <w:bottom w:val="single" w:sz="4" w:space="0" w:color="auto"/>
              <w:right w:val="nil"/>
            </w:tcBorders>
            <w:shd w:val="clear" w:color="auto" w:fill="auto"/>
            <w:noWrap/>
            <w:vAlign w:val="center"/>
            <w:hideMark/>
          </w:tcPr>
          <w:p w14:paraId="04A9D84A" w14:textId="77777777" w:rsidR="006164C5" w:rsidRPr="00487834" w:rsidRDefault="006164C5" w:rsidP="00F36A29">
            <w:pPr>
              <w:pStyle w:val="NoSpacing"/>
            </w:pPr>
            <w:r w:rsidRPr="00487834">
              <w:t>VIF</w:t>
            </w:r>
          </w:p>
        </w:tc>
      </w:tr>
      <w:tr w:rsidR="006164C5" w:rsidRPr="00487834" w14:paraId="29A83646" w14:textId="77777777" w:rsidTr="00BF355C">
        <w:trPr>
          <w:trHeight w:val="560"/>
          <w:jc w:val="center"/>
        </w:trPr>
        <w:tc>
          <w:tcPr>
            <w:tcW w:w="1260" w:type="dxa"/>
            <w:tcBorders>
              <w:top w:val="nil"/>
              <w:left w:val="nil"/>
              <w:bottom w:val="nil"/>
              <w:right w:val="nil"/>
            </w:tcBorders>
            <w:shd w:val="clear" w:color="auto" w:fill="auto"/>
            <w:noWrap/>
            <w:vAlign w:val="center"/>
            <w:hideMark/>
          </w:tcPr>
          <w:p w14:paraId="2F37847C" w14:textId="77777777" w:rsidR="006164C5" w:rsidRPr="00487834" w:rsidRDefault="006164C5" w:rsidP="00F36A29">
            <w:pPr>
              <w:pStyle w:val="NoSpacing"/>
              <w:rPr>
                <w:i/>
                <w:iCs/>
                <w:color w:val="000000"/>
              </w:rPr>
            </w:pPr>
            <w:proofErr w:type="spellStart"/>
            <w:r w:rsidRPr="00487834">
              <w:rPr>
                <w:i/>
                <w:iCs/>
                <w:color w:val="000000"/>
              </w:rPr>
              <w:t>zESG</w:t>
            </w:r>
            <w:proofErr w:type="spellEnd"/>
          </w:p>
        </w:tc>
        <w:tc>
          <w:tcPr>
            <w:tcW w:w="1260" w:type="dxa"/>
            <w:tcBorders>
              <w:top w:val="nil"/>
              <w:left w:val="nil"/>
              <w:bottom w:val="nil"/>
              <w:right w:val="nil"/>
            </w:tcBorders>
            <w:shd w:val="clear" w:color="auto" w:fill="auto"/>
            <w:noWrap/>
            <w:vAlign w:val="center"/>
            <w:hideMark/>
          </w:tcPr>
          <w:p w14:paraId="7FE25A1E" w14:textId="77777777" w:rsidR="006164C5" w:rsidRPr="00487834" w:rsidRDefault="006164C5" w:rsidP="00F36A29">
            <w:pPr>
              <w:pStyle w:val="NoSpacing"/>
              <w:rPr>
                <w:color w:val="000000"/>
              </w:rPr>
            </w:pPr>
            <w:r w:rsidRPr="00487834">
              <w:rPr>
                <w:color w:val="000000"/>
              </w:rPr>
              <w:t>1.177</w:t>
            </w:r>
          </w:p>
        </w:tc>
      </w:tr>
      <w:tr w:rsidR="006164C5" w:rsidRPr="00487834" w14:paraId="20D21F1A" w14:textId="77777777" w:rsidTr="00BF355C">
        <w:trPr>
          <w:trHeight w:val="560"/>
          <w:jc w:val="center"/>
        </w:trPr>
        <w:tc>
          <w:tcPr>
            <w:tcW w:w="1260" w:type="dxa"/>
            <w:tcBorders>
              <w:top w:val="nil"/>
              <w:left w:val="nil"/>
              <w:bottom w:val="nil"/>
              <w:right w:val="nil"/>
            </w:tcBorders>
            <w:shd w:val="clear" w:color="auto" w:fill="auto"/>
            <w:noWrap/>
            <w:vAlign w:val="center"/>
            <w:hideMark/>
          </w:tcPr>
          <w:p w14:paraId="3536DB32" w14:textId="77777777" w:rsidR="006164C5" w:rsidRPr="00487834" w:rsidRDefault="006164C5" w:rsidP="00F36A29">
            <w:pPr>
              <w:pStyle w:val="NoSpacing"/>
              <w:rPr>
                <w:i/>
                <w:iCs/>
                <w:color w:val="000000"/>
              </w:rPr>
            </w:pPr>
            <w:proofErr w:type="spellStart"/>
            <w:r w:rsidRPr="00487834">
              <w:rPr>
                <w:i/>
                <w:iCs/>
                <w:color w:val="000000"/>
              </w:rPr>
              <w:t>zMCAP</w:t>
            </w:r>
            <w:proofErr w:type="spellEnd"/>
          </w:p>
        </w:tc>
        <w:tc>
          <w:tcPr>
            <w:tcW w:w="1260" w:type="dxa"/>
            <w:tcBorders>
              <w:top w:val="nil"/>
              <w:left w:val="nil"/>
              <w:bottom w:val="nil"/>
              <w:right w:val="nil"/>
            </w:tcBorders>
            <w:shd w:val="clear" w:color="auto" w:fill="auto"/>
            <w:noWrap/>
            <w:vAlign w:val="center"/>
            <w:hideMark/>
          </w:tcPr>
          <w:p w14:paraId="1483D6BF" w14:textId="77777777" w:rsidR="006164C5" w:rsidRPr="00487834" w:rsidRDefault="006164C5" w:rsidP="00F36A29">
            <w:pPr>
              <w:pStyle w:val="NoSpacing"/>
              <w:rPr>
                <w:color w:val="000000"/>
              </w:rPr>
            </w:pPr>
            <w:r w:rsidRPr="00487834">
              <w:rPr>
                <w:color w:val="000000"/>
              </w:rPr>
              <w:t>1.249</w:t>
            </w:r>
          </w:p>
        </w:tc>
      </w:tr>
      <w:tr w:rsidR="006164C5" w:rsidRPr="00487834" w14:paraId="4C3EBE71" w14:textId="77777777" w:rsidTr="00BF355C">
        <w:trPr>
          <w:trHeight w:val="560"/>
          <w:jc w:val="center"/>
        </w:trPr>
        <w:tc>
          <w:tcPr>
            <w:tcW w:w="1260" w:type="dxa"/>
            <w:tcBorders>
              <w:top w:val="nil"/>
              <w:left w:val="nil"/>
              <w:bottom w:val="nil"/>
              <w:right w:val="nil"/>
            </w:tcBorders>
            <w:shd w:val="clear" w:color="auto" w:fill="auto"/>
            <w:noWrap/>
            <w:vAlign w:val="center"/>
            <w:hideMark/>
          </w:tcPr>
          <w:p w14:paraId="37FFE763" w14:textId="77777777" w:rsidR="006164C5" w:rsidRPr="00487834" w:rsidRDefault="006164C5" w:rsidP="00F36A29">
            <w:pPr>
              <w:pStyle w:val="NoSpacing"/>
              <w:rPr>
                <w:i/>
                <w:iCs/>
                <w:color w:val="000000"/>
              </w:rPr>
            </w:pPr>
            <w:proofErr w:type="spellStart"/>
            <w:r w:rsidRPr="00487834">
              <w:rPr>
                <w:i/>
                <w:iCs/>
                <w:color w:val="000000"/>
              </w:rPr>
              <w:t>zPE</w:t>
            </w:r>
            <w:proofErr w:type="spellEnd"/>
          </w:p>
        </w:tc>
        <w:tc>
          <w:tcPr>
            <w:tcW w:w="1260" w:type="dxa"/>
            <w:tcBorders>
              <w:top w:val="nil"/>
              <w:left w:val="nil"/>
              <w:bottom w:val="nil"/>
              <w:right w:val="nil"/>
            </w:tcBorders>
            <w:shd w:val="clear" w:color="auto" w:fill="auto"/>
            <w:noWrap/>
            <w:vAlign w:val="center"/>
            <w:hideMark/>
          </w:tcPr>
          <w:p w14:paraId="6F5C8A9E" w14:textId="77777777" w:rsidR="006164C5" w:rsidRPr="00487834" w:rsidRDefault="006164C5" w:rsidP="00F36A29">
            <w:pPr>
              <w:pStyle w:val="NoSpacing"/>
              <w:rPr>
                <w:color w:val="000000"/>
              </w:rPr>
            </w:pPr>
            <w:r w:rsidRPr="00487834">
              <w:rPr>
                <w:color w:val="000000"/>
              </w:rPr>
              <w:t>1.076</w:t>
            </w:r>
          </w:p>
        </w:tc>
      </w:tr>
      <w:tr w:rsidR="006164C5" w:rsidRPr="00487834" w14:paraId="4641DB2D" w14:textId="77777777" w:rsidTr="00BF355C">
        <w:trPr>
          <w:trHeight w:val="560"/>
          <w:jc w:val="center"/>
        </w:trPr>
        <w:tc>
          <w:tcPr>
            <w:tcW w:w="1260" w:type="dxa"/>
            <w:tcBorders>
              <w:top w:val="nil"/>
              <w:left w:val="nil"/>
              <w:bottom w:val="nil"/>
              <w:right w:val="nil"/>
            </w:tcBorders>
            <w:shd w:val="clear" w:color="auto" w:fill="auto"/>
            <w:noWrap/>
            <w:vAlign w:val="center"/>
            <w:hideMark/>
          </w:tcPr>
          <w:p w14:paraId="1E1CD63C" w14:textId="77777777" w:rsidR="006164C5" w:rsidRPr="00487834" w:rsidRDefault="006164C5" w:rsidP="00F36A29">
            <w:pPr>
              <w:pStyle w:val="NoSpacing"/>
              <w:rPr>
                <w:i/>
                <w:iCs/>
                <w:color w:val="000000"/>
              </w:rPr>
            </w:pPr>
            <w:proofErr w:type="spellStart"/>
            <w:r w:rsidRPr="00487834">
              <w:rPr>
                <w:i/>
                <w:iCs/>
                <w:color w:val="000000"/>
              </w:rPr>
              <w:t>zMTB</w:t>
            </w:r>
            <w:proofErr w:type="spellEnd"/>
          </w:p>
        </w:tc>
        <w:tc>
          <w:tcPr>
            <w:tcW w:w="1260" w:type="dxa"/>
            <w:tcBorders>
              <w:top w:val="nil"/>
              <w:left w:val="nil"/>
              <w:bottom w:val="nil"/>
              <w:right w:val="nil"/>
            </w:tcBorders>
            <w:shd w:val="clear" w:color="auto" w:fill="auto"/>
            <w:noWrap/>
            <w:vAlign w:val="center"/>
            <w:hideMark/>
          </w:tcPr>
          <w:p w14:paraId="535385D3" w14:textId="77777777" w:rsidR="006164C5" w:rsidRPr="00487834" w:rsidRDefault="006164C5" w:rsidP="00F36A29">
            <w:pPr>
              <w:pStyle w:val="NoSpacing"/>
              <w:rPr>
                <w:color w:val="000000"/>
              </w:rPr>
            </w:pPr>
            <w:r w:rsidRPr="00487834">
              <w:rPr>
                <w:color w:val="000000"/>
              </w:rPr>
              <w:t>1.155</w:t>
            </w:r>
          </w:p>
        </w:tc>
      </w:tr>
      <w:tr w:rsidR="006164C5" w:rsidRPr="00487834" w14:paraId="20148AEB" w14:textId="77777777" w:rsidTr="00BF355C">
        <w:trPr>
          <w:trHeight w:val="560"/>
          <w:jc w:val="center"/>
        </w:trPr>
        <w:tc>
          <w:tcPr>
            <w:tcW w:w="1260" w:type="dxa"/>
            <w:tcBorders>
              <w:top w:val="nil"/>
              <w:left w:val="nil"/>
              <w:bottom w:val="nil"/>
              <w:right w:val="nil"/>
            </w:tcBorders>
            <w:shd w:val="clear" w:color="auto" w:fill="auto"/>
            <w:noWrap/>
            <w:vAlign w:val="center"/>
            <w:hideMark/>
          </w:tcPr>
          <w:p w14:paraId="678219EC" w14:textId="77777777" w:rsidR="006164C5" w:rsidRPr="00487834" w:rsidRDefault="006164C5" w:rsidP="00F36A29">
            <w:pPr>
              <w:pStyle w:val="NoSpacing"/>
              <w:rPr>
                <w:i/>
                <w:iCs/>
                <w:color w:val="000000"/>
              </w:rPr>
            </w:pPr>
            <w:proofErr w:type="spellStart"/>
            <w:r w:rsidRPr="00487834">
              <w:rPr>
                <w:i/>
                <w:iCs/>
                <w:color w:val="000000"/>
              </w:rPr>
              <w:t>zBETA</w:t>
            </w:r>
            <w:proofErr w:type="spellEnd"/>
          </w:p>
        </w:tc>
        <w:tc>
          <w:tcPr>
            <w:tcW w:w="1260" w:type="dxa"/>
            <w:tcBorders>
              <w:top w:val="nil"/>
              <w:left w:val="nil"/>
              <w:bottom w:val="nil"/>
              <w:right w:val="nil"/>
            </w:tcBorders>
            <w:shd w:val="clear" w:color="auto" w:fill="auto"/>
            <w:noWrap/>
            <w:vAlign w:val="center"/>
            <w:hideMark/>
          </w:tcPr>
          <w:p w14:paraId="05296501" w14:textId="77777777" w:rsidR="006164C5" w:rsidRPr="00487834" w:rsidRDefault="006164C5" w:rsidP="00F36A29">
            <w:pPr>
              <w:pStyle w:val="NoSpacing"/>
              <w:rPr>
                <w:color w:val="000000"/>
              </w:rPr>
            </w:pPr>
            <w:r w:rsidRPr="00487834">
              <w:rPr>
                <w:color w:val="000000"/>
              </w:rPr>
              <w:t>1.091</w:t>
            </w:r>
          </w:p>
        </w:tc>
      </w:tr>
      <w:tr w:rsidR="006164C5" w:rsidRPr="00487834" w14:paraId="098D3A01" w14:textId="77777777" w:rsidTr="00BF355C">
        <w:trPr>
          <w:trHeight w:val="560"/>
          <w:jc w:val="center"/>
        </w:trPr>
        <w:tc>
          <w:tcPr>
            <w:tcW w:w="1260" w:type="dxa"/>
            <w:tcBorders>
              <w:top w:val="nil"/>
              <w:left w:val="nil"/>
              <w:bottom w:val="nil"/>
              <w:right w:val="nil"/>
            </w:tcBorders>
            <w:shd w:val="clear" w:color="auto" w:fill="auto"/>
            <w:noWrap/>
            <w:vAlign w:val="center"/>
            <w:hideMark/>
          </w:tcPr>
          <w:p w14:paraId="4F220BA6" w14:textId="77777777" w:rsidR="006164C5" w:rsidRPr="00487834" w:rsidRDefault="006164C5" w:rsidP="00F36A29">
            <w:pPr>
              <w:pStyle w:val="NoSpacing"/>
              <w:rPr>
                <w:i/>
                <w:iCs/>
                <w:color w:val="000000"/>
              </w:rPr>
            </w:pPr>
            <w:proofErr w:type="spellStart"/>
            <w:r w:rsidRPr="00487834">
              <w:rPr>
                <w:i/>
                <w:iCs/>
                <w:color w:val="000000"/>
              </w:rPr>
              <w:t>zROE</w:t>
            </w:r>
            <w:proofErr w:type="spellEnd"/>
          </w:p>
        </w:tc>
        <w:tc>
          <w:tcPr>
            <w:tcW w:w="1260" w:type="dxa"/>
            <w:tcBorders>
              <w:top w:val="nil"/>
              <w:left w:val="nil"/>
              <w:bottom w:val="nil"/>
              <w:right w:val="nil"/>
            </w:tcBorders>
            <w:shd w:val="clear" w:color="auto" w:fill="auto"/>
            <w:noWrap/>
            <w:vAlign w:val="center"/>
            <w:hideMark/>
          </w:tcPr>
          <w:p w14:paraId="6825B492" w14:textId="77777777" w:rsidR="006164C5" w:rsidRPr="00487834" w:rsidRDefault="006164C5" w:rsidP="00F36A29">
            <w:pPr>
              <w:pStyle w:val="NoSpacing"/>
              <w:rPr>
                <w:color w:val="000000"/>
              </w:rPr>
            </w:pPr>
            <w:r w:rsidRPr="00487834">
              <w:rPr>
                <w:color w:val="000000"/>
              </w:rPr>
              <w:t>1.022</w:t>
            </w:r>
          </w:p>
        </w:tc>
      </w:tr>
      <w:tr w:rsidR="006164C5" w:rsidRPr="00487834" w14:paraId="6F6B0765" w14:textId="77777777" w:rsidTr="00BF355C">
        <w:trPr>
          <w:trHeight w:val="560"/>
          <w:jc w:val="center"/>
        </w:trPr>
        <w:tc>
          <w:tcPr>
            <w:tcW w:w="1260" w:type="dxa"/>
            <w:tcBorders>
              <w:top w:val="nil"/>
              <w:left w:val="nil"/>
              <w:bottom w:val="single" w:sz="4" w:space="0" w:color="auto"/>
              <w:right w:val="nil"/>
            </w:tcBorders>
            <w:shd w:val="clear" w:color="auto" w:fill="auto"/>
            <w:noWrap/>
            <w:vAlign w:val="center"/>
            <w:hideMark/>
          </w:tcPr>
          <w:p w14:paraId="09F70099" w14:textId="77777777" w:rsidR="006164C5" w:rsidRPr="00487834" w:rsidRDefault="006164C5" w:rsidP="00F36A29">
            <w:pPr>
              <w:pStyle w:val="NoSpacing"/>
              <w:rPr>
                <w:i/>
                <w:iCs/>
                <w:color w:val="000000"/>
              </w:rPr>
            </w:pPr>
            <w:proofErr w:type="spellStart"/>
            <w:r w:rsidRPr="00487834">
              <w:rPr>
                <w:i/>
                <w:iCs/>
                <w:color w:val="000000"/>
              </w:rPr>
              <w:t>zEV</w:t>
            </w:r>
            <w:proofErr w:type="spellEnd"/>
            <w:r w:rsidRPr="00487834">
              <w:rPr>
                <w:i/>
                <w:iCs/>
                <w:color w:val="000000"/>
              </w:rPr>
              <w:t>/EBITDA</w:t>
            </w:r>
          </w:p>
        </w:tc>
        <w:tc>
          <w:tcPr>
            <w:tcW w:w="1260" w:type="dxa"/>
            <w:tcBorders>
              <w:top w:val="nil"/>
              <w:left w:val="nil"/>
              <w:bottom w:val="single" w:sz="4" w:space="0" w:color="auto"/>
              <w:right w:val="nil"/>
            </w:tcBorders>
            <w:shd w:val="clear" w:color="auto" w:fill="auto"/>
            <w:noWrap/>
            <w:vAlign w:val="center"/>
            <w:hideMark/>
          </w:tcPr>
          <w:p w14:paraId="63DEA4F4" w14:textId="77777777" w:rsidR="006164C5" w:rsidRPr="00487834" w:rsidRDefault="006164C5" w:rsidP="00F36A29">
            <w:pPr>
              <w:pStyle w:val="NoSpacing"/>
              <w:rPr>
                <w:color w:val="000000"/>
              </w:rPr>
            </w:pPr>
            <w:r w:rsidRPr="00487834">
              <w:rPr>
                <w:color w:val="000000"/>
              </w:rPr>
              <w:t>1.070</w:t>
            </w:r>
          </w:p>
        </w:tc>
      </w:tr>
    </w:tbl>
    <w:p w14:paraId="780796F6" w14:textId="77777777" w:rsidR="006164C5" w:rsidRPr="00487834" w:rsidRDefault="006164C5" w:rsidP="00F36A29">
      <w:pPr>
        <w:autoSpaceDE w:val="0"/>
        <w:autoSpaceDN w:val="0"/>
        <w:adjustRightInd w:val="0"/>
        <w:spacing w:line="300" w:lineRule="auto"/>
        <w:ind w:firstLine="0"/>
        <w:rPr>
          <w:color w:val="0D0D0D"/>
          <w:shd w:val="clear" w:color="auto" w:fill="FFFFFF"/>
        </w:rPr>
      </w:pPr>
    </w:p>
    <w:p w14:paraId="72F2F1EB" w14:textId="77777777" w:rsidR="00AD365D" w:rsidRDefault="00AD365D" w:rsidP="003128F6">
      <w:pPr>
        <w:autoSpaceDE w:val="0"/>
        <w:autoSpaceDN w:val="0"/>
        <w:adjustRightInd w:val="0"/>
        <w:spacing w:line="300" w:lineRule="auto"/>
        <w:rPr>
          <w:rFonts w:eastAsiaTheme="minorHAnsi"/>
          <w:b/>
          <w:bCs/>
          <w:lang w:val="en-GB" w:eastAsia="en-US"/>
        </w:rPr>
      </w:pPr>
    </w:p>
    <w:p w14:paraId="0E213CBA" w14:textId="77777777" w:rsidR="00AD365D" w:rsidRDefault="00AD365D" w:rsidP="003128F6">
      <w:pPr>
        <w:autoSpaceDE w:val="0"/>
        <w:autoSpaceDN w:val="0"/>
        <w:adjustRightInd w:val="0"/>
        <w:spacing w:line="300" w:lineRule="auto"/>
        <w:rPr>
          <w:rFonts w:eastAsiaTheme="minorHAnsi"/>
          <w:b/>
          <w:bCs/>
          <w:lang w:val="en-GB" w:eastAsia="en-US"/>
        </w:rPr>
      </w:pPr>
    </w:p>
    <w:p w14:paraId="56376383" w14:textId="6D37BB81" w:rsidR="006164C5" w:rsidRPr="00487834" w:rsidRDefault="006164C5" w:rsidP="003128F6">
      <w:pPr>
        <w:autoSpaceDE w:val="0"/>
        <w:autoSpaceDN w:val="0"/>
        <w:adjustRightInd w:val="0"/>
        <w:spacing w:line="300" w:lineRule="auto"/>
        <w:rPr>
          <w:color w:val="0D0D0D"/>
          <w:shd w:val="clear" w:color="auto" w:fill="FFFFFF"/>
          <w:lang w:val="en-US"/>
        </w:rPr>
      </w:pPr>
      <w:r w:rsidRPr="00487834">
        <w:rPr>
          <w:rFonts w:eastAsiaTheme="minorHAnsi"/>
          <w:b/>
          <w:bCs/>
          <w:lang w:val="en-GB" w:eastAsia="en-US"/>
        </w:rPr>
        <w:t>Table 1</w:t>
      </w:r>
      <w:r w:rsidR="00BF355C" w:rsidRPr="00487834">
        <w:rPr>
          <w:rFonts w:eastAsiaTheme="minorHAnsi"/>
          <w:b/>
          <w:bCs/>
          <w:lang w:val="en-GB" w:eastAsia="en-US"/>
        </w:rPr>
        <w:t>4</w:t>
      </w:r>
      <w:r w:rsidRPr="00487834">
        <w:rPr>
          <w:rFonts w:eastAsiaTheme="minorHAnsi"/>
          <w:b/>
          <w:bCs/>
          <w:lang w:val="en-GB" w:eastAsia="en-US"/>
        </w:rPr>
        <w:t xml:space="preserve"> – </w:t>
      </w:r>
      <w:r w:rsidRPr="00487834">
        <w:rPr>
          <w:color w:val="0D0D0D"/>
          <w:shd w:val="clear" w:color="auto" w:fill="FFFFFF"/>
          <w:lang w:val="en-US"/>
        </w:rPr>
        <w:t xml:space="preserve">Variance Inflation Factor (VIF) test for the cost of debt model after variables </w:t>
      </w:r>
      <w:proofErr w:type="spellStart"/>
      <w:r w:rsidRPr="00487834">
        <w:rPr>
          <w:color w:val="0D0D0D"/>
          <w:shd w:val="clear" w:color="auto" w:fill="FFFFFF"/>
          <w:lang w:val="en-US"/>
        </w:rPr>
        <w:t>standartization</w:t>
      </w:r>
      <w:proofErr w:type="spellEnd"/>
      <w:r w:rsidRPr="00487834">
        <w:rPr>
          <w:color w:val="0D0D0D"/>
          <w:shd w:val="clear" w:color="auto" w:fill="FFFFFF"/>
          <w:lang w:val="en-US"/>
        </w:rPr>
        <w:t xml:space="preserve"> </w:t>
      </w:r>
    </w:p>
    <w:p w14:paraId="25F17414" w14:textId="77777777" w:rsidR="006164C5" w:rsidRPr="00487834" w:rsidRDefault="006164C5" w:rsidP="003128F6">
      <w:pPr>
        <w:autoSpaceDE w:val="0"/>
        <w:autoSpaceDN w:val="0"/>
        <w:adjustRightInd w:val="0"/>
        <w:spacing w:line="300" w:lineRule="auto"/>
        <w:rPr>
          <w:color w:val="0D0D0D"/>
          <w:shd w:val="clear" w:color="auto" w:fill="FFFFFF"/>
          <w:lang w:val="en-US"/>
        </w:rPr>
      </w:pPr>
    </w:p>
    <w:tbl>
      <w:tblPr>
        <w:tblW w:w="2540" w:type="dxa"/>
        <w:jc w:val="center"/>
        <w:tblLook w:val="04A0" w:firstRow="1" w:lastRow="0" w:firstColumn="1" w:lastColumn="0" w:noHBand="0" w:noVBand="1"/>
      </w:tblPr>
      <w:tblGrid>
        <w:gridCol w:w="1426"/>
        <w:gridCol w:w="1260"/>
      </w:tblGrid>
      <w:tr w:rsidR="006164C5" w:rsidRPr="00487834" w14:paraId="76834C35" w14:textId="77777777" w:rsidTr="00BF355C">
        <w:trPr>
          <w:trHeight w:val="560"/>
          <w:jc w:val="center"/>
        </w:trPr>
        <w:tc>
          <w:tcPr>
            <w:tcW w:w="1280" w:type="dxa"/>
            <w:tcBorders>
              <w:top w:val="single" w:sz="4" w:space="0" w:color="auto"/>
              <w:left w:val="nil"/>
              <w:bottom w:val="single" w:sz="4" w:space="0" w:color="auto"/>
              <w:right w:val="nil"/>
            </w:tcBorders>
            <w:shd w:val="clear" w:color="auto" w:fill="auto"/>
            <w:noWrap/>
            <w:vAlign w:val="center"/>
            <w:hideMark/>
          </w:tcPr>
          <w:p w14:paraId="3AFEF4CA" w14:textId="77777777" w:rsidR="006164C5" w:rsidRPr="00487834" w:rsidRDefault="006164C5" w:rsidP="00F36A29">
            <w:pPr>
              <w:pStyle w:val="NoSpacing"/>
            </w:pPr>
            <w:proofErr w:type="spellStart"/>
            <w:r w:rsidRPr="00487834">
              <w:t>Variable</w:t>
            </w:r>
            <w:proofErr w:type="spellEnd"/>
          </w:p>
        </w:tc>
        <w:tc>
          <w:tcPr>
            <w:tcW w:w="1260" w:type="dxa"/>
            <w:tcBorders>
              <w:top w:val="single" w:sz="4" w:space="0" w:color="auto"/>
              <w:left w:val="nil"/>
              <w:bottom w:val="single" w:sz="4" w:space="0" w:color="auto"/>
              <w:right w:val="nil"/>
            </w:tcBorders>
            <w:shd w:val="clear" w:color="auto" w:fill="auto"/>
            <w:noWrap/>
            <w:vAlign w:val="center"/>
            <w:hideMark/>
          </w:tcPr>
          <w:p w14:paraId="6201B4D5" w14:textId="77777777" w:rsidR="006164C5" w:rsidRPr="00487834" w:rsidRDefault="006164C5" w:rsidP="00F36A29">
            <w:pPr>
              <w:pStyle w:val="NoSpacing"/>
            </w:pPr>
            <w:r w:rsidRPr="00487834">
              <w:t>VIF</w:t>
            </w:r>
          </w:p>
        </w:tc>
      </w:tr>
      <w:tr w:rsidR="006164C5" w:rsidRPr="00487834" w14:paraId="3C51F842" w14:textId="77777777" w:rsidTr="00BF355C">
        <w:trPr>
          <w:trHeight w:val="560"/>
          <w:jc w:val="center"/>
        </w:trPr>
        <w:tc>
          <w:tcPr>
            <w:tcW w:w="1280" w:type="dxa"/>
            <w:tcBorders>
              <w:top w:val="nil"/>
              <w:left w:val="nil"/>
              <w:bottom w:val="nil"/>
              <w:right w:val="nil"/>
            </w:tcBorders>
            <w:shd w:val="clear" w:color="auto" w:fill="auto"/>
            <w:noWrap/>
            <w:vAlign w:val="center"/>
            <w:hideMark/>
          </w:tcPr>
          <w:p w14:paraId="260F7E9F" w14:textId="77777777" w:rsidR="006164C5" w:rsidRPr="00487834" w:rsidRDefault="006164C5" w:rsidP="00F36A29">
            <w:pPr>
              <w:pStyle w:val="NoSpacing"/>
              <w:rPr>
                <w:i/>
                <w:iCs/>
                <w:color w:val="000000"/>
              </w:rPr>
            </w:pPr>
            <w:proofErr w:type="spellStart"/>
            <w:r w:rsidRPr="00487834">
              <w:rPr>
                <w:i/>
                <w:iCs/>
                <w:color w:val="000000"/>
              </w:rPr>
              <w:t>zESG</w:t>
            </w:r>
            <w:proofErr w:type="spellEnd"/>
          </w:p>
        </w:tc>
        <w:tc>
          <w:tcPr>
            <w:tcW w:w="1260" w:type="dxa"/>
            <w:tcBorders>
              <w:top w:val="nil"/>
              <w:left w:val="nil"/>
              <w:bottom w:val="nil"/>
              <w:right w:val="nil"/>
            </w:tcBorders>
            <w:shd w:val="clear" w:color="auto" w:fill="auto"/>
            <w:noWrap/>
            <w:vAlign w:val="center"/>
            <w:hideMark/>
          </w:tcPr>
          <w:p w14:paraId="3B796CDC" w14:textId="77777777" w:rsidR="006164C5" w:rsidRPr="00487834" w:rsidRDefault="006164C5" w:rsidP="00F36A29">
            <w:pPr>
              <w:pStyle w:val="NoSpacing"/>
              <w:rPr>
                <w:color w:val="000000"/>
              </w:rPr>
            </w:pPr>
            <w:r w:rsidRPr="00487834">
              <w:rPr>
                <w:color w:val="000000"/>
              </w:rPr>
              <w:t>1.132</w:t>
            </w:r>
          </w:p>
        </w:tc>
      </w:tr>
      <w:tr w:rsidR="006164C5" w:rsidRPr="00487834" w14:paraId="67B2EE36" w14:textId="77777777" w:rsidTr="00BF355C">
        <w:trPr>
          <w:trHeight w:val="560"/>
          <w:jc w:val="center"/>
        </w:trPr>
        <w:tc>
          <w:tcPr>
            <w:tcW w:w="1280" w:type="dxa"/>
            <w:tcBorders>
              <w:top w:val="nil"/>
              <w:left w:val="nil"/>
              <w:bottom w:val="nil"/>
              <w:right w:val="nil"/>
            </w:tcBorders>
            <w:shd w:val="clear" w:color="auto" w:fill="auto"/>
            <w:noWrap/>
            <w:vAlign w:val="center"/>
            <w:hideMark/>
          </w:tcPr>
          <w:p w14:paraId="2FADC8A1" w14:textId="77777777" w:rsidR="006164C5" w:rsidRPr="00487834" w:rsidRDefault="006164C5" w:rsidP="00F36A29">
            <w:pPr>
              <w:pStyle w:val="NoSpacing"/>
              <w:rPr>
                <w:i/>
                <w:iCs/>
                <w:color w:val="000000"/>
              </w:rPr>
            </w:pPr>
            <w:proofErr w:type="spellStart"/>
            <w:r w:rsidRPr="00487834">
              <w:rPr>
                <w:i/>
                <w:iCs/>
                <w:color w:val="000000"/>
              </w:rPr>
              <w:t>zMCAP</w:t>
            </w:r>
            <w:proofErr w:type="spellEnd"/>
          </w:p>
        </w:tc>
        <w:tc>
          <w:tcPr>
            <w:tcW w:w="1260" w:type="dxa"/>
            <w:tcBorders>
              <w:top w:val="nil"/>
              <w:left w:val="nil"/>
              <w:bottom w:val="nil"/>
              <w:right w:val="nil"/>
            </w:tcBorders>
            <w:shd w:val="clear" w:color="auto" w:fill="auto"/>
            <w:noWrap/>
            <w:vAlign w:val="center"/>
            <w:hideMark/>
          </w:tcPr>
          <w:p w14:paraId="38F69B5C" w14:textId="77777777" w:rsidR="006164C5" w:rsidRPr="00487834" w:rsidRDefault="006164C5" w:rsidP="00F36A29">
            <w:pPr>
              <w:pStyle w:val="NoSpacing"/>
              <w:rPr>
                <w:color w:val="000000"/>
              </w:rPr>
            </w:pPr>
            <w:r w:rsidRPr="00487834">
              <w:rPr>
                <w:color w:val="000000"/>
              </w:rPr>
              <w:t>1.165</w:t>
            </w:r>
          </w:p>
        </w:tc>
      </w:tr>
      <w:tr w:rsidR="006164C5" w:rsidRPr="00487834" w14:paraId="491063F6" w14:textId="77777777" w:rsidTr="00BF355C">
        <w:trPr>
          <w:trHeight w:val="560"/>
          <w:jc w:val="center"/>
        </w:trPr>
        <w:tc>
          <w:tcPr>
            <w:tcW w:w="1280" w:type="dxa"/>
            <w:tcBorders>
              <w:top w:val="nil"/>
              <w:left w:val="nil"/>
              <w:bottom w:val="nil"/>
              <w:right w:val="nil"/>
            </w:tcBorders>
            <w:shd w:val="clear" w:color="auto" w:fill="auto"/>
            <w:noWrap/>
            <w:vAlign w:val="center"/>
            <w:hideMark/>
          </w:tcPr>
          <w:p w14:paraId="56698CFF" w14:textId="77777777" w:rsidR="006164C5" w:rsidRPr="00487834" w:rsidRDefault="006164C5" w:rsidP="00F36A29">
            <w:pPr>
              <w:pStyle w:val="NoSpacing"/>
              <w:rPr>
                <w:i/>
                <w:iCs/>
                <w:color w:val="000000"/>
              </w:rPr>
            </w:pPr>
            <w:proofErr w:type="spellStart"/>
            <w:r w:rsidRPr="00487834">
              <w:rPr>
                <w:i/>
                <w:iCs/>
                <w:color w:val="000000"/>
              </w:rPr>
              <w:t>zICR</w:t>
            </w:r>
            <w:proofErr w:type="spellEnd"/>
          </w:p>
        </w:tc>
        <w:tc>
          <w:tcPr>
            <w:tcW w:w="1260" w:type="dxa"/>
            <w:tcBorders>
              <w:top w:val="nil"/>
              <w:left w:val="nil"/>
              <w:bottom w:val="nil"/>
              <w:right w:val="nil"/>
            </w:tcBorders>
            <w:shd w:val="clear" w:color="auto" w:fill="auto"/>
            <w:noWrap/>
            <w:vAlign w:val="center"/>
            <w:hideMark/>
          </w:tcPr>
          <w:p w14:paraId="2A52E463" w14:textId="77777777" w:rsidR="006164C5" w:rsidRPr="00487834" w:rsidRDefault="006164C5" w:rsidP="00F36A29">
            <w:pPr>
              <w:pStyle w:val="NoSpacing"/>
              <w:rPr>
                <w:color w:val="000000"/>
              </w:rPr>
            </w:pPr>
            <w:r w:rsidRPr="00487834">
              <w:rPr>
                <w:color w:val="000000"/>
              </w:rPr>
              <w:t>1.042</w:t>
            </w:r>
          </w:p>
        </w:tc>
      </w:tr>
      <w:tr w:rsidR="006164C5" w:rsidRPr="00487834" w14:paraId="7B919872" w14:textId="77777777" w:rsidTr="00BF355C">
        <w:trPr>
          <w:trHeight w:val="560"/>
          <w:jc w:val="center"/>
        </w:trPr>
        <w:tc>
          <w:tcPr>
            <w:tcW w:w="1280" w:type="dxa"/>
            <w:tcBorders>
              <w:top w:val="nil"/>
              <w:left w:val="nil"/>
              <w:bottom w:val="nil"/>
              <w:right w:val="nil"/>
            </w:tcBorders>
            <w:shd w:val="clear" w:color="auto" w:fill="auto"/>
            <w:noWrap/>
            <w:vAlign w:val="center"/>
            <w:hideMark/>
          </w:tcPr>
          <w:p w14:paraId="14D79E79" w14:textId="77777777" w:rsidR="006164C5" w:rsidRPr="00487834" w:rsidRDefault="006164C5" w:rsidP="00F36A29">
            <w:pPr>
              <w:pStyle w:val="NoSpacing"/>
              <w:rPr>
                <w:i/>
                <w:iCs/>
                <w:color w:val="000000"/>
              </w:rPr>
            </w:pPr>
            <w:proofErr w:type="spellStart"/>
            <w:r w:rsidRPr="00487834">
              <w:rPr>
                <w:i/>
                <w:iCs/>
                <w:color w:val="000000"/>
              </w:rPr>
              <w:t>zROA</w:t>
            </w:r>
            <w:proofErr w:type="spellEnd"/>
          </w:p>
        </w:tc>
        <w:tc>
          <w:tcPr>
            <w:tcW w:w="1260" w:type="dxa"/>
            <w:tcBorders>
              <w:top w:val="nil"/>
              <w:left w:val="nil"/>
              <w:bottom w:val="nil"/>
              <w:right w:val="nil"/>
            </w:tcBorders>
            <w:shd w:val="clear" w:color="auto" w:fill="auto"/>
            <w:noWrap/>
            <w:vAlign w:val="center"/>
            <w:hideMark/>
          </w:tcPr>
          <w:p w14:paraId="2EE75416" w14:textId="77777777" w:rsidR="006164C5" w:rsidRPr="00487834" w:rsidRDefault="006164C5" w:rsidP="00F36A29">
            <w:pPr>
              <w:pStyle w:val="NoSpacing"/>
              <w:rPr>
                <w:color w:val="000000"/>
              </w:rPr>
            </w:pPr>
            <w:r w:rsidRPr="00487834">
              <w:rPr>
                <w:color w:val="000000"/>
              </w:rPr>
              <w:t>1.062</w:t>
            </w:r>
          </w:p>
        </w:tc>
      </w:tr>
      <w:tr w:rsidR="006164C5" w:rsidRPr="00487834" w14:paraId="061A45B9" w14:textId="77777777" w:rsidTr="00BF355C">
        <w:trPr>
          <w:trHeight w:val="560"/>
          <w:jc w:val="center"/>
        </w:trPr>
        <w:tc>
          <w:tcPr>
            <w:tcW w:w="1280" w:type="dxa"/>
            <w:tcBorders>
              <w:top w:val="nil"/>
              <w:left w:val="nil"/>
              <w:bottom w:val="nil"/>
              <w:right w:val="nil"/>
            </w:tcBorders>
            <w:shd w:val="clear" w:color="auto" w:fill="auto"/>
            <w:noWrap/>
            <w:vAlign w:val="center"/>
            <w:hideMark/>
          </w:tcPr>
          <w:p w14:paraId="1B92400F" w14:textId="77777777" w:rsidR="006164C5" w:rsidRPr="00487834" w:rsidRDefault="006164C5" w:rsidP="00F36A29">
            <w:pPr>
              <w:pStyle w:val="NoSpacing"/>
              <w:rPr>
                <w:i/>
                <w:iCs/>
                <w:color w:val="000000"/>
              </w:rPr>
            </w:pPr>
            <w:proofErr w:type="spellStart"/>
            <w:r w:rsidRPr="00487834">
              <w:rPr>
                <w:i/>
                <w:iCs/>
                <w:color w:val="000000"/>
              </w:rPr>
              <w:t>zCurrent</w:t>
            </w:r>
            <w:proofErr w:type="spellEnd"/>
          </w:p>
        </w:tc>
        <w:tc>
          <w:tcPr>
            <w:tcW w:w="1260" w:type="dxa"/>
            <w:tcBorders>
              <w:top w:val="nil"/>
              <w:left w:val="nil"/>
              <w:bottom w:val="nil"/>
              <w:right w:val="nil"/>
            </w:tcBorders>
            <w:shd w:val="clear" w:color="auto" w:fill="auto"/>
            <w:noWrap/>
            <w:vAlign w:val="center"/>
            <w:hideMark/>
          </w:tcPr>
          <w:p w14:paraId="54B02F7A" w14:textId="77777777" w:rsidR="006164C5" w:rsidRPr="00487834" w:rsidRDefault="006164C5" w:rsidP="00F36A29">
            <w:pPr>
              <w:pStyle w:val="NoSpacing"/>
              <w:rPr>
                <w:color w:val="000000"/>
              </w:rPr>
            </w:pPr>
            <w:r w:rsidRPr="00487834">
              <w:rPr>
                <w:color w:val="000000"/>
              </w:rPr>
              <w:t>1.078</w:t>
            </w:r>
          </w:p>
        </w:tc>
      </w:tr>
      <w:tr w:rsidR="006164C5" w:rsidRPr="00487834" w14:paraId="03E48A37" w14:textId="77777777" w:rsidTr="00BF355C">
        <w:trPr>
          <w:trHeight w:val="560"/>
          <w:jc w:val="center"/>
        </w:trPr>
        <w:tc>
          <w:tcPr>
            <w:tcW w:w="1280" w:type="dxa"/>
            <w:tcBorders>
              <w:top w:val="nil"/>
              <w:left w:val="nil"/>
              <w:bottom w:val="nil"/>
              <w:right w:val="nil"/>
            </w:tcBorders>
            <w:shd w:val="clear" w:color="auto" w:fill="auto"/>
            <w:noWrap/>
            <w:vAlign w:val="center"/>
            <w:hideMark/>
          </w:tcPr>
          <w:p w14:paraId="38F17AFC" w14:textId="77777777" w:rsidR="006164C5" w:rsidRPr="00487834" w:rsidRDefault="006164C5" w:rsidP="00F36A29">
            <w:pPr>
              <w:pStyle w:val="NoSpacing"/>
              <w:rPr>
                <w:i/>
                <w:iCs/>
                <w:color w:val="000000"/>
              </w:rPr>
            </w:pPr>
            <w:proofErr w:type="spellStart"/>
            <w:r w:rsidRPr="00487834">
              <w:rPr>
                <w:i/>
                <w:iCs/>
                <w:color w:val="000000"/>
              </w:rPr>
              <w:t>zLEV</w:t>
            </w:r>
            <w:proofErr w:type="spellEnd"/>
          </w:p>
        </w:tc>
        <w:tc>
          <w:tcPr>
            <w:tcW w:w="1260" w:type="dxa"/>
            <w:tcBorders>
              <w:top w:val="nil"/>
              <w:left w:val="nil"/>
              <w:bottom w:val="nil"/>
              <w:right w:val="nil"/>
            </w:tcBorders>
            <w:shd w:val="clear" w:color="auto" w:fill="auto"/>
            <w:noWrap/>
            <w:vAlign w:val="center"/>
            <w:hideMark/>
          </w:tcPr>
          <w:p w14:paraId="2307F8E7" w14:textId="77777777" w:rsidR="006164C5" w:rsidRPr="00487834" w:rsidRDefault="006164C5" w:rsidP="00F36A29">
            <w:pPr>
              <w:pStyle w:val="NoSpacing"/>
              <w:rPr>
                <w:color w:val="000000"/>
              </w:rPr>
            </w:pPr>
            <w:r w:rsidRPr="00487834">
              <w:rPr>
                <w:color w:val="000000"/>
              </w:rPr>
              <w:t>1.146</w:t>
            </w:r>
          </w:p>
        </w:tc>
      </w:tr>
      <w:tr w:rsidR="006164C5" w:rsidRPr="00487834" w14:paraId="1ACA6B76" w14:textId="77777777" w:rsidTr="00BF355C">
        <w:trPr>
          <w:trHeight w:val="560"/>
          <w:jc w:val="center"/>
        </w:trPr>
        <w:tc>
          <w:tcPr>
            <w:tcW w:w="1280" w:type="dxa"/>
            <w:tcBorders>
              <w:top w:val="nil"/>
              <w:left w:val="nil"/>
              <w:bottom w:val="nil"/>
              <w:right w:val="nil"/>
            </w:tcBorders>
            <w:shd w:val="clear" w:color="auto" w:fill="auto"/>
            <w:noWrap/>
            <w:vAlign w:val="center"/>
            <w:hideMark/>
          </w:tcPr>
          <w:p w14:paraId="719720B7" w14:textId="77777777" w:rsidR="006164C5" w:rsidRPr="00487834" w:rsidRDefault="006164C5" w:rsidP="00F36A29">
            <w:pPr>
              <w:pStyle w:val="NoSpacing"/>
              <w:rPr>
                <w:i/>
                <w:iCs/>
                <w:color w:val="000000"/>
              </w:rPr>
            </w:pPr>
            <w:proofErr w:type="spellStart"/>
            <w:r w:rsidRPr="00487834">
              <w:rPr>
                <w:i/>
                <w:iCs/>
                <w:color w:val="000000"/>
              </w:rPr>
              <w:t>zND</w:t>
            </w:r>
            <w:proofErr w:type="spellEnd"/>
            <w:r w:rsidRPr="00487834">
              <w:rPr>
                <w:i/>
                <w:iCs/>
                <w:color w:val="000000"/>
              </w:rPr>
              <w:t>/EBITDA</w:t>
            </w:r>
          </w:p>
        </w:tc>
        <w:tc>
          <w:tcPr>
            <w:tcW w:w="1260" w:type="dxa"/>
            <w:tcBorders>
              <w:top w:val="nil"/>
              <w:left w:val="nil"/>
              <w:bottom w:val="nil"/>
              <w:right w:val="nil"/>
            </w:tcBorders>
            <w:shd w:val="clear" w:color="auto" w:fill="auto"/>
            <w:noWrap/>
            <w:vAlign w:val="center"/>
            <w:hideMark/>
          </w:tcPr>
          <w:p w14:paraId="4DCF0A49" w14:textId="77777777" w:rsidR="006164C5" w:rsidRPr="00487834" w:rsidRDefault="006164C5" w:rsidP="00F36A29">
            <w:pPr>
              <w:pStyle w:val="NoSpacing"/>
              <w:rPr>
                <w:color w:val="000000"/>
              </w:rPr>
            </w:pPr>
            <w:r w:rsidRPr="00487834">
              <w:rPr>
                <w:color w:val="000000"/>
              </w:rPr>
              <w:t>1.018</w:t>
            </w:r>
          </w:p>
        </w:tc>
      </w:tr>
      <w:tr w:rsidR="006164C5" w:rsidRPr="00487834" w14:paraId="790976F6" w14:textId="77777777" w:rsidTr="00BF355C">
        <w:trPr>
          <w:trHeight w:val="560"/>
          <w:jc w:val="center"/>
        </w:trPr>
        <w:tc>
          <w:tcPr>
            <w:tcW w:w="1280" w:type="dxa"/>
            <w:tcBorders>
              <w:top w:val="nil"/>
              <w:left w:val="nil"/>
              <w:bottom w:val="single" w:sz="4" w:space="0" w:color="auto"/>
              <w:right w:val="nil"/>
            </w:tcBorders>
            <w:shd w:val="clear" w:color="auto" w:fill="auto"/>
            <w:noWrap/>
            <w:vAlign w:val="center"/>
            <w:hideMark/>
          </w:tcPr>
          <w:p w14:paraId="628958A5" w14:textId="77777777" w:rsidR="006164C5" w:rsidRPr="00487834" w:rsidRDefault="006164C5" w:rsidP="00F36A29">
            <w:pPr>
              <w:pStyle w:val="NoSpacing"/>
              <w:rPr>
                <w:i/>
                <w:iCs/>
                <w:color w:val="000000"/>
              </w:rPr>
            </w:pPr>
            <w:proofErr w:type="spellStart"/>
            <w:r w:rsidRPr="00487834">
              <w:rPr>
                <w:i/>
                <w:iCs/>
                <w:color w:val="000000"/>
              </w:rPr>
              <w:t>zTLPA</w:t>
            </w:r>
            <w:proofErr w:type="spellEnd"/>
          </w:p>
        </w:tc>
        <w:tc>
          <w:tcPr>
            <w:tcW w:w="1260" w:type="dxa"/>
            <w:tcBorders>
              <w:top w:val="nil"/>
              <w:left w:val="nil"/>
              <w:bottom w:val="single" w:sz="4" w:space="0" w:color="auto"/>
              <w:right w:val="nil"/>
            </w:tcBorders>
            <w:shd w:val="clear" w:color="auto" w:fill="auto"/>
            <w:noWrap/>
            <w:vAlign w:val="center"/>
            <w:hideMark/>
          </w:tcPr>
          <w:p w14:paraId="4A1A966C" w14:textId="77777777" w:rsidR="006164C5" w:rsidRPr="00487834" w:rsidRDefault="006164C5" w:rsidP="00F36A29">
            <w:pPr>
              <w:pStyle w:val="NoSpacing"/>
            </w:pPr>
            <w:r w:rsidRPr="00487834">
              <w:t>1.094</w:t>
            </w:r>
          </w:p>
        </w:tc>
      </w:tr>
    </w:tbl>
    <w:p w14:paraId="7B25B160" w14:textId="77777777" w:rsidR="006164C5" w:rsidRDefault="006164C5" w:rsidP="003128F6">
      <w:pPr>
        <w:autoSpaceDE w:val="0"/>
        <w:autoSpaceDN w:val="0"/>
        <w:adjustRightInd w:val="0"/>
        <w:spacing w:line="300" w:lineRule="auto"/>
        <w:rPr>
          <w:color w:val="0D0D0D"/>
          <w:shd w:val="clear" w:color="auto" w:fill="FFFFFF"/>
          <w:lang w:val="en-US"/>
        </w:rPr>
      </w:pPr>
    </w:p>
    <w:p w14:paraId="44CDB10F" w14:textId="77777777" w:rsidR="00AD365D" w:rsidRDefault="00AD365D" w:rsidP="003128F6">
      <w:pPr>
        <w:autoSpaceDE w:val="0"/>
        <w:autoSpaceDN w:val="0"/>
        <w:adjustRightInd w:val="0"/>
        <w:spacing w:line="300" w:lineRule="auto"/>
        <w:rPr>
          <w:color w:val="0D0D0D"/>
          <w:shd w:val="clear" w:color="auto" w:fill="FFFFFF"/>
          <w:lang w:val="en-US"/>
        </w:rPr>
      </w:pPr>
    </w:p>
    <w:p w14:paraId="1CF59C60" w14:textId="77777777" w:rsidR="00AD365D" w:rsidRPr="00AD365D" w:rsidRDefault="00AD365D" w:rsidP="003128F6">
      <w:pPr>
        <w:autoSpaceDE w:val="0"/>
        <w:autoSpaceDN w:val="0"/>
        <w:adjustRightInd w:val="0"/>
        <w:spacing w:line="300" w:lineRule="auto"/>
        <w:rPr>
          <w:color w:val="0D0D0D"/>
          <w:shd w:val="clear" w:color="auto" w:fill="FFFFFF"/>
          <w:lang w:val="en-US"/>
        </w:rPr>
      </w:pPr>
    </w:p>
    <w:p w14:paraId="7012B35F" w14:textId="77777777" w:rsidR="006164C5" w:rsidRPr="00487834" w:rsidRDefault="006164C5" w:rsidP="003128F6">
      <w:pPr>
        <w:autoSpaceDE w:val="0"/>
        <w:autoSpaceDN w:val="0"/>
        <w:adjustRightInd w:val="0"/>
        <w:spacing w:line="300" w:lineRule="auto"/>
        <w:rPr>
          <w:color w:val="0D0D0D"/>
          <w:shd w:val="clear" w:color="auto" w:fill="FFFFFF"/>
        </w:rPr>
      </w:pPr>
    </w:p>
    <w:p w14:paraId="18783B53" w14:textId="77777777" w:rsidR="00FD7884" w:rsidRPr="00487834" w:rsidRDefault="00FD7884" w:rsidP="003128F6">
      <w:pPr>
        <w:autoSpaceDE w:val="0"/>
        <w:autoSpaceDN w:val="0"/>
        <w:adjustRightInd w:val="0"/>
        <w:spacing w:line="300" w:lineRule="auto"/>
        <w:rPr>
          <w:rFonts w:eastAsiaTheme="minorHAnsi"/>
          <w:b/>
          <w:bCs/>
          <w:lang w:eastAsia="en-US"/>
        </w:rPr>
      </w:pPr>
    </w:p>
    <w:p w14:paraId="5788A3B6" w14:textId="77777777" w:rsidR="00D33680" w:rsidRPr="00487834" w:rsidRDefault="00D33680" w:rsidP="003128F6">
      <w:pPr>
        <w:autoSpaceDE w:val="0"/>
        <w:autoSpaceDN w:val="0"/>
        <w:adjustRightInd w:val="0"/>
        <w:spacing w:line="300" w:lineRule="auto"/>
        <w:rPr>
          <w:color w:val="0D0D0D"/>
          <w:shd w:val="clear" w:color="auto" w:fill="FFFFFF"/>
          <w:lang w:val="en-US"/>
        </w:rPr>
      </w:pPr>
      <w:r w:rsidRPr="00487834">
        <w:rPr>
          <w:rFonts w:eastAsiaTheme="minorHAnsi"/>
          <w:b/>
          <w:bCs/>
          <w:lang w:val="en-GB" w:eastAsia="en-US"/>
        </w:rPr>
        <w:t>Table 1</w:t>
      </w:r>
      <w:r w:rsidR="00BF355C" w:rsidRPr="00487834">
        <w:rPr>
          <w:rFonts w:eastAsiaTheme="minorHAnsi"/>
          <w:b/>
          <w:bCs/>
          <w:lang w:val="en-GB" w:eastAsia="en-US"/>
        </w:rPr>
        <w:t>5</w:t>
      </w:r>
      <w:r w:rsidRPr="00487834">
        <w:rPr>
          <w:rFonts w:eastAsiaTheme="minorHAnsi"/>
          <w:b/>
          <w:bCs/>
          <w:lang w:val="en-GB" w:eastAsia="en-US"/>
        </w:rPr>
        <w:t xml:space="preserve"> – </w:t>
      </w:r>
      <w:r w:rsidRPr="00487834">
        <w:rPr>
          <w:color w:val="0D0D0D"/>
          <w:shd w:val="clear" w:color="auto" w:fill="FFFFFF"/>
          <w:lang w:val="en-US"/>
        </w:rPr>
        <w:t>Pearson’s correlation matrix of the main variables of the cost of equity model</w:t>
      </w:r>
    </w:p>
    <w:p w14:paraId="2FFD5EAD" w14:textId="77777777" w:rsidR="00D33680" w:rsidRPr="00487834" w:rsidRDefault="00D33680" w:rsidP="00F36A29">
      <w:pPr>
        <w:autoSpaceDE w:val="0"/>
        <w:autoSpaceDN w:val="0"/>
        <w:adjustRightInd w:val="0"/>
        <w:spacing w:line="300" w:lineRule="auto"/>
        <w:ind w:firstLine="0"/>
        <w:rPr>
          <w:color w:val="0D0D0D"/>
          <w:shd w:val="clear" w:color="auto" w:fill="FFFFFF"/>
          <w:lang w:val="en-US"/>
        </w:rPr>
      </w:pPr>
    </w:p>
    <w:tbl>
      <w:tblPr>
        <w:tblW w:w="9920" w:type="dxa"/>
        <w:jc w:val="center"/>
        <w:tblLook w:val="04A0" w:firstRow="1" w:lastRow="0" w:firstColumn="1" w:lastColumn="0" w:noHBand="0" w:noVBand="1"/>
      </w:tblPr>
      <w:tblGrid>
        <w:gridCol w:w="994"/>
        <w:gridCol w:w="310"/>
        <w:gridCol w:w="600"/>
        <w:gridCol w:w="520"/>
        <w:gridCol w:w="360"/>
        <w:gridCol w:w="820"/>
        <w:gridCol w:w="80"/>
        <w:gridCol w:w="880"/>
        <w:gridCol w:w="220"/>
        <w:gridCol w:w="660"/>
        <w:gridCol w:w="520"/>
        <w:gridCol w:w="400"/>
        <w:gridCol w:w="780"/>
        <w:gridCol w:w="100"/>
        <w:gridCol w:w="880"/>
        <w:gridCol w:w="220"/>
        <w:gridCol w:w="708"/>
        <w:gridCol w:w="900"/>
      </w:tblGrid>
      <w:tr w:rsidR="00EB55F3" w:rsidRPr="00487834" w14:paraId="77298745" w14:textId="77777777" w:rsidTr="00BF355C">
        <w:trPr>
          <w:trHeight w:val="300"/>
          <w:jc w:val="center"/>
        </w:trPr>
        <w:tc>
          <w:tcPr>
            <w:tcW w:w="1272" w:type="dxa"/>
            <w:gridSpan w:val="2"/>
            <w:tcBorders>
              <w:top w:val="single" w:sz="4" w:space="0" w:color="auto"/>
              <w:left w:val="nil"/>
              <w:bottom w:val="single" w:sz="4" w:space="0" w:color="auto"/>
              <w:right w:val="nil"/>
            </w:tcBorders>
            <w:shd w:val="clear" w:color="auto" w:fill="auto"/>
            <w:noWrap/>
            <w:vAlign w:val="bottom"/>
            <w:hideMark/>
          </w:tcPr>
          <w:p w14:paraId="2625D95B" w14:textId="77777777" w:rsidR="00EB55F3" w:rsidRPr="00487834" w:rsidRDefault="00EB55F3" w:rsidP="00F36A29">
            <w:pPr>
              <w:pStyle w:val="NoSpacing"/>
              <w:rPr>
                <w:lang w:val="en-US"/>
              </w:rPr>
            </w:pPr>
            <w:r w:rsidRPr="00487834">
              <w:rPr>
                <w:lang w:val="en-US"/>
              </w:rPr>
              <w:t> </w:t>
            </w:r>
          </w:p>
        </w:tc>
        <w:tc>
          <w:tcPr>
            <w:tcW w:w="1120" w:type="dxa"/>
            <w:gridSpan w:val="2"/>
            <w:tcBorders>
              <w:top w:val="single" w:sz="4" w:space="0" w:color="auto"/>
              <w:left w:val="nil"/>
              <w:bottom w:val="single" w:sz="4" w:space="0" w:color="auto"/>
              <w:right w:val="nil"/>
            </w:tcBorders>
            <w:shd w:val="clear" w:color="auto" w:fill="auto"/>
            <w:noWrap/>
            <w:vAlign w:val="center"/>
            <w:hideMark/>
          </w:tcPr>
          <w:p w14:paraId="15104EFA" w14:textId="77777777" w:rsidR="00EB55F3" w:rsidRPr="00487834" w:rsidRDefault="00EB55F3" w:rsidP="00F36A29">
            <w:pPr>
              <w:pStyle w:val="NoSpacing"/>
              <w:rPr>
                <w:i/>
                <w:iCs/>
              </w:rPr>
            </w:pPr>
            <w:r w:rsidRPr="00487834">
              <w:rPr>
                <w:i/>
                <w:iCs/>
              </w:rPr>
              <w:t>ESG</w:t>
            </w:r>
          </w:p>
        </w:tc>
        <w:tc>
          <w:tcPr>
            <w:tcW w:w="1180" w:type="dxa"/>
            <w:gridSpan w:val="2"/>
            <w:tcBorders>
              <w:top w:val="single" w:sz="4" w:space="0" w:color="auto"/>
              <w:left w:val="nil"/>
              <w:bottom w:val="single" w:sz="4" w:space="0" w:color="auto"/>
              <w:right w:val="nil"/>
            </w:tcBorders>
            <w:shd w:val="clear" w:color="auto" w:fill="auto"/>
            <w:noWrap/>
            <w:vAlign w:val="center"/>
            <w:hideMark/>
          </w:tcPr>
          <w:p w14:paraId="2DB29B46" w14:textId="77777777" w:rsidR="00EB55F3" w:rsidRPr="00487834" w:rsidRDefault="00EB55F3" w:rsidP="00F36A29">
            <w:pPr>
              <w:pStyle w:val="NoSpacing"/>
              <w:rPr>
                <w:i/>
                <w:iCs/>
              </w:rPr>
            </w:pPr>
            <w:r w:rsidRPr="00487834">
              <w:rPr>
                <w:i/>
                <w:iCs/>
              </w:rPr>
              <w:t>MCAP</w:t>
            </w:r>
          </w:p>
        </w:tc>
        <w:tc>
          <w:tcPr>
            <w:tcW w:w="1180" w:type="dxa"/>
            <w:gridSpan w:val="3"/>
            <w:tcBorders>
              <w:top w:val="single" w:sz="4" w:space="0" w:color="auto"/>
              <w:left w:val="nil"/>
              <w:bottom w:val="single" w:sz="4" w:space="0" w:color="auto"/>
              <w:right w:val="nil"/>
            </w:tcBorders>
            <w:shd w:val="clear" w:color="auto" w:fill="auto"/>
            <w:noWrap/>
            <w:vAlign w:val="center"/>
            <w:hideMark/>
          </w:tcPr>
          <w:p w14:paraId="37FB86BA" w14:textId="77777777" w:rsidR="00EB55F3" w:rsidRPr="00487834" w:rsidRDefault="00EB55F3" w:rsidP="00F36A29">
            <w:pPr>
              <w:pStyle w:val="NoSpacing"/>
              <w:rPr>
                <w:i/>
                <w:iCs/>
              </w:rPr>
            </w:pPr>
            <w:r w:rsidRPr="00487834">
              <w:rPr>
                <w:i/>
                <w:iCs/>
              </w:rPr>
              <w:t>PE</w:t>
            </w:r>
          </w:p>
        </w:tc>
        <w:tc>
          <w:tcPr>
            <w:tcW w:w="1180" w:type="dxa"/>
            <w:gridSpan w:val="2"/>
            <w:tcBorders>
              <w:top w:val="single" w:sz="4" w:space="0" w:color="auto"/>
              <w:left w:val="nil"/>
              <w:bottom w:val="single" w:sz="4" w:space="0" w:color="auto"/>
              <w:right w:val="nil"/>
            </w:tcBorders>
            <w:shd w:val="clear" w:color="auto" w:fill="auto"/>
            <w:noWrap/>
            <w:vAlign w:val="center"/>
            <w:hideMark/>
          </w:tcPr>
          <w:p w14:paraId="476C4D2F" w14:textId="77777777" w:rsidR="00EB55F3" w:rsidRPr="00487834" w:rsidRDefault="00EB55F3" w:rsidP="00F36A29">
            <w:pPr>
              <w:pStyle w:val="NoSpacing"/>
              <w:rPr>
                <w:i/>
                <w:iCs/>
              </w:rPr>
            </w:pPr>
            <w:r w:rsidRPr="00487834">
              <w:rPr>
                <w:i/>
                <w:iCs/>
              </w:rPr>
              <w:t>MTB</w:t>
            </w:r>
          </w:p>
        </w:tc>
        <w:tc>
          <w:tcPr>
            <w:tcW w:w="1180" w:type="dxa"/>
            <w:gridSpan w:val="2"/>
            <w:tcBorders>
              <w:top w:val="single" w:sz="4" w:space="0" w:color="auto"/>
              <w:left w:val="nil"/>
              <w:bottom w:val="single" w:sz="4" w:space="0" w:color="auto"/>
              <w:right w:val="nil"/>
            </w:tcBorders>
            <w:shd w:val="clear" w:color="auto" w:fill="auto"/>
            <w:noWrap/>
            <w:vAlign w:val="center"/>
            <w:hideMark/>
          </w:tcPr>
          <w:p w14:paraId="20D9E615" w14:textId="77777777" w:rsidR="00EB55F3" w:rsidRPr="00487834" w:rsidRDefault="00EB55F3" w:rsidP="00F36A29">
            <w:pPr>
              <w:pStyle w:val="NoSpacing"/>
              <w:rPr>
                <w:i/>
                <w:iCs/>
              </w:rPr>
            </w:pPr>
            <w:r w:rsidRPr="00487834">
              <w:rPr>
                <w:i/>
                <w:iCs/>
              </w:rPr>
              <w:t>BETA</w:t>
            </w:r>
          </w:p>
        </w:tc>
        <w:tc>
          <w:tcPr>
            <w:tcW w:w="1200" w:type="dxa"/>
            <w:gridSpan w:val="3"/>
            <w:tcBorders>
              <w:top w:val="single" w:sz="4" w:space="0" w:color="auto"/>
              <w:left w:val="nil"/>
              <w:bottom w:val="single" w:sz="4" w:space="0" w:color="auto"/>
              <w:right w:val="nil"/>
            </w:tcBorders>
            <w:shd w:val="clear" w:color="auto" w:fill="auto"/>
            <w:noWrap/>
            <w:vAlign w:val="center"/>
            <w:hideMark/>
          </w:tcPr>
          <w:p w14:paraId="625C7D95" w14:textId="77777777" w:rsidR="00EB55F3" w:rsidRPr="00487834" w:rsidRDefault="00EB55F3" w:rsidP="00F36A29">
            <w:pPr>
              <w:pStyle w:val="NoSpacing"/>
              <w:rPr>
                <w:i/>
                <w:iCs/>
              </w:rPr>
            </w:pPr>
            <w:r w:rsidRPr="00487834">
              <w:rPr>
                <w:i/>
                <w:iCs/>
              </w:rPr>
              <w:t>ROE</w:t>
            </w:r>
          </w:p>
        </w:tc>
        <w:tc>
          <w:tcPr>
            <w:tcW w:w="1608" w:type="dxa"/>
            <w:gridSpan w:val="2"/>
            <w:tcBorders>
              <w:top w:val="single" w:sz="4" w:space="0" w:color="auto"/>
              <w:left w:val="nil"/>
              <w:bottom w:val="single" w:sz="4" w:space="0" w:color="auto"/>
              <w:right w:val="nil"/>
            </w:tcBorders>
            <w:shd w:val="clear" w:color="auto" w:fill="auto"/>
            <w:noWrap/>
            <w:vAlign w:val="center"/>
            <w:hideMark/>
          </w:tcPr>
          <w:p w14:paraId="114AA1B0" w14:textId="77777777" w:rsidR="00EB55F3" w:rsidRPr="00487834" w:rsidRDefault="00EB55F3" w:rsidP="00F36A29">
            <w:pPr>
              <w:pStyle w:val="NoSpacing"/>
              <w:rPr>
                <w:i/>
                <w:iCs/>
              </w:rPr>
            </w:pPr>
            <w:r w:rsidRPr="00487834">
              <w:rPr>
                <w:i/>
                <w:iCs/>
              </w:rPr>
              <w:t>EV/EBITDA</w:t>
            </w:r>
          </w:p>
        </w:tc>
      </w:tr>
      <w:tr w:rsidR="00EB55F3" w:rsidRPr="00487834" w14:paraId="12775670" w14:textId="77777777" w:rsidTr="00BF355C">
        <w:trPr>
          <w:trHeight w:val="300"/>
          <w:jc w:val="center"/>
        </w:trPr>
        <w:tc>
          <w:tcPr>
            <w:tcW w:w="1272" w:type="dxa"/>
            <w:gridSpan w:val="2"/>
            <w:tcBorders>
              <w:top w:val="nil"/>
              <w:left w:val="nil"/>
              <w:bottom w:val="nil"/>
              <w:right w:val="nil"/>
            </w:tcBorders>
            <w:shd w:val="clear" w:color="auto" w:fill="auto"/>
            <w:noWrap/>
            <w:vAlign w:val="center"/>
            <w:hideMark/>
          </w:tcPr>
          <w:p w14:paraId="0F3753F6" w14:textId="77777777" w:rsidR="00EB55F3" w:rsidRPr="00487834" w:rsidRDefault="00EB55F3" w:rsidP="00F36A29">
            <w:pPr>
              <w:pStyle w:val="NoSpacing"/>
              <w:rPr>
                <w:i/>
                <w:iCs/>
              </w:rPr>
            </w:pPr>
            <w:r w:rsidRPr="00487834">
              <w:rPr>
                <w:i/>
                <w:iCs/>
              </w:rPr>
              <w:t>ESG</w:t>
            </w:r>
          </w:p>
        </w:tc>
        <w:tc>
          <w:tcPr>
            <w:tcW w:w="1120" w:type="dxa"/>
            <w:gridSpan w:val="2"/>
            <w:tcBorders>
              <w:top w:val="nil"/>
              <w:left w:val="nil"/>
              <w:bottom w:val="nil"/>
              <w:right w:val="nil"/>
            </w:tcBorders>
            <w:shd w:val="clear" w:color="000000" w:fill="4F81BD"/>
            <w:noWrap/>
            <w:vAlign w:val="center"/>
            <w:hideMark/>
          </w:tcPr>
          <w:p w14:paraId="589CBB70" w14:textId="77777777" w:rsidR="00EB55F3" w:rsidRPr="00487834" w:rsidRDefault="00EB55F3" w:rsidP="00F36A29">
            <w:pPr>
              <w:pStyle w:val="NoSpacing"/>
            </w:pPr>
            <w:r w:rsidRPr="00487834">
              <w:rPr>
                <w:lang w:val="en-US"/>
              </w:rPr>
              <w:t>1</w:t>
            </w:r>
          </w:p>
        </w:tc>
        <w:tc>
          <w:tcPr>
            <w:tcW w:w="1180" w:type="dxa"/>
            <w:gridSpan w:val="2"/>
            <w:tcBorders>
              <w:top w:val="nil"/>
              <w:left w:val="nil"/>
              <w:bottom w:val="nil"/>
              <w:right w:val="nil"/>
            </w:tcBorders>
            <w:shd w:val="clear" w:color="auto" w:fill="auto"/>
            <w:noWrap/>
            <w:vAlign w:val="center"/>
            <w:hideMark/>
          </w:tcPr>
          <w:p w14:paraId="0FCFA4F0" w14:textId="77777777" w:rsidR="00EB55F3" w:rsidRPr="00487834" w:rsidRDefault="00EB55F3" w:rsidP="00F36A29">
            <w:pPr>
              <w:pStyle w:val="NoSpacing"/>
            </w:pPr>
          </w:p>
        </w:tc>
        <w:tc>
          <w:tcPr>
            <w:tcW w:w="1180" w:type="dxa"/>
            <w:gridSpan w:val="3"/>
            <w:tcBorders>
              <w:top w:val="nil"/>
              <w:left w:val="nil"/>
              <w:bottom w:val="nil"/>
              <w:right w:val="nil"/>
            </w:tcBorders>
            <w:shd w:val="clear" w:color="auto" w:fill="auto"/>
            <w:noWrap/>
            <w:vAlign w:val="center"/>
            <w:hideMark/>
          </w:tcPr>
          <w:p w14:paraId="2BF73839" w14:textId="77777777" w:rsidR="00EB55F3" w:rsidRPr="00487834" w:rsidRDefault="00EB55F3" w:rsidP="00F36A29">
            <w:pPr>
              <w:pStyle w:val="NoSpacing"/>
            </w:pPr>
          </w:p>
        </w:tc>
        <w:tc>
          <w:tcPr>
            <w:tcW w:w="1180" w:type="dxa"/>
            <w:gridSpan w:val="2"/>
            <w:tcBorders>
              <w:top w:val="nil"/>
              <w:left w:val="nil"/>
              <w:bottom w:val="nil"/>
              <w:right w:val="nil"/>
            </w:tcBorders>
            <w:shd w:val="clear" w:color="auto" w:fill="auto"/>
            <w:noWrap/>
            <w:vAlign w:val="center"/>
            <w:hideMark/>
          </w:tcPr>
          <w:p w14:paraId="46349C8D" w14:textId="77777777" w:rsidR="00EB55F3" w:rsidRPr="00487834" w:rsidRDefault="00EB55F3" w:rsidP="00F36A29">
            <w:pPr>
              <w:pStyle w:val="NoSpacing"/>
            </w:pPr>
          </w:p>
        </w:tc>
        <w:tc>
          <w:tcPr>
            <w:tcW w:w="1180" w:type="dxa"/>
            <w:gridSpan w:val="2"/>
            <w:tcBorders>
              <w:top w:val="nil"/>
              <w:left w:val="nil"/>
              <w:bottom w:val="nil"/>
              <w:right w:val="nil"/>
            </w:tcBorders>
            <w:shd w:val="clear" w:color="auto" w:fill="auto"/>
            <w:noWrap/>
            <w:vAlign w:val="center"/>
            <w:hideMark/>
          </w:tcPr>
          <w:p w14:paraId="6B66AFC0" w14:textId="77777777" w:rsidR="00EB55F3" w:rsidRPr="00487834" w:rsidRDefault="00EB55F3" w:rsidP="00F36A29">
            <w:pPr>
              <w:pStyle w:val="NoSpacing"/>
            </w:pPr>
          </w:p>
        </w:tc>
        <w:tc>
          <w:tcPr>
            <w:tcW w:w="1200" w:type="dxa"/>
            <w:gridSpan w:val="3"/>
            <w:tcBorders>
              <w:top w:val="nil"/>
              <w:left w:val="nil"/>
              <w:bottom w:val="nil"/>
              <w:right w:val="nil"/>
            </w:tcBorders>
            <w:shd w:val="clear" w:color="auto" w:fill="auto"/>
            <w:noWrap/>
            <w:vAlign w:val="center"/>
            <w:hideMark/>
          </w:tcPr>
          <w:p w14:paraId="5D71537B" w14:textId="77777777" w:rsidR="00EB55F3" w:rsidRPr="00487834" w:rsidRDefault="00EB55F3" w:rsidP="00F36A29">
            <w:pPr>
              <w:pStyle w:val="NoSpacing"/>
            </w:pPr>
          </w:p>
        </w:tc>
        <w:tc>
          <w:tcPr>
            <w:tcW w:w="1608" w:type="dxa"/>
            <w:gridSpan w:val="2"/>
            <w:tcBorders>
              <w:top w:val="nil"/>
              <w:left w:val="nil"/>
              <w:bottom w:val="nil"/>
              <w:right w:val="nil"/>
            </w:tcBorders>
            <w:shd w:val="clear" w:color="auto" w:fill="auto"/>
            <w:noWrap/>
            <w:vAlign w:val="center"/>
            <w:hideMark/>
          </w:tcPr>
          <w:p w14:paraId="5F9C83C0" w14:textId="77777777" w:rsidR="00EB55F3" w:rsidRPr="00487834" w:rsidRDefault="00EB55F3" w:rsidP="00F36A29">
            <w:pPr>
              <w:pStyle w:val="NoSpacing"/>
            </w:pPr>
          </w:p>
        </w:tc>
      </w:tr>
      <w:tr w:rsidR="00EB55F3" w:rsidRPr="00487834" w14:paraId="6EAD6AA8" w14:textId="77777777" w:rsidTr="00BF355C">
        <w:trPr>
          <w:trHeight w:val="300"/>
          <w:jc w:val="center"/>
        </w:trPr>
        <w:tc>
          <w:tcPr>
            <w:tcW w:w="1272" w:type="dxa"/>
            <w:gridSpan w:val="2"/>
            <w:tcBorders>
              <w:top w:val="nil"/>
              <w:left w:val="nil"/>
              <w:bottom w:val="nil"/>
              <w:right w:val="nil"/>
            </w:tcBorders>
            <w:shd w:val="clear" w:color="auto" w:fill="auto"/>
            <w:noWrap/>
            <w:vAlign w:val="center"/>
            <w:hideMark/>
          </w:tcPr>
          <w:p w14:paraId="073BB991" w14:textId="77777777" w:rsidR="00EB55F3" w:rsidRPr="00487834" w:rsidRDefault="00EB55F3" w:rsidP="00F36A29">
            <w:pPr>
              <w:pStyle w:val="NoSpacing"/>
              <w:rPr>
                <w:i/>
                <w:iCs/>
              </w:rPr>
            </w:pPr>
            <w:r w:rsidRPr="00487834">
              <w:rPr>
                <w:i/>
                <w:iCs/>
              </w:rPr>
              <w:t>MCAP</w:t>
            </w:r>
          </w:p>
        </w:tc>
        <w:tc>
          <w:tcPr>
            <w:tcW w:w="1120" w:type="dxa"/>
            <w:gridSpan w:val="2"/>
            <w:tcBorders>
              <w:top w:val="nil"/>
              <w:left w:val="nil"/>
              <w:bottom w:val="nil"/>
              <w:right w:val="nil"/>
            </w:tcBorders>
            <w:shd w:val="clear" w:color="000000" w:fill="C1D3E8"/>
            <w:noWrap/>
            <w:vAlign w:val="bottom"/>
            <w:hideMark/>
          </w:tcPr>
          <w:p w14:paraId="194AAFF8" w14:textId="77777777" w:rsidR="00EB55F3" w:rsidRPr="00487834" w:rsidRDefault="00EB55F3" w:rsidP="00F36A29">
            <w:pPr>
              <w:pStyle w:val="NoSpacing"/>
            </w:pPr>
            <w:r w:rsidRPr="00487834">
              <w:rPr>
                <w:lang w:val="en-US"/>
              </w:rPr>
              <w:t>0.357</w:t>
            </w:r>
          </w:p>
        </w:tc>
        <w:tc>
          <w:tcPr>
            <w:tcW w:w="1180" w:type="dxa"/>
            <w:gridSpan w:val="2"/>
            <w:tcBorders>
              <w:top w:val="nil"/>
              <w:left w:val="nil"/>
              <w:bottom w:val="nil"/>
              <w:right w:val="nil"/>
            </w:tcBorders>
            <w:shd w:val="clear" w:color="000000" w:fill="4F81BD"/>
            <w:noWrap/>
            <w:vAlign w:val="center"/>
            <w:hideMark/>
          </w:tcPr>
          <w:p w14:paraId="614D6AB9" w14:textId="77777777" w:rsidR="00EB55F3" w:rsidRPr="00487834" w:rsidRDefault="00EB55F3" w:rsidP="00F36A29">
            <w:pPr>
              <w:pStyle w:val="NoSpacing"/>
            </w:pPr>
            <w:r w:rsidRPr="00487834">
              <w:rPr>
                <w:lang w:val="en-US"/>
              </w:rPr>
              <w:t>1</w:t>
            </w:r>
          </w:p>
        </w:tc>
        <w:tc>
          <w:tcPr>
            <w:tcW w:w="1180" w:type="dxa"/>
            <w:gridSpan w:val="3"/>
            <w:tcBorders>
              <w:top w:val="nil"/>
              <w:left w:val="nil"/>
              <w:bottom w:val="nil"/>
              <w:right w:val="nil"/>
            </w:tcBorders>
            <w:shd w:val="clear" w:color="auto" w:fill="auto"/>
            <w:noWrap/>
            <w:vAlign w:val="center"/>
            <w:hideMark/>
          </w:tcPr>
          <w:p w14:paraId="72042CCC" w14:textId="77777777" w:rsidR="00EB55F3" w:rsidRPr="00487834" w:rsidRDefault="00EB55F3" w:rsidP="00F36A29">
            <w:pPr>
              <w:pStyle w:val="NoSpacing"/>
            </w:pPr>
          </w:p>
        </w:tc>
        <w:tc>
          <w:tcPr>
            <w:tcW w:w="1180" w:type="dxa"/>
            <w:gridSpan w:val="2"/>
            <w:tcBorders>
              <w:top w:val="nil"/>
              <w:left w:val="nil"/>
              <w:bottom w:val="nil"/>
              <w:right w:val="nil"/>
            </w:tcBorders>
            <w:shd w:val="clear" w:color="auto" w:fill="auto"/>
            <w:noWrap/>
            <w:vAlign w:val="center"/>
            <w:hideMark/>
          </w:tcPr>
          <w:p w14:paraId="25377609" w14:textId="77777777" w:rsidR="00EB55F3" w:rsidRPr="00487834" w:rsidRDefault="00EB55F3" w:rsidP="00F36A29">
            <w:pPr>
              <w:pStyle w:val="NoSpacing"/>
            </w:pPr>
          </w:p>
        </w:tc>
        <w:tc>
          <w:tcPr>
            <w:tcW w:w="1180" w:type="dxa"/>
            <w:gridSpan w:val="2"/>
            <w:tcBorders>
              <w:top w:val="nil"/>
              <w:left w:val="nil"/>
              <w:bottom w:val="nil"/>
              <w:right w:val="nil"/>
            </w:tcBorders>
            <w:shd w:val="clear" w:color="auto" w:fill="auto"/>
            <w:noWrap/>
            <w:vAlign w:val="center"/>
            <w:hideMark/>
          </w:tcPr>
          <w:p w14:paraId="5BB80EB6" w14:textId="77777777" w:rsidR="00EB55F3" w:rsidRPr="00487834" w:rsidRDefault="00EB55F3" w:rsidP="00F36A29">
            <w:pPr>
              <w:pStyle w:val="NoSpacing"/>
            </w:pPr>
          </w:p>
        </w:tc>
        <w:tc>
          <w:tcPr>
            <w:tcW w:w="1200" w:type="dxa"/>
            <w:gridSpan w:val="3"/>
            <w:tcBorders>
              <w:top w:val="nil"/>
              <w:left w:val="nil"/>
              <w:bottom w:val="nil"/>
              <w:right w:val="nil"/>
            </w:tcBorders>
            <w:shd w:val="clear" w:color="auto" w:fill="auto"/>
            <w:noWrap/>
            <w:vAlign w:val="center"/>
            <w:hideMark/>
          </w:tcPr>
          <w:p w14:paraId="3F1934FC" w14:textId="77777777" w:rsidR="00EB55F3" w:rsidRPr="00487834" w:rsidRDefault="00EB55F3" w:rsidP="00F36A29">
            <w:pPr>
              <w:pStyle w:val="NoSpacing"/>
            </w:pPr>
          </w:p>
        </w:tc>
        <w:tc>
          <w:tcPr>
            <w:tcW w:w="1608" w:type="dxa"/>
            <w:gridSpan w:val="2"/>
            <w:tcBorders>
              <w:top w:val="nil"/>
              <w:left w:val="nil"/>
              <w:bottom w:val="nil"/>
              <w:right w:val="nil"/>
            </w:tcBorders>
            <w:shd w:val="clear" w:color="auto" w:fill="auto"/>
            <w:noWrap/>
            <w:vAlign w:val="center"/>
            <w:hideMark/>
          </w:tcPr>
          <w:p w14:paraId="45126B5B" w14:textId="77777777" w:rsidR="00EB55F3" w:rsidRPr="00487834" w:rsidRDefault="00EB55F3" w:rsidP="00F36A29">
            <w:pPr>
              <w:pStyle w:val="NoSpacing"/>
            </w:pPr>
          </w:p>
        </w:tc>
      </w:tr>
      <w:tr w:rsidR="00EB55F3" w:rsidRPr="00487834" w14:paraId="268BA1EE" w14:textId="77777777" w:rsidTr="00BF355C">
        <w:trPr>
          <w:trHeight w:val="300"/>
          <w:jc w:val="center"/>
        </w:trPr>
        <w:tc>
          <w:tcPr>
            <w:tcW w:w="1272" w:type="dxa"/>
            <w:gridSpan w:val="2"/>
            <w:tcBorders>
              <w:top w:val="nil"/>
              <w:left w:val="nil"/>
              <w:bottom w:val="nil"/>
              <w:right w:val="nil"/>
            </w:tcBorders>
            <w:shd w:val="clear" w:color="auto" w:fill="auto"/>
            <w:noWrap/>
            <w:vAlign w:val="center"/>
            <w:hideMark/>
          </w:tcPr>
          <w:p w14:paraId="0DE19EC1" w14:textId="77777777" w:rsidR="00EB55F3" w:rsidRPr="00487834" w:rsidRDefault="00EB55F3" w:rsidP="00F36A29">
            <w:pPr>
              <w:pStyle w:val="NoSpacing"/>
              <w:rPr>
                <w:i/>
                <w:iCs/>
              </w:rPr>
            </w:pPr>
            <w:r w:rsidRPr="00487834">
              <w:rPr>
                <w:i/>
                <w:iCs/>
              </w:rPr>
              <w:t>PE</w:t>
            </w:r>
          </w:p>
        </w:tc>
        <w:tc>
          <w:tcPr>
            <w:tcW w:w="1120" w:type="dxa"/>
            <w:gridSpan w:val="2"/>
            <w:tcBorders>
              <w:top w:val="nil"/>
              <w:left w:val="nil"/>
              <w:bottom w:val="nil"/>
              <w:right w:val="nil"/>
            </w:tcBorders>
            <w:shd w:val="clear" w:color="000000" w:fill="FEFEFE"/>
            <w:noWrap/>
            <w:vAlign w:val="bottom"/>
            <w:hideMark/>
          </w:tcPr>
          <w:p w14:paraId="2393FEFF" w14:textId="77777777" w:rsidR="00EB55F3" w:rsidRPr="00487834" w:rsidRDefault="00EB55F3" w:rsidP="00F36A29">
            <w:pPr>
              <w:pStyle w:val="NoSpacing"/>
            </w:pPr>
            <w:r w:rsidRPr="00487834">
              <w:rPr>
                <w:lang w:val="en-US"/>
              </w:rPr>
              <w:t>-0.004</w:t>
            </w:r>
          </w:p>
        </w:tc>
        <w:tc>
          <w:tcPr>
            <w:tcW w:w="1180" w:type="dxa"/>
            <w:gridSpan w:val="2"/>
            <w:tcBorders>
              <w:top w:val="nil"/>
              <w:left w:val="nil"/>
              <w:bottom w:val="nil"/>
              <w:right w:val="nil"/>
            </w:tcBorders>
            <w:shd w:val="clear" w:color="000000" w:fill="FDFCFC"/>
            <w:noWrap/>
            <w:vAlign w:val="bottom"/>
            <w:hideMark/>
          </w:tcPr>
          <w:p w14:paraId="7FAA4EE8" w14:textId="77777777" w:rsidR="00EB55F3" w:rsidRPr="00487834" w:rsidRDefault="00EB55F3" w:rsidP="00F36A29">
            <w:pPr>
              <w:pStyle w:val="NoSpacing"/>
            </w:pPr>
            <w:r w:rsidRPr="00487834">
              <w:rPr>
                <w:lang w:val="en-US"/>
              </w:rPr>
              <w:t>-0.0165</w:t>
            </w:r>
          </w:p>
        </w:tc>
        <w:tc>
          <w:tcPr>
            <w:tcW w:w="1180" w:type="dxa"/>
            <w:gridSpan w:val="3"/>
            <w:tcBorders>
              <w:top w:val="nil"/>
              <w:left w:val="nil"/>
              <w:bottom w:val="nil"/>
              <w:right w:val="nil"/>
            </w:tcBorders>
            <w:shd w:val="clear" w:color="000000" w:fill="4F81BD"/>
            <w:noWrap/>
            <w:vAlign w:val="center"/>
            <w:hideMark/>
          </w:tcPr>
          <w:p w14:paraId="43A2050E" w14:textId="77777777" w:rsidR="00EB55F3" w:rsidRPr="00487834" w:rsidRDefault="00EB55F3" w:rsidP="00F36A29">
            <w:pPr>
              <w:pStyle w:val="NoSpacing"/>
            </w:pPr>
            <w:r w:rsidRPr="00487834">
              <w:rPr>
                <w:lang w:val="en-US"/>
              </w:rPr>
              <w:t>1</w:t>
            </w:r>
          </w:p>
        </w:tc>
        <w:tc>
          <w:tcPr>
            <w:tcW w:w="1180" w:type="dxa"/>
            <w:gridSpan w:val="2"/>
            <w:tcBorders>
              <w:top w:val="nil"/>
              <w:left w:val="nil"/>
              <w:bottom w:val="nil"/>
              <w:right w:val="nil"/>
            </w:tcBorders>
            <w:shd w:val="clear" w:color="auto" w:fill="auto"/>
            <w:noWrap/>
            <w:vAlign w:val="center"/>
            <w:hideMark/>
          </w:tcPr>
          <w:p w14:paraId="39A8BDC8" w14:textId="77777777" w:rsidR="00EB55F3" w:rsidRPr="00487834" w:rsidRDefault="00EB55F3" w:rsidP="00F36A29">
            <w:pPr>
              <w:pStyle w:val="NoSpacing"/>
            </w:pPr>
          </w:p>
        </w:tc>
        <w:tc>
          <w:tcPr>
            <w:tcW w:w="1180" w:type="dxa"/>
            <w:gridSpan w:val="2"/>
            <w:tcBorders>
              <w:top w:val="nil"/>
              <w:left w:val="nil"/>
              <w:bottom w:val="nil"/>
              <w:right w:val="nil"/>
            </w:tcBorders>
            <w:shd w:val="clear" w:color="auto" w:fill="auto"/>
            <w:noWrap/>
            <w:vAlign w:val="center"/>
            <w:hideMark/>
          </w:tcPr>
          <w:p w14:paraId="19857760" w14:textId="77777777" w:rsidR="00EB55F3" w:rsidRPr="00487834" w:rsidRDefault="00EB55F3" w:rsidP="00F36A29">
            <w:pPr>
              <w:pStyle w:val="NoSpacing"/>
            </w:pPr>
          </w:p>
        </w:tc>
        <w:tc>
          <w:tcPr>
            <w:tcW w:w="1200" w:type="dxa"/>
            <w:gridSpan w:val="3"/>
            <w:tcBorders>
              <w:top w:val="nil"/>
              <w:left w:val="nil"/>
              <w:bottom w:val="nil"/>
              <w:right w:val="nil"/>
            </w:tcBorders>
            <w:shd w:val="clear" w:color="auto" w:fill="auto"/>
            <w:noWrap/>
            <w:vAlign w:val="center"/>
            <w:hideMark/>
          </w:tcPr>
          <w:p w14:paraId="30416FEC" w14:textId="77777777" w:rsidR="00EB55F3" w:rsidRPr="00487834" w:rsidRDefault="00EB55F3" w:rsidP="00F36A29">
            <w:pPr>
              <w:pStyle w:val="NoSpacing"/>
            </w:pPr>
          </w:p>
        </w:tc>
        <w:tc>
          <w:tcPr>
            <w:tcW w:w="1608" w:type="dxa"/>
            <w:gridSpan w:val="2"/>
            <w:tcBorders>
              <w:top w:val="nil"/>
              <w:left w:val="nil"/>
              <w:bottom w:val="nil"/>
              <w:right w:val="nil"/>
            </w:tcBorders>
            <w:shd w:val="clear" w:color="auto" w:fill="auto"/>
            <w:noWrap/>
            <w:vAlign w:val="center"/>
            <w:hideMark/>
          </w:tcPr>
          <w:p w14:paraId="596F869A" w14:textId="77777777" w:rsidR="00EB55F3" w:rsidRPr="00487834" w:rsidRDefault="00EB55F3" w:rsidP="00F36A29">
            <w:pPr>
              <w:pStyle w:val="NoSpacing"/>
            </w:pPr>
          </w:p>
        </w:tc>
      </w:tr>
      <w:tr w:rsidR="00EB55F3" w:rsidRPr="00487834" w14:paraId="2A933CCE" w14:textId="77777777" w:rsidTr="00BF355C">
        <w:trPr>
          <w:trHeight w:val="300"/>
          <w:jc w:val="center"/>
        </w:trPr>
        <w:tc>
          <w:tcPr>
            <w:tcW w:w="1272" w:type="dxa"/>
            <w:gridSpan w:val="2"/>
            <w:tcBorders>
              <w:top w:val="nil"/>
              <w:left w:val="nil"/>
              <w:bottom w:val="nil"/>
              <w:right w:val="nil"/>
            </w:tcBorders>
            <w:shd w:val="clear" w:color="auto" w:fill="auto"/>
            <w:noWrap/>
            <w:vAlign w:val="center"/>
            <w:hideMark/>
          </w:tcPr>
          <w:p w14:paraId="55CFF516" w14:textId="77777777" w:rsidR="00EB55F3" w:rsidRPr="00487834" w:rsidRDefault="00EB55F3" w:rsidP="00F36A29">
            <w:pPr>
              <w:pStyle w:val="NoSpacing"/>
              <w:rPr>
                <w:i/>
                <w:iCs/>
              </w:rPr>
            </w:pPr>
            <w:r w:rsidRPr="00487834">
              <w:rPr>
                <w:i/>
                <w:iCs/>
              </w:rPr>
              <w:t>MTB</w:t>
            </w:r>
          </w:p>
        </w:tc>
        <w:tc>
          <w:tcPr>
            <w:tcW w:w="1120" w:type="dxa"/>
            <w:gridSpan w:val="2"/>
            <w:tcBorders>
              <w:top w:val="nil"/>
              <w:left w:val="nil"/>
              <w:bottom w:val="nil"/>
              <w:right w:val="nil"/>
            </w:tcBorders>
            <w:shd w:val="clear" w:color="000000" w:fill="FDFEFF"/>
            <w:noWrap/>
            <w:vAlign w:val="bottom"/>
            <w:hideMark/>
          </w:tcPr>
          <w:p w14:paraId="25FA2DBA" w14:textId="77777777" w:rsidR="00EB55F3" w:rsidRPr="00487834" w:rsidRDefault="00EB55F3" w:rsidP="00F36A29">
            <w:pPr>
              <w:pStyle w:val="NoSpacing"/>
            </w:pPr>
            <w:r w:rsidRPr="00487834">
              <w:rPr>
                <w:lang w:val="en-US"/>
              </w:rPr>
              <w:t>0.012</w:t>
            </w:r>
          </w:p>
        </w:tc>
        <w:tc>
          <w:tcPr>
            <w:tcW w:w="1180" w:type="dxa"/>
            <w:gridSpan w:val="2"/>
            <w:tcBorders>
              <w:top w:val="nil"/>
              <w:left w:val="nil"/>
              <w:bottom w:val="nil"/>
              <w:right w:val="nil"/>
            </w:tcBorders>
            <w:shd w:val="clear" w:color="000000" w:fill="E2EAF4"/>
            <w:noWrap/>
            <w:vAlign w:val="bottom"/>
            <w:hideMark/>
          </w:tcPr>
          <w:p w14:paraId="09B8FF28" w14:textId="77777777" w:rsidR="00EB55F3" w:rsidRPr="00487834" w:rsidRDefault="00EB55F3" w:rsidP="00F36A29">
            <w:pPr>
              <w:pStyle w:val="NoSpacing"/>
            </w:pPr>
            <w:r w:rsidRPr="00487834">
              <w:rPr>
                <w:lang w:val="en-US"/>
              </w:rPr>
              <w:t>0.167</w:t>
            </w:r>
          </w:p>
        </w:tc>
        <w:tc>
          <w:tcPr>
            <w:tcW w:w="1180" w:type="dxa"/>
            <w:gridSpan w:val="3"/>
            <w:tcBorders>
              <w:top w:val="nil"/>
              <w:left w:val="nil"/>
              <w:bottom w:val="nil"/>
              <w:right w:val="nil"/>
            </w:tcBorders>
            <w:shd w:val="clear" w:color="000000" w:fill="DCE6F2"/>
            <w:noWrap/>
            <w:vAlign w:val="bottom"/>
            <w:hideMark/>
          </w:tcPr>
          <w:p w14:paraId="1921590E" w14:textId="77777777" w:rsidR="00EB55F3" w:rsidRPr="00487834" w:rsidRDefault="00EB55F3" w:rsidP="00F36A29">
            <w:pPr>
              <w:pStyle w:val="NoSpacing"/>
            </w:pPr>
            <w:r w:rsidRPr="00487834">
              <w:rPr>
                <w:lang w:val="en-US"/>
              </w:rPr>
              <w:t>0.199</w:t>
            </w:r>
          </w:p>
        </w:tc>
        <w:tc>
          <w:tcPr>
            <w:tcW w:w="1180" w:type="dxa"/>
            <w:gridSpan w:val="2"/>
            <w:tcBorders>
              <w:top w:val="nil"/>
              <w:left w:val="nil"/>
              <w:bottom w:val="nil"/>
              <w:right w:val="nil"/>
            </w:tcBorders>
            <w:shd w:val="clear" w:color="000000" w:fill="4F81BD"/>
            <w:noWrap/>
            <w:vAlign w:val="center"/>
            <w:hideMark/>
          </w:tcPr>
          <w:p w14:paraId="2F62386B" w14:textId="77777777" w:rsidR="00EB55F3" w:rsidRPr="00487834" w:rsidRDefault="00EB55F3" w:rsidP="00F36A29">
            <w:pPr>
              <w:pStyle w:val="NoSpacing"/>
            </w:pPr>
            <w:r w:rsidRPr="00487834">
              <w:rPr>
                <w:lang w:val="en-US"/>
              </w:rPr>
              <w:t>1</w:t>
            </w:r>
          </w:p>
        </w:tc>
        <w:tc>
          <w:tcPr>
            <w:tcW w:w="1180" w:type="dxa"/>
            <w:gridSpan w:val="2"/>
            <w:tcBorders>
              <w:top w:val="nil"/>
              <w:left w:val="nil"/>
              <w:bottom w:val="nil"/>
              <w:right w:val="nil"/>
            </w:tcBorders>
            <w:shd w:val="clear" w:color="auto" w:fill="auto"/>
            <w:noWrap/>
            <w:vAlign w:val="center"/>
            <w:hideMark/>
          </w:tcPr>
          <w:p w14:paraId="661B1B8A" w14:textId="77777777" w:rsidR="00EB55F3" w:rsidRPr="00487834" w:rsidRDefault="00EB55F3" w:rsidP="00F36A29">
            <w:pPr>
              <w:pStyle w:val="NoSpacing"/>
            </w:pPr>
          </w:p>
        </w:tc>
        <w:tc>
          <w:tcPr>
            <w:tcW w:w="1200" w:type="dxa"/>
            <w:gridSpan w:val="3"/>
            <w:tcBorders>
              <w:top w:val="nil"/>
              <w:left w:val="nil"/>
              <w:bottom w:val="nil"/>
              <w:right w:val="nil"/>
            </w:tcBorders>
            <w:shd w:val="clear" w:color="auto" w:fill="auto"/>
            <w:noWrap/>
            <w:vAlign w:val="center"/>
            <w:hideMark/>
          </w:tcPr>
          <w:p w14:paraId="38FC5F97" w14:textId="77777777" w:rsidR="00EB55F3" w:rsidRPr="00487834" w:rsidRDefault="00EB55F3" w:rsidP="00F36A29">
            <w:pPr>
              <w:pStyle w:val="NoSpacing"/>
            </w:pPr>
          </w:p>
        </w:tc>
        <w:tc>
          <w:tcPr>
            <w:tcW w:w="1608" w:type="dxa"/>
            <w:gridSpan w:val="2"/>
            <w:tcBorders>
              <w:top w:val="nil"/>
              <w:left w:val="nil"/>
              <w:bottom w:val="nil"/>
              <w:right w:val="nil"/>
            </w:tcBorders>
            <w:shd w:val="clear" w:color="auto" w:fill="auto"/>
            <w:noWrap/>
            <w:vAlign w:val="center"/>
            <w:hideMark/>
          </w:tcPr>
          <w:p w14:paraId="44EBF142" w14:textId="77777777" w:rsidR="00EB55F3" w:rsidRPr="00487834" w:rsidRDefault="00EB55F3" w:rsidP="00F36A29">
            <w:pPr>
              <w:pStyle w:val="NoSpacing"/>
            </w:pPr>
          </w:p>
        </w:tc>
      </w:tr>
      <w:tr w:rsidR="00EB55F3" w:rsidRPr="00487834" w14:paraId="17A297D4" w14:textId="77777777" w:rsidTr="00BF355C">
        <w:trPr>
          <w:trHeight w:val="300"/>
          <w:jc w:val="center"/>
        </w:trPr>
        <w:tc>
          <w:tcPr>
            <w:tcW w:w="1272" w:type="dxa"/>
            <w:gridSpan w:val="2"/>
            <w:tcBorders>
              <w:top w:val="nil"/>
              <w:left w:val="nil"/>
              <w:bottom w:val="nil"/>
              <w:right w:val="nil"/>
            </w:tcBorders>
            <w:shd w:val="clear" w:color="auto" w:fill="auto"/>
            <w:noWrap/>
            <w:vAlign w:val="center"/>
            <w:hideMark/>
          </w:tcPr>
          <w:p w14:paraId="6D907DC7" w14:textId="77777777" w:rsidR="00EB55F3" w:rsidRPr="00487834" w:rsidRDefault="00EB55F3" w:rsidP="00F36A29">
            <w:pPr>
              <w:pStyle w:val="NoSpacing"/>
              <w:rPr>
                <w:i/>
                <w:iCs/>
              </w:rPr>
            </w:pPr>
            <w:r w:rsidRPr="00487834">
              <w:rPr>
                <w:i/>
                <w:iCs/>
              </w:rPr>
              <w:t>BETA</w:t>
            </w:r>
          </w:p>
        </w:tc>
        <w:tc>
          <w:tcPr>
            <w:tcW w:w="1120" w:type="dxa"/>
            <w:gridSpan w:val="2"/>
            <w:tcBorders>
              <w:top w:val="nil"/>
              <w:left w:val="nil"/>
              <w:bottom w:val="nil"/>
              <w:right w:val="nil"/>
            </w:tcBorders>
            <w:shd w:val="clear" w:color="000000" w:fill="F2F6FA"/>
            <w:noWrap/>
            <w:vAlign w:val="bottom"/>
            <w:hideMark/>
          </w:tcPr>
          <w:p w14:paraId="5B363E6B" w14:textId="77777777" w:rsidR="00EB55F3" w:rsidRPr="00487834" w:rsidRDefault="00EB55F3" w:rsidP="00F36A29">
            <w:pPr>
              <w:pStyle w:val="NoSpacing"/>
            </w:pPr>
            <w:r w:rsidRPr="00487834">
              <w:t>0.077</w:t>
            </w:r>
          </w:p>
        </w:tc>
        <w:tc>
          <w:tcPr>
            <w:tcW w:w="1180" w:type="dxa"/>
            <w:gridSpan w:val="2"/>
            <w:tcBorders>
              <w:top w:val="nil"/>
              <w:left w:val="nil"/>
              <w:bottom w:val="nil"/>
              <w:right w:val="nil"/>
            </w:tcBorders>
            <w:shd w:val="clear" w:color="000000" w:fill="E2EAF4"/>
            <w:noWrap/>
            <w:vAlign w:val="bottom"/>
            <w:hideMark/>
          </w:tcPr>
          <w:p w14:paraId="4B0563C4" w14:textId="77777777" w:rsidR="00EB55F3" w:rsidRPr="00487834" w:rsidRDefault="00EB55F3" w:rsidP="00F36A29">
            <w:pPr>
              <w:pStyle w:val="NoSpacing"/>
            </w:pPr>
            <w:r w:rsidRPr="00487834">
              <w:t>0.170</w:t>
            </w:r>
          </w:p>
        </w:tc>
        <w:tc>
          <w:tcPr>
            <w:tcW w:w="1180" w:type="dxa"/>
            <w:gridSpan w:val="3"/>
            <w:tcBorders>
              <w:top w:val="nil"/>
              <w:left w:val="nil"/>
              <w:bottom w:val="nil"/>
              <w:right w:val="nil"/>
            </w:tcBorders>
            <w:shd w:val="clear" w:color="000000" w:fill="FBF4F4"/>
            <w:noWrap/>
            <w:vAlign w:val="bottom"/>
            <w:hideMark/>
          </w:tcPr>
          <w:p w14:paraId="28D12854" w14:textId="77777777" w:rsidR="00EB55F3" w:rsidRPr="00487834" w:rsidRDefault="00EB55F3" w:rsidP="00F36A29">
            <w:pPr>
              <w:pStyle w:val="NoSpacing"/>
            </w:pPr>
            <w:r w:rsidRPr="00487834">
              <w:t>-0.061</w:t>
            </w:r>
          </w:p>
        </w:tc>
        <w:tc>
          <w:tcPr>
            <w:tcW w:w="1180" w:type="dxa"/>
            <w:gridSpan w:val="2"/>
            <w:tcBorders>
              <w:top w:val="nil"/>
              <w:left w:val="nil"/>
              <w:bottom w:val="nil"/>
              <w:right w:val="nil"/>
            </w:tcBorders>
            <w:shd w:val="clear" w:color="000000" w:fill="F2DDDC"/>
            <w:noWrap/>
            <w:vAlign w:val="bottom"/>
            <w:hideMark/>
          </w:tcPr>
          <w:p w14:paraId="7B04D4FC" w14:textId="77777777" w:rsidR="00EB55F3" w:rsidRPr="00487834" w:rsidRDefault="00EB55F3" w:rsidP="00F36A29">
            <w:pPr>
              <w:pStyle w:val="NoSpacing"/>
            </w:pPr>
            <w:r w:rsidRPr="00487834">
              <w:t>-0.193</w:t>
            </w:r>
          </w:p>
        </w:tc>
        <w:tc>
          <w:tcPr>
            <w:tcW w:w="1180" w:type="dxa"/>
            <w:gridSpan w:val="2"/>
            <w:tcBorders>
              <w:top w:val="nil"/>
              <w:left w:val="nil"/>
              <w:bottom w:val="nil"/>
              <w:right w:val="nil"/>
            </w:tcBorders>
            <w:shd w:val="clear" w:color="000000" w:fill="4F81BD"/>
            <w:noWrap/>
            <w:vAlign w:val="center"/>
            <w:hideMark/>
          </w:tcPr>
          <w:p w14:paraId="036BC9C7" w14:textId="77777777" w:rsidR="00EB55F3" w:rsidRPr="00487834" w:rsidRDefault="00EB55F3" w:rsidP="00F36A29">
            <w:pPr>
              <w:pStyle w:val="NoSpacing"/>
            </w:pPr>
            <w:r w:rsidRPr="00487834">
              <w:rPr>
                <w:lang w:val="en-US"/>
              </w:rPr>
              <w:t>1</w:t>
            </w:r>
          </w:p>
        </w:tc>
        <w:tc>
          <w:tcPr>
            <w:tcW w:w="1200" w:type="dxa"/>
            <w:gridSpan w:val="3"/>
            <w:tcBorders>
              <w:top w:val="nil"/>
              <w:left w:val="nil"/>
              <w:bottom w:val="nil"/>
              <w:right w:val="nil"/>
            </w:tcBorders>
            <w:shd w:val="clear" w:color="auto" w:fill="auto"/>
            <w:noWrap/>
            <w:vAlign w:val="center"/>
            <w:hideMark/>
          </w:tcPr>
          <w:p w14:paraId="59287EEE" w14:textId="77777777" w:rsidR="00EB55F3" w:rsidRPr="00487834" w:rsidRDefault="00EB55F3" w:rsidP="00F36A29">
            <w:pPr>
              <w:pStyle w:val="NoSpacing"/>
            </w:pPr>
          </w:p>
        </w:tc>
        <w:tc>
          <w:tcPr>
            <w:tcW w:w="1608" w:type="dxa"/>
            <w:gridSpan w:val="2"/>
            <w:tcBorders>
              <w:top w:val="nil"/>
              <w:left w:val="nil"/>
              <w:bottom w:val="nil"/>
              <w:right w:val="nil"/>
            </w:tcBorders>
            <w:shd w:val="clear" w:color="auto" w:fill="auto"/>
            <w:noWrap/>
            <w:vAlign w:val="center"/>
            <w:hideMark/>
          </w:tcPr>
          <w:p w14:paraId="019A4DAD" w14:textId="77777777" w:rsidR="00EB55F3" w:rsidRPr="00487834" w:rsidRDefault="00EB55F3" w:rsidP="00F36A29">
            <w:pPr>
              <w:pStyle w:val="NoSpacing"/>
            </w:pPr>
          </w:p>
        </w:tc>
      </w:tr>
      <w:tr w:rsidR="00EB55F3" w:rsidRPr="00487834" w14:paraId="05A21BF0" w14:textId="77777777" w:rsidTr="00BF355C">
        <w:trPr>
          <w:trHeight w:val="300"/>
          <w:jc w:val="center"/>
        </w:trPr>
        <w:tc>
          <w:tcPr>
            <w:tcW w:w="1272" w:type="dxa"/>
            <w:gridSpan w:val="2"/>
            <w:tcBorders>
              <w:top w:val="nil"/>
              <w:left w:val="nil"/>
              <w:bottom w:val="nil"/>
              <w:right w:val="nil"/>
            </w:tcBorders>
            <w:shd w:val="clear" w:color="auto" w:fill="auto"/>
            <w:noWrap/>
            <w:vAlign w:val="center"/>
            <w:hideMark/>
          </w:tcPr>
          <w:p w14:paraId="53A75969" w14:textId="77777777" w:rsidR="00EB55F3" w:rsidRPr="00487834" w:rsidRDefault="00EB55F3" w:rsidP="00F36A29">
            <w:pPr>
              <w:pStyle w:val="NoSpacing"/>
              <w:rPr>
                <w:i/>
                <w:iCs/>
              </w:rPr>
            </w:pPr>
            <w:r w:rsidRPr="00487834">
              <w:rPr>
                <w:i/>
                <w:iCs/>
              </w:rPr>
              <w:t>ROE</w:t>
            </w:r>
          </w:p>
        </w:tc>
        <w:tc>
          <w:tcPr>
            <w:tcW w:w="1120" w:type="dxa"/>
            <w:gridSpan w:val="2"/>
            <w:tcBorders>
              <w:top w:val="nil"/>
              <w:left w:val="nil"/>
              <w:bottom w:val="nil"/>
              <w:right w:val="nil"/>
            </w:tcBorders>
            <w:shd w:val="clear" w:color="000000" w:fill="F5F8FB"/>
            <w:noWrap/>
            <w:vAlign w:val="bottom"/>
            <w:hideMark/>
          </w:tcPr>
          <w:p w14:paraId="561DFBBB" w14:textId="77777777" w:rsidR="00EB55F3" w:rsidRPr="00487834" w:rsidRDefault="00EB55F3" w:rsidP="00F36A29">
            <w:pPr>
              <w:pStyle w:val="NoSpacing"/>
            </w:pPr>
            <w:r w:rsidRPr="00487834">
              <w:t>0.062</w:t>
            </w:r>
          </w:p>
        </w:tc>
        <w:tc>
          <w:tcPr>
            <w:tcW w:w="1180" w:type="dxa"/>
            <w:gridSpan w:val="2"/>
            <w:tcBorders>
              <w:top w:val="nil"/>
              <w:left w:val="nil"/>
              <w:bottom w:val="nil"/>
              <w:right w:val="nil"/>
            </w:tcBorders>
            <w:shd w:val="clear" w:color="000000" w:fill="FCFDFE"/>
            <w:noWrap/>
            <w:vAlign w:val="bottom"/>
            <w:hideMark/>
          </w:tcPr>
          <w:p w14:paraId="574F0A5A" w14:textId="77777777" w:rsidR="00EB55F3" w:rsidRPr="00487834" w:rsidRDefault="00EB55F3" w:rsidP="00F36A29">
            <w:pPr>
              <w:pStyle w:val="NoSpacing"/>
            </w:pPr>
            <w:r w:rsidRPr="00487834">
              <w:t>0.022</w:t>
            </w:r>
          </w:p>
        </w:tc>
        <w:tc>
          <w:tcPr>
            <w:tcW w:w="1180" w:type="dxa"/>
            <w:gridSpan w:val="3"/>
            <w:tcBorders>
              <w:top w:val="nil"/>
              <w:left w:val="nil"/>
              <w:bottom w:val="nil"/>
              <w:right w:val="nil"/>
            </w:tcBorders>
            <w:shd w:val="clear" w:color="000000" w:fill="FAFCFD"/>
            <w:noWrap/>
            <w:vAlign w:val="bottom"/>
            <w:hideMark/>
          </w:tcPr>
          <w:p w14:paraId="0E4CFB3C" w14:textId="77777777" w:rsidR="00EB55F3" w:rsidRPr="00487834" w:rsidRDefault="00EB55F3" w:rsidP="00F36A29">
            <w:pPr>
              <w:pStyle w:val="NoSpacing"/>
            </w:pPr>
            <w:r w:rsidRPr="00487834">
              <w:t>0.030</w:t>
            </w:r>
          </w:p>
        </w:tc>
        <w:tc>
          <w:tcPr>
            <w:tcW w:w="1180" w:type="dxa"/>
            <w:gridSpan w:val="2"/>
            <w:tcBorders>
              <w:top w:val="nil"/>
              <w:left w:val="nil"/>
              <w:bottom w:val="nil"/>
              <w:right w:val="nil"/>
            </w:tcBorders>
            <w:shd w:val="clear" w:color="000000" w:fill="F3F7FB"/>
            <w:noWrap/>
            <w:vAlign w:val="bottom"/>
            <w:hideMark/>
          </w:tcPr>
          <w:p w14:paraId="3A4EECC9" w14:textId="77777777" w:rsidR="00EB55F3" w:rsidRPr="00487834" w:rsidRDefault="00EB55F3" w:rsidP="00F36A29">
            <w:pPr>
              <w:pStyle w:val="NoSpacing"/>
            </w:pPr>
            <w:r w:rsidRPr="00487834">
              <w:t>0.069</w:t>
            </w:r>
          </w:p>
        </w:tc>
        <w:tc>
          <w:tcPr>
            <w:tcW w:w="1180" w:type="dxa"/>
            <w:gridSpan w:val="2"/>
            <w:tcBorders>
              <w:top w:val="nil"/>
              <w:left w:val="nil"/>
              <w:bottom w:val="nil"/>
              <w:right w:val="nil"/>
            </w:tcBorders>
            <w:shd w:val="clear" w:color="000000" w:fill="F8FAFD"/>
            <w:noWrap/>
            <w:vAlign w:val="bottom"/>
            <w:hideMark/>
          </w:tcPr>
          <w:p w14:paraId="00DEB982" w14:textId="77777777" w:rsidR="00EB55F3" w:rsidRPr="00487834" w:rsidRDefault="00EB55F3" w:rsidP="00F36A29">
            <w:pPr>
              <w:pStyle w:val="NoSpacing"/>
            </w:pPr>
            <w:r w:rsidRPr="00487834">
              <w:t>0.040</w:t>
            </w:r>
          </w:p>
        </w:tc>
        <w:tc>
          <w:tcPr>
            <w:tcW w:w="1200" w:type="dxa"/>
            <w:gridSpan w:val="3"/>
            <w:tcBorders>
              <w:top w:val="nil"/>
              <w:left w:val="nil"/>
              <w:bottom w:val="nil"/>
              <w:right w:val="nil"/>
            </w:tcBorders>
            <w:shd w:val="clear" w:color="000000" w:fill="4F81BD"/>
            <w:noWrap/>
            <w:vAlign w:val="center"/>
            <w:hideMark/>
          </w:tcPr>
          <w:p w14:paraId="7B7F6592" w14:textId="77777777" w:rsidR="00EB55F3" w:rsidRPr="00487834" w:rsidRDefault="00EB55F3" w:rsidP="00F36A29">
            <w:pPr>
              <w:pStyle w:val="NoSpacing"/>
            </w:pPr>
            <w:r w:rsidRPr="00487834">
              <w:rPr>
                <w:lang w:val="en-US"/>
              </w:rPr>
              <w:t>1</w:t>
            </w:r>
          </w:p>
        </w:tc>
        <w:tc>
          <w:tcPr>
            <w:tcW w:w="1608" w:type="dxa"/>
            <w:gridSpan w:val="2"/>
            <w:tcBorders>
              <w:top w:val="nil"/>
              <w:left w:val="nil"/>
              <w:bottom w:val="nil"/>
              <w:right w:val="nil"/>
            </w:tcBorders>
            <w:shd w:val="clear" w:color="auto" w:fill="auto"/>
            <w:noWrap/>
            <w:vAlign w:val="center"/>
            <w:hideMark/>
          </w:tcPr>
          <w:p w14:paraId="61689ED4" w14:textId="77777777" w:rsidR="00EB55F3" w:rsidRPr="00487834" w:rsidRDefault="00EB55F3" w:rsidP="00F36A29">
            <w:pPr>
              <w:pStyle w:val="NoSpacing"/>
            </w:pPr>
          </w:p>
        </w:tc>
      </w:tr>
      <w:tr w:rsidR="00EB55F3" w:rsidRPr="00487834" w14:paraId="6237BE09" w14:textId="77777777" w:rsidTr="00BF355C">
        <w:trPr>
          <w:trHeight w:val="300"/>
          <w:jc w:val="center"/>
        </w:trPr>
        <w:tc>
          <w:tcPr>
            <w:tcW w:w="1272" w:type="dxa"/>
            <w:gridSpan w:val="2"/>
            <w:tcBorders>
              <w:top w:val="nil"/>
              <w:left w:val="nil"/>
              <w:bottom w:val="single" w:sz="4" w:space="0" w:color="auto"/>
              <w:right w:val="nil"/>
            </w:tcBorders>
            <w:shd w:val="clear" w:color="auto" w:fill="auto"/>
            <w:noWrap/>
            <w:vAlign w:val="center"/>
            <w:hideMark/>
          </w:tcPr>
          <w:p w14:paraId="37166F66" w14:textId="77777777" w:rsidR="00EB55F3" w:rsidRPr="00487834" w:rsidRDefault="00EB55F3" w:rsidP="00F36A29">
            <w:pPr>
              <w:pStyle w:val="NoSpacing"/>
              <w:rPr>
                <w:i/>
                <w:iCs/>
              </w:rPr>
            </w:pPr>
            <w:r w:rsidRPr="00487834">
              <w:rPr>
                <w:i/>
                <w:iCs/>
              </w:rPr>
              <w:t>EV/EBITDA</w:t>
            </w:r>
          </w:p>
        </w:tc>
        <w:tc>
          <w:tcPr>
            <w:tcW w:w="1120" w:type="dxa"/>
            <w:gridSpan w:val="2"/>
            <w:tcBorders>
              <w:top w:val="nil"/>
              <w:left w:val="nil"/>
              <w:bottom w:val="single" w:sz="4" w:space="0" w:color="auto"/>
              <w:right w:val="nil"/>
            </w:tcBorders>
            <w:shd w:val="clear" w:color="000000" w:fill="F7E9E9"/>
            <w:noWrap/>
            <w:vAlign w:val="bottom"/>
            <w:hideMark/>
          </w:tcPr>
          <w:p w14:paraId="72BC7225" w14:textId="77777777" w:rsidR="00EB55F3" w:rsidRPr="00487834" w:rsidRDefault="00EB55F3" w:rsidP="00F36A29">
            <w:pPr>
              <w:pStyle w:val="NoSpacing"/>
            </w:pPr>
            <w:r w:rsidRPr="00487834">
              <w:t>-0.121</w:t>
            </w:r>
          </w:p>
        </w:tc>
        <w:tc>
          <w:tcPr>
            <w:tcW w:w="1180" w:type="dxa"/>
            <w:gridSpan w:val="2"/>
            <w:tcBorders>
              <w:top w:val="nil"/>
              <w:left w:val="nil"/>
              <w:bottom w:val="single" w:sz="4" w:space="0" w:color="auto"/>
              <w:right w:val="nil"/>
            </w:tcBorders>
            <w:shd w:val="clear" w:color="000000" w:fill="F5F8FC"/>
            <w:noWrap/>
            <w:vAlign w:val="bottom"/>
            <w:hideMark/>
          </w:tcPr>
          <w:p w14:paraId="4273EA54" w14:textId="77777777" w:rsidR="00EB55F3" w:rsidRPr="00487834" w:rsidRDefault="00EB55F3" w:rsidP="00F36A29">
            <w:pPr>
              <w:pStyle w:val="NoSpacing"/>
            </w:pPr>
            <w:r w:rsidRPr="00487834">
              <w:t>0.059</w:t>
            </w:r>
          </w:p>
        </w:tc>
        <w:tc>
          <w:tcPr>
            <w:tcW w:w="1180" w:type="dxa"/>
            <w:gridSpan w:val="3"/>
            <w:tcBorders>
              <w:top w:val="nil"/>
              <w:left w:val="nil"/>
              <w:bottom w:val="single" w:sz="4" w:space="0" w:color="auto"/>
              <w:right w:val="nil"/>
            </w:tcBorders>
            <w:shd w:val="clear" w:color="000000" w:fill="FFFFFF"/>
            <w:noWrap/>
            <w:vAlign w:val="bottom"/>
            <w:hideMark/>
          </w:tcPr>
          <w:p w14:paraId="73F18023" w14:textId="77777777" w:rsidR="00EB55F3" w:rsidRPr="00487834" w:rsidRDefault="00EB55F3" w:rsidP="00F36A29">
            <w:pPr>
              <w:pStyle w:val="NoSpacing"/>
            </w:pPr>
            <w:r w:rsidRPr="00487834">
              <w:t>0.005</w:t>
            </w:r>
          </w:p>
        </w:tc>
        <w:tc>
          <w:tcPr>
            <w:tcW w:w="1180" w:type="dxa"/>
            <w:gridSpan w:val="2"/>
            <w:tcBorders>
              <w:top w:val="nil"/>
              <w:left w:val="nil"/>
              <w:bottom w:val="single" w:sz="4" w:space="0" w:color="auto"/>
              <w:right w:val="nil"/>
            </w:tcBorders>
            <w:shd w:val="clear" w:color="000000" w:fill="F0F5FA"/>
            <w:noWrap/>
            <w:vAlign w:val="bottom"/>
            <w:hideMark/>
          </w:tcPr>
          <w:p w14:paraId="12CDC6F0" w14:textId="77777777" w:rsidR="00EB55F3" w:rsidRPr="00487834" w:rsidRDefault="00EB55F3" w:rsidP="00F36A29">
            <w:pPr>
              <w:pStyle w:val="NoSpacing"/>
            </w:pPr>
            <w:r w:rsidRPr="00487834">
              <w:t>0.087</w:t>
            </w:r>
          </w:p>
        </w:tc>
        <w:tc>
          <w:tcPr>
            <w:tcW w:w="1180" w:type="dxa"/>
            <w:gridSpan w:val="2"/>
            <w:tcBorders>
              <w:top w:val="nil"/>
              <w:left w:val="nil"/>
              <w:bottom w:val="single" w:sz="4" w:space="0" w:color="auto"/>
              <w:right w:val="nil"/>
            </w:tcBorders>
            <w:shd w:val="clear" w:color="000000" w:fill="FEFEFE"/>
            <w:noWrap/>
            <w:vAlign w:val="bottom"/>
            <w:hideMark/>
          </w:tcPr>
          <w:p w14:paraId="7B55A134" w14:textId="77777777" w:rsidR="00EB55F3" w:rsidRPr="00487834" w:rsidRDefault="00EB55F3" w:rsidP="00F36A29">
            <w:pPr>
              <w:pStyle w:val="NoSpacing"/>
            </w:pPr>
            <w:r w:rsidRPr="00487834">
              <w:t>-0.002</w:t>
            </w:r>
          </w:p>
        </w:tc>
        <w:tc>
          <w:tcPr>
            <w:tcW w:w="1200" w:type="dxa"/>
            <w:gridSpan w:val="3"/>
            <w:tcBorders>
              <w:top w:val="nil"/>
              <w:left w:val="nil"/>
              <w:bottom w:val="single" w:sz="4" w:space="0" w:color="auto"/>
              <w:right w:val="nil"/>
            </w:tcBorders>
            <w:shd w:val="clear" w:color="000000" w:fill="FDFAFA"/>
            <w:noWrap/>
            <w:vAlign w:val="bottom"/>
            <w:hideMark/>
          </w:tcPr>
          <w:p w14:paraId="1F1634B0" w14:textId="77777777" w:rsidR="00EB55F3" w:rsidRPr="00487834" w:rsidRDefault="00EB55F3" w:rsidP="00F36A29">
            <w:pPr>
              <w:pStyle w:val="NoSpacing"/>
            </w:pPr>
            <w:r w:rsidRPr="00487834">
              <w:t>-0.027</w:t>
            </w:r>
          </w:p>
        </w:tc>
        <w:tc>
          <w:tcPr>
            <w:tcW w:w="1608" w:type="dxa"/>
            <w:gridSpan w:val="2"/>
            <w:tcBorders>
              <w:top w:val="nil"/>
              <w:left w:val="nil"/>
              <w:bottom w:val="single" w:sz="4" w:space="0" w:color="auto"/>
              <w:right w:val="nil"/>
            </w:tcBorders>
            <w:shd w:val="clear" w:color="000000" w:fill="4F81BD"/>
            <w:noWrap/>
            <w:vAlign w:val="center"/>
            <w:hideMark/>
          </w:tcPr>
          <w:p w14:paraId="31F013E3" w14:textId="77777777" w:rsidR="00EB55F3" w:rsidRPr="00487834" w:rsidRDefault="00EB55F3" w:rsidP="00F36A29">
            <w:pPr>
              <w:pStyle w:val="NoSpacing"/>
            </w:pPr>
            <w:r w:rsidRPr="00487834">
              <w:rPr>
                <w:lang w:val="en-US"/>
              </w:rPr>
              <w:t>1</w:t>
            </w:r>
          </w:p>
        </w:tc>
      </w:tr>
      <w:tr w:rsidR="00EB55F3" w:rsidRPr="00487834" w14:paraId="53DF39AF" w14:textId="77777777" w:rsidTr="00BF355C">
        <w:trPr>
          <w:trHeight w:val="300"/>
          <w:jc w:val="center"/>
        </w:trPr>
        <w:tc>
          <w:tcPr>
            <w:tcW w:w="970" w:type="dxa"/>
            <w:tcBorders>
              <w:top w:val="single" w:sz="4" w:space="0" w:color="auto"/>
              <w:left w:val="nil"/>
              <w:bottom w:val="single" w:sz="4" w:space="0" w:color="auto"/>
              <w:right w:val="nil"/>
            </w:tcBorders>
            <w:shd w:val="clear" w:color="000000" w:fill="C0504D"/>
            <w:noWrap/>
            <w:vAlign w:val="center"/>
            <w:hideMark/>
          </w:tcPr>
          <w:p w14:paraId="0F823F8E" w14:textId="77777777" w:rsidR="00EB55F3" w:rsidRPr="00487834" w:rsidRDefault="00EB55F3" w:rsidP="00F36A29">
            <w:pPr>
              <w:pStyle w:val="NoSpacing"/>
            </w:pPr>
            <w:r w:rsidRPr="00487834">
              <w:t>-1.0</w:t>
            </w:r>
          </w:p>
        </w:tc>
        <w:tc>
          <w:tcPr>
            <w:tcW w:w="902" w:type="dxa"/>
            <w:gridSpan w:val="2"/>
            <w:tcBorders>
              <w:top w:val="single" w:sz="4" w:space="0" w:color="auto"/>
              <w:left w:val="nil"/>
              <w:bottom w:val="single" w:sz="4" w:space="0" w:color="auto"/>
              <w:right w:val="nil"/>
            </w:tcBorders>
            <w:shd w:val="clear" w:color="000000" w:fill="CC7270"/>
            <w:noWrap/>
            <w:vAlign w:val="center"/>
            <w:hideMark/>
          </w:tcPr>
          <w:p w14:paraId="12CCEDBA" w14:textId="77777777" w:rsidR="00EB55F3" w:rsidRPr="00487834" w:rsidRDefault="00EB55F3" w:rsidP="00F36A29">
            <w:pPr>
              <w:pStyle w:val="NoSpacing"/>
            </w:pPr>
            <w:r w:rsidRPr="00487834">
              <w:t>-0.8</w:t>
            </w:r>
          </w:p>
        </w:tc>
        <w:tc>
          <w:tcPr>
            <w:tcW w:w="880" w:type="dxa"/>
            <w:gridSpan w:val="2"/>
            <w:tcBorders>
              <w:top w:val="single" w:sz="4" w:space="0" w:color="auto"/>
              <w:left w:val="nil"/>
              <w:bottom w:val="single" w:sz="4" w:space="0" w:color="auto"/>
              <w:right w:val="nil"/>
            </w:tcBorders>
            <w:shd w:val="clear" w:color="000000" w:fill="D99694"/>
            <w:noWrap/>
            <w:vAlign w:val="center"/>
            <w:hideMark/>
          </w:tcPr>
          <w:p w14:paraId="5AC8A274" w14:textId="77777777" w:rsidR="00EB55F3" w:rsidRPr="00487834" w:rsidRDefault="00EB55F3" w:rsidP="00F36A29">
            <w:pPr>
              <w:pStyle w:val="NoSpacing"/>
            </w:pPr>
            <w:r w:rsidRPr="00487834">
              <w:t>-0.6</w:t>
            </w:r>
          </w:p>
        </w:tc>
        <w:tc>
          <w:tcPr>
            <w:tcW w:w="900" w:type="dxa"/>
            <w:gridSpan w:val="2"/>
            <w:tcBorders>
              <w:top w:val="single" w:sz="4" w:space="0" w:color="auto"/>
              <w:left w:val="nil"/>
              <w:bottom w:val="single" w:sz="4" w:space="0" w:color="auto"/>
              <w:right w:val="nil"/>
            </w:tcBorders>
            <w:shd w:val="clear" w:color="000000" w:fill="E5B9B7"/>
            <w:noWrap/>
            <w:vAlign w:val="center"/>
            <w:hideMark/>
          </w:tcPr>
          <w:p w14:paraId="5E0D2A95" w14:textId="77777777" w:rsidR="00EB55F3" w:rsidRPr="00487834" w:rsidRDefault="00EB55F3" w:rsidP="00F36A29">
            <w:pPr>
              <w:pStyle w:val="NoSpacing"/>
            </w:pPr>
            <w:r w:rsidRPr="00487834">
              <w:t>-0.4</w:t>
            </w:r>
          </w:p>
        </w:tc>
        <w:tc>
          <w:tcPr>
            <w:tcW w:w="880" w:type="dxa"/>
            <w:tcBorders>
              <w:top w:val="single" w:sz="4" w:space="0" w:color="auto"/>
              <w:left w:val="nil"/>
              <w:bottom w:val="single" w:sz="4" w:space="0" w:color="auto"/>
              <w:right w:val="nil"/>
            </w:tcBorders>
            <w:shd w:val="clear" w:color="000000" w:fill="F2DCDB"/>
            <w:noWrap/>
            <w:vAlign w:val="center"/>
            <w:hideMark/>
          </w:tcPr>
          <w:p w14:paraId="3A278C4B" w14:textId="77777777" w:rsidR="00EB55F3" w:rsidRPr="00487834" w:rsidRDefault="00EB55F3" w:rsidP="00F36A29">
            <w:pPr>
              <w:pStyle w:val="NoSpacing"/>
            </w:pPr>
            <w:r w:rsidRPr="00487834">
              <w:t>-0.2</w:t>
            </w:r>
          </w:p>
        </w:tc>
        <w:tc>
          <w:tcPr>
            <w:tcW w:w="880" w:type="dxa"/>
            <w:gridSpan w:val="2"/>
            <w:tcBorders>
              <w:top w:val="single" w:sz="4" w:space="0" w:color="auto"/>
              <w:left w:val="nil"/>
              <w:bottom w:val="single" w:sz="4" w:space="0" w:color="auto"/>
              <w:right w:val="nil"/>
            </w:tcBorders>
            <w:shd w:val="clear" w:color="000000" w:fill="FFFFFF"/>
            <w:noWrap/>
            <w:vAlign w:val="center"/>
            <w:hideMark/>
          </w:tcPr>
          <w:p w14:paraId="1A3DDDE2" w14:textId="77777777" w:rsidR="00EB55F3" w:rsidRPr="00487834" w:rsidRDefault="00EB55F3" w:rsidP="00F36A29">
            <w:pPr>
              <w:pStyle w:val="NoSpacing"/>
            </w:pPr>
            <w:r w:rsidRPr="00487834">
              <w:t>0</w:t>
            </w:r>
          </w:p>
        </w:tc>
        <w:tc>
          <w:tcPr>
            <w:tcW w:w="920" w:type="dxa"/>
            <w:gridSpan w:val="2"/>
            <w:tcBorders>
              <w:top w:val="single" w:sz="4" w:space="0" w:color="auto"/>
              <w:left w:val="nil"/>
              <w:bottom w:val="single" w:sz="4" w:space="0" w:color="auto"/>
              <w:right w:val="nil"/>
            </w:tcBorders>
            <w:shd w:val="clear" w:color="000000" w:fill="DCE6F2"/>
            <w:noWrap/>
            <w:vAlign w:val="center"/>
            <w:hideMark/>
          </w:tcPr>
          <w:p w14:paraId="5275E943" w14:textId="77777777" w:rsidR="00EB55F3" w:rsidRPr="00487834" w:rsidRDefault="00EB55F3" w:rsidP="00F36A29">
            <w:pPr>
              <w:pStyle w:val="NoSpacing"/>
            </w:pPr>
            <w:r w:rsidRPr="00487834">
              <w:t>0.2</w:t>
            </w:r>
          </w:p>
        </w:tc>
        <w:tc>
          <w:tcPr>
            <w:tcW w:w="880" w:type="dxa"/>
            <w:gridSpan w:val="2"/>
            <w:tcBorders>
              <w:top w:val="single" w:sz="4" w:space="0" w:color="auto"/>
              <w:left w:val="nil"/>
              <w:bottom w:val="single" w:sz="4" w:space="0" w:color="auto"/>
              <w:right w:val="nil"/>
            </w:tcBorders>
            <w:shd w:val="clear" w:color="000000" w:fill="B9CDE5"/>
            <w:noWrap/>
            <w:vAlign w:val="center"/>
            <w:hideMark/>
          </w:tcPr>
          <w:p w14:paraId="10829818" w14:textId="77777777" w:rsidR="00EB55F3" w:rsidRPr="00487834" w:rsidRDefault="00EB55F3" w:rsidP="00F36A29">
            <w:pPr>
              <w:pStyle w:val="NoSpacing"/>
            </w:pPr>
            <w:r w:rsidRPr="00487834">
              <w:t>0.4</w:t>
            </w:r>
          </w:p>
        </w:tc>
        <w:tc>
          <w:tcPr>
            <w:tcW w:w="880" w:type="dxa"/>
            <w:tcBorders>
              <w:top w:val="single" w:sz="4" w:space="0" w:color="auto"/>
              <w:left w:val="nil"/>
              <w:bottom w:val="single" w:sz="4" w:space="0" w:color="auto"/>
              <w:right w:val="nil"/>
            </w:tcBorders>
            <w:shd w:val="clear" w:color="000000" w:fill="96B4D8"/>
            <w:noWrap/>
            <w:vAlign w:val="center"/>
            <w:hideMark/>
          </w:tcPr>
          <w:p w14:paraId="7D1181A5" w14:textId="77777777" w:rsidR="00EB55F3" w:rsidRPr="00487834" w:rsidRDefault="00EB55F3" w:rsidP="00F36A29">
            <w:pPr>
              <w:pStyle w:val="NoSpacing"/>
            </w:pPr>
            <w:r w:rsidRPr="00487834">
              <w:t>0.6</w:t>
            </w:r>
          </w:p>
        </w:tc>
        <w:tc>
          <w:tcPr>
            <w:tcW w:w="928" w:type="dxa"/>
            <w:gridSpan w:val="2"/>
            <w:tcBorders>
              <w:top w:val="single" w:sz="4" w:space="0" w:color="auto"/>
              <w:left w:val="nil"/>
              <w:bottom w:val="single" w:sz="4" w:space="0" w:color="auto"/>
              <w:right w:val="nil"/>
            </w:tcBorders>
            <w:shd w:val="clear" w:color="000000" w:fill="739BCB"/>
            <w:noWrap/>
            <w:vAlign w:val="center"/>
            <w:hideMark/>
          </w:tcPr>
          <w:p w14:paraId="23A7883C" w14:textId="77777777" w:rsidR="00EB55F3" w:rsidRPr="00487834" w:rsidRDefault="00EB55F3" w:rsidP="00F36A29">
            <w:pPr>
              <w:pStyle w:val="NoSpacing"/>
            </w:pPr>
            <w:r w:rsidRPr="00487834">
              <w:t>0.8</w:t>
            </w:r>
          </w:p>
        </w:tc>
        <w:tc>
          <w:tcPr>
            <w:tcW w:w="900" w:type="dxa"/>
            <w:tcBorders>
              <w:top w:val="single" w:sz="4" w:space="0" w:color="auto"/>
              <w:left w:val="nil"/>
              <w:bottom w:val="single" w:sz="4" w:space="0" w:color="auto"/>
              <w:right w:val="nil"/>
            </w:tcBorders>
            <w:shd w:val="clear" w:color="000000" w:fill="4F81BD"/>
            <w:noWrap/>
            <w:vAlign w:val="center"/>
            <w:hideMark/>
          </w:tcPr>
          <w:p w14:paraId="6D2231D9" w14:textId="77777777" w:rsidR="00EB55F3" w:rsidRPr="00487834" w:rsidRDefault="00EB55F3" w:rsidP="00F36A29">
            <w:pPr>
              <w:pStyle w:val="NoSpacing"/>
            </w:pPr>
            <w:r w:rsidRPr="00487834">
              <w:t>1.0</w:t>
            </w:r>
          </w:p>
        </w:tc>
      </w:tr>
    </w:tbl>
    <w:p w14:paraId="35B4BEF9" w14:textId="77777777" w:rsidR="00EB55F3" w:rsidRPr="00487834" w:rsidRDefault="00EB55F3" w:rsidP="003128F6">
      <w:pPr>
        <w:autoSpaceDE w:val="0"/>
        <w:autoSpaceDN w:val="0"/>
        <w:adjustRightInd w:val="0"/>
        <w:spacing w:line="300" w:lineRule="auto"/>
        <w:rPr>
          <w:color w:val="0D0D0D"/>
          <w:shd w:val="clear" w:color="auto" w:fill="FFFFFF"/>
        </w:rPr>
      </w:pPr>
    </w:p>
    <w:p w14:paraId="720F2C79" w14:textId="77777777" w:rsidR="00EB55F3" w:rsidRPr="00487834" w:rsidRDefault="00EB55F3" w:rsidP="003128F6">
      <w:pPr>
        <w:autoSpaceDE w:val="0"/>
        <w:autoSpaceDN w:val="0"/>
        <w:adjustRightInd w:val="0"/>
        <w:spacing w:line="300" w:lineRule="auto"/>
        <w:rPr>
          <w:color w:val="0D0D0D"/>
          <w:shd w:val="clear" w:color="auto" w:fill="FFFFFF"/>
        </w:rPr>
      </w:pPr>
    </w:p>
    <w:p w14:paraId="755DF55F" w14:textId="77777777" w:rsidR="00827B4E" w:rsidRPr="00487834" w:rsidRDefault="00827B4E" w:rsidP="003128F6">
      <w:pPr>
        <w:autoSpaceDE w:val="0"/>
        <w:autoSpaceDN w:val="0"/>
        <w:adjustRightInd w:val="0"/>
        <w:spacing w:line="300" w:lineRule="auto"/>
        <w:rPr>
          <w:rFonts w:eastAsiaTheme="minorHAnsi"/>
          <w:b/>
          <w:bCs/>
          <w:lang w:val="en-GB" w:eastAsia="en-US"/>
        </w:rPr>
      </w:pPr>
    </w:p>
    <w:p w14:paraId="3D1AC09F" w14:textId="77777777" w:rsidR="00AD365D" w:rsidRDefault="00AD365D" w:rsidP="003128F6">
      <w:pPr>
        <w:autoSpaceDE w:val="0"/>
        <w:autoSpaceDN w:val="0"/>
        <w:adjustRightInd w:val="0"/>
        <w:spacing w:line="300" w:lineRule="auto"/>
        <w:rPr>
          <w:rFonts w:eastAsiaTheme="minorHAnsi"/>
          <w:b/>
          <w:bCs/>
          <w:lang w:val="en-GB" w:eastAsia="en-US"/>
        </w:rPr>
      </w:pPr>
    </w:p>
    <w:p w14:paraId="63839781" w14:textId="77777777" w:rsidR="00AD365D" w:rsidRDefault="00AD365D" w:rsidP="003128F6">
      <w:pPr>
        <w:autoSpaceDE w:val="0"/>
        <w:autoSpaceDN w:val="0"/>
        <w:adjustRightInd w:val="0"/>
        <w:spacing w:line="300" w:lineRule="auto"/>
        <w:rPr>
          <w:rFonts w:eastAsiaTheme="minorHAnsi"/>
          <w:b/>
          <w:bCs/>
          <w:lang w:val="en-GB" w:eastAsia="en-US"/>
        </w:rPr>
      </w:pPr>
    </w:p>
    <w:p w14:paraId="2EEEEAC3" w14:textId="77777777" w:rsidR="00AD365D" w:rsidRDefault="00AD365D" w:rsidP="003128F6">
      <w:pPr>
        <w:autoSpaceDE w:val="0"/>
        <w:autoSpaceDN w:val="0"/>
        <w:adjustRightInd w:val="0"/>
        <w:spacing w:line="300" w:lineRule="auto"/>
        <w:rPr>
          <w:rFonts w:eastAsiaTheme="minorHAnsi"/>
          <w:b/>
          <w:bCs/>
          <w:lang w:val="en-GB" w:eastAsia="en-US"/>
        </w:rPr>
      </w:pPr>
    </w:p>
    <w:p w14:paraId="080EE46F" w14:textId="77777777" w:rsidR="00AD365D" w:rsidRDefault="00AD365D" w:rsidP="003128F6">
      <w:pPr>
        <w:autoSpaceDE w:val="0"/>
        <w:autoSpaceDN w:val="0"/>
        <w:adjustRightInd w:val="0"/>
        <w:spacing w:line="300" w:lineRule="auto"/>
        <w:rPr>
          <w:rFonts w:eastAsiaTheme="minorHAnsi"/>
          <w:b/>
          <w:bCs/>
          <w:lang w:val="en-GB" w:eastAsia="en-US"/>
        </w:rPr>
      </w:pPr>
    </w:p>
    <w:p w14:paraId="3CB5D7CF" w14:textId="77777777" w:rsidR="00AD365D" w:rsidRDefault="00AD365D" w:rsidP="003128F6">
      <w:pPr>
        <w:autoSpaceDE w:val="0"/>
        <w:autoSpaceDN w:val="0"/>
        <w:adjustRightInd w:val="0"/>
        <w:spacing w:line="300" w:lineRule="auto"/>
        <w:rPr>
          <w:rFonts w:eastAsiaTheme="minorHAnsi"/>
          <w:b/>
          <w:bCs/>
          <w:lang w:val="en-GB" w:eastAsia="en-US"/>
        </w:rPr>
      </w:pPr>
    </w:p>
    <w:p w14:paraId="51AA3705" w14:textId="77777777" w:rsidR="00AD365D" w:rsidRDefault="00AD365D" w:rsidP="003128F6">
      <w:pPr>
        <w:autoSpaceDE w:val="0"/>
        <w:autoSpaceDN w:val="0"/>
        <w:adjustRightInd w:val="0"/>
        <w:spacing w:line="300" w:lineRule="auto"/>
        <w:rPr>
          <w:rFonts w:eastAsiaTheme="minorHAnsi"/>
          <w:b/>
          <w:bCs/>
          <w:lang w:val="en-GB" w:eastAsia="en-US"/>
        </w:rPr>
      </w:pPr>
    </w:p>
    <w:p w14:paraId="4B2A0BE0" w14:textId="27250129" w:rsidR="00EB55F3" w:rsidRPr="00487834" w:rsidRDefault="00EB55F3" w:rsidP="003128F6">
      <w:pPr>
        <w:autoSpaceDE w:val="0"/>
        <w:autoSpaceDN w:val="0"/>
        <w:adjustRightInd w:val="0"/>
        <w:spacing w:line="300" w:lineRule="auto"/>
        <w:rPr>
          <w:color w:val="0D0D0D"/>
          <w:shd w:val="clear" w:color="auto" w:fill="FFFFFF"/>
          <w:lang w:val="en-US"/>
        </w:rPr>
      </w:pPr>
      <w:r w:rsidRPr="00487834">
        <w:rPr>
          <w:rFonts w:eastAsiaTheme="minorHAnsi"/>
          <w:b/>
          <w:bCs/>
          <w:lang w:val="en-GB" w:eastAsia="en-US"/>
        </w:rPr>
        <w:t>Table 1</w:t>
      </w:r>
      <w:r w:rsidR="00BF355C" w:rsidRPr="00487834">
        <w:rPr>
          <w:rFonts w:eastAsiaTheme="minorHAnsi"/>
          <w:b/>
          <w:bCs/>
          <w:lang w:val="en-GB" w:eastAsia="en-US"/>
        </w:rPr>
        <w:t>6</w:t>
      </w:r>
      <w:r w:rsidRPr="00487834">
        <w:rPr>
          <w:rFonts w:eastAsiaTheme="minorHAnsi"/>
          <w:b/>
          <w:bCs/>
          <w:lang w:val="en-GB" w:eastAsia="en-US"/>
        </w:rPr>
        <w:t xml:space="preserve"> – </w:t>
      </w:r>
      <w:r w:rsidRPr="00487834">
        <w:rPr>
          <w:color w:val="0D0D0D"/>
          <w:shd w:val="clear" w:color="auto" w:fill="FFFFFF"/>
          <w:lang w:val="en-US"/>
        </w:rPr>
        <w:t>Pearson’s correlation matrix of the main variables of the cost of debt model</w:t>
      </w:r>
    </w:p>
    <w:p w14:paraId="27167C33" w14:textId="77777777" w:rsidR="00EB55F3" w:rsidRPr="00487834" w:rsidRDefault="00EB55F3" w:rsidP="003128F6">
      <w:pPr>
        <w:autoSpaceDE w:val="0"/>
        <w:autoSpaceDN w:val="0"/>
        <w:adjustRightInd w:val="0"/>
        <w:spacing w:line="300" w:lineRule="auto"/>
        <w:rPr>
          <w:color w:val="0D0D0D"/>
          <w:shd w:val="clear" w:color="auto" w:fill="FFFFFF"/>
          <w:lang w:val="en-US"/>
        </w:rPr>
      </w:pPr>
    </w:p>
    <w:p w14:paraId="24A7729E" w14:textId="77777777" w:rsidR="00EB55F3" w:rsidRPr="00487834" w:rsidRDefault="00EB55F3" w:rsidP="003128F6">
      <w:pPr>
        <w:autoSpaceDE w:val="0"/>
        <w:autoSpaceDN w:val="0"/>
        <w:adjustRightInd w:val="0"/>
        <w:spacing w:line="300" w:lineRule="auto"/>
        <w:rPr>
          <w:color w:val="0D0D0D"/>
          <w:shd w:val="clear" w:color="auto" w:fill="FFFFFF"/>
          <w:lang w:val="en-US"/>
        </w:rPr>
      </w:pPr>
    </w:p>
    <w:tbl>
      <w:tblPr>
        <w:tblW w:w="11075" w:type="dxa"/>
        <w:jc w:val="center"/>
        <w:tblLook w:val="04A0" w:firstRow="1" w:lastRow="0" w:firstColumn="1" w:lastColumn="0" w:noHBand="0" w:noVBand="1"/>
      </w:tblPr>
      <w:tblGrid>
        <w:gridCol w:w="1029"/>
        <w:gridCol w:w="312"/>
        <w:gridCol w:w="691"/>
        <w:gridCol w:w="429"/>
        <w:gridCol w:w="421"/>
        <w:gridCol w:w="759"/>
        <w:gridCol w:w="92"/>
        <w:gridCol w:w="850"/>
        <w:gridCol w:w="238"/>
        <w:gridCol w:w="613"/>
        <w:gridCol w:w="567"/>
        <w:gridCol w:w="425"/>
        <w:gridCol w:w="755"/>
        <w:gridCol w:w="237"/>
        <w:gridCol w:w="1134"/>
        <w:gridCol w:w="1341"/>
        <w:gridCol w:w="1209"/>
        <w:gridCol w:w="67"/>
      </w:tblGrid>
      <w:tr w:rsidR="00EB55F3" w:rsidRPr="00487834" w14:paraId="3CED0E72" w14:textId="77777777" w:rsidTr="00BF355C">
        <w:trPr>
          <w:gridAfter w:val="1"/>
          <w:wAfter w:w="67" w:type="dxa"/>
          <w:trHeight w:val="300"/>
          <w:jc w:val="center"/>
        </w:trPr>
        <w:tc>
          <w:tcPr>
            <w:tcW w:w="1294" w:type="dxa"/>
            <w:gridSpan w:val="2"/>
            <w:tcBorders>
              <w:top w:val="single" w:sz="4" w:space="0" w:color="auto"/>
              <w:left w:val="nil"/>
              <w:bottom w:val="single" w:sz="4" w:space="0" w:color="auto"/>
              <w:right w:val="nil"/>
            </w:tcBorders>
            <w:shd w:val="clear" w:color="auto" w:fill="auto"/>
            <w:noWrap/>
            <w:vAlign w:val="bottom"/>
            <w:hideMark/>
          </w:tcPr>
          <w:p w14:paraId="46E4D2D1" w14:textId="77777777" w:rsidR="00EB55F3" w:rsidRPr="00487834" w:rsidRDefault="00EB55F3" w:rsidP="00F36A29">
            <w:pPr>
              <w:pStyle w:val="NoSpacing"/>
              <w:rPr>
                <w:lang w:val="en-US"/>
              </w:rPr>
            </w:pPr>
            <w:r w:rsidRPr="00487834">
              <w:rPr>
                <w:lang w:val="en-US"/>
              </w:rPr>
              <w:t> </w:t>
            </w:r>
          </w:p>
        </w:tc>
        <w:tc>
          <w:tcPr>
            <w:tcW w:w="1120" w:type="dxa"/>
            <w:gridSpan w:val="2"/>
            <w:tcBorders>
              <w:top w:val="single" w:sz="4" w:space="0" w:color="auto"/>
              <w:left w:val="nil"/>
              <w:bottom w:val="single" w:sz="4" w:space="0" w:color="auto"/>
              <w:right w:val="nil"/>
            </w:tcBorders>
            <w:shd w:val="clear" w:color="auto" w:fill="auto"/>
            <w:noWrap/>
            <w:vAlign w:val="center"/>
            <w:hideMark/>
          </w:tcPr>
          <w:p w14:paraId="53787756" w14:textId="77777777" w:rsidR="00EB55F3" w:rsidRPr="00487834" w:rsidRDefault="00EB55F3" w:rsidP="00F36A29">
            <w:pPr>
              <w:pStyle w:val="NoSpacing"/>
              <w:rPr>
                <w:i/>
                <w:iCs/>
              </w:rPr>
            </w:pPr>
            <w:r w:rsidRPr="00487834">
              <w:rPr>
                <w:i/>
                <w:iCs/>
              </w:rPr>
              <w:t>ESG</w:t>
            </w:r>
          </w:p>
        </w:tc>
        <w:tc>
          <w:tcPr>
            <w:tcW w:w="1180" w:type="dxa"/>
            <w:gridSpan w:val="2"/>
            <w:tcBorders>
              <w:top w:val="single" w:sz="4" w:space="0" w:color="auto"/>
              <w:left w:val="nil"/>
              <w:bottom w:val="single" w:sz="4" w:space="0" w:color="auto"/>
              <w:right w:val="nil"/>
            </w:tcBorders>
            <w:shd w:val="clear" w:color="auto" w:fill="auto"/>
            <w:noWrap/>
            <w:vAlign w:val="center"/>
            <w:hideMark/>
          </w:tcPr>
          <w:p w14:paraId="4F870F29" w14:textId="77777777" w:rsidR="00EB55F3" w:rsidRPr="00487834" w:rsidRDefault="00EB55F3" w:rsidP="00F36A29">
            <w:pPr>
              <w:pStyle w:val="NoSpacing"/>
              <w:rPr>
                <w:i/>
                <w:iCs/>
              </w:rPr>
            </w:pPr>
            <w:r w:rsidRPr="00487834">
              <w:rPr>
                <w:i/>
                <w:iCs/>
              </w:rPr>
              <w:t>MCAP</w:t>
            </w:r>
          </w:p>
        </w:tc>
        <w:tc>
          <w:tcPr>
            <w:tcW w:w="1180" w:type="dxa"/>
            <w:gridSpan w:val="3"/>
            <w:tcBorders>
              <w:top w:val="single" w:sz="4" w:space="0" w:color="auto"/>
              <w:left w:val="nil"/>
              <w:bottom w:val="single" w:sz="4" w:space="0" w:color="auto"/>
              <w:right w:val="nil"/>
            </w:tcBorders>
            <w:shd w:val="clear" w:color="auto" w:fill="auto"/>
            <w:noWrap/>
            <w:vAlign w:val="center"/>
            <w:hideMark/>
          </w:tcPr>
          <w:p w14:paraId="0B5D6779" w14:textId="77777777" w:rsidR="00EB55F3" w:rsidRPr="00487834" w:rsidRDefault="00EB55F3" w:rsidP="00F36A29">
            <w:pPr>
              <w:pStyle w:val="NoSpacing"/>
              <w:rPr>
                <w:i/>
                <w:iCs/>
              </w:rPr>
            </w:pPr>
            <w:r w:rsidRPr="00487834">
              <w:rPr>
                <w:i/>
                <w:iCs/>
              </w:rPr>
              <w:t>LEV</w:t>
            </w:r>
          </w:p>
        </w:tc>
        <w:tc>
          <w:tcPr>
            <w:tcW w:w="1180" w:type="dxa"/>
            <w:gridSpan w:val="2"/>
            <w:tcBorders>
              <w:top w:val="single" w:sz="4" w:space="0" w:color="auto"/>
              <w:left w:val="nil"/>
              <w:bottom w:val="single" w:sz="4" w:space="0" w:color="auto"/>
              <w:right w:val="nil"/>
            </w:tcBorders>
            <w:shd w:val="clear" w:color="auto" w:fill="auto"/>
            <w:noWrap/>
            <w:vAlign w:val="center"/>
            <w:hideMark/>
          </w:tcPr>
          <w:p w14:paraId="19573CB0" w14:textId="77777777" w:rsidR="00EB55F3" w:rsidRPr="00487834" w:rsidRDefault="00EB55F3" w:rsidP="00F36A29">
            <w:pPr>
              <w:pStyle w:val="NoSpacing"/>
              <w:rPr>
                <w:i/>
                <w:iCs/>
              </w:rPr>
            </w:pPr>
            <w:r w:rsidRPr="00487834">
              <w:rPr>
                <w:i/>
                <w:iCs/>
              </w:rPr>
              <w:t>ICR</w:t>
            </w:r>
          </w:p>
        </w:tc>
        <w:tc>
          <w:tcPr>
            <w:tcW w:w="1180" w:type="dxa"/>
            <w:gridSpan w:val="2"/>
            <w:tcBorders>
              <w:top w:val="single" w:sz="4" w:space="0" w:color="auto"/>
              <w:left w:val="nil"/>
              <w:bottom w:val="single" w:sz="4" w:space="0" w:color="auto"/>
              <w:right w:val="nil"/>
            </w:tcBorders>
            <w:shd w:val="clear" w:color="auto" w:fill="auto"/>
            <w:noWrap/>
            <w:vAlign w:val="center"/>
            <w:hideMark/>
          </w:tcPr>
          <w:p w14:paraId="42BFFA76" w14:textId="77777777" w:rsidR="00EB55F3" w:rsidRPr="00487834" w:rsidRDefault="00EB55F3" w:rsidP="00F36A29">
            <w:pPr>
              <w:pStyle w:val="NoSpacing"/>
              <w:rPr>
                <w:i/>
                <w:iCs/>
              </w:rPr>
            </w:pPr>
            <w:r w:rsidRPr="00487834">
              <w:rPr>
                <w:i/>
                <w:iCs/>
              </w:rPr>
              <w:t>Current</w:t>
            </w:r>
          </w:p>
        </w:tc>
        <w:tc>
          <w:tcPr>
            <w:tcW w:w="1371" w:type="dxa"/>
            <w:gridSpan w:val="2"/>
            <w:tcBorders>
              <w:top w:val="single" w:sz="4" w:space="0" w:color="auto"/>
              <w:left w:val="nil"/>
              <w:bottom w:val="single" w:sz="4" w:space="0" w:color="auto"/>
              <w:right w:val="nil"/>
            </w:tcBorders>
            <w:shd w:val="clear" w:color="auto" w:fill="auto"/>
            <w:noWrap/>
            <w:vAlign w:val="center"/>
            <w:hideMark/>
          </w:tcPr>
          <w:p w14:paraId="59F8687E" w14:textId="77777777" w:rsidR="00EB55F3" w:rsidRPr="00487834" w:rsidRDefault="00EB55F3" w:rsidP="00F36A29">
            <w:pPr>
              <w:pStyle w:val="NoSpacing"/>
              <w:rPr>
                <w:i/>
                <w:iCs/>
              </w:rPr>
            </w:pPr>
            <w:r w:rsidRPr="00487834">
              <w:rPr>
                <w:i/>
                <w:iCs/>
              </w:rPr>
              <w:t>TLPA</w:t>
            </w:r>
          </w:p>
        </w:tc>
        <w:tc>
          <w:tcPr>
            <w:tcW w:w="1294" w:type="dxa"/>
            <w:tcBorders>
              <w:top w:val="single" w:sz="4" w:space="0" w:color="auto"/>
              <w:left w:val="nil"/>
              <w:bottom w:val="single" w:sz="4" w:space="0" w:color="auto"/>
              <w:right w:val="nil"/>
            </w:tcBorders>
            <w:shd w:val="clear" w:color="auto" w:fill="auto"/>
            <w:noWrap/>
            <w:vAlign w:val="center"/>
            <w:hideMark/>
          </w:tcPr>
          <w:p w14:paraId="29CD8BA2" w14:textId="77777777" w:rsidR="00EB55F3" w:rsidRPr="00487834" w:rsidRDefault="00EB55F3" w:rsidP="00F36A29">
            <w:pPr>
              <w:pStyle w:val="NoSpacing"/>
              <w:rPr>
                <w:i/>
                <w:iCs/>
              </w:rPr>
            </w:pPr>
            <w:r w:rsidRPr="00487834">
              <w:rPr>
                <w:i/>
                <w:iCs/>
              </w:rPr>
              <w:t>ND/EBITDA</w:t>
            </w:r>
          </w:p>
        </w:tc>
        <w:tc>
          <w:tcPr>
            <w:tcW w:w="1209" w:type="dxa"/>
            <w:tcBorders>
              <w:top w:val="single" w:sz="4" w:space="0" w:color="auto"/>
              <w:left w:val="nil"/>
              <w:bottom w:val="single" w:sz="4" w:space="0" w:color="auto"/>
              <w:right w:val="nil"/>
            </w:tcBorders>
            <w:shd w:val="clear" w:color="auto" w:fill="auto"/>
            <w:noWrap/>
            <w:vAlign w:val="center"/>
            <w:hideMark/>
          </w:tcPr>
          <w:p w14:paraId="4D7281DE" w14:textId="77777777" w:rsidR="00EB55F3" w:rsidRPr="00487834" w:rsidRDefault="00EB55F3" w:rsidP="00F36A29">
            <w:pPr>
              <w:pStyle w:val="NoSpacing"/>
              <w:rPr>
                <w:i/>
                <w:iCs/>
              </w:rPr>
            </w:pPr>
            <w:r w:rsidRPr="00487834">
              <w:rPr>
                <w:i/>
                <w:iCs/>
              </w:rPr>
              <w:t>ROA</w:t>
            </w:r>
          </w:p>
        </w:tc>
      </w:tr>
      <w:tr w:rsidR="00EB55F3" w:rsidRPr="00487834" w14:paraId="37850EA9" w14:textId="77777777" w:rsidTr="00BF355C">
        <w:trPr>
          <w:gridAfter w:val="1"/>
          <w:wAfter w:w="67" w:type="dxa"/>
          <w:trHeight w:val="300"/>
          <w:jc w:val="center"/>
        </w:trPr>
        <w:tc>
          <w:tcPr>
            <w:tcW w:w="1294" w:type="dxa"/>
            <w:gridSpan w:val="2"/>
            <w:tcBorders>
              <w:top w:val="nil"/>
              <w:left w:val="nil"/>
              <w:bottom w:val="nil"/>
              <w:right w:val="nil"/>
            </w:tcBorders>
            <w:shd w:val="clear" w:color="auto" w:fill="auto"/>
            <w:noWrap/>
            <w:vAlign w:val="center"/>
            <w:hideMark/>
          </w:tcPr>
          <w:p w14:paraId="6D4FFB5C" w14:textId="77777777" w:rsidR="00EB55F3" w:rsidRPr="00487834" w:rsidRDefault="00EB55F3" w:rsidP="00F36A29">
            <w:pPr>
              <w:pStyle w:val="NoSpacing"/>
              <w:rPr>
                <w:i/>
                <w:iCs/>
              </w:rPr>
            </w:pPr>
            <w:r w:rsidRPr="00487834">
              <w:rPr>
                <w:i/>
                <w:iCs/>
              </w:rPr>
              <w:t>ESG</w:t>
            </w:r>
          </w:p>
        </w:tc>
        <w:tc>
          <w:tcPr>
            <w:tcW w:w="1120" w:type="dxa"/>
            <w:gridSpan w:val="2"/>
            <w:tcBorders>
              <w:top w:val="nil"/>
              <w:left w:val="nil"/>
              <w:bottom w:val="nil"/>
              <w:right w:val="nil"/>
            </w:tcBorders>
            <w:shd w:val="clear" w:color="000000" w:fill="4F81BD"/>
            <w:noWrap/>
            <w:vAlign w:val="center"/>
            <w:hideMark/>
          </w:tcPr>
          <w:p w14:paraId="306AF15B" w14:textId="77777777" w:rsidR="00EB55F3" w:rsidRPr="00487834" w:rsidRDefault="00EB55F3" w:rsidP="00F36A29">
            <w:pPr>
              <w:pStyle w:val="NoSpacing"/>
            </w:pPr>
            <w:r w:rsidRPr="00487834">
              <w:rPr>
                <w:lang w:val="en-US"/>
              </w:rPr>
              <w:t>1</w:t>
            </w:r>
          </w:p>
        </w:tc>
        <w:tc>
          <w:tcPr>
            <w:tcW w:w="1180" w:type="dxa"/>
            <w:gridSpan w:val="2"/>
            <w:tcBorders>
              <w:top w:val="nil"/>
              <w:left w:val="nil"/>
              <w:bottom w:val="nil"/>
              <w:right w:val="nil"/>
            </w:tcBorders>
            <w:shd w:val="clear" w:color="auto" w:fill="auto"/>
            <w:noWrap/>
            <w:vAlign w:val="center"/>
            <w:hideMark/>
          </w:tcPr>
          <w:p w14:paraId="11BA1058" w14:textId="77777777" w:rsidR="00EB55F3" w:rsidRPr="00487834" w:rsidRDefault="00EB55F3" w:rsidP="00F36A29">
            <w:pPr>
              <w:pStyle w:val="NoSpacing"/>
            </w:pPr>
          </w:p>
        </w:tc>
        <w:tc>
          <w:tcPr>
            <w:tcW w:w="1180" w:type="dxa"/>
            <w:gridSpan w:val="3"/>
            <w:tcBorders>
              <w:top w:val="nil"/>
              <w:left w:val="nil"/>
              <w:bottom w:val="nil"/>
              <w:right w:val="nil"/>
            </w:tcBorders>
            <w:shd w:val="clear" w:color="auto" w:fill="auto"/>
            <w:noWrap/>
            <w:vAlign w:val="center"/>
            <w:hideMark/>
          </w:tcPr>
          <w:p w14:paraId="2A11C31B" w14:textId="77777777" w:rsidR="00EB55F3" w:rsidRPr="00487834" w:rsidRDefault="00EB55F3" w:rsidP="00F36A29">
            <w:pPr>
              <w:pStyle w:val="NoSpacing"/>
            </w:pPr>
          </w:p>
        </w:tc>
        <w:tc>
          <w:tcPr>
            <w:tcW w:w="1180" w:type="dxa"/>
            <w:gridSpan w:val="2"/>
            <w:tcBorders>
              <w:top w:val="nil"/>
              <w:left w:val="nil"/>
              <w:bottom w:val="nil"/>
              <w:right w:val="nil"/>
            </w:tcBorders>
            <w:shd w:val="clear" w:color="auto" w:fill="auto"/>
            <w:noWrap/>
            <w:vAlign w:val="center"/>
            <w:hideMark/>
          </w:tcPr>
          <w:p w14:paraId="0676B310" w14:textId="77777777" w:rsidR="00EB55F3" w:rsidRPr="00487834" w:rsidRDefault="00EB55F3" w:rsidP="00F36A29">
            <w:pPr>
              <w:pStyle w:val="NoSpacing"/>
            </w:pPr>
          </w:p>
        </w:tc>
        <w:tc>
          <w:tcPr>
            <w:tcW w:w="1180" w:type="dxa"/>
            <w:gridSpan w:val="2"/>
            <w:tcBorders>
              <w:top w:val="nil"/>
              <w:left w:val="nil"/>
              <w:bottom w:val="nil"/>
              <w:right w:val="nil"/>
            </w:tcBorders>
            <w:shd w:val="clear" w:color="auto" w:fill="auto"/>
            <w:noWrap/>
            <w:vAlign w:val="center"/>
            <w:hideMark/>
          </w:tcPr>
          <w:p w14:paraId="12C00E89" w14:textId="77777777" w:rsidR="00EB55F3" w:rsidRPr="00487834" w:rsidRDefault="00EB55F3" w:rsidP="00F36A29">
            <w:pPr>
              <w:pStyle w:val="NoSpacing"/>
            </w:pPr>
          </w:p>
        </w:tc>
        <w:tc>
          <w:tcPr>
            <w:tcW w:w="1371" w:type="dxa"/>
            <w:gridSpan w:val="2"/>
            <w:tcBorders>
              <w:top w:val="nil"/>
              <w:left w:val="nil"/>
              <w:bottom w:val="nil"/>
              <w:right w:val="nil"/>
            </w:tcBorders>
            <w:shd w:val="clear" w:color="auto" w:fill="auto"/>
            <w:noWrap/>
            <w:vAlign w:val="center"/>
            <w:hideMark/>
          </w:tcPr>
          <w:p w14:paraId="6CFA4734" w14:textId="77777777" w:rsidR="00EB55F3" w:rsidRPr="00487834" w:rsidRDefault="00EB55F3" w:rsidP="00F36A29">
            <w:pPr>
              <w:pStyle w:val="NoSpacing"/>
            </w:pPr>
          </w:p>
        </w:tc>
        <w:tc>
          <w:tcPr>
            <w:tcW w:w="1294" w:type="dxa"/>
            <w:tcBorders>
              <w:top w:val="nil"/>
              <w:left w:val="nil"/>
              <w:bottom w:val="nil"/>
              <w:right w:val="nil"/>
            </w:tcBorders>
            <w:shd w:val="clear" w:color="auto" w:fill="auto"/>
            <w:noWrap/>
            <w:vAlign w:val="center"/>
            <w:hideMark/>
          </w:tcPr>
          <w:p w14:paraId="588A80E3" w14:textId="77777777" w:rsidR="00EB55F3" w:rsidRPr="00487834" w:rsidRDefault="00EB55F3" w:rsidP="00F36A29">
            <w:pPr>
              <w:pStyle w:val="NoSpacing"/>
            </w:pPr>
          </w:p>
        </w:tc>
        <w:tc>
          <w:tcPr>
            <w:tcW w:w="1209" w:type="dxa"/>
            <w:tcBorders>
              <w:top w:val="nil"/>
              <w:left w:val="nil"/>
              <w:bottom w:val="nil"/>
              <w:right w:val="nil"/>
            </w:tcBorders>
            <w:shd w:val="clear" w:color="auto" w:fill="auto"/>
            <w:noWrap/>
            <w:vAlign w:val="center"/>
            <w:hideMark/>
          </w:tcPr>
          <w:p w14:paraId="547F6CFD" w14:textId="77777777" w:rsidR="00EB55F3" w:rsidRPr="00487834" w:rsidRDefault="00EB55F3" w:rsidP="00F36A29">
            <w:pPr>
              <w:pStyle w:val="NoSpacing"/>
            </w:pPr>
          </w:p>
        </w:tc>
      </w:tr>
      <w:tr w:rsidR="00EB55F3" w:rsidRPr="00487834" w14:paraId="7A81580C" w14:textId="77777777" w:rsidTr="00BF355C">
        <w:trPr>
          <w:gridAfter w:val="1"/>
          <w:wAfter w:w="67" w:type="dxa"/>
          <w:trHeight w:val="300"/>
          <w:jc w:val="center"/>
        </w:trPr>
        <w:tc>
          <w:tcPr>
            <w:tcW w:w="1294" w:type="dxa"/>
            <w:gridSpan w:val="2"/>
            <w:tcBorders>
              <w:top w:val="nil"/>
              <w:left w:val="nil"/>
              <w:bottom w:val="nil"/>
              <w:right w:val="nil"/>
            </w:tcBorders>
            <w:shd w:val="clear" w:color="auto" w:fill="auto"/>
            <w:noWrap/>
            <w:vAlign w:val="center"/>
            <w:hideMark/>
          </w:tcPr>
          <w:p w14:paraId="069040B1" w14:textId="77777777" w:rsidR="00EB55F3" w:rsidRPr="00487834" w:rsidRDefault="00EB55F3" w:rsidP="00F36A29">
            <w:pPr>
              <w:pStyle w:val="NoSpacing"/>
              <w:rPr>
                <w:i/>
                <w:iCs/>
              </w:rPr>
            </w:pPr>
            <w:r w:rsidRPr="00487834">
              <w:rPr>
                <w:i/>
                <w:iCs/>
              </w:rPr>
              <w:t>MCAP</w:t>
            </w:r>
          </w:p>
        </w:tc>
        <w:tc>
          <w:tcPr>
            <w:tcW w:w="1120" w:type="dxa"/>
            <w:gridSpan w:val="2"/>
            <w:tcBorders>
              <w:top w:val="nil"/>
              <w:left w:val="nil"/>
              <w:bottom w:val="nil"/>
              <w:right w:val="nil"/>
            </w:tcBorders>
            <w:shd w:val="clear" w:color="000000" w:fill="CCDBEC"/>
            <w:noWrap/>
            <w:vAlign w:val="center"/>
            <w:hideMark/>
          </w:tcPr>
          <w:p w14:paraId="670E6ADD" w14:textId="77777777" w:rsidR="00EB55F3" w:rsidRPr="00487834" w:rsidRDefault="00EB55F3" w:rsidP="00F36A29">
            <w:pPr>
              <w:pStyle w:val="NoSpacing"/>
            </w:pPr>
            <w:r w:rsidRPr="00487834">
              <w:rPr>
                <w:lang w:val="en-US"/>
              </w:rPr>
              <w:t>0.290</w:t>
            </w:r>
          </w:p>
        </w:tc>
        <w:tc>
          <w:tcPr>
            <w:tcW w:w="1180" w:type="dxa"/>
            <w:gridSpan w:val="2"/>
            <w:tcBorders>
              <w:top w:val="nil"/>
              <w:left w:val="nil"/>
              <w:bottom w:val="nil"/>
              <w:right w:val="nil"/>
            </w:tcBorders>
            <w:shd w:val="clear" w:color="000000" w:fill="4F81BD"/>
            <w:noWrap/>
            <w:vAlign w:val="center"/>
            <w:hideMark/>
          </w:tcPr>
          <w:p w14:paraId="2F2692B4" w14:textId="77777777" w:rsidR="00EB55F3" w:rsidRPr="00487834" w:rsidRDefault="00EB55F3" w:rsidP="00F36A29">
            <w:pPr>
              <w:pStyle w:val="NoSpacing"/>
            </w:pPr>
            <w:r w:rsidRPr="00487834">
              <w:rPr>
                <w:lang w:val="en-US"/>
              </w:rPr>
              <w:t>1</w:t>
            </w:r>
          </w:p>
        </w:tc>
        <w:tc>
          <w:tcPr>
            <w:tcW w:w="1180" w:type="dxa"/>
            <w:gridSpan w:val="3"/>
            <w:tcBorders>
              <w:top w:val="nil"/>
              <w:left w:val="nil"/>
              <w:bottom w:val="nil"/>
              <w:right w:val="nil"/>
            </w:tcBorders>
            <w:shd w:val="clear" w:color="auto" w:fill="auto"/>
            <w:noWrap/>
            <w:vAlign w:val="center"/>
            <w:hideMark/>
          </w:tcPr>
          <w:p w14:paraId="75D6C4E0" w14:textId="77777777" w:rsidR="00EB55F3" w:rsidRPr="00487834" w:rsidRDefault="00EB55F3" w:rsidP="00F36A29">
            <w:pPr>
              <w:pStyle w:val="NoSpacing"/>
            </w:pPr>
          </w:p>
        </w:tc>
        <w:tc>
          <w:tcPr>
            <w:tcW w:w="1180" w:type="dxa"/>
            <w:gridSpan w:val="2"/>
            <w:tcBorders>
              <w:top w:val="nil"/>
              <w:left w:val="nil"/>
              <w:bottom w:val="nil"/>
              <w:right w:val="nil"/>
            </w:tcBorders>
            <w:shd w:val="clear" w:color="auto" w:fill="auto"/>
            <w:noWrap/>
            <w:vAlign w:val="center"/>
            <w:hideMark/>
          </w:tcPr>
          <w:p w14:paraId="4B4BBC23" w14:textId="77777777" w:rsidR="00EB55F3" w:rsidRPr="00487834" w:rsidRDefault="00EB55F3" w:rsidP="00F36A29">
            <w:pPr>
              <w:pStyle w:val="NoSpacing"/>
            </w:pPr>
          </w:p>
        </w:tc>
        <w:tc>
          <w:tcPr>
            <w:tcW w:w="1180" w:type="dxa"/>
            <w:gridSpan w:val="2"/>
            <w:tcBorders>
              <w:top w:val="nil"/>
              <w:left w:val="nil"/>
              <w:bottom w:val="nil"/>
              <w:right w:val="nil"/>
            </w:tcBorders>
            <w:shd w:val="clear" w:color="auto" w:fill="auto"/>
            <w:noWrap/>
            <w:vAlign w:val="center"/>
            <w:hideMark/>
          </w:tcPr>
          <w:p w14:paraId="337D60CF" w14:textId="77777777" w:rsidR="00EB55F3" w:rsidRPr="00487834" w:rsidRDefault="00EB55F3" w:rsidP="00F36A29">
            <w:pPr>
              <w:pStyle w:val="NoSpacing"/>
            </w:pPr>
          </w:p>
        </w:tc>
        <w:tc>
          <w:tcPr>
            <w:tcW w:w="1371" w:type="dxa"/>
            <w:gridSpan w:val="2"/>
            <w:tcBorders>
              <w:top w:val="nil"/>
              <w:left w:val="nil"/>
              <w:bottom w:val="nil"/>
              <w:right w:val="nil"/>
            </w:tcBorders>
            <w:shd w:val="clear" w:color="auto" w:fill="auto"/>
            <w:noWrap/>
            <w:vAlign w:val="center"/>
            <w:hideMark/>
          </w:tcPr>
          <w:p w14:paraId="6BF7B3B9" w14:textId="77777777" w:rsidR="00EB55F3" w:rsidRPr="00487834" w:rsidRDefault="00EB55F3" w:rsidP="00F36A29">
            <w:pPr>
              <w:pStyle w:val="NoSpacing"/>
            </w:pPr>
          </w:p>
        </w:tc>
        <w:tc>
          <w:tcPr>
            <w:tcW w:w="1294" w:type="dxa"/>
            <w:tcBorders>
              <w:top w:val="nil"/>
              <w:left w:val="nil"/>
              <w:bottom w:val="nil"/>
              <w:right w:val="nil"/>
            </w:tcBorders>
            <w:shd w:val="clear" w:color="auto" w:fill="auto"/>
            <w:noWrap/>
            <w:vAlign w:val="center"/>
            <w:hideMark/>
          </w:tcPr>
          <w:p w14:paraId="18B6A7D6" w14:textId="77777777" w:rsidR="00EB55F3" w:rsidRPr="00487834" w:rsidRDefault="00EB55F3" w:rsidP="00F36A29">
            <w:pPr>
              <w:pStyle w:val="NoSpacing"/>
            </w:pPr>
          </w:p>
        </w:tc>
        <w:tc>
          <w:tcPr>
            <w:tcW w:w="1209" w:type="dxa"/>
            <w:tcBorders>
              <w:top w:val="nil"/>
              <w:left w:val="nil"/>
              <w:bottom w:val="nil"/>
              <w:right w:val="nil"/>
            </w:tcBorders>
            <w:shd w:val="clear" w:color="auto" w:fill="auto"/>
            <w:noWrap/>
            <w:vAlign w:val="center"/>
            <w:hideMark/>
          </w:tcPr>
          <w:p w14:paraId="32517850" w14:textId="77777777" w:rsidR="00EB55F3" w:rsidRPr="00487834" w:rsidRDefault="00EB55F3" w:rsidP="00F36A29">
            <w:pPr>
              <w:pStyle w:val="NoSpacing"/>
            </w:pPr>
          </w:p>
        </w:tc>
      </w:tr>
      <w:tr w:rsidR="00EB55F3" w:rsidRPr="00487834" w14:paraId="5656E782" w14:textId="77777777" w:rsidTr="00BF355C">
        <w:trPr>
          <w:gridAfter w:val="1"/>
          <w:wAfter w:w="67" w:type="dxa"/>
          <w:trHeight w:val="300"/>
          <w:jc w:val="center"/>
        </w:trPr>
        <w:tc>
          <w:tcPr>
            <w:tcW w:w="1294" w:type="dxa"/>
            <w:gridSpan w:val="2"/>
            <w:tcBorders>
              <w:top w:val="nil"/>
              <w:left w:val="nil"/>
              <w:bottom w:val="nil"/>
              <w:right w:val="nil"/>
            </w:tcBorders>
            <w:shd w:val="clear" w:color="auto" w:fill="auto"/>
            <w:noWrap/>
            <w:vAlign w:val="center"/>
            <w:hideMark/>
          </w:tcPr>
          <w:p w14:paraId="4F1BAD09" w14:textId="77777777" w:rsidR="00EB55F3" w:rsidRPr="00487834" w:rsidRDefault="00EB55F3" w:rsidP="00F36A29">
            <w:pPr>
              <w:pStyle w:val="NoSpacing"/>
              <w:rPr>
                <w:i/>
                <w:iCs/>
              </w:rPr>
            </w:pPr>
            <w:r w:rsidRPr="00487834">
              <w:rPr>
                <w:i/>
                <w:iCs/>
              </w:rPr>
              <w:t>LEV</w:t>
            </w:r>
          </w:p>
        </w:tc>
        <w:tc>
          <w:tcPr>
            <w:tcW w:w="1120" w:type="dxa"/>
            <w:gridSpan w:val="2"/>
            <w:tcBorders>
              <w:top w:val="nil"/>
              <w:left w:val="nil"/>
              <w:bottom w:val="nil"/>
              <w:right w:val="nil"/>
            </w:tcBorders>
            <w:shd w:val="clear" w:color="000000" w:fill="FBF4F4"/>
            <w:noWrap/>
            <w:vAlign w:val="center"/>
            <w:hideMark/>
          </w:tcPr>
          <w:p w14:paraId="73CA02AA" w14:textId="77777777" w:rsidR="00EB55F3" w:rsidRPr="00487834" w:rsidRDefault="00EB55F3" w:rsidP="00F36A29">
            <w:pPr>
              <w:pStyle w:val="NoSpacing"/>
            </w:pPr>
            <w:r w:rsidRPr="00487834">
              <w:rPr>
                <w:lang w:val="en-US"/>
              </w:rPr>
              <w:t>-0.058</w:t>
            </w:r>
          </w:p>
        </w:tc>
        <w:tc>
          <w:tcPr>
            <w:tcW w:w="1180" w:type="dxa"/>
            <w:gridSpan w:val="2"/>
            <w:tcBorders>
              <w:top w:val="nil"/>
              <w:left w:val="nil"/>
              <w:bottom w:val="nil"/>
              <w:right w:val="nil"/>
            </w:tcBorders>
            <w:shd w:val="clear" w:color="000000" w:fill="EAF0F7"/>
            <w:noWrap/>
            <w:vAlign w:val="center"/>
            <w:hideMark/>
          </w:tcPr>
          <w:p w14:paraId="27D53024" w14:textId="77777777" w:rsidR="00EB55F3" w:rsidRPr="00487834" w:rsidRDefault="00EB55F3" w:rsidP="00F36A29">
            <w:pPr>
              <w:pStyle w:val="NoSpacing"/>
            </w:pPr>
            <w:r w:rsidRPr="00487834">
              <w:rPr>
                <w:lang w:val="en-US"/>
              </w:rPr>
              <w:t>0.122</w:t>
            </w:r>
          </w:p>
        </w:tc>
        <w:tc>
          <w:tcPr>
            <w:tcW w:w="1180" w:type="dxa"/>
            <w:gridSpan w:val="3"/>
            <w:tcBorders>
              <w:top w:val="nil"/>
              <w:left w:val="nil"/>
              <w:bottom w:val="nil"/>
              <w:right w:val="nil"/>
            </w:tcBorders>
            <w:shd w:val="clear" w:color="000000" w:fill="4F81BD"/>
            <w:noWrap/>
            <w:vAlign w:val="center"/>
            <w:hideMark/>
          </w:tcPr>
          <w:p w14:paraId="38A49CA3" w14:textId="77777777" w:rsidR="00EB55F3" w:rsidRPr="00487834" w:rsidRDefault="00EB55F3" w:rsidP="00F36A29">
            <w:pPr>
              <w:pStyle w:val="NoSpacing"/>
            </w:pPr>
            <w:r w:rsidRPr="00487834">
              <w:rPr>
                <w:lang w:val="en-US"/>
              </w:rPr>
              <w:t>1</w:t>
            </w:r>
          </w:p>
        </w:tc>
        <w:tc>
          <w:tcPr>
            <w:tcW w:w="1180" w:type="dxa"/>
            <w:gridSpan w:val="2"/>
            <w:tcBorders>
              <w:top w:val="nil"/>
              <w:left w:val="nil"/>
              <w:bottom w:val="nil"/>
              <w:right w:val="nil"/>
            </w:tcBorders>
            <w:shd w:val="clear" w:color="auto" w:fill="auto"/>
            <w:noWrap/>
            <w:vAlign w:val="center"/>
            <w:hideMark/>
          </w:tcPr>
          <w:p w14:paraId="1E19DE9A" w14:textId="77777777" w:rsidR="00EB55F3" w:rsidRPr="00487834" w:rsidRDefault="00EB55F3" w:rsidP="00F36A29">
            <w:pPr>
              <w:pStyle w:val="NoSpacing"/>
            </w:pPr>
          </w:p>
        </w:tc>
        <w:tc>
          <w:tcPr>
            <w:tcW w:w="1180" w:type="dxa"/>
            <w:gridSpan w:val="2"/>
            <w:tcBorders>
              <w:top w:val="nil"/>
              <w:left w:val="nil"/>
              <w:bottom w:val="nil"/>
              <w:right w:val="nil"/>
            </w:tcBorders>
            <w:shd w:val="clear" w:color="auto" w:fill="auto"/>
            <w:noWrap/>
            <w:vAlign w:val="center"/>
            <w:hideMark/>
          </w:tcPr>
          <w:p w14:paraId="617D7510" w14:textId="77777777" w:rsidR="00EB55F3" w:rsidRPr="00487834" w:rsidRDefault="00EB55F3" w:rsidP="00F36A29">
            <w:pPr>
              <w:pStyle w:val="NoSpacing"/>
            </w:pPr>
          </w:p>
        </w:tc>
        <w:tc>
          <w:tcPr>
            <w:tcW w:w="1371" w:type="dxa"/>
            <w:gridSpan w:val="2"/>
            <w:tcBorders>
              <w:top w:val="nil"/>
              <w:left w:val="nil"/>
              <w:bottom w:val="nil"/>
              <w:right w:val="nil"/>
            </w:tcBorders>
            <w:shd w:val="clear" w:color="auto" w:fill="auto"/>
            <w:noWrap/>
            <w:vAlign w:val="center"/>
            <w:hideMark/>
          </w:tcPr>
          <w:p w14:paraId="2500CCB8" w14:textId="77777777" w:rsidR="00EB55F3" w:rsidRPr="00487834" w:rsidRDefault="00EB55F3" w:rsidP="00F36A29">
            <w:pPr>
              <w:pStyle w:val="NoSpacing"/>
            </w:pPr>
          </w:p>
        </w:tc>
        <w:tc>
          <w:tcPr>
            <w:tcW w:w="1294" w:type="dxa"/>
            <w:tcBorders>
              <w:top w:val="nil"/>
              <w:left w:val="nil"/>
              <w:bottom w:val="nil"/>
              <w:right w:val="nil"/>
            </w:tcBorders>
            <w:shd w:val="clear" w:color="auto" w:fill="auto"/>
            <w:noWrap/>
            <w:vAlign w:val="center"/>
            <w:hideMark/>
          </w:tcPr>
          <w:p w14:paraId="2ABA6385" w14:textId="77777777" w:rsidR="00EB55F3" w:rsidRPr="00487834" w:rsidRDefault="00EB55F3" w:rsidP="00F36A29">
            <w:pPr>
              <w:pStyle w:val="NoSpacing"/>
            </w:pPr>
          </w:p>
        </w:tc>
        <w:tc>
          <w:tcPr>
            <w:tcW w:w="1209" w:type="dxa"/>
            <w:tcBorders>
              <w:top w:val="nil"/>
              <w:left w:val="nil"/>
              <w:bottom w:val="nil"/>
              <w:right w:val="nil"/>
            </w:tcBorders>
            <w:shd w:val="clear" w:color="auto" w:fill="auto"/>
            <w:noWrap/>
            <w:vAlign w:val="center"/>
            <w:hideMark/>
          </w:tcPr>
          <w:p w14:paraId="4B88B364" w14:textId="77777777" w:rsidR="00EB55F3" w:rsidRPr="00487834" w:rsidRDefault="00EB55F3" w:rsidP="00F36A29">
            <w:pPr>
              <w:pStyle w:val="NoSpacing"/>
            </w:pPr>
          </w:p>
        </w:tc>
      </w:tr>
      <w:tr w:rsidR="00EB55F3" w:rsidRPr="00487834" w14:paraId="32D0103A" w14:textId="77777777" w:rsidTr="00BF355C">
        <w:trPr>
          <w:gridAfter w:val="1"/>
          <w:wAfter w:w="67" w:type="dxa"/>
          <w:trHeight w:val="300"/>
          <w:jc w:val="center"/>
        </w:trPr>
        <w:tc>
          <w:tcPr>
            <w:tcW w:w="1294" w:type="dxa"/>
            <w:gridSpan w:val="2"/>
            <w:tcBorders>
              <w:top w:val="nil"/>
              <w:left w:val="nil"/>
              <w:bottom w:val="nil"/>
              <w:right w:val="nil"/>
            </w:tcBorders>
            <w:shd w:val="clear" w:color="auto" w:fill="auto"/>
            <w:noWrap/>
            <w:vAlign w:val="center"/>
            <w:hideMark/>
          </w:tcPr>
          <w:p w14:paraId="5EFC3A72" w14:textId="77777777" w:rsidR="00EB55F3" w:rsidRPr="00487834" w:rsidRDefault="00EB55F3" w:rsidP="00F36A29">
            <w:pPr>
              <w:pStyle w:val="NoSpacing"/>
              <w:rPr>
                <w:i/>
                <w:iCs/>
              </w:rPr>
            </w:pPr>
            <w:r w:rsidRPr="00487834">
              <w:rPr>
                <w:i/>
                <w:iCs/>
              </w:rPr>
              <w:t>ICR</w:t>
            </w:r>
          </w:p>
        </w:tc>
        <w:tc>
          <w:tcPr>
            <w:tcW w:w="1120" w:type="dxa"/>
            <w:gridSpan w:val="2"/>
            <w:tcBorders>
              <w:top w:val="nil"/>
              <w:left w:val="nil"/>
              <w:bottom w:val="nil"/>
              <w:right w:val="nil"/>
            </w:tcBorders>
            <w:shd w:val="clear" w:color="000000" w:fill="FDFEFF"/>
            <w:noWrap/>
            <w:vAlign w:val="center"/>
            <w:hideMark/>
          </w:tcPr>
          <w:p w14:paraId="0D5B078D" w14:textId="77777777" w:rsidR="00EB55F3" w:rsidRPr="00487834" w:rsidRDefault="00EB55F3" w:rsidP="00F36A29">
            <w:pPr>
              <w:pStyle w:val="NoSpacing"/>
            </w:pPr>
            <w:r w:rsidRPr="00487834">
              <w:rPr>
                <w:lang w:val="en-US"/>
              </w:rPr>
              <w:t>0.012</w:t>
            </w:r>
          </w:p>
        </w:tc>
        <w:tc>
          <w:tcPr>
            <w:tcW w:w="1180" w:type="dxa"/>
            <w:gridSpan w:val="2"/>
            <w:tcBorders>
              <w:top w:val="nil"/>
              <w:left w:val="nil"/>
              <w:bottom w:val="nil"/>
              <w:right w:val="nil"/>
            </w:tcBorders>
            <w:shd w:val="clear" w:color="000000" w:fill="F6F9FC"/>
            <w:noWrap/>
            <w:vAlign w:val="center"/>
            <w:hideMark/>
          </w:tcPr>
          <w:p w14:paraId="783D616B" w14:textId="77777777" w:rsidR="00EB55F3" w:rsidRPr="00487834" w:rsidRDefault="00EB55F3" w:rsidP="00F36A29">
            <w:pPr>
              <w:pStyle w:val="NoSpacing"/>
            </w:pPr>
            <w:r w:rsidRPr="00487834">
              <w:rPr>
                <w:lang w:val="en-US"/>
              </w:rPr>
              <w:t>0.055</w:t>
            </w:r>
          </w:p>
        </w:tc>
        <w:tc>
          <w:tcPr>
            <w:tcW w:w="1180" w:type="dxa"/>
            <w:gridSpan w:val="3"/>
            <w:tcBorders>
              <w:top w:val="nil"/>
              <w:left w:val="nil"/>
              <w:bottom w:val="nil"/>
              <w:right w:val="nil"/>
            </w:tcBorders>
            <w:shd w:val="clear" w:color="000000" w:fill="FEFCFC"/>
            <w:noWrap/>
            <w:vAlign w:val="center"/>
            <w:hideMark/>
          </w:tcPr>
          <w:p w14:paraId="65CF44B9" w14:textId="77777777" w:rsidR="00EB55F3" w:rsidRPr="00487834" w:rsidRDefault="00EB55F3" w:rsidP="00F36A29">
            <w:pPr>
              <w:pStyle w:val="NoSpacing"/>
            </w:pPr>
            <w:r w:rsidRPr="00487834">
              <w:rPr>
                <w:lang w:val="en-US"/>
              </w:rPr>
              <w:t>-0.015</w:t>
            </w:r>
          </w:p>
        </w:tc>
        <w:tc>
          <w:tcPr>
            <w:tcW w:w="1180" w:type="dxa"/>
            <w:gridSpan w:val="2"/>
            <w:tcBorders>
              <w:top w:val="nil"/>
              <w:left w:val="nil"/>
              <w:bottom w:val="nil"/>
              <w:right w:val="nil"/>
            </w:tcBorders>
            <w:shd w:val="clear" w:color="000000" w:fill="4F81BD"/>
            <w:noWrap/>
            <w:vAlign w:val="center"/>
            <w:hideMark/>
          </w:tcPr>
          <w:p w14:paraId="5B8C5AFA" w14:textId="77777777" w:rsidR="00EB55F3" w:rsidRPr="00487834" w:rsidRDefault="00EB55F3" w:rsidP="00F36A29">
            <w:pPr>
              <w:pStyle w:val="NoSpacing"/>
            </w:pPr>
            <w:r w:rsidRPr="00487834">
              <w:rPr>
                <w:lang w:val="en-US"/>
              </w:rPr>
              <w:t>1</w:t>
            </w:r>
          </w:p>
        </w:tc>
        <w:tc>
          <w:tcPr>
            <w:tcW w:w="1180" w:type="dxa"/>
            <w:gridSpan w:val="2"/>
            <w:tcBorders>
              <w:top w:val="nil"/>
              <w:left w:val="nil"/>
              <w:bottom w:val="nil"/>
              <w:right w:val="nil"/>
            </w:tcBorders>
            <w:shd w:val="clear" w:color="auto" w:fill="auto"/>
            <w:noWrap/>
            <w:vAlign w:val="center"/>
            <w:hideMark/>
          </w:tcPr>
          <w:p w14:paraId="328B06A2" w14:textId="77777777" w:rsidR="00EB55F3" w:rsidRPr="00487834" w:rsidRDefault="00EB55F3" w:rsidP="00F36A29">
            <w:pPr>
              <w:pStyle w:val="NoSpacing"/>
            </w:pPr>
          </w:p>
        </w:tc>
        <w:tc>
          <w:tcPr>
            <w:tcW w:w="1371" w:type="dxa"/>
            <w:gridSpan w:val="2"/>
            <w:tcBorders>
              <w:top w:val="nil"/>
              <w:left w:val="nil"/>
              <w:bottom w:val="nil"/>
              <w:right w:val="nil"/>
            </w:tcBorders>
            <w:shd w:val="clear" w:color="auto" w:fill="auto"/>
            <w:noWrap/>
            <w:vAlign w:val="center"/>
            <w:hideMark/>
          </w:tcPr>
          <w:p w14:paraId="1A8A3837" w14:textId="77777777" w:rsidR="00EB55F3" w:rsidRPr="00487834" w:rsidRDefault="00EB55F3" w:rsidP="00F36A29">
            <w:pPr>
              <w:pStyle w:val="NoSpacing"/>
            </w:pPr>
          </w:p>
        </w:tc>
        <w:tc>
          <w:tcPr>
            <w:tcW w:w="1294" w:type="dxa"/>
            <w:tcBorders>
              <w:top w:val="nil"/>
              <w:left w:val="nil"/>
              <w:bottom w:val="nil"/>
              <w:right w:val="nil"/>
            </w:tcBorders>
            <w:shd w:val="clear" w:color="auto" w:fill="auto"/>
            <w:noWrap/>
            <w:vAlign w:val="center"/>
            <w:hideMark/>
          </w:tcPr>
          <w:p w14:paraId="439B54C5" w14:textId="77777777" w:rsidR="00EB55F3" w:rsidRPr="00487834" w:rsidRDefault="00EB55F3" w:rsidP="00F36A29">
            <w:pPr>
              <w:pStyle w:val="NoSpacing"/>
            </w:pPr>
          </w:p>
        </w:tc>
        <w:tc>
          <w:tcPr>
            <w:tcW w:w="1209" w:type="dxa"/>
            <w:tcBorders>
              <w:top w:val="nil"/>
              <w:left w:val="nil"/>
              <w:bottom w:val="nil"/>
              <w:right w:val="nil"/>
            </w:tcBorders>
            <w:shd w:val="clear" w:color="auto" w:fill="auto"/>
            <w:noWrap/>
            <w:vAlign w:val="center"/>
            <w:hideMark/>
          </w:tcPr>
          <w:p w14:paraId="390FEBA6" w14:textId="77777777" w:rsidR="00EB55F3" w:rsidRPr="00487834" w:rsidRDefault="00EB55F3" w:rsidP="00F36A29">
            <w:pPr>
              <w:pStyle w:val="NoSpacing"/>
            </w:pPr>
          </w:p>
        </w:tc>
      </w:tr>
      <w:tr w:rsidR="00EB55F3" w:rsidRPr="00487834" w14:paraId="6A9631A6" w14:textId="77777777" w:rsidTr="00BF355C">
        <w:trPr>
          <w:gridAfter w:val="1"/>
          <w:wAfter w:w="67" w:type="dxa"/>
          <w:trHeight w:val="300"/>
          <w:jc w:val="center"/>
        </w:trPr>
        <w:tc>
          <w:tcPr>
            <w:tcW w:w="1294" w:type="dxa"/>
            <w:gridSpan w:val="2"/>
            <w:tcBorders>
              <w:top w:val="nil"/>
              <w:left w:val="nil"/>
              <w:bottom w:val="nil"/>
              <w:right w:val="nil"/>
            </w:tcBorders>
            <w:shd w:val="clear" w:color="auto" w:fill="auto"/>
            <w:noWrap/>
            <w:vAlign w:val="center"/>
            <w:hideMark/>
          </w:tcPr>
          <w:p w14:paraId="730B6180" w14:textId="77777777" w:rsidR="00EB55F3" w:rsidRPr="00487834" w:rsidRDefault="00EB55F3" w:rsidP="00F36A29">
            <w:pPr>
              <w:pStyle w:val="NoSpacing"/>
              <w:rPr>
                <w:i/>
                <w:iCs/>
              </w:rPr>
            </w:pPr>
            <w:r w:rsidRPr="00487834">
              <w:rPr>
                <w:i/>
                <w:iCs/>
              </w:rPr>
              <w:t>Current</w:t>
            </w:r>
          </w:p>
        </w:tc>
        <w:tc>
          <w:tcPr>
            <w:tcW w:w="1120" w:type="dxa"/>
            <w:gridSpan w:val="2"/>
            <w:tcBorders>
              <w:top w:val="nil"/>
              <w:left w:val="nil"/>
              <w:bottom w:val="nil"/>
              <w:right w:val="nil"/>
            </w:tcBorders>
            <w:shd w:val="clear" w:color="000000" w:fill="FCFDFE"/>
            <w:noWrap/>
            <w:vAlign w:val="center"/>
            <w:hideMark/>
          </w:tcPr>
          <w:p w14:paraId="16A862F0" w14:textId="77777777" w:rsidR="00EB55F3" w:rsidRPr="00487834" w:rsidRDefault="00EB55F3" w:rsidP="00F36A29">
            <w:pPr>
              <w:pStyle w:val="NoSpacing"/>
            </w:pPr>
            <w:r w:rsidRPr="00487834">
              <w:rPr>
                <w:lang w:val="en-US"/>
              </w:rPr>
              <w:t>0.018</w:t>
            </w:r>
          </w:p>
        </w:tc>
        <w:tc>
          <w:tcPr>
            <w:tcW w:w="1180" w:type="dxa"/>
            <w:gridSpan w:val="2"/>
            <w:tcBorders>
              <w:top w:val="nil"/>
              <w:left w:val="nil"/>
              <w:bottom w:val="nil"/>
              <w:right w:val="nil"/>
            </w:tcBorders>
            <w:shd w:val="clear" w:color="000000" w:fill="FBF6F5"/>
            <w:noWrap/>
            <w:vAlign w:val="center"/>
            <w:hideMark/>
          </w:tcPr>
          <w:p w14:paraId="54E85931" w14:textId="77777777" w:rsidR="00EB55F3" w:rsidRPr="00487834" w:rsidRDefault="00EB55F3" w:rsidP="00F36A29">
            <w:pPr>
              <w:pStyle w:val="NoSpacing"/>
            </w:pPr>
            <w:r w:rsidRPr="00487834">
              <w:rPr>
                <w:lang w:val="en-US"/>
              </w:rPr>
              <w:t>-0.051</w:t>
            </w:r>
          </w:p>
        </w:tc>
        <w:tc>
          <w:tcPr>
            <w:tcW w:w="1180" w:type="dxa"/>
            <w:gridSpan w:val="3"/>
            <w:tcBorders>
              <w:top w:val="nil"/>
              <w:left w:val="nil"/>
              <w:bottom w:val="nil"/>
              <w:right w:val="nil"/>
            </w:tcBorders>
            <w:shd w:val="clear" w:color="000000" w:fill="EED1D0"/>
            <w:noWrap/>
            <w:vAlign w:val="center"/>
            <w:hideMark/>
          </w:tcPr>
          <w:p w14:paraId="70B29BFE" w14:textId="77777777" w:rsidR="00EB55F3" w:rsidRPr="00487834" w:rsidRDefault="00EB55F3" w:rsidP="00F36A29">
            <w:pPr>
              <w:pStyle w:val="NoSpacing"/>
            </w:pPr>
            <w:r w:rsidRPr="00487834">
              <w:rPr>
                <w:lang w:val="en-US"/>
              </w:rPr>
              <w:t>-0.261</w:t>
            </w:r>
          </w:p>
        </w:tc>
        <w:tc>
          <w:tcPr>
            <w:tcW w:w="1180" w:type="dxa"/>
            <w:gridSpan w:val="2"/>
            <w:tcBorders>
              <w:top w:val="nil"/>
              <w:left w:val="nil"/>
              <w:bottom w:val="nil"/>
              <w:right w:val="nil"/>
            </w:tcBorders>
            <w:shd w:val="clear" w:color="000000" w:fill="FEFEFE"/>
            <w:noWrap/>
            <w:vAlign w:val="center"/>
            <w:hideMark/>
          </w:tcPr>
          <w:p w14:paraId="0F174E65" w14:textId="77777777" w:rsidR="00EB55F3" w:rsidRPr="00487834" w:rsidRDefault="00EB55F3" w:rsidP="00F36A29">
            <w:pPr>
              <w:pStyle w:val="NoSpacing"/>
            </w:pPr>
            <w:r w:rsidRPr="00487834">
              <w:rPr>
                <w:lang w:val="en-US"/>
              </w:rPr>
              <w:t>-0.005</w:t>
            </w:r>
          </w:p>
        </w:tc>
        <w:tc>
          <w:tcPr>
            <w:tcW w:w="1180" w:type="dxa"/>
            <w:gridSpan w:val="2"/>
            <w:tcBorders>
              <w:top w:val="nil"/>
              <w:left w:val="nil"/>
              <w:bottom w:val="nil"/>
              <w:right w:val="nil"/>
            </w:tcBorders>
            <w:shd w:val="clear" w:color="000000" w:fill="4F81BD"/>
            <w:noWrap/>
            <w:vAlign w:val="center"/>
            <w:hideMark/>
          </w:tcPr>
          <w:p w14:paraId="0C273A8F" w14:textId="77777777" w:rsidR="00EB55F3" w:rsidRPr="00487834" w:rsidRDefault="00EB55F3" w:rsidP="00F36A29">
            <w:pPr>
              <w:pStyle w:val="NoSpacing"/>
            </w:pPr>
            <w:r w:rsidRPr="00487834">
              <w:rPr>
                <w:lang w:val="en-US"/>
              </w:rPr>
              <w:t>1</w:t>
            </w:r>
          </w:p>
        </w:tc>
        <w:tc>
          <w:tcPr>
            <w:tcW w:w="1371" w:type="dxa"/>
            <w:gridSpan w:val="2"/>
            <w:tcBorders>
              <w:top w:val="nil"/>
              <w:left w:val="nil"/>
              <w:bottom w:val="nil"/>
              <w:right w:val="nil"/>
            </w:tcBorders>
            <w:shd w:val="clear" w:color="auto" w:fill="auto"/>
            <w:noWrap/>
            <w:vAlign w:val="center"/>
            <w:hideMark/>
          </w:tcPr>
          <w:p w14:paraId="57FE2676" w14:textId="77777777" w:rsidR="00EB55F3" w:rsidRPr="00487834" w:rsidRDefault="00EB55F3" w:rsidP="00F36A29">
            <w:pPr>
              <w:pStyle w:val="NoSpacing"/>
            </w:pPr>
          </w:p>
        </w:tc>
        <w:tc>
          <w:tcPr>
            <w:tcW w:w="1294" w:type="dxa"/>
            <w:tcBorders>
              <w:top w:val="nil"/>
              <w:left w:val="nil"/>
              <w:bottom w:val="nil"/>
              <w:right w:val="nil"/>
            </w:tcBorders>
            <w:shd w:val="clear" w:color="auto" w:fill="auto"/>
            <w:noWrap/>
            <w:vAlign w:val="center"/>
            <w:hideMark/>
          </w:tcPr>
          <w:p w14:paraId="4C1664A4" w14:textId="77777777" w:rsidR="00EB55F3" w:rsidRPr="00487834" w:rsidRDefault="00EB55F3" w:rsidP="00F36A29">
            <w:pPr>
              <w:pStyle w:val="NoSpacing"/>
            </w:pPr>
          </w:p>
        </w:tc>
        <w:tc>
          <w:tcPr>
            <w:tcW w:w="1209" w:type="dxa"/>
            <w:tcBorders>
              <w:top w:val="nil"/>
              <w:left w:val="nil"/>
              <w:bottom w:val="nil"/>
              <w:right w:val="nil"/>
            </w:tcBorders>
            <w:shd w:val="clear" w:color="auto" w:fill="auto"/>
            <w:noWrap/>
            <w:vAlign w:val="center"/>
            <w:hideMark/>
          </w:tcPr>
          <w:p w14:paraId="121FD760" w14:textId="77777777" w:rsidR="00EB55F3" w:rsidRPr="00487834" w:rsidRDefault="00EB55F3" w:rsidP="00F36A29">
            <w:pPr>
              <w:pStyle w:val="NoSpacing"/>
            </w:pPr>
          </w:p>
        </w:tc>
      </w:tr>
      <w:tr w:rsidR="00EB55F3" w:rsidRPr="00487834" w14:paraId="65535AC6" w14:textId="77777777" w:rsidTr="00BF355C">
        <w:trPr>
          <w:gridAfter w:val="1"/>
          <w:wAfter w:w="67" w:type="dxa"/>
          <w:trHeight w:val="300"/>
          <w:jc w:val="center"/>
        </w:trPr>
        <w:tc>
          <w:tcPr>
            <w:tcW w:w="1294" w:type="dxa"/>
            <w:gridSpan w:val="2"/>
            <w:tcBorders>
              <w:top w:val="nil"/>
              <w:left w:val="nil"/>
              <w:bottom w:val="nil"/>
              <w:right w:val="nil"/>
            </w:tcBorders>
            <w:shd w:val="clear" w:color="auto" w:fill="auto"/>
            <w:noWrap/>
            <w:vAlign w:val="center"/>
            <w:hideMark/>
          </w:tcPr>
          <w:p w14:paraId="1EFB9ADA" w14:textId="77777777" w:rsidR="00EB55F3" w:rsidRPr="00487834" w:rsidRDefault="00EB55F3" w:rsidP="00F36A29">
            <w:pPr>
              <w:pStyle w:val="NoSpacing"/>
              <w:rPr>
                <w:i/>
                <w:iCs/>
              </w:rPr>
            </w:pPr>
            <w:r w:rsidRPr="00487834">
              <w:rPr>
                <w:i/>
                <w:iCs/>
              </w:rPr>
              <w:t>TLPA</w:t>
            </w:r>
          </w:p>
        </w:tc>
        <w:tc>
          <w:tcPr>
            <w:tcW w:w="1120" w:type="dxa"/>
            <w:gridSpan w:val="2"/>
            <w:tcBorders>
              <w:top w:val="nil"/>
              <w:left w:val="nil"/>
              <w:bottom w:val="nil"/>
              <w:right w:val="nil"/>
            </w:tcBorders>
            <w:shd w:val="clear" w:color="000000" w:fill="ECF1F8"/>
            <w:noWrap/>
            <w:vAlign w:val="center"/>
            <w:hideMark/>
          </w:tcPr>
          <w:p w14:paraId="3570661A" w14:textId="77777777" w:rsidR="00EB55F3" w:rsidRPr="00487834" w:rsidRDefault="00EB55F3" w:rsidP="00F36A29">
            <w:pPr>
              <w:pStyle w:val="NoSpacing"/>
            </w:pPr>
            <w:r w:rsidRPr="00487834">
              <w:rPr>
                <w:lang w:val="en-US"/>
              </w:rPr>
              <w:t>0.112</w:t>
            </w:r>
          </w:p>
        </w:tc>
        <w:tc>
          <w:tcPr>
            <w:tcW w:w="1180" w:type="dxa"/>
            <w:gridSpan w:val="2"/>
            <w:tcBorders>
              <w:top w:val="nil"/>
              <w:left w:val="nil"/>
              <w:bottom w:val="nil"/>
              <w:right w:val="nil"/>
            </w:tcBorders>
            <w:shd w:val="clear" w:color="000000" w:fill="F5E5E5"/>
            <w:noWrap/>
            <w:vAlign w:val="center"/>
            <w:hideMark/>
          </w:tcPr>
          <w:p w14:paraId="3409C32C" w14:textId="77777777" w:rsidR="00EB55F3" w:rsidRPr="00487834" w:rsidRDefault="00EB55F3" w:rsidP="00F36A29">
            <w:pPr>
              <w:pStyle w:val="NoSpacing"/>
            </w:pPr>
            <w:r w:rsidRPr="00487834">
              <w:rPr>
                <w:lang w:val="en-US"/>
              </w:rPr>
              <w:t>-0.145</w:t>
            </w:r>
          </w:p>
        </w:tc>
        <w:tc>
          <w:tcPr>
            <w:tcW w:w="1180" w:type="dxa"/>
            <w:gridSpan w:val="3"/>
            <w:tcBorders>
              <w:top w:val="nil"/>
              <w:left w:val="nil"/>
              <w:bottom w:val="nil"/>
              <w:right w:val="nil"/>
            </w:tcBorders>
            <w:shd w:val="clear" w:color="000000" w:fill="FBF5F4"/>
            <w:noWrap/>
            <w:vAlign w:val="center"/>
            <w:hideMark/>
          </w:tcPr>
          <w:p w14:paraId="75912CA6" w14:textId="77777777" w:rsidR="00EB55F3" w:rsidRPr="00487834" w:rsidRDefault="00EB55F3" w:rsidP="00F36A29">
            <w:pPr>
              <w:pStyle w:val="NoSpacing"/>
            </w:pPr>
            <w:r w:rsidRPr="00487834">
              <w:rPr>
                <w:lang w:val="en-US"/>
              </w:rPr>
              <w:t>-0.057</w:t>
            </w:r>
          </w:p>
        </w:tc>
        <w:tc>
          <w:tcPr>
            <w:tcW w:w="1180" w:type="dxa"/>
            <w:gridSpan w:val="2"/>
            <w:tcBorders>
              <w:top w:val="nil"/>
              <w:left w:val="nil"/>
              <w:bottom w:val="nil"/>
              <w:right w:val="nil"/>
            </w:tcBorders>
            <w:shd w:val="clear" w:color="000000" w:fill="F2DDDD"/>
            <w:noWrap/>
            <w:vAlign w:val="center"/>
            <w:hideMark/>
          </w:tcPr>
          <w:p w14:paraId="5D6AC8F3" w14:textId="77777777" w:rsidR="00EB55F3" w:rsidRPr="00487834" w:rsidRDefault="00EB55F3" w:rsidP="00F36A29">
            <w:pPr>
              <w:pStyle w:val="NoSpacing"/>
            </w:pPr>
            <w:r w:rsidRPr="00487834">
              <w:rPr>
                <w:lang w:val="en-US"/>
              </w:rPr>
              <w:t>-0.191</w:t>
            </w:r>
          </w:p>
        </w:tc>
        <w:tc>
          <w:tcPr>
            <w:tcW w:w="1180" w:type="dxa"/>
            <w:gridSpan w:val="2"/>
            <w:tcBorders>
              <w:top w:val="nil"/>
              <w:left w:val="nil"/>
              <w:bottom w:val="nil"/>
              <w:right w:val="nil"/>
            </w:tcBorders>
            <w:shd w:val="clear" w:color="000000" w:fill="FBFDFE"/>
            <w:noWrap/>
            <w:vAlign w:val="center"/>
            <w:hideMark/>
          </w:tcPr>
          <w:p w14:paraId="64ABFAA7" w14:textId="77777777" w:rsidR="00EB55F3" w:rsidRPr="00487834" w:rsidRDefault="00EB55F3" w:rsidP="00F36A29">
            <w:pPr>
              <w:pStyle w:val="NoSpacing"/>
            </w:pPr>
            <w:r w:rsidRPr="00487834">
              <w:rPr>
                <w:lang w:val="en-US"/>
              </w:rPr>
              <w:t>0.024</w:t>
            </w:r>
          </w:p>
        </w:tc>
        <w:tc>
          <w:tcPr>
            <w:tcW w:w="1371" w:type="dxa"/>
            <w:gridSpan w:val="2"/>
            <w:tcBorders>
              <w:top w:val="nil"/>
              <w:left w:val="nil"/>
              <w:bottom w:val="nil"/>
              <w:right w:val="nil"/>
            </w:tcBorders>
            <w:shd w:val="clear" w:color="000000" w:fill="4F81BD"/>
            <w:noWrap/>
            <w:vAlign w:val="center"/>
            <w:hideMark/>
          </w:tcPr>
          <w:p w14:paraId="34BBB37B" w14:textId="77777777" w:rsidR="00EB55F3" w:rsidRPr="00487834" w:rsidRDefault="00EB55F3" w:rsidP="00F36A29">
            <w:pPr>
              <w:pStyle w:val="NoSpacing"/>
            </w:pPr>
            <w:r w:rsidRPr="00487834">
              <w:rPr>
                <w:lang w:val="en-US"/>
              </w:rPr>
              <w:t>1</w:t>
            </w:r>
          </w:p>
        </w:tc>
        <w:tc>
          <w:tcPr>
            <w:tcW w:w="1294" w:type="dxa"/>
            <w:tcBorders>
              <w:top w:val="nil"/>
              <w:left w:val="nil"/>
              <w:bottom w:val="nil"/>
              <w:right w:val="nil"/>
            </w:tcBorders>
            <w:shd w:val="clear" w:color="auto" w:fill="auto"/>
            <w:noWrap/>
            <w:vAlign w:val="center"/>
            <w:hideMark/>
          </w:tcPr>
          <w:p w14:paraId="1FE15538" w14:textId="77777777" w:rsidR="00EB55F3" w:rsidRPr="00487834" w:rsidRDefault="00EB55F3" w:rsidP="00F36A29">
            <w:pPr>
              <w:pStyle w:val="NoSpacing"/>
            </w:pPr>
          </w:p>
        </w:tc>
        <w:tc>
          <w:tcPr>
            <w:tcW w:w="1209" w:type="dxa"/>
            <w:tcBorders>
              <w:top w:val="nil"/>
              <w:left w:val="nil"/>
              <w:bottom w:val="nil"/>
              <w:right w:val="nil"/>
            </w:tcBorders>
            <w:shd w:val="clear" w:color="auto" w:fill="auto"/>
            <w:noWrap/>
            <w:vAlign w:val="center"/>
            <w:hideMark/>
          </w:tcPr>
          <w:p w14:paraId="228F0F86" w14:textId="77777777" w:rsidR="00EB55F3" w:rsidRPr="00487834" w:rsidRDefault="00EB55F3" w:rsidP="00F36A29">
            <w:pPr>
              <w:pStyle w:val="NoSpacing"/>
            </w:pPr>
          </w:p>
        </w:tc>
      </w:tr>
      <w:tr w:rsidR="00EB55F3" w:rsidRPr="00487834" w14:paraId="628ABD16" w14:textId="77777777" w:rsidTr="00BF355C">
        <w:trPr>
          <w:gridAfter w:val="1"/>
          <w:wAfter w:w="67" w:type="dxa"/>
          <w:trHeight w:val="300"/>
          <w:jc w:val="center"/>
        </w:trPr>
        <w:tc>
          <w:tcPr>
            <w:tcW w:w="1294" w:type="dxa"/>
            <w:gridSpan w:val="2"/>
            <w:tcBorders>
              <w:top w:val="nil"/>
              <w:left w:val="nil"/>
              <w:bottom w:val="nil"/>
              <w:right w:val="nil"/>
            </w:tcBorders>
            <w:shd w:val="clear" w:color="auto" w:fill="auto"/>
            <w:noWrap/>
            <w:vAlign w:val="center"/>
            <w:hideMark/>
          </w:tcPr>
          <w:p w14:paraId="49CE48A1" w14:textId="77777777" w:rsidR="00EB55F3" w:rsidRPr="00487834" w:rsidRDefault="00EB55F3" w:rsidP="00F36A29">
            <w:pPr>
              <w:pStyle w:val="NoSpacing"/>
              <w:rPr>
                <w:i/>
                <w:iCs/>
              </w:rPr>
            </w:pPr>
            <w:r w:rsidRPr="00487834">
              <w:rPr>
                <w:i/>
                <w:iCs/>
              </w:rPr>
              <w:t>ND/EBITDA</w:t>
            </w:r>
          </w:p>
        </w:tc>
        <w:tc>
          <w:tcPr>
            <w:tcW w:w="1120" w:type="dxa"/>
            <w:gridSpan w:val="2"/>
            <w:tcBorders>
              <w:top w:val="nil"/>
              <w:left w:val="nil"/>
              <w:bottom w:val="nil"/>
              <w:right w:val="nil"/>
            </w:tcBorders>
            <w:shd w:val="clear" w:color="000000" w:fill="FEFDFD"/>
            <w:noWrap/>
            <w:vAlign w:val="center"/>
            <w:hideMark/>
          </w:tcPr>
          <w:p w14:paraId="09C51525" w14:textId="77777777" w:rsidR="00EB55F3" w:rsidRPr="00487834" w:rsidRDefault="00EB55F3" w:rsidP="00F36A29">
            <w:pPr>
              <w:pStyle w:val="NoSpacing"/>
            </w:pPr>
            <w:r w:rsidRPr="00487834">
              <w:rPr>
                <w:lang w:val="en-US"/>
              </w:rPr>
              <w:t>-0.007</w:t>
            </w:r>
          </w:p>
        </w:tc>
        <w:tc>
          <w:tcPr>
            <w:tcW w:w="1180" w:type="dxa"/>
            <w:gridSpan w:val="2"/>
            <w:tcBorders>
              <w:top w:val="nil"/>
              <w:left w:val="nil"/>
              <w:bottom w:val="nil"/>
              <w:right w:val="nil"/>
            </w:tcBorders>
            <w:shd w:val="clear" w:color="000000" w:fill="FBFCFE"/>
            <w:noWrap/>
            <w:vAlign w:val="center"/>
            <w:hideMark/>
          </w:tcPr>
          <w:p w14:paraId="68C8D8F2" w14:textId="77777777" w:rsidR="00EB55F3" w:rsidRPr="00487834" w:rsidRDefault="00EB55F3" w:rsidP="00F36A29">
            <w:pPr>
              <w:pStyle w:val="NoSpacing"/>
            </w:pPr>
            <w:r w:rsidRPr="00487834">
              <w:rPr>
                <w:lang w:val="en-US"/>
              </w:rPr>
              <w:t>0.027</w:t>
            </w:r>
          </w:p>
        </w:tc>
        <w:tc>
          <w:tcPr>
            <w:tcW w:w="1180" w:type="dxa"/>
            <w:gridSpan w:val="3"/>
            <w:tcBorders>
              <w:top w:val="nil"/>
              <w:left w:val="nil"/>
              <w:bottom w:val="nil"/>
              <w:right w:val="nil"/>
            </w:tcBorders>
            <w:shd w:val="clear" w:color="000000" w:fill="FDFBFB"/>
            <w:noWrap/>
            <w:vAlign w:val="center"/>
            <w:hideMark/>
          </w:tcPr>
          <w:p w14:paraId="7C37B811" w14:textId="77777777" w:rsidR="00EB55F3" w:rsidRPr="00487834" w:rsidRDefault="00EB55F3" w:rsidP="00F36A29">
            <w:pPr>
              <w:pStyle w:val="NoSpacing"/>
            </w:pPr>
            <w:r w:rsidRPr="00487834">
              <w:rPr>
                <w:lang w:val="en-US"/>
              </w:rPr>
              <w:t>-0.021</w:t>
            </w:r>
          </w:p>
        </w:tc>
        <w:tc>
          <w:tcPr>
            <w:tcW w:w="1180" w:type="dxa"/>
            <w:gridSpan w:val="2"/>
            <w:tcBorders>
              <w:top w:val="nil"/>
              <w:left w:val="nil"/>
              <w:bottom w:val="nil"/>
              <w:right w:val="nil"/>
            </w:tcBorders>
            <w:shd w:val="clear" w:color="000000" w:fill="FFFFFF"/>
            <w:noWrap/>
            <w:vAlign w:val="center"/>
            <w:hideMark/>
          </w:tcPr>
          <w:p w14:paraId="009D638F" w14:textId="77777777" w:rsidR="00EB55F3" w:rsidRPr="00487834" w:rsidRDefault="00EB55F3" w:rsidP="00F36A29">
            <w:pPr>
              <w:pStyle w:val="NoSpacing"/>
            </w:pPr>
            <w:r w:rsidRPr="00487834">
              <w:rPr>
                <w:lang w:val="en-US"/>
              </w:rPr>
              <w:t>0.001</w:t>
            </w:r>
          </w:p>
        </w:tc>
        <w:tc>
          <w:tcPr>
            <w:tcW w:w="1180" w:type="dxa"/>
            <w:gridSpan w:val="2"/>
            <w:tcBorders>
              <w:top w:val="nil"/>
              <w:left w:val="nil"/>
              <w:bottom w:val="nil"/>
              <w:right w:val="nil"/>
            </w:tcBorders>
            <w:shd w:val="clear" w:color="000000" w:fill="FDF9F9"/>
            <w:noWrap/>
            <w:vAlign w:val="center"/>
            <w:hideMark/>
          </w:tcPr>
          <w:p w14:paraId="31011055" w14:textId="77777777" w:rsidR="00EB55F3" w:rsidRPr="00487834" w:rsidRDefault="00EB55F3" w:rsidP="00F36A29">
            <w:pPr>
              <w:pStyle w:val="NoSpacing"/>
            </w:pPr>
            <w:r w:rsidRPr="00487834">
              <w:rPr>
                <w:lang w:val="en-US"/>
              </w:rPr>
              <w:t>-0.031</w:t>
            </w:r>
          </w:p>
        </w:tc>
        <w:tc>
          <w:tcPr>
            <w:tcW w:w="1371" w:type="dxa"/>
            <w:gridSpan w:val="2"/>
            <w:tcBorders>
              <w:top w:val="nil"/>
              <w:left w:val="nil"/>
              <w:bottom w:val="nil"/>
              <w:right w:val="nil"/>
            </w:tcBorders>
            <w:shd w:val="clear" w:color="000000" w:fill="FCFDFE"/>
            <w:noWrap/>
            <w:vAlign w:val="center"/>
            <w:hideMark/>
          </w:tcPr>
          <w:p w14:paraId="10DC6D3E" w14:textId="77777777" w:rsidR="00EB55F3" w:rsidRPr="00487834" w:rsidRDefault="00EB55F3" w:rsidP="00F36A29">
            <w:pPr>
              <w:pStyle w:val="NoSpacing"/>
            </w:pPr>
            <w:r w:rsidRPr="00487834">
              <w:rPr>
                <w:lang w:val="en-US"/>
              </w:rPr>
              <w:t>0.020</w:t>
            </w:r>
          </w:p>
        </w:tc>
        <w:tc>
          <w:tcPr>
            <w:tcW w:w="1294" w:type="dxa"/>
            <w:tcBorders>
              <w:top w:val="nil"/>
              <w:left w:val="nil"/>
              <w:bottom w:val="nil"/>
              <w:right w:val="nil"/>
            </w:tcBorders>
            <w:shd w:val="clear" w:color="000000" w:fill="4F81BD"/>
            <w:noWrap/>
            <w:vAlign w:val="center"/>
            <w:hideMark/>
          </w:tcPr>
          <w:p w14:paraId="735792C3" w14:textId="77777777" w:rsidR="00EB55F3" w:rsidRPr="00487834" w:rsidRDefault="00EB55F3" w:rsidP="00F36A29">
            <w:pPr>
              <w:pStyle w:val="NoSpacing"/>
            </w:pPr>
            <w:r w:rsidRPr="00487834">
              <w:rPr>
                <w:lang w:val="en-US"/>
              </w:rPr>
              <w:t>1</w:t>
            </w:r>
          </w:p>
        </w:tc>
        <w:tc>
          <w:tcPr>
            <w:tcW w:w="1209" w:type="dxa"/>
            <w:tcBorders>
              <w:top w:val="nil"/>
              <w:left w:val="nil"/>
              <w:bottom w:val="nil"/>
              <w:right w:val="nil"/>
            </w:tcBorders>
            <w:shd w:val="clear" w:color="auto" w:fill="auto"/>
            <w:noWrap/>
            <w:vAlign w:val="center"/>
            <w:hideMark/>
          </w:tcPr>
          <w:p w14:paraId="01A643FC" w14:textId="77777777" w:rsidR="00EB55F3" w:rsidRPr="00487834" w:rsidRDefault="00EB55F3" w:rsidP="00F36A29">
            <w:pPr>
              <w:pStyle w:val="NoSpacing"/>
            </w:pPr>
          </w:p>
        </w:tc>
      </w:tr>
      <w:tr w:rsidR="00EB55F3" w:rsidRPr="00487834" w14:paraId="1AE2410E" w14:textId="77777777" w:rsidTr="00BF355C">
        <w:trPr>
          <w:gridAfter w:val="1"/>
          <w:wAfter w:w="67" w:type="dxa"/>
          <w:trHeight w:val="300"/>
          <w:jc w:val="center"/>
        </w:trPr>
        <w:tc>
          <w:tcPr>
            <w:tcW w:w="1294" w:type="dxa"/>
            <w:gridSpan w:val="2"/>
            <w:tcBorders>
              <w:top w:val="nil"/>
              <w:left w:val="nil"/>
              <w:bottom w:val="single" w:sz="4" w:space="0" w:color="auto"/>
              <w:right w:val="nil"/>
            </w:tcBorders>
            <w:shd w:val="clear" w:color="auto" w:fill="auto"/>
            <w:noWrap/>
            <w:vAlign w:val="center"/>
            <w:hideMark/>
          </w:tcPr>
          <w:p w14:paraId="7F84EB14" w14:textId="77777777" w:rsidR="00EB55F3" w:rsidRPr="00487834" w:rsidRDefault="00EB55F3" w:rsidP="00F36A29">
            <w:pPr>
              <w:pStyle w:val="NoSpacing"/>
              <w:rPr>
                <w:i/>
                <w:iCs/>
              </w:rPr>
            </w:pPr>
            <w:r w:rsidRPr="00487834">
              <w:rPr>
                <w:i/>
                <w:iCs/>
              </w:rPr>
              <w:t>ROA</w:t>
            </w:r>
          </w:p>
        </w:tc>
        <w:tc>
          <w:tcPr>
            <w:tcW w:w="1120" w:type="dxa"/>
            <w:gridSpan w:val="2"/>
            <w:tcBorders>
              <w:top w:val="nil"/>
              <w:left w:val="nil"/>
              <w:bottom w:val="single" w:sz="4" w:space="0" w:color="auto"/>
              <w:right w:val="nil"/>
            </w:tcBorders>
            <w:shd w:val="clear" w:color="000000" w:fill="F9FBFD"/>
            <w:noWrap/>
            <w:vAlign w:val="center"/>
            <w:hideMark/>
          </w:tcPr>
          <w:p w14:paraId="293B4DC3" w14:textId="77777777" w:rsidR="00EB55F3" w:rsidRPr="00487834" w:rsidRDefault="00EB55F3" w:rsidP="00F36A29">
            <w:pPr>
              <w:pStyle w:val="NoSpacing"/>
            </w:pPr>
            <w:r w:rsidRPr="00487834">
              <w:t>0.037</w:t>
            </w:r>
          </w:p>
        </w:tc>
        <w:tc>
          <w:tcPr>
            <w:tcW w:w="1180" w:type="dxa"/>
            <w:gridSpan w:val="2"/>
            <w:tcBorders>
              <w:top w:val="nil"/>
              <w:left w:val="nil"/>
              <w:bottom w:val="single" w:sz="4" w:space="0" w:color="auto"/>
              <w:right w:val="nil"/>
            </w:tcBorders>
            <w:shd w:val="clear" w:color="000000" w:fill="F8FAFD"/>
            <w:noWrap/>
            <w:vAlign w:val="center"/>
            <w:hideMark/>
          </w:tcPr>
          <w:p w14:paraId="6322F01A" w14:textId="77777777" w:rsidR="00EB55F3" w:rsidRPr="00487834" w:rsidRDefault="00EB55F3" w:rsidP="00F36A29">
            <w:pPr>
              <w:pStyle w:val="NoSpacing"/>
            </w:pPr>
            <w:r w:rsidRPr="00487834">
              <w:t>0.044</w:t>
            </w:r>
          </w:p>
        </w:tc>
        <w:tc>
          <w:tcPr>
            <w:tcW w:w="1180" w:type="dxa"/>
            <w:gridSpan w:val="3"/>
            <w:tcBorders>
              <w:top w:val="nil"/>
              <w:left w:val="nil"/>
              <w:bottom w:val="single" w:sz="4" w:space="0" w:color="auto"/>
              <w:right w:val="nil"/>
            </w:tcBorders>
            <w:shd w:val="clear" w:color="000000" w:fill="F1D9D8"/>
            <w:noWrap/>
            <w:vAlign w:val="center"/>
            <w:hideMark/>
          </w:tcPr>
          <w:p w14:paraId="4E621379" w14:textId="77777777" w:rsidR="00EB55F3" w:rsidRPr="00487834" w:rsidRDefault="00EB55F3" w:rsidP="00F36A29">
            <w:pPr>
              <w:pStyle w:val="NoSpacing"/>
            </w:pPr>
            <w:r w:rsidRPr="00487834">
              <w:t>-0.214</w:t>
            </w:r>
          </w:p>
        </w:tc>
        <w:tc>
          <w:tcPr>
            <w:tcW w:w="1180" w:type="dxa"/>
            <w:gridSpan w:val="2"/>
            <w:tcBorders>
              <w:top w:val="nil"/>
              <w:left w:val="nil"/>
              <w:bottom w:val="single" w:sz="4" w:space="0" w:color="auto"/>
              <w:right w:val="nil"/>
            </w:tcBorders>
            <w:shd w:val="clear" w:color="000000" w:fill="F9FBFD"/>
            <w:noWrap/>
            <w:vAlign w:val="center"/>
            <w:hideMark/>
          </w:tcPr>
          <w:p w14:paraId="2391F6BB" w14:textId="77777777" w:rsidR="00EB55F3" w:rsidRPr="00487834" w:rsidRDefault="00EB55F3" w:rsidP="00F36A29">
            <w:pPr>
              <w:pStyle w:val="NoSpacing"/>
            </w:pPr>
            <w:r w:rsidRPr="00487834">
              <w:t>0.035</w:t>
            </w:r>
          </w:p>
        </w:tc>
        <w:tc>
          <w:tcPr>
            <w:tcW w:w="1180" w:type="dxa"/>
            <w:gridSpan w:val="2"/>
            <w:tcBorders>
              <w:top w:val="nil"/>
              <w:left w:val="nil"/>
              <w:bottom w:val="single" w:sz="4" w:space="0" w:color="auto"/>
              <w:right w:val="nil"/>
            </w:tcBorders>
            <w:shd w:val="clear" w:color="000000" w:fill="FCFDFE"/>
            <w:noWrap/>
            <w:vAlign w:val="center"/>
            <w:hideMark/>
          </w:tcPr>
          <w:p w14:paraId="31B31B62" w14:textId="77777777" w:rsidR="00EB55F3" w:rsidRPr="00487834" w:rsidRDefault="00EB55F3" w:rsidP="00F36A29">
            <w:pPr>
              <w:pStyle w:val="NoSpacing"/>
            </w:pPr>
            <w:r w:rsidRPr="00487834">
              <w:t>0.019</w:t>
            </w:r>
          </w:p>
        </w:tc>
        <w:tc>
          <w:tcPr>
            <w:tcW w:w="1371" w:type="dxa"/>
            <w:gridSpan w:val="2"/>
            <w:tcBorders>
              <w:top w:val="nil"/>
              <w:left w:val="nil"/>
              <w:bottom w:val="single" w:sz="4" w:space="0" w:color="auto"/>
              <w:right w:val="nil"/>
            </w:tcBorders>
            <w:shd w:val="clear" w:color="000000" w:fill="F4F8FB"/>
            <w:noWrap/>
            <w:vAlign w:val="center"/>
            <w:hideMark/>
          </w:tcPr>
          <w:p w14:paraId="3F2E41F6" w14:textId="77777777" w:rsidR="00EB55F3" w:rsidRPr="00487834" w:rsidRDefault="00EB55F3" w:rsidP="00F36A29">
            <w:pPr>
              <w:pStyle w:val="NoSpacing"/>
            </w:pPr>
            <w:r w:rsidRPr="00487834">
              <w:t>0.063</w:t>
            </w:r>
          </w:p>
        </w:tc>
        <w:tc>
          <w:tcPr>
            <w:tcW w:w="1294" w:type="dxa"/>
            <w:tcBorders>
              <w:top w:val="nil"/>
              <w:left w:val="nil"/>
              <w:bottom w:val="single" w:sz="4" w:space="0" w:color="auto"/>
              <w:right w:val="nil"/>
            </w:tcBorders>
            <w:shd w:val="clear" w:color="000000" w:fill="F9FBFD"/>
            <w:noWrap/>
            <w:vAlign w:val="center"/>
            <w:hideMark/>
          </w:tcPr>
          <w:p w14:paraId="6CA55F85" w14:textId="77777777" w:rsidR="00EB55F3" w:rsidRPr="00487834" w:rsidRDefault="00EB55F3" w:rsidP="00F36A29">
            <w:pPr>
              <w:pStyle w:val="NoSpacing"/>
            </w:pPr>
            <w:r w:rsidRPr="00487834">
              <w:t>0.036</w:t>
            </w:r>
          </w:p>
        </w:tc>
        <w:tc>
          <w:tcPr>
            <w:tcW w:w="1209" w:type="dxa"/>
            <w:tcBorders>
              <w:top w:val="nil"/>
              <w:left w:val="nil"/>
              <w:bottom w:val="single" w:sz="4" w:space="0" w:color="auto"/>
              <w:right w:val="nil"/>
            </w:tcBorders>
            <w:shd w:val="clear" w:color="000000" w:fill="4F81BD"/>
            <w:noWrap/>
            <w:vAlign w:val="center"/>
            <w:hideMark/>
          </w:tcPr>
          <w:p w14:paraId="1F4E5366" w14:textId="77777777" w:rsidR="00EB55F3" w:rsidRPr="00487834" w:rsidRDefault="00EB55F3" w:rsidP="00F36A29">
            <w:pPr>
              <w:pStyle w:val="NoSpacing"/>
            </w:pPr>
            <w:r w:rsidRPr="00487834">
              <w:rPr>
                <w:lang w:val="en-US"/>
              </w:rPr>
              <w:t>1</w:t>
            </w:r>
          </w:p>
        </w:tc>
      </w:tr>
      <w:tr w:rsidR="00EB55F3" w:rsidRPr="00487834" w14:paraId="2AA85024" w14:textId="77777777" w:rsidTr="00BF355C">
        <w:trPr>
          <w:trHeight w:val="300"/>
          <w:jc w:val="center"/>
        </w:trPr>
        <w:tc>
          <w:tcPr>
            <w:tcW w:w="993" w:type="dxa"/>
            <w:tcBorders>
              <w:top w:val="single" w:sz="4" w:space="0" w:color="auto"/>
              <w:left w:val="nil"/>
              <w:bottom w:val="single" w:sz="4" w:space="0" w:color="auto"/>
              <w:right w:val="nil"/>
            </w:tcBorders>
            <w:shd w:val="clear" w:color="000000" w:fill="C0504D"/>
            <w:noWrap/>
            <w:vAlign w:val="center"/>
            <w:hideMark/>
          </w:tcPr>
          <w:p w14:paraId="74E6771F" w14:textId="77777777" w:rsidR="00EB55F3" w:rsidRPr="00487834" w:rsidRDefault="00EB55F3" w:rsidP="00F36A29">
            <w:pPr>
              <w:pStyle w:val="NoSpacing"/>
            </w:pPr>
            <w:r w:rsidRPr="00487834">
              <w:t>-1.0</w:t>
            </w:r>
          </w:p>
        </w:tc>
        <w:tc>
          <w:tcPr>
            <w:tcW w:w="992" w:type="dxa"/>
            <w:gridSpan w:val="2"/>
            <w:tcBorders>
              <w:top w:val="single" w:sz="4" w:space="0" w:color="auto"/>
              <w:left w:val="nil"/>
              <w:bottom w:val="single" w:sz="4" w:space="0" w:color="auto"/>
              <w:right w:val="nil"/>
            </w:tcBorders>
            <w:shd w:val="clear" w:color="000000" w:fill="CC7270"/>
            <w:noWrap/>
            <w:vAlign w:val="center"/>
            <w:hideMark/>
          </w:tcPr>
          <w:p w14:paraId="4874D394" w14:textId="77777777" w:rsidR="00EB55F3" w:rsidRPr="00487834" w:rsidRDefault="00EB55F3" w:rsidP="00F36A29">
            <w:pPr>
              <w:pStyle w:val="NoSpacing"/>
            </w:pPr>
            <w:r w:rsidRPr="00487834">
              <w:t>-0.8</w:t>
            </w:r>
          </w:p>
        </w:tc>
        <w:tc>
          <w:tcPr>
            <w:tcW w:w="850" w:type="dxa"/>
            <w:gridSpan w:val="2"/>
            <w:tcBorders>
              <w:top w:val="single" w:sz="4" w:space="0" w:color="auto"/>
              <w:left w:val="nil"/>
              <w:bottom w:val="single" w:sz="4" w:space="0" w:color="auto"/>
              <w:right w:val="nil"/>
            </w:tcBorders>
            <w:shd w:val="clear" w:color="000000" w:fill="D99694"/>
            <w:noWrap/>
            <w:vAlign w:val="center"/>
            <w:hideMark/>
          </w:tcPr>
          <w:p w14:paraId="44E59D39" w14:textId="77777777" w:rsidR="00EB55F3" w:rsidRPr="00487834" w:rsidRDefault="00EB55F3" w:rsidP="00F36A29">
            <w:pPr>
              <w:pStyle w:val="NoSpacing"/>
            </w:pPr>
            <w:r w:rsidRPr="00487834">
              <w:t>-0.6</w:t>
            </w:r>
          </w:p>
        </w:tc>
        <w:tc>
          <w:tcPr>
            <w:tcW w:w="851" w:type="dxa"/>
            <w:gridSpan w:val="2"/>
            <w:tcBorders>
              <w:top w:val="single" w:sz="4" w:space="0" w:color="auto"/>
              <w:left w:val="nil"/>
              <w:bottom w:val="single" w:sz="4" w:space="0" w:color="auto"/>
              <w:right w:val="nil"/>
            </w:tcBorders>
            <w:shd w:val="clear" w:color="000000" w:fill="E5B9B7"/>
            <w:noWrap/>
            <w:vAlign w:val="center"/>
            <w:hideMark/>
          </w:tcPr>
          <w:p w14:paraId="37CD5FFC" w14:textId="77777777" w:rsidR="00EB55F3" w:rsidRPr="00487834" w:rsidRDefault="00EB55F3" w:rsidP="00F36A29">
            <w:pPr>
              <w:pStyle w:val="NoSpacing"/>
            </w:pPr>
            <w:r w:rsidRPr="00487834">
              <w:t>-0.4</w:t>
            </w:r>
          </w:p>
        </w:tc>
        <w:tc>
          <w:tcPr>
            <w:tcW w:w="850" w:type="dxa"/>
            <w:tcBorders>
              <w:top w:val="single" w:sz="4" w:space="0" w:color="auto"/>
              <w:left w:val="nil"/>
              <w:bottom w:val="single" w:sz="4" w:space="0" w:color="auto"/>
              <w:right w:val="nil"/>
            </w:tcBorders>
            <w:shd w:val="clear" w:color="000000" w:fill="F2DCDB"/>
            <w:noWrap/>
            <w:vAlign w:val="center"/>
            <w:hideMark/>
          </w:tcPr>
          <w:p w14:paraId="5CE81CF0" w14:textId="77777777" w:rsidR="00EB55F3" w:rsidRPr="00487834" w:rsidRDefault="00EB55F3" w:rsidP="00F36A29">
            <w:pPr>
              <w:pStyle w:val="NoSpacing"/>
            </w:pPr>
            <w:r w:rsidRPr="00487834">
              <w:t>-0.2</w:t>
            </w:r>
          </w:p>
        </w:tc>
        <w:tc>
          <w:tcPr>
            <w:tcW w:w="851" w:type="dxa"/>
            <w:gridSpan w:val="2"/>
            <w:tcBorders>
              <w:top w:val="single" w:sz="4" w:space="0" w:color="auto"/>
              <w:left w:val="nil"/>
              <w:bottom w:val="single" w:sz="4" w:space="0" w:color="auto"/>
              <w:right w:val="nil"/>
            </w:tcBorders>
            <w:shd w:val="clear" w:color="000000" w:fill="FFFFFF"/>
            <w:noWrap/>
            <w:vAlign w:val="center"/>
            <w:hideMark/>
          </w:tcPr>
          <w:p w14:paraId="4FAB0D96" w14:textId="77777777" w:rsidR="00EB55F3" w:rsidRPr="00487834" w:rsidRDefault="00EB55F3" w:rsidP="00F36A29">
            <w:pPr>
              <w:pStyle w:val="NoSpacing"/>
            </w:pPr>
            <w:r w:rsidRPr="00487834">
              <w:t>0</w:t>
            </w:r>
          </w:p>
        </w:tc>
        <w:tc>
          <w:tcPr>
            <w:tcW w:w="992" w:type="dxa"/>
            <w:gridSpan w:val="2"/>
            <w:tcBorders>
              <w:top w:val="single" w:sz="4" w:space="0" w:color="auto"/>
              <w:left w:val="nil"/>
              <w:bottom w:val="single" w:sz="4" w:space="0" w:color="auto"/>
              <w:right w:val="nil"/>
            </w:tcBorders>
            <w:shd w:val="clear" w:color="000000" w:fill="DCE6F2"/>
            <w:noWrap/>
            <w:vAlign w:val="center"/>
            <w:hideMark/>
          </w:tcPr>
          <w:p w14:paraId="70350AA2" w14:textId="77777777" w:rsidR="00EB55F3" w:rsidRPr="00487834" w:rsidRDefault="00EB55F3" w:rsidP="00F36A29">
            <w:pPr>
              <w:pStyle w:val="NoSpacing"/>
            </w:pPr>
            <w:r w:rsidRPr="00487834">
              <w:t>0.2</w:t>
            </w:r>
          </w:p>
        </w:tc>
        <w:tc>
          <w:tcPr>
            <w:tcW w:w="992" w:type="dxa"/>
            <w:gridSpan w:val="2"/>
            <w:tcBorders>
              <w:top w:val="single" w:sz="4" w:space="0" w:color="auto"/>
              <w:left w:val="nil"/>
              <w:bottom w:val="single" w:sz="4" w:space="0" w:color="auto"/>
              <w:right w:val="nil"/>
            </w:tcBorders>
            <w:shd w:val="clear" w:color="000000" w:fill="B9CDE5"/>
            <w:noWrap/>
            <w:vAlign w:val="center"/>
            <w:hideMark/>
          </w:tcPr>
          <w:p w14:paraId="3DE5CC35" w14:textId="77777777" w:rsidR="00EB55F3" w:rsidRPr="00487834" w:rsidRDefault="00EB55F3" w:rsidP="00F36A29">
            <w:pPr>
              <w:pStyle w:val="NoSpacing"/>
            </w:pPr>
            <w:r w:rsidRPr="00487834">
              <w:t>0.4</w:t>
            </w:r>
          </w:p>
        </w:tc>
        <w:tc>
          <w:tcPr>
            <w:tcW w:w="1134" w:type="dxa"/>
            <w:tcBorders>
              <w:top w:val="single" w:sz="4" w:space="0" w:color="auto"/>
              <w:left w:val="nil"/>
              <w:bottom w:val="single" w:sz="4" w:space="0" w:color="auto"/>
              <w:right w:val="nil"/>
            </w:tcBorders>
            <w:shd w:val="clear" w:color="000000" w:fill="96B4D8"/>
            <w:noWrap/>
            <w:vAlign w:val="center"/>
            <w:hideMark/>
          </w:tcPr>
          <w:p w14:paraId="33D7E18D" w14:textId="77777777" w:rsidR="00EB55F3" w:rsidRPr="00487834" w:rsidRDefault="00EB55F3" w:rsidP="00F36A29">
            <w:pPr>
              <w:pStyle w:val="NoSpacing"/>
            </w:pPr>
            <w:r w:rsidRPr="00487834">
              <w:t>0.6</w:t>
            </w:r>
          </w:p>
        </w:tc>
        <w:tc>
          <w:tcPr>
            <w:tcW w:w="1294" w:type="dxa"/>
            <w:tcBorders>
              <w:top w:val="single" w:sz="4" w:space="0" w:color="auto"/>
              <w:left w:val="nil"/>
              <w:bottom w:val="single" w:sz="4" w:space="0" w:color="auto"/>
              <w:right w:val="nil"/>
            </w:tcBorders>
            <w:shd w:val="clear" w:color="000000" w:fill="739BCB"/>
            <w:noWrap/>
            <w:vAlign w:val="center"/>
            <w:hideMark/>
          </w:tcPr>
          <w:p w14:paraId="7BF49EF5" w14:textId="77777777" w:rsidR="00EB55F3" w:rsidRPr="00487834" w:rsidRDefault="00EB55F3" w:rsidP="00F36A29">
            <w:pPr>
              <w:pStyle w:val="NoSpacing"/>
            </w:pPr>
            <w:r w:rsidRPr="00487834">
              <w:t>0.8</w:t>
            </w:r>
          </w:p>
        </w:tc>
        <w:tc>
          <w:tcPr>
            <w:tcW w:w="1276" w:type="dxa"/>
            <w:gridSpan w:val="2"/>
            <w:tcBorders>
              <w:top w:val="single" w:sz="4" w:space="0" w:color="auto"/>
              <w:left w:val="nil"/>
              <w:bottom w:val="single" w:sz="4" w:space="0" w:color="auto"/>
              <w:right w:val="nil"/>
            </w:tcBorders>
            <w:shd w:val="clear" w:color="000000" w:fill="4F81BD"/>
            <w:noWrap/>
            <w:vAlign w:val="center"/>
            <w:hideMark/>
          </w:tcPr>
          <w:p w14:paraId="72831ACE" w14:textId="77777777" w:rsidR="00EB55F3" w:rsidRPr="00487834" w:rsidRDefault="00EB55F3" w:rsidP="00F36A29">
            <w:pPr>
              <w:pStyle w:val="NoSpacing"/>
            </w:pPr>
            <w:r w:rsidRPr="00487834">
              <w:t>1.0</w:t>
            </w:r>
          </w:p>
        </w:tc>
      </w:tr>
    </w:tbl>
    <w:p w14:paraId="16173FEF" w14:textId="77777777" w:rsidR="00007E9A" w:rsidRPr="00487834" w:rsidRDefault="00007E9A" w:rsidP="00F36A29">
      <w:pPr>
        <w:autoSpaceDE w:val="0"/>
        <w:autoSpaceDN w:val="0"/>
        <w:adjustRightInd w:val="0"/>
        <w:spacing w:line="300" w:lineRule="auto"/>
        <w:ind w:firstLine="0"/>
        <w:rPr>
          <w:rFonts w:eastAsiaTheme="minorHAnsi"/>
          <w:b/>
          <w:bCs/>
          <w:lang w:eastAsia="en-US"/>
        </w:rPr>
      </w:pPr>
    </w:p>
    <w:p w14:paraId="14FC78E9" w14:textId="77777777" w:rsidR="00896886" w:rsidRPr="00487834" w:rsidRDefault="00756009" w:rsidP="00756009">
      <w:pPr>
        <w:pStyle w:val="Heading2"/>
        <w:jc w:val="center"/>
        <w:rPr>
          <w:rFonts w:eastAsiaTheme="minorHAnsi" w:cs="Times New Roman"/>
          <w:lang w:val="en-GB" w:eastAsia="en-US"/>
        </w:rPr>
      </w:pPr>
      <w:bookmarkStart w:id="15" w:name="_Toc167918986"/>
      <w:r w:rsidRPr="00487834">
        <w:rPr>
          <w:rFonts w:eastAsiaTheme="minorHAnsi" w:cs="Times New Roman"/>
          <w:lang w:val="en-GB" w:eastAsia="en-US"/>
        </w:rPr>
        <w:t>3.6</w:t>
      </w:r>
      <w:r w:rsidR="00F85F9E" w:rsidRPr="00487834">
        <w:rPr>
          <w:rFonts w:eastAsiaTheme="minorHAnsi" w:cs="Times New Roman"/>
          <w:lang w:val="en-GB" w:eastAsia="en-US"/>
        </w:rPr>
        <w:t xml:space="preserve">. </w:t>
      </w:r>
      <w:r w:rsidR="00C77D2A" w:rsidRPr="00487834">
        <w:rPr>
          <w:rFonts w:eastAsiaTheme="minorHAnsi" w:cs="Times New Roman"/>
          <w:lang w:val="en-GB" w:eastAsia="en-US"/>
        </w:rPr>
        <w:t>Modelling cost of equity</w:t>
      </w:r>
      <w:bookmarkEnd w:id="15"/>
    </w:p>
    <w:p w14:paraId="34B74841" w14:textId="77777777" w:rsidR="00896886" w:rsidRPr="00487834" w:rsidRDefault="00896886" w:rsidP="003128F6">
      <w:pPr>
        <w:autoSpaceDE w:val="0"/>
        <w:autoSpaceDN w:val="0"/>
        <w:adjustRightInd w:val="0"/>
        <w:spacing w:line="300" w:lineRule="auto"/>
        <w:rPr>
          <w:rFonts w:eastAsiaTheme="minorHAnsi"/>
          <w:lang w:val="en-GB" w:eastAsia="en-US"/>
        </w:rPr>
      </w:pPr>
    </w:p>
    <w:p w14:paraId="765BB5A2" w14:textId="77777777" w:rsidR="00391E31" w:rsidRPr="00487834" w:rsidRDefault="003D071B" w:rsidP="003128F6">
      <w:pPr>
        <w:autoSpaceDE w:val="0"/>
        <w:autoSpaceDN w:val="0"/>
        <w:adjustRightInd w:val="0"/>
        <w:spacing w:line="300" w:lineRule="auto"/>
        <w:ind w:firstLine="720"/>
        <w:rPr>
          <w:rFonts w:eastAsiaTheme="minorHAnsi"/>
          <w:lang w:val="en-GB" w:eastAsia="en-US"/>
        </w:rPr>
      </w:pPr>
      <w:r w:rsidRPr="00487834">
        <w:rPr>
          <w:rFonts w:eastAsiaTheme="minorHAnsi"/>
          <w:lang w:val="en-GB" w:eastAsia="en-US"/>
        </w:rPr>
        <w:t xml:space="preserve">There are numerous ways to project required rate of return on security. Most notable, straight-forward, and widely used it the Capital Asset Pricing Model (CAPM). It is used both in academia and industrial equity research and valuation. Yet, there has been some criticism of the CAPM model. </w:t>
      </w:r>
      <w:r w:rsidR="00E17E40" w:rsidRPr="00487834">
        <w:rPr>
          <w:rFonts w:eastAsiaTheme="minorHAnsi"/>
          <w:lang w:val="en-GB" w:eastAsia="en-US"/>
        </w:rPr>
        <w:t>It is argued by academics that CAPM presents a drastically oversimplified version of market reality</w:t>
      </w:r>
      <w:r w:rsidR="008438F9" w:rsidRPr="00487834">
        <w:rPr>
          <w:rFonts w:eastAsiaTheme="minorHAnsi"/>
          <w:lang w:val="en-GB" w:eastAsia="en-US"/>
        </w:rPr>
        <w:t xml:space="preserve">. It assumes the single-period time horizon of cost of </w:t>
      </w:r>
      <w:r w:rsidR="0089061A" w:rsidRPr="00487834">
        <w:rPr>
          <w:rFonts w:eastAsiaTheme="minorHAnsi"/>
          <w:lang w:val="en-GB" w:eastAsia="en-US"/>
        </w:rPr>
        <w:t>equity to</w:t>
      </w:r>
      <w:r w:rsidR="008438F9" w:rsidRPr="00487834">
        <w:rPr>
          <w:rFonts w:eastAsiaTheme="minorHAnsi"/>
          <w:lang w:val="en-GB" w:eastAsia="en-US"/>
        </w:rPr>
        <w:t xml:space="preserve"> be fixed in the future, while normally valuation is multi-period.</w:t>
      </w:r>
      <w:r w:rsidR="0089061A" w:rsidRPr="00487834">
        <w:rPr>
          <w:rFonts w:eastAsiaTheme="minorHAnsi"/>
          <w:lang w:val="en-GB" w:eastAsia="en-US"/>
        </w:rPr>
        <w:t xml:space="preserve"> What is more, the risk-free rate is a highly volatile input. </w:t>
      </w:r>
      <w:r w:rsidR="00EA76AE" w:rsidRPr="00487834">
        <w:rPr>
          <w:rFonts w:eastAsiaTheme="minorHAnsi"/>
          <w:lang w:val="en-GB" w:eastAsia="en-US"/>
        </w:rPr>
        <w:t>Nevertheless, according to Mackinlay (1997), 75</w:t>
      </w:r>
      <w:r w:rsidR="00DF1B16" w:rsidRPr="00487834">
        <w:rPr>
          <w:rFonts w:eastAsiaTheme="minorHAnsi"/>
          <w:lang w:val="en-GB" w:eastAsia="en-US"/>
        </w:rPr>
        <w:t>%</w:t>
      </w:r>
      <w:r w:rsidR="00EA76AE" w:rsidRPr="00487834">
        <w:rPr>
          <w:rFonts w:eastAsiaTheme="minorHAnsi"/>
          <w:lang w:val="en-GB" w:eastAsia="en-US"/>
        </w:rPr>
        <w:t xml:space="preserve"> of the studies still employ CAPM for its relative simplicity and reliability yielding sufficiently sound results. To account for market cap size variations in our dataset we propose to go forward with modified CAPM model that accounts for size risk premium and is widely used in the industry, most precisely </w:t>
      </w:r>
      <w:r w:rsidR="00400DBB" w:rsidRPr="00487834">
        <w:rPr>
          <w:rFonts w:eastAsiaTheme="minorHAnsi"/>
          <w:lang w:val="en-GB" w:eastAsia="en-US"/>
        </w:rPr>
        <w:t>in v</w:t>
      </w:r>
      <w:r w:rsidR="00EA76AE" w:rsidRPr="00487834">
        <w:rPr>
          <w:rFonts w:eastAsiaTheme="minorHAnsi"/>
          <w:lang w:val="en-GB" w:eastAsia="en-US"/>
        </w:rPr>
        <w:t xml:space="preserve">aluation analysts. </w:t>
      </w:r>
      <w:r w:rsidR="00391E31" w:rsidRPr="00487834">
        <w:rPr>
          <w:rFonts w:eastAsiaTheme="minorHAnsi"/>
          <w:lang w:val="en-GB" w:eastAsia="en-US"/>
        </w:rPr>
        <w:t xml:space="preserve">The </w:t>
      </w:r>
      <w:r w:rsidR="00FB25F8" w:rsidRPr="00487834">
        <w:rPr>
          <w:rFonts w:eastAsiaTheme="minorHAnsi"/>
          <w:lang w:val="en-GB" w:eastAsia="en-US"/>
        </w:rPr>
        <w:t xml:space="preserve">modified CAPM </w:t>
      </w:r>
      <w:proofErr w:type="spellStart"/>
      <w:r w:rsidR="00391E31" w:rsidRPr="00487834">
        <w:rPr>
          <w:rFonts w:eastAsiaTheme="minorHAnsi"/>
          <w:lang w:val="en-GB" w:eastAsia="en-US"/>
        </w:rPr>
        <w:t>modelat</w:t>
      </w:r>
      <w:proofErr w:type="spellEnd"/>
      <w:r w:rsidR="00391E31" w:rsidRPr="00487834">
        <w:rPr>
          <w:rFonts w:eastAsiaTheme="minorHAnsi"/>
          <w:lang w:val="en-GB" w:eastAsia="en-US"/>
        </w:rPr>
        <w:t xml:space="preserve"> hand </w:t>
      </w:r>
      <w:r w:rsidR="00FB25F8" w:rsidRPr="00487834">
        <w:rPr>
          <w:rFonts w:eastAsiaTheme="minorHAnsi"/>
          <w:lang w:val="en-GB" w:eastAsia="en-US"/>
        </w:rPr>
        <w:t xml:space="preserve">is </w:t>
      </w:r>
      <w:r w:rsidR="00C77D2A" w:rsidRPr="00487834">
        <w:rPr>
          <w:rFonts w:eastAsiaTheme="minorHAnsi"/>
          <w:lang w:val="en-GB" w:eastAsia="en-US"/>
        </w:rPr>
        <w:t>as follows:</w:t>
      </w:r>
    </w:p>
    <w:p w14:paraId="375407C1" w14:textId="77777777" w:rsidR="003D071B" w:rsidRPr="00487834" w:rsidRDefault="003D071B" w:rsidP="003128F6">
      <w:pPr>
        <w:autoSpaceDE w:val="0"/>
        <w:autoSpaceDN w:val="0"/>
        <w:adjustRightInd w:val="0"/>
        <w:spacing w:line="300" w:lineRule="auto"/>
        <w:rPr>
          <w:rFonts w:eastAsiaTheme="minorHAnsi"/>
          <w:lang w:val="en-GB" w:eastAsia="en-US"/>
        </w:rPr>
      </w:pPr>
    </w:p>
    <w:p w14:paraId="2DBA535A" w14:textId="77777777" w:rsidR="00296CFE" w:rsidRPr="00487834" w:rsidRDefault="00296CFE" w:rsidP="003128F6">
      <w:pPr>
        <w:autoSpaceDE w:val="0"/>
        <w:autoSpaceDN w:val="0"/>
        <w:adjustRightInd w:val="0"/>
        <w:spacing w:line="300" w:lineRule="auto"/>
        <w:rPr>
          <w:rFonts w:eastAsiaTheme="minorHAnsi"/>
          <w:lang w:val="en-GB" w:eastAsia="en-US"/>
        </w:rPr>
      </w:pPr>
    </w:p>
    <w:p w14:paraId="601C6E2C" w14:textId="77777777" w:rsidR="00296CFE" w:rsidRPr="00487834" w:rsidRDefault="00296CFE" w:rsidP="003128F6">
      <w:pPr>
        <w:autoSpaceDE w:val="0"/>
        <w:autoSpaceDN w:val="0"/>
        <w:adjustRightInd w:val="0"/>
        <w:spacing w:line="300" w:lineRule="auto"/>
        <w:jc w:val="center"/>
        <w:rPr>
          <w:rFonts w:eastAsiaTheme="minorEastAsia"/>
          <w:i/>
          <w:iCs/>
          <w:lang w:val="en-GB" w:eastAsia="en-US"/>
        </w:rPr>
      </w:pPr>
      <w:r w:rsidRPr="00487834">
        <w:rPr>
          <w:rFonts w:eastAsiaTheme="minorHAnsi"/>
          <w:i/>
          <w:iCs/>
          <w:lang w:val="en-GB" w:eastAsia="en-US"/>
        </w:rPr>
        <w:t xml:space="preserve">r = </w:t>
      </w:r>
      <m:oMath>
        <m:sSub>
          <m:sSubPr>
            <m:ctrlPr>
              <w:rPr>
                <w:rFonts w:ascii="Cambria Math" w:eastAsiaTheme="minorHAnsi" w:hAnsi="Cambria Math"/>
                <w:i/>
                <w:iCs/>
                <w:lang w:val="en-GB" w:eastAsia="en-US"/>
              </w:rPr>
            </m:ctrlPr>
          </m:sSubPr>
          <m:e>
            <m:r>
              <w:rPr>
                <w:rFonts w:ascii="Cambria Math" w:eastAsiaTheme="minorHAnsi" w:hAnsi="Cambria Math"/>
                <w:lang w:val="en-GB" w:eastAsia="en-US"/>
              </w:rPr>
              <m:t>R</m:t>
            </m:r>
          </m:e>
          <m:sub>
            <m:r>
              <w:rPr>
                <w:rFonts w:ascii="Cambria Math" w:eastAsiaTheme="minorHAnsi" w:hAnsi="Cambria Math"/>
                <w:lang w:val="en-GB" w:eastAsia="en-US"/>
              </w:rPr>
              <m:t xml:space="preserve">f </m:t>
            </m:r>
          </m:sub>
        </m:sSub>
        <m:r>
          <w:rPr>
            <w:rFonts w:ascii="Cambria Math" w:eastAsiaTheme="minorEastAsia" w:hAnsi="Cambria Math"/>
            <w:lang w:val="en-GB" w:eastAsia="en-US"/>
          </w:rPr>
          <m:t>+ β×(</m:t>
        </m:r>
        <m:sSub>
          <m:sSubPr>
            <m:ctrlPr>
              <w:rPr>
                <w:rFonts w:ascii="Cambria Math" w:eastAsiaTheme="minorEastAsia" w:hAnsi="Cambria Math"/>
                <w:i/>
                <w:iCs/>
                <w:lang w:val="en-GB" w:eastAsia="en-US"/>
              </w:rPr>
            </m:ctrlPr>
          </m:sSubPr>
          <m:e>
            <m:r>
              <w:rPr>
                <w:rFonts w:ascii="Cambria Math" w:eastAsiaTheme="minorEastAsia" w:hAnsi="Cambria Math"/>
                <w:lang w:val="en-GB" w:eastAsia="en-US"/>
              </w:rPr>
              <m:t>R</m:t>
            </m:r>
          </m:e>
          <m:sub>
            <m:r>
              <w:rPr>
                <w:rFonts w:ascii="Cambria Math" w:eastAsiaTheme="minorEastAsia" w:hAnsi="Cambria Math"/>
                <w:lang w:val="en-GB" w:eastAsia="en-US"/>
              </w:rPr>
              <m:t xml:space="preserve">m </m:t>
            </m:r>
          </m:sub>
        </m:sSub>
      </m:oMath>
      <w:r w:rsidRPr="00487834">
        <w:rPr>
          <w:rFonts w:eastAsiaTheme="minorEastAsia"/>
          <w:i/>
          <w:iCs/>
          <w:lang w:val="en-GB" w:eastAsia="en-US"/>
        </w:rPr>
        <w:t xml:space="preserve">- </w:t>
      </w:r>
      <m:oMath>
        <m:sSub>
          <m:sSubPr>
            <m:ctrlPr>
              <w:rPr>
                <w:rFonts w:ascii="Cambria Math" w:eastAsiaTheme="minorEastAsia" w:hAnsi="Cambria Math"/>
                <w:i/>
                <w:iCs/>
                <w:lang w:val="en-GB" w:eastAsia="en-US"/>
              </w:rPr>
            </m:ctrlPr>
          </m:sSubPr>
          <m:e>
            <m:r>
              <w:rPr>
                <w:rFonts w:ascii="Cambria Math" w:eastAsiaTheme="minorEastAsia" w:hAnsi="Cambria Math"/>
                <w:lang w:val="en-GB" w:eastAsia="en-US"/>
              </w:rPr>
              <m:t>R</m:t>
            </m:r>
          </m:e>
          <m:sub>
            <m:r>
              <w:rPr>
                <w:rFonts w:ascii="Cambria Math" w:eastAsiaTheme="minorEastAsia" w:hAnsi="Cambria Math"/>
                <w:lang w:val="en-GB" w:eastAsia="en-US"/>
              </w:rPr>
              <m:t>f</m:t>
            </m:r>
          </m:sub>
        </m:sSub>
      </m:oMath>
      <w:r w:rsidRPr="00487834">
        <w:rPr>
          <w:rFonts w:eastAsiaTheme="minorEastAsia"/>
          <w:i/>
          <w:lang w:val="en-GB" w:eastAsia="en-US"/>
        </w:rPr>
        <w:t>)</w:t>
      </w:r>
      <w:r w:rsidR="00FE19BD" w:rsidRPr="00487834">
        <w:rPr>
          <w:rFonts w:eastAsiaTheme="minorEastAsia"/>
          <w:i/>
          <w:lang w:val="en-GB" w:eastAsia="en-US"/>
        </w:rPr>
        <w:t xml:space="preserve"> + SRP</w:t>
      </w:r>
    </w:p>
    <w:p w14:paraId="3DBB7CF4" w14:textId="77777777" w:rsidR="00515A9D" w:rsidRPr="00487834" w:rsidRDefault="00515A9D" w:rsidP="003128F6">
      <w:pPr>
        <w:autoSpaceDE w:val="0"/>
        <w:autoSpaceDN w:val="0"/>
        <w:adjustRightInd w:val="0"/>
        <w:spacing w:line="300" w:lineRule="auto"/>
        <w:rPr>
          <w:rFonts w:eastAsiaTheme="minorEastAsia"/>
          <w:i/>
          <w:iCs/>
          <w:lang w:val="en-GB" w:eastAsia="en-US"/>
        </w:rPr>
      </w:pPr>
    </w:p>
    <w:p w14:paraId="5CB576DA" w14:textId="77777777" w:rsidR="00296CFE" w:rsidRPr="00487834" w:rsidRDefault="00296CFE" w:rsidP="003128F6">
      <w:pPr>
        <w:autoSpaceDE w:val="0"/>
        <w:autoSpaceDN w:val="0"/>
        <w:adjustRightInd w:val="0"/>
        <w:spacing w:line="300" w:lineRule="auto"/>
        <w:ind w:firstLine="720"/>
        <w:rPr>
          <w:rFonts w:eastAsiaTheme="minorEastAsia"/>
          <w:iCs/>
          <w:lang w:val="en-GB" w:eastAsia="en-US"/>
        </w:rPr>
      </w:pPr>
      <w:r w:rsidRPr="00487834">
        <w:rPr>
          <w:rFonts w:eastAsiaTheme="minorEastAsia"/>
          <w:lang w:val="en-GB" w:eastAsia="en-US"/>
        </w:rPr>
        <w:t xml:space="preserve">Where r is the cost of equity, </w:t>
      </w:r>
      <w:r w:rsidRPr="00487834">
        <w:rPr>
          <w:rFonts w:eastAsiaTheme="minorEastAsia"/>
          <w:i/>
          <w:iCs/>
          <w:lang w:val="en-GB" w:eastAsia="en-US"/>
        </w:rPr>
        <w:t>R</w:t>
      </w:r>
      <w:r w:rsidRPr="00487834">
        <w:rPr>
          <w:rFonts w:eastAsiaTheme="minorEastAsia"/>
          <w:i/>
          <w:iCs/>
          <w:vertAlign w:val="subscript"/>
          <w:lang w:val="en-GB" w:eastAsia="en-US"/>
        </w:rPr>
        <w:t>f</w:t>
      </w:r>
      <w:r w:rsidRPr="00487834">
        <w:rPr>
          <w:rFonts w:eastAsiaTheme="minorEastAsia"/>
          <w:lang w:val="en-GB" w:eastAsia="en-US"/>
        </w:rPr>
        <w:t xml:space="preserve"> is the country specific risk-free rate, </w:t>
      </w:r>
      <m:oMath>
        <m:r>
          <w:rPr>
            <w:rFonts w:ascii="Cambria Math" w:eastAsiaTheme="minorEastAsia" w:hAnsi="Cambria Math"/>
            <w:lang w:val="en-GB" w:eastAsia="en-US"/>
          </w:rPr>
          <m:t>β</m:t>
        </m:r>
      </m:oMath>
      <w:r w:rsidRPr="00487834">
        <w:rPr>
          <w:rFonts w:eastAsiaTheme="minorEastAsia"/>
          <w:iCs/>
          <w:lang w:val="en-GB" w:eastAsia="en-US"/>
        </w:rPr>
        <w:t xml:space="preserve"> is equity beta of the security, and </w:t>
      </w:r>
      <m:oMath>
        <m:r>
          <w:rPr>
            <w:rFonts w:ascii="Cambria Math" w:eastAsiaTheme="minorEastAsia" w:hAnsi="Cambria Math"/>
            <w:lang w:val="en-GB" w:eastAsia="en-US"/>
          </w:rPr>
          <m:t>(</m:t>
        </m:r>
        <m:sSub>
          <m:sSubPr>
            <m:ctrlPr>
              <w:rPr>
                <w:rFonts w:ascii="Cambria Math" w:eastAsiaTheme="minorEastAsia" w:hAnsi="Cambria Math"/>
                <w:i/>
                <w:iCs/>
                <w:lang w:val="en-GB" w:eastAsia="en-US"/>
              </w:rPr>
            </m:ctrlPr>
          </m:sSubPr>
          <m:e>
            <m:r>
              <w:rPr>
                <w:rFonts w:ascii="Cambria Math" w:eastAsiaTheme="minorEastAsia" w:hAnsi="Cambria Math"/>
                <w:lang w:val="en-GB" w:eastAsia="en-US"/>
              </w:rPr>
              <m:t>R</m:t>
            </m:r>
          </m:e>
          <m:sub>
            <m:r>
              <w:rPr>
                <w:rFonts w:ascii="Cambria Math" w:eastAsiaTheme="minorEastAsia" w:hAnsi="Cambria Math"/>
                <w:lang w:val="en-GB" w:eastAsia="en-US"/>
              </w:rPr>
              <m:t xml:space="preserve">m </m:t>
            </m:r>
          </m:sub>
        </m:sSub>
      </m:oMath>
      <w:r w:rsidR="009B3558" w:rsidRPr="00487834">
        <w:rPr>
          <w:rFonts w:eastAsiaTheme="minorEastAsia"/>
          <w:i/>
          <w:iCs/>
          <w:lang w:val="en-GB" w:eastAsia="en-US"/>
        </w:rPr>
        <w:t xml:space="preserve">- </w:t>
      </w:r>
      <m:oMath>
        <m:sSub>
          <m:sSubPr>
            <m:ctrlPr>
              <w:rPr>
                <w:rFonts w:ascii="Cambria Math" w:eastAsiaTheme="minorEastAsia" w:hAnsi="Cambria Math"/>
                <w:i/>
                <w:iCs/>
                <w:lang w:val="en-GB" w:eastAsia="en-US"/>
              </w:rPr>
            </m:ctrlPr>
          </m:sSubPr>
          <m:e>
            <m:r>
              <w:rPr>
                <w:rFonts w:ascii="Cambria Math" w:eastAsiaTheme="minorEastAsia" w:hAnsi="Cambria Math"/>
                <w:lang w:val="en-GB" w:eastAsia="en-US"/>
              </w:rPr>
              <m:t>R</m:t>
            </m:r>
          </m:e>
          <m:sub>
            <m:r>
              <w:rPr>
                <w:rFonts w:ascii="Cambria Math" w:eastAsiaTheme="minorEastAsia" w:hAnsi="Cambria Math"/>
                <w:lang w:val="en-GB" w:eastAsia="en-US"/>
              </w:rPr>
              <m:t>f</m:t>
            </m:r>
          </m:sub>
        </m:sSub>
      </m:oMath>
      <w:r w:rsidR="009B3558" w:rsidRPr="00487834">
        <w:rPr>
          <w:rFonts w:eastAsiaTheme="minorEastAsia"/>
          <w:i/>
          <w:iCs/>
          <w:lang w:val="en-GB" w:eastAsia="en-US"/>
        </w:rPr>
        <w:t xml:space="preserve">) </w:t>
      </w:r>
      <w:r w:rsidR="009B3558" w:rsidRPr="00487834">
        <w:rPr>
          <w:rFonts w:eastAsiaTheme="minorEastAsia"/>
          <w:lang w:val="en-GB" w:eastAsia="en-US"/>
        </w:rPr>
        <w:t>is the equity risk premium</w:t>
      </w:r>
      <w:r w:rsidR="00FE19BD" w:rsidRPr="00487834">
        <w:rPr>
          <w:rFonts w:eastAsiaTheme="minorEastAsia"/>
          <w:lang w:val="en-GB" w:eastAsia="en-US"/>
        </w:rPr>
        <w:t xml:space="preserve">, and </w:t>
      </w:r>
      <w:r w:rsidR="00FE19BD" w:rsidRPr="00487834">
        <w:rPr>
          <w:rFonts w:eastAsiaTheme="minorEastAsia"/>
          <w:i/>
          <w:lang w:val="en-GB" w:eastAsia="en-US"/>
        </w:rPr>
        <w:t xml:space="preserve">SRP </w:t>
      </w:r>
      <w:r w:rsidR="00FE19BD" w:rsidRPr="00487834">
        <w:rPr>
          <w:rFonts w:eastAsiaTheme="minorEastAsia"/>
          <w:iCs/>
          <w:lang w:val="en-GB" w:eastAsia="en-US"/>
        </w:rPr>
        <w:t xml:space="preserve">is the size risk premium provided by </w:t>
      </w:r>
      <w:r w:rsidR="00CC3686" w:rsidRPr="00487834">
        <w:rPr>
          <w:rFonts w:eastAsiaTheme="minorEastAsia"/>
          <w:iCs/>
          <w:lang w:val="en-GB" w:eastAsia="en-US"/>
        </w:rPr>
        <w:t>Duff &amp; Phelps (2021). The respective size risk premiums are as follows:</w:t>
      </w:r>
    </w:p>
    <w:p w14:paraId="389D7DB6" w14:textId="77777777" w:rsidR="00CC3686" w:rsidRPr="00487834" w:rsidRDefault="00CC3686" w:rsidP="003128F6">
      <w:pPr>
        <w:autoSpaceDE w:val="0"/>
        <w:autoSpaceDN w:val="0"/>
        <w:adjustRightInd w:val="0"/>
        <w:spacing w:line="300" w:lineRule="auto"/>
        <w:rPr>
          <w:rFonts w:eastAsiaTheme="minorEastAsia"/>
          <w:iCs/>
          <w:lang w:val="en-GB" w:eastAsia="en-US"/>
        </w:rPr>
      </w:pPr>
    </w:p>
    <w:p w14:paraId="0CEC73E8" w14:textId="77777777" w:rsidR="00D0249A" w:rsidRPr="00487834" w:rsidRDefault="00BF355C" w:rsidP="003128F6">
      <w:pPr>
        <w:autoSpaceDE w:val="0"/>
        <w:autoSpaceDN w:val="0"/>
        <w:adjustRightInd w:val="0"/>
        <w:spacing w:line="300" w:lineRule="auto"/>
        <w:rPr>
          <w:color w:val="0D0D0D"/>
          <w:shd w:val="clear" w:color="auto" w:fill="FFFFFF"/>
          <w:lang w:val="en-US"/>
        </w:rPr>
      </w:pPr>
      <w:r w:rsidRPr="00487834">
        <w:rPr>
          <w:rFonts w:eastAsiaTheme="minorHAnsi"/>
          <w:b/>
          <w:bCs/>
          <w:lang w:val="en-GB" w:eastAsia="en-US"/>
        </w:rPr>
        <w:t>Table 17</w:t>
      </w:r>
      <w:r w:rsidR="00D0249A" w:rsidRPr="00487834">
        <w:rPr>
          <w:rFonts w:eastAsiaTheme="minorHAnsi"/>
          <w:b/>
          <w:bCs/>
          <w:lang w:val="en-GB" w:eastAsia="en-US"/>
        </w:rPr>
        <w:t xml:space="preserve"> – </w:t>
      </w:r>
      <w:r w:rsidR="00D0249A" w:rsidRPr="00487834">
        <w:rPr>
          <w:color w:val="0D0D0D"/>
          <w:shd w:val="clear" w:color="auto" w:fill="FFFFFF"/>
          <w:lang w:val="en-US"/>
        </w:rPr>
        <w:t xml:space="preserve">Size risk premium by </w:t>
      </w:r>
      <w:r w:rsidR="00D0249A" w:rsidRPr="00487834">
        <w:rPr>
          <w:rFonts w:eastAsiaTheme="minorEastAsia"/>
          <w:iCs/>
          <w:lang w:val="en-GB" w:eastAsia="en-US"/>
        </w:rPr>
        <w:t>Duff &amp; Phelps (2021)</w:t>
      </w:r>
    </w:p>
    <w:p w14:paraId="66273504" w14:textId="77777777" w:rsidR="00007E9A" w:rsidRPr="00487834" w:rsidRDefault="00007E9A" w:rsidP="00F36A29">
      <w:pPr>
        <w:autoSpaceDE w:val="0"/>
        <w:autoSpaceDN w:val="0"/>
        <w:adjustRightInd w:val="0"/>
        <w:spacing w:line="300" w:lineRule="auto"/>
        <w:ind w:firstLine="0"/>
        <w:rPr>
          <w:rFonts w:eastAsiaTheme="minorEastAsia"/>
          <w:iCs/>
          <w:lang w:val="en-US" w:eastAsia="en-US"/>
        </w:rPr>
      </w:pPr>
    </w:p>
    <w:tbl>
      <w:tblPr>
        <w:tblW w:w="7938" w:type="dxa"/>
        <w:jc w:val="center"/>
        <w:tblLook w:val="04A0" w:firstRow="1" w:lastRow="0" w:firstColumn="1" w:lastColumn="0" w:noHBand="0" w:noVBand="1"/>
      </w:tblPr>
      <w:tblGrid>
        <w:gridCol w:w="3138"/>
        <w:gridCol w:w="1300"/>
        <w:gridCol w:w="1799"/>
        <w:gridCol w:w="1701"/>
      </w:tblGrid>
      <w:tr w:rsidR="00007E9A" w:rsidRPr="00487834" w14:paraId="67B58CC4" w14:textId="77777777" w:rsidTr="000818CE">
        <w:trPr>
          <w:trHeight w:val="300"/>
          <w:jc w:val="center"/>
        </w:trPr>
        <w:tc>
          <w:tcPr>
            <w:tcW w:w="3138" w:type="dxa"/>
            <w:tcBorders>
              <w:top w:val="single" w:sz="8" w:space="0" w:color="auto"/>
              <w:left w:val="nil"/>
              <w:bottom w:val="single" w:sz="4" w:space="0" w:color="auto"/>
              <w:right w:val="nil"/>
            </w:tcBorders>
            <w:shd w:val="clear" w:color="auto" w:fill="auto"/>
            <w:noWrap/>
            <w:vAlign w:val="center"/>
            <w:hideMark/>
          </w:tcPr>
          <w:p w14:paraId="0929BAF7" w14:textId="77777777" w:rsidR="00007E9A" w:rsidRPr="00487834" w:rsidRDefault="00007E9A" w:rsidP="00F36A29">
            <w:pPr>
              <w:pStyle w:val="NoSpacing"/>
            </w:pPr>
            <w:r w:rsidRPr="00487834">
              <w:t xml:space="preserve">Market </w:t>
            </w:r>
            <w:proofErr w:type="spellStart"/>
            <w:r w:rsidRPr="00487834">
              <w:t>cap</w:t>
            </w:r>
            <w:proofErr w:type="spellEnd"/>
            <w:r w:rsidRPr="00487834">
              <w:t xml:space="preserve"> </w:t>
            </w:r>
            <w:proofErr w:type="spellStart"/>
            <w:r w:rsidRPr="00487834">
              <w:t>decile</w:t>
            </w:r>
            <w:proofErr w:type="spellEnd"/>
          </w:p>
        </w:tc>
        <w:tc>
          <w:tcPr>
            <w:tcW w:w="1300" w:type="dxa"/>
            <w:tcBorders>
              <w:top w:val="single" w:sz="8" w:space="0" w:color="auto"/>
              <w:left w:val="nil"/>
              <w:bottom w:val="single" w:sz="4" w:space="0" w:color="auto"/>
              <w:right w:val="nil"/>
            </w:tcBorders>
            <w:shd w:val="clear" w:color="auto" w:fill="auto"/>
            <w:noWrap/>
            <w:vAlign w:val="bottom"/>
            <w:hideMark/>
          </w:tcPr>
          <w:p w14:paraId="20F64769" w14:textId="77777777" w:rsidR="00007E9A" w:rsidRPr="00487834" w:rsidRDefault="00007E9A" w:rsidP="00F36A29">
            <w:pPr>
              <w:pStyle w:val="NoSpacing"/>
              <w:rPr>
                <w:lang w:val="en-US"/>
              </w:rPr>
            </w:pPr>
            <w:r w:rsidRPr="00487834">
              <w:rPr>
                <w:lang w:val="en-US"/>
              </w:rPr>
              <w:t xml:space="preserve">Market cap </w:t>
            </w:r>
            <w:r w:rsidRPr="00487834">
              <w:rPr>
                <w:lang w:val="en-US"/>
              </w:rPr>
              <w:lastRenderedPageBreak/>
              <w:t xml:space="preserve">min, </w:t>
            </w:r>
            <w:proofErr w:type="spellStart"/>
            <w:r w:rsidRPr="00487834">
              <w:rPr>
                <w:lang w:val="en-US"/>
              </w:rPr>
              <w:t>mln</w:t>
            </w:r>
            <w:proofErr w:type="spellEnd"/>
            <w:r w:rsidRPr="00487834">
              <w:rPr>
                <w:lang w:val="en-US"/>
              </w:rPr>
              <w:t xml:space="preserve"> USD</w:t>
            </w:r>
          </w:p>
        </w:tc>
        <w:tc>
          <w:tcPr>
            <w:tcW w:w="1799" w:type="dxa"/>
            <w:tcBorders>
              <w:top w:val="single" w:sz="8" w:space="0" w:color="auto"/>
              <w:left w:val="nil"/>
              <w:bottom w:val="single" w:sz="4" w:space="0" w:color="auto"/>
              <w:right w:val="nil"/>
            </w:tcBorders>
            <w:shd w:val="clear" w:color="auto" w:fill="auto"/>
            <w:noWrap/>
            <w:vAlign w:val="bottom"/>
            <w:hideMark/>
          </w:tcPr>
          <w:p w14:paraId="231E4B08" w14:textId="77777777" w:rsidR="00007E9A" w:rsidRPr="00487834" w:rsidRDefault="00007E9A" w:rsidP="00F36A29">
            <w:pPr>
              <w:pStyle w:val="NoSpacing"/>
              <w:rPr>
                <w:lang w:val="en-US"/>
              </w:rPr>
            </w:pPr>
            <w:r w:rsidRPr="00487834">
              <w:rPr>
                <w:lang w:val="en-US"/>
              </w:rPr>
              <w:lastRenderedPageBreak/>
              <w:t xml:space="preserve">Market cap max, </w:t>
            </w:r>
            <w:proofErr w:type="spellStart"/>
            <w:r w:rsidRPr="00487834">
              <w:rPr>
                <w:lang w:val="en-US"/>
              </w:rPr>
              <w:lastRenderedPageBreak/>
              <w:t>mln</w:t>
            </w:r>
            <w:proofErr w:type="spellEnd"/>
            <w:r w:rsidRPr="00487834">
              <w:rPr>
                <w:lang w:val="en-US"/>
              </w:rPr>
              <w:t xml:space="preserve"> USD</w:t>
            </w:r>
          </w:p>
        </w:tc>
        <w:tc>
          <w:tcPr>
            <w:tcW w:w="1701" w:type="dxa"/>
            <w:tcBorders>
              <w:top w:val="single" w:sz="8" w:space="0" w:color="auto"/>
              <w:left w:val="nil"/>
              <w:bottom w:val="single" w:sz="4" w:space="0" w:color="auto"/>
              <w:right w:val="nil"/>
            </w:tcBorders>
            <w:shd w:val="clear" w:color="auto" w:fill="auto"/>
            <w:noWrap/>
            <w:vAlign w:val="bottom"/>
            <w:hideMark/>
          </w:tcPr>
          <w:p w14:paraId="5C313B1C" w14:textId="77777777" w:rsidR="00007E9A" w:rsidRPr="00487834" w:rsidRDefault="00007E9A" w:rsidP="00F36A29">
            <w:pPr>
              <w:pStyle w:val="NoSpacing"/>
            </w:pPr>
            <w:proofErr w:type="spellStart"/>
            <w:r w:rsidRPr="00487834">
              <w:lastRenderedPageBreak/>
              <w:t>Size</w:t>
            </w:r>
            <w:proofErr w:type="spellEnd"/>
            <w:r w:rsidRPr="00487834">
              <w:t xml:space="preserve"> Risk </w:t>
            </w:r>
            <w:r w:rsidRPr="00487834">
              <w:lastRenderedPageBreak/>
              <w:t>Premium</w:t>
            </w:r>
          </w:p>
        </w:tc>
      </w:tr>
      <w:tr w:rsidR="00007E9A" w:rsidRPr="00487834" w14:paraId="0C6AFB9D" w14:textId="77777777" w:rsidTr="000818CE">
        <w:trPr>
          <w:trHeight w:val="300"/>
          <w:jc w:val="center"/>
        </w:trPr>
        <w:tc>
          <w:tcPr>
            <w:tcW w:w="3138" w:type="dxa"/>
            <w:tcBorders>
              <w:top w:val="nil"/>
              <w:left w:val="nil"/>
              <w:bottom w:val="nil"/>
              <w:right w:val="nil"/>
            </w:tcBorders>
            <w:shd w:val="clear" w:color="auto" w:fill="auto"/>
            <w:noWrap/>
            <w:vAlign w:val="bottom"/>
            <w:hideMark/>
          </w:tcPr>
          <w:p w14:paraId="3AE6351D" w14:textId="77777777" w:rsidR="00007E9A" w:rsidRPr="00487834" w:rsidRDefault="00007E9A" w:rsidP="00F36A29">
            <w:pPr>
              <w:pStyle w:val="NoSpacing"/>
            </w:pPr>
            <w:r w:rsidRPr="00487834">
              <w:lastRenderedPageBreak/>
              <w:t xml:space="preserve">1st </w:t>
            </w:r>
            <w:proofErr w:type="spellStart"/>
            <w:r w:rsidRPr="00487834">
              <w:t>Decile</w:t>
            </w:r>
            <w:proofErr w:type="spellEnd"/>
            <w:r w:rsidRPr="00487834">
              <w:t xml:space="preserve"> (</w:t>
            </w:r>
            <w:proofErr w:type="spellStart"/>
            <w:r w:rsidRPr="00487834">
              <w:t>Largest</w:t>
            </w:r>
            <w:proofErr w:type="spellEnd"/>
            <w:r w:rsidRPr="00487834">
              <w:t>)</w:t>
            </w:r>
          </w:p>
        </w:tc>
        <w:tc>
          <w:tcPr>
            <w:tcW w:w="1300" w:type="dxa"/>
            <w:tcBorders>
              <w:top w:val="nil"/>
              <w:left w:val="nil"/>
              <w:bottom w:val="nil"/>
              <w:right w:val="nil"/>
            </w:tcBorders>
            <w:shd w:val="clear" w:color="auto" w:fill="auto"/>
            <w:noWrap/>
            <w:vAlign w:val="bottom"/>
            <w:hideMark/>
          </w:tcPr>
          <w:p w14:paraId="2C906151" w14:textId="77777777" w:rsidR="00007E9A" w:rsidRPr="00487834" w:rsidRDefault="00007E9A" w:rsidP="00F36A29">
            <w:pPr>
              <w:pStyle w:val="NoSpacing"/>
            </w:pPr>
            <w:r w:rsidRPr="00487834">
              <w:t>36,099</w:t>
            </w:r>
          </w:p>
        </w:tc>
        <w:tc>
          <w:tcPr>
            <w:tcW w:w="1799" w:type="dxa"/>
            <w:tcBorders>
              <w:top w:val="nil"/>
              <w:left w:val="nil"/>
              <w:bottom w:val="nil"/>
              <w:right w:val="nil"/>
            </w:tcBorders>
            <w:shd w:val="clear" w:color="auto" w:fill="auto"/>
            <w:noWrap/>
            <w:vAlign w:val="bottom"/>
            <w:hideMark/>
          </w:tcPr>
          <w:p w14:paraId="39F23AB7" w14:textId="77777777" w:rsidR="00007E9A" w:rsidRPr="00487834" w:rsidRDefault="00007E9A" w:rsidP="00F36A29">
            <w:pPr>
              <w:pStyle w:val="NoSpacing"/>
            </w:pPr>
            <w:r w:rsidRPr="00487834">
              <w:t>2,324,390</w:t>
            </w:r>
          </w:p>
        </w:tc>
        <w:tc>
          <w:tcPr>
            <w:tcW w:w="1701" w:type="dxa"/>
            <w:tcBorders>
              <w:top w:val="nil"/>
              <w:left w:val="nil"/>
              <w:bottom w:val="nil"/>
              <w:right w:val="nil"/>
            </w:tcBorders>
            <w:shd w:val="clear" w:color="auto" w:fill="auto"/>
            <w:noWrap/>
            <w:vAlign w:val="bottom"/>
            <w:hideMark/>
          </w:tcPr>
          <w:p w14:paraId="1CC3539A" w14:textId="77777777" w:rsidR="00007E9A" w:rsidRPr="00487834" w:rsidRDefault="00007E9A" w:rsidP="00F36A29">
            <w:pPr>
              <w:pStyle w:val="NoSpacing"/>
            </w:pPr>
            <w:r w:rsidRPr="00487834">
              <w:t>-0.22%</w:t>
            </w:r>
          </w:p>
        </w:tc>
      </w:tr>
      <w:tr w:rsidR="00007E9A" w:rsidRPr="00487834" w14:paraId="116E686B" w14:textId="77777777" w:rsidTr="000818CE">
        <w:trPr>
          <w:trHeight w:val="300"/>
          <w:jc w:val="center"/>
        </w:trPr>
        <w:tc>
          <w:tcPr>
            <w:tcW w:w="3138" w:type="dxa"/>
            <w:tcBorders>
              <w:top w:val="nil"/>
              <w:left w:val="nil"/>
              <w:bottom w:val="nil"/>
              <w:right w:val="nil"/>
            </w:tcBorders>
            <w:shd w:val="clear" w:color="auto" w:fill="auto"/>
            <w:noWrap/>
            <w:vAlign w:val="bottom"/>
            <w:hideMark/>
          </w:tcPr>
          <w:p w14:paraId="7F436024" w14:textId="77777777" w:rsidR="00007E9A" w:rsidRPr="00487834" w:rsidRDefault="00007E9A" w:rsidP="00F36A29">
            <w:pPr>
              <w:pStyle w:val="NoSpacing"/>
            </w:pPr>
            <w:r w:rsidRPr="00487834">
              <w:t xml:space="preserve">2nd </w:t>
            </w:r>
            <w:proofErr w:type="spellStart"/>
            <w:r w:rsidRPr="00487834">
              <w:t>Decile</w:t>
            </w:r>
            <w:proofErr w:type="spellEnd"/>
          </w:p>
        </w:tc>
        <w:tc>
          <w:tcPr>
            <w:tcW w:w="1300" w:type="dxa"/>
            <w:tcBorders>
              <w:top w:val="nil"/>
              <w:left w:val="nil"/>
              <w:bottom w:val="nil"/>
              <w:right w:val="nil"/>
            </w:tcBorders>
            <w:shd w:val="clear" w:color="auto" w:fill="auto"/>
            <w:noWrap/>
            <w:vAlign w:val="bottom"/>
            <w:hideMark/>
          </w:tcPr>
          <w:p w14:paraId="56CC486D" w14:textId="77777777" w:rsidR="00007E9A" w:rsidRPr="00487834" w:rsidRDefault="00007E9A" w:rsidP="00F36A29">
            <w:pPr>
              <w:pStyle w:val="NoSpacing"/>
            </w:pPr>
            <w:r w:rsidRPr="00487834">
              <w:t>16,738</w:t>
            </w:r>
          </w:p>
        </w:tc>
        <w:tc>
          <w:tcPr>
            <w:tcW w:w="1799" w:type="dxa"/>
            <w:tcBorders>
              <w:top w:val="nil"/>
              <w:left w:val="nil"/>
              <w:bottom w:val="nil"/>
              <w:right w:val="nil"/>
            </w:tcBorders>
            <w:shd w:val="clear" w:color="auto" w:fill="auto"/>
            <w:noWrap/>
            <w:vAlign w:val="bottom"/>
            <w:hideMark/>
          </w:tcPr>
          <w:p w14:paraId="76036778" w14:textId="77777777" w:rsidR="00007E9A" w:rsidRPr="00487834" w:rsidRDefault="00007E9A" w:rsidP="00F36A29">
            <w:pPr>
              <w:pStyle w:val="NoSpacing"/>
            </w:pPr>
            <w:r w:rsidRPr="00487834">
              <w:t>36,099</w:t>
            </w:r>
          </w:p>
        </w:tc>
        <w:tc>
          <w:tcPr>
            <w:tcW w:w="1701" w:type="dxa"/>
            <w:tcBorders>
              <w:top w:val="nil"/>
              <w:left w:val="nil"/>
              <w:bottom w:val="nil"/>
              <w:right w:val="nil"/>
            </w:tcBorders>
            <w:shd w:val="clear" w:color="auto" w:fill="auto"/>
            <w:noWrap/>
            <w:vAlign w:val="bottom"/>
            <w:hideMark/>
          </w:tcPr>
          <w:p w14:paraId="7BA559AE" w14:textId="77777777" w:rsidR="00007E9A" w:rsidRPr="00487834" w:rsidRDefault="00007E9A" w:rsidP="00F36A29">
            <w:pPr>
              <w:pStyle w:val="NoSpacing"/>
            </w:pPr>
            <w:r w:rsidRPr="00487834">
              <w:t>0.43%</w:t>
            </w:r>
          </w:p>
        </w:tc>
      </w:tr>
      <w:tr w:rsidR="00007E9A" w:rsidRPr="00487834" w14:paraId="7DED6582" w14:textId="77777777" w:rsidTr="000818CE">
        <w:trPr>
          <w:trHeight w:val="300"/>
          <w:jc w:val="center"/>
        </w:trPr>
        <w:tc>
          <w:tcPr>
            <w:tcW w:w="3138" w:type="dxa"/>
            <w:tcBorders>
              <w:top w:val="nil"/>
              <w:left w:val="nil"/>
              <w:bottom w:val="nil"/>
              <w:right w:val="nil"/>
            </w:tcBorders>
            <w:shd w:val="clear" w:color="auto" w:fill="auto"/>
            <w:noWrap/>
            <w:vAlign w:val="bottom"/>
            <w:hideMark/>
          </w:tcPr>
          <w:p w14:paraId="53A87C41" w14:textId="77777777" w:rsidR="00007E9A" w:rsidRPr="00487834" w:rsidRDefault="00007E9A" w:rsidP="00F36A29">
            <w:pPr>
              <w:pStyle w:val="NoSpacing"/>
            </w:pPr>
            <w:r w:rsidRPr="00487834">
              <w:t xml:space="preserve">3rd </w:t>
            </w:r>
            <w:proofErr w:type="spellStart"/>
            <w:r w:rsidRPr="00487834">
              <w:t>Decile</w:t>
            </w:r>
            <w:proofErr w:type="spellEnd"/>
          </w:p>
        </w:tc>
        <w:tc>
          <w:tcPr>
            <w:tcW w:w="1300" w:type="dxa"/>
            <w:tcBorders>
              <w:top w:val="nil"/>
              <w:left w:val="nil"/>
              <w:bottom w:val="nil"/>
              <w:right w:val="nil"/>
            </w:tcBorders>
            <w:shd w:val="clear" w:color="auto" w:fill="auto"/>
            <w:noWrap/>
            <w:vAlign w:val="bottom"/>
            <w:hideMark/>
          </w:tcPr>
          <w:p w14:paraId="01B3A9FA" w14:textId="77777777" w:rsidR="00007E9A" w:rsidRPr="00487834" w:rsidRDefault="00007E9A" w:rsidP="00F36A29">
            <w:pPr>
              <w:pStyle w:val="NoSpacing"/>
            </w:pPr>
            <w:r w:rsidRPr="00487834">
              <w:t>8,213</w:t>
            </w:r>
          </w:p>
        </w:tc>
        <w:tc>
          <w:tcPr>
            <w:tcW w:w="1799" w:type="dxa"/>
            <w:tcBorders>
              <w:top w:val="nil"/>
              <w:left w:val="nil"/>
              <w:bottom w:val="nil"/>
              <w:right w:val="nil"/>
            </w:tcBorders>
            <w:shd w:val="clear" w:color="auto" w:fill="auto"/>
            <w:noWrap/>
            <w:vAlign w:val="bottom"/>
            <w:hideMark/>
          </w:tcPr>
          <w:p w14:paraId="648C7F8F" w14:textId="77777777" w:rsidR="00007E9A" w:rsidRPr="00487834" w:rsidRDefault="00007E9A" w:rsidP="00F36A29">
            <w:pPr>
              <w:pStyle w:val="NoSpacing"/>
            </w:pPr>
            <w:r w:rsidRPr="00487834">
              <w:t>16,738</w:t>
            </w:r>
          </w:p>
        </w:tc>
        <w:tc>
          <w:tcPr>
            <w:tcW w:w="1701" w:type="dxa"/>
            <w:tcBorders>
              <w:top w:val="nil"/>
              <w:left w:val="nil"/>
              <w:bottom w:val="nil"/>
              <w:right w:val="nil"/>
            </w:tcBorders>
            <w:shd w:val="clear" w:color="auto" w:fill="auto"/>
            <w:noWrap/>
            <w:vAlign w:val="bottom"/>
            <w:hideMark/>
          </w:tcPr>
          <w:p w14:paraId="7D068370" w14:textId="77777777" w:rsidR="00007E9A" w:rsidRPr="00487834" w:rsidRDefault="00007E9A" w:rsidP="00F36A29">
            <w:pPr>
              <w:pStyle w:val="NoSpacing"/>
            </w:pPr>
            <w:r w:rsidRPr="00487834">
              <w:t>0.55%</w:t>
            </w:r>
          </w:p>
        </w:tc>
      </w:tr>
      <w:tr w:rsidR="00007E9A" w:rsidRPr="00487834" w14:paraId="0EC31559" w14:textId="77777777" w:rsidTr="000818CE">
        <w:trPr>
          <w:trHeight w:val="300"/>
          <w:jc w:val="center"/>
        </w:trPr>
        <w:tc>
          <w:tcPr>
            <w:tcW w:w="3138" w:type="dxa"/>
            <w:tcBorders>
              <w:top w:val="nil"/>
              <w:left w:val="nil"/>
              <w:bottom w:val="nil"/>
              <w:right w:val="nil"/>
            </w:tcBorders>
            <w:shd w:val="clear" w:color="auto" w:fill="auto"/>
            <w:noWrap/>
            <w:vAlign w:val="bottom"/>
            <w:hideMark/>
          </w:tcPr>
          <w:p w14:paraId="175C15CE" w14:textId="77777777" w:rsidR="00007E9A" w:rsidRPr="00487834" w:rsidRDefault="00007E9A" w:rsidP="00F36A29">
            <w:pPr>
              <w:pStyle w:val="NoSpacing"/>
            </w:pPr>
            <w:r w:rsidRPr="00487834">
              <w:t xml:space="preserve">4th </w:t>
            </w:r>
            <w:proofErr w:type="spellStart"/>
            <w:r w:rsidRPr="00487834">
              <w:t>Decile</w:t>
            </w:r>
            <w:proofErr w:type="spellEnd"/>
          </w:p>
        </w:tc>
        <w:tc>
          <w:tcPr>
            <w:tcW w:w="1300" w:type="dxa"/>
            <w:tcBorders>
              <w:top w:val="nil"/>
              <w:left w:val="nil"/>
              <w:bottom w:val="nil"/>
              <w:right w:val="nil"/>
            </w:tcBorders>
            <w:shd w:val="clear" w:color="auto" w:fill="auto"/>
            <w:noWrap/>
            <w:vAlign w:val="bottom"/>
            <w:hideMark/>
          </w:tcPr>
          <w:p w14:paraId="42BD30C4" w14:textId="77777777" w:rsidR="00007E9A" w:rsidRPr="00487834" w:rsidRDefault="00007E9A" w:rsidP="00F36A29">
            <w:pPr>
              <w:pStyle w:val="NoSpacing"/>
            </w:pPr>
            <w:r w:rsidRPr="00487834">
              <w:t>5,004</w:t>
            </w:r>
          </w:p>
        </w:tc>
        <w:tc>
          <w:tcPr>
            <w:tcW w:w="1799" w:type="dxa"/>
            <w:tcBorders>
              <w:top w:val="nil"/>
              <w:left w:val="nil"/>
              <w:bottom w:val="nil"/>
              <w:right w:val="nil"/>
            </w:tcBorders>
            <w:shd w:val="clear" w:color="auto" w:fill="auto"/>
            <w:noWrap/>
            <w:vAlign w:val="bottom"/>
            <w:hideMark/>
          </w:tcPr>
          <w:p w14:paraId="6F049A21" w14:textId="77777777" w:rsidR="00007E9A" w:rsidRPr="00487834" w:rsidRDefault="00007E9A" w:rsidP="00F36A29">
            <w:pPr>
              <w:pStyle w:val="NoSpacing"/>
            </w:pPr>
            <w:r w:rsidRPr="00487834">
              <w:t>8,213</w:t>
            </w:r>
          </w:p>
        </w:tc>
        <w:tc>
          <w:tcPr>
            <w:tcW w:w="1701" w:type="dxa"/>
            <w:tcBorders>
              <w:top w:val="nil"/>
              <w:left w:val="nil"/>
              <w:bottom w:val="nil"/>
              <w:right w:val="nil"/>
            </w:tcBorders>
            <w:shd w:val="clear" w:color="auto" w:fill="auto"/>
            <w:noWrap/>
            <w:vAlign w:val="bottom"/>
            <w:hideMark/>
          </w:tcPr>
          <w:p w14:paraId="1E99D668" w14:textId="77777777" w:rsidR="00007E9A" w:rsidRPr="00487834" w:rsidRDefault="00007E9A" w:rsidP="00F36A29">
            <w:pPr>
              <w:pStyle w:val="NoSpacing"/>
            </w:pPr>
            <w:r w:rsidRPr="00487834">
              <w:t>0.54%</w:t>
            </w:r>
          </w:p>
        </w:tc>
      </w:tr>
      <w:tr w:rsidR="00007E9A" w:rsidRPr="00487834" w14:paraId="0B79B169" w14:textId="77777777" w:rsidTr="000818CE">
        <w:trPr>
          <w:trHeight w:val="300"/>
          <w:jc w:val="center"/>
        </w:trPr>
        <w:tc>
          <w:tcPr>
            <w:tcW w:w="3138" w:type="dxa"/>
            <w:tcBorders>
              <w:top w:val="nil"/>
              <w:left w:val="nil"/>
              <w:bottom w:val="nil"/>
              <w:right w:val="nil"/>
            </w:tcBorders>
            <w:shd w:val="clear" w:color="auto" w:fill="auto"/>
            <w:noWrap/>
            <w:vAlign w:val="bottom"/>
            <w:hideMark/>
          </w:tcPr>
          <w:p w14:paraId="6D16A855" w14:textId="77777777" w:rsidR="00007E9A" w:rsidRPr="00487834" w:rsidRDefault="00007E9A" w:rsidP="00F36A29">
            <w:pPr>
              <w:pStyle w:val="NoSpacing"/>
            </w:pPr>
            <w:r w:rsidRPr="00487834">
              <w:t xml:space="preserve">5th </w:t>
            </w:r>
            <w:proofErr w:type="spellStart"/>
            <w:r w:rsidRPr="00487834">
              <w:t>Decile</w:t>
            </w:r>
            <w:proofErr w:type="spellEnd"/>
          </w:p>
        </w:tc>
        <w:tc>
          <w:tcPr>
            <w:tcW w:w="1300" w:type="dxa"/>
            <w:tcBorders>
              <w:top w:val="nil"/>
              <w:left w:val="nil"/>
              <w:bottom w:val="nil"/>
              <w:right w:val="nil"/>
            </w:tcBorders>
            <w:shd w:val="clear" w:color="auto" w:fill="auto"/>
            <w:noWrap/>
            <w:vAlign w:val="bottom"/>
            <w:hideMark/>
          </w:tcPr>
          <w:p w14:paraId="1944BD24" w14:textId="77777777" w:rsidR="00007E9A" w:rsidRPr="00487834" w:rsidRDefault="00007E9A" w:rsidP="00F36A29">
            <w:pPr>
              <w:pStyle w:val="NoSpacing"/>
            </w:pPr>
            <w:r w:rsidRPr="00487834">
              <w:t>3,277</w:t>
            </w:r>
          </w:p>
        </w:tc>
        <w:tc>
          <w:tcPr>
            <w:tcW w:w="1799" w:type="dxa"/>
            <w:tcBorders>
              <w:top w:val="nil"/>
              <w:left w:val="nil"/>
              <w:bottom w:val="nil"/>
              <w:right w:val="nil"/>
            </w:tcBorders>
            <w:shd w:val="clear" w:color="auto" w:fill="auto"/>
            <w:noWrap/>
            <w:vAlign w:val="bottom"/>
            <w:hideMark/>
          </w:tcPr>
          <w:p w14:paraId="7D18D615" w14:textId="77777777" w:rsidR="00007E9A" w:rsidRPr="00487834" w:rsidRDefault="00007E9A" w:rsidP="00F36A29">
            <w:pPr>
              <w:pStyle w:val="NoSpacing"/>
            </w:pPr>
            <w:r w:rsidRPr="00487834">
              <w:t>5,004</w:t>
            </w:r>
          </w:p>
        </w:tc>
        <w:tc>
          <w:tcPr>
            <w:tcW w:w="1701" w:type="dxa"/>
            <w:tcBorders>
              <w:top w:val="nil"/>
              <w:left w:val="nil"/>
              <w:bottom w:val="nil"/>
              <w:right w:val="nil"/>
            </w:tcBorders>
            <w:shd w:val="clear" w:color="auto" w:fill="auto"/>
            <w:noWrap/>
            <w:vAlign w:val="bottom"/>
            <w:hideMark/>
          </w:tcPr>
          <w:p w14:paraId="3CD9D2D3" w14:textId="77777777" w:rsidR="00007E9A" w:rsidRPr="00487834" w:rsidRDefault="00007E9A" w:rsidP="00F36A29">
            <w:pPr>
              <w:pStyle w:val="NoSpacing"/>
            </w:pPr>
            <w:r w:rsidRPr="00487834">
              <w:t>0.89%</w:t>
            </w:r>
          </w:p>
        </w:tc>
      </w:tr>
      <w:tr w:rsidR="00007E9A" w:rsidRPr="00487834" w14:paraId="1C79F510" w14:textId="77777777" w:rsidTr="000818CE">
        <w:trPr>
          <w:trHeight w:val="300"/>
          <w:jc w:val="center"/>
        </w:trPr>
        <w:tc>
          <w:tcPr>
            <w:tcW w:w="3138" w:type="dxa"/>
            <w:tcBorders>
              <w:top w:val="nil"/>
              <w:left w:val="nil"/>
              <w:bottom w:val="nil"/>
              <w:right w:val="nil"/>
            </w:tcBorders>
            <w:shd w:val="clear" w:color="auto" w:fill="auto"/>
            <w:noWrap/>
            <w:vAlign w:val="bottom"/>
            <w:hideMark/>
          </w:tcPr>
          <w:p w14:paraId="5697CAEE" w14:textId="77777777" w:rsidR="00007E9A" w:rsidRPr="00487834" w:rsidRDefault="00007E9A" w:rsidP="00F36A29">
            <w:pPr>
              <w:pStyle w:val="NoSpacing"/>
            </w:pPr>
            <w:r w:rsidRPr="00487834">
              <w:t xml:space="preserve">6th </w:t>
            </w:r>
            <w:proofErr w:type="spellStart"/>
            <w:r w:rsidRPr="00487834">
              <w:t>Decile</w:t>
            </w:r>
            <w:proofErr w:type="spellEnd"/>
          </w:p>
        </w:tc>
        <w:tc>
          <w:tcPr>
            <w:tcW w:w="1300" w:type="dxa"/>
            <w:tcBorders>
              <w:top w:val="nil"/>
              <w:left w:val="nil"/>
              <w:bottom w:val="nil"/>
              <w:right w:val="nil"/>
            </w:tcBorders>
            <w:shd w:val="clear" w:color="auto" w:fill="auto"/>
            <w:noWrap/>
            <w:vAlign w:val="bottom"/>
            <w:hideMark/>
          </w:tcPr>
          <w:p w14:paraId="1850F8BC" w14:textId="77777777" w:rsidR="00007E9A" w:rsidRPr="00487834" w:rsidRDefault="00007E9A" w:rsidP="00F36A29">
            <w:pPr>
              <w:pStyle w:val="NoSpacing"/>
            </w:pPr>
            <w:r w:rsidRPr="00487834">
              <w:t>2,165</w:t>
            </w:r>
          </w:p>
        </w:tc>
        <w:tc>
          <w:tcPr>
            <w:tcW w:w="1799" w:type="dxa"/>
            <w:tcBorders>
              <w:top w:val="nil"/>
              <w:left w:val="nil"/>
              <w:bottom w:val="nil"/>
              <w:right w:val="nil"/>
            </w:tcBorders>
            <w:shd w:val="clear" w:color="auto" w:fill="auto"/>
            <w:noWrap/>
            <w:vAlign w:val="bottom"/>
            <w:hideMark/>
          </w:tcPr>
          <w:p w14:paraId="756309D4" w14:textId="77777777" w:rsidR="00007E9A" w:rsidRPr="00487834" w:rsidRDefault="00007E9A" w:rsidP="00F36A29">
            <w:pPr>
              <w:pStyle w:val="NoSpacing"/>
            </w:pPr>
            <w:r w:rsidRPr="00487834">
              <w:t>3,277</w:t>
            </w:r>
          </w:p>
        </w:tc>
        <w:tc>
          <w:tcPr>
            <w:tcW w:w="1701" w:type="dxa"/>
            <w:tcBorders>
              <w:top w:val="nil"/>
              <w:left w:val="nil"/>
              <w:bottom w:val="nil"/>
              <w:right w:val="nil"/>
            </w:tcBorders>
            <w:shd w:val="clear" w:color="auto" w:fill="auto"/>
            <w:noWrap/>
            <w:vAlign w:val="bottom"/>
            <w:hideMark/>
          </w:tcPr>
          <w:p w14:paraId="737CF96E" w14:textId="77777777" w:rsidR="00007E9A" w:rsidRPr="00487834" w:rsidRDefault="00007E9A" w:rsidP="00F36A29">
            <w:pPr>
              <w:pStyle w:val="NoSpacing"/>
            </w:pPr>
            <w:r w:rsidRPr="00487834">
              <w:t>1.18%</w:t>
            </w:r>
          </w:p>
        </w:tc>
      </w:tr>
      <w:tr w:rsidR="00007E9A" w:rsidRPr="00487834" w14:paraId="174D7F65" w14:textId="77777777" w:rsidTr="000818CE">
        <w:trPr>
          <w:trHeight w:val="300"/>
          <w:jc w:val="center"/>
        </w:trPr>
        <w:tc>
          <w:tcPr>
            <w:tcW w:w="3138" w:type="dxa"/>
            <w:tcBorders>
              <w:top w:val="nil"/>
              <w:left w:val="nil"/>
              <w:bottom w:val="nil"/>
              <w:right w:val="nil"/>
            </w:tcBorders>
            <w:shd w:val="clear" w:color="auto" w:fill="auto"/>
            <w:noWrap/>
            <w:vAlign w:val="bottom"/>
            <w:hideMark/>
          </w:tcPr>
          <w:p w14:paraId="0DBB2348" w14:textId="77777777" w:rsidR="00007E9A" w:rsidRPr="00487834" w:rsidRDefault="00007E9A" w:rsidP="00F36A29">
            <w:pPr>
              <w:pStyle w:val="NoSpacing"/>
            </w:pPr>
            <w:r w:rsidRPr="00487834">
              <w:t xml:space="preserve">7th </w:t>
            </w:r>
            <w:proofErr w:type="spellStart"/>
            <w:r w:rsidRPr="00487834">
              <w:t>Decile</w:t>
            </w:r>
            <w:proofErr w:type="spellEnd"/>
          </w:p>
        </w:tc>
        <w:tc>
          <w:tcPr>
            <w:tcW w:w="1300" w:type="dxa"/>
            <w:tcBorders>
              <w:top w:val="nil"/>
              <w:left w:val="nil"/>
              <w:bottom w:val="nil"/>
              <w:right w:val="nil"/>
            </w:tcBorders>
            <w:shd w:val="clear" w:color="auto" w:fill="auto"/>
            <w:noWrap/>
            <w:vAlign w:val="bottom"/>
            <w:hideMark/>
          </w:tcPr>
          <w:p w14:paraId="5F454B09" w14:textId="77777777" w:rsidR="00007E9A" w:rsidRPr="00487834" w:rsidRDefault="00007E9A" w:rsidP="00F36A29">
            <w:pPr>
              <w:pStyle w:val="NoSpacing"/>
            </w:pPr>
            <w:r w:rsidRPr="00487834">
              <w:t>1,306</w:t>
            </w:r>
          </w:p>
        </w:tc>
        <w:tc>
          <w:tcPr>
            <w:tcW w:w="1799" w:type="dxa"/>
            <w:tcBorders>
              <w:top w:val="nil"/>
              <w:left w:val="nil"/>
              <w:bottom w:val="nil"/>
              <w:right w:val="nil"/>
            </w:tcBorders>
            <w:shd w:val="clear" w:color="auto" w:fill="auto"/>
            <w:noWrap/>
            <w:vAlign w:val="bottom"/>
            <w:hideMark/>
          </w:tcPr>
          <w:p w14:paraId="005C75DC" w14:textId="77777777" w:rsidR="00007E9A" w:rsidRPr="00487834" w:rsidRDefault="00007E9A" w:rsidP="00F36A29">
            <w:pPr>
              <w:pStyle w:val="NoSpacing"/>
            </w:pPr>
            <w:r w:rsidRPr="00487834">
              <w:t>2,165</w:t>
            </w:r>
          </w:p>
        </w:tc>
        <w:tc>
          <w:tcPr>
            <w:tcW w:w="1701" w:type="dxa"/>
            <w:tcBorders>
              <w:top w:val="nil"/>
              <w:left w:val="nil"/>
              <w:bottom w:val="nil"/>
              <w:right w:val="nil"/>
            </w:tcBorders>
            <w:shd w:val="clear" w:color="auto" w:fill="auto"/>
            <w:noWrap/>
            <w:vAlign w:val="bottom"/>
            <w:hideMark/>
          </w:tcPr>
          <w:p w14:paraId="76222760" w14:textId="77777777" w:rsidR="00007E9A" w:rsidRPr="00487834" w:rsidRDefault="00007E9A" w:rsidP="00F36A29">
            <w:pPr>
              <w:pStyle w:val="NoSpacing"/>
            </w:pPr>
            <w:r w:rsidRPr="00487834">
              <w:t>1.34%</w:t>
            </w:r>
          </w:p>
        </w:tc>
      </w:tr>
      <w:tr w:rsidR="00007E9A" w:rsidRPr="00487834" w14:paraId="0DCCA357" w14:textId="77777777" w:rsidTr="000818CE">
        <w:trPr>
          <w:trHeight w:val="300"/>
          <w:jc w:val="center"/>
        </w:trPr>
        <w:tc>
          <w:tcPr>
            <w:tcW w:w="3138" w:type="dxa"/>
            <w:tcBorders>
              <w:top w:val="nil"/>
              <w:left w:val="nil"/>
              <w:bottom w:val="nil"/>
              <w:right w:val="nil"/>
            </w:tcBorders>
            <w:shd w:val="clear" w:color="auto" w:fill="auto"/>
            <w:noWrap/>
            <w:vAlign w:val="bottom"/>
            <w:hideMark/>
          </w:tcPr>
          <w:p w14:paraId="131D0E9A" w14:textId="77777777" w:rsidR="00007E9A" w:rsidRPr="00487834" w:rsidRDefault="00007E9A" w:rsidP="00F36A29">
            <w:pPr>
              <w:pStyle w:val="NoSpacing"/>
            </w:pPr>
            <w:r w:rsidRPr="00487834">
              <w:t xml:space="preserve">8th </w:t>
            </w:r>
            <w:proofErr w:type="spellStart"/>
            <w:r w:rsidRPr="00487834">
              <w:t>Decile</w:t>
            </w:r>
            <w:proofErr w:type="spellEnd"/>
          </w:p>
        </w:tc>
        <w:tc>
          <w:tcPr>
            <w:tcW w:w="1300" w:type="dxa"/>
            <w:tcBorders>
              <w:top w:val="nil"/>
              <w:left w:val="nil"/>
              <w:bottom w:val="nil"/>
              <w:right w:val="nil"/>
            </w:tcBorders>
            <w:shd w:val="clear" w:color="auto" w:fill="auto"/>
            <w:noWrap/>
            <w:vAlign w:val="bottom"/>
            <w:hideMark/>
          </w:tcPr>
          <w:p w14:paraId="5CC5D34E" w14:textId="77777777" w:rsidR="00007E9A" w:rsidRPr="00487834" w:rsidRDefault="00007E9A" w:rsidP="00F36A29">
            <w:pPr>
              <w:pStyle w:val="NoSpacing"/>
            </w:pPr>
            <w:r w:rsidRPr="00487834">
              <w:t>628</w:t>
            </w:r>
          </w:p>
        </w:tc>
        <w:tc>
          <w:tcPr>
            <w:tcW w:w="1799" w:type="dxa"/>
            <w:tcBorders>
              <w:top w:val="nil"/>
              <w:left w:val="nil"/>
              <w:bottom w:val="nil"/>
              <w:right w:val="nil"/>
            </w:tcBorders>
            <w:shd w:val="clear" w:color="auto" w:fill="auto"/>
            <w:noWrap/>
            <w:vAlign w:val="bottom"/>
            <w:hideMark/>
          </w:tcPr>
          <w:p w14:paraId="2C483B5E" w14:textId="77777777" w:rsidR="00007E9A" w:rsidRPr="00487834" w:rsidRDefault="00007E9A" w:rsidP="00F36A29">
            <w:pPr>
              <w:pStyle w:val="NoSpacing"/>
            </w:pPr>
            <w:r w:rsidRPr="00487834">
              <w:t>1,306</w:t>
            </w:r>
          </w:p>
        </w:tc>
        <w:tc>
          <w:tcPr>
            <w:tcW w:w="1701" w:type="dxa"/>
            <w:tcBorders>
              <w:top w:val="nil"/>
              <w:left w:val="nil"/>
              <w:bottom w:val="nil"/>
              <w:right w:val="nil"/>
            </w:tcBorders>
            <w:shd w:val="clear" w:color="auto" w:fill="auto"/>
            <w:noWrap/>
            <w:vAlign w:val="bottom"/>
            <w:hideMark/>
          </w:tcPr>
          <w:p w14:paraId="6A1A4B6E" w14:textId="77777777" w:rsidR="00007E9A" w:rsidRPr="00487834" w:rsidRDefault="00007E9A" w:rsidP="00F36A29">
            <w:pPr>
              <w:pStyle w:val="NoSpacing"/>
            </w:pPr>
            <w:r w:rsidRPr="00487834">
              <w:t>1.21%</w:t>
            </w:r>
          </w:p>
        </w:tc>
      </w:tr>
      <w:tr w:rsidR="00007E9A" w:rsidRPr="00487834" w14:paraId="5D236087" w14:textId="77777777" w:rsidTr="000818CE">
        <w:trPr>
          <w:trHeight w:val="300"/>
          <w:jc w:val="center"/>
        </w:trPr>
        <w:tc>
          <w:tcPr>
            <w:tcW w:w="3138" w:type="dxa"/>
            <w:tcBorders>
              <w:top w:val="nil"/>
              <w:left w:val="nil"/>
              <w:bottom w:val="nil"/>
              <w:right w:val="nil"/>
            </w:tcBorders>
            <w:shd w:val="clear" w:color="auto" w:fill="auto"/>
            <w:noWrap/>
            <w:vAlign w:val="bottom"/>
            <w:hideMark/>
          </w:tcPr>
          <w:p w14:paraId="7EA2F50D" w14:textId="77777777" w:rsidR="00007E9A" w:rsidRPr="00487834" w:rsidRDefault="00007E9A" w:rsidP="00F36A29">
            <w:pPr>
              <w:pStyle w:val="NoSpacing"/>
            </w:pPr>
            <w:r w:rsidRPr="00487834">
              <w:t xml:space="preserve">9th </w:t>
            </w:r>
            <w:proofErr w:type="spellStart"/>
            <w:r w:rsidRPr="00487834">
              <w:t>Decile</w:t>
            </w:r>
            <w:proofErr w:type="spellEnd"/>
          </w:p>
        </w:tc>
        <w:tc>
          <w:tcPr>
            <w:tcW w:w="1300" w:type="dxa"/>
            <w:tcBorders>
              <w:top w:val="nil"/>
              <w:left w:val="nil"/>
              <w:bottom w:val="nil"/>
              <w:right w:val="nil"/>
            </w:tcBorders>
            <w:shd w:val="clear" w:color="auto" w:fill="auto"/>
            <w:noWrap/>
            <w:vAlign w:val="bottom"/>
            <w:hideMark/>
          </w:tcPr>
          <w:p w14:paraId="4C9FF99E" w14:textId="77777777" w:rsidR="00007E9A" w:rsidRPr="00487834" w:rsidRDefault="00007E9A" w:rsidP="00F36A29">
            <w:pPr>
              <w:pStyle w:val="NoSpacing"/>
            </w:pPr>
            <w:r w:rsidRPr="00487834">
              <w:t>289</w:t>
            </w:r>
          </w:p>
        </w:tc>
        <w:tc>
          <w:tcPr>
            <w:tcW w:w="1799" w:type="dxa"/>
            <w:tcBorders>
              <w:top w:val="nil"/>
              <w:left w:val="nil"/>
              <w:bottom w:val="nil"/>
              <w:right w:val="nil"/>
            </w:tcBorders>
            <w:shd w:val="clear" w:color="auto" w:fill="auto"/>
            <w:noWrap/>
            <w:vAlign w:val="bottom"/>
            <w:hideMark/>
          </w:tcPr>
          <w:p w14:paraId="30381304" w14:textId="77777777" w:rsidR="00007E9A" w:rsidRPr="00487834" w:rsidRDefault="00007E9A" w:rsidP="00F36A29">
            <w:pPr>
              <w:pStyle w:val="NoSpacing"/>
            </w:pPr>
            <w:r w:rsidRPr="00487834">
              <w:t>628</w:t>
            </w:r>
          </w:p>
        </w:tc>
        <w:tc>
          <w:tcPr>
            <w:tcW w:w="1701" w:type="dxa"/>
            <w:tcBorders>
              <w:top w:val="nil"/>
              <w:left w:val="nil"/>
              <w:bottom w:val="nil"/>
              <w:right w:val="nil"/>
            </w:tcBorders>
            <w:shd w:val="clear" w:color="auto" w:fill="auto"/>
            <w:noWrap/>
            <w:vAlign w:val="bottom"/>
            <w:hideMark/>
          </w:tcPr>
          <w:p w14:paraId="723E5A84" w14:textId="77777777" w:rsidR="00007E9A" w:rsidRPr="00487834" w:rsidRDefault="00007E9A" w:rsidP="00F36A29">
            <w:pPr>
              <w:pStyle w:val="NoSpacing"/>
            </w:pPr>
            <w:r w:rsidRPr="00487834">
              <w:t>2.10%</w:t>
            </w:r>
          </w:p>
        </w:tc>
      </w:tr>
      <w:tr w:rsidR="00007E9A" w:rsidRPr="00487834" w14:paraId="221CE168" w14:textId="77777777" w:rsidTr="000818CE">
        <w:trPr>
          <w:trHeight w:val="320"/>
          <w:jc w:val="center"/>
        </w:trPr>
        <w:tc>
          <w:tcPr>
            <w:tcW w:w="3138" w:type="dxa"/>
            <w:tcBorders>
              <w:top w:val="nil"/>
              <w:left w:val="nil"/>
              <w:bottom w:val="single" w:sz="8" w:space="0" w:color="auto"/>
              <w:right w:val="nil"/>
            </w:tcBorders>
            <w:shd w:val="clear" w:color="auto" w:fill="auto"/>
            <w:noWrap/>
            <w:vAlign w:val="bottom"/>
            <w:hideMark/>
          </w:tcPr>
          <w:p w14:paraId="313B0E82" w14:textId="77777777" w:rsidR="00007E9A" w:rsidRPr="00487834" w:rsidRDefault="00007E9A" w:rsidP="00F36A29">
            <w:pPr>
              <w:pStyle w:val="NoSpacing"/>
            </w:pPr>
            <w:r w:rsidRPr="00487834">
              <w:t xml:space="preserve">10th </w:t>
            </w:r>
            <w:proofErr w:type="spellStart"/>
            <w:r w:rsidRPr="00487834">
              <w:t>Decile</w:t>
            </w:r>
            <w:proofErr w:type="spellEnd"/>
            <w:r w:rsidRPr="00487834">
              <w:t xml:space="preserve"> (</w:t>
            </w:r>
            <w:proofErr w:type="spellStart"/>
            <w:r w:rsidRPr="00487834">
              <w:t>Smallest</w:t>
            </w:r>
            <w:proofErr w:type="spellEnd"/>
            <w:r w:rsidRPr="00487834">
              <w:t>)</w:t>
            </w:r>
          </w:p>
        </w:tc>
        <w:tc>
          <w:tcPr>
            <w:tcW w:w="1300" w:type="dxa"/>
            <w:tcBorders>
              <w:top w:val="nil"/>
              <w:left w:val="nil"/>
              <w:bottom w:val="single" w:sz="8" w:space="0" w:color="auto"/>
              <w:right w:val="nil"/>
            </w:tcBorders>
            <w:shd w:val="clear" w:color="auto" w:fill="auto"/>
            <w:noWrap/>
            <w:vAlign w:val="bottom"/>
            <w:hideMark/>
          </w:tcPr>
          <w:p w14:paraId="41A8678B" w14:textId="77777777" w:rsidR="00007E9A" w:rsidRPr="00487834" w:rsidRDefault="00007E9A" w:rsidP="00F36A29">
            <w:pPr>
              <w:pStyle w:val="NoSpacing"/>
            </w:pPr>
            <w:r w:rsidRPr="00487834">
              <w:t>11</w:t>
            </w:r>
          </w:p>
        </w:tc>
        <w:tc>
          <w:tcPr>
            <w:tcW w:w="1799" w:type="dxa"/>
            <w:tcBorders>
              <w:top w:val="nil"/>
              <w:left w:val="nil"/>
              <w:bottom w:val="single" w:sz="8" w:space="0" w:color="auto"/>
              <w:right w:val="nil"/>
            </w:tcBorders>
            <w:shd w:val="clear" w:color="auto" w:fill="auto"/>
            <w:noWrap/>
            <w:vAlign w:val="bottom"/>
            <w:hideMark/>
          </w:tcPr>
          <w:p w14:paraId="749922EC" w14:textId="77777777" w:rsidR="00007E9A" w:rsidRPr="00487834" w:rsidRDefault="00007E9A" w:rsidP="00F36A29">
            <w:pPr>
              <w:pStyle w:val="NoSpacing"/>
            </w:pPr>
            <w:r w:rsidRPr="00487834">
              <w:t>289</w:t>
            </w:r>
          </w:p>
        </w:tc>
        <w:tc>
          <w:tcPr>
            <w:tcW w:w="1701" w:type="dxa"/>
            <w:tcBorders>
              <w:top w:val="nil"/>
              <w:left w:val="nil"/>
              <w:bottom w:val="single" w:sz="8" w:space="0" w:color="auto"/>
              <w:right w:val="nil"/>
            </w:tcBorders>
            <w:shd w:val="clear" w:color="auto" w:fill="auto"/>
            <w:noWrap/>
            <w:vAlign w:val="bottom"/>
            <w:hideMark/>
          </w:tcPr>
          <w:p w14:paraId="31DDB95D" w14:textId="77777777" w:rsidR="00007E9A" w:rsidRPr="00487834" w:rsidRDefault="00007E9A" w:rsidP="00F36A29">
            <w:pPr>
              <w:pStyle w:val="NoSpacing"/>
            </w:pPr>
            <w:r w:rsidRPr="00487834">
              <w:t>4.8%</w:t>
            </w:r>
          </w:p>
        </w:tc>
      </w:tr>
    </w:tbl>
    <w:p w14:paraId="4900043C" w14:textId="77777777" w:rsidR="00F723DC" w:rsidRPr="00487834" w:rsidRDefault="00F723DC" w:rsidP="003128F6">
      <w:pPr>
        <w:autoSpaceDE w:val="0"/>
        <w:autoSpaceDN w:val="0"/>
        <w:adjustRightInd w:val="0"/>
        <w:spacing w:line="300" w:lineRule="auto"/>
        <w:rPr>
          <w:rFonts w:eastAsiaTheme="minorHAnsi"/>
          <w:i/>
          <w:iCs/>
          <w:lang w:val="en-US" w:eastAsia="en-US"/>
        </w:rPr>
      </w:pPr>
    </w:p>
    <w:p w14:paraId="20AF4724" w14:textId="77777777" w:rsidR="00F83903" w:rsidRPr="00487834" w:rsidRDefault="00756009" w:rsidP="00B72D57">
      <w:pPr>
        <w:pStyle w:val="Heading2"/>
        <w:jc w:val="center"/>
        <w:rPr>
          <w:rFonts w:eastAsiaTheme="minorHAnsi" w:cs="Times New Roman"/>
          <w:lang w:val="en-GB" w:eastAsia="en-US"/>
        </w:rPr>
      </w:pPr>
      <w:bookmarkStart w:id="16" w:name="_Toc167918987"/>
      <w:r w:rsidRPr="00487834">
        <w:rPr>
          <w:rFonts w:eastAsiaTheme="minorHAnsi" w:cs="Times New Roman"/>
          <w:lang w:val="en-GB" w:eastAsia="en-US"/>
        </w:rPr>
        <w:t>3.7</w:t>
      </w:r>
      <w:r w:rsidR="00F85F9E" w:rsidRPr="00487834">
        <w:rPr>
          <w:rFonts w:eastAsiaTheme="minorHAnsi" w:cs="Times New Roman"/>
          <w:lang w:val="en-GB" w:eastAsia="en-US"/>
        </w:rPr>
        <w:t xml:space="preserve">. </w:t>
      </w:r>
      <w:r w:rsidR="00C77D2A" w:rsidRPr="00487834">
        <w:rPr>
          <w:rFonts w:eastAsiaTheme="minorHAnsi" w:cs="Times New Roman"/>
          <w:lang w:val="en-GB" w:eastAsia="en-US"/>
        </w:rPr>
        <w:t>Modelling cost of debt</w:t>
      </w:r>
      <w:bookmarkEnd w:id="16"/>
    </w:p>
    <w:p w14:paraId="7F4905A5" w14:textId="77777777" w:rsidR="00C77D2A" w:rsidRPr="00487834" w:rsidRDefault="00C77D2A" w:rsidP="003128F6">
      <w:pPr>
        <w:autoSpaceDE w:val="0"/>
        <w:autoSpaceDN w:val="0"/>
        <w:adjustRightInd w:val="0"/>
        <w:spacing w:line="300" w:lineRule="auto"/>
        <w:rPr>
          <w:rFonts w:eastAsiaTheme="minorHAnsi"/>
          <w:lang w:val="en-US" w:eastAsia="en-US"/>
        </w:rPr>
      </w:pPr>
    </w:p>
    <w:p w14:paraId="2F6A756A" w14:textId="77777777" w:rsidR="005B558F" w:rsidRPr="00487834" w:rsidRDefault="00455F9B" w:rsidP="003128F6">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While normally the cost of debt for an individual firm is calculated a</w:t>
      </w:r>
      <w:r w:rsidR="002F33A2" w:rsidRPr="00487834">
        <w:rPr>
          <w:rFonts w:eastAsiaTheme="minorHAnsi"/>
          <w:lang w:val="en-US" w:eastAsia="en-US"/>
        </w:rPr>
        <w:t>s the weighted average of all interests payable for all tranches of marketable debt outstandings. A</w:t>
      </w:r>
      <w:r w:rsidR="00AE49CD" w:rsidRPr="00487834">
        <w:rPr>
          <w:rFonts w:eastAsiaTheme="minorHAnsi"/>
          <w:lang w:val="en-US" w:eastAsia="en-US"/>
        </w:rPr>
        <w:t xml:space="preserve"> feasible alternative, widely used in the industry is using risk-free rate in dollars in form</w:t>
      </w:r>
      <w:r w:rsidR="00BB2FE8" w:rsidRPr="00487834">
        <w:rPr>
          <w:rFonts w:eastAsiaTheme="minorHAnsi"/>
          <w:lang w:val="en-US" w:eastAsia="en-US"/>
        </w:rPr>
        <w:t xml:space="preserve"> of YTM of a </w:t>
      </w:r>
      <w:r w:rsidR="00AE49CD" w:rsidRPr="00487834">
        <w:rPr>
          <w:rFonts w:eastAsiaTheme="minorHAnsi"/>
          <w:lang w:val="en-US" w:eastAsia="en-US"/>
        </w:rPr>
        <w:t>sovereign debt of respective country (Eurobonds) with the longest maturity</w:t>
      </w:r>
      <w:r w:rsidR="00D61D1B" w:rsidRPr="00487834">
        <w:rPr>
          <w:rFonts w:eastAsiaTheme="minorHAnsi"/>
          <w:lang w:val="en-US" w:eastAsia="en-US"/>
        </w:rPr>
        <w:t xml:space="preserve"> as a base. Then the credit spread for the corresponding level of risk is added on top of that</w:t>
      </w:r>
      <w:r w:rsidR="00220F8E" w:rsidRPr="00487834">
        <w:rPr>
          <w:rFonts w:eastAsiaTheme="minorHAnsi"/>
          <w:lang w:val="en-US" w:eastAsia="en-US"/>
        </w:rPr>
        <w:t>. This makes the calculation highly customizable firm-wise and relatively easy to compute.</w:t>
      </w:r>
      <w:r w:rsidR="00BB3839" w:rsidRPr="00487834">
        <w:rPr>
          <w:rFonts w:eastAsiaTheme="minorHAnsi"/>
          <w:lang w:val="en-US" w:eastAsia="en-US"/>
        </w:rPr>
        <w:t xml:space="preserve"> The equation of cost of debt is as follows:</w:t>
      </w:r>
    </w:p>
    <w:p w14:paraId="222741B2" w14:textId="77777777" w:rsidR="00BB3839" w:rsidRPr="00487834" w:rsidRDefault="00BB3839" w:rsidP="003128F6">
      <w:pPr>
        <w:autoSpaceDE w:val="0"/>
        <w:autoSpaceDN w:val="0"/>
        <w:adjustRightInd w:val="0"/>
        <w:spacing w:line="300" w:lineRule="auto"/>
        <w:rPr>
          <w:rFonts w:eastAsiaTheme="minorHAnsi"/>
          <w:lang w:val="en-US" w:eastAsia="en-US"/>
        </w:rPr>
      </w:pPr>
    </w:p>
    <w:p w14:paraId="57100980" w14:textId="77777777" w:rsidR="0051372E" w:rsidRPr="00487834" w:rsidRDefault="0051372E" w:rsidP="003128F6">
      <w:pPr>
        <w:autoSpaceDE w:val="0"/>
        <w:autoSpaceDN w:val="0"/>
        <w:adjustRightInd w:val="0"/>
        <w:spacing w:line="300" w:lineRule="auto"/>
        <w:rPr>
          <w:rFonts w:eastAsiaTheme="minorHAnsi"/>
          <w:lang w:val="en-US" w:eastAsia="en-US"/>
        </w:rPr>
      </w:pPr>
    </w:p>
    <w:p w14:paraId="1D496A6A" w14:textId="77777777" w:rsidR="00E17FE8" w:rsidRPr="00487834" w:rsidRDefault="00000000" w:rsidP="003128F6">
      <w:pPr>
        <w:autoSpaceDE w:val="0"/>
        <w:autoSpaceDN w:val="0"/>
        <w:adjustRightInd w:val="0"/>
        <w:spacing w:line="300" w:lineRule="auto"/>
        <w:rPr>
          <w:rFonts w:eastAsiaTheme="minorEastAsia"/>
          <w:iCs/>
          <w:lang w:val="en-GB" w:eastAsia="en-US"/>
        </w:rPr>
      </w:pPr>
      <m:oMathPara>
        <m:oMath>
          <m:sSub>
            <m:sSubPr>
              <m:ctrlPr>
                <w:rPr>
                  <w:rFonts w:ascii="Cambria Math" w:eastAsiaTheme="minorHAnsi" w:hAnsi="Cambria Math"/>
                  <w:i/>
                  <w:iCs/>
                  <w:lang w:val="en-GB" w:eastAsia="en-US"/>
                </w:rPr>
              </m:ctrlPr>
            </m:sSubPr>
            <m:e>
              <m:r>
                <w:rPr>
                  <w:rFonts w:ascii="Cambria Math" w:eastAsiaTheme="minorHAnsi" w:hAnsi="Cambria Math"/>
                  <w:lang w:val="en-GB" w:eastAsia="en-US"/>
                </w:rPr>
                <m:t>K</m:t>
              </m:r>
            </m:e>
            <m:sub>
              <m:r>
                <w:rPr>
                  <w:rFonts w:ascii="Cambria Math" w:eastAsiaTheme="minorHAnsi" w:hAnsi="Cambria Math"/>
                  <w:lang w:val="en-GB" w:eastAsia="en-US"/>
                </w:rPr>
                <m:t>d</m:t>
              </m:r>
            </m:sub>
          </m:sSub>
          <m:r>
            <w:rPr>
              <w:rFonts w:ascii="Cambria Math" w:eastAsiaTheme="minorHAnsi" w:hAnsi="Cambria Math"/>
              <w:lang w:val="en-GB" w:eastAsia="en-US"/>
            </w:rPr>
            <m:t>=</m:t>
          </m:r>
          <m:sSub>
            <m:sSubPr>
              <m:ctrlPr>
                <w:rPr>
                  <w:rFonts w:ascii="Cambria Math" w:eastAsiaTheme="minorHAnsi" w:hAnsi="Cambria Math"/>
                  <w:i/>
                  <w:iCs/>
                  <w:lang w:val="en-GB" w:eastAsia="en-US"/>
                </w:rPr>
              </m:ctrlPr>
            </m:sSubPr>
            <m:e>
              <m:r>
                <w:rPr>
                  <w:rFonts w:ascii="Cambria Math" w:eastAsiaTheme="minorHAnsi" w:hAnsi="Cambria Math"/>
                  <w:lang w:val="en-GB" w:eastAsia="en-US"/>
                </w:rPr>
                <m:t>R</m:t>
              </m:r>
            </m:e>
            <m:sub>
              <m:r>
                <w:rPr>
                  <w:rFonts w:ascii="Cambria Math" w:eastAsiaTheme="minorHAnsi" w:hAnsi="Cambria Math"/>
                  <w:lang w:val="en-GB" w:eastAsia="en-US"/>
                </w:rPr>
                <m:t xml:space="preserve">f </m:t>
              </m:r>
            </m:sub>
          </m:sSub>
          <m:r>
            <w:rPr>
              <w:rFonts w:ascii="Cambria Math" w:eastAsiaTheme="minorHAnsi" w:hAnsi="Cambria Math"/>
              <w:lang w:val="en-GB" w:eastAsia="en-US"/>
            </w:rPr>
            <m:t>+S</m:t>
          </m:r>
        </m:oMath>
      </m:oMathPara>
    </w:p>
    <w:p w14:paraId="2484221A" w14:textId="77777777" w:rsidR="00BB3839" w:rsidRPr="00487834" w:rsidRDefault="00034CB6" w:rsidP="003128F6">
      <w:pPr>
        <w:autoSpaceDE w:val="0"/>
        <w:autoSpaceDN w:val="0"/>
        <w:adjustRightInd w:val="0"/>
        <w:spacing w:line="300" w:lineRule="auto"/>
        <w:rPr>
          <w:rFonts w:eastAsiaTheme="minorEastAsia"/>
          <w:iCs/>
          <w:lang w:val="en-GB" w:eastAsia="en-US"/>
        </w:rPr>
      </w:pPr>
      <w:r w:rsidRPr="00487834">
        <w:rPr>
          <w:rFonts w:eastAsiaTheme="minorEastAsia"/>
          <w:iCs/>
          <w:lang w:val="en-GB" w:eastAsia="en-US"/>
        </w:rPr>
        <w:tab/>
      </w:r>
    </w:p>
    <w:p w14:paraId="7C1CFEC2" w14:textId="77777777" w:rsidR="00BB3839" w:rsidRPr="00487834" w:rsidRDefault="00BB3839" w:rsidP="003128F6">
      <w:pPr>
        <w:autoSpaceDE w:val="0"/>
        <w:autoSpaceDN w:val="0"/>
        <w:adjustRightInd w:val="0"/>
        <w:spacing w:line="300" w:lineRule="auto"/>
        <w:ind w:firstLine="720"/>
        <w:rPr>
          <w:rFonts w:eastAsiaTheme="minorEastAsia"/>
          <w:iCs/>
          <w:lang w:val="en-GB" w:eastAsia="en-US"/>
        </w:rPr>
      </w:pPr>
      <w:r w:rsidRPr="00487834">
        <w:rPr>
          <w:rFonts w:eastAsiaTheme="minorEastAsia"/>
          <w:iCs/>
          <w:lang w:val="en-GB" w:eastAsia="en-US"/>
        </w:rPr>
        <w:t xml:space="preserve">Where </w:t>
      </w:r>
      <m:oMath>
        <m:sSub>
          <m:sSubPr>
            <m:ctrlPr>
              <w:rPr>
                <w:rFonts w:ascii="Cambria Math" w:eastAsiaTheme="minorHAnsi" w:hAnsi="Cambria Math"/>
                <w:i/>
                <w:iCs/>
                <w:lang w:val="en-GB" w:eastAsia="en-US"/>
              </w:rPr>
            </m:ctrlPr>
          </m:sSubPr>
          <m:e>
            <m:r>
              <w:rPr>
                <w:rFonts w:ascii="Cambria Math" w:eastAsiaTheme="minorHAnsi" w:hAnsi="Cambria Math"/>
                <w:lang w:val="en-GB" w:eastAsia="en-US"/>
              </w:rPr>
              <m:t>K</m:t>
            </m:r>
          </m:e>
          <m:sub>
            <m:r>
              <w:rPr>
                <w:rFonts w:ascii="Cambria Math" w:eastAsiaTheme="minorHAnsi" w:hAnsi="Cambria Math"/>
                <w:lang w:val="en-GB" w:eastAsia="en-US"/>
              </w:rPr>
              <m:t>d</m:t>
            </m:r>
          </m:sub>
        </m:sSub>
      </m:oMath>
      <w:r w:rsidR="00BB2FE8" w:rsidRPr="00487834">
        <w:rPr>
          <w:rFonts w:eastAsiaTheme="minorEastAsia"/>
          <w:iCs/>
          <w:lang w:val="en-GB" w:eastAsia="en-US"/>
        </w:rPr>
        <w:t xml:space="preserve"> is firm-specific cost of debt at time t, </w:t>
      </w:r>
      <m:oMath>
        <m:sSub>
          <m:sSubPr>
            <m:ctrlPr>
              <w:rPr>
                <w:rFonts w:ascii="Cambria Math" w:eastAsiaTheme="minorHAnsi" w:hAnsi="Cambria Math"/>
                <w:i/>
                <w:iCs/>
                <w:lang w:val="en-GB" w:eastAsia="en-US"/>
              </w:rPr>
            </m:ctrlPr>
          </m:sSubPr>
          <m:e>
            <m:r>
              <w:rPr>
                <w:rFonts w:ascii="Cambria Math" w:eastAsiaTheme="minorHAnsi" w:hAnsi="Cambria Math"/>
                <w:lang w:val="en-GB" w:eastAsia="en-US"/>
              </w:rPr>
              <m:t>R</m:t>
            </m:r>
          </m:e>
          <m:sub>
            <m:r>
              <w:rPr>
                <w:rFonts w:ascii="Cambria Math" w:eastAsiaTheme="minorHAnsi" w:hAnsi="Cambria Math"/>
                <w:lang w:val="en-GB" w:eastAsia="en-US"/>
              </w:rPr>
              <m:t xml:space="preserve">f </m:t>
            </m:r>
          </m:sub>
        </m:sSub>
      </m:oMath>
      <w:r w:rsidR="00BB2FE8" w:rsidRPr="00487834">
        <w:rPr>
          <w:rFonts w:eastAsiaTheme="minorEastAsia"/>
          <w:iCs/>
          <w:lang w:val="en-GB" w:eastAsia="en-US"/>
        </w:rPr>
        <w:t xml:space="preserve"> is the indicat</w:t>
      </w:r>
      <w:r w:rsidR="00B82833" w:rsidRPr="00487834">
        <w:rPr>
          <w:rFonts w:eastAsiaTheme="minorEastAsia"/>
          <w:iCs/>
          <w:lang w:val="en-GB" w:eastAsia="en-US"/>
        </w:rPr>
        <w:t xml:space="preserve">ive yield to maturity for sovereign Eurobonds with longest maturity in respective market, and </w:t>
      </w:r>
      <m:oMath>
        <m:r>
          <w:rPr>
            <w:rFonts w:ascii="Cambria Math" w:eastAsiaTheme="minorHAnsi" w:hAnsi="Cambria Math"/>
            <w:lang w:val="en-GB" w:eastAsia="en-US"/>
          </w:rPr>
          <m:t>S</m:t>
        </m:r>
      </m:oMath>
      <w:r w:rsidR="00B82833" w:rsidRPr="00487834">
        <w:rPr>
          <w:rFonts w:eastAsiaTheme="minorEastAsia"/>
          <w:iCs/>
          <w:lang w:val="en-GB" w:eastAsia="en-US"/>
        </w:rPr>
        <w:t xml:space="preserve"> is the credit spread for the corresponding level of risk</w:t>
      </w:r>
      <w:r w:rsidR="006E2800" w:rsidRPr="00487834">
        <w:rPr>
          <w:rFonts w:eastAsiaTheme="minorEastAsia"/>
          <w:iCs/>
          <w:lang w:val="en-GB" w:eastAsia="en-US"/>
        </w:rPr>
        <w:t xml:space="preserve">. </w:t>
      </w:r>
    </w:p>
    <w:p w14:paraId="7F6644F8" w14:textId="77777777" w:rsidR="006E2800" w:rsidRPr="00487834" w:rsidRDefault="006E2800" w:rsidP="003128F6">
      <w:pPr>
        <w:autoSpaceDE w:val="0"/>
        <w:autoSpaceDN w:val="0"/>
        <w:adjustRightInd w:val="0"/>
        <w:spacing w:line="300" w:lineRule="auto"/>
        <w:rPr>
          <w:rFonts w:eastAsiaTheme="minorEastAsia"/>
          <w:iCs/>
          <w:lang w:val="en-GB" w:eastAsia="en-US"/>
        </w:rPr>
      </w:pPr>
    </w:p>
    <w:p w14:paraId="1170DEE6" w14:textId="48ACD793" w:rsidR="006E2800" w:rsidRPr="00487834" w:rsidRDefault="006E2F65" w:rsidP="003128F6">
      <w:pPr>
        <w:autoSpaceDE w:val="0"/>
        <w:autoSpaceDN w:val="0"/>
        <w:adjustRightInd w:val="0"/>
        <w:spacing w:line="300" w:lineRule="auto"/>
        <w:ind w:firstLine="720"/>
        <w:rPr>
          <w:rFonts w:eastAsiaTheme="minorEastAsia"/>
          <w:iCs/>
          <w:lang w:val="en-GB" w:eastAsia="en-US"/>
        </w:rPr>
      </w:pPr>
      <w:r w:rsidRPr="00487834">
        <w:rPr>
          <w:rFonts w:eastAsiaTheme="minorEastAsia"/>
          <w:iCs/>
          <w:lang w:val="en-GB" w:eastAsia="en-US"/>
        </w:rPr>
        <w:t>W</w:t>
      </w:r>
      <w:r w:rsidR="006E2800" w:rsidRPr="00487834">
        <w:rPr>
          <w:rFonts w:eastAsiaTheme="minorEastAsia"/>
          <w:iCs/>
          <w:lang w:val="en-GB" w:eastAsia="en-US"/>
        </w:rPr>
        <w:t xml:space="preserve">hile </w:t>
      </w:r>
      <w:r w:rsidR="00E96BA4" w:rsidRPr="00487834">
        <w:rPr>
          <w:rFonts w:eastAsiaTheme="minorEastAsia"/>
          <w:iCs/>
          <w:lang w:val="en-GB" w:eastAsia="en-US"/>
        </w:rPr>
        <w:t xml:space="preserve">many scholars (e.g., </w:t>
      </w:r>
      <w:r w:rsidR="007E16DC" w:rsidRPr="00487834">
        <w:rPr>
          <w:rFonts w:eastAsiaTheme="minorEastAsia"/>
          <w:iCs/>
          <w:lang w:val="en-GB" w:eastAsia="en-US"/>
        </w:rPr>
        <w:t>Bae et.al.</w:t>
      </w:r>
      <w:r w:rsidR="00E96BA4" w:rsidRPr="00487834">
        <w:rPr>
          <w:rFonts w:eastAsiaTheme="minorEastAsia"/>
          <w:iCs/>
          <w:lang w:val="en-GB" w:eastAsia="en-US"/>
        </w:rPr>
        <w:t xml:space="preserve"> (202</w:t>
      </w:r>
      <w:r w:rsidR="007E16DC" w:rsidRPr="00487834">
        <w:rPr>
          <w:rFonts w:eastAsiaTheme="minorEastAsia"/>
          <w:iCs/>
          <w:lang w:val="en-GB" w:eastAsia="en-US"/>
        </w:rPr>
        <w:t>1</w:t>
      </w:r>
      <w:r w:rsidR="00E96BA4" w:rsidRPr="00487834">
        <w:rPr>
          <w:rFonts w:eastAsiaTheme="minorEastAsia"/>
          <w:iCs/>
          <w:lang w:val="en-GB" w:eastAsia="en-US"/>
        </w:rPr>
        <w:t>)</w:t>
      </w:r>
      <w:r w:rsidR="007E16DC" w:rsidRPr="00487834">
        <w:rPr>
          <w:rFonts w:eastAsiaTheme="minorEastAsia"/>
          <w:iCs/>
          <w:lang w:val="en-GB" w:eastAsia="en-US"/>
        </w:rPr>
        <w:t>)</w:t>
      </w:r>
      <w:r w:rsidR="00E96BA4" w:rsidRPr="00487834">
        <w:rPr>
          <w:rFonts w:eastAsiaTheme="minorEastAsia"/>
          <w:iCs/>
          <w:lang w:val="en-GB" w:eastAsia="en-US"/>
        </w:rPr>
        <w:t xml:space="preserve"> criticize this approach for oversimplification of multilayered debt structure large corporations tend to have</w:t>
      </w:r>
      <w:r w:rsidR="007E16DC" w:rsidRPr="00487834">
        <w:rPr>
          <w:rFonts w:eastAsiaTheme="minorEastAsia"/>
          <w:iCs/>
          <w:lang w:val="en-GB" w:eastAsia="en-US"/>
        </w:rPr>
        <w:t xml:space="preserve">, </w:t>
      </w:r>
      <w:r w:rsidR="00130234" w:rsidRPr="00487834">
        <w:rPr>
          <w:rFonts w:eastAsiaTheme="minorEastAsia"/>
          <w:iCs/>
          <w:lang w:val="en-GB" w:eastAsia="en-US"/>
        </w:rPr>
        <w:t>most</w:t>
      </w:r>
      <w:r w:rsidR="007E16DC" w:rsidRPr="00487834">
        <w:rPr>
          <w:rFonts w:eastAsiaTheme="minorEastAsia"/>
          <w:iCs/>
          <w:lang w:val="en-GB" w:eastAsia="en-US"/>
        </w:rPr>
        <w:t xml:space="preserve"> scholars were using ready to use cost of debt </w:t>
      </w:r>
      <w:r w:rsidR="00A32647" w:rsidRPr="00487834">
        <w:rPr>
          <w:rFonts w:eastAsiaTheme="minorEastAsia"/>
          <w:iCs/>
          <w:lang w:val="en-GB" w:eastAsia="en-US"/>
        </w:rPr>
        <w:t xml:space="preserve">provided by either Refinitiv Eikon or Bloomberg terminals. We have decided to go forward with the </w:t>
      </w:r>
      <w:r w:rsidR="003042E0" w:rsidRPr="00487834">
        <w:rPr>
          <w:rFonts w:eastAsiaTheme="minorEastAsia"/>
          <w:iCs/>
          <w:lang w:val="en-GB" w:eastAsia="en-US"/>
        </w:rPr>
        <w:t xml:space="preserve">Eikon’s calculated cost of debt, that Refinitiv (2024) defined as </w:t>
      </w:r>
      <w:r w:rsidR="00034CB6" w:rsidRPr="00487834">
        <w:rPr>
          <w:rFonts w:eastAsiaTheme="minorEastAsia"/>
          <w:iCs/>
          <w:lang w:val="en-GB" w:eastAsia="en-US"/>
        </w:rPr>
        <w:t xml:space="preserve">‘weighted cost of short-term debt and weighted cost of long-term debt based on the 1 year and </w:t>
      </w:r>
      <w:r w:rsidR="00130234" w:rsidRPr="00487834">
        <w:rPr>
          <w:rFonts w:eastAsiaTheme="minorEastAsia"/>
          <w:iCs/>
          <w:lang w:val="en-GB" w:eastAsia="en-US"/>
        </w:rPr>
        <w:t>10-year</w:t>
      </w:r>
      <w:r w:rsidR="00034CB6" w:rsidRPr="00487834">
        <w:rPr>
          <w:rFonts w:eastAsiaTheme="minorEastAsia"/>
          <w:iCs/>
          <w:lang w:val="en-GB" w:eastAsia="en-US"/>
        </w:rPr>
        <w:t xml:space="preserve"> points of an appropriate credit curve.</w:t>
      </w:r>
    </w:p>
    <w:p w14:paraId="3223DA53" w14:textId="77777777" w:rsidR="00BB3839" w:rsidRPr="00487834" w:rsidRDefault="00BB3839" w:rsidP="003128F6">
      <w:pPr>
        <w:autoSpaceDE w:val="0"/>
        <w:autoSpaceDN w:val="0"/>
        <w:adjustRightInd w:val="0"/>
        <w:spacing w:line="300" w:lineRule="auto"/>
        <w:rPr>
          <w:rFonts w:eastAsiaTheme="minorHAnsi"/>
          <w:lang w:val="en-US" w:eastAsia="en-US"/>
        </w:rPr>
      </w:pPr>
    </w:p>
    <w:p w14:paraId="247B618B" w14:textId="77777777" w:rsidR="0051372E" w:rsidRPr="00487834" w:rsidRDefault="00756009" w:rsidP="00B72D57">
      <w:pPr>
        <w:pStyle w:val="Heading2"/>
        <w:jc w:val="center"/>
        <w:rPr>
          <w:rFonts w:eastAsiaTheme="minorHAnsi" w:cs="Times New Roman"/>
          <w:lang w:val="en-US" w:eastAsia="en-US"/>
        </w:rPr>
      </w:pPr>
      <w:bookmarkStart w:id="17" w:name="_Toc167918988"/>
      <w:r w:rsidRPr="00487834">
        <w:rPr>
          <w:rFonts w:eastAsiaTheme="minorHAnsi" w:cs="Times New Roman"/>
          <w:lang w:val="en-US" w:eastAsia="en-US"/>
        </w:rPr>
        <w:t>3.8</w:t>
      </w:r>
      <w:r w:rsidR="00F85F9E" w:rsidRPr="00487834">
        <w:rPr>
          <w:rFonts w:eastAsiaTheme="minorHAnsi" w:cs="Times New Roman"/>
          <w:lang w:val="en-US" w:eastAsia="en-US"/>
        </w:rPr>
        <w:t xml:space="preserve">. </w:t>
      </w:r>
      <w:r w:rsidR="008A72F7" w:rsidRPr="00487834">
        <w:rPr>
          <w:rFonts w:eastAsiaTheme="minorHAnsi" w:cs="Times New Roman"/>
          <w:lang w:val="en-US" w:eastAsia="en-US"/>
        </w:rPr>
        <w:t>WACC</w:t>
      </w:r>
      <w:bookmarkEnd w:id="17"/>
    </w:p>
    <w:p w14:paraId="2C59DE99" w14:textId="77777777" w:rsidR="00F83903" w:rsidRPr="00487834" w:rsidRDefault="00F83903" w:rsidP="003128F6">
      <w:pPr>
        <w:autoSpaceDE w:val="0"/>
        <w:autoSpaceDN w:val="0"/>
        <w:adjustRightInd w:val="0"/>
        <w:spacing w:line="300" w:lineRule="auto"/>
        <w:rPr>
          <w:rFonts w:eastAsiaTheme="minorHAnsi"/>
          <w:lang w:val="en-GB" w:eastAsia="en-US"/>
        </w:rPr>
      </w:pPr>
    </w:p>
    <w:p w14:paraId="0EBD69E7" w14:textId="77777777" w:rsidR="008A72F7" w:rsidRPr="00487834" w:rsidRDefault="00676E68" w:rsidP="003128F6">
      <w:pPr>
        <w:autoSpaceDE w:val="0"/>
        <w:autoSpaceDN w:val="0"/>
        <w:adjustRightInd w:val="0"/>
        <w:spacing w:line="300" w:lineRule="auto"/>
        <w:ind w:firstLine="720"/>
        <w:rPr>
          <w:rFonts w:eastAsiaTheme="minorHAnsi"/>
          <w:lang w:val="en-GB" w:eastAsia="en-US"/>
        </w:rPr>
      </w:pPr>
      <w:r w:rsidRPr="00487834">
        <w:rPr>
          <w:rFonts w:eastAsiaTheme="minorHAnsi"/>
          <w:lang w:val="en-GB" w:eastAsia="en-US"/>
        </w:rPr>
        <w:t xml:space="preserve">While the </w:t>
      </w:r>
      <w:proofErr w:type="gramStart"/>
      <w:r w:rsidRPr="00487834">
        <w:rPr>
          <w:rFonts w:eastAsiaTheme="minorHAnsi"/>
          <w:lang w:val="en-GB" w:eastAsia="en-US"/>
        </w:rPr>
        <w:t>final outcome</w:t>
      </w:r>
      <w:proofErr w:type="gramEnd"/>
      <w:r w:rsidRPr="00487834">
        <w:rPr>
          <w:rFonts w:eastAsiaTheme="minorHAnsi"/>
          <w:lang w:val="en-GB" w:eastAsia="en-US"/>
        </w:rPr>
        <w:t xml:space="preserve"> </w:t>
      </w:r>
      <w:r w:rsidR="00A359D8" w:rsidRPr="00487834">
        <w:rPr>
          <w:rFonts w:eastAsiaTheme="minorHAnsi"/>
          <w:lang w:val="en-GB" w:eastAsia="en-US"/>
        </w:rPr>
        <w:t>of any cost of capital projection should be the weighted</w:t>
      </w:r>
      <w:r w:rsidR="00B72D57" w:rsidRPr="00487834">
        <w:rPr>
          <w:rFonts w:eastAsiaTheme="minorHAnsi"/>
          <w:lang w:val="en-GB" w:eastAsia="en-US"/>
        </w:rPr>
        <w:t>-average cost of capital (WACC)</w:t>
      </w:r>
      <w:r w:rsidR="00A359D8" w:rsidRPr="00487834">
        <w:rPr>
          <w:rFonts w:eastAsiaTheme="minorHAnsi"/>
          <w:lang w:val="en-GB" w:eastAsia="en-US"/>
        </w:rPr>
        <w:t xml:space="preserve">, which is then used as a discount rate for projecting firm’s value, little to </w:t>
      </w:r>
      <w:r w:rsidR="00A359D8" w:rsidRPr="00487834">
        <w:rPr>
          <w:rFonts w:eastAsiaTheme="minorHAnsi"/>
          <w:lang w:val="en-GB" w:eastAsia="en-US"/>
        </w:rPr>
        <w:lastRenderedPageBreak/>
        <w:t>no academics have attempted to trace the impact of the ESG scores on WACC. This can be explained by the fact that fina</w:t>
      </w:r>
      <w:r w:rsidR="00610305" w:rsidRPr="00487834">
        <w:rPr>
          <w:rFonts w:eastAsiaTheme="minorHAnsi"/>
          <w:lang w:val="en-GB" w:eastAsia="en-US"/>
        </w:rPr>
        <w:t xml:space="preserve">ncing structure of a firm’s operations is highly contextual and variable. </w:t>
      </w:r>
      <w:r w:rsidR="00D40839" w:rsidRPr="00487834">
        <w:rPr>
          <w:rFonts w:eastAsiaTheme="minorHAnsi"/>
          <w:lang w:val="en-GB" w:eastAsia="en-US"/>
        </w:rPr>
        <w:t xml:space="preserve">The capital structure decisions are made and implemented by managers and are subject to frequent change. </w:t>
      </w:r>
      <w:r w:rsidR="00D97AC1" w:rsidRPr="00487834">
        <w:rPr>
          <w:rFonts w:eastAsiaTheme="minorHAnsi"/>
          <w:lang w:val="en-GB" w:eastAsia="en-US"/>
        </w:rPr>
        <w:t>Thus,</w:t>
      </w:r>
      <w:r w:rsidR="00D40839" w:rsidRPr="00487834">
        <w:rPr>
          <w:rFonts w:eastAsiaTheme="minorHAnsi"/>
          <w:lang w:val="en-GB" w:eastAsia="en-US"/>
        </w:rPr>
        <w:t xml:space="preserve"> for the sake of the applicability of our managerial implications we will not </w:t>
      </w:r>
      <w:r w:rsidR="00197526" w:rsidRPr="00487834">
        <w:rPr>
          <w:rFonts w:eastAsiaTheme="minorHAnsi"/>
          <w:lang w:val="en-GB" w:eastAsia="en-US"/>
        </w:rPr>
        <w:t>focus on WACC in our research.</w:t>
      </w:r>
      <w:r w:rsidR="00F737A9" w:rsidRPr="00487834">
        <w:rPr>
          <w:rFonts w:eastAsiaTheme="minorHAnsi"/>
          <w:lang w:val="en-GB" w:eastAsia="en-US"/>
        </w:rPr>
        <w:t xml:space="preserve"> The model is as follows</w:t>
      </w:r>
      <w:r w:rsidR="00255DC1" w:rsidRPr="00487834">
        <w:rPr>
          <w:rFonts w:eastAsiaTheme="minorHAnsi"/>
          <w:lang w:val="en-GB" w:eastAsia="en-US"/>
        </w:rPr>
        <w:t>:</w:t>
      </w:r>
    </w:p>
    <w:p w14:paraId="13947FFD" w14:textId="77777777" w:rsidR="00255DC1" w:rsidRPr="00487834" w:rsidRDefault="00255DC1" w:rsidP="003128F6">
      <w:pPr>
        <w:autoSpaceDE w:val="0"/>
        <w:autoSpaceDN w:val="0"/>
        <w:adjustRightInd w:val="0"/>
        <w:spacing w:line="300" w:lineRule="auto"/>
        <w:rPr>
          <w:rFonts w:eastAsiaTheme="minorHAnsi"/>
          <w:lang w:val="en-GB" w:eastAsia="en-US"/>
        </w:rPr>
      </w:pPr>
    </w:p>
    <w:p w14:paraId="42FEC1CF" w14:textId="77777777" w:rsidR="00255DC1" w:rsidRPr="00487834" w:rsidRDefault="00255DC1" w:rsidP="003128F6">
      <w:pPr>
        <w:autoSpaceDE w:val="0"/>
        <w:autoSpaceDN w:val="0"/>
        <w:adjustRightInd w:val="0"/>
        <w:spacing w:line="300" w:lineRule="auto"/>
        <w:jc w:val="center"/>
        <w:rPr>
          <w:rFonts w:eastAsiaTheme="minorHAnsi"/>
          <w:lang w:val="en-GB" w:eastAsia="en-US"/>
        </w:rPr>
      </w:pPr>
      <w:r w:rsidRPr="00487834">
        <w:rPr>
          <w:rFonts w:eastAsiaTheme="minorHAnsi"/>
          <w:lang w:val="en-GB" w:eastAsia="en-US"/>
        </w:rPr>
        <w:t xml:space="preserve">WACC = (E/V) × Ke + (D/V) × </w:t>
      </w:r>
      <w:proofErr w:type="spellStart"/>
      <w:r w:rsidRPr="00487834">
        <w:rPr>
          <w:rFonts w:eastAsiaTheme="minorHAnsi"/>
          <w:lang w:val="en-GB" w:eastAsia="en-US"/>
        </w:rPr>
        <w:t>Kd</w:t>
      </w:r>
      <w:proofErr w:type="spellEnd"/>
      <w:r w:rsidRPr="00487834">
        <w:rPr>
          <w:rFonts w:eastAsiaTheme="minorHAnsi"/>
          <w:lang w:val="en-GB" w:eastAsia="en-US"/>
        </w:rPr>
        <w:t xml:space="preserve"> × (1 − Tc)</w:t>
      </w:r>
    </w:p>
    <w:p w14:paraId="425E052E" w14:textId="77777777" w:rsidR="00255DC1" w:rsidRPr="00487834" w:rsidRDefault="00255DC1" w:rsidP="003128F6">
      <w:pPr>
        <w:autoSpaceDE w:val="0"/>
        <w:autoSpaceDN w:val="0"/>
        <w:adjustRightInd w:val="0"/>
        <w:spacing w:line="300" w:lineRule="auto"/>
        <w:jc w:val="center"/>
        <w:rPr>
          <w:rFonts w:eastAsiaTheme="minorHAnsi"/>
          <w:lang w:val="en-GB" w:eastAsia="en-US"/>
        </w:rPr>
      </w:pPr>
    </w:p>
    <w:p w14:paraId="1FB74963" w14:textId="77777777" w:rsidR="00255DC1" w:rsidRPr="00487834" w:rsidRDefault="00255DC1" w:rsidP="003128F6">
      <w:pPr>
        <w:autoSpaceDE w:val="0"/>
        <w:autoSpaceDN w:val="0"/>
        <w:adjustRightInd w:val="0"/>
        <w:spacing w:line="300" w:lineRule="auto"/>
        <w:ind w:firstLine="720"/>
        <w:rPr>
          <w:rFonts w:eastAsiaTheme="minorEastAsia"/>
          <w:iCs/>
          <w:lang w:val="en-GB" w:eastAsia="en-US"/>
        </w:rPr>
      </w:pPr>
      <w:r w:rsidRPr="00487834">
        <w:rPr>
          <w:rFonts w:eastAsiaTheme="minorEastAsia"/>
          <w:iCs/>
          <w:lang w:val="en-GB" w:eastAsia="en-US"/>
        </w:rPr>
        <w:t xml:space="preserve">Where </w:t>
      </w:r>
      <w:r w:rsidRPr="00487834">
        <w:rPr>
          <w:rFonts w:eastAsiaTheme="minorEastAsia"/>
          <w:i/>
          <w:lang w:val="en-GB" w:eastAsia="en-US"/>
        </w:rPr>
        <w:t>E</w:t>
      </w:r>
      <w:r w:rsidRPr="00487834">
        <w:rPr>
          <w:rFonts w:eastAsiaTheme="minorEastAsia"/>
          <w:iCs/>
          <w:lang w:val="en-GB" w:eastAsia="en-US"/>
        </w:rPr>
        <w:t xml:space="preserve"> is the market value of the equity, </w:t>
      </w:r>
      <w:r w:rsidRPr="00487834">
        <w:rPr>
          <w:rFonts w:eastAsiaTheme="minorEastAsia"/>
          <w:i/>
          <w:lang w:val="en-GB" w:eastAsia="en-US"/>
        </w:rPr>
        <w:t>D</w:t>
      </w:r>
      <w:r w:rsidRPr="00487834">
        <w:rPr>
          <w:rFonts w:eastAsiaTheme="minorEastAsia"/>
          <w:iCs/>
          <w:lang w:val="en-GB" w:eastAsia="en-US"/>
        </w:rPr>
        <w:t xml:space="preserve"> is the market value of the debt, </w:t>
      </w:r>
      <w:r w:rsidRPr="00487834">
        <w:rPr>
          <w:rFonts w:eastAsiaTheme="minorEastAsia"/>
          <w:i/>
          <w:lang w:val="en-GB" w:eastAsia="en-US"/>
        </w:rPr>
        <w:t>V</w:t>
      </w:r>
      <w:r w:rsidRPr="00487834">
        <w:rPr>
          <w:rFonts w:eastAsiaTheme="minorEastAsia"/>
          <w:iCs/>
          <w:lang w:val="en-GB" w:eastAsia="en-US"/>
        </w:rPr>
        <w:t xml:space="preserve"> is E + D (total market value of the firm’s financing), </w:t>
      </w:r>
      <w:r w:rsidRPr="00487834">
        <w:rPr>
          <w:rFonts w:eastAsiaTheme="minorEastAsia"/>
          <w:i/>
          <w:lang w:val="en-GB" w:eastAsia="en-US"/>
        </w:rPr>
        <w:t>Ke</w:t>
      </w:r>
      <w:r w:rsidRPr="00487834">
        <w:rPr>
          <w:rFonts w:eastAsiaTheme="minorEastAsia"/>
          <w:iCs/>
          <w:lang w:val="en-GB" w:eastAsia="en-US"/>
        </w:rPr>
        <w:t xml:space="preserve"> is the cost of equity, </w:t>
      </w:r>
      <w:proofErr w:type="spellStart"/>
      <w:r w:rsidRPr="00487834">
        <w:rPr>
          <w:rFonts w:eastAsiaTheme="minorEastAsia"/>
          <w:i/>
          <w:lang w:val="en-GB" w:eastAsia="en-US"/>
        </w:rPr>
        <w:t>Kd</w:t>
      </w:r>
      <w:proofErr w:type="spellEnd"/>
      <w:r w:rsidRPr="00487834">
        <w:rPr>
          <w:rFonts w:eastAsiaTheme="minorEastAsia"/>
          <w:iCs/>
          <w:lang w:val="en-GB" w:eastAsia="en-US"/>
        </w:rPr>
        <w:t xml:space="preserve"> is the cost of debt, and </w:t>
      </w:r>
      <w:r w:rsidRPr="00487834">
        <w:rPr>
          <w:rFonts w:eastAsiaTheme="minorEastAsia"/>
          <w:i/>
          <w:lang w:val="en-GB" w:eastAsia="en-US"/>
        </w:rPr>
        <w:t>Tc</w:t>
      </w:r>
      <w:r w:rsidRPr="00487834">
        <w:rPr>
          <w:rFonts w:eastAsiaTheme="minorEastAsia"/>
          <w:iCs/>
          <w:lang w:val="en-GB" w:eastAsia="en-US"/>
        </w:rPr>
        <w:t xml:space="preserve"> is the corporate tax rate.</w:t>
      </w:r>
    </w:p>
    <w:p w14:paraId="14DE5812" w14:textId="77777777" w:rsidR="00402A8A" w:rsidRPr="00487834" w:rsidRDefault="00402A8A" w:rsidP="003128F6">
      <w:pPr>
        <w:autoSpaceDE w:val="0"/>
        <w:autoSpaceDN w:val="0"/>
        <w:adjustRightInd w:val="0"/>
        <w:spacing w:line="300" w:lineRule="auto"/>
        <w:rPr>
          <w:rFonts w:eastAsiaTheme="minorHAnsi"/>
          <w:lang w:val="en-GB" w:eastAsia="en-US"/>
        </w:rPr>
      </w:pPr>
    </w:p>
    <w:p w14:paraId="30E558D9" w14:textId="77777777" w:rsidR="00283A7D" w:rsidRPr="00487834" w:rsidRDefault="00B72D57" w:rsidP="004A5290">
      <w:pPr>
        <w:pStyle w:val="Heading1"/>
        <w:rPr>
          <w:rFonts w:eastAsiaTheme="minorHAnsi"/>
          <w:lang w:val="en-GB" w:eastAsia="en-US"/>
        </w:rPr>
      </w:pPr>
      <w:bookmarkStart w:id="18" w:name="_Toc167918989"/>
      <w:r w:rsidRPr="00487834">
        <w:rPr>
          <w:rFonts w:eastAsiaTheme="minorHAnsi"/>
          <w:lang w:val="en-GB" w:eastAsia="en-US"/>
        </w:rPr>
        <w:t xml:space="preserve">4. </w:t>
      </w:r>
      <w:r w:rsidR="00515A9D" w:rsidRPr="00487834">
        <w:rPr>
          <w:rFonts w:eastAsiaTheme="minorHAnsi"/>
          <w:lang w:val="en-GB" w:eastAsia="en-US"/>
        </w:rPr>
        <w:t>The model</w:t>
      </w:r>
      <w:bookmarkEnd w:id="18"/>
    </w:p>
    <w:p w14:paraId="698E3A0C" w14:textId="77777777" w:rsidR="00515A9D" w:rsidRPr="00487834" w:rsidRDefault="00F85F9E" w:rsidP="003128F6">
      <w:pPr>
        <w:autoSpaceDE w:val="0"/>
        <w:autoSpaceDN w:val="0"/>
        <w:adjustRightInd w:val="0"/>
        <w:spacing w:line="300" w:lineRule="auto"/>
        <w:jc w:val="center"/>
        <w:rPr>
          <w:rFonts w:eastAsiaTheme="minorHAnsi"/>
          <w:b/>
          <w:bCs/>
          <w:lang w:val="en-GB" w:eastAsia="en-US"/>
        </w:rPr>
      </w:pPr>
      <w:r w:rsidRPr="00487834">
        <w:rPr>
          <w:rFonts w:eastAsiaTheme="minorHAnsi"/>
          <w:b/>
          <w:bCs/>
          <w:lang w:val="en-GB" w:eastAsia="en-US"/>
        </w:rPr>
        <w:tab/>
      </w:r>
    </w:p>
    <w:p w14:paraId="1055C790" w14:textId="77777777" w:rsidR="00155774" w:rsidRPr="00487834" w:rsidRDefault="00FB626E" w:rsidP="003128F6">
      <w:pPr>
        <w:autoSpaceDE w:val="0"/>
        <w:autoSpaceDN w:val="0"/>
        <w:adjustRightInd w:val="0"/>
        <w:spacing w:line="300" w:lineRule="auto"/>
        <w:ind w:firstLine="720"/>
        <w:rPr>
          <w:rFonts w:eastAsiaTheme="minorHAnsi"/>
          <w:lang w:val="en-GB" w:eastAsia="en-US"/>
        </w:rPr>
      </w:pPr>
      <w:r w:rsidRPr="00487834">
        <w:rPr>
          <w:rFonts w:eastAsiaTheme="minorHAnsi"/>
          <w:lang w:val="en-GB" w:eastAsia="en-US"/>
        </w:rPr>
        <w:t xml:space="preserve">While the ESG scores in our dataset are </w:t>
      </w:r>
      <w:r w:rsidR="00831128" w:rsidRPr="00487834">
        <w:rPr>
          <w:rFonts w:eastAsiaTheme="minorHAnsi"/>
          <w:lang w:val="en-GB" w:eastAsia="en-US"/>
        </w:rPr>
        <w:t xml:space="preserve">reported at the end of respective fiscal year (FY), same goes for cost of debt and cost of equity that will be computed for the year end. The essence of this study would have been very different should we tried to track </w:t>
      </w:r>
      <w:r w:rsidR="002913FA" w:rsidRPr="00487834">
        <w:rPr>
          <w:rFonts w:eastAsiaTheme="minorHAnsi"/>
          <w:lang w:val="en-GB" w:eastAsia="en-US"/>
        </w:rPr>
        <w:t>returns reactions associated with ESG score changes. This reaction would normally occur in the immediate aftermath of the event</w:t>
      </w:r>
      <w:r w:rsidR="00777794" w:rsidRPr="00487834">
        <w:rPr>
          <w:rFonts w:eastAsiaTheme="minorHAnsi"/>
          <w:lang w:val="en-GB" w:eastAsia="en-US"/>
        </w:rPr>
        <w:t>. Conversely, it is reasonable to expect the impact of ESG score on cost of capital to happen with a certain time lag.</w:t>
      </w:r>
    </w:p>
    <w:p w14:paraId="45D593B0" w14:textId="77777777" w:rsidR="00EC745D" w:rsidRPr="00487834" w:rsidRDefault="00EC745D" w:rsidP="003128F6">
      <w:pPr>
        <w:autoSpaceDE w:val="0"/>
        <w:autoSpaceDN w:val="0"/>
        <w:adjustRightInd w:val="0"/>
        <w:spacing w:line="300" w:lineRule="auto"/>
        <w:rPr>
          <w:rFonts w:eastAsiaTheme="minorHAnsi"/>
          <w:lang w:val="en-GB" w:eastAsia="en-US"/>
        </w:rPr>
      </w:pPr>
    </w:p>
    <w:p w14:paraId="2D8F9F81" w14:textId="77777777" w:rsidR="00EC745D" w:rsidRPr="00487834" w:rsidRDefault="00EC745D" w:rsidP="003128F6">
      <w:pPr>
        <w:autoSpaceDE w:val="0"/>
        <w:autoSpaceDN w:val="0"/>
        <w:adjustRightInd w:val="0"/>
        <w:spacing w:line="300" w:lineRule="auto"/>
        <w:ind w:firstLine="720"/>
        <w:rPr>
          <w:rFonts w:eastAsiaTheme="minorHAnsi"/>
          <w:lang w:val="en-GB" w:eastAsia="en-US"/>
        </w:rPr>
      </w:pPr>
      <w:r w:rsidRPr="00487834">
        <w:rPr>
          <w:rFonts w:eastAsiaTheme="minorHAnsi"/>
          <w:lang w:val="en-GB" w:eastAsia="en-US"/>
        </w:rPr>
        <w:t xml:space="preserve">The previously mentioned articles have not implemented the </w:t>
      </w:r>
      <w:proofErr w:type="gramStart"/>
      <w:r w:rsidRPr="00487834">
        <w:rPr>
          <w:rFonts w:eastAsiaTheme="minorHAnsi"/>
          <w:lang w:val="en-GB" w:eastAsia="en-US"/>
        </w:rPr>
        <w:t>aforementioned lag</w:t>
      </w:r>
      <w:proofErr w:type="gramEnd"/>
      <w:r w:rsidRPr="00487834">
        <w:rPr>
          <w:rFonts w:eastAsiaTheme="minorHAnsi"/>
          <w:lang w:val="en-GB" w:eastAsia="en-US"/>
        </w:rPr>
        <w:t xml:space="preserve"> in their model. And there is little consensus as to which window for the time lag is best for obtaining statistically sound results. </w:t>
      </w:r>
      <w:r w:rsidR="009734A6" w:rsidRPr="00487834">
        <w:rPr>
          <w:rFonts w:eastAsiaTheme="minorHAnsi"/>
          <w:lang w:val="en-GB" w:eastAsia="en-US"/>
        </w:rPr>
        <w:t xml:space="preserve">For </w:t>
      </w:r>
      <w:proofErr w:type="gramStart"/>
      <w:r w:rsidR="009734A6" w:rsidRPr="00487834">
        <w:rPr>
          <w:rFonts w:eastAsiaTheme="minorHAnsi"/>
          <w:lang w:val="en-GB" w:eastAsia="en-US"/>
        </w:rPr>
        <w:t>instance</w:t>
      </w:r>
      <w:proofErr w:type="gramEnd"/>
      <w:r w:rsidR="009734A6" w:rsidRPr="00487834">
        <w:rPr>
          <w:rFonts w:eastAsiaTheme="minorHAnsi"/>
          <w:lang w:val="en-GB" w:eastAsia="en-US"/>
        </w:rPr>
        <w:t xml:space="preserve"> Ahmad et. al (2021) employ one year lagged ESG scores (t-1) to account for changes in cost of capital, while </w:t>
      </w:r>
      <w:proofErr w:type="spellStart"/>
      <w:r w:rsidR="009734A6" w:rsidRPr="00487834">
        <w:rPr>
          <w:rFonts w:eastAsiaTheme="minorHAnsi"/>
          <w:lang w:val="en-GB" w:eastAsia="en-US"/>
        </w:rPr>
        <w:t>Sassen</w:t>
      </w:r>
      <w:proofErr w:type="spellEnd"/>
      <w:r w:rsidR="009734A6" w:rsidRPr="00487834">
        <w:rPr>
          <w:rFonts w:eastAsiaTheme="minorHAnsi"/>
          <w:lang w:val="en-GB" w:eastAsia="en-US"/>
        </w:rPr>
        <w:t xml:space="preserve"> et. al (2016) use the one year and </w:t>
      </w:r>
      <w:r w:rsidR="00F85F9E" w:rsidRPr="00487834">
        <w:rPr>
          <w:rFonts w:eastAsiaTheme="minorHAnsi"/>
          <w:lang w:val="en-GB" w:eastAsia="en-US"/>
        </w:rPr>
        <w:t>two-year</w:t>
      </w:r>
      <w:r w:rsidR="009734A6" w:rsidRPr="00487834">
        <w:rPr>
          <w:rFonts w:eastAsiaTheme="minorHAnsi"/>
          <w:lang w:val="en-GB" w:eastAsia="en-US"/>
        </w:rPr>
        <w:t xml:space="preserve"> lags</w:t>
      </w:r>
      <w:r w:rsidR="00182484" w:rsidRPr="00487834">
        <w:rPr>
          <w:rFonts w:eastAsiaTheme="minorHAnsi"/>
          <w:lang w:val="en-GB" w:eastAsia="en-US"/>
        </w:rPr>
        <w:t xml:space="preserve">, </w:t>
      </w:r>
      <w:r w:rsidR="00AE6F19" w:rsidRPr="00487834">
        <w:rPr>
          <w:rFonts w:eastAsiaTheme="minorHAnsi"/>
          <w:lang w:val="en-GB" w:eastAsia="en-US"/>
        </w:rPr>
        <w:t>favouring</w:t>
      </w:r>
      <w:r w:rsidR="00182484" w:rsidRPr="00487834">
        <w:rPr>
          <w:rFonts w:eastAsiaTheme="minorHAnsi"/>
          <w:lang w:val="en-GB" w:eastAsia="en-US"/>
        </w:rPr>
        <w:t xml:space="preserve"> the usage of (t-1) lag. In our model we suggest </w:t>
      </w:r>
      <w:proofErr w:type="gramStart"/>
      <w:r w:rsidR="00182484" w:rsidRPr="00487834">
        <w:rPr>
          <w:rFonts w:eastAsiaTheme="minorHAnsi"/>
          <w:lang w:val="en-GB" w:eastAsia="en-US"/>
        </w:rPr>
        <w:t>to run</w:t>
      </w:r>
      <w:proofErr w:type="gramEnd"/>
      <w:r w:rsidR="00182484" w:rsidRPr="00487834">
        <w:rPr>
          <w:rFonts w:eastAsiaTheme="minorHAnsi"/>
          <w:lang w:val="en-GB" w:eastAsia="en-US"/>
        </w:rPr>
        <w:t xml:space="preserve"> t</w:t>
      </w:r>
      <w:r w:rsidR="00F85F9E" w:rsidRPr="00487834">
        <w:rPr>
          <w:rFonts w:eastAsiaTheme="minorHAnsi"/>
          <w:lang w:val="en-GB" w:eastAsia="en-US"/>
        </w:rPr>
        <w:t xml:space="preserve">wo </w:t>
      </w:r>
      <w:r w:rsidR="00182484" w:rsidRPr="00487834">
        <w:rPr>
          <w:rFonts w:eastAsiaTheme="minorHAnsi"/>
          <w:lang w:val="en-GB" w:eastAsia="en-US"/>
        </w:rPr>
        <w:t>individual models: model with no lag</w:t>
      </w:r>
      <w:r w:rsidR="00F85F9E" w:rsidRPr="00487834">
        <w:rPr>
          <w:rFonts w:eastAsiaTheme="minorHAnsi"/>
          <w:lang w:val="en-GB" w:eastAsia="en-US"/>
        </w:rPr>
        <w:t xml:space="preserve"> and </w:t>
      </w:r>
      <w:r w:rsidR="00182484" w:rsidRPr="00487834">
        <w:rPr>
          <w:rFonts w:eastAsiaTheme="minorHAnsi"/>
          <w:lang w:val="en-GB" w:eastAsia="en-US"/>
        </w:rPr>
        <w:t>a one year lag</w:t>
      </w:r>
      <w:r w:rsidR="00F85F9E" w:rsidRPr="00487834">
        <w:rPr>
          <w:rFonts w:eastAsiaTheme="minorHAnsi"/>
          <w:lang w:val="en-GB" w:eastAsia="en-US"/>
        </w:rPr>
        <w:t xml:space="preserve">. </w:t>
      </w:r>
      <w:r w:rsidR="00182484" w:rsidRPr="00487834">
        <w:rPr>
          <w:rFonts w:eastAsiaTheme="minorHAnsi"/>
          <w:lang w:val="en-GB" w:eastAsia="en-US"/>
        </w:rPr>
        <w:t xml:space="preserve">We will compare and test the results to come up with </w:t>
      </w:r>
      <w:r w:rsidR="00AE6F19" w:rsidRPr="00487834">
        <w:rPr>
          <w:rFonts w:eastAsiaTheme="minorHAnsi"/>
          <w:lang w:val="en-GB" w:eastAsia="en-US"/>
        </w:rPr>
        <w:t>the most adequate one.</w:t>
      </w:r>
    </w:p>
    <w:p w14:paraId="79E6E629" w14:textId="77777777" w:rsidR="000C3CA5" w:rsidRPr="00487834" w:rsidRDefault="000C3CA5" w:rsidP="003128F6">
      <w:pPr>
        <w:autoSpaceDE w:val="0"/>
        <w:autoSpaceDN w:val="0"/>
        <w:adjustRightInd w:val="0"/>
        <w:spacing w:line="300" w:lineRule="auto"/>
        <w:rPr>
          <w:rFonts w:eastAsiaTheme="minorHAnsi"/>
          <w:lang w:val="en-GB" w:eastAsia="en-US"/>
        </w:rPr>
      </w:pPr>
    </w:p>
    <w:p w14:paraId="2A18ABFB" w14:textId="77777777" w:rsidR="000C3CA5" w:rsidRPr="00487834" w:rsidRDefault="000C3CA5" w:rsidP="003128F6">
      <w:pPr>
        <w:autoSpaceDE w:val="0"/>
        <w:autoSpaceDN w:val="0"/>
        <w:adjustRightInd w:val="0"/>
        <w:spacing w:line="300" w:lineRule="auto"/>
        <w:rPr>
          <w:rFonts w:eastAsiaTheme="minorHAnsi"/>
          <w:lang w:val="en-GB" w:eastAsia="en-US"/>
        </w:rPr>
      </w:pPr>
      <w:r w:rsidRPr="00487834">
        <w:rPr>
          <w:rFonts w:eastAsiaTheme="minorHAnsi"/>
          <w:lang w:val="en-GB" w:eastAsia="en-US"/>
        </w:rPr>
        <w:t>It has been decided to go forward with the fixed effect panel regression model to ensure that we fix all the firm-specific effects that could interfere with substantiality of our results. Those firm-specific effects will be concentrated in our control variables.</w:t>
      </w:r>
    </w:p>
    <w:p w14:paraId="0F8A840B" w14:textId="77777777" w:rsidR="00C26E0C" w:rsidRPr="00487834" w:rsidRDefault="00C26E0C" w:rsidP="003128F6">
      <w:pPr>
        <w:autoSpaceDE w:val="0"/>
        <w:autoSpaceDN w:val="0"/>
        <w:adjustRightInd w:val="0"/>
        <w:spacing w:line="300" w:lineRule="auto"/>
        <w:rPr>
          <w:rFonts w:eastAsiaTheme="minorHAnsi"/>
          <w:lang w:val="en-GB" w:eastAsia="en-US"/>
        </w:rPr>
      </w:pPr>
    </w:p>
    <w:p w14:paraId="4FF854E4" w14:textId="77777777" w:rsidR="00784FCB" w:rsidRPr="00487834" w:rsidRDefault="008979FB" w:rsidP="003128F6">
      <w:pPr>
        <w:autoSpaceDE w:val="0"/>
        <w:autoSpaceDN w:val="0"/>
        <w:adjustRightInd w:val="0"/>
        <w:spacing w:line="300" w:lineRule="auto"/>
        <w:rPr>
          <w:i/>
          <w:lang w:val="en-US"/>
        </w:rPr>
      </w:pPr>
      <w:r w:rsidRPr="00487834">
        <w:rPr>
          <w:rFonts w:eastAsiaTheme="minorHAnsi"/>
          <w:lang w:val="en-US" w:eastAsia="en-US"/>
        </w:rPr>
        <w:t xml:space="preserve">To determine </w:t>
      </w:r>
      <w:r w:rsidR="002A6414" w:rsidRPr="00487834">
        <w:rPr>
          <w:rFonts w:eastAsiaTheme="minorHAnsi"/>
          <w:lang w:val="en-US" w:eastAsia="en-US"/>
        </w:rPr>
        <w:t xml:space="preserve">the </w:t>
      </w:r>
      <w:proofErr w:type="spellStart"/>
      <w:r w:rsidR="002A6414" w:rsidRPr="00487834">
        <w:rPr>
          <w:rFonts w:eastAsiaTheme="minorHAnsi"/>
          <w:lang w:val="en-US" w:eastAsia="en-US"/>
        </w:rPr>
        <w:t>effects</w:t>
      </w:r>
      <w:r w:rsidRPr="00487834">
        <w:rPr>
          <w:rFonts w:eastAsiaTheme="minorHAnsi"/>
          <w:lang w:val="en-US" w:eastAsia="en-US"/>
        </w:rPr>
        <w:t>of</w:t>
      </w:r>
      <w:proofErr w:type="spellEnd"/>
      <w:r w:rsidRPr="00487834">
        <w:rPr>
          <w:rFonts w:eastAsiaTheme="minorHAnsi"/>
          <w:lang w:val="en-US" w:eastAsia="en-US"/>
        </w:rPr>
        <w:t xml:space="preserve"> ESG scores on cost of equity</w:t>
      </w:r>
      <w:r w:rsidR="00635942" w:rsidRPr="00487834">
        <w:rPr>
          <w:rFonts w:eastAsiaTheme="minorHAnsi"/>
          <w:lang w:val="en-US" w:eastAsia="en-US"/>
        </w:rPr>
        <w:t xml:space="preserve"> and cost of debt without considering time lag effects the following model is proposed:</w:t>
      </w:r>
    </w:p>
    <w:p w14:paraId="04DD7FD4" w14:textId="77777777" w:rsidR="005A7A04" w:rsidRPr="00487834" w:rsidRDefault="005A7A04" w:rsidP="003128F6">
      <w:pPr>
        <w:autoSpaceDE w:val="0"/>
        <w:autoSpaceDN w:val="0"/>
        <w:adjustRightInd w:val="0"/>
        <w:spacing w:line="300" w:lineRule="auto"/>
        <w:rPr>
          <w:rFonts w:eastAsiaTheme="minorHAnsi"/>
          <w:lang w:val="en-US" w:eastAsia="en-US"/>
        </w:rPr>
      </w:pPr>
    </w:p>
    <w:p w14:paraId="407DA90E" w14:textId="4EDAA462" w:rsidR="002E4BFC" w:rsidRPr="00487834" w:rsidRDefault="002E4BFC" w:rsidP="003128F6">
      <w:pPr>
        <w:spacing w:line="300" w:lineRule="auto"/>
        <w:rPr>
          <w:lang w:val="en-US"/>
        </w:rPr>
      </w:pPr>
      <w:r w:rsidRPr="00487834">
        <w:rPr>
          <w:lang w:val="en-US"/>
        </w:rPr>
        <w:t>Cost of equity fixed effects model with lagged independent variables</w:t>
      </w:r>
      <w:r w:rsidR="00827B4E" w:rsidRPr="00487834">
        <w:rPr>
          <w:lang w:val="en-US"/>
        </w:rPr>
        <w:t>:</w:t>
      </w:r>
    </w:p>
    <w:p w14:paraId="2FCB4B0A" w14:textId="77777777" w:rsidR="002E4BFC" w:rsidRPr="00487834" w:rsidRDefault="002E4BFC" w:rsidP="003128F6">
      <w:pPr>
        <w:spacing w:line="300" w:lineRule="auto"/>
        <w:rPr>
          <w:lang w:val="en-US"/>
        </w:rPr>
      </w:pPr>
    </w:p>
    <w:p w14:paraId="250A8704" w14:textId="77777777" w:rsidR="002E4BFC" w:rsidRPr="00487834" w:rsidRDefault="002E4BFC" w:rsidP="003128F6">
      <w:pPr>
        <w:spacing w:line="300" w:lineRule="auto"/>
        <w:rPr>
          <w:lang w:val="en-US"/>
        </w:rPr>
      </w:pPr>
    </w:p>
    <w:p w14:paraId="1FEA69C4" w14:textId="77777777" w:rsidR="002E4BFC" w:rsidRPr="00487834" w:rsidRDefault="002E4BFC" w:rsidP="003128F6">
      <w:pPr>
        <w:spacing w:line="300" w:lineRule="auto"/>
        <w:rPr>
          <w:rFonts w:ascii="Cambria Math" w:hAnsi="Cambria Math"/>
          <w:oMath/>
        </w:rPr>
      </w:pPr>
      <m:oMathPara>
        <m:oMathParaPr>
          <m:jc m:val="center"/>
        </m:oMathParaPr>
        <m:oMath>
          <m:r>
            <w:rPr>
              <w:rFonts w:ascii="Cambria Math" w:hAnsi="Cambria Math"/>
            </w:rPr>
            <w:lastRenderedPageBreak/>
            <m:t>COEit=αi+β1ESGi(t-1)+β2MCAPi(t-1)+β3PEi(t-1)+β4MTBi(t-1)+β5BETAi(t-1)+β6ROEi(t-1)+β7EV/EBITDAi(t-1)+ϵit</m:t>
          </m:r>
        </m:oMath>
      </m:oMathPara>
    </w:p>
    <w:p w14:paraId="7EE8385A" w14:textId="77777777" w:rsidR="002E4BFC" w:rsidRPr="00487834" w:rsidRDefault="002E4BFC" w:rsidP="003128F6">
      <w:pPr>
        <w:spacing w:line="300" w:lineRule="auto"/>
        <w:rPr>
          <w:rFonts w:eastAsiaTheme="minorEastAsia"/>
        </w:rPr>
      </w:pPr>
      <m:oMathPara>
        <m:oMath>
          <m:r>
            <w:rPr>
              <w:rFonts w:ascii="Cambria Math" w:hAnsi="Cambria Math"/>
            </w:rPr>
            <m:t>​</m:t>
          </m:r>
        </m:oMath>
      </m:oMathPara>
    </w:p>
    <w:p w14:paraId="2DC6BEB8" w14:textId="77777777" w:rsidR="002E4BFC" w:rsidRPr="00487834" w:rsidRDefault="002E4BFC" w:rsidP="003128F6">
      <w:pPr>
        <w:spacing w:line="300" w:lineRule="auto"/>
        <w:rPr>
          <w:rFonts w:eastAsiaTheme="minorEastAsia"/>
        </w:rPr>
      </w:pPr>
    </w:p>
    <w:p w14:paraId="3C8F7395" w14:textId="3A16B687" w:rsidR="002E4BFC" w:rsidRPr="00487834" w:rsidRDefault="002E4BFC" w:rsidP="003128F6">
      <w:pPr>
        <w:spacing w:line="300" w:lineRule="auto"/>
        <w:rPr>
          <w:rFonts w:eastAsiaTheme="minorEastAsia"/>
          <w:lang w:val="en-US"/>
        </w:rPr>
      </w:pPr>
      <w:r w:rsidRPr="00487834">
        <w:rPr>
          <w:rFonts w:eastAsiaTheme="minorEastAsia"/>
          <w:lang w:val="en-US"/>
        </w:rPr>
        <w:t>Cost of debt fixed effects model with lagged independent variables</w:t>
      </w:r>
      <w:r w:rsidR="00827B4E" w:rsidRPr="00487834">
        <w:rPr>
          <w:rFonts w:eastAsiaTheme="minorEastAsia"/>
          <w:lang w:val="en-US"/>
        </w:rPr>
        <w:t>:</w:t>
      </w:r>
    </w:p>
    <w:p w14:paraId="6651F3B1" w14:textId="77777777" w:rsidR="002E4BFC" w:rsidRPr="00487834" w:rsidRDefault="002E4BFC" w:rsidP="003128F6">
      <w:pPr>
        <w:spacing w:line="300" w:lineRule="auto"/>
        <w:rPr>
          <w:rFonts w:eastAsiaTheme="minorEastAsia"/>
          <w:lang w:val="en-US"/>
        </w:rPr>
      </w:pPr>
    </w:p>
    <w:p w14:paraId="70FEC1F6" w14:textId="77777777" w:rsidR="002E4BFC" w:rsidRPr="00487834" w:rsidRDefault="002E4BFC" w:rsidP="003128F6">
      <w:pPr>
        <w:spacing w:line="300" w:lineRule="auto"/>
        <w:jc w:val="center"/>
        <w:rPr>
          <w:rFonts w:eastAsiaTheme="minorEastAsia"/>
          <w:lang w:val="en-US"/>
        </w:rPr>
      </w:pPr>
    </w:p>
    <w:p w14:paraId="7863F373" w14:textId="77777777" w:rsidR="002E4BFC" w:rsidRPr="00487834" w:rsidRDefault="002E4BFC" w:rsidP="003128F6">
      <w:pPr>
        <w:spacing w:line="300" w:lineRule="auto"/>
        <w:jc w:val="center"/>
        <w:rPr>
          <w:rFonts w:ascii="Cambria Math" w:eastAsiaTheme="minorEastAsia" w:hAnsi="Cambria Math"/>
          <w:oMath/>
        </w:rPr>
      </w:pPr>
      <m:oMathPara>
        <m:oMath>
          <m:r>
            <w:rPr>
              <w:rFonts w:ascii="Cambria Math" w:eastAsiaTheme="minorEastAsia" w:hAnsi="Cambria Math"/>
            </w:rPr>
            <m:t>CODit=αi+β1ESGi</m:t>
          </m:r>
          <m:d>
            <m:dPr>
              <m:ctrlPr>
                <w:rPr>
                  <w:rFonts w:ascii="Cambria Math" w:eastAsiaTheme="minorEastAsia" w:hAnsi="Cambria Math"/>
                  <w:i/>
                </w:rPr>
              </m:ctrlPr>
            </m:dPr>
            <m:e>
              <m:r>
                <w:rPr>
                  <w:rFonts w:ascii="Cambria Math" w:eastAsiaTheme="minorEastAsia" w:hAnsi="Cambria Math"/>
                </w:rPr>
                <m:t>t-1</m:t>
              </m:r>
            </m:e>
          </m:d>
          <m:r>
            <w:rPr>
              <w:rFonts w:ascii="Cambria Math" w:eastAsiaTheme="minorEastAsia" w:hAnsi="Cambria Math"/>
            </w:rPr>
            <m:t>+β2MCAPi</m:t>
          </m:r>
          <m:d>
            <m:dPr>
              <m:ctrlPr>
                <w:rPr>
                  <w:rFonts w:ascii="Cambria Math" w:eastAsiaTheme="minorEastAsia" w:hAnsi="Cambria Math"/>
                  <w:i/>
                </w:rPr>
              </m:ctrlPr>
            </m:dPr>
            <m:e>
              <m:r>
                <w:rPr>
                  <w:rFonts w:ascii="Cambria Math" w:eastAsiaTheme="minorEastAsia" w:hAnsi="Cambria Math"/>
                </w:rPr>
                <m:t>t-1</m:t>
              </m:r>
            </m:e>
          </m:d>
          <m:r>
            <w:rPr>
              <w:rFonts w:ascii="Cambria Math" w:eastAsiaTheme="minorEastAsia" w:hAnsi="Cambria Math"/>
            </w:rPr>
            <m:t>+β3LEVi</m:t>
          </m:r>
          <m:d>
            <m:dPr>
              <m:ctrlPr>
                <w:rPr>
                  <w:rFonts w:ascii="Cambria Math" w:eastAsiaTheme="minorEastAsia" w:hAnsi="Cambria Math"/>
                  <w:i/>
                </w:rPr>
              </m:ctrlPr>
            </m:dPr>
            <m:e>
              <m:r>
                <w:rPr>
                  <w:rFonts w:ascii="Cambria Math" w:eastAsiaTheme="minorEastAsia" w:hAnsi="Cambria Math"/>
                </w:rPr>
                <m:t>t-1</m:t>
              </m:r>
            </m:e>
          </m:d>
          <m:r>
            <w:rPr>
              <w:rFonts w:ascii="Cambria Math" w:eastAsiaTheme="minorEastAsia" w:hAnsi="Cambria Math"/>
            </w:rPr>
            <m:t>+β4ICRi</m:t>
          </m:r>
          <m:d>
            <m:dPr>
              <m:ctrlPr>
                <w:rPr>
                  <w:rFonts w:ascii="Cambria Math" w:eastAsiaTheme="minorEastAsia" w:hAnsi="Cambria Math"/>
                  <w:i/>
                </w:rPr>
              </m:ctrlPr>
            </m:dPr>
            <m:e>
              <m:r>
                <w:rPr>
                  <w:rFonts w:ascii="Cambria Math" w:eastAsiaTheme="minorEastAsia" w:hAnsi="Cambria Math"/>
                </w:rPr>
                <m:t>t-1</m:t>
              </m:r>
            </m:e>
          </m:d>
          <m:r>
            <w:rPr>
              <w:rFonts w:ascii="Cambria Math" w:eastAsiaTheme="minorEastAsia" w:hAnsi="Cambria Math"/>
            </w:rPr>
            <m:t>+  β5CURRENTi(t-1)+β6TLPA i(t-1)+β7ND/EBITDAi(t-1) +β8ROAi(t-1)+ϵit</m:t>
          </m:r>
        </m:oMath>
      </m:oMathPara>
    </w:p>
    <w:p w14:paraId="2D7F7100" w14:textId="77777777" w:rsidR="002E4BFC" w:rsidRPr="00487834" w:rsidRDefault="002E4BFC" w:rsidP="003128F6">
      <w:pPr>
        <w:autoSpaceDE w:val="0"/>
        <w:autoSpaceDN w:val="0"/>
        <w:adjustRightInd w:val="0"/>
        <w:spacing w:line="300" w:lineRule="auto"/>
        <w:rPr>
          <w:rFonts w:eastAsiaTheme="minorHAnsi"/>
          <w:lang w:val="en-US" w:eastAsia="en-US"/>
        </w:rPr>
      </w:pPr>
    </w:p>
    <w:p w14:paraId="70EA4D0F" w14:textId="77777777" w:rsidR="002A6414" w:rsidRPr="00487834" w:rsidRDefault="002A6414" w:rsidP="00827B4E">
      <w:pPr>
        <w:autoSpaceDE w:val="0"/>
        <w:autoSpaceDN w:val="0"/>
        <w:adjustRightInd w:val="0"/>
        <w:spacing w:line="300" w:lineRule="auto"/>
        <w:ind w:firstLine="0"/>
        <w:rPr>
          <w:lang w:val="en-US"/>
        </w:rPr>
      </w:pPr>
    </w:p>
    <w:p w14:paraId="679B1BBA" w14:textId="77777777" w:rsidR="00795507" w:rsidRPr="00487834" w:rsidRDefault="00795507" w:rsidP="003128F6">
      <w:pPr>
        <w:spacing w:line="300" w:lineRule="auto"/>
      </w:pPr>
    </w:p>
    <w:p w14:paraId="4483A256" w14:textId="1465246C" w:rsidR="00795507" w:rsidRPr="00487834" w:rsidRDefault="00795507" w:rsidP="003128F6">
      <w:pPr>
        <w:spacing w:line="300" w:lineRule="auto"/>
        <w:rPr>
          <w:lang w:val="en-US"/>
        </w:rPr>
      </w:pPr>
      <w:r w:rsidRPr="00487834">
        <w:rPr>
          <w:lang w:val="en-US"/>
        </w:rPr>
        <w:t>Cost of equity fixed effects model without lagged independent variables</w:t>
      </w:r>
      <w:r w:rsidR="00827B4E" w:rsidRPr="00487834">
        <w:rPr>
          <w:lang w:val="en-US"/>
        </w:rPr>
        <w:t>:</w:t>
      </w:r>
    </w:p>
    <w:p w14:paraId="08F78913" w14:textId="77777777" w:rsidR="00795507" w:rsidRPr="00487834" w:rsidRDefault="00795507" w:rsidP="003128F6">
      <w:pPr>
        <w:spacing w:line="300" w:lineRule="auto"/>
        <w:rPr>
          <w:lang w:val="en-US"/>
        </w:rPr>
      </w:pPr>
    </w:p>
    <w:p w14:paraId="1B524A7D" w14:textId="77777777" w:rsidR="00795507" w:rsidRPr="00487834" w:rsidRDefault="00795507" w:rsidP="003128F6">
      <w:pPr>
        <w:spacing w:line="300" w:lineRule="auto"/>
        <w:rPr>
          <w:rFonts w:ascii="Cambria Math" w:hAnsi="Cambria Math"/>
          <w:oMath/>
        </w:rPr>
      </w:pPr>
      <m:oMathPara>
        <m:oMathParaPr>
          <m:jc m:val="center"/>
        </m:oMathParaPr>
        <m:oMath>
          <m:r>
            <w:rPr>
              <w:rFonts w:ascii="Cambria Math" w:hAnsi="Cambria Math"/>
            </w:rPr>
            <m:t>COEit =αi+β1ESGit+β2MCAPit +β3PE it +β4MTBit+β5BETAit +β6ROEit+β7EV/EBITDAit+ϵit</m:t>
          </m:r>
        </m:oMath>
      </m:oMathPara>
    </w:p>
    <w:p w14:paraId="3F0053CF" w14:textId="77777777" w:rsidR="00795507" w:rsidRPr="00487834" w:rsidRDefault="00795507" w:rsidP="003128F6">
      <w:pPr>
        <w:spacing w:line="300" w:lineRule="auto"/>
      </w:pPr>
      <m:oMathPara>
        <m:oMath>
          <m:r>
            <w:rPr>
              <w:rFonts w:ascii="Cambria Math" w:hAnsi="Cambria Math"/>
            </w:rPr>
            <m:t>​</m:t>
          </m:r>
          <m:r>
            <m:rPr>
              <m:sty m:val="p"/>
            </m:rPr>
            <w:rPr>
              <w:rFonts w:ascii="Cambria Math" w:hAnsi="Cambria Math"/>
              <w:color w:val="0D0D0D"/>
              <w:shd w:val="clear" w:color="auto" w:fill="FFFFFF"/>
            </w:rPr>
            <w:br/>
          </m:r>
        </m:oMath>
      </m:oMathPara>
    </w:p>
    <w:p w14:paraId="0A9C0119" w14:textId="57A552E1" w:rsidR="00795507" w:rsidRPr="00487834" w:rsidRDefault="00795507" w:rsidP="003128F6">
      <w:pPr>
        <w:spacing w:line="300" w:lineRule="auto"/>
        <w:rPr>
          <w:lang w:val="en-US"/>
        </w:rPr>
      </w:pPr>
      <w:r w:rsidRPr="00487834">
        <w:rPr>
          <w:lang w:val="en-US"/>
        </w:rPr>
        <w:t xml:space="preserve">Cost of debt fixed effects model without lagged independent </w:t>
      </w:r>
      <w:r w:rsidR="00827B4E" w:rsidRPr="00487834">
        <w:rPr>
          <w:lang w:val="en-US"/>
        </w:rPr>
        <w:t>v</w:t>
      </w:r>
      <w:r w:rsidRPr="00487834">
        <w:rPr>
          <w:lang w:val="en-US"/>
        </w:rPr>
        <w:t>ariables</w:t>
      </w:r>
      <w:r w:rsidR="00827B4E" w:rsidRPr="00487834">
        <w:rPr>
          <w:lang w:val="en-US"/>
        </w:rPr>
        <w:t>:</w:t>
      </w:r>
    </w:p>
    <w:p w14:paraId="1DE2C7D8" w14:textId="77777777" w:rsidR="00795507" w:rsidRPr="00487834" w:rsidRDefault="00795507" w:rsidP="003128F6">
      <w:pPr>
        <w:spacing w:line="300" w:lineRule="auto"/>
        <w:rPr>
          <w:lang w:val="en-US"/>
        </w:rPr>
      </w:pPr>
    </w:p>
    <w:p w14:paraId="20195FF2" w14:textId="77777777" w:rsidR="00795507" w:rsidRPr="00487834" w:rsidRDefault="00795507" w:rsidP="003128F6">
      <w:pPr>
        <w:spacing w:line="300" w:lineRule="auto"/>
        <w:rPr>
          <w:rFonts w:ascii="Cambria Math" w:hAnsi="Cambria Math"/>
          <w:oMath/>
        </w:rPr>
      </w:pPr>
      <m:oMathPara>
        <m:oMathParaPr>
          <m:jc m:val="center"/>
        </m:oMathParaPr>
        <m:oMath>
          <m:r>
            <w:rPr>
              <w:rFonts w:ascii="Cambria Math" w:hAnsi="Cambria Math"/>
            </w:rPr>
            <m:t>CODit =αi +β1ESGit +β2MCAPit +β3LEVit +β4ICRit+β5CURRENTit +β6TLPAit+β7ND/EBITDAit +β8ROAit +ϵit</m:t>
          </m:r>
        </m:oMath>
      </m:oMathPara>
    </w:p>
    <w:p w14:paraId="08827C6B" w14:textId="77777777" w:rsidR="00795507" w:rsidRPr="00487834" w:rsidRDefault="00795507" w:rsidP="003128F6">
      <w:pPr>
        <w:spacing w:line="300" w:lineRule="auto"/>
        <w:rPr>
          <w:rFonts w:eastAsiaTheme="minorEastAsia"/>
        </w:rPr>
      </w:pPr>
      <m:oMathPara>
        <m:oMath>
          <m:r>
            <w:rPr>
              <w:rFonts w:ascii="Cambria Math" w:hAnsi="Cambria Math"/>
            </w:rPr>
            <m:t>​</m:t>
          </m:r>
        </m:oMath>
      </m:oMathPara>
    </w:p>
    <w:p w14:paraId="10EBBC83" w14:textId="77777777" w:rsidR="004846EA" w:rsidRPr="00487834" w:rsidRDefault="004846EA" w:rsidP="003128F6">
      <w:pPr>
        <w:autoSpaceDE w:val="0"/>
        <w:autoSpaceDN w:val="0"/>
        <w:adjustRightInd w:val="0"/>
        <w:spacing w:line="300" w:lineRule="auto"/>
        <w:rPr>
          <w:vertAlign w:val="subscript"/>
          <w:lang w:val="en-US"/>
        </w:rPr>
      </w:pPr>
    </w:p>
    <w:p w14:paraId="3EABA470" w14:textId="44E3B639" w:rsidR="004846EA" w:rsidRPr="00487834" w:rsidRDefault="004846EA" w:rsidP="003128F6">
      <w:pPr>
        <w:autoSpaceDE w:val="0"/>
        <w:autoSpaceDN w:val="0"/>
        <w:adjustRightInd w:val="0"/>
        <w:spacing w:line="300" w:lineRule="auto"/>
        <w:ind w:firstLine="720"/>
        <w:rPr>
          <w:lang w:val="en-US"/>
        </w:rPr>
      </w:pPr>
      <w:r w:rsidRPr="00487834">
        <w:rPr>
          <w:lang w:val="en-US"/>
        </w:rPr>
        <w:t>To ensure robustness of our choice of fixed effects model we should also compare the results with th</w:t>
      </w:r>
      <w:r w:rsidR="00A116C3" w:rsidRPr="00487834">
        <w:rPr>
          <w:lang w:val="en-US"/>
        </w:rPr>
        <w:t xml:space="preserve">ose from random effects model. To test for this </w:t>
      </w:r>
      <w:r w:rsidR="0094552B" w:rsidRPr="00487834">
        <w:rPr>
          <w:lang w:val="en-US"/>
        </w:rPr>
        <w:t>and to</w:t>
      </w:r>
      <w:r w:rsidR="00A116C3" w:rsidRPr="00487834">
        <w:rPr>
          <w:lang w:val="en-US"/>
        </w:rPr>
        <w:t xml:space="preserve"> justify our choice, Hausman test will be run. </w:t>
      </w:r>
      <w:r w:rsidR="000459D7" w:rsidRPr="00487834">
        <w:rPr>
          <w:lang w:val="en-US"/>
        </w:rPr>
        <w:t>The results of the Hausman test will be presented in the Appendix section</w:t>
      </w:r>
    </w:p>
    <w:p w14:paraId="59D03507" w14:textId="77777777" w:rsidR="00533CED" w:rsidRPr="00487834" w:rsidRDefault="00533CED" w:rsidP="003128F6">
      <w:pPr>
        <w:autoSpaceDE w:val="0"/>
        <w:autoSpaceDN w:val="0"/>
        <w:adjustRightInd w:val="0"/>
        <w:spacing w:line="300" w:lineRule="auto"/>
        <w:jc w:val="center"/>
        <w:rPr>
          <w:lang w:val="en-US"/>
        </w:rPr>
      </w:pPr>
    </w:p>
    <w:p w14:paraId="238F2D4E" w14:textId="77777777" w:rsidR="00472B73" w:rsidRPr="00487834" w:rsidRDefault="00472B73" w:rsidP="003128F6">
      <w:pPr>
        <w:autoSpaceDE w:val="0"/>
        <w:autoSpaceDN w:val="0"/>
        <w:adjustRightInd w:val="0"/>
        <w:spacing w:line="300" w:lineRule="auto"/>
        <w:rPr>
          <w:lang w:val="en-US"/>
        </w:rPr>
      </w:pPr>
    </w:p>
    <w:p w14:paraId="46C9C20E" w14:textId="77777777" w:rsidR="00933954" w:rsidRPr="00487834" w:rsidRDefault="00B72D57" w:rsidP="00B72D57">
      <w:pPr>
        <w:pStyle w:val="Heading2"/>
        <w:jc w:val="center"/>
        <w:rPr>
          <w:rFonts w:cs="Times New Roman"/>
          <w:lang w:val="en-US"/>
        </w:rPr>
      </w:pPr>
      <w:bookmarkStart w:id="19" w:name="_Toc167918990"/>
      <w:r w:rsidRPr="00487834">
        <w:rPr>
          <w:rFonts w:cs="Times New Roman"/>
          <w:lang w:val="en-US"/>
        </w:rPr>
        <w:t xml:space="preserve">4.1. </w:t>
      </w:r>
      <w:r w:rsidR="00933954" w:rsidRPr="00487834">
        <w:rPr>
          <w:rFonts w:cs="Times New Roman"/>
          <w:lang w:val="en-US"/>
        </w:rPr>
        <w:t>Statistical significance</w:t>
      </w:r>
      <w:r w:rsidR="00B80F33" w:rsidRPr="00487834">
        <w:rPr>
          <w:rFonts w:cs="Times New Roman"/>
          <w:lang w:val="en-US"/>
        </w:rPr>
        <w:t xml:space="preserve"> and robustness</w:t>
      </w:r>
      <w:r w:rsidR="00933954" w:rsidRPr="00487834">
        <w:rPr>
          <w:rFonts w:cs="Times New Roman"/>
          <w:lang w:val="en-US"/>
        </w:rPr>
        <w:t xml:space="preserve"> tests</w:t>
      </w:r>
      <w:bookmarkEnd w:id="19"/>
    </w:p>
    <w:p w14:paraId="4526802E" w14:textId="77777777" w:rsidR="00933954" w:rsidRPr="00487834" w:rsidRDefault="000B67DE" w:rsidP="003128F6">
      <w:pPr>
        <w:autoSpaceDE w:val="0"/>
        <w:autoSpaceDN w:val="0"/>
        <w:adjustRightInd w:val="0"/>
        <w:spacing w:line="300" w:lineRule="auto"/>
        <w:jc w:val="center"/>
        <w:rPr>
          <w:b/>
          <w:bCs/>
          <w:lang w:val="en-US"/>
        </w:rPr>
      </w:pPr>
      <w:r w:rsidRPr="00487834">
        <w:rPr>
          <w:b/>
          <w:bCs/>
          <w:lang w:val="en-US"/>
        </w:rPr>
        <w:tab/>
      </w:r>
    </w:p>
    <w:p w14:paraId="71105088" w14:textId="77777777" w:rsidR="009219CF" w:rsidRPr="00487834" w:rsidRDefault="0086775D" w:rsidP="003128F6">
      <w:pPr>
        <w:autoSpaceDE w:val="0"/>
        <w:autoSpaceDN w:val="0"/>
        <w:adjustRightInd w:val="0"/>
        <w:spacing w:line="300" w:lineRule="auto"/>
        <w:ind w:firstLine="720"/>
        <w:rPr>
          <w:lang w:val="en-US"/>
        </w:rPr>
      </w:pPr>
      <w:r w:rsidRPr="00487834">
        <w:rPr>
          <w:lang w:val="en-US"/>
        </w:rPr>
        <w:t>To test the significance of the individual coefficients we can start with employing the most basic test – the T-test.</w:t>
      </w:r>
      <w:r w:rsidR="009219CF" w:rsidRPr="00487834">
        <w:rPr>
          <w:lang w:val="en-US"/>
        </w:rPr>
        <w:t xml:space="preserve"> It allows for evaluating whether the regression coefficients associated with ESG scores are statistically different from zero, providing proof that ESG's influence is not coincidental. Given the control variables—such as firm size, industry, and </w:t>
      </w:r>
      <w:r w:rsidR="00391BA5" w:rsidRPr="00487834">
        <w:rPr>
          <w:lang w:val="en-US"/>
        </w:rPr>
        <w:t>profitability</w:t>
      </w:r>
      <w:r w:rsidR="009219CF" w:rsidRPr="00487834">
        <w:rPr>
          <w:lang w:val="en-US"/>
        </w:rPr>
        <w:t xml:space="preserve"> t-tests will also help to  determine the significance of these controls, ensuring that the observed effects are not explained by these other </w:t>
      </w:r>
      <w:proofErr w:type="spellStart"/>
      <w:r w:rsidR="009219CF" w:rsidRPr="00487834">
        <w:rPr>
          <w:lang w:val="en-US"/>
        </w:rPr>
        <w:t>factors.To</w:t>
      </w:r>
      <w:proofErr w:type="spellEnd"/>
      <w:r w:rsidR="009219CF" w:rsidRPr="00487834">
        <w:rPr>
          <w:lang w:val="en-US"/>
        </w:rPr>
        <w:t xml:space="preserve"> test the overall model we will </w:t>
      </w:r>
      <w:r w:rsidR="00A12D6D" w:rsidRPr="00487834">
        <w:rPr>
          <w:lang w:val="en-US"/>
        </w:rPr>
        <w:t xml:space="preserve">likely </w:t>
      </w:r>
      <w:r w:rsidR="009219CF" w:rsidRPr="00487834">
        <w:rPr>
          <w:lang w:val="en-US"/>
        </w:rPr>
        <w:t>employ F-test</w:t>
      </w:r>
      <w:r w:rsidR="00A12D6D" w:rsidRPr="00487834">
        <w:rPr>
          <w:lang w:val="en-US"/>
        </w:rPr>
        <w:t xml:space="preserve"> that allows to generalize on the effects of combined </w:t>
      </w:r>
      <w:r w:rsidR="002A72C1" w:rsidRPr="00487834">
        <w:rPr>
          <w:lang w:val="en-US"/>
        </w:rPr>
        <w:t xml:space="preserve">explanatory variables (including the set of controls) and to reject the null hypotheses ( variation happened </w:t>
      </w:r>
      <w:r w:rsidR="002A72C1" w:rsidRPr="00487834">
        <w:rPr>
          <w:lang w:val="en-US"/>
        </w:rPr>
        <w:lastRenderedPageBreak/>
        <w:t xml:space="preserve">coincidentally). In </w:t>
      </w:r>
      <w:proofErr w:type="gramStart"/>
      <w:r w:rsidR="002A72C1" w:rsidRPr="00487834">
        <w:rPr>
          <w:lang w:val="en-US"/>
        </w:rPr>
        <w:t>addition</w:t>
      </w:r>
      <w:proofErr w:type="gramEnd"/>
      <w:r w:rsidR="002A72C1" w:rsidRPr="00487834">
        <w:rPr>
          <w:lang w:val="en-US"/>
        </w:rPr>
        <w:t xml:space="preserve"> we could also address </w:t>
      </w:r>
      <w:r w:rsidR="00DD7C47" w:rsidRPr="00487834">
        <w:rPr>
          <w:lang w:val="en-US"/>
        </w:rPr>
        <w:t xml:space="preserve">the potential issue of autocorrelation and heteroskedasticity using the robust standard error </w:t>
      </w:r>
      <w:r w:rsidR="001B6FF9" w:rsidRPr="00487834">
        <w:rPr>
          <w:lang w:val="en-US"/>
        </w:rPr>
        <w:t xml:space="preserve">using the robust standard errors. </w:t>
      </w:r>
    </w:p>
    <w:p w14:paraId="19EE59DC" w14:textId="77777777" w:rsidR="00EF64C5" w:rsidRPr="00487834" w:rsidRDefault="00EF64C5" w:rsidP="003128F6">
      <w:pPr>
        <w:autoSpaceDE w:val="0"/>
        <w:autoSpaceDN w:val="0"/>
        <w:adjustRightInd w:val="0"/>
        <w:spacing w:line="300" w:lineRule="auto"/>
        <w:ind w:firstLine="720"/>
        <w:rPr>
          <w:lang w:val="en-US"/>
        </w:rPr>
      </w:pPr>
      <w:r w:rsidRPr="00487834">
        <w:rPr>
          <w:lang w:val="en-US"/>
        </w:rPr>
        <w:t>To test for heterogeneity Breusch-Pagan test will be employed</w:t>
      </w:r>
      <w:r w:rsidR="00BC7470" w:rsidRPr="00487834">
        <w:rPr>
          <w:lang w:val="en-US"/>
        </w:rPr>
        <w:t xml:space="preserve"> and robust-standard errors will also be used to deal with potential heterogeneity. For autocorrelation issue we will use the Durbin-Watson test</w:t>
      </w:r>
      <w:r w:rsidR="00B80F33" w:rsidRPr="00487834">
        <w:rPr>
          <w:lang w:val="en-US"/>
        </w:rPr>
        <w:t xml:space="preserve">. While for omitted variable bias and model misspecification the Ramsey’s RESET test will be conducted. </w:t>
      </w:r>
      <w:proofErr w:type="gramStart"/>
      <w:r w:rsidR="00B80F33" w:rsidRPr="00487834">
        <w:rPr>
          <w:lang w:val="en-US"/>
        </w:rPr>
        <w:t>All of</w:t>
      </w:r>
      <w:proofErr w:type="gramEnd"/>
      <w:r w:rsidR="00B80F33" w:rsidRPr="00487834">
        <w:rPr>
          <w:lang w:val="en-US"/>
        </w:rPr>
        <w:t xml:space="preserve"> the robustness tests’ results will be available in the </w:t>
      </w:r>
      <w:r w:rsidR="00A93C49" w:rsidRPr="00487834">
        <w:rPr>
          <w:lang w:val="en-US"/>
        </w:rPr>
        <w:t xml:space="preserve">Appendix section. </w:t>
      </w:r>
    </w:p>
    <w:p w14:paraId="67FA0857" w14:textId="77777777" w:rsidR="001B6FF9" w:rsidRPr="00487834" w:rsidRDefault="001B6FF9" w:rsidP="003128F6">
      <w:pPr>
        <w:autoSpaceDE w:val="0"/>
        <w:autoSpaceDN w:val="0"/>
        <w:adjustRightInd w:val="0"/>
        <w:spacing w:line="300" w:lineRule="auto"/>
        <w:rPr>
          <w:lang w:val="en-US"/>
        </w:rPr>
      </w:pPr>
    </w:p>
    <w:p w14:paraId="58B83CAC" w14:textId="77777777" w:rsidR="000928C2" w:rsidRPr="00487834" w:rsidRDefault="000928C2" w:rsidP="000459D7">
      <w:pPr>
        <w:autoSpaceDE w:val="0"/>
        <w:autoSpaceDN w:val="0"/>
        <w:adjustRightInd w:val="0"/>
        <w:spacing w:line="300" w:lineRule="auto"/>
        <w:ind w:firstLine="0"/>
        <w:rPr>
          <w:rFonts w:eastAsiaTheme="minorHAnsi"/>
          <w:lang w:val="en-GB" w:eastAsia="en-US"/>
        </w:rPr>
      </w:pPr>
    </w:p>
    <w:p w14:paraId="2EFC7132" w14:textId="13E59001" w:rsidR="000928C2" w:rsidRPr="00487834" w:rsidRDefault="00756009" w:rsidP="00B72D57">
      <w:pPr>
        <w:pStyle w:val="Heading2"/>
        <w:jc w:val="center"/>
        <w:rPr>
          <w:rFonts w:eastAsiaTheme="minorHAnsi" w:cs="Times New Roman"/>
          <w:lang w:val="en-US" w:eastAsia="en-US"/>
        </w:rPr>
      </w:pPr>
      <w:bookmarkStart w:id="20" w:name="_Toc167918991"/>
      <w:r w:rsidRPr="00487834">
        <w:rPr>
          <w:rFonts w:eastAsiaTheme="minorHAnsi" w:cs="Times New Roman"/>
          <w:lang w:val="en-GB" w:eastAsia="en-US"/>
        </w:rPr>
        <w:t>4.</w:t>
      </w:r>
      <w:r w:rsidR="000459D7" w:rsidRPr="00487834">
        <w:rPr>
          <w:rFonts w:eastAsiaTheme="minorHAnsi" w:cs="Times New Roman"/>
          <w:lang w:val="en-GB" w:eastAsia="en-US"/>
        </w:rPr>
        <w:t>2</w:t>
      </w:r>
      <w:r w:rsidRPr="00487834">
        <w:rPr>
          <w:rFonts w:eastAsiaTheme="minorHAnsi" w:cs="Times New Roman"/>
          <w:lang w:val="en-GB" w:eastAsia="en-US"/>
        </w:rPr>
        <w:t xml:space="preserve">. </w:t>
      </w:r>
      <w:r w:rsidR="000928C2" w:rsidRPr="00487834">
        <w:rPr>
          <w:rFonts w:eastAsiaTheme="minorHAnsi" w:cs="Times New Roman"/>
          <w:lang w:val="en-GB" w:eastAsia="en-US"/>
        </w:rPr>
        <w:t>A</w:t>
      </w:r>
      <w:r w:rsidR="00B72D57" w:rsidRPr="00487834">
        <w:rPr>
          <w:rFonts w:eastAsiaTheme="minorHAnsi" w:cs="Times New Roman"/>
          <w:lang w:val="en-GB" w:eastAsia="en-US"/>
        </w:rPr>
        <w:t>ddressing potential Endogeneity</w:t>
      </w:r>
      <w:bookmarkEnd w:id="20"/>
    </w:p>
    <w:p w14:paraId="258F556C" w14:textId="77777777" w:rsidR="000928C2" w:rsidRPr="00487834" w:rsidRDefault="000928C2" w:rsidP="003128F6">
      <w:pPr>
        <w:autoSpaceDE w:val="0"/>
        <w:autoSpaceDN w:val="0"/>
        <w:adjustRightInd w:val="0"/>
        <w:spacing w:line="300" w:lineRule="auto"/>
        <w:rPr>
          <w:rFonts w:eastAsiaTheme="minorHAnsi"/>
          <w:b/>
          <w:bCs/>
          <w:lang w:val="en-GB" w:eastAsia="en-US"/>
        </w:rPr>
      </w:pPr>
    </w:p>
    <w:p w14:paraId="06CCC3F0" w14:textId="584C266D" w:rsidR="009B55C1" w:rsidRPr="00487834" w:rsidRDefault="00243477" w:rsidP="003128F6">
      <w:pPr>
        <w:autoSpaceDE w:val="0"/>
        <w:autoSpaceDN w:val="0"/>
        <w:adjustRightInd w:val="0"/>
        <w:spacing w:line="300" w:lineRule="auto"/>
        <w:ind w:firstLine="720"/>
        <w:rPr>
          <w:rFonts w:eastAsiaTheme="minorHAnsi"/>
          <w:lang w:val="en-GB" w:eastAsia="en-US"/>
        </w:rPr>
      </w:pPr>
      <w:r w:rsidRPr="00487834">
        <w:rPr>
          <w:rFonts w:eastAsiaTheme="minorHAnsi"/>
          <w:lang w:val="en-GB" w:eastAsia="en-US"/>
        </w:rPr>
        <w:t>Endogeneity occurs when an independent variable in a regression model is correlated with the error term, thus violating the underlying exogeneity assumption of the regression.</w:t>
      </w:r>
      <w:r w:rsidR="003B7AB1" w:rsidRPr="00487834">
        <w:rPr>
          <w:rFonts w:eastAsiaTheme="minorHAnsi"/>
          <w:lang w:val="en-GB" w:eastAsia="en-US"/>
        </w:rPr>
        <w:t xml:space="preserve"> The error term in our model is </w:t>
      </w:r>
      <w:r w:rsidR="00FE3FA3" w:rsidRPr="00487834">
        <w:rPr>
          <w:rFonts w:eastAsiaTheme="minorHAnsi"/>
          <w:lang w:val="en-GB" w:eastAsia="en-US"/>
        </w:rPr>
        <w:t xml:space="preserve">meant to reflect the unexplained variation in a dependent variable. Normally this variation is exogenous (i.e. lying outside of the model). Yet, often fallaciously constructed models would have </w:t>
      </w:r>
      <w:r w:rsidR="00CC683F" w:rsidRPr="00487834">
        <w:rPr>
          <w:rFonts w:eastAsiaTheme="minorHAnsi"/>
          <w:lang w:val="en-GB" w:eastAsia="en-US"/>
        </w:rPr>
        <w:t>endogenous factors concentrated in the error term.</w:t>
      </w:r>
      <w:r w:rsidR="001A5F68" w:rsidRPr="00487834">
        <w:rPr>
          <w:rFonts w:eastAsiaTheme="minorHAnsi"/>
          <w:lang w:val="en-GB" w:eastAsia="en-US"/>
        </w:rPr>
        <w:t xml:space="preserve"> A few considerations for potential endogeneity in our model will be further </w:t>
      </w:r>
      <w:r w:rsidR="004D31D3" w:rsidRPr="00487834">
        <w:rPr>
          <w:rFonts w:eastAsiaTheme="minorHAnsi"/>
          <w:lang w:val="en-GB" w:eastAsia="en-US"/>
        </w:rPr>
        <w:t>examined</w:t>
      </w:r>
      <w:r w:rsidR="006E1003" w:rsidRPr="00487834">
        <w:rPr>
          <w:rFonts w:eastAsiaTheme="minorHAnsi"/>
          <w:lang w:val="en-GB" w:eastAsia="en-US"/>
        </w:rPr>
        <w:t>, those are reverse causality and omitted variables.</w:t>
      </w:r>
    </w:p>
    <w:p w14:paraId="5BA2457B" w14:textId="5F786D2C" w:rsidR="00E37087" w:rsidRPr="00487834" w:rsidRDefault="00F26689" w:rsidP="00AE79B6">
      <w:pPr>
        <w:autoSpaceDE w:val="0"/>
        <w:autoSpaceDN w:val="0"/>
        <w:adjustRightInd w:val="0"/>
        <w:spacing w:line="300" w:lineRule="auto"/>
        <w:ind w:firstLine="720"/>
        <w:rPr>
          <w:rFonts w:eastAsiaTheme="minorHAnsi"/>
          <w:lang w:val="en-US" w:eastAsia="en-US"/>
        </w:rPr>
      </w:pPr>
      <w:r w:rsidRPr="00487834">
        <w:rPr>
          <w:rFonts w:eastAsiaTheme="minorHAnsi"/>
          <w:lang w:val="en-GB" w:eastAsia="en-US"/>
        </w:rPr>
        <w:t xml:space="preserve">Reverse causality is associated with the wrongful assumption about the character of the interrelation between variables. While we might suppose that it’s the ESG score that explains the cost of debt, the opposite could be the case. </w:t>
      </w:r>
      <w:r w:rsidR="009923D2" w:rsidRPr="00487834">
        <w:rPr>
          <w:rFonts w:eastAsiaTheme="minorHAnsi"/>
          <w:lang w:val="en-GB" w:eastAsia="en-US"/>
        </w:rPr>
        <w:t xml:space="preserve">It is important to consider this issue closely, as the role of low cost of debt and equity might be </w:t>
      </w:r>
      <w:r w:rsidR="00F32FE5" w:rsidRPr="00487834">
        <w:rPr>
          <w:rFonts w:eastAsiaTheme="minorHAnsi"/>
          <w:lang w:val="en-US" w:eastAsia="en-US"/>
        </w:rPr>
        <w:t xml:space="preserve">paramount to excel in ESG performance. Access </w:t>
      </w:r>
      <w:r w:rsidR="0064367D" w:rsidRPr="00487834">
        <w:rPr>
          <w:rFonts w:eastAsiaTheme="minorHAnsi"/>
          <w:lang w:val="en-US" w:eastAsia="en-US"/>
        </w:rPr>
        <w:t xml:space="preserve">to cheap debt financing </w:t>
      </w:r>
      <w:r w:rsidR="008608FC" w:rsidRPr="00487834">
        <w:rPr>
          <w:rFonts w:eastAsiaTheme="minorHAnsi"/>
          <w:lang w:val="en-US" w:eastAsia="en-US"/>
        </w:rPr>
        <w:t xml:space="preserve">and low-perceived risk associated with investing in company’s equity can be beneficial for firm’s ESG performance in the following ways. </w:t>
      </w:r>
      <w:proofErr w:type="gramStart"/>
      <w:r w:rsidR="008608FC" w:rsidRPr="00487834">
        <w:rPr>
          <w:rFonts w:eastAsiaTheme="minorHAnsi"/>
          <w:lang w:val="en-US" w:eastAsia="en-US"/>
        </w:rPr>
        <w:t>First of all</w:t>
      </w:r>
      <w:proofErr w:type="gramEnd"/>
      <w:r w:rsidR="008608FC" w:rsidRPr="00487834">
        <w:rPr>
          <w:rFonts w:eastAsiaTheme="minorHAnsi"/>
          <w:lang w:val="en-US" w:eastAsia="en-US"/>
        </w:rPr>
        <w:t xml:space="preserve">, it allows for </w:t>
      </w:r>
      <w:r w:rsidR="005572AA" w:rsidRPr="00487834">
        <w:rPr>
          <w:rFonts w:eastAsiaTheme="minorHAnsi"/>
          <w:lang w:val="en-US" w:eastAsia="en-US"/>
        </w:rPr>
        <w:t xml:space="preserve">long-term affordable debt and equity financing of ESG related initiatives that are often capital intensive. For instance, </w:t>
      </w:r>
      <w:r w:rsidR="009D6C85" w:rsidRPr="00487834">
        <w:rPr>
          <w:rFonts w:eastAsiaTheme="minorHAnsi"/>
          <w:lang w:val="en-US" w:eastAsia="en-US"/>
        </w:rPr>
        <w:t xml:space="preserve">if </w:t>
      </w:r>
      <w:proofErr w:type="spellStart"/>
      <w:r w:rsidR="009D6C85" w:rsidRPr="00487834">
        <w:rPr>
          <w:rFonts w:eastAsiaTheme="minorHAnsi"/>
          <w:lang w:val="en-US" w:eastAsia="en-US"/>
        </w:rPr>
        <w:t>Oil</w:t>
      </w:r>
      <w:r w:rsidR="005572AA" w:rsidRPr="00487834">
        <w:rPr>
          <w:rFonts w:eastAsiaTheme="minorHAnsi"/>
          <w:lang w:val="en-US" w:eastAsia="en-US"/>
        </w:rPr>
        <w:t>&amp;Gas</w:t>
      </w:r>
      <w:proofErr w:type="spellEnd"/>
      <w:r w:rsidR="005572AA" w:rsidRPr="00487834">
        <w:rPr>
          <w:rFonts w:eastAsiaTheme="minorHAnsi"/>
          <w:lang w:val="en-US" w:eastAsia="en-US"/>
        </w:rPr>
        <w:t xml:space="preserve"> company credit rating is high enough it could issue investment grade green bonds with low yields to finance a costly project </w:t>
      </w:r>
      <w:r w:rsidR="0014405D" w:rsidRPr="00487834">
        <w:rPr>
          <w:rFonts w:eastAsiaTheme="minorHAnsi"/>
          <w:lang w:val="en-US" w:eastAsia="en-US"/>
        </w:rPr>
        <w:t xml:space="preserve">for trapping associated gas and turning it into electricity. Secondly, </w:t>
      </w:r>
      <w:r w:rsidR="00A328EE" w:rsidRPr="00487834">
        <w:rPr>
          <w:rFonts w:eastAsiaTheme="minorHAnsi"/>
          <w:lang w:val="en-US" w:eastAsia="en-US"/>
        </w:rPr>
        <w:t xml:space="preserve">lower required rates of return could enhance firm’s value. </w:t>
      </w:r>
      <w:r w:rsidR="009D6C85" w:rsidRPr="00487834">
        <w:rPr>
          <w:rFonts w:eastAsiaTheme="minorHAnsi"/>
          <w:lang w:val="en-US" w:eastAsia="en-US"/>
        </w:rPr>
        <w:t>To sum up, respectable, low-risk compan</w:t>
      </w:r>
      <w:r w:rsidR="00181FEE" w:rsidRPr="00487834">
        <w:rPr>
          <w:rFonts w:eastAsiaTheme="minorHAnsi"/>
          <w:lang w:val="en-US" w:eastAsia="en-US"/>
        </w:rPr>
        <w:t>ies</w:t>
      </w:r>
      <w:r w:rsidR="009D6C85" w:rsidRPr="00487834">
        <w:rPr>
          <w:rFonts w:eastAsiaTheme="minorHAnsi"/>
          <w:lang w:val="en-US" w:eastAsia="en-US"/>
        </w:rPr>
        <w:t xml:space="preserve"> running sustainable business models </w:t>
      </w:r>
      <w:r w:rsidR="00181FEE" w:rsidRPr="00487834">
        <w:rPr>
          <w:rFonts w:eastAsiaTheme="minorHAnsi"/>
          <w:lang w:val="en-US" w:eastAsia="en-US"/>
        </w:rPr>
        <w:t xml:space="preserve">can achieve higher ESG performance. </w:t>
      </w:r>
      <w:r w:rsidR="006D5A07" w:rsidRPr="00487834">
        <w:rPr>
          <w:rFonts w:eastAsiaTheme="minorHAnsi"/>
          <w:lang w:val="en-US" w:eastAsia="en-US"/>
        </w:rPr>
        <w:t>What is more, reverse causality could be further complicated by bidirectional relationship. In our case that would mean that higher ESG score might indeed cause cost of debt and equity to decline, but at the same time lower cost of debt and equity could lead to higher ESG score creating a spiral like interrelation</w:t>
      </w:r>
      <w:r w:rsidR="00DE5231" w:rsidRPr="00487834">
        <w:rPr>
          <w:rFonts w:eastAsiaTheme="minorHAnsi"/>
          <w:lang w:val="en-US" w:eastAsia="en-US"/>
        </w:rPr>
        <w:t xml:space="preserve">. </w:t>
      </w:r>
    </w:p>
    <w:p w14:paraId="7B506C1A" w14:textId="7EF3F7EB" w:rsidR="000928C2" w:rsidRPr="00487834" w:rsidRDefault="00E37087" w:rsidP="003128F6">
      <w:pPr>
        <w:autoSpaceDE w:val="0"/>
        <w:autoSpaceDN w:val="0"/>
        <w:adjustRightInd w:val="0"/>
        <w:spacing w:line="300" w:lineRule="auto"/>
        <w:ind w:firstLine="720"/>
        <w:rPr>
          <w:rFonts w:eastAsiaTheme="minorHAnsi"/>
          <w:lang w:val="en-GB" w:eastAsia="en-US"/>
        </w:rPr>
      </w:pPr>
      <w:r w:rsidRPr="00487834">
        <w:rPr>
          <w:rFonts w:eastAsiaTheme="minorHAnsi"/>
          <w:lang w:val="en-GB" w:eastAsia="en-US"/>
        </w:rPr>
        <w:t xml:space="preserve">Another common cause of endogeneity in a regression model can be the omitted variable. It is a variable that was failed to be considered in the model, but </w:t>
      </w:r>
      <w:r w:rsidR="00227004" w:rsidRPr="00487834">
        <w:rPr>
          <w:rFonts w:eastAsiaTheme="minorHAnsi"/>
          <w:lang w:val="en-GB" w:eastAsia="en-US"/>
        </w:rPr>
        <w:t xml:space="preserve">which has both strong effect on explained variable and </w:t>
      </w:r>
      <w:r w:rsidR="009C1F0C" w:rsidRPr="00487834">
        <w:rPr>
          <w:rFonts w:eastAsiaTheme="minorHAnsi"/>
          <w:lang w:val="en-GB" w:eastAsia="en-US"/>
        </w:rPr>
        <w:t xml:space="preserve">correlated with the explanatory variable. As a </w:t>
      </w:r>
      <w:proofErr w:type="gramStart"/>
      <w:r w:rsidR="009C1F0C" w:rsidRPr="00487834">
        <w:rPr>
          <w:rFonts w:eastAsiaTheme="minorHAnsi"/>
          <w:lang w:val="en-GB" w:eastAsia="en-US"/>
        </w:rPr>
        <w:t>result</w:t>
      </w:r>
      <w:proofErr w:type="gramEnd"/>
      <w:r w:rsidR="009C1F0C" w:rsidRPr="00487834">
        <w:rPr>
          <w:rFonts w:eastAsiaTheme="minorHAnsi"/>
          <w:lang w:val="en-GB" w:eastAsia="en-US"/>
        </w:rPr>
        <w:t xml:space="preserve"> the affected explanatory variable would be correlated with the error term, violating the exogeneity assumption of a linear regression.</w:t>
      </w:r>
      <w:r w:rsidR="00756009" w:rsidRPr="00487834">
        <w:rPr>
          <w:rFonts w:eastAsiaTheme="minorHAnsi"/>
          <w:lang w:val="en-GB" w:eastAsia="en-US"/>
        </w:rPr>
        <w:t xml:space="preserve"> </w:t>
      </w:r>
      <w:r w:rsidR="00F059DE" w:rsidRPr="00487834">
        <w:rPr>
          <w:rFonts w:eastAsiaTheme="minorHAnsi"/>
          <w:lang w:val="en-GB" w:eastAsia="en-US"/>
        </w:rPr>
        <w:t>In regard to the c</w:t>
      </w:r>
      <w:r w:rsidR="000928C2" w:rsidRPr="00487834">
        <w:rPr>
          <w:rFonts w:eastAsiaTheme="minorHAnsi"/>
          <w:lang w:val="en-GB" w:eastAsia="en-US"/>
        </w:rPr>
        <w:t>ost of debt</w:t>
      </w:r>
      <w:r w:rsidR="00027DC4" w:rsidRPr="00487834">
        <w:rPr>
          <w:rFonts w:eastAsiaTheme="minorHAnsi"/>
          <w:lang w:val="en-GB" w:eastAsia="en-US"/>
        </w:rPr>
        <w:t xml:space="preserve"> such variables that could potentially be tied to ESG score and impact the outcome would be the following: c</w:t>
      </w:r>
      <w:r w:rsidR="000928C2" w:rsidRPr="00487834">
        <w:rPr>
          <w:rFonts w:eastAsiaTheme="minorHAnsi"/>
          <w:lang w:val="en-GB" w:eastAsia="en-US"/>
        </w:rPr>
        <w:t xml:space="preserve">ap size, profitability, leverage, debt service coverage, dividend policy, </w:t>
      </w:r>
      <w:r w:rsidR="005D0B9E" w:rsidRPr="00487834">
        <w:rPr>
          <w:rFonts w:eastAsiaTheme="minorHAnsi"/>
          <w:lang w:val="en-GB" w:eastAsia="en-US"/>
        </w:rPr>
        <w:t xml:space="preserve">cashflow </w:t>
      </w:r>
      <w:r w:rsidR="000928C2" w:rsidRPr="00487834">
        <w:rPr>
          <w:rFonts w:eastAsiaTheme="minorHAnsi"/>
          <w:lang w:val="en-GB" w:eastAsia="en-US"/>
        </w:rPr>
        <w:t xml:space="preserve">growth rate, </w:t>
      </w:r>
      <w:proofErr w:type="gramStart"/>
      <w:r w:rsidR="000928C2" w:rsidRPr="00487834">
        <w:rPr>
          <w:rFonts w:eastAsiaTheme="minorHAnsi"/>
          <w:lang w:val="en-GB" w:eastAsia="en-US"/>
        </w:rPr>
        <w:t xml:space="preserve">liquidity </w:t>
      </w:r>
      <w:r w:rsidR="000B67DE" w:rsidRPr="00487834">
        <w:rPr>
          <w:rFonts w:eastAsiaTheme="minorHAnsi"/>
          <w:lang w:val="en-GB" w:eastAsia="en-US"/>
        </w:rPr>
        <w:t>.</w:t>
      </w:r>
      <w:proofErr w:type="gramEnd"/>
      <w:r w:rsidR="000B67DE" w:rsidRPr="00487834">
        <w:rPr>
          <w:rFonts w:eastAsiaTheme="minorHAnsi"/>
          <w:lang w:val="en-GB" w:eastAsia="en-US"/>
        </w:rPr>
        <w:t xml:space="preserve"> </w:t>
      </w:r>
      <w:r w:rsidR="005D0B9E" w:rsidRPr="00487834">
        <w:rPr>
          <w:rFonts w:eastAsiaTheme="minorHAnsi"/>
          <w:lang w:val="en-GB" w:eastAsia="en-US"/>
        </w:rPr>
        <w:lastRenderedPageBreak/>
        <w:t xml:space="preserve">When it comes to cost of equity, potentially </w:t>
      </w:r>
      <w:r w:rsidR="000E6227" w:rsidRPr="00487834">
        <w:rPr>
          <w:rFonts w:eastAsiaTheme="minorHAnsi"/>
          <w:lang w:val="en-GB" w:eastAsia="en-US"/>
        </w:rPr>
        <w:t xml:space="preserve">variables that can cause our ESG explanatory variable to become </w:t>
      </w:r>
      <w:r w:rsidR="00756009" w:rsidRPr="00487834">
        <w:rPr>
          <w:rFonts w:eastAsiaTheme="minorHAnsi"/>
          <w:lang w:val="en-GB" w:eastAsia="en-US"/>
        </w:rPr>
        <w:t>endogenous</w:t>
      </w:r>
      <w:r w:rsidR="000E6227" w:rsidRPr="00487834">
        <w:rPr>
          <w:rFonts w:eastAsiaTheme="minorHAnsi"/>
          <w:lang w:val="en-GB" w:eastAsia="en-US"/>
        </w:rPr>
        <w:t xml:space="preserve"> are the following: c</w:t>
      </w:r>
      <w:r w:rsidR="000928C2" w:rsidRPr="00487834">
        <w:rPr>
          <w:rFonts w:eastAsiaTheme="minorHAnsi"/>
          <w:lang w:val="en-GB" w:eastAsia="en-US"/>
        </w:rPr>
        <w:t>ap size, dividend payout, earnings growth rate, earnings per share, gearing</w:t>
      </w:r>
      <w:r w:rsidR="000E6227" w:rsidRPr="00487834">
        <w:rPr>
          <w:rFonts w:eastAsiaTheme="minorHAnsi"/>
          <w:lang w:val="en-GB" w:eastAsia="en-US"/>
        </w:rPr>
        <w:t xml:space="preserve">. </w:t>
      </w:r>
      <w:r w:rsidR="00153946" w:rsidRPr="00487834">
        <w:rPr>
          <w:rFonts w:eastAsiaTheme="minorHAnsi"/>
          <w:lang w:val="en-GB" w:eastAsia="en-US"/>
        </w:rPr>
        <w:t>To test for omitted variable bias Ramsey RESET tests were conducted. Results are to be found in the appendix section</w:t>
      </w:r>
    </w:p>
    <w:p w14:paraId="57501B47" w14:textId="77777777" w:rsidR="00162435" w:rsidRPr="00487834" w:rsidRDefault="00162435" w:rsidP="003128F6">
      <w:pPr>
        <w:autoSpaceDE w:val="0"/>
        <w:autoSpaceDN w:val="0"/>
        <w:adjustRightInd w:val="0"/>
        <w:spacing w:line="300" w:lineRule="auto"/>
        <w:rPr>
          <w:rFonts w:eastAsiaTheme="minorHAnsi"/>
          <w:lang w:val="en-GB" w:eastAsia="en-US"/>
        </w:rPr>
      </w:pPr>
    </w:p>
    <w:p w14:paraId="373359F8" w14:textId="655643D7" w:rsidR="003101E8" w:rsidRPr="00487834" w:rsidRDefault="00756009" w:rsidP="00B72D57">
      <w:pPr>
        <w:pStyle w:val="Heading2"/>
        <w:jc w:val="center"/>
        <w:rPr>
          <w:rFonts w:eastAsiaTheme="minorHAnsi" w:cs="Times New Roman"/>
          <w:lang w:val="en-GB" w:eastAsia="en-US"/>
        </w:rPr>
      </w:pPr>
      <w:bookmarkStart w:id="21" w:name="_Toc167918992"/>
      <w:r w:rsidRPr="00487834">
        <w:rPr>
          <w:rFonts w:eastAsiaTheme="minorHAnsi" w:cs="Times New Roman"/>
          <w:lang w:val="en-GB" w:eastAsia="en-US"/>
        </w:rPr>
        <w:t>4.</w:t>
      </w:r>
      <w:r w:rsidR="000459D7" w:rsidRPr="00487834">
        <w:rPr>
          <w:rFonts w:eastAsiaTheme="minorHAnsi" w:cs="Times New Roman"/>
          <w:lang w:val="en-US" w:eastAsia="en-US"/>
        </w:rPr>
        <w:t>3</w:t>
      </w:r>
      <w:r w:rsidRPr="00487834">
        <w:rPr>
          <w:rFonts w:eastAsiaTheme="minorHAnsi" w:cs="Times New Roman"/>
          <w:lang w:val="en-GB" w:eastAsia="en-US"/>
        </w:rPr>
        <w:t xml:space="preserve">. </w:t>
      </w:r>
      <w:r w:rsidR="00CA2CD0" w:rsidRPr="00487834">
        <w:rPr>
          <w:rFonts w:eastAsiaTheme="minorHAnsi" w:cs="Times New Roman"/>
          <w:lang w:val="en-GB" w:eastAsia="en-US"/>
        </w:rPr>
        <w:t>Choosing the right model</w:t>
      </w:r>
      <w:bookmarkEnd w:id="21"/>
    </w:p>
    <w:p w14:paraId="480F5D81" w14:textId="77777777" w:rsidR="00170D3D" w:rsidRDefault="00170D3D" w:rsidP="003128F6">
      <w:pPr>
        <w:autoSpaceDE w:val="0"/>
        <w:autoSpaceDN w:val="0"/>
        <w:adjustRightInd w:val="0"/>
        <w:spacing w:line="300" w:lineRule="auto"/>
        <w:jc w:val="center"/>
        <w:rPr>
          <w:rFonts w:eastAsiaTheme="minorHAnsi"/>
          <w:b/>
          <w:bCs/>
          <w:lang w:val="en-GB" w:eastAsia="en-US"/>
        </w:rPr>
      </w:pPr>
    </w:p>
    <w:p w14:paraId="63F0E1CE" w14:textId="08E8CCB7" w:rsidR="00AD365D" w:rsidRPr="00AD365D" w:rsidRDefault="00AD365D" w:rsidP="00AD365D">
      <w:pPr>
        <w:autoSpaceDE w:val="0"/>
        <w:autoSpaceDN w:val="0"/>
        <w:adjustRightInd w:val="0"/>
        <w:spacing w:line="300" w:lineRule="auto"/>
        <w:jc w:val="left"/>
        <w:rPr>
          <w:rFonts w:eastAsiaTheme="minorHAnsi"/>
          <w:lang w:val="en-GB" w:eastAsia="en-US"/>
        </w:rPr>
      </w:pPr>
      <w:r>
        <w:rPr>
          <w:rFonts w:eastAsiaTheme="minorHAnsi"/>
          <w:lang w:val="en-GB" w:eastAsia="en-US"/>
        </w:rPr>
        <w:t>Kindly look for Hausman tests in the appendix section.</w:t>
      </w:r>
    </w:p>
    <w:p w14:paraId="6AED3A39" w14:textId="77777777" w:rsidR="00756009" w:rsidRPr="00487834" w:rsidRDefault="00756009" w:rsidP="00AD365D">
      <w:pPr>
        <w:autoSpaceDE w:val="0"/>
        <w:autoSpaceDN w:val="0"/>
        <w:adjustRightInd w:val="0"/>
        <w:spacing w:line="300" w:lineRule="auto"/>
        <w:ind w:firstLine="0"/>
        <w:jc w:val="left"/>
        <w:rPr>
          <w:rFonts w:eastAsiaTheme="minorHAnsi"/>
          <w:b/>
          <w:bCs/>
          <w:lang w:val="en-GB" w:eastAsia="en-US"/>
        </w:rPr>
      </w:pPr>
    </w:p>
    <w:p w14:paraId="29DF8C6D" w14:textId="77777777" w:rsidR="00170D3D" w:rsidRPr="00487834" w:rsidRDefault="00B72D57" w:rsidP="004A5290">
      <w:pPr>
        <w:pStyle w:val="Heading1"/>
        <w:rPr>
          <w:rFonts w:eastAsiaTheme="minorHAnsi"/>
          <w:lang w:val="en-GB" w:eastAsia="en-US"/>
        </w:rPr>
      </w:pPr>
      <w:bookmarkStart w:id="22" w:name="_Toc167918993"/>
      <w:r w:rsidRPr="00487834">
        <w:rPr>
          <w:rFonts w:eastAsiaTheme="minorHAnsi"/>
          <w:lang w:val="en-GB" w:eastAsia="en-US"/>
        </w:rPr>
        <w:t xml:space="preserve">5. </w:t>
      </w:r>
      <w:r w:rsidR="00170D3D" w:rsidRPr="00487834">
        <w:rPr>
          <w:rFonts w:eastAsiaTheme="minorHAnsi"/>
          <w:lang w:val="en-GB" w:eastAsia="en-US"/>
        </w:rPr>
        <w:t>Results and discussion</w:t>
      </w:r>
      <w:bookmarkEnd w:id="22"/>
    </w:p>
    <w:p w14:paraId="001B04D9" w14:textId="77777777" w:rsidR="00EF4BE4" w:rsidRPr="00487834" w:rsidRDefault="00EF4BE4" w:rsidP="003128F6">
      <w:pPr>
        <w:autoSpaceDE w:val="0"/>
        <w:autoSpaceDN w:val="0"/>
        <w:adjustRightInd w:val="0"/>
        <w:spacing w:line="300" w:lineRule="auto"/>
        <w:rPr>
          <w:rFonts w:eastAsiaTheme="minorHAnsi"/>
          <w:b/>
          <w:bCs/>
          <w:lang w:val="en-US" w:eastAsia="en-US"/>
        </w:rPr>
      </w:pPr>
    </w:p>
    <w:p w14:paraId="2795A4BE" w14:textId="77777777" w:rsidR="004A1F16" w:rsidRPr="00487834" w:rsidRDefault="00A37F42" w:rsidP="003128F6">
      <w:pPr>
        <w:autoSpaceDE w:val="0"/>
        <w:autoSpaceDN w:val="0"/>
        <w:adjustRightInd w:val="0"/>
        <w:spacing w:line="300" w:lineRule="auto"/>
        <w:rPr>
          <w:rFonts w:eastAsiaTheme="minorHAnsi"/>
          <w:lang w:val="en-US" w:eastAsia="en-US"/>
        </w:rPr>
      </w:pPr>
      <w:r w:rsidRPr="00487834">
        <w:rPr>
          <w:rFonts w:eastAsiaTheme="minorHAnsi"/>
          <w:b/>
          <w:bCs/>
          <w:lang w:val="en-US" w:eastAsia="en-US"/>
        </w:rPr>
        <w:t xml:space="preserve">Table </w:t>
      </w:r>
      <w:r w:rsidR="00170D3D" w:rsidRPr="00487834">
        <w:rPr>
          <w:rFonts w:eastAsiaTheme="minorHAnsi"/>
          <w:b/>
          <w:bCs/>
          <w:lang w:val="en-US" w:eastAsia="en-US"/>
        </w:rPr>
        <w:t>2</w:t>
      </w:r>
      <w:r w:rsidR="00BF355C" w:rsidRPr="00487834">
        <w:rPr>
          <w:rFonts w:eastAsiaTheme="minorHAnsi"/>
          <w:b/>
          <w:bCs/>
          <w:lang w:val="en-US" w:eastAsia="en-US"/>
        </w:rPr>
        <w:t xml:space="preserve">6 </w:t>
      </w:r>
      <w:r w:rsidR="00170D3D" w:rsidRPr="00487834">
        <w:rPr>
          <w:rFonts w:eastAsiaTheme="minorHAnsi"/>
          <w:b/>
          <w:bCs/>
          <w:lang w:val="en-GB" w:eastAsia="en-US"/>
        </w:rPr>
        <w:t xml:space="preserve">– </w:t>
      </w:r>
      <w:r w:rsidR="00404F1B" w:rsidRPr="00487834">
        <w:rPr>
          <w:rFonts w:eastAsiaTheme="minorHAnsi"/>
          <w:lang w:val="en-US" w:eastAsia="en-US"/>
        </w:rPr>
        <w:t xml:space="preserve">Cost of debt </w:t>
      </w:r>
      <w:r w:rsidRPr="00487834">
        <w:rPr>
          <w:rFonts w:eastAsiaTheme="minorHAnsi"/>
          <w:lang w:val="en-US" w:eastAsia="en-US"/>
        </w:rPr>
        <w:t>regression results</w:t>
      </w:r>
      <w:r w:rsidR="00BF355C" w:rsidRPr="00487834">
        <w:rPr>
          <w:rFonts w:eastAsiaTheme="minorHAnsi"/>
          <w:lang w:val="en-US" w:eastAsia="en-US"/>
        </w:rPr>
        <w:t xml:space="preserve"> </w:t>
      </w:r>
      <w:r w:rsidRPr="00487834">
        <w:rPr>
          <w:rFonts w:eastAsiaTheme="minorHAnsi"/>
          <w:lang w:val="en-US" w:eastAsia="en-US"/>
        </w:rPr>
        <w:t xml:space="preserve">without lagged </w:t>
      </w:r>
      <w:r w:rsidR="003E2EDB" w:rsidRPr="00487834">
        <w:rPr>
          <w:rFonts w:eastAsiaTheme="minorHAnsi"/>
          <w:lang w:val="en-US" w:eastAsia="en-US"/>
        </w:rPr>
        <w:t xml:space="preserve">predictor </w:t>
      </w:r>
      <w:r w:rsidR="004A1F16" w:rsidRPr="00487834">
        <w:rPr>
          <w:rFonts w:eastAsiaTheme="minorHAnsi"/>
          <w:lang w:val="en-US" w:eastAsia="en-US"/>
        </w:rPr>
        <w:t>for the full dataset and the subs</w:t>
      </w:r>
      <w:r w:rsidR="00404F1B" w:rsidRPr="00487834">
        <w:rPr>
          <w:rFonts w:eastAsiaTheme="minorHAnsi"/>
          <w:lang w:val="en-US" w:eastAsia="en-US"/>
        </w:rPr>
        <w:t>amples (Top vs</w:t>
      </w:r>
      <w:r w:rsidR="00BF355C" w:rsidRPr="00487834">
        <w:rPr>
          <w:rFonts w:eastAsiaTheme="minorHAnsi"/>
          <w:lang w:val="en-US" w:eastAsia="en-US"/>
        </w:rPr>
        <w:t xml:space="preserve"> </w:t>
      </w:r>
      <w:r w:rsidR="00404F1B" w:rsidRPr="00487834">
        <w:rPr>
          <w:rFonts w:eastAsiaTheme="minorHAnsi"/>
          <w:lang w:val="en-US" w:eastAsia="en-US"/>
        </w:rPr>
        <w:t>medium vs underperforming ESG scores)</w:t>
      </w:r>
    </w:p>
    <w:p w14:paraId="32DDD170" w14:textId="77777777" w:rsidR="00D53DE7" w:rsidRPr="00487834" w:rsidRDefault="00D53DE7" w:rsidP="003128F6">
      <w:pPr>
        <w:autoSpaceDE w:val="0"/>
        <w:autoSpaceDN w:val="0"/>
        <w:adjustRightInd w:val="0"/>
        <w:spacing w:line="300" w:lineRule="auto"/>
        <w:rPr>
          <w:rFonts w:eastAsiaTheme="minorHAnsi"/>
          <w:lang w:val="en-US" w:eastAsia="en-US"/>
        </w:rPr>
      </w:pPr>
    </w:p>
    <w:tbl>
      <w:tblPr>
        <w:tblW w:w="7200" w:type="dxa"/>
        <w:jc w:val="center"/>
        <w:tblLook w:val="04A0" w:firstRow="1" w:lastRow="0" w:firstColumn="1" w:lastColumn="0" w:noHBand="0" w:noVBand="1"/>
      </w:tblPr>
      <w:tblGrid>
        <w:gridCol w:w="1701"/>
        <w:gridCol w:w="1599"/>
        <w:gridCol w:w="1300"/>
        <w:gridCol w:w="1300"/>
        <w:gridCol w:w="1300"/>
      </w:tblGrid>
      <w:tr w:rsidR="006F60AC" w:rsidRPr="00487834" w14:paraId="1791383D" w14:textId="77777777" w:rsidTr="006F60AC">
        <w:trPr>
          <w:trHeight w:val="260"/>
          <w:jc w:val="center"/>
        </w:trPr>
        <w:tc>
          <w:tcPr>
            <w:tcW w:w="1701" w:type="dxa"/>
            <w:tcBorders>
              <w:top w:val="single" w:sz="4" w:space="0" w:color="auto"/>
              <w:left w:val="nil"/>
              <w:bottom w:val="single" w:sz="4" w:space="0" w:color="auto"/>
              <w:right w:val="nil"/>
            </w:tcBorders>
            <w:shd w:val="clear" w:color="auto" w:fill="auto"/>
            <w:noWrap/>
            <w:vAlign w:val="center"/>
            <w:hideMark/>
          </w:tcPr>
          <w:p w14:paraId="02B87156" w14:textId="77777777" w:rsidR="006F60AC" w:rsidRPr="00487834" w:rsidRDefault="006F60AC" w:rsidP="00F36A29">
            <w:pPr>
              <w:pStyle w:val="NoSpacing"/>
            </w:pPr>
            <w:proofErr w:type="spellStart"/>
            <w:r w:rsidRPr="00487834">
              <w:t>Parameter</w:t>
            </w:r>
            <w:proofErr w:type="spellEnd"/>
          </w:p>
        </w:tc>
        <w:tc>
          <w:tcPr>
            <w:tcW w:w="1599" w:type="dxa"/>
            <w:tcBorders>
              <w:top w:val="single" w:sz="4" w:space="0" w:color="auto"/>
              <w:left w:val="nil"/>
              <w:bottom w:val="single" w:sz="4" w:space="0" w:color="auto"/>
              <w:right w:val="nil"/>
            </w:tcBorders>
            <w:shd w:val="clear" w:color="auto" w:fill="auto"/>
            <w:noWrap/>
            <w:vAlign w:val="bottom"/>
            <w:hideMark/>
          </w:tcPr>
          <w:p w14:paraId="78E093D4" w14:textId="77777777" w:rsidR="006F60AC" w:rsidRPr="00487834" w:rsidRDefault="006F60AC" w:rsidP="00F36A29">
            <w:pPr>
              <w:pStyle w:val="NoSpacing"/>
            </w:pPr>
            <w:proofErr w:type="spellStart"/>
            <w:r w:rsidRPr="00487834">
              <w:t>Entire</w:t>
            </w:r>
            <w:proofErr w:type="spellEnd"/>
            <w:r w:rsidRPr="00487834">
              <w:t xml:space="preserve"> </w:t>
            </w:r>
            <w:proofErr w:type="spellStart"/>
            <w:r w:rsidRPr="00487834">
              <w:t>dataset</w:t>
            </w:r>
            <w:proofErr w:type="spellEnd"/>
          </w:p>
        </w:tc>
        <w:tc>
          <w:tcPr>
            <w:tcW w:w="1300" w:type="dxa"/>
            <w:tcBorders>
              <w:top w:val="single" w:sz="4" w:space="0" w:color="auto"/>
              <w:left w:val="nil"/>
              <w:bottom w:val="single" w:sz="4" w:space="0" w:color="auto"/>
              <w:right w:val="nil"/>
            </w:tcBorders>
            <w:shd w:val="clear" w:color="auto" w:fill="auto"/>
            <w:noWrap/>
            <w:vAlign w:val="bottom"/>
            <w:hideMark/>
          </w:tcPr>
          <w:p w14:paraId="5A9436EF" w14:textId="77777777" w:rsidR="006F60AC" w:rsidRPr="00487834" w:rsidRDefault="006F60AC" w:rsidP="00F36A29">
            <w:pPr>
              <w:pStyle w:val="NoSpacing"/>
            </w:pPr>
            <w:r w:rsidRPr="00487834">
              <w:t>Top 25%</w:t>
            </w:r>
          </w:p>
        </w:tc>
        <w:tc>
          <w:tcPr>
            <w:tcW w:w="1300" w:type="dxa"/>
            <w:tcBorders>
              <w:top w:val="single" w:sz="4" w:space="0" w:color="auto"/>
              <w:left w:val="nil"/>
              <w:bottom w:val="single" w:sz="4" w:space="0" w:color="auto"/>
              <w:right w:val="nil"/>
            </w:tcBorders>
            <w:shd w:val="clear" w:color="auto" w:fill="auto"/>
            <w:noWrap/>
            <w:vAlign w:val="bottom"/>
            <w:hideMark/>
          </w:tcPr>
          <w:p w14:paraId="030C5674" w14:textId="77777777" w:rsidR="006F60AC" w:rsidRPr="00487834" w:rsidRDefault="006F60AC" w:rsidP="00F36A29">
            <w:pPr>
              <w:pStyle w:val="NoSpacing"/>
            </w:pPr>
            <w:proofErr w:type="spellStart"/>
            <w:r w:rsidRPr="00487834">
              <w:t>Med</w:t>
            </w:r>
            <w:proofErr w:type="spellEnd"/>
            <w:r w:rsidRPr="00487834">
              <w:t>. 50%</w:t>
            </w:r>
          </w:p>
        </w:tc>
        <w:tc>
          <w:tcPr>
            <w:tcW w:w="1300" w:type="dxa"/>
            <w:tcBorders>
              <w:top w:val="single" w:sz="4" w:space="0" w:color="auto"/>
              <w:left w:val="nil"/>
              <w:bottom w:val="single" w:sz="4" w:space="0" w:color="auto"/>
              <w:right w:val="nil"/>
            </w:tcBorders>
            <w:shd w:val="clear" w:color="auto" w:fill="auto"/>
            <w:noWrap/>
            <w:vAlign w:val="bottom"/>
            <w:hideMark/>
          </w:tcPr>
          <w:p w14:paraId="0B5D5BA3" w14:textId="77777777" w:rsidR="006F60AC" w:rsidRPr="00487834" w:rsidRDefault="006F60AC" w:rsidP="00F36A29">
            <w:pPr>
              <w:pStyle w:val="NoSpacing"/>
            </w:pPr>
            <w:proofErr w:type="spellStart"/>
            <w:r w:rsidRPr="00487834">
              <w:t>Low</w:t>
            </w:r>
            <w:proofErr w:type="spellEnd"/>
            <w:r w:rsidRPr="00487834">
              <w:t xml:space="preserve"> 25%</w:t>
            </w:r>
          </w:p>
        </w:tc>
      </w:tr>
      <w:tr w:rsidR="006F60AC" w:rsidRPr="00487834" w14:paraId="5E05A8F2" w14:textId="77777777" w:rsidTr="006F60AC">
        <w:trPr>
          <w:trHeight w:val="580"/>
          <w:jc w:val="center"/>
        </w:trPr>
        <w:tc>
          <w:tcPr>
            <w:tcW w:w="1701" w:type="dxa"/>
            <w:tcBorders>
              <w:top w:val="nil"/>
              <w:left w:val="nil"/>
              <w:bottom w:val="nil"/>
              <w:right w:val="nil"/>
            </w:tcBorders>
            <w:shd w:val="clear" w:color="auto" w:fill="auto"/>
            <w:noWrap/>
            <w:vAlign w:val="center"/>
            <w:hideMark/>
          </w:tcPr>
          <w:p w14:paraId="39273339" w14:textId="77777777" w:rsidR="006F60AC" w:rsidRPr="00487834" w:rsidRDefault="006F60AC" w:rsidP="00F36A29">
            <w:pPr>
              <w:pStyle w:val="NoSpacing"/>
              <w:rPr>
                <w:i/>
                <w:iCs/>
              </w:rPr>
            </w:pPr>
            <w:r w:rsidRPr="00487834">
              <w:rPr>
                <w:i/>
                <w:iCs/>
              </w:rPr>
              <w:t>C</w:t>
            </w:r>
          </w:p>
        </w:tc>
        <w:tc>
          <w:tcPr>
            <w:tcW w:w="1599" w:type="dxa"/>
            <w:tcBorders>
              <w:top w:val="nil"/>
              <w:left w:val="nil"/>
              <w:bottom w:val="nil"/>
              <w:right w:val="nil"/>
            </w:tcBorders>
            <w:shd w:val="clear" w:color="auto" w:fill="auto"/>
            <w:vAlign w:val="center"/>
            <w:hideMark/>
          </w:tcPr>
          <w:p w14:paraId="2FE4EFB5" w14:textId="77777777" w:rsidR="006F60AC" w:rsidRPr="00487834" w:rsidRDefault="006F60AC" w:rsidP="00F36A29">
            <w:pPr>
              <w:pStyle w:val="NoSpacing"/>
            </w:pPr>
            <w:r w:rsidRPr="00487834">
              <w:t>0.0479*** (0.004)</w:t>
            </w:r>
          </w:p>
        </w:tc>
        <w:tc>
          <w:tcPr>
            <w:tcW w:w="1300" w:type="dxa"/>
            <w:tcBorders>
              <w:top w:val="nil"/>
              <w:left w:val="nil"/>
              <w:bottom w:val="nil"/>
              <w:right w:val="nil"/>
            </w:tcBorders>
            <w:shd w:val="clear" w:color="auto" w:fill="auto"/>
            <w:vAlign w:val="center"/>
            <w:hideMark/>
          </w:tcPr>
          <w:p w14:paraId="7CCCB463" w14:textId="77777777" w:rsidR="006F60AC" w:rsidRPr="00487834" w:rsidRDefault="006F60AC" w:rsidP="00F36A29">
            <w:pPr>
              <w:pStyle w:val="NoSpacing"/>
            </w:pPr>
            <w:r w:rsidRPr="00487834">
              <w:t>0.0494*** (0.0043)</w:t>
            </w:r>
          </w:p>
        </w:tc>
        <w:tc>
          <w:tcPr>
            <w:tcW w:w="1300" w:type="dxa"/>
            <w:tcBorders>
              <w:top w:val="nil"/>
              <w:left w:val="nil"/>
              <w:bottom w:val="nil"/>
              <w:right w:val="nil"/>
            </w:tcBorders>
            <w:shd w:val="clear" w:color="auto" w:fill="auto"/>
            <w:vAlign w:val="center"/>
            <w:hideMark/>
          </w:tcPr>
          <w:p w14:paraId="54313EA9" w14:textId="77777777" w:rsidR="006F60AC" w:rsidRPr="00487834" w:rsidRDefault="006F60AC" w:rsidP="00F36A29">
            <w:pPr>
              <w:pStyle w:val="NoSpacing"/>
            </w:pPr>
            <w:r w:rsidRPr="00487834">
              <w:t>0.0384*** (0.009)</w:t>
            </w:r>
          </w:p>
        </w:tc>
        <w:tc>
          <w:tcPr>
            <w:tcW w:w="1300" w:type="dxa"/>
            <w:tcBorders>
              <w:top w:val="nil"/>
              <w:left w:val="nil"/>
              <w:bottom w:val="nil"/>
              <w:right w:val="nil"/>
            </w:tcBorders>
            <w:shd w:val="clear" w:color="auto" w:fill="auto"/>
            <w:vAlign w:val="center"/>
            <w:hideMark/>
          </w:tcPr>
          <w:p w14:paraId="003DCD9D" w14:textId="77777777" w:rsidR="006F60AC" w:rsidRPr="00487834" w:rsidRDefault="006F60AC" w:rsidP="00F36A29">
            <w:pPr>
              <w:pStyle w:val="NoSpacing"/>
            </w:pPr>
            <w:r w:rsidRPr="00487834">
              <w:t>0.0412*** (0.006)</w:t>
            </w:r>
          </w:p>
        </w:tc>
      </w:tr>
      <w:tr w:rsidR="006F60AC" w:rsidRPr="00487834" w14:paraId="517EB11B" w14:textId="77777777" w:rsidTr="006F60AC">
        <w:trPr>
          <w:trHeight w:val="580"/>
          <w:jc w:val="center"/>
        </w:trPr>
        <w:tc>
          <w:tcPr>
            <w:tcW w:w="1701" w:type="dxa"/>
            <w:tcBorders>
              <w:top w:val="nil"/>
              <w:left w:val="nil"/>
              <w:bottom w:val="nil"/>
              <w:right w:val="nil"/>
            </w:tcBorders>
            <w:shd w:val="clear" w:color="auto" w:fill="auto"/>
            <w:noWrap/>
            <w:vAlign w:val="center"/>
            <w:hideMark/>
          </w:tcPr>
          <w:p w14:paraId="1A2F2C80" w14:textId="77777777" w:rsidR="006F60AC" w:rsidRPr="00487834" w:rsidRDefault="006F60AC" w:rsidP="00F36A29">
            <w:pPr>
              <w:pStyle w:val="NoSpacing"/>
              <w:rPr>
                <w:i/>
                <w:iCs/>
              </w:rPr>
            </w:pPr>
            <w:r w:rsidRPr="00487834">
              <w:rPr>
                <w:i/>
                <w:iCs/>
              </w:rPr>
              <w:t>ESG</w:t>
            </w:r>
          </w:p>
        </w:tc>
        <w:tc>
          <w:tcPr>
            <w:tcW w:w="1599" w:type="dxa"/>
            <w:tcBorders>
              <w:top w:val="nil"/>
              <w:left w:val="nil"/>
              <w:bottom w:val="nil"/>
              <w:right w:val="nil"/>
            </w:tcBorders>
            <w:shd w:val="clear" w:color="auto" w:fill="auto"/>
            <w:vAlign w:val="center"/>
            <w:hideMark/>
          </w:tcPr>
          <w:p w14:paraId="1ECAF189" w14:textId="77777777" w:rsidR="006F60AC" w:rsidRPr="00487834" w:rsidRDefault="006F60AC" w:rsidP="00F36A29">
            <w:pPr>
              <w:pStyle w:val="NoSpacing"/>
            </w:pPr>
            <w:r w:rsidRPr="00487834">
              <w:t>0.0046*** (0.001)</w:t>
            </w:r>
          </w:p>
        </w:tc>
        <w:tc>
          <w:tcPr>
            <w:tcW w:w="1300" w:type="dxa"/>
            <w:tcBorders>
              <w:top w:val="nil"/>
              <w:left w:val="nil"/>
              <w:bottom w:val="nil"/>
              <w:right w:val="nil"/>
            </w:tcBorders>
            <w:shd w:val="clear" w:color="auto" w:fill="auto"/>
            <w:vAlign w:val="center"/>
            <w:hideMark/>
          </w:tcPr>
          <w:p w14:paraId="6AA0CFBC" w14:textId="77777777" w:rsidR="006F60AC" w:rsidRPr="00487834" w:rsidRDefault="006F60AC" w:rsidP="00F36A29">
            <w:pPr>
              <w:pStyle w:val="NoSpacing"/>
            </w:pPr>
            <w:r w:rsidRPr="00487834">
              <w:t>-0.0088*** (0.0033)</w:t>
            </w:r>
          </w:p>
        </w:tc>
        <w:tc>
          <w:tcPr>
            <w:tcW w:w="1300" w:type="dxa"/>
            <w:tcBorders>
              <w:top w:val="nil"/>
              <w:left w:val="nil"/>
              <w:bottom w:val="nil"/>
              <w:right w:val="nil"/>
            </w:tcBorders>
            <w:shd w:val="clear" w:color="auto" w:fill="auto"/>
            <w:vAlign w:val="center"/>
            <w:hideMark/>
          </w:tcPr>
          <w:p w14:paraId="364E5DA0" w14:textId="77777777" w:rsidR="006F60AC" w:rsidRPr="00487834" w:rsidRDefault="006F60AC" w:rsidP="00F36A29">
            <w:pPr>
              <w:pStyle w:val="NoSpacing"/>
            </w:pPr>
            <w:r w:rsidRPr="00487834">
              <w:t>0.008*** (0.0027)</w:t>
            </w:r>
          </w:p>
        </w:tc>
        <w:tc>
          <w:tcPr>
            <w:tcW w:w="1300" w:type="dxa"/>
            <w:tcBorders>
              <w:top w:val="nil"/>
              <w:left w:val="nil"/>
              <w:bottom w:val="nil"/>
              <w:right w:val="nil"/>
            </w:tcBorders>
            <w:shd w:val="clear" w:color="auto" w:fill="auto"/>
            <w:vAlign w:val="center"/>
            <w:hideMark/>
          </w:tcPr>
          <w:p w14:paraId="776AA667" w14:textId="77777777" w:rsidR="006F60AC" w:rsidRPr="00487834" w:rsidRDefault="006F60AC" w:rsidP="00F36A29">
            <w:pPr>
              <w:pStyle w:val="NoSpacing"/>
            </w:pPr>
            <w:r w:rsidRPr="00487834">
              <w:t>0.0043 (0.0043)</w:t>
            </w:r>
          </w:p>
        </w:tc>
      </w:tr>
      <w:tr w:rsidR="006F60AC" w:rsidRPr="00487834" w14:paraId="085662FB" w14:textId="77777777" w:rsidTr="006F60AC">
        <w:trPr>
          <w:trHeight w:val="600"/>
          <w:jc w:val="center"/>
        </w:trPr>
        <w:tc>
          <w:tcPr>
            <w:tcW w:w="1701" w:type="dxa"/>
            <w:tcBorders>
              <w:top w:val="nil"/>
              <w:left w:val="nil"/>
              <w:bottom w:val="nil"/>
              <w:right w:val="nil"/>
            </w:tcBorders>
            <w:shd w:val="clear" w:color="auto" w:fill="auto"/>
            <w:noWrap/>
            <w:vAlign w:val="center"/>
            <w:hideMark/>
          </w:tcPr>
          <w:p w14:paraId="045D4409" w14:textId="77777777" w:rsidR="006F60AC" w:rsidRPr="00487834" w:rsidRDefault="006F60AC" w:rsidP="00F36A29">
            <w:pPr>
              <w:pStyle w:val="NoSpacing"/>
              <w:rPr>
                <w:i/>
                <w:iCs/>
              </w:rPr>
            </w:pPr>
            <w:r w:rsidRPr="00487834">
              <w:rPr>
                <w:i/>
                <w:iCs/>
              </w:rPr>
              <w:t>MCAP</w:t>
            </w:r>
          </w:p>
        </w:tc>
        <w:tc>
          <w:tcPr>
            <w:tcW w:w="1599" w:type="dxa"/>
            <w:tcBorders>
              <w:top w:val="nil"/>
              <w:left w:val="nil"/>
              <w:bottom w:val="nil"/>
              <w:right w:val="nil"/>
            </w:tcBorders>
            <w:shd w:val="clear" w:color="auto" w:fill="auto"/>
            <w:vAlign w:val="center"/>
            <w:hideMark/>
          </w:tcPr>
          <w:p w14:paraId="0907BDFA" w14:textId="77777777" w:rsidR="006F60AC" w:rsidRPr="00487834" w:rsidRDefault="006F60AC" w:rsidP="00F36A29">
            <w:pPr>
              <w:pStyle w:val="NoSpacing"/>
            </w:pPr>
            <w:r w:rsidRPr="00487834">
              <w:t>-0.0104*** (0.003)</w:t>
            </w:r>
          </w:p>
        </w:tc>
        <w:tc>
          <w:tcPr>
            <w:tcW w:w="1300" w:type="dxa"/>
            <w:tcBorders>
              <w:top w:val="nil"/>
              <w:left w:val="nil"/>
              <w:bottom w:val="nil"/>
              <w:right w:val="nil"/>
            </w:tcBorders>
            <w:shd w:val="clear" w:color="auto" w:fill="auto"/>
            <w:vAlign w:val="center"/>
            <w:hideMark/>
          </w:tcPr>
          <w:p w14:paraId="090FD5D9" w14:textId="77777777" w:rsidR="006F60AC" w:rsidRPr="00487834" w:rsidRDefault="006F60AC" w:rsidP="00F36A29">
            <w:pPr>
              <w:pStyle w:val="NoSpacing"/>
            </w:pPr>
            <w:r w:rsidRPr="00487834">
              <w:t>-0.0036* (0.0019)</w:t>
            </w:r>
          </w:p>
        </w:tc>
        <w:tc>
          <w:tcPr>
            <w:tcW w:w="1300" w:type="dxa"/>
            <w:tcBorders>
              <w:top w:val="nil"/>
              <w:left w:val="nil"/>
              <w:bottom w:val="nil"/>
              <w:right w:val="nil"/>
            </w:tcBorders>
            <w:shd w:val="clear" w:color="auto" w:fill="auto"/>
            <w:vAlign w:val="center"/>
            <w:hideMark/>
          </w:tcPr>
          <w:p w14:paraId="3F8B97E2" w14:textId="77777777" w:rsidR="006F60AC" w:rsidRPr="00487834" w:rsidRDefault="006F60AC" w:rsidP="00F36A29">
            <w:pPr>
              <w:pStyle w:val="NoSpacing"/>
            </w:pPr>
            <w:r w:rsidRPr="00487834">
              <w:t>-0.01*** (0.0037)</w:t>
            </w:r>
          </w:p>
        </w:tc>
        <w:tc>
          <w:tcPr>
            <w:tcW w:w="1300" w:type="dxa"/>
            <w:tcBorders>
              <w:top w:val="nil"/>
              <w:left w:val="nil"/>
              <w:bottom w:val="nil"/>
              <w:right w:val="nil"/>
            </w:tcBorders>
            <w:shd w:val="clear" w:color="auto" w:fill="auto"/>
            <w:vAlign w:val="center"/>
            <w:hideMark/>
          </w:tcPr>
          <w:p w14:paraId="694E9FD3" w14:textId="77777777" w:rsidR="006F60AC" w:rsidRPr="00487834" w:rsidRDefault="006F60AC" w:rsidP="00F36A29">
            <w:pPr>
              <w:pStyle w:val="NoSpacing"/>
            </w:pPr>
            <w:r w:rsidRPr="00487834">
              <w:t>-0.0247*** (0.0055)</w:t>
            </w:r>
          </w:p>
        </w:tc>
      </w:tr>
      <w:tr w:rsidR="006F60AC" w:rsidRPr="00487834" w14:paraId="3CC2C8F3" w14:textId="77777777" w:rsidTr="006F60AC">
        <w:trPr>
          <w:trHeight w:val="560"/>
          <w:jc w:val="center"/>
        </w:trPr>
        <w:tc>
          <w:tcPr>
            <w:tcW w:w="1701" w:type="dxa"/>
            <w:tcBorders>
              <w:top w:val="nil"/>
              <w:left w:val="nil"/>
              <w:bottom w:val="nil"/>
              <w:right w:val="nil"/>
            </w:tcBorders>
            <w:shd w:val="clear" w:color="auto" w:fill="auto"/>
            <w:noWrap/>
            <w:vAlign w:val="center"/>
            <w:hideMark/>
          </w:tcPr>
          <w:p w14:paraId="751FFE4A" w14:textId="77777777" w:rsidR="006F60AC" w:rsidRPr="00487834" w:rsidRDefault="006F60AC" w:rsidP="00F36A29">
            <w:pPr>
              <w:pStyle w:val="NoSpacing"/>
              <w:rPr>
                <w:i/>
                <w:iCs/>
              </w:rPr>
            </w:pPr>
            <w:r w:rsidRPr="00487834">
              <w:rPr>
                <w:i/>
                <w:iCs/>
              </w:rPr>
              <w:t>ICR</w:t>
            </w:r>
          </w:p>
        </w:tc>
        <w:tc>
          <w:tcPr>
            <w:tcW w:w="1599" w:type="dxa"/>
            <w:tcBorders>
              <w:top w:val="nil"/>
              <w:left w:val="nil"/>
              <w:bottom w:val="nil"/>
              <w:right w:val="nil"/>
            </w:tcBorders>
            <w:shd w:val="clear" w:color="auto" w:fill="auto"/>
            <w:vAlign w:val="center"/>
            <w:hideMark/>
          </w:tcPr>
          <w:p w14:paraId="676B452E" w14:textId="77777777" w:rsidR="006F60AC" w:rsidRPr="00487834" w:rsidRDefault="006F60AC" w:rsidP="00F36A29">
            <w:pPr>
              <w:pStyle w:val="NoSpacing"/>
            </w:pPr>
            <w:r w:rsidRPr="00487834">
              <w:t>-0.0032 (0.004)</w:t>
            </w:r>
          </w:p>
        </w:tc>
        <w:tc>
          <w:tcPr>
            <w:tcW w:w="1300" w:type="dxa"/>
            <w:tcBorders>
              <w:top w:val="nil"/>
              <w:left w:val="nil"/>
              <w:bottom w:val="nil"/>
              <w:right w:val="nil"/>
            </w:tcBorders>
            <w:shd w:val="clear" w:color="auto" w:fill="auto"/>
            <w:vAlign w:val="center"/>
            <w:hideMark/>
          </w:tcPr>
          <w:p w14:paraId="1949EFEC" w14:textId="77777777" w:rsidR="006F60AC" w:rsidRPr="00487834" w:rsidRDefault="006F60AC" w:rsidP="00F36A29">
            <w:pPr>
              <w:pStyle w:val="NoSpacing"/>
            </w:pPr>
            <w:r w:rsidRPr="00487834">
              <w:t>-0.0156** (0.0066)</w:t>
            </w:r>
          </w:p>
        </w:tc>
        <w:tc>
          <w:tcPr>
            <w:tcW w:w="1300" w:type="dxa"/>
            <w:tcBorders>
              <w:top w:val="nil"/>
              <w:left w:val="nil"/>
              <w:bottom w:val="nil"/>
              <w:right w:val="nil"/>
            </w:tcBorders>
            <w:shd w:val="clear" w:color="auto" w:fill="auto"/>
            <w:vAlign w:val="center"/>
            <w:hideMark/>
          </w:tcPr>
          <w:p w14:paraId="4485EE07" w14:textId="77777777" w:rsidR="006F60AC" w:rsidRPr="00487834" w:rsidRDefault="006F60AC" w:rsidP="00F36A29">
            <w:pPr>
              <w:pStyle w:val="NoSpacing"/>
            </w:pPr>
            <w:r w:rsidRPr="00487834">
              <w:t>-0.148** (0.0614)</w:t>
            </w:r>
          </w:p>
        </w:tc>
        <w:tc>
          <w:tcPr>
            <w:tcW w:w="1300" w:type="dxa"/>
            <w:tcBorders>
              <w:top w:val="nil"/>
              <w:left w:val="nil"/>
              <w:bottom w:val="nil"/>
              <w:right w:val="nil"/>
            </w:tcBorders>
            <w:shd w:val="clear" w:color="auto" w:fill="auto"/>
            <w:vAlign w:val="center"/>
            <w:hideMark/>
          </w:tcPr>
          <w:p w14:paraId="61094C58" w14:textId="77777777" w:rsidR="006F60AC" w:rsidRPr="00487834" w:rsidRDefault="006F60AC" w:rsidP="00F36A29">
            <w:pPr>
              <w:pStyle w:val="NoSpacing"/>
            </w:pPr>
            <w:proofErr w:type="gramStart"/>
            <w:r w:rsidRPr="00487834">
              <w:t>0.003  (</w:t>
            </w:r>
            <w:proofErr w:type="gramEnd"/>
            <w:r w:rsidRPr="00487834">
              <w:t>0.0044)</w:t>
            </w:r>
          </w:p>
        </w:tc>
      </w:tr>
      <w:tr w:rsidR="006F60AC" w:rsidRPr="00487834" w14:paraId="571C71E6" w14:textId="77777777" w:rsidTr="006F60AC">
        <w:trPr>
          <w:trHeight w:val="580"/>
          <w:jc w:val="center"/>
        </w:trPr>
        <w:tc>
          <w:tcPr>
            <w:tcW w:w="1701" w:type="dxa"/>
            <w:tcBorders>
              <w:top w:val="nil"/>
              <w:left w:val="nil"/>
              <w:bottom w:val="nil"/>
              <w:right w:val="nil"/>
            </w:tcBorders>
            <w:shd w:val="clear" w:color="auto" w:fill="auto"/>
            <w:noWrap/>
            <w:vAlign w:val="center"/>
            <w:hideMark/>
          </w:tcPr>
          <w:p w14:paraId="17A3EB38" w14:textId="77777777" w:rsidR="006F60AC" w:rsidRPr="00487834" w:rsidRDefault="006F60AC" w:rsidP="00F36A29">
            <w:pPr>
              <w:pStyle w:val="NoSpacing"/>
              <w:rPr>
                <w:i/>
                <w:iCs/>
              </w:rPr>
            </w:pPr>
            <w:r w:rsidRPr="00487834">
              <w:rPr>
                <w:i/>
                <w:iCs/>
              </w:rPr>
              <w:t>ROA</w:t>
            </w:r>
          </w:p>
        </w:tc>
        <w:tc>
          <w:tcPr>
            <w:tcW w:w="1599" w:type="dxa"/>
            <w:tcBorders>
              <w:top w:val="nil"/>
              <w:left w:val="nil"/>
              <w:bottom w:val="nil"/>
              <w:right w:val="nil"/>
            </w:tcBorders>
            <w:shd w:val="clear" w:color="auto" w:fill="auto"/>
            <w:vAlign w:val="center"/>
            <w:hideMark/>
          </w:tcPr>
          <w:p w14:paraId="06838E20" w14:textId="77777777" w:rsidR="006F60AC" w:rsidRPr="00487834" w:rsidRDefault="006F60AC" w:rsidP="00F36A29">
            <w:pPr>
              <w:pStyle w:val="NoSpacing"/>
            </w:pPr>
            <w:r w:rsidRPr="00487834">
              <w:t>-0.002* (0.001)</w:t>
            </w:r>
          </w:p>
        </w:tc>
        <w:tc>
          <w:tcPr>
            <w:tcW w:w="1300" w:type="dxa"/>
            <w:tcBorders>
              <w:top w:val="nil"/>
              <w:left w:val="nil"/>
              <w:bottom w:val="nil"/>
              <w:right w:val="nil"/>
            </w:tcBorders>
            <w:shd w:val="clear" w:color="auto" w:fill="auto"/>
            <w:vAlign w:val="center"/>
            <w:hideMark/>
          </w:tcPr>
          <w:p w14:paraId="7FF01FBD" w14:textId="77777777" w:rsidR="006F60AC" w:rsidRPr="00487834" w:rsidRDefault="006F60AC" w:rsidP="00F36A29">
            <w:pPr>
              <w:pStyle w:val="NoSpacing"/>
            </w:pPr>
            <w:r w:rsidRPr="00487834">
              <w:t>-0.0003 (0.0014)</w:t>
            </w:r>
          </w:p>
        </w:tc>
        <w:tc>
          <w:tcPr>
            <w:tcW w:w="1300" w:type="dxa"/>
            <w:tcBorders>
              <w:top w:val="nil"/>
              <w:left w:val="nil"/>
              <w:bottom w:val="nil"/>
              <w:right w:val="nil"/>
            </w:tcBorders>
            <w:shd w:val="clear" w:color="auto" w:fill="auto"/>
            <w:vAlign w:val="center"/>
            <w:hideMark/>
          </w:tcPr>
          <w:p w14:paraId="39FE85C1" w14:textId="77777777" w:rsidR="006F60AC" w:rsidRPr="00487834" w:rsidRDefault="006F60AC" w:rsidP="00F36A29">
            <w:pPr>
              <w:pStyle w:val="NoSpacing"/>
            </w:pPr>
            <w:r w:rsidRPr="00487834">
              <w:t xml:space="preserve">-0.0005 </w:t>
            </w:r>
            <w:proofErr w:type="gramStart"/>
            <w:r w:rsidRPr="00487834">
              <w:t xml:space="preserve">   (</w:t>
            </w:r>
            <w:proofErr w:type="gramEnd"/>
            <w:r w:rsidRPr="00487834">
              <w:t>0.0016)</w:t>
            </w:r>
          </w:p>
        </w:tc>
        <w:tc>
          <w:tcPr>
            <w:tcW w:w="1300" w:type="dxa"/>
            <w:tcBorders>
              <w:top w:val="nil"/>
              <w:left w:val="nil"/>
              <w:bottom w:val="nil"/>
              <w:right w:val="nil"/>
            </w:tcBorders>
            <w:shd w:val="clear" w:color="auto" w:fill="auto"/>
            <w:vAlign w:val="center"/>
            <w:hideMark/>
          </w:tcPr>
          <w:p w14:paraId="745E0CC2" w14:textId="77777777" w:rsidR="006F60AC" w:rsidRPr="00487834" w:rsidRDefault="006F60AC" w:rsidP="00F36A29">
            <w:pPr>
              <w:pStyle w:val="NoSpacing"/>
            </w:pPr>
            <w:r w:rsidRPr="00487834">
              <w:t>-0.0064*** (0.0024)</w:t>
            </w:r>
          </w:p>
        </w:tc>
      </w:tr>
      <w:tr w:rsidR="006F60AC" w:rsidRPr="00487834" w14:paraId="1C697DE2" w14:textId="77777777" w:rsidTr="006F60AC">
        <w:trPr>
          <w:trHeight w:val="580"/>
          <w:jc w:val="center"/>
        </w:trPr>
        <w:tc>
          <w:tcPr>
            <w:tcW w:w="1701" w:type="dxa"/>
            <w:tcBorders>
              <w:top w:val="nil"/>
              <w:left w:val="nil"/>
              <w:bottom w:val="nil"/>
              <w:right w:val="nil"/>
            </w:tcBorders>
            <w:shd w:val="clear" w:color="auto" w:fill="auto"/>
            <w:noWrap/>
            <w:vAlign w:val="center"/>
            <w:hideMark/>
          </w:tcPr>
          <w:p w14:paraId="794A7552" w14:textId="77777777" w:rsidR="006F60AC" w:rsidRPr="00487834" w:rsidRDefault="006F60AC" w:rsidP="00F36A29">
            <w:pPr>
              <w:pStyle w:val="NoSpacing"/>
              <w:rPr>
                <w:i/>
                <w:iCs/>
              </w:rPr>
            </w:pPr>
            <w:r w:rsidRPr="00487834">
              <w:rPr>
                <w:i/>
                <w:iCs/>
              </w:rPr>
              <w:t>Current</w:t>
            </w:r>
          </w:p>
        </w:tc>
        <w:tc>
          <w:tcPr>
            <w:tcW w:w="1599" w:type="dxa"/>
            <w:tcBorders>
              <w:top w:val="nil"/>
              <w:left w:val="nil"/>
              <w:bottom w:val="nil"/>
              <w:right w:val="nil"/>
            </w:tcBorders>
            <w:shd w:val="clear" w:color="auto" w:fill="auto"/>
            <w:vAlign w:val="center"/>
            <w:hideMark/>
          </w:tcPr>
          <w:p w14:paraId="3883B2CA" w14:textId="77777777" w:rsidR="006F60AC" w:rsidRPr="00487834" w:rsidRDefault="006F60AC" w:rsidP="00F36A29">
            <w:pPr>
              <w:pStyle w:val="NoSpacing"/>
            </w:pPr>
            <w:r w:rsidRPr="00487834">
              <w:t>-0.0086*** (0.002)</w:t>
            </w:r>
          </w:p>
        </w:tc>
        <w:tc>
          <w:tcPr>
            <w:tcW w:w="1300" w:type="dxa"/>
            <w:tcBorders>
              <w:top w:val="nil"/>
              <w:left w:val="nil"/>
              <w:bottom w:val="nil"/>
              <w:right w:val="nil"/>
            </w:tcBorders>
            <w:shd w:val="clear" w:color="auto" w:fill="auto"/>
            <w:vAlign w:val="center"/>
            <w:hideMark/>
          </w:tcPr>
          <w:p w14:paraId="2F6ECDB8" w14:textId="77777777" w:rsidR="006F60AC" w:rsidRPr="00487834" w:rsidRDefault="006F60AC" w:rsidP="00F36A29">
            <w:pPr>
              <w:pStyle w:val="NoSpacing"/>
            </w:pPr>
            <w:r w:rsidRPr="00487834">
              <w:t>-0.0241* (0.0139)</w:t>
            </w:r>
          </w:p>
        </w:tc>
        <w:tc>
          <w:tcPr>
            <w:tcW w:w="1300" w:type="dxa"/>
            <w:tcBorders>
              <w:top w:val="nil"/>
              <w:left w:val="nil"/>
              <w:bottom w:val="nil"/>
              <w:right w:val="nil"/>
            </w:tcBorders>
            <w:shd w:val="clear" w:color="auto" w:fill="auto"/>
            <w:vAlign w:val="center"/>
            <w:hideMark/>
          </w:tcPr>
          <w:p w14:paraId="48D6D99E" w14:textId="77777777" w:rsidR="006F60AC" w:rsidRPr="00487834" w:rsidRDefault="006F60AC" w:rsidP="00F36A29">
            <w:pPr>
              <w:pStyle w:val="NoSpacing"/>
            </w:pPr>
            <w:r w:rsidRPr="00487834">
              <w:t xml:space="preserve">-0.1**    </w:t>
            </w:r>
            <w:proofErr w:type="gramStart"/>
            <w:r w:rsidRPr="00487834">
              <w:t xml:space="preserve">   (</w:t>
            </w:r>
            <w:proofErr w:type="gramEnd"/>
            <w:r w:rsidRPr="00487834">
              <w:t>0.005)</w:t>
            </w:r>
          </w:p>
        </w:tc>
        <w:tc>
          <w:tcPr>
            <w:tcW w:w="1300" w:type="dxa"/>
            <w:tcBorders>
              <w:top w:val="nil"/>
              <w:left w:val="nil"/>
              <w:bottom w:val="nil"/>
              <w:right w:val="nil"/>
            </w:tcBorders>
            <w:shd w:val="clear" w:color="auto" w:fill="auto"/>
            <w:vAlign w:val="center"/>
            <w:hideMark/>
          </w:tcPr>
          <w:p w14:paraId="75677111" w14:textId="77777777" w:rsidR="006F60AC" w:rsidRPr="00487834" w:rsidRDefault="006F60AC" w:rsidP="00F36A29">
            <w:pPr>
              <w:pStyle w:val="NoSpacing"/>
            </w:pPr>
            <w:r w:rsidRPr="00487834">
              <w:t>-0.0067 (0.009)</w:t>
            </w:r>
          </w:p>
        </w:tc>
      </w:tr>
      <w:tr w:rsidR="006F60AC" w:rsidRPr="00487834" w14:paraId="47675A08" w14:textId="77777777" w:rsidTr="006F60AC">
        <w:trPr>
          <w:trHeight w:val="560"/>
          <w:jc w:val="center"/>
        </w:trPr>
        <w:tc>
          <w:tcPr>
            <w:tcW w:w="1701" w:type="dxa"/>
            <w:tcBorders>
              <w:top w:val="nil"/>
              <w:left w:val="nil"/>
              <w:bottom w:val="nil"/>
              <w:right w:val="nil"/>
            </w:tcBorders>
            <w:shd w:val="clear" w:color="auto" w:fill="auto"/>
            <w:noWrap/>
            <w:vAlign w:val="center"/>
            <w:hideMark/>
          </w:tcPr>
          <w:p w14:paraId="160EFF60" w14:textId="77777777" w:rsidR="006F60AC" w:rsidRPr="00487834" w:rsidRDefault="006F60AC" w:rsidP="00F36A29">
            <w:pPr>
              <w:pStyle w:val="NoSpacing"/>
              <w:rPr>
                <w:i/>
                <w:iCs/>
              </w:rPr>
            </w:pPr>
            <w:r w:rsidRPr="00487834">
              <w:rPr>
                <w:i/>
                <w:iCs/>
              </w:rPr>
              <w:t>LEV</w:t>
            </w:r>
          </w:p>
        </w:tc>
        <w:tc>
          <w:tcPr>
            <w:tcW w:w="1599" w:type="dxa"/>
            <w:tcBorders>
              <w:top w:val="nil"/>
              <w:left w:val="nil"/>
              <w:bottom w:val="nil"/>
              <w:right w:val="nil"/>
            </w:tcBorders>
            <w:shd w:val="clear" w:color="auto" w:fill="auto"/>
            <w:vAlign w:val="center"/>
            <w:hideMark/>
          </w:tcPr>
          <w:p w14:paraId="5867C929" w14:textId="77777777" w:rsidR="006F60AC" w:rsidRPr="00487834" w:rsidRDefault="006F60AC" w:rsidP="00F36A29">
            <w:pPr>
              <w:pStyle w:val="NoSpacing"/>
            </w:pPr>
            <w:r w:rsidRPr="00487834">
              <w:t>0.00005953 (0.001)</w:t>
            </w:r>
          </w:p>
        </w:tc>
        <w:tc>
          <w:tcPr>
            <w:tcW w:w="1300" w:type="dxa"/>
            <w:tcBorders>
              <w:top w:val="nil"/>
              <w:left w:val="nil"/>
              <w:bottom w:val="nil"/>
              <w:right w:val="nil"/>
            </w:tcBorders>
            <w:shd w:val="clear" w:color="auto" w:fill="auto"/>
            <w:vAlign w:val="center"/>
            <w:hideMark/>
          </w:tcPr>
          <w:p w14:paraId="209D0815" w14:textId="77777777" w:rsidR="006F60AC" w:rsidRPr="00487834" w:rsidRDefault="006F60AC" w:rsidP="00F36A29">
            <w:pPr>
              <w:pStyle w:val="NoSpacing"/>
            </w:pPr>
            <w:r w:rsidRPr="00487834">
              <w:t>0.0002 (0.0013)</w:t>
            </w:r>
          </w:p>
        </w:tc>
        <w:tc>
          <w:tcPr>
            <w:tcW w:w="1300" w:type="dxa"/>
            <w:tcBorders>
              <w:top w:val="nil"/>
              <w:left w:val="nil"/>
              <w:bottom w:val="nil"/>
              <w:right w:val="nil"/>
            </w:tcBorders>
            <w:shd w:val="clear" w:color="auto" w:fill="auto"/>
            <w:vAlign w:val="center"/>
            <w:hideMark/>
          </w:tcPr>
          <w:p w14:paraId="434BCD78" w14:textId="77777777" w:rsidR="006F60AC" w:rsidRPr="00487834" w:rsidRDefault="006F60AC" w:rsidP="00F36A29">
            <w:pPr>
              <w:pStyle w:val="NoSpacing"/>
            </w:pPr>
            <w:r w:rsidRPr="00487834">
              <w:t xml:space="preserve">0.0007    </w:t>
            </w:r>
            <w:proofErr w:type="gramStart"/>
            <w:r w:rsidRPr="00487834">
              <w:t xml:space="preserve">   (</w:t>
            </w:r>
            <w:proofErr w:type="gramEnd"/>
            <w:r w:rsidRPr="00487834">
              <w:t>0.002)</w:t>
            </w:r>
          </w:p>
        </w:tc>
        <w:tc>
          <w:tcPr>
            <w:tcW w:w="1300" w:type="dxa"/>
            <w:tcBorders>
              <w:top w:val="nil"/>
              <w:left w:val="nil"/>
              <w:bottom w:val="nil"/>
              <w:right w:val="nil"/>
            </w:tcBorders>
            <w:shd w:val="clear" w:color="auto" w:fill="auto"/>
            <w:vAlign w:val="center"/>
            <w:hideMark/>
          </w:tcPr>
          <w:p w14:paraId="4E164524" w14:textId="77777777" w:rsidR="006F60AC" w:rsidRPr="00487834" w:rsidRDefault="006F60AC" w:rsidP="00F36A29">
            <w:pPr>
              <w:pStyle w:val="NoSpacing"/>
            </w:pPr>
            <w:r w:rsidRPr="00487834">
              <w:t>-0.0023 (0.0023)</w:t>
            </w:r>
          </w:p>
        </w:tc>
      </w:tr>
      <w:tr w:rsidR="006F60AC" w:rsidRPr="00487834" w14:paraId="46E11B1F" w14:textId="77777777" w:rsidTr="006F60AC">
        <w:trPr>
          <w:trHeight w:val="560"/>
          <w:jc w:val="center"/>
        </w:trPr>
        <w:tc>
          <w:tcPr>
            <w:tcW w:w="1701" w:type="dxa"/>
            <w:tcBorders>
              <w:top w:val="nil"/>
              <w:left w:val="nil"/>
              <w:bottom w:val="nil"/>
              <w:right w:val="nil"/>
            </w:tcBorders>
            <w:shd w:val="clear" w:color="auto" w:fill="auto"/>
            <w:noWrap/>
            <w:vAlign w:val="center"/>
            <w:hideMark/>
          </w:tcPr>
          <w:p w14:paraId="62F5CA95" w14:textId="77777777" w:rsidR="006F60AC" w:rsidRPr="00487834" w:rsidRDefault="006F60AC" w:rsidP="00F36A29">
            <w:pPr>
              <w:pStyle w:val="NoSpacing"/>
              <w:rPr>
                <w:i/>
                <w:iCs/>
              </w:rPr>
            </w:pPr>
            <w:r w:rsidRPr="00487834">
              <w:rPr>
                <w:i/>
                <w:iCs/>
              </w:rPr>
              <w:t>ND/EBITDA</w:t>
            </w:r>
          </w:p>
        </w:tc>
        <w:tc>
          <w:tcPr>
            <w:tcW w:w="1599" w:type="dxa"/>
            <w:tcBorders>
              <w:top w:val="nil"/>
              <w:left w:val="nil"/>
              <w:bottom w:val="nil"/>
              <w:right w:val="nil"/>
            </w:tcBorders>
            <w:shd w:val="clear" w:color="auto" w:fill="auto"/>
            <w:vAlign w:val="center"/>
            <w:hideMark/>
          </w:tcPr>
          <w:p w14:paraId="0A69A2A1" w14:textId="77777777" w:rsidR="006F60AC" w:rsidRPr="00487834" w:rsidRDefault="006F60AC" w:rsidP="00F36A29">
            <w:pPr>
              <w:pStyle w:val="NoSpacing"/>
            </w:pPr>
            <w:proofErr w:type="gramStart"/>
            <w:r w:rsidRPr="00487834">
              <w:t>0.0045  (</w:t>
            </w:r>
            <w:proofErr w:type="gramEnd"/>
            <w:r w:rsidRPr="00487834">
              <w:t>0.007)</w:t>
            </w:r>
          </w:p>
        </w:tc>
        <w:tc>
          <w:tcPr>
            <w:tcW w:w="1300" w:type="dxa"/>
            <w:tcBorders>
              <w:top w:val="nil"/>
              <w:left w:val="nil"/>
              <w:bottom w:val="nil"/>
              <w:right w:val="nil"/>
            </w:tcBorders>
            <w:shd w:val="clear" w:color="auto" w:fill="auto"/>
            <w:vAlign w:val="center"/>
            <w:hideMark/>
          </w:tcPr>
          <w:p w14:paraId="1190AE91" w14:textId="77777777" w:rsidR="006F60AC" w:rsidRPr="00487834" w:rsidRDefault="006F60AC" w:rsidP="00F36A29">
            <w:pPr>
              <w:pStyle w:val="NoSpacing"/>
            </w:pPr>
            <w:r w:rsidRPr="00487834">
              <w:t>-0.0212 (0.0251)</w:t>
            </w:r>
          </w:p>
        </w:tc>
        <w:tc>
          <w:tcPr>
            <w:tcW w:w="1300" w:type="dxa"/>
            <w:tcBorders>
              <w:top w:val="nil"/>
              <w:left w:val="nil"/>
              <w:bottom w:val="nil"/>
              <w:right w:val="nil"/>
            </w:tcBorders>
            <w:shd w:val="clear" w:color="auto" w:fill="auto"/>
            <w:vAlign w:val="center"/>
            <w:hideMark/>
          </w:tcPr>
          <w:p w14:paraId="7685AD5D" w14:textId="77777777" w:rsidR="006F60AC" w:rsidRPr="00487834" w:rsidRDefault="006F60AC" w:rsidP="00F36A29">
            <w:pPr>
              <w:pStyle w:val="NoSpacing"/>
            </w:pPr>
            <w:r w:rsidRPr="00487834">
              <w:t xml:space="preserve">0.007      </w:t>
            </w:r>
            <w:proofErr w:type="gramStart"/>
            <w:r w:rsidRPr="00487834">
              <w:t xml:space="preserve">   (</w:t>
            </w:r>
            <w:proofErr w:type="gramEnd"/>
            <w:r w:rsidRPr="00487834">
              <w:t>0.012)</w:t>
            </w:r>
          </w:p>
        </w:tc>
        <w:tc>
          <w:tcPr>
            <w:tcW w:w="1300" w:type="dxa"/>
            <w:tcBorders>
              <w:top w:val="nil"/>
              <w:left w:val="nil"/>
              <w:bottom w:val="nil"/>
              <w:right w:val="nil"/>
            </w:tcBorders>
            <w:shd w:val="clear" w:color="auto" w:fill="auto"/>
            <w:vAlign w:val="center"/>
            <w:hideMark/>
          </w:tcPr>
          <w:p w14:paraId="0158CDF0" w14:textId="77777777" w:rsidR="006F60AC" w:rsidRPr="00487834" w:rsidRDefault="006F60AC" w:rsidP="00F36A29">
            <w:pPr>
              <w:pStyle w:val="NoSpacing"/>
            </w:pPr>
            <w:proofErr w:type="gramStart"/>
            <w:r w:rsidRPr="00487834">
              <w:t>0.0222  (</w:t>
            </w:r>
            <w:proofErr w:type="gramEnd"/>
            <w:r w:rsidRPr="00487834">
              <w:t>0.161)</w:t>
            </w:r>
          </w:p>
        </w:tc>
      </w:tr>
      <w:tr w:rsidR="006F60AC" w:rsidRPr="00487834" w14:paraId="2AFEE0B3" w14:textId="77777777" w:rsidTr="006F60AC">
        <w:trPr>
          <w:trHeight w:val="560"/>
          <w:jc w:val="center"/>
        </w:trPr>
        <w:tc>
          <w:tcPr>
            <w:tcW w:w="1701" w:type="dxa"/>
            <w:tcBorders>
              <w:top w:val="nil"/>
              <w:left w:val="nil"/>
              <w:bottom w:val="single" w:sz="4" w:space="0" w:color="auto"/>
              <w:right w:val="nil"/>
            </w:tcBorders>
            <w:shd w:val="clear" w:color="auto" w:fill="auto"/>
            <w:noWrap/>
            <w:vAlign w:val="center"/>
            <w:hideMark/>
          </w:tcPr>
          <w:p w14:paraId="44DA512D" w14:textId="77777777" w:rsidR="006F60AC" w:rsidRPr="00487834" w:rsidRDefault="006F60AC" w:rsidP="00F36A29">
            <w:pPr>
              <w:pStyle w:val="NoSpacing"/>
              <w:rPr>
                <w:i/>
                <w:iCs/>
              </w:rPr>
            </w:pPr>
            <w:r w:rsidRPr="00487834">
              <w:rPr>
                <w:i/>
                <w:iCs/>
              </w:rPr>
              <w:t>TLPA</w:t>
            </w:r>
          </w:p>
        </w:tc>
        <w:tc>
          <w:tcPr>
            <w:tcW w:w="1599" w:type="dxa"/>
            <w:tcBorders>
              <w:top w:val="nil"/>
              <w:left w:val="nil"/>
              <w:bottom w:val="single" w:sz="4" w:space="0" w:color="auto"/>
              <w:right w:val="nil"/>
            </w:tcBorders>
            <w:shd w:val="clear" w:color="auto" w:fill="auto"/>
            <w:vAlign w:val="center"/>
            <w:hideMark/>
          </w:tcPr>
          <w:p w14:paraId="0668F348" w14:textId="77777777" w:rsidR="006F60AC" w:rsidRPr="00487834" w:rsidRDefault="006F60AC" w:rsidP="00F36A29">
            <w:pPr>
              <w:pStyle w:val="NoSpacing"/>
            </w:pPr>
            <w:r w:rsidRPr="00487834">
              <w:t>0.006*** (0.002)</w:t>
            </w:r>
          </w:p>
        </w:tc>
        <w:tc>
          <w:tcPr>
            <w:tcW w:w="1300" w:type="dxa"/>
            <w:tcBorders>
              <w:top w:val="nil"/>
              <w:left w:val="nil"/>
              <w:bottom w:val="single" w:sz="4" w:space="0" w:color="auto"/>
              <w:right w:val="nil"/>
            </w:tcBorders>
            <w:shd w:val="clear" w:color="auto" w:fill="auto"/>
            <w:vAlign w:val="center"/>
            <w:hideMark/>
          </w:tcPr>
          <w:p w14:paraId="0349D306" w14:textId="77777777" w:rsidR="006F60AC" w:rsidRPr="00487834" w:rsidRDefault="006F60AC" w:rsidP="00F36A29">
            <w:pPr>
              <w:pStyle w:val="NoSpacing"/>
            </w:pPr>
            <w:r w:rsidRPr="00487834">
              <w:t>-0.0004 (0.0015)</w:t>
            </w:r>
          </w:p>
        </w:tc>
        <w:tc>
          <w:tcPr>
            <w:tcW w:w="1300" w:type="dxa"/>
            <w:tcBorders>
              <w:top w:val="nil"/>
              <w:left w:val="nil"/>
              <w:bottom w:val="single" w:sz="4" w:space="0" w:color="auto"/>
              <w:right w:val="nil"/>
            </w:tcBorders>
            <w:shd w:val="clear" w:color="auto" w:fill="auto"/>
            <w:vAlign w:val="center"/>
            <w:hideMark/>
          </w:tcPr>
          <w:p w14:paraId="423133B1" w14:textId="77777777" w:rsidR="006F60AC" w:rsidRPr="00487834" w:rsidRDefault="006F60AC" w:rsidP="00F36A29">
            <w:pPr>
              <w:pStyle w:val="NoSpacing"/>
            </w:pPr>
            <w:r w:rsidRPr="00487834">
              <w:t xml:space="preserve">0.0035    </w:t>
            </w:r>
            <w:proofErr w:type="gramStart"/>
            <w:r w:rsidRPr="00487834">
              <w:t xml:space="preserve">   (</w:t>
            </w:r>
            <w:proofErr w:type="gramEnd"/>
            <w:r w:rsidRPr="00487834">
              <w:t>0.026)</w:t>
            </w:r>
          </w:p>
        </w:tc>
        <w:tc>
          <w:tcPr>
            <w:tcW w:w="1300" w:type="dxa"/>
            <w:tcBorders>
              <w:top w:val="nil"/>
              <w:left w:val="nil"/>
              <w:bottom w:val="single" w:sz="4" w:space="0" w:color="auto"/>
              <w:right w:val="nil"/>
            </w:tcBorders>
            <w:shd w:val="clear" w:color="auto" w:fill="auto"/>
            <w:vAlign w:val="center"/>
            <w:hideMark/>
          </w:tcPr>
          <w:p w14:paraId="7498F513" w14:textId="77777777" w:rsidR="006F60AC" w:rsidRPr="00487834" w:rsidRDefault="006F60AC" w:rsidP="00F36A29">
            <w:pPr>
              <w:pStyle w:val="NoSpacing"/>
            </w:pPr>
            <w:r w:rsidRPr="00487834">
              <w:t>0.013*** (0.0027)</w:t>
            </w:r>
          </w:p>
        </w:tc>
      </w:tr>
    </w:tbl>
    <w:p w14:paraId="0EFF042E" w14:textId="77777777" w:rsidR="00213022" w:rsidRPr="00487834" w:rsidRDefault="00050324" w:rsidP="003128F6">
      <w:pPr>
        <w:autoSpaceDE w:val="0"/>
        <w:autoSpaceDN w:val="0"/>
        <w:adjustRightInd w:val="0"/>
        <w:spacing w:line="300" w:lineRule="auto"/>
        <w:rPr>
          <w:rFonts w:eastAsiaTheme="minorHAnsi"/>
          <w:lang w:val="en-US" w:eastAsia="en-US"/>
        </w:rPr>
      </w:pPr>
      <w:r>
        <w:rPr>
          <w:rFonts w:eastAsiaTheme="minorHAnsi"/>
          <w:noProof/>
          <w:lang w:val="en-US" w:eastAsia="en-US"/>
        </w:rPr>
        <w:pict w14:anchorId="71E55D6A">
          <v:shapetype id="_x0000_t202" coordsize="21600,21600" o:spt="202" path="m,l,21600r21600,l21600,xe">
            <v:stroke joinstyle="miter"/>
            <v:path gradientshapeok="t" o:connecttype="rect"/>
          </v:shapetype>
          <v:shape id="Text Box 1" o:spid="_x0000_s1033" type="#_x0000_t202" alt="" style="position:absolute;left:0;text-align:left;margin-left:17.7pt;margin-top:12.6pt;width:419.25pt;height:41.25pt;z-index:251669504;visibility:visible;mso-wrap-style:square;mso-wrap-edited:f;mso-width-percent:0;mso-height-percent:0;mso-position-horizontal-relative:text;mso-position-vertical-relative:text;mso-width-percent:0;mso-height-percent:0;mso-width-relative:margin;mso-height-relative:margin;v-text-anchor:top" fillcolor="white [3201]">
            <v:textbox>
              <w:txbxContent>
                <w:p w14:paraId="321BD29B" w14:textId="77777777" w:rsidR="00F36A29" w:rsidRPr="00E5055A" w:rsidRDefault="00F36A29" w:rsidP="004F4DDE">
                  <w:pPr>
                    <w:spacing w:before="240"/>
                    <w:jc w:val="center"/>
                    <w:rPr>
                      <w:sz w:val="20"/>
                      <w:szCs w:val="20"/>
                      <w:lang w:val="en-US"/>
                    </w:rPr>
                  </w:pPr>
                  <w:r w:rsidRPr="00E5055A">
                    <w:rPr>
                      <w:sz w:val="20"/>
                      <w:szCs w:val="20"/>
                      <w:lang w:val="en-US"/>
                    </w:rPr>
                    <w:t>*** - significant at a 1% level, ** - significant at a 5% level, * - significant at a 10% level</w:t>
                  </w:r>
                </w:p>
              </w:txbxContent>
            </v:textbox>
          </v:shape>
        </w:pict>
      </w:r>
    </w:p>
    <w:p w14:paraId="68500152" w14:textId="77777777" w:rsidR="004F4DDE" w:rsidRPr="00487834" w:rsidRDefault="004F4DDE" w:rsidP="003128F6">
      <w:pPr>
        <w:autoSpaceDE w:val="0"/>
        <w:autoSpaceDN w:val="0"/>
        <w:adjustRightInd w:val="0"/>
        <w:spacing w:line="300" w:lineRule="auto"/>
        <w:rPr>
          <w:rFonts w:eastAsiaTheme="minorHAnsi"/>
          <w:lang w:val="en-US" w:eastAsia="en-US"/>
        </w:rPr>
      </w:pPr>
    </w:p>
    <w:p w14:paraId="604F91DC" w14:textId="77777777" w:rsidR="00CC074E" w:rsidRPr="00487834" w:rsidRDefault="00CC074E" w:rsidP="003128F6">
      <w:pPr>
        <w:autoSpaceDE w:val="0"/>
        <w:autoSpaceDN w:val="0"/>
        <w:adjustRightInd w:val="0"/>
        <w:spacing w:line="300" w:lineRule="auto"/>
        <w:rPr>
          <w:rFonts w:eastAsiaTheme="minorHAnsi"/>
          <w:lang w:val="en-US" w:eastAsia="en-US"/>
        </w:rPr>
      </w:pPr>
    </w:p>
    <w:p w14:paraId="679B946A" w14:textId="77777777" w:rsidR="00CC074E" w:rsidRPr="00487834" w:rsidRDefault="00CC074E" w:rsidP="003128F6">
      <w:pPr>
        <w:autoSpaceDE w:val="0"/>
        <w:autoSpaceDN w:val="0"/>
        <w:adjustRightInd w:val="0"/>
        <w:spacing w:line="300" w:lineRule="auto"/>
        <w:rPr>
          <w:rFonts w:eastAsiaTheme="minorHAnsi"/>
          <w:lang w:val="en-US" w:eastAsia="en-US"/>
        </w:rPr>
      </w:pPr>
    </w:p>
    <w:tbl>
      <w:tblPr>
        <w:tblW w:w="7200" w:type="dxa"/>
        <w:jc w:val="center"/>
        <w:tblLook w:val="04A0" w:firstRow="1" w:lastRow="0" w:firstColumn="1" w:lastColumn="0" w:noHBand="0" w:noVBand="1"/>
      </w:tblPr>
      <w:tblGrid>
        <w:gridCol w:w="2127"/>
        <w:gridCol w:w="1173"/>
        <w:gridCol w:w="1300"/>
        <w:gridCol w:w="1300"/>
        <w:gridCol w:w="1300"/>
      </w:tblGrid>
      <w:tr w:rsidR="00CF248F" w:rsidRPr="00487834" w14:paraId="52BCC5ED" w14:textId="77777777" w:rsidTr="00A83D58">
        <w:trPr>
          <w:trHeight w:val="580"/>
          <w:jc w:val="center"/>
        </w:trPr>
        <w:tc>
          <w:tcPr>
            <w:tcW w:w="2127" w:type="dxa"/>
            <w:tcBorders>
              <w:top w:val="single" w:sz="4" w:space="0" w:color="auto"/>
              <w:left w:val="nil"/>
              <w:bottom w:val="nil"/>
              <w:right w:val="nil"/>
            </w:tcBorders>
            <w:shd w:val="clear" w:color="auto" w:fill="auto"/>
            <w:noWrap/>
            <w:vAlign w:val="center"/>
            <w:hideMark/>
          </w:tcPr>
          <w:p w14:paraId="56998B23" w14:textId="77777777" w:rsidR="00CF248F" w:rsidRPr="00487834" w:rsidRDefault="00CF248F" w:rsidP="00205E8B">
            <w:pPr>
              <w:pStyle w:val="NoSpacing"/>
              <w:jc w:val="left"/>
            </w:pPr>
            <w:r w:rsidRPr="00487834">
              <w:t xml:space="preserve">Type </w:t>
            </w:r>
            <w:proofErr w:type="spellStart"/>
            <w:r w:rsidRPr="00487834">
              <w:t>of</w:t>
            </w:r>
            <w:proofErr w:type="spellEnd"/>
            <w:r w:rsidRPr="00487834">
              <w:t xml:space="preserve"> </w:t>
            </w:r>
            <w:proofErr w:type="spellStart"/>
            <w:r w:rsidRPr="00487834">
              <w:t>model</w:t>
            </w:r>
            <w:proofErr w:type="spellEnd"/>
          </w:p>
        </w:tc>
        <w:tc>
          <w:tcPr>
            <w:tcW w:w="1173" w:type="dxa"/>
            <w:tcBorders>
              <w:top w:val="single" w:sz="4" w:space="0" w:color="auto"/>
              <w:left w:val="nil"/>
              <w:bottom w:val="nil"/>
              <w:right w:val="nil"/>
            </w:tcBorders>
            <w:shd w:val="clear" w:color="auto" w:fill="auto"/>
            <w:vAlign w:val="center"/>
            <w:hideMark/>
          </w:tcPr>
          <w:p w14:paraId="5B7B9561" w14:textId="77777777" w:rsidR="00CF248F" w:rsidRPr="00487834" w:rsidRDefault="00CF248F" w:rsidP="00205E8B">
            <w:pPr>
              <w:pStyle w:val="NoSpacing"/>
              <w:rPr>
                <w:color w:val="000000"/>
                <w:sz w:val="20"/>
                <w:szCs w:val="20"/>
              </w:rPr>
            </w:pPr>
            <w:proofErr w:type="spellStart"/>
            <w:r w:rsidRPr="00487834">
              <w:rPr>
                <w:color w:val="000000"/>
                <w:sz w:val="20"/>
                <w:szCs w:val="20"/>
              </w:rPr>
              <w:t>Fixed</w:t>
            </w:r>
            <w:proofErr w:type="spellEnd"/>
          </w:p>
        </w:tc>
        <w:tc>
          <w:tcPr>
            <w:tcW w:w="1300" w:type="dxa"/>
            <w:tcBorders>
              <w:top w:val="single" w:sz="4" w:space="0" w:color="auto"/>
              <w:left w:val="nil"/>
              <w:bottom w:val="nil"/>
              <w:right w:val="nil"/>
            </w:tcBorders>
            <w:shd w:val="clear" w:color="auto" w:fill="auto"/>
            <w:vAlign w:val="center"/>
            <w:hideMark/>
          </w:tcPr>
          <w:p w14:paraId="2F1E9802" w14:textId="77777777" w:rsidR="00CF248F" w:rsidRPr="00487834" w:rsidRDefault="00CF248F" w:rsidP="00205E8B">
            <w:pPr>
              <w:pStyle w:val="NoSpacing"/>
              <w:rPr>
                <w:color w:val="000000"/>
                <w:sz w:val="20"/>
                <w:szCs w:val="20"/>
              </w:rPr>
            </w:pPr>
            <w:proofErr w:type="spellStart"/>
            <w:r w:rsidRPr="00487834">
              <w:rPr>
                <w:color w:val="000000"/>
                <w:sz w:val="20"/>
                <w:szCs w:val="20"/>
              </w:rPr>
              <w:t>Random</w:t>
            </w:r>
            <w:proofErr w:type="spellEnd"/>
          </w:p>
        </w:tc>
        <w:tc>
          <w:tcPr>
            <w:tcW w:w="1300" w:type="dxa"/>
            <w:tcBorders>
              <w:top w:val="single" w:sz="4" w:space="0" w:color="auto"/>
              <w:left w:val="nil"/>
              <w:bottom w:val="nil"/>
              <w:right w:val="nil"/>
            </w:tcBorders>
            <w:shd w:val="clear" w:color="auto" w:fill="auto"/>
            <w:vAlign w:val="center"/>
            <w:hideMark/>
          </w:tcPr>
          <w:p w14:paraId="43BA6289" w14:textId="77777777" w:rsidR="00CF248F" w:rsidRPr="00487834" w:rsidRDefault="00CF248F" w:rsidP="00205E8B">
            <w:pPr>
              <w:pStyle w:val="NoSpacing"/>
              <w:rPr>
                <w:color w:val="000000"/>
                <w:sz w:val="20"/>
                <w:szCs w:val="20"/>
              </w:rPr>
            </w:pPr>
            <w:proofErr w:type="spellStart"/>
            <w:r w:rsidRPr="00487834">
              <w:rPr>
                <w:color w:val="000000"/>
                <w:sz w:val="20"/>
                <w:szCs w:val="20"/>
              </w:rPr>
              <w:t>Fixed</w:t>
            </w:r>
            <w:proofErr w:type="spellEnd"/>
          </w:p>
        </w:tc>
        <w:tc>
          <w:tcPr>
            <w:tcW w:w="1300" w:type="dxa"/>
            <w:tcBorders>
              <w:top w:val="single" w:sz="4" w:space="0" w:color="auto"/>
              <w:left w:val="nil"/>
              <w:bottom w:val="nil"/>
              <w:right w:val="nil"/>
            </w:tcBorders>
            <w:shd w:val="clear" w:color="auto" w:fill="auto"/>
            <w:vAlign w:val="center"/>
            <w:hideMark/>
          </w:tcPr>
          <w:p w14:paraId="60630B7E" w14:textId="77777777" w:rsidR="00CF248F" w:rsidRPr="00487834" w:rsidRDefault="00CF248F" w:rsidP="00205E8B">
            <w:pPr>
              <w:pStyle w:val="NoSpacing"/>
              <w:rPr>
                <w:color w:val="000000"/>
                <w:sz w:val="20"/>
                <w:szCs w:val="20"/>
              </w:rPr>
            </w:pPr>
            <w:proofErr w:type="spellStart"/>
            <w:r w:rsidRPr="00487834">
              <w:rPr>
                <w:color w:val="000000"/>
                <w:sz w:val="20"/>
                <w:szCs w:val="20"/>
              </w:rPr>
              <w:t>Fixed</w:t>
            </w:r>
            <w:proofErr w:type="spellEnd"/>
          </w:p>
        </w:tc>
      </w:tr>
      <w:tr w:rsidR="00CF248F" w:rsidRPr="00487834" w14:paraId="2EF5A9CC" w14:textId="77777777" w:rsidTr="00A83D58">
        <w:trPr>
          <w:trHeight w:val="560"/>
          <w:jc w:val="center"/>
        </w:trPr>
        <w:tc>
          <w:tcPr>
            <w:tcW w:w="2127" w:type="dxa"/>
            <w:tcBorders>
              <w:top w:val="nil"/>
              <w:left w:val="nil"/>
              <w:bottom w:val="nil"/>
              <w:right w:val="nil"/>
            </w:tcBorders>
            <w:shd w:val="clear" w:color="auto" w:fill="auto"/>
            <w:noWrap/>
            <w:vAlign w:val="center"/>
            <w:hideMark/>
          </w:tcPr>
          <w:p w14:paraId="2F01F72E" w14:textId="77777777" w:rsidR="00CF248F" w:rsidRPr="00487834" w:rsidRDefault="00CF248F" w:rsidP="00205E8B">
            <w:pPr>
              <w:pStyle w:val="NoSpacing"/>
              <w:jc w:val="left"/>
            </w:pPr>
            <w:r w:rsidRPr="00487834">
              <w:t xml:space="preserve">N </w:t>
            </w:r>
            <w:proofErr w:type="spellStart"/>
            <w:r w:rsidRPr="00487834">
              <w:t>of</w:t>
            </w:r>
            <w:proofErr w:type="spellEnd"/>
            <w:r w:rsidRPr="00487834">
              <w:t xml:space="preserve"> </w:t>
            </w:r>
            <w:proofErr w:type="spellStart"/>
            <w:r w:rsidRPr="00487834">
              <w:t>obs</w:t>
            </w:r>
            <w:proofErr w:type="spellEnd"/>
            <w:r w:rsidRPr="00487834">
              <w:t>.</w:t>
            </w:r>
          </w:p>
        </w:tc>
        <w:tc>
          <w:tcPr>
            <w:tcW w:w="1173" w:type="dxa"/>
            <w:tcBorders>
              <w:top w:val="nil"/>
              <w:left w:val="nil"/>
              <w:bottom w:val="nil"/>
              <w:right w:val="nil"/>
            </w:tcBorders>
            <w:shd w:val="clear" w:color="auto" w:fill="auto"/>
            <w:vAlign w:val="center"/>
            <w:hideMark/>
          </w:tcPr>
          <w:p w14:paraId="797470A1" w14:textId="77777777" w:rsidR="00CF248F" w:rsidRPr="00487834" w:rsidRDefault="00CF248F" w:rsidP="00205E8B">
            <w:pPr>
              <w:pStyle w:val="NoSpacing"/>
              <w:rPr>
                <w:color w:val="000000"/>
                <w:sz w:val="20"/>
                <w:szCs w:val="20"/>
              </w:rPr>
            </w:pPr>
            <w:r w:rsidRPr="00487834">
              <w:rPr>
                <w:color w:val="000000"/>
                <w:sz w:val="20"/>
                <w:szCs w:val="20"/>
              </w:rPr>
              <w:t>1192</w:t>
            </w:r>
          </w:p>
        </w:tc>
        <w:tc>
          <w:tcPr>
            <w:tcW w:w="1300" w:type="dxa"/>
            <w:tcBorders>
              <w:top w:val="nil"/>
              <w:left w:val="nil"/>
              <w:bottom w:val="nil"/>
              <w:right w:val="nil"/>
            </w:tcBorders>
            <w:shd w:val="clear" w:color="auto" w:fill="auto"/>
            <w:vAlign w:val="center"/>
            <w:hideMark/>
          </w:tcPr>
          <w:p w14:paraId="0311D74A" w14:textId="77777777" w:rsidR="00CF248F" w:rsidRPr="00487834" w:rsidRDefault="00CF248F" w:rsidP="00205E8B">
            <w:pPr>
              <w:pStyle w:val="NoSpacing"/>
              <w:rPr>
                <w:color w:val="000000"/>
                <w:sz w:val="20"/>
                <w:szCs w:val="20"/>
              </w:rPr>
            </w:pPr>
            <w:r w:rsidRPr="00487834">
              <w:rPr>
                <w:color w:val="000000"/>
                <w:sz w:val="20"/>
                <w:szCs w:val="20"/>
              </w:rPr>
              <w:t>297</w:t>
            </w:r>
          </w:p>
        </w:tc>
        <w:tc>
          <w:tcPr>
            <w:tcW w:w="1300" w:type="dxa"/>
            <w:tcBorders>
              <w:top w:val="nil"/>
              <w:left w:val="nil"/>
              <w:bottom w:val="nil"/>
              <w:right w:val="nil"/>
            </w:tcBorders>
            <w:shd w:val="clear" w:color="auto" w:fill="auto"/>
            <w:vAlign w:val="center"/>
            <w:hideMark/>
          </w:tcPr>
          <w:p w14:paraId="5E7CDCAA" w14:textId="77777777" w:rsidR="00CF248F" w:rsidRPr="00487834" w:rsidRDefault="00CF248F" w:rsidP="00205E8B">
            <w:pPr>
              <w:pStyle w:val="NoSpacing"/>
              <w:rPr>
                <w:color w:val="000000"/>
                <w:sz w:val="20"/>
                <w:szCs w:val="20"/>
              </w:rPr>
            </w:pPr>
            <w:r w:rsidRPr="00487834">
              <w:rPr>
                <w:color w:val="000000"/>
                <w:sz w:val="20"/>
                <w:szCs w:val="20"/>
              </w:rPr>
              <w:t>595</w:t>
            </w:r>
          </w:p>
        </w:tc>
        <w:tc>
          <w:tcPr>
            <w:tcW w:w="1300" w:type="dxa"/>
            <w:tcBorders>
              <w:top w:val="nil"/>
              <w:left w:val="nil"/>
              <w:bottom w:val="nil"/>
              <w:right w:val="nil"/>
            </w:tcBorders>
            <w:shd w:val="clear" w:color="auto" w:fill="auto"/>
            <w:vAlign w:val="center"/>
            <w:hideMark/>
          </w:tcPr>
          <w:p w14:paraId="772A5B18" w14:textId="77777777" w:rsidR="00CF248F" w:rsidRPr="00487834" w:rsidRDefault="00CF248F" w:rsidP="00205E8B">
            <w:pPr>
              <w:pStyle w:val="NoSpacing"/>
              <w:rPr>
                <w:color w:val="000000"/>
                <w:sz w:val="20"/>
                <w:szCs w:val="20"/>
              </w:rPr>
            </w:pPr>
            <w:r w:rsidRPr="00487834">
              <w:rPr>
                <w:color w:val="000000"/>
                <w:sz w:val="20"/>
                <w:szCs w:val="20"/>
              </w:rPr>
              <w:t>299</w:t>
            </w:r>
          </w:p>
        </w:tc>
      </w:tr>
      <w:tr w:rsidR="00CF248F" w:rsidRPr="00487834" w14:paraId="2CE2F228" w14:textId="77777777" w:rsidTr="00A83D58">
        <w:trPr>
          <w:trHeight w:val="580"/>
          <w:jc w:val="center"/>
        </w:trPr>
        <w:tc>
          <w:tcPr>
            <w:tcW w:w="2127" w:type="dxa"/>
            <w:tcBorders>
              <w:top w:val="nil"/>
              <w:left w:val="nil"/>
              <w:bottom w:val="nil"/>
              <w:right w:val="nil"/>
            </w:tcBorders>
            <w:shd w:val="clear" w:color="auto" w:fill="auto"/>
            <w:noWrap/>
            <w:vAlign w:val="center"/>
            <w:hideMark/>
          </w:tcPr>
          <w:p w14:paraId="217FB72D" w14:textId="77777777" w:rsidR="00CF248F" w:rsidRPr="00487834" w:rsidRDefault="00CF248F" w:rsidP="00205E8B">
            <w:pPr>
              <w:pStyle w:val="NoSpacing"/>
              <w:jc w:val="left"/>
            </w:pPr>
            <w:r w:rsidRPr="00487834">
              <w:lastRenderedPageBreak/>
              <w:t>R-</w:t>
            </w:r>
            <w:proofErr w:type="spellStart"/>
            <w:r w:rsidRPr="00487834">
              <w:t>sq</w:t>
            </w:r>
            <w:proofErr w:type="spellEnd"/>
            <w:r w:rsidRPr="00487834">
              <w:t>.</w:t>
            </w:r>
          </w:p>
        </w:tc>
        <w:tc>
          <w:tcPr>
            <w:tcW w:w="1173" w:type="dxa"/>
            <w:tcBorders>
              <w:top w:val="nil"/>
              <w:left w:val="nil"/>
              <w:bottom w:val="nil"/>
              <w:right w:val="nil"/>
            </w:tcBorders>
            <w:shd w:val="clear" w:color="auto" w:fill="auto"/>
            <w:vAlign w:val="center"/>
            <w:hideMark/>
          </w:tcPr>
          <w:p w14:paraId="3BA2F870" w14:textId="77777777" w:rsidR="00CF248F" w:rsidRPr="00487834" w:rsidRDefault="00CF248F" w:rsidP="00205E8B">
            <w:pPr>
              <w:pStyle w:val="NoSpacing"/>
              <w:rPr>
                <w:color w:val="000000"/>
                <w:sz w:val="20"/>
                <w:szCs w:val="20"/>
              </w:rPr>
            </w:pPr>
            <w:r w:rsidRPr="00487834">
              <w:rPr>
                <w:color w:val="000000"/>
                <w:sz w:val="20"/>
                <w:szCs w:val="20"/>
              </w:rPr>
              <w:t>0.402</w:t>
            </w:r>
          </w:p>
        </w:tc>
        <w:tc>
          <w:tcPr>
            <w:tcW w:w="1300" w:type="dxa"/>
            <w:tcBorders>
              <w:top w:val="nil"/>
              <w:left w:val="nil"/>
              <w:bottom w:val="nil"/>
              <w:right w:val="nil"/>
            </w:tcBorders>
            <w:shd w:val="clear" w:color="auto" w:fill="auto"/>
            <w:vAlign w:val="center"/>
            <w:hideMark/>
          </w:tcPr>
          <w:p w14:paraId="7621B847" w14:textId="77777777" w:rsidR="00CF248F" w:rsidRPr="00487834" w:rsidRDefault="00CF248F" w:rsidP="00205E8B">
            <w:pPr>
              <w:pStyle w:val="NoSpacing"/>
              <w:rPr>
                <w:color w:val="000000"/>
                <w:sz w:val="20"/>
                <w:szCs w:val="20"/>
              </w:rPr>
            </w:pPr>
            <w:r w:rsidRPr="00487834">
              <w:rPr>
                <w:color w:val="000000"/>
                <w:sz w:val="20"/>
                <w:szCs w:val="20"/>
              </w:rPr>
              <w:t>0.077</w:t>
            </w:r>
          </w:p>
        </w:tc>
        <w:tc>
          <w:tcPr>
            <w:tcW w:w="1300" w:type="dxa"/>
            <w:tcBorders>
              <w:top w:val="nil"/>
              <w:left w:val="nil"/>
              <w:bottom w:val="nil"/>
              <w:right w:val="nil"/>
            </w:tcBorders>
            <w:shd w:val="clear" w:color="auto" w:fill="auto"/>
            <w:vAlign w:val="center"/>
            <w:hideMark/>
          </w:tcPr>
          <w:p w14:paraId="06A76299" w14:textId="77777777" w:rsidR="00CF248F" w:rsidRPr="00487834" w:rsidRDefault="00CF248F" w:rsidP="00205E8B">
            <w:pPr>
              <w:pStyle w:val="NoSpacing"/>
              <w:rPr>
                <w:color w:val="000000"/>
                <w:sz w:val="20"/>
                <w:szCs w:val="20"/>
              </w:rPr>
            </w:pPr>
            <w:r w:rsidRPr="00487834">
              <w:rPr>
                <w:color w:val="000000"/>
                <w:sz w:val="20"/>
                <w:szCs w:val="20"/>
              </w:rPr>
              <w:t>0.445</w:t>
            </w:r>
          </w:p>
        </w:tc>
        <w:tc>
          <w:tcPr>
            <w:tcW w:w="1300" w:type="dxa"/>
            <w:tcBorders>
              <w:top w:val="nil"/>
              <w:left w:val="nil"/>
              <w:bottom w:val="nil"/>
              <w:right w:val="nil"/>
            </w:tcBorders>
            <w:shd w:val="clear" w:color="auto" w:fill="auto"/>
            <w:vAlign w:val="center"/>
            <w:hideMark/>
          </w:tcPr>
          <w:p w14:paraId="5E7E4326" w14:textId="77777777" w:rsidR="00CF248F" w:rsidRPr="00487834" w:rsidRDefault="00CF248F" w:rsidP="00205E8B">
            <w:pPr>
              <w:pStyle w:val="NoSpacing"/>
              <w:rPr>
                <w:color w:val="000000"/>
                <w:sz w:val="20"/>
                <w:szCs w:val="20"/>
              </w:rPr>
            </w:pPr>
            <w:r w:rsidRPr="00487834">
              <w:rPr>
                <w:color w:val="000000"/>
                <w:sz w:val="20"/>
                <w:szCs w:val="20"/>
              </w:rPr>
              <w:t>0.613</w:t>
            </w:r>
          </w:p>
        </w:tc>
      </w:tr>
      <w:tr w:rsidR="00CF248F" w:rsidRPr="00487834" w14:paraId="27A19A55" w14:textId="77777777" w:rsidTr="00A83D58">
        <w:trPr>
          <w:trHeight w:val="560"/>
          <w:jc w:val="center"/>
        </w:trPr>
        <w:tc>
          <w:tcPr>
            <w:tcW w:w="2127" w:type="dxa"/>
            <w:tcBorders>
              <w:top w:val="nil"/>
              <w:left w:val="nil"/>
              <w:bottom w:val="nil"/>
              <w:right w:val="nil"/>
            </w:tcBorders>
            <w:shd w:val="clear" w:color="auto" w:fill="auto"/>
            <w:noWrap/>
            <w:vAlign w:val="center"/>
            <w:hideMark/>
          </w:tcPr>
          <w:p w14:paraId="1970AAD8" w14:textId="77777777" w:rsidR="00CF248F" w:rsidRPr="00487834" w:rsidRDefault="00CF248F" w:rsidP="00205E8B">
            <w:pPr>
              <w:pStyle w:val="NoSpacing"/>
              <w:jc w:val="left"/>
            </w:pPr>
            <w:proofErr w:type="spellStart"/>
            <w:r w:rsidRPr="00487834">
              <w:t>Adj</w:t>
            </w:r>
            <w:proofErr w:type="spellEnd"/>
            <w:r w:rsidRPr="00487834">
              <w:t>. R-</w:t>
            </w:r>
            <w:proofErr w:type="spellStart"/>
            <w:r w:rsidRPr="00487834">
              <w:t>sq</w:t>
            </w:r>
            <w:proofErr w:type="spellEnd"/>
            <w:r w:rsidRPr="00487834">
              <w:t>.</w:t>
            </w:r>
          </w:p>
        </w:tc>
        <w:tc>
          <w:tcPr>
            <w:tcW w:w="1173" w:type="dxa"/>
            <w:tcBorders>
              <w:top w:val="nil"/>
              <w:left w:val="nil"/>
              <w:bottom w:val="nil"/>
              <w:right w:val="nil"/>
            </w:tcBorders>
            <w:shd w:val="clear" w:color="auto" w:fill="auto"/>
            <w:vAlign w:val="center"/>
            <w:hideMark/>
          </w:tcPr>
          <w:p w14:paraId="1256F0CC" w14:textId="77777777" w:rsidR="00CF248F" w:rsidRPr="00487834" w:rsidRDefault="00CF248F" w:rsidP="00205E8B">
            <w:pPr>
              <w:pStyle w:val="NoSpacing"/>
              <w:rPr>
                <w:color w:val="000000"/>
                <w:sz w:val="20"/>
                <w:szCs w:val="20"/>
              </w:rPr>
            </w:pPr>
            <w:r w:rsidRPr="00487834">
              <w:rPr>
                <w:color w:val="000000"/>
                <w:sz w:val="20"/>
                <w:szCs w:val="20"/>
              </w:rPr>
              <w:t>0.277</w:t>
            </w:r>
          </w:p>
        </w:tc>
        <w:tc>
          <w:tcPr>
            <w:tcW w:w="1300" w:type="dxa"/>
            <w:tcBorders>
              <w:top w:val="nil"/>
              <w:left w:val="nil"/>
              <w:bottom w:val="nil"/>
              <w:right w:val="nil"/>
            </w:tcBorders>
            <w:shd w:val="clear" w:color="auto" w:fill="auto"/>
            <w:vAlign w:val="center"/>
            <w:hideMark/>
          </w:tcPr>
          <w:p w14:paraId="2C606ACC" w14:textId="77777777" w:rsidR="00CF248F" w:rsidRPr="00487834" w:rsidRDefault="00CF248F" w:rsidP="00205E8B">
            <w:pPr>
              <w:pStyle w:val="NoSpacing"/>
              <w:rPr>
                <w:color w:val="000000"/>
                <w:sz w:val="20"/>
                <w:szCs w:val="20"/>
              </w:rPr>
            </w:pPr>
            <w:r w:rsidRPr="00487834">
              <w:rPr>
                <w:color w:val="000000"/>
                <w:sz w:val="20"/>
                <w:szCs w:val="20"/>
              </w:rPr>
              <w:t>-</w:t>
            </w:r>
          </w:p>
        </w:tc>
        <w:tc>
          <w:tcPr>
            <w:tcW w:w="1300" w:type="dxa"/>
            <w:tcBorders>
              <w:top w:val="nil"/>
              <w:left w:val="nil"/>
              <w:bottom w:val="nil"/>
              <w:right w:val="nil"/>
            </w:tcBorders>
            <w:shd w:val="clear" w:color="auto" w:fill="auto"/>
            <w:vAlign w:val="center"/>
            <w:hideMark/>
          </w:tcPr>
          <w:p w14:paraId="09EDDFCA" w14:textId="77777777" w:rsidR="00CF248F" w:rsidRPr="00487834" w:rsidRDefault="00CF248F" w:rsidP="00205E8B">
            <w:pPr>
              <w:pStyle w:val="NoSpacing"/>
              <w:rPr>
                <w:color w:val="000000"/>
                <w:sz w:val="20"/>
                <w:szCs w:val="20"/>
              </w:rPr>
            </w:pPr>
            <w:r w:rsidRPr="00487834">
              <w:rPr>
                <w:color w:val="000000"/>
                <w:sz w:val="20"/>
                <w:szCs w:val="20"/>
              </w:rPr>
              <w:t>0.254</w:t>
            </w:r>
          </w:p>
        </w:tc>
        <w:tc>
          <w:tcPr>
            <w:tcW w:w="1300" w:type="dxa"/>
            <w:tcBorders>
              <w:top w:val="nil"/>
              <w:left w:val="nil"/>
              <w:bottom w:val="nil"/>
              <w:right w:val="nil"/>
            </w:tcBorders>
            <w:shd w:val="clear" w:color="auto" w:fill="auto"/>
            <w:vAlign w:val="center"/>
            <w:hideMark/>
          </w:tcPr>
          <w:p w14:paraId="05AF0D65" w14:textId="77777777" w:rsidR="00CF248F" w:rsidRPr="00487834" w:rsidRDefault="00CF248F" w:rsidP="00205E8B">
            <w:pPr>
              <w:pStyle w:val="NoSpacing"/>
              <w:rPr>
                <w:color w:val="000000"/>
                <w:sz w:val="20"/>
                <w:szCs w:val="20"/>
              </w:rPr>
            </w:pPr>
            <w:r w:rsidRPr="00487834">
              <w:rPr>
                <w:color w:val="000000"/>
                <w:sz w:val="20"/>
                <w:szCs w:val="20"/>
              </w:rPr>
              <w:t>0.39</w:t>
            </w:r>
          </w:p>
        </w:tc>
      </w:tr>
      <w:tr w:rsidR="00CF248F" w:rsidRPr="00487834" w14:paraId="1757CA76" w14:textId="77777777" w:rsidTr="00A83D58">
        <w:trPr>
          <w:trHeight w:val="540"/>
          <w:jc w:val="center"/>
        </w:trPr>
        <w:tc>
          <w:tcPr>
            <w:tcW w:w="2127" w:type="dxa"/>
            <w:tcBorders>
              <w:top w:val="nil"/>
              <w:left w:val="nil"/>
              <w:bottom w:val="nil"/>
              <w:right w:val="nil"/>
            </w:tcBorders>
            <w:shd w:val="clear" w:color="auto" w:fill="auto"/>
            <w:noWrap/>
            <w:vAlign w:val="center"/>
            <w:hideMark/>
          </w:tcPr>
          <w:p w14:paraId="7DAA8305" w14:textId="77777777" w:rsidR="00CF248F" w:rsidRPr="00487834" w:rsidRDefault="00CF248F" w:rsidP="00205E8B">
            <w:pPr>
              <w:pStyle w:val="NoSpacing"/>
              <w:jc w:val="left"/>
            </w:pPr>
            <w:r w:rsidRPr="00487834">
              <w:t xml:space="preserve">Year </w:t>
            </w:r>
            <w:proofErr w:type="spellStart"/>
            <w:r w:rsidRPr="00487834">
              <w:t>effects</w:t>
            </w:r>
            <w:proofErr w:type="spellEnd"/>
          </w:p>
        </w:tc>
        <w:tc>
          <w:tcPr>
            <w:tcW w:w="1173" w:type="dxa"/>
            <w:tcBorders>
              <w:top w:val="nil"/>
              <w:left w:val="nil"/>
              <w:bottom w:val="nil"/>
              <w:right w:val="nil"/>
            </w:tcBorders>
            <w:shd w:val="clear" w:color="auto" w:fill="auto"/>
            <w:vAlign w:val="center"/>
            <w:hideMark/>
          </w:tcPr>
          <w:p w14:paraId="11715659" w14:textId="77777777" w:rsidR="00CF248F" w:rsidRPr="00487834" w:rsidRDefault="00CF248F" w:rsidP="00205E8B">
            <w:pPr>
              <w:pStyle w:val="NoSpacing"/>
              <w:rPr>
                <w:color w:val="000000"/>
                <w:sz w:val="20"/>
                <w:szCs w:val="20"/>
              </w:rPr>
            </w:pPr>
            <w:r w:rsidRPr="00487834">
              <w:rPr>
                <w:color w:val="000000"/>
                <w:sz w:val="20"/>
                <w:szCs w:val="20"/>
              </w:rPr>
              <w:t>Yes</w:t>
            </w:r>
          </w:p>
        </w:tc>
        <w:tc>
          <w:tcPr>
            <w:tcW w:w="1300" w:type="dxa"/>
            <w:tcBorders>
              <w:top w:val="nil"/>
              <w:left w:val="nil"/>
              <w:bottom w:val="nil"/>
              <w:right w:val="nil"/>
            </w:tcBorders>
            <w:shd w:val="clear" w:color="auto" w:fill="auto"/>
            <w:vAlign w:val="center"/>
            <w:hideMark/>
          </w:tcPr>
          <w:p w14:paraId="440A4DA7" w14:textId="77777777" w:rsidR="00CF248F" w:rsidRPr="00487834" w:rsidRDefault="00CF248F" w:rsidP="00205E8B">
            <w:pPr>
              <w:pStyle w:val="NoSpacing"/>
              <w:rPr>
                <w:color w:val="000000"/>
                <w:sz w:val="20"/>
                <w:szCs w:val="20"/>
              </w:rPr>
            </w:pPr>
            <w:r w:rsidRPr="00487834">
              <w:rPr>
                <w:color w:val="000000"/>
                <w:sz w:val="20"/>
                <w:szCs w:val="20"/>
              </w:rPr>
              <w:t>Yes</w:t>
            </w:r>
          </w:p>
        </w:tc>
        <w:tc>
          <w:tcPr>
            <w:tcW w:w="1300" w:type="dxa"/>
            <w:tcBorders>
              <w:top w:val="nil"/>
              <w:left w:val="nil"/>
              <w:bottom w:val="nil"/>
              <w:right w:val="nil"/>
            </w:tcBorders>
            <w:shd w:val="clear" w:color="auto" w:fill="auto"/>
            <w:vAlign w:val="center"/>
            <w:hideMark/>
          </w:tcPr>
          <w:p w14:paraId="5A51D7C8" w14:textId="77777777" w:rsidR="00CF248F" w:rsidRPr="00487834" w:rsidRDefault="00CF248F" w:rsidP="00205E8B">
            <w:pPr>
              <w:pStyle w:val="NoSpacing"/>
              <w:rPr>
                <w:color w:val="000000"/>
                <w:sz w:val="20"/>
                <w:szCs w:val="20"/>
              </w:rPr>
            </w:pPr>
            <w:r w:rsidRPr="00487834">
              <w:rPr>
                <w:color w:val="000000"/>
                <w:sz w:val="20"/>
                <w:szCs w:val="20"/>
              </w:rPr>
              <w:t>Yes</w:t>
            </w:r>
          </w:p>
        </w:tc>
        <w:tc>
          <w:tcPr>
            <w:tcW w:w="1300" w:type="dxa"/>
            <w:tcBorders>
              <w:top w:val="nil"/>
              <w:left w:val="nil"/>
              <w:bottom w:val="nil"/>
              <w:right w:val="nil"/>
            </w:tcBorders>
            <w:shd w:val="clear" w:color="auto" w:fill="auto"/>
            <w:vAlign w:val="center"/>
            <w:hideMark/>
          </w:tcPr>
          <w:p w14:paraId="10D004E0" w14:textId="77777777" w:rsidR="00CF248F" w:rsidRPr="00487834" w:rsidRDefault="00CF248F" w:rsidP="00205E8B">
            <w:pPr>
              <w:pStyle w:val="NoSpacing"/>
              <w:rPr>
                <w:color w:val="000000"/>
                <w:sz w:val="20"/>
                <w:szCs w:val="20"/>
              </w:rPr>
            </w:pPr>
            <w:r w:rsidRPr="00487834">
              <w:rPr>
                <w:color w:val="000000"/>
                <w:sz w:val="20"/>
                <w:szCs w:val="20"/>
              </w:rPr>
              <w:t>Yes</w:t>
            </w:r>
          </w:p>
        </w:tc>
      </w:tr>
      <w:tr w:rsidR="00CF248F" w:rsidRPr="00487834" w14:paraId="76E399D4" w14:textId="77777777" w:rsidTr="00A83D58">
        <w:trPr>
          <w:trHeight w:val="580"/>
          <w:jc w:val="center"/>
        </w:trPr>
        <w:tc>
          <w:tcPr>
            <w:tcW w:w="2127" w:type="dxa"/>
            <w:tcBorders>
              <w:top w:val="nil"/>
              <w:left w:val="nil"/>
              <w:bottom w:val="nil"/>
              <w:right w:val="nil"/>
            </w:tcBorders>
            <w:shd w:val="clear" w:color="auto" w:fill="auto"/>
            <w:noWrap/>
            <w:vAlign w:val="center"/>
            <w:hideMark/>
          </w:tcPr>
          <w:p w14:paraId="1DFED67A" w14:textId="77777777" w:rsidR="00CF248F" w:rsidRPr="00487834" w:rsidRDefault="00CF248F" w:rsidP="00205E8B">
            <w:pPr>
              <w:pStyle w:val="NoSpacing"/>
              <w:jc w:val="left"/>
            </w:pPr>
            <w:proofErr w:type="spellStart"/>
            <w:r w:rsidRPr="00487834">
              <w:t>Firm</w:t>
            </w:r>
            <w:proofErr w:type="spellEnd"/>
            <w:r w:rsidRPr="00487834">
              <w:t xml:space="preserve"> </w:t>
            </w:r>
            <w:proofErr w:type="spellStart"/>
            <w:r w:rsidRPr="00487834">
              <w:t>effects</w:t>
            </w:r>
            <w:proofErr w:type="spellEnd"/>
          </w:p>
        </w:tc>
        <w:tc>
          <w:tcPr>
            <w:tcW w:w="1173" w:type="dxa"/>
            <w:tcBorders>
              <w:top w:val="nil"/>
              <w:left w:val="nil"/>
              <w:bottom w:val="nil"/>
              <w:right w:val="nil"/>
            </w:tcBorders>
            <w:shd w:val="clear" w:color="auto" w:fill="auto"/>
            <w:vAlign w:val="center"/>
            <w:hideMark/>
          </w:tcPr>
          <w:p w14:paraId="5476D658" w14:textId="77777777" w:rsidR="00CF248F" w:rsidRPr="00487834" w:rsidRDefault="00CF248F" w:rsidP="00205E8B">
            <w:pPr>
              <w:pStyle w:val="NoSpacing"/>
              <w:rPr>
                <w:color w:val="000000"/>
                <w:sz w:val="20"/>
                <w:szCs w:val="20"/>
              </w:rPr>
            </w:pPr>
            <w:r w:rsidRPr="00487834">
              <w:rPr>
                <w:color w:val="000000"/>
                <w:sz w:val="20"/>
                <w:szCs w:val="20"/>
              </w:rPr>
              <w:t>Yes</w:t>
            </w:r>
          </w:p>
        </w:tc>
        <w:tc>
          <w:tcPr>
            <w:tcW w:w="1300" w:type="dxa"/>
            <w:tcBorders>
              <w:top w:val="nil"/>
              <w:left w:val="nil"/>
              <w:bottom w:val="nil"/>
              <w:right w:val="nil"/>
            </w:tcBorders>
            <w:shd w:val="clear" w:color="auto" w:fill="auto"/>
            <w:vAlign w:val="center"/>
            <w:hideMark/>
          </w:tcPr>
          <w:p w14:paraId="6E09C781" w14:textId="77777777" w:rsidR="00CF248F" w:rsidRPr="00487834" w:rsidRDefault="00CF248F" w:rsidP="00205E8B">
            <w:pPr>
              <w:pStyle w:val="NoSpacing"/>
              <w:rPr>
                <w:color w:val="000000"/>
                <w:sz w:val="20"/>
                <w:szCs w:val="20"/>
              </w:rPr>
            </w:pPr>
            <w:r w:rsidRPr="00487834">
              <w:rPr>
                <w:color w:val="000000"/>
                <w:sz w:val="20"/>
                <w:szCs w:val="20"/>
              </w:rPr>
              <w:t>Yes</w:t>
            </w:r>
          </w:p>
        </w:tc>
        <w:tc>
          <w:tcPr>
            <w:tcW w:w="1300" w:type="dxa"/>
            <w:tcBorders>
              <w:top w:val="nil"/>
              <w:left w:val="nil"/>
              <w:bottom w:val="nil"/>
              <w:right w:val="nil"/>
            </w:tcBorders>
            <w:shd w:val="clear" w:color="auto" w:fill="auto"/>
            <w:vAlign w:val="center"/>
            <w:hideMark/>
          </w:tcPr>
          <w:p w14:paraId="0837A264" w14:textId="77777777" w:rsidR="00CF248F" w:rsidRPr="00487834" w:rsidRDefault="00CF248F" w:rsidP="00205E8B">
            <w:pPr>
              <w:pStyle w:val="NoSpacing"/>
              <w:rPr>
                <w:color w:val="000000"/>
                <w:sz w:val="20"/>
                <w:szCs w:val="20"/>
              </w:rPr>
            </w:pPr>
            <w:r w:rsidRPr="00487834">
              <w:rPr>
                <w:color w:val="000000"/>
                <w:sz w:val="20"/>
                <w:szCs w:val="20"/>
              </w:rPr>
              <w:t>Yes</w:t>
            </w:r>
          </w:p>
        </w:tc>
        <w:tc>
          <w:tcPr>
            <w:tcW w:w="1300" w:type="dxa"/>
            <w:tcBorders>
              <w:top w:val="nil"/>
              <w:left w:val="nil"/>
              <w:bottom w:val="nil"/>
              <w:right w:val="nil"/>
            </w:tcBorders>
            <w:shd w:val="clear" w:color="auto" w:fill="auto"/>
            <w:vAlign w:val="center"/>
            <w:hideMark/>
          </w:tcPr>
          <w:p w14:paraId="595D99D6" w14:textId="77777777" w:rsidR="00CF248F" w:rsidRPr="00487834" w:rsidRDefault="00CF248F" w:rsidP="00205E8B">
            <w:pPr>
              <w:pStyle w:val="NoSpacing"/>
              <w:rPr>
                <w:color w:val="000000"/>
                <w:sz w:val="20"/>
                <w:szCs w:val="20"/>
              </w:rPr>
            </w:pPr>
            <w:r w:rsidRPr="00487834">
              <w:rPr>
                <w:color w:val="000000"/>
                <w:sz w:val="20"/>
                <w:szCs w:val="20"/>
              </w:rPr>
              <w:t>Yes</w:t>
            </w:r>
          </w:p>
        </w:tc>
      </w:tr>
      <w:tr w:rsidR="00CF248F" w:rsidRPr="00487834" w14:paraId="36DE7238" w14:textId="77777777" w:rsidTr="00A83D58">
        <w:trPr>
          <w:trHeight w:val="1220"/>
          <w:jc w:val="center"/>
        </w:trPr>
        <w:tc>
          <w:tcPr>
            <w:tcW w:w="2127" w:type="dxa"/>
            <w:tcBorders>
              <w:top w:val="nil"/>
              <w:left w:val="nil"/>
              <w:bottom w:val="single" w:sz="4" w:space="0" w:color="auto"/>
              <w:right w:val="nil"/>
            </w:tcBorders>
            <w:shd w:val="clear" w:color="auto" w:fill="auto"/>
            <w:vAlign w:val="center"/>
            <w:hideMark/>
          </w:tcPr>
          <w:p w14:paraId="14915A39" w14:textId="29E4EFBE" w:rsidR="00CF248F" w:rsidRPr="00487834" w:rsidRDefault="00CF248F" w:rsidP="00205E8B">
            <w:pPr>
              <w:pStyle w:val="NoSpacing"/>
              <w:jc w:val="left"/>
            </w:pPr>
            <w:proofErr w:type="spellStart"/>
            <w:r w:rsidRPr="00487834">
              <w:t>Robust</w:t>
            </w:r>
            <w:proofErr w:type="spellEnd"/>
            <w:r w:rsidR="00205E8B" w:rsidRPr="00487834">
              <w:rPr>
                <w:lang w:val="en-US"/>
              </w:rPr>
              <w:t xml:space="preserve"> </w:t>
            </w:r>
            <w:proofErr w:type="spellStart"/>
            <w:r w:rsidRPr="00487834">
              <w:t>standard</w:t>
            </w:r>
            <w:proofErr w:type="spellEnd"/>
            <w:r w:rsidRPr="00487834">
              <w:t xml:space="preserve"> </w:t>
            </w:r>
            <w:proofErr w:type="spellStart"/>
            <w:r w:rsidRPr="00487834">
              <w:t>errors</w:t>
            </w:r>
            <w:proofErr w:type="spellEnd"/>
          </w:p>
        </w:tc>
        <w:tc>
          <w:tcPr>
            <w:tcW w:w="1173" w:type="dxa"/>
            <w:tcBorders>
              <w:top w:val="nil"/>
              <w:left w:val="nil"/>
              <w:bottom w:val="single" w:sz="4" w:space="0" w:color="auto"/>
              <w:right w:val="nil"/>
            </w:tcBorders>
            <w:shd w:val="clear" w:color="auto" w:fill="auto"/>
            <w:vAlign w:val="center"/>
            <w:hideMark/>
          </w:tcPr>
          <w:p w14:paraId="273EE818" w14:textId="77777777" w:rsidR="00CF248F" w:rsidRPr="00487834" w:rsidRDefault="00CF248F" w:rsidP="00205E8B">
            <w:pPr>
              <w:pStyle w:val="NoSpacing"/>
              <w:rPr>
                <w:color w:val="000000"/>
                <w:sz w:val="20"/>
                <w:szCs w:val="20"/>
              </w:rPr>
            </w:pPr>
            <w:r w:rsidRPr="00487834">
              <w:rPr>
                <w:color w:val="000000"/>
                <w:sz w:val="20"/>
                <w:szCs w:val="20"/>
              </w:rPr>
              <w:t>Cluster-</w:t>
            </w:r>
            <w:proofErr w:type="spellStart"/>
            <w:r w:rsidRPr="00487834">
              <w:rPr>
                <w:color w:val="000000"/>
                <w:sz w:val="20"/>
                <w:szCs w:val="20"/>
              </w:rPr>
              <w:t>Robust</w:t>
            </w:r>
            <w:proofErr w:type="spellEnd"/>
            <w:r w:rsidRPr="00487834">
              <w:rPr>
                <w:color w:val="000000"/>
                <w:sz w:val="20"/>
                <w:szCs w:val="20"/>
              </w:rPr>
              <w:t xml:space="preserve"> Standard </w:t>
            </w:r>
            <w:proofErr w:type="spellStart"/>
            <w:r w:rsidRPr="00487834">
              <w:rPr>
                <w:color w:val="000000"/>
                <w:sz w:val="20"/>
                <w:szCs w:val="20"/>
              </w:rPr>
              <w:t>Errors</w:t>
            </w:r>
            <w:proofErr w:type="spellEnd"/>
          </w:p>
        </w:tc>
        <w:tc>
          <w:tcPr>
            <w:tcW w:w="1300" w:type="dxa"/>
            <w:tcBorders>
              <w:top w:val="nil"/>
              <w:left w:val="nil"/>
              <w:bottom w:val="single" w:sz="4" w:space="0" w:color="auto"/>
              <w:right w:val="nil"/>
            </w:tcBorders>
            <w:shd w:val="clear" w:color="auto" w:fill="auto"/>
            <w:vAlign w:val="center"/>
            <w:hideMark/>
          </w:tcPr>
          <w:p w14:paraId="335A9AB7" w14:textId="77777777" w:rsidR="00CF248F" w:rsidRPr="00487834" w:rsidRDefault="00CF248F" w:rsidP="00205E8B">
            <w:pPr>
              <w:pStyle w:val="NoSpacing"/>
              <w:rPr>
                <w:color w:val="000000"/>
                <w:sz w:val="20"/>
                <w:szCs w:val="20"/>
              </w:rPr>
            </w:pPr>
            <w:r w:rsidRPr="00487834">
              <w:rPr>
                <w:color w:val="000000"/>
                <w:sz w:val="20"/>
                <w:szCs w:val="20"/>
              </w:rPr>
              <w:t>Cluster-</w:t>
            </w:r>
            <w:proofErr w:type="spellStart"/>
            <w:r w:rsidRPr="00487834">
              <w:rPr>
                <w:color w:val="000000"/>
                <w:sz w:val="20"/>
                <w:szCs w:val="20"/>
              </w:rPr>
              <w:t>Robust</w:t>
            </w:r>
            <w:proofErr w:type="spellEnd"/>
            <w:r w:rsidRPr="00487834">
              <w:rPr>
                <w:color w:val="000000"/>
                <w:sz w:val="20"/>
                <w:szCs w:val="20"/>
              </w:rPr>
              <w:t xml:space="preserve"> Standard </w:t>
            </w:r>
            <w:proofErr w:type="spellStart"/>
            <w:r w:rsidRPr="00487834">
              <w:rPr>
                <w:color w:val="000000"/>
                <w:sz w:val="20"/>
                <w:szCs w:val="20"/>
              </w:rPr>
              <w:t>Errors</w:t>
            </w:r>
            <w:proofErr w:type="spellEnd"/>
          </w:p>
        </w:tc>
        <w:tc>
          <w:tcPr>
            <w:tcW w:w="1300" w:type="dxa"/>
            <w:tcBorders>
              <w:top w:val="nil"/>
              <w:left w:val="nil"/>
              <w:bottom w:val="single" w:sz="4" w:space="0" w:color="auto"/>
              <w:right w:val="nil"/>
            </w:tcBorders>
            <w:shd w:val="clear" w:color="auto" w:fill="auto"/>
            <w:vAlign w:val="center"/>
            <w:hideMark/>
          </w:tcPr>
          <w:p w14:paraId="35EE2896" w14:textId="77777777" w:rsidR="00CF248F" w:rsidRPr="00487834" w:rsidRDefault="00CF248F" w:rsidP="00205E8B">
            <w:pPr>
              <w:pStyle w:val="NoSpacing"/>
              <w:rPr>
                <w:color w:val="000000"/>
                <w:sz w:val="20"/>
                <w:szCs w:val="20"/>
              </w:rPr>
            </w:pPr>
            <w:r w:rsidRPr="00487834">
              <w:rPr>
                <w:color w:val="000000"/>
                <w:sz w:val="20"/>
                <w:szCs w:val="20"/>
              </w:rPr>
              <w:t>Cluster-</w:t>
            </w:r>
            <w:proofErr w:type="spellStart"/>
            <w:r w:rsidRPr="00487834">
              <w:rPr>
                <w:color w:val="000000"/>
                <w:sz w:val="20"/>
                <w:szCs w:val="20"/>
              </w:rPr>
              <w:t>Robust</w:t>
            </w:r>
            <w:proofErr w:type="spellEnd"/>
            <w:r w:rsidRPr="00487834">
              <w:rPr>
                <w:color w:val="000000"/>
                <w:sz w:val="20"/>
                <w:szCs w:val="20"/>
              </w:rPr>
              <w:t xml:space="preserve"> Standard </w:t>
            </w:r>
            <w:proofErr w:type="spellStart"/>
            <w:r w:rsidRPr="00487834">
              <w:rPr>
                <w:color w:val="000000"/>
                <w:sz w:val="20"/>
                <w:szCs w:val="20"/>
              </w:rPr>
              <w:t>Errors</w:t>
            </w:r>
            <w:proofErr w:type="spellEnd"/>
          </w:p>
        </w:tc>
        <w:tc>
          <w:tcPr>
            <w:tcW w:w="1300" w:type="dxa"/>
            <w:tcBorders>
              <w:top w:val="nil"/>
              <w:left w:val="nil"/>
              <w:bottom w:val="single" w:sz="4" w:space="0" w:color="auto"/>
              <w:right w:val="nil"/>
            </w:tcBorders>
            <w:shd w:val="clear" w:color="auto" w:fill="auto"/>
            <w:vAlign w:val="center"/>
            <w:hideMark/>
          </w:tcPr>
          <w:p w14:paraId="0C97CE9F" w14:textId="77777777" w:rsidR="00CF248F" w:rsidRPr="00487834" w:rsidRDefault="00CF248F" w:rsidP="00205E8B">
            <w:pPr>
              <w:pStyle w:val="NoSpacing"/>
              <w:rPr>
                <w:color w:val="000000"/>
                <w:sz w:val="20"/>
                <w:szCs w:val="20"/>
              </w:rPr>
            </w:pPr>
            <w:r w:rsidRPr="00487834">
              <w:rPr>
                <w:color w:val="000000"/>
                <w:sz w:val="20"/>
                <w:szCs w:val="20"/>
              </w:rPr>
              <w:t>Cluster-</w:t>
            </w:r>
            <w:proofErr w:type="spellStart"/>
            <w:r w:rsidRPr="00487834">
              <w:rPr>
                <w:color w:val="000000"/>
                <w:sz w:val="20"/>
                <w:szCs w:val="20"/>
              </w:rPr>
              <w:t>Robust</w:t>
            </w:r>
            <w:proofErr w:type="spellEnd"/>
            <w:r w:rsidRPr="00487834">
              <w:rPr>
                <w:color w:val="000000"/>
                <w:sz w:val="20"/>
                <w:szCs w:val="20"/>
              </w:rPr>
              <w:t xml:space="preserve"> Standard </w:t>
            </w:r>
            <w:proofErr w:type="spellStart"/>
            <w:r w:rsidRPr="00487834">
              <w:rPr>
                <w:color w:val="000000"/>
                <w:sz w:val="20"/>
                <w:szCs w:val="20"/>
              </w:rPr>
              <w:t>Errors</w:t>
            </w:r>
            <w:proofErr w:type="spellEnd"/>
          </w:p>
        </w:tc>
      </w:tr>
    </w:tbl>
    <w:p w14:paraId="0ED09AA0" w14:textId="77777777" w:rsidR="00213022" w:rsidRPr="00487834" w:rsidRDefault="00213022" w:rsidP="003128F6">
      <w:pPr>
        <w:autoSpaceDE w:val="0"/>
        <w:autoSpaceDN w:val="0"/>
        <w:adjustRightInd w:val="0"/>
        <w:spacing w:line="300" w:lineRule="auto"/>
        <w:rPr>
          <w:rFonts w:eastAsiaTheme="minorHAnsi"/>
          <w:lang w:val="en-US" w:eastAsia="en-US"/>
        </w:rPr>
      </w:pPr>
    </w:p>
    <w:p w14:paraId="73C89C27" w14:textId="77777777" w:rsidR="007D45C5" w:rsidRPr="00487834" w:rsidRDefault="007D45C5" w:rsidP="003128F6">
      <w:pPr>
        <w:autoSpaceDE w:val="0"/>
        <w:autoSpaceDN w:val="0"/>
        <w:adjustRightInd w:val="0"/>
        <w:spacing w:line="300" w:lineRule="auto"/>
        <w:rPr>
          <w:rFonts w:eastAsiaTheme="minorHAnsi"/>
          <w:lang w:val="en-US" w:eastAsia="en-US"/>
        </w:rPr>
      </w:pPr>
    </w:p>
    <w:p w14:paraId="721B6E90" w14:textId="77777777" w:rsidR="007D45C5" w:rsidRPr="00487834" w:rsidRDefault="007D45C5" w:rsidP="003128F6">
      <w:pPr>
        <w:autoSpaceDE w:val="0"/>
        <w:autoSpaceDN w:val="0"/>
        <w:adjustRightInd w:val="0"/>
        <w:spacing w:line="300" w:lineRule="auto"/>
        <w:rPr>
          <w:rFonts w:eastAsiaTheme="minorHAnsi"/>
          <w:lang w:val="en-US" w:eastAsia="en-US"/>
        </w:rPr>
      </w:pPr>
    </w:p>
    <w:p w14:paraId="216D87D2" w14:textId="77777777" w:rsidR="001962E8" w:rsidRPr="00487834" w:rsidRDefault="007D45C5" w:rsidP="00206F70">
      <w:pPr>
        <w:spacing w:line="300" w:lineRule="auto"/>
        <w:ind w:firstLine="720"/>
        <w:rPr>
          <w:rFonts w:eastAsiaTheme="minorHAnsi"/>
          <w:lang w:val="en-US" w:eastAsia="en-US"/>
        </w:rPr>
      </w:pPr>
      <w:r w:rsidRPr="00487834">
        <w:rPr>
          <w:rFonts w:eastAsiaTheme="minorHAnsi"/>
          <w:lang w:val="en-US" w:eastAsia="en-US"/>
        </w:rPr>
        <w:t xml:space="preserve">The regression results for the cost of debt without lagged predictors across the entire dataset and various subsamples provide surprising </w:t>
      </w:r>
      <w:r w:rsidR="00A7263B" w:rsidRPr="00487834">
        <w:rPr>
          <w:rFonts w:eastAsiaTheme="minorHAnsi"/>
          <w:lang w:val="en-US" w:eastAsia="en-US"/>
        </w:rPr>
        <w:t>implications</w:t>
      </w:r>
      <w:r w:rsidR="00E03035" w:rsidRPr="00487834">
        <w:rPr>
          <w:rFonts w:eastAsiaTheme="minorHAnsi"/>
          <w:lang w:val="en-US" w:eastAsia="en-US"/>
        </w:rPr>
        <w:t xml:space="preserve">, as the direction of the relationship </w:t>
      </w:r>
      <w:r w:rsidR="001962E8" w:rsidRPr="00487834">
        <w:rPr>
          <w:rFonts w:eastAsiaTheme="minorHAnsi"/>
          <w:lang w:val="en-US" w:eastAsia="en-US"/>
        </w:rPr>
        <w:t>between ESG score and cost of debt is uneven across the dataset.</w:t>
      </w:r>
    </w:p>
    <w:p w14:paraId="0200405C" w14:textId="06F0BADB" w:rsidR="007D45C5" w:rsidRPr="00487834" w:rsidRDefault="007D45C5" w:rsidP="001962E8">
      <w:pPr>
        <w:spacing w:line="300" w:lineRule="auto"/>
        <w:ind w:firstLine="720"/>
        <w:rPr>
          <w:color w:val="000000"/>
          <w:lang w:val="en-US"/>
        </w:rPr>
      </w:pPr>
      <w:r w:rsidRPr="00487834">
        <w:rPr>
          <w:rFonts w:eastAsiaTheme="minorHAnsi"/>
          <w:lang w:val="en-US" w:eastAsia="en-US"/>
        </w:rPr>
        <w:t xml:space="preserve"> The entire dataset shows a positive and significant relationship between ESG scores and the cost of debt (</w:t>
      </w:r>
      <w:r w:rsidRPr="00487834">
        <w:rPr>
          <w:color w:val="000000"/>
          <w:lang w:val="en-US"/>
        </w:rPr>
        <w:t xml:space="preserve">0.0046p&lt;.001), </w:t>
      </w:r>
      <w:r w:rsidRPr="00487834">
        <w:rPr>
          <w:rFonts w:eastAsiaTheme="minorHAnsi"/>
          <w:lang w:val="en-US" w:eastAsia="en-US"/>
        </w:rPr>
        <w:t xml:space="preserve">which initially contradicts </w:t>
      </w:r>
      <w:r w:rsidR="00E03035" w:rsidRPr="00487834">
        <w:rPr>
          <w:rFonts w:eastAsiaTheme="minorHAnsi"/>
          <w:lang w:val="en-US" w:eastAsia="en-US"/>
        </w:rPr>
        <w:t xml:space="preserve">H2 </w:t>
      </w:r>
      <w:r w:rsidRPr="00487834">
        <w:rPr>
          <w:rFonts w:eastAsiaTheme="minorHAnsi"/>
          <w:lang w:val="en-US" w:eastAsia="en-US"/>
        </w:rPr>
        <w:t xml:space="preserve">that better ESG performance lowers financing costs. However, </w:t>
      </w:r>
      <w:r w:rsidR="00E03035" w:rsidRPr="00487834">
        <w:rPr>
          <w:rFonts w:eastAsiaTheme="minorHAnsi"/>
          <w:lang w:val="en-US" w:eastAsia="en-US"/>
        </w:rPr>
        <w:t xml:space="preserve">some </w:t>
      </w:r>
      <w:r w:rsidRPr="00487834">
        <w:rPr>
          <w:rFonts w:eastAsiaTheme="minorHAnsi"/>
          <w:lang w:val="en-US" w:eastAsia="en-US"/>
        </w:rPr>
        <w:t>critical nuances</w:t>
      </w:r>
      <w:r w:rsidR="00E03035" w:rsidRPr="00487834">
        <w:rPr>
          <w:rFonts w:eastAsiaTheme="minorHAnsi"/>
          <w:lang w:val="en-US" w:eastAsia="en-US"/>
        </w:rPr>
        <w:t xml:space="preserve"> are</w:t>
      </w:r>
      <w:r w:rsidRPr="00487834">
        <w:rPr>
          <w:rFonts w:eastAsiaTheme="minorHAnsi"/>
          <w:lang w:val="en-US" w:eastAsia="en-US"/>
        </w:rPr>
        <w:t xml:space="preserve"> revealed in the subsampl</w:t>
      </w:r>
      <w:r w:rsidR="00E03035" w:rsidRPr="00487834">
        <w:rPr>
          <w:rFonts w:eastAsiaTheme="minorHAnsi"/>
          <w:lang w:val="en-US" w:eastAsia="en-US"/>
        </w:rPr>
        <w:t>es: f</w:t>
      </w:r>
      <w:r w:rsidRPr="00487834">
        <w:rPr>
          <w:rFonts w:eastAsiaTheme="minorHAnsi"/>
          <w:lang w:val="en-US" w:eastAsia="en-US"/>
        </w:rPr>
        <w:t xml:space="preserve">or top performers (top 25% ESG scores), the relationship is significantly negative (-0.0088, p &lt; 0.01), indicating that firms with high ESG scores do indeed benefit from lower costs of debt. This supports Hypothesis 2, which posits an inverse relationship between ESG scores and the cost of </w:t>
      </w:r>
      <w:r w:rsidR="001962E8" w:rsidRPr="00487834">
        <w:rPr>
          <w:rFonts w:eastAsiaTheme="minorHAnsi"/>
          <w:lang w:val="en-US" w:eastAsia="en-US"/>
        </w:rPr>
        <w:t>debt but</w:t>
      </w:r>
      <w:r w:rsidRPr="00487834">
        <w:rPr>
          <w:rFonts w:eastAsiaTheme="minorHAnsi"/>
          <w:lang w:val="en-US" w:eastAsia="en-US"/>
        </w:rPr>
        <w:t xml:space="preserve"> highlights that this benefit is more pronounced among firms with higher ESG performance</w:t>
      </w:r>
      <w:r w:rsidR="001962E8" w:rsidRPr="00487834">
        <w:rPr>
          <w:rFonts w:eastAsiaTheme="minorHAnsi"/>
          <w:lang w:val="en-US" w:eastAsia="en-US"/>
        </w:rPr>
        <w:t xml:space="preserve">, which is a direct contradiction </w:t>
      </w:r>
      <w:proofErr w:type="spellStart"/>
      <w:r w:rsidR="001962E8" w:rsidRPr="00487834">
        <w:rPr>
          <w:rFonts w:eastAsiaTheme="minorHAnsi"/>
          <w:lang w:val="en-US" w:eastAsia="en-US"/>
        </w:rPr>
        <w:t>withou</w:t>
      </w:r>
      <w:r w:rsidR="00B224E5" w:rsidRPr="00487834">
        <w:rPr>
          <w:rFonts w:eastAsiaTheme="minorHAnsi"/>
          <w:lang w:val="en-US" w:eastAsia="en-US"/>
        </w:rPr>
        <w:t>r</w:t>
      </w:r>
      <w:proofErr w:type="spellEnd"/>
      <w:r w:rsidR="001962E8" w:rsidRPr="00487834">
        <w:rPr>
          <w:rFonts w:eastAsiaTheme="minorHAnsi"/>
          <w:lang w:val="en-US" w:eastAsia="en-US"/>
        </w:rPr>
        <w:t xml:space="preserve"> Hypothesis number 5.</w:t>
      </w:r>
      <w:r w:rsidRPr="00487834">
        <w:rPr>
          <w:rFonts w:eastAsiaTheme="minorHAnsi"/>
          <w:lang w:val="en-US" w:eastAsia="en-US"/>
        </w:rPr>
        <w:t xml:space="preserve"> The negative coefficient for top performers aligns with findings by </w:t>
      </w:r>
      <w:proofErr w:type="spellStart"/>
      <w:r w:rsidRPr="00487834">
        <w:rPr>
          <w:rFonts w:eastAsiaTheme="minorHAnsi"/>
          <w:lang w:val="en-US" w:eastAsia="en-US"/>
        </w:rPr>
        <w:t>Apergis</w:t>
      </w:r>
      <w:proofErr w:type="spellEnd"/>
      <w:r w:rsidRPr="00487834">
        <w:rPr>
          <w:rFonts w:eastAsiaTheme="minorHAnsi"/>
          <w:lang w:val="en-US" w:eastAsia="en-US"/>
        </w:rPr>
        <w:t xml:space="preserve"> et al. (2022) and Bhuiyan and Nguyen (2020), who demonstrated similar cost reductions linked to superior ESG p</w:t>
      </w:r>
      <w:r w:rsidR="0054273A" w:rsidRPr="00487834">
        <w:rPr>
          <w:rFonts w:eastAsiaTheme="minorHAnsi"/>
          <w:lang w:val="en-US" w:eastAsia="en-US"/>
        </w:rPr>
        <w:t>erformance.</w:t>
      </w:r>
    </w:p>
    <w:p w14:paraId="5EB1BE52" w14:textId="5235C44E" w:rsidR="007D45C5" w:rsidRPr="00487834" w:rsidRDefault="0019419E" w:rsidP="00A7263B">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On the contrary</w:t>
      </w:r>
      <w:r w:rsidR="007D45C5" w:rsidRPr="00487834">
        <w:rPr>
          <w:rFonts w:eastAsiaTheme="minorHAnsi"/>
          <w:lang w:val="en-US" w:eastAsia="en-US"/>
        </w:rPr>
        <w:t xml:space="preserve">, the middle 50% subsample presents a positive and significant relationship (0.008, p &lt; 0.01), suggesting that for firms with moderate ESG scores, the cost of debt may </w:t>
      </w:r>
      <w:proofErr w:type="gramStart"/>
      <w:r w:rsidR="007D45C5" w:rsidRPr="00487834">
        <w:rPr>
          <w:rFonts w:eastAsiaTheme="minorHAnsi"/>
          <w:lang w:val="en-US" w:eastAsia="en-US"/>
        </w:rPr>
        <w:t>actually increase</w:t>
      </w:r>
      <w:proofErr w:type="gramEnd"/>
      <w:r w:rsidR="007D45C5" w:rsidRPr="00487834">
        <w:rPr>
          <w:rFonts w:eastAsiaTheme="minorHAnsi"/>
          <w:lang w:val="en-US" w:eastAsia="en-US"/>
        </w:rPr>
        <w:t xml:space="preserve"> with better ESG performance. This counterintuitive result could imply that incremental improvements in ESG scores within this range do not sufficiently mitigate perceived risks to reduce borrowing costs. It </w:t>
      </w:r>
      <w:r w:rsidR="001851FA" w:rsidRPr="00487834">
        <w:rPr>
          <w:rFonts w:eastAsiaTheme="minorHAnsi"/>
          <w:lang w:val="en-US" w:eastAsia="en-US"/>
        </w:rPr>
        <w:t xml:space="preserve">contradicts </w:t>
      </w:r>
      <w:r w:rsidR="009D2B28" w:rsidRPr="00487834">
        <w:rPr>
          <w:rFonts w:eastAsiaTheme="minorHAnsi"/>
          <w:lang w:val="en-US" w:eastAsia="en-US"/>
        </w:rPr>
        <w:t>potential</w:t>
      </w:r>
      <w:r w:rsidR="007D45C5" w:rsidRPr="00487834">
        <w:rPr>
          <w:rFonts w:eastAsiaTheme="minorHAnsi"/>
          <w:lang w:val="en-US" w:eastAsia="en-US"/>
        </w:rPr>
        <w:t xml:space="preserve"> diminishing marginal effect of ESG improvements</w:t>
      </w:r>
      <w:r w:rsidRPr="00487834">
        <w:rPr>
          <w:rFonts w:eastAsiaTheme="minorHAnsi"/>
          <w:lang w:val="en-US" w:eastAsia="en-US"/>
        </w:rPr>
        <w:t xml:space="preserve"> that we suggested earlier</w:t>
      </w:r>
      <w:r w:rsidR="005C1633" w:rsidRPr="00487834">
        <w:rPr>
          <w:rFonts w:eastAsiaTheme="minorHAnsi"/>
          <w:lang w:val="en-US" w:eastAsia="en-US"/>
        </w:rPr>
        <w:t xml:space="preserve">. In </w:t>
      </w:r>
      <w:r w:rsidR="00205E8B" w:rsidRPr="00487834">
        <w:rPr>
          <w:rFonts w:eastAsiaTheme="minorHAnsi"/>
          <w:lang w:val="en-US" w:eastAsia="en-US"/>
        </w:rPr>
        <w:t>fact, across</w:t>
      </w:r>
      <w:r w:rsidR="005C1633" w:rsidRPr="00487834">
        <w:rPr>
          <w:rFonts w:eastAsiaTheme="minorHAnsi"/>
          <w:lang w:val="en-US" w:eastAsia="en-US"/>
        </w:rPr>
        <w:t xml:space="preserve"> the aggregate BRICS dataset only top</w:t>
      </w:r>
      <w:r w:rsidR="007D45C5" w:rsidRPr="00487834">
        <w:rPr>
          <w:rFonts w:eastAsiaTheme="minorHAnsi"/>
          <w:lang w:val="en-US" w:eastAsia="en-US"/>
        </w:rPr>
        <w:t>-tier ESG performance translates into lower financing costs.</w:t>
      </w:r>
      <w:r w:rsidR="00632AC0" w:rsidRPr="00487834">
        <w:rPr>
          <w:rFonts w:eastAsiaTheme="minorHAnsi"/>
          <w:lang w:val="en-US" w:eastAsia="en-US"/>
        </w:rPr>
        <w:t xml:space="preserve"> </w:t>
      </w:r>
      <w:r w:rsidR="007D45C5" w:rsidRPr="00487834">
        <w:rPr>
          <w:rFonts w:eastAsiaTheme="minorHAnsi"/>
          <w:lang w:val="en-US" w:eastAsia="en-US"/>
        </w:rPr>
        <w:t xml:space="preserve">For the underperformers (bottom 25%), the ESG score’s effect on the cost of debt is positive but not statistically significant (0.0043). This aligns with the concept that firms starting with low ESG scores might not experience immediate financial benefits from minor ESG improvements. These results </w:t>
      </w:r>
      <w:r w:rsidR="003961DA" w:rsidRPr="00487834">
        <w:rPr>
          <w:rFonts w:eastAsiaTheme="minorHAnsi"/>
          <w:lang w:val="en-US" w:eastAsia="en-US"/>
        </w:rPr>
        <w:t>contradict</w:t>
      </w:r>
      <w:r w:rsidR="007D45C5" w:rsidRPr="00487834">
        <w:rPr>
          <w:rFonts w:eastAsiaTheme="minorHAnsi"/>
          <w:lang w:val="en-US" w:eastAsia="en-US"/>
        </w:rPr>
        <w:t xml:space="preserve"> H5, suggesting that the relationship between ESG scores and the cost of debt is stronger for underperformers, as they do not benefit significantly until they achieve higher ESG standards.</w:t>
      </w:r>
      <w:r w:rsidR="00632AC0" w:rsidRPr="00487834">
        <w:rPr>
          <w:rFonts w:eastAsiaTheme="minorHAnsi"/>
          <w:lang w:val="en-US" w:eastAsia="en-US"/>
        </w:rPr>
        <w:t xml:space="preserve"> </w:t>
      </w:r>
      <w:r w:rsidR="00AE30D0" w:rsidRPr="00487834">
        <w:rPr>
          <w:lang w:val="en-US"/>
        </w:rPr>
        <w:t xml:space="preserve">This </w:t>
      </w:r>
      <w:r w:rsidR="009D2B28" w:rsidRPr="00487834">
        <w:rPr>
          <w:lang w:val="en-US"/>
        </w:rPr>
        <w:t xml:space="preserve">directly contradicts </w:t>
      </w:r>
      <w:r w:rsidR="00AE30D0" w:rsidRPr="00487834">
        <w:rPr>
          <w:lang w:val="en-US"/>
        </w:rPr>
        <w:t xml:space="preserve">such scholars </w:t>
      </w:r>
      <w:r w:rsidR="00AE30D0" w:rsidRPr="00487834">
        <w:rPr>
          <w:rFonts w:eastAsiaTheme="minorHAnsi"/>
          <w:lang w:val="en-US" w:eastAsia="en-US"/>
        </w:rPr>
        <w:t>a</w:t>
      </w:r>
      <w:r w:rsidR="003961DA" w:rsidRPr="00487834">
        <w:rPr>
          <w:rFonts w:eastAsiaTheme="minorHAnsi"/>
          <w:lang w:val="en-US" w:eastAsia="en-US"/>
        </w:rPr>
        <w:t>s Fatemi et al. (2018) fin</w:t>
      </w:r>
      <w:r w:rsidR="00AE30D0" w:rsidRPr="00487834">
        <w:rPr>
          <w:rFonts w:eastAsiaTheme="minorHAnsi"/>
          <w:lang w:val="en-US" w:eastAsia="en-US"/>
        </w:rPr>
        <w:t xml:space="preserve">ding </w:t>
      </w:r>
      <w:r w:rsidR="003961DA" w:rsidRPr="00487834">
        <w:rPr>
          <w:rFonts w:eastAsiaTheme="minorHAnsi"/>
          <w:lang w:val="en-US" w:eastAsia="en-US"/>
        </w:rPr>
        <w:t xml:space="preserve">that ESG strengths positively impact firm value, but the </w:t>
      </w:r>
      <w:r w:rsidR="00AE30D0" w:rsidRPr="00487834">
        <w:rPr>
          <w:rFonts w:eastAsiaTheme="minorHAnsi"/>
          <w:lang w:val="en-US" w:eastAsia="en-US"/>
        </w:rPr>
        <w:t>effect fades in strength</w:t>
      </w:r>
      <w:r w:rsidR="003961DA" w:rsidRPr="00487834">
        <w:rPr>
          <w:rFonts w:eastAsiaTheme="minorHAnsi"/>
          <w:lang w:val="en-US" w:eastAsia="en-US"/>
        </w:rPr>
        <w:t xml:space="preserve"> as firms achieve higher </w:t>
      </w:r>
      <w:r w:rsidR="003961DA" w:rsidRPr="00487834">
        <w:rPr>
          <w:rFonts w:eastAsiaTheme="minorHAnsi"/>
          <w:lang w:val="en-US" w:eastAsia="en-US"/>
        </w:rPr>
        <w:lastRenderedPageBreak/>
        <w:t>ESG scores</w:t>
      </w:r>
      <w:r w:rsidR="009D2B28" w:rsidRPr="00487834">
        <w:rPr>
          <w:rFonts w:eastAsiaTheme="minorHAnsi"/>
          <w:lang w:val="en-US" w:eastAsia="en-US"/>
        </w:rPr>
        <w:t xml:space="preserve">, </w:t>
      </w:r>
      <w:r w:rsidR="003961DA" w:rsidRPr="00487834">
        <w:rPr>
          <w:rFonts w:eastAsiaTheme="minorHAnsi"/>
          <w:lang w:val="en-US" w:eastAsia="en-US"/>
        </w:rPr>
        <w:t>with the notion that the initial improvements in ESG performance yield the most significant reductions in financing costs</w:t>
      </w:r>
      <w:r w:rsidR="009D2B28" w:rsidRPr="00487834">
        <w:rPr>
          <w:rFonts w:eastAsiaTheme="minorHAnsi"/>
          <w:lang w:val="en-US" w:eastAsia="en-US"/>
        </w:rPr>
        <w:t>.</w:t>
      </w:r>
    </w:p>
    <w:p w14:paraId="63DF32C5" w14:textId="77777777" w:rsidR="007D45C5" w:rsidRPr="00487834" w:rsidRDefault="007D45C5" w:rsidP="009D2B28">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 xml:space="preserve">Regarding control variables, market capitalization (MCAP) consistently shows a negative and significant impact across all subsamples, indicating larger firms generally enjoy lower costs of debt. This is consistent with </w:t>
      </w:r>
      <w:r w:rsidR="009D2B28" w:rsidRPr="00487834">
        <w:rPr>
          <w:rFonts w:eastAsiaTheme="minorHAnsi"/>
          <w:lang w:val="en-US" w:eastAsia="en-US"/>
        </w:rPr>
        <w:t xml:space="preserve">covered </w:t>
      </w:r>
      <w:r w:rsidRPr="00487834">
        <w:rPr>
          <w:rFonts w:eastAsiaTheme="minorHAnsi"/>
          <w:lang w:val="en-US" w:eastAsia="en-US"/>
        </w:rPr>
        <w:t>literature, such as Cardoso (2020), who emphasized the importance of firm size in financing costs. The interest coverage ratio (ICR) and return on assets (ROA) also reveal significant negative impacts in some subsamples, further underscoring the importance of financial health in determining borrowing costs.</w:t>
      </w:r>
    </w:p>
    <w:p w14:paraId="04AB9E64" w14:textId="67CFAF43" w:rsidR="007D45C5" w:rsidRPr="00487834" w:rsidRDefault="007D45C5" w:rsidP="00ED5432">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Overall, these results suggest a</w:t>
      </w:r>
      <w:r w:rsidR="00B224E5" w:rsidRPr="00487834">
        <w:rPr>
          <w:rFonts w:eastAsiaTheme="minorHAnsi"/>
          <w:lang w:val="en-US" w:eastAsia="en-US"/>
        </w:rPr>
        <w:t xml:space="preserve">n uneven </w:t>
      </w:r>
      <w:r w:rsidRPr="00487834">
        <w:rPr>
          <w:rFonts w:eastAsiaTheme="minorHAnsi"/>
          <w:lang w:val="en-US" w:eastAsia="en-US"/>
        </w:rPr>
        <w:t xml:space="preserve">relationship between ESG performance and the cost of debt in BRICS countries, </w:t>
      </w:r>
      <w:r w:rsidR="00CB6D3B" w:rsidRPr="00487834">
        <w:rPr>
          <w:rFonts w:eastAsiaTheme="minorHAnsi"/>
          <w:lang w:val="en-US" w:eastAsia="en-US"/>
        </w:rPr>
        <w:t xml:space="preserve">with upper quartile of the sample </w:t>
      </w:r>
      <w:r w:rsidRPr="00487834">
        <w:rPr>
          <w:rFonts w:eastAsiaTheme="minorHAnsi"/>
          <w:lang w:val="en-US" w:eastAsia="en-US"/>
        </w:rPr>
        <w:t xml:space="preserve">supporting Hypothesis 2 and highlighting the </w:t>
      </w:r>
      <w:proofErr w:type="spellStart"/>
      <w:r w:rsidRPr="00487834">
        <w:rPr>
          <w:rFonts w:eastAsiaTheme="minorHAnsi"/>
          <w:lang w:val="en-US" w:eastAsia="en-US"/>
        </w:rPr>
        <w:t>the</w:t>
      </w:r>
      <w:proofErr w:type="spellEnd"/>
      <w:r w:rsidRPr="00487834">
        <w:rPr>
          <w:rFonts w:eastAsiaTheme="minorHAnsi"/>
          <w:lang w:val="en-US" w:eastAsia="en-US"/>
        </w:rPr>
        <w:t xml:space="preserve"> importance of achieving high ESG standards to realize cost savings in debt financing, with significant implications for corporate strategy and </w:t>
      </w:r>
      <w:proofErr w:type="gramStart"/>
      <w:r w:rsidRPr="00487834">
        <w:rPr>
          <w:rFonts w:eastAsiaTheme="minorHAnsi"/>
          <w:lang w:val="en-US" w:eastAsia="en-US"/>
        </w:rPr>
        <w:t>policy-making</w:t>
      </w:r>
      <w:proofErr w:type="gramEnd"/>
      <w:r w:rsidRPr="00487834">
        <w:rPr>
          <w:rFonts w:eastAsiaTheme="minorHAnsi"/>
          <w:lang w:val="en-US" w:eastAsia="en-US"/>
        </w:rPr>
        <w:t xml:space="preserve"> in emerging markets</w:t>
      </w:r>
      <w:r w:rsidR="00ED5432" w:rsidRPr="00487834">
        <w:rPr>
          <w:rFonts w:eastAsiaTheme="minorHAnsi"/>
          <w:lang w:val="en-US" w:eastAsia="en-US"/>
        </w:rPr>
        <w:t>.</w:t>
      </w:r>
      <w:r w:rsidR="00CB6D3B" w:rsidRPr="00487834">
        <w:rPr>
          <w:rFonts w:eastAsiaTheme="minorHAnsi"/>
          <w:lang w:val="en-US" w:eastAsia="en-US"/>
        </w:rPr>
        <w:t xml:space="preserve"> Yet, the aggregate sample contradicts H2 and H5. </w:t>
      </w:r>
    </w:p>
    <w:p w14:paraId="46E8083E" w14:textId="77777777" w:rsidR="007D45C5" w:rsidRPr="00487834" w:rsidRDefault="007D45C5" w:rsidP="003128F6">
      <w:pPr>
        <w:autoSpaceDE w:val="0"/>
        <w:autoSpaceDN w:val="0"/>
        <w:adjustRightInd w:val="0"/>
        <w:spacing w:line="300" w:lineRule="auto"/>
        <w:rPr>
          <w:rFonts w:eastAsiaTheme="minorHAnsi"/>
          <w:lang w:val="en-US" w:eastAsia="en-US"/>
        </w:rPr>
      </w:pPr>
    </w:p>
    <w:p w14:paraId="4E9108EA" w14:textId="77777777" w:rsidR="00CF248F" w:rsidRPr="00487834" w:rsidRDefault="00CF248F" w:rsidP="003128F6">
      <w:pPr>
        <w:autoSpaceDE w:val="0"/>
        <w:autoSpaceDN w:val="0"/>
        <w:adjustRightInd w:val="0"/>
        <w:spacing w:line="300" w:lineRule="auto"/>
        <w:rPr>
          <w:rFonts w:eastAsiaTheme="minorHAnsi"/>
          <w:lang w:val="en-US" w:eastAsia="en-US"/>
        </w:rPr>
      </w:pPr>
    </w:p>
    <w:p w14:paraId="2D0FE368" w14:textId="77777777" w:rsidR="00CF248F" w:rsidRPr="00487834" w:rsidRDefault="00170D3D" w:rsidP="003128F6">
      <w:pPr>
        <w:autoSpaceDE w:val="0"/>
        <w:autoSpaceDN w:val="0"/>
        <w:adjustRightInd w:val="0"/>
        <w:spacing w:line="300" w:lineRule="auto"/>
        <w:rPr>
          <w:rFonts w:eastAsiaTheme="minorHAnsi"/>
          <w:lang w:val="en-US" w:eastAsia="en-US"/>
        </w:rPr>
      </w:pPr>
      <w:r w:rsidRPr="00487834">
        <w:rPr>
          <w:rFonts w:eastAsiaTheme="minorHAnsi"/>
          <w:b/>
          <w:bCs/>
          <w:lang w:val="en-US" w:eastAsia="en-US"/>
        </w:rPr>
        <w:t>Table 2</w:t>
      </w:r>
      <w:r w:rsidR="00BF355C" w:rsidRPr="00487834">
        <w:rPr>
          <w:rFonts w:eastAsiaTheme="minorHAnsi"/>
          <w:b/>
          <w:bCs/>
          <w:lang w:val="en-US" w:eastAsia="en-US"/>
        </w:rPr>
        <w:t>7</w:t>
      </w:r>
      <w:r w:rsidR="00B72D57" w:rsidRPr="00487834">
        <w:rPr>
          <w:rFonts w:eastAsiaTheme="minorHAnsi"/>
          <w:b/>
          <w:bCs/>
          <w:lang w:val="en-US" w:eastAsia="en-US"/>
        </w:rPr>
        <w:t xml:space="preserve"> </w:t>
      </w:r>
      <w:r w:rsidRPr="00487834">
        <w:rPr>
          <w:rFonts w:eastAsiaTheme="minorHAnsi"/>
          <w:b/>
          <w:bCs/>
          <w:lang w:val="en-GB" w:eastAsia="en-US"/>
        </w:rPr>
        <w:t xml:space="preserve">– </w:t>
      </w:r>
      <w:r w:rsidR="00CF248F" w:rsidRPr="00487834">
        <w:rPr>
          <w:rFonts w:eastAsiaTheme="minorHAnsi"/>
          <w:lang w:val="en-US" w:eastAsia="en-US"/>
        </w:rPr>
        <w:t xml:space="preserve">Cost of debt regression results without lagged predictor for country subsamples </w:t>
      </w:r>
    </w:p>
    <w:p w14:paraId="5593E3EC" w14:textId="77777777" w:rsidR="00CF248F" w:rsidRPr="00487834" w:rsidRDefault="00CF248F" w:rsidP="003128F6">
      <w:pPr>
        <w:autoSpaceDE w:val="0"/>
        <w:autoSpaceDN w:val="0"/>
        <w:adjustRightInd w:val="0"/>
        <w:spacing w:line="300" w:lineRule="auto"/>
        <w:rPr>
          <w:rFonts w:eastAsiaTheme="minorHAnsi"/>
          <w:lang w:val="en-US" w:eastAsia="en-US"/>
        </w:rPr>
      </w:pPr>
    </w:p>
    <w:tbl>
      <w:tblPr>
        <w:tblW w:w="7180" w:type="dxa"/>
        <w:jc w:val="center"/>
        <w:tblLook w:val="04A0" w:firstRow="1" w:lastRow="0" w:firstColumn="1" w:lastColumn="0" w:noHBand="0" w:noVBand="1"/>
      </w:tblPr>
      <w:tblGrid>
        <w:gridCol w:w="2000"/>
        <w:gridCol w:w="1300"/>
        <w:gridCol w:w="1300"/>
        <w:gridCol w:w="1280"/>
        <w:gridCol w:w="1300"/>
      </w:tblGrid>
      <w:tr w:rsidR="004D7B42" w:rsidRPr="00487834" w14:paraId="6855B836" w14:textId="77777777" w:rsidTr="004D7B42">
        <w:trPr>
          <w:trHeight w:val="260"/>
          <w:jc w:val="center"/>
        </w:trPr>
        <w:tc>
          <w:tcPr>
            <w:tcW w:w="2000" w:type="dxa"/>
            <w:tcBorders>
              <w:top w:val="single" w:sz="4" w:space="0" w:color="auto"/>
              <w:left w:val="nil"/>
              <w:bottom w:val="single" w:sz="4" w:space="0" w:color="auto"/>
              <w:right w:val="nil"/>
            </w:tcBorders>
            <w:shd w:val="clear" w:color="auto" w:fill="auto"/>
            <w:noWrap/>
            <w:vAlign w:val="center"/>
            <w:hideMark/>
          </w:tcPr>
          <w:p w14:paraId="259BB817" w14:textId="77777777" w:rsidR="004D7B42" w:rsidRPr="00487834" w:rsidRDefault="004D7B42" w:rsidP="00F36A29">
            <w:pPr>
              <w:pStyle w:val="NoSpacing"/>
            </w:pPr>
            <w:proofErr w:type="spellStart"/>
            <w:r w:rsidRPr="00487834">
              <w:t>Parameter</w:t>
            </w:r>
            <w:proofErr w:type="spellEnd"/>
          </w:p>
        </w:tc>
        <w:tc>
          <w:tcPr>
            <w:tcW w:w="1300" w:type="dxa"/>
            <w:tcBorders>
              <w:top w:val="single" w:sz="4" w:space="0" w:color="auto"/>
              <w:left w:val="nil"/>
              <w:bottom w:val="single" w:sz="4" w:space="0" w:color="auto"/>
              <w:right w:val="nil"/>
            </w:tcBorders>
            <w:shd w:val="clear" w:color="auto" w:fill="auto"/>
            <w:noWrap/>
            <w:vAlign w:val="bottom"/>
            <w:hideMark/>
          </w:tcPr>
          <w:p w14:paraId="61F21EA6" w14:textId="77777777" w:rsidR="004D7B42" w:rsidRPr="00487834" w:rsidRDefault="004D7B42" w:rsidP="00F36A29">
            <w:pPr>
              <w:pStyle w:val="NoSpacing"/>
            </w:pPr>
            <w:r w:rsidRPr="00487834">
              <w:t>Russia FE</w:t>
            </w:r>
          </w:p>
        </w:tc>
        <w:tc>
          <w:tcPr>
            <w:tcW w:w="1300" w:type="dxa"/>
            <w:tcBorders>
              <w:top w:val="single" w:sz="4" w:space="0" w:color="auto"/>
              <w:left w:val="nil"/>
              <w:bottom w:val="single" w:sz="4" w:space="0" w:color="auto"/>
              <w:right w:val="nil"/>
            </w:tcBorders>
            <w:shd w:val="clear" w:color="auto" w:fill="auto"/>
            <w:noWrap/>
            <w:vAlign w:val="bottom"/>
            <w:hideMark/>
          </w:tcPr>
          <w:p w14:paraId="208EAD69" w14:textId="77777777" w:rsidR="004D7B42" w:rsidRPr="00487834" w:rsidRDefault="004D7B42" w:rsidP="00F36A29">
            <w:pPr>
              <w:pStyle w:val="NoSpacing"/>
            </w:pPr>
            <w:r w:rsidRPr="00487834">
              <w:t>Russia RE</w:t>
            </w:r>
          </w:p>
        </w:tc>
        <w:tc>
          <w:tcPr>
            <w:tcW w:w="1280" w:type="dxa"/>
            <w:tcBorders>
              <w:top w:val="single" w:sz="4" w:space="0" w:color="auto"/>
              <w:left w:val="nil"/>
              <w:bottom w:val="single" w:sz="4" w:space="0" w:color="auto"/>
              <w:right w:val="nil"/>
            </w:tcBorders>
            <w:shd w:val="clear" w:color="auto" w:fill="auto"/>
            <w:noWrap/>
            <w:vAlign w:val="bottom"/>
            <w:hideMark/>
          </w:tcPr>
          <w:p w14:paraId="1C9F463A" w14:textId="77777777" w:rsidR="004D7B42" w:rsidRPr="00487834" w:rsidRDefault="004D7B42" w:rsidP="00F36A29">
            <w:pPr>
              <w:pStyle w:val="NoSpacing"/>
            </w:pPr>
            <w:proofErr w:type="spellStart"/>
            <w:r w:rsidRPr="00487834">
              <w:t>Brazil</w:t>
            </w:r>
            <w:proofErr w:type="spellEnd"/>
            <w:r w:rsidRPr="00487834">
              <w:t xml:space="preserve"> FE</w:t>
            </w:r>
          </w:p>
        </w:tc>
        <w:tc>
          <w:tcPr>
            <w:tcW w:w="1300" w:type="dxa"/>
            <w:tcBorders>
              <w:top w:val="single" w:sz="4" w:space="0" w:color="auto"/>
              <w:left w:val="nil"/>
              <w:bottom w:val="single" w:sz="4" w:space="0" w:color="auto"/>
              <w:right w:val="nil"/>
            </w:tcBorders>
            <w:shd w:val="clear" w:color="auto" w:fill="auto"/>
            <w:noWrap/>
            <w:vAlign w:val="bottom"/>
            <w:hideMark/>
          </w:tcPr>
          <w:p w14:paraId="2555D193" w14:textId="77777777" w:rsidR="004D7B42" w:rsidRPr="00487834" w:rsidRDefault="004D7B42" w:rsidP="00F36A29">
            <w:pPr>
              <w:pStyle w:val="NoSpacing"/>
            </w:pPr>
            <w:r w:rsidRPr="00487834">
              <w:t>S. Africa FE</w:t>
            </w:r>
          </w:p>
        </w:tc>
      </w:tr>
      <w:tr w:rsidR="004D7B42" w:rsidRPr="00487834" w14:paraId="4827DEE4" w14:textId="77777777" w:rsidTr="004D7B42">
        <w:trPr>
          <w:trHeight w:val="580"/>
          <w:jc w:val="center"/>
        </w:trPr>
        <w:tc>
          <w:tcPr>
            <w:tcW w:w="2000" w:type="dxa"/>
            <w:tcBorders>
              <w:top w:val="nil"/>
              <w:left w:val="nil"/>
              <w:bottom w:val="nil"/>
              <w:right w:val="nil"/>
            </w:tcBorders>
            <w:shd w:val="clear" w:color="auto" w:fill="auto"/>
            <w:noWrap/>
            <w:vAlign w:val="center"/>
            <w:hideMark/>
          </w:tcPr>
          <w:p w14:paraId="3B88D838" w14:textId="77777777" w:rsidR="004D7B42" w:rsidRPr="00487834" w:rsidRDefault="004D7B42" w:rsidP="00F36A29">
            <w:pPr>
              <w:pStyle w:val="NoSpacing"/>
              <w:rPr>
                <w:i/>
                <w:iCs/>
              </w:rPr>
            </w:pPr>
            <w:r w:rsidRPr="00487834">
              <w:rPr>
                <w:i/>
                <w:iCs/>
              </w:rPr>
              <w:t>C</w:t>
            </w:r>
          </w:p>
        </w:tc>
        <w:tc>
          <w:tcPr>
            <w:tcW w:w="1300" w:type="dxa"/>
            <w:tcBorders>
              <w:top w:val="nil"/>
              <w:left w:val="nil"/>
              <w:bottom w:val="nil"/>
              <w:right w:val="nil"/>
            </w:tcBorders>
            <w:shd w:val="clear" w:color="auto" w:fill="auto"/>
            <w:vAlign w:val="center"/>
            <w:hideMark/>
          </w:tcPr>
          <w:p w14:paraId="0BDBA5B4" w14:textId="77777777" w:rsidR="004D7B42" w:rsidRPr="00487834" w:rsidRDefault="004D7B42" w:rsidP="00F36A29">
            <w:pPr>
              <w:pStyle w:val="NoSpacing"/>
            </w:pPr>
            <w:r w:rsidRPr="00487834">
              <w:t xml:space="preserve">0.0481*** </w:t>
            </w:r>
            <w:proofErr w:type="gramStart"/>
            <w:r w:rsidRPr="00487834">
              <w:t xml:space="preserve">   (</w:t>
            </w:r>
            <w:proofErr w:type="gramEnd"/>
            <w:r w:rsidRPr="00487834">
              <w:t>0.017)</w:t>
            </w:r>
          </w:p>
        </w:tc>
        <w:tc>
          <w:tcPr>
            <w:tcW w:w="1300" w:type="dxa"/>
            <w:tcBorders>
              <w:top w:val="nil"/>
              <w:left w:val="nil"/>
              <w:bottom w:val="nil"/>
              <w:right w:val="nil"/>
            </w:tcBorders>
            <w:shd w:val="clear" w:color="auto" w:fill="auto"/>
            <w:vAlign w:val="center"/>
            <w:hideMark/>
          </w:tcPr>
          <w:p w14:paraId="04709734" w14:textId="77777777" w:rsidR="004D7B42" w:rsidRPr="00487834" w:rsidRDefault="004D7B42" w:rsidP="00F36A29">
            <w:pPr>
              <w:pStyle w:val="NoSpacing"/>
            </w:pPr>
            <w:r w:rsidRPr="00487834">
              <w:t>0.0326*** (0.001)</w:t>
            </w:r>
          </w:p>
        </w:tc>
        <w:tc>
          <w:tcPr>
            <w:tcW w:w="1280" w:type="dxa"/>
            <w:tcBorders>
              <w:top w:val="nil"/>
              <w:left w:val="nil"/>
              <w:bottom w:val="nil"/>
              <w:right w:val="nil"/>
            </w:tcBorders>
            <w:shd w:val="clear" w:color="auto" w:fill="auto"/>
            <w:vAlign w:val="center"/>
            <w:hideMark/>
          </w:tcPr>
          <w:p w14:paraId="6E654AD4" w14:textId="77777777" w:rsidR="004D7B42" w:rsidRPr="00487834" w:rsidRDefault="004D7B42" w:rsidP="00F36A29">
            <w:pPr>
              <w:pStyle w:val="NoSpacing"/>
            </w:pPr>
            <w:r w:rsidRPr="00487834">
              <w:t>0.0353*** (0.001)</w:t>
            </w:r>
          </w:p>
        </w:tc>
        <w:tc>
          <w:tcPr>
            <w:tcW w:w="1300" w:type="dxa"/>
            <w:tcBorders>
              <w:top w:val="nil"/>
              <w:left w:val="nil"/>
              <w:bottom w:val="nil"/>
              <w:right w:val="nil"/>
            </w:tcBorders>
            <w:shd w:val="clear" w:color="auto" w:fill="auto"/>
            <w:vAlign w:val="center"/>
            <w:hideMark/>
          </w:tcPr>
          <w:p w14:paraId="3EF495E9" w14:textId="77777777" w:rsidR="004D7B42" w:rsidRPr="00487834" w:rsidRDefault="004D7B42" w:rsidP="00F36A29">
            <w:pPr>
              <w:pStyle w:val="NoSpacing"/>
            </w:pPr>
            <w:r w:rsidRPr="00487834">
              <w:t>0.0388*** (0.002)</w:t>
            </w:r>
          </w:p>
        </w:tc>
      </w:tr>
      <w:tr w:rsidR="004D7B42" w:rsidRPr="00487834" w14:paraId="5C7723C3" w14:textId="77777777" w:rsidTr="004D7B42">
        <w:trPr>
          <w:trHeight w:val="580"/>
          <w:jc w:val="center"/>
        </w:trPr>
        <w:tc>
          <w:tcPr>
            <w:tcW w:w="2000" w:type="dxa"/>
            <w:tcBorders>
              <w:top w:val="nil"/>
              <w:left w:val="nil"/>
              <w:bottom w:val="nil"/>
              <w:right w:val="nil"/>
            </w:tcBorders>
            <w:shd w:val="clear" w:color="auto" w:fill="auto"/>
            <w:noWrap/>
            <w:vAlign w:val="center"/>
            <w:hideMark/>
          </w:tcPr>
          <w:p w14:paraId="3C9EA31A" w14:textId="77777777" w:rsidR="004D7B42" w:rsidRPr="00487834" w:rsidRDefault="004D7B42" w:rsidP="00F36A29">
            <w:pPr>
              <w:pStyle w:val="NoSpacing"/>
              <w:rPr>
                <w:i/>
                <w:iCs/>
              </w:rPr>
            </w:pPr>
            <w:r w:rsidRPr="00487834">
              <w:rPr>
                <w:i/>
                <w:iCs/>
              </w:rPr>
              <w:t>ESG</w:t>
            </w:r>
          </w:p>
        </w:tc>
        <w:tc>
          <w:tcPr>
            <w:tcW w:w="1300" w:type="dxa"/>
            <w:tcBorders>
              <w:top w:val="nil"/>
              <w:left w:val="nil"/>
              <w:bottom w:val="nil"/>
              <w:right w:val="nil"/>
            </w:tcBorders>
            <w:shd w:val="clear" w:color="auto" w:fill="auto"/>
            <w:vAlign w:val="center"/>
            <w:hideMark/>
          </w:tcPr>
          <w:p w14:paraId="2CE3E0DB" w14:textId="77777777" w:rsidR="004D7B42" w:rsidRPr="00487834" w:rsidRDefault="004D7B42" w:rsidP="00F36A29">
            <w:pPr>
              <w:pStyle w:val="NoSpacing"/>
            </w:pPr>
            <w:r w:rsidRPr="00487834">
              <w:t xml:space="preserve">-0.001 </w:t>
            </w:r>
            <w:proofErr w:type="gramStart"/>
            <w:r w:rsidRPr="00487834">
              <w:t xml:space="preserve">   (</w:t>
            </w:r>
            <w:proofErr w:type="gramEnd"/>
            <w:r w:rsidRPr="00487834">
              <w:t>0.003)</w:t>
            </w:r>
          </w:p>
        </w:tc>
        <w:tc>
          <w:tcPr>
            <w:tcW w:w="1300" w:type="dxa"/>
            <w:tcBorders>
              <w:top w:val="nil"/>
              <w:left w:val="nil"/>
              <w:bottom w:val="nil"/>
              <w:right w:val="nil"/>
            </w:tcBorders>
            <w:shd w:val="clear" w:color="auto" w:fill="auto"/>
            <w:vAlign w:val="center"/>
            <w:hideMark/>
          </w:tcPr>
          <w:p w14:paraId="3D36052E" w14:textId="77777777" w:rsidR="004D7B42" w:rsidRPr="00487834" w:rsidRDefault="004D7B42" w:rsidP="00F36A29">
            <w:pPr>
              <w:pStyle w:val="NoSpacing"/>
            </w:pPr>
            <w:r w:rsidRPr="00487834">
              <w:t xml:space="preserve">-0.002 </w:t>
            </w:r>
            <w:proofErr w:type="gramStart"/>
            <w:r w:rsidRPr="00487834">
              <w:t xml:space="preserve">   (</w:t>
            </w:r>
            <w:proofErr w:type="gramEnd"/>
            <w:r w:rsidRPr="00487834">
              <w:t>0.001)</w:t>
            </w:r>
          </w:p>
        </w:tc>
        <w:tc>
          <w:tcPr>
            <w:tcW w:w="1280" w:type="dxa"/>
            <w:tcBorders>
              <w:top w:val="nil"/>
              <w:left w:val="nil"/>
              <w:bottom w:val="nil"/>
              <w:right w:val="nil"/>
            </w:tcBorders>
            <w:shd w:val="clear" w:color="auto" w:fill="auto"/>
            <w:vAlign w:val="center"/>
            <w:hideMark/>
          </w:tcPr>
          <w:p w14:paraId="5C718476" w14:textId="77777777" w:rsidR="004D7B42" w:rsidRPr="00487834" w:rsidRDefault="004D7B42" w:rsidP="00F36A29">
            <w:pPr>
              <w:pStyle w:val="NoSpacing"/>
            </w:pPr>
            <w:r w:rsidRPr="00487834">
              <w:t>-0.0059**</w:t>
            </w:r>
            <w:proofErr w:type="gramStart"/>
            <w:r w:rsidRPr="00487834">
              <w:t>*  (</w:t>
            </w:r>
            <w:proofErr w:type="gramEnd"/>
            <w:r w:rsidRPr="00487834">
              <w:t>0.001)</w:t>
            </w:r>
          </w:p>
        </w:tc>
        <w:tc>
          <w:tcPr>
            <w:tcW w:w="1300" w:type="dxa"/>
            <w:tcBorders>
              <w:top w:val="nil"/>
              <w:left w:val="nil"/>
              <w:bottom w:val="nil"/>
              <w:right w:val="nil"/>
            </w:tcBorders>
            <w:shd w:val="clear" w:color="auto" w:fill="auto"/>
            <w:vAlign w:val="center"/>
            <w:hideMark/>
          </w:tcPr>
          <w:p w14:paraId="09F3790A" w14:textId="77777777" w:rsidR="004D7B42" w:rsidRPr="00487834" w:rsidRDefault="004D7B42" w:rsidP="00F36A29">
            <w:pPr>
              <w:pStyle w:val="NoSpacing"/>
            </w:pPr>
            <w:r w:rsidRPr="00487834">
              <w:t>0.0066*** (0.002)</w:t>
            </w:r>
          </w:p>
        </w:tc>
      </w:tr>
      <w:tr w:rsidR="004D7B42" w:rsidRPr="00487834" w14:paraId="47E52A05" w14:textId="77777777" w:rsidTr="004D7B42">
        <w:trPr>
          <w:trHeight w:val="600"/>
          <w:jc w:val="center"/>
        </w:trPr>
        <w:tc>
          <w:tcPr>
            <w:tcW w:w="2000" w:type="dxa"/>
            <w:tcBorders>
              <w:top w:val="nil"/>
              <w:left w:val="nil"/>
              <w:bottom w:val="nil"/>
              <w:right w:val="nil"/>
            </w:tcBorders>
            <w:shd w:val="clear" w:color="auto" w:fill="auto"/>
            <w:noWrap/>
            <w:vAlign w:val="center"/>
            <w:hideMark/>
          </w:tcPr>
          <w:p w14:paraId="61A3D358" w14:textId="77777777" w:rsidR="004D7B42" w:rsidRPr="00487834" w:rsidRDefault="004D7B42" w:rsidP="00F36A29">
            <w:pPr>
              <w:pStyle w:val="NoSpacing"/>
              <w:rPr>
                <w:i/>
                <w:iCs/>
              </w:rPr>
            </w:pPr>
            <w:r w:rsidRPr="00487834">
              <w:rPr>
                <w:i/>
                <w:iCs/>
              </w:rPr>
              <w:t>MCAP</w:t>
            </w:r>
          </w:p>
        </w:tc>
        <w:tc>
          <w:tcPr>
            <w:tcW w:w="1300" w:type="dxa"/>
            <w:tcBorders>
              <w:top w:val="nil"/>
              <w:left w:val="nil"/>
              <w:bottom w:val="nil"/>
              <w:right w:val="nil"/>
            </w:tcBorders>
            <w:shd w:val="clear" w:color="auto" w:fill="auto"/>
            <w:vAlign w:val="center"/>
            <w:hideMark/>
          </w:tcPr>
          <w:p w14:paraId="64EFB933" w14:textId="77777777" w:rsidR="004D7B42" w:rsidRPr="00487834" w:rsidRDefault="004D7B42" w:rsidP="00F36A29">
            <w:pPr>
              <w:pStyle w:val="NoSpacing"/>
            </w:pPr>
            <w:r w:rsidRPr="00487834">
              <w:t>-0.</w:t>
            </w:r>
            <w:proofErr w:type="gramStart"/>
            <w:r w:rsidRPr="00487834">
              <w:t>0034  (</w:t>
            </w:r>
            <w:proofErr w:type="gramEnd"/>
            <w:r w:rsidRPr="00487834">
              <w:t>0.012)</w:t>
            </w:r>
          </w:p>
        </w:tc>
        <w:tc>
          <w:tcPr>
            <w:tcW w:w="1300" w:type="dxa"/>
            <w:tcBorders>
              <w:top w:val="nil"/>
              <w:left w:val="nil"/>
              <w:bottom w:val="nil"/>
              <w:right w:val="nil"/>
            </w:tcBorders>
            <w:shd w:val="clear" w:color="auto" w:fill="auto"/>
            <w:vAlign w:val="center"/>
            <w:hideMark/>
          </w:tcPr>
          <w:p w14:paraId="5BA0B863" w14:textId="77777777" w:rsidR="004D7B42" w:rsidRPr="00487834" w:rsidRDefault="004D7B42" w:rsidP="00F36A29">
            <w:pPr>
              <w:pStyle w:val="NoSpacing"/>
            </w:pPr>
            <w:r w:rsidRPr="00487834">
              <w:t xml:space="preserve">-0.003 </w:t>
            </w:r>
            <w:proofErr w:type="gramStart"/>
            <w:r w:rsidRPr="00487834">
              <w:t xml:space="preserve">   (</w:t>
            </w:r>
            <w:proofErr w:type="gramEnd"/>
            <w:r w:rsidRPr="00487834">
              <w:t>0.004)</w:t>
            </w:r>
          </w:p>
        </w:tc>
        <w:tc>
          <w:tcPr>
            <w:tcW w:w="1280" w:type="dxa"/>
            <w:tcBorders>
              <w:top w:val="nil"/>
              <w:left w:val="nil"/>
              <w:bottom w:val="nil"/>
              <w:right w:val="nil"/>
            </w:tcBorders>
            <w:shd w:val="clear" w:color="auto" w:fill="auto"/>
            <w:vAlign w:val="center"/>
            <w:hideMark/>
          </w:tcPr>
          <w:p w14:paraId="3FCE8628" w14:textId="77777777" w:rsidR="004D7B42" w:rsidRPr="00487834" w:rsidRDefault="004D7B42" w:rsidP="00F36A29">
            <w:pPr>
              <w:pStyle w:val="NoSpacing"/>
            </w:pPr>
            <w:r w:rsidRPr="00487834">
              <w:t>-0.009*** (0.003)</w:t>
            </w:r>
          </w:p>
        </w:tc>
        <w:tc>
          <w:tcPr>
            <w:tcW w:w="1300" w:type="dxa"/>
            <w:tcBorders>
              <w:top w:val="nil"/>
              <w:left w:val="nil"/>
              <w:bottom w:val="nil"/>
              <w:right w:val="nil"/>
            </w:tcBorders>
            <w:shd w:val="clear" w:color="auto" w:fill="auto"/>
            <w:vAlign w:val="center"/>
            <w:hideMark/>
          </w:tcPr>
          <w:p w14:paraId="70FD7E5A" w14:textId="77777777" w:rsidR="004D7B42" w:rsidRPr="00487834" w:rsidRDefault="004D7B42" w:rsidP="00F36A29">
            <w:pPr>
              <w:pStyle w:val="NoSpacing"/>
            </w:pPr>
            <w:r w:rsidRPr="00487834">
              <w:t>-0.0129*** (0.004)</w:t>
            </w:r>
          </w:p>
        </w:tc>
      </w:tr>
      <w:tr w:rsidR="004D7B42" w:rsidRPr="00487834" w14:paraId="18D5CA19" w14:textId="77777777" w:rsidTr="004D7B42">
        <w:trPr>
          <w:trHeight w:val="560"/>
          <w:jc w:val="center"/>
        </w:trPr>
        <w:tc>
          <w:tcPr>
            <w:tcW w:w="2000" w:type="dxa"/>
            <w:tcBorders>
              <w:top w:val="nil"/>
              <w:left w:val="nil"/>
              <w:bottom w:val="nil"/>
              <w:right w:val="nil"/>
            </w:tcBorders>
            <w:shd w:val="clear" w:color="auto" w:fill="auto"/>
            <w:noWrap/>
            <w:vAlign w:val="center"/>
            <w:hideMark/>
          </w:tcPr>
          <w:p w14:paraId="3D89EE3D" w14:textId="77777777" w:rsidR="004D7B42" w:rsidRPr="00487834" w:rsidRDefault="004D7B42" w:rsidP="00F36A29">
            <w:pPr>
              <w:pStyle w:val="NoSpacing"/>
              <w:rPr>
                <w:i/>
                <w:iCs/>
              </w:rPr>
            </w:pPr>
            <w:r w:rsidRPr="00487834">
              <w:rPr>
                <w:i/>
                <w:iCs/>
              </w:rPr>
              <w:t>ICR</w:t>
            </w:r>
          </w:p>
        </w:tc>
        <w:tc>
          <w:tcPr>
            <w:tcW w:w="1300" w:type="dxa"/>
            <w:tcBorders>
              <w:top w:val="nil"/>
              <w:left w:val="nil"/>
              <w:bottom w:val="nil"/>
              <w:right w:val="nil"/>
            </w:tcBorders>
            <w:shd w:val="clear" w:color="auto" w:fill="auto"/>
            <w:vAlign w:val="center"/>
            <w:hideMark/>
          </w:tcPr>
          <w:p w14:paraId="6F856DA1" w14:textId="77777777" w:rsidR="004D7B42" w:rsidRPr="00487834" w:rsidRDefault="004D7B42" w:rsidP="00F36A29">
            <w:pPr>
              <w:pStyle w:val="NoSpacing"/>
            </w:pPr>
            <w:r w:rsidRPr="00487834">
              <w:t>-0.0128</w:t>
            </w:r>
            <w:proofErr w:type="gramStart"/>
            <w:r w:rsidRPr="00487834">
              <w:t xml:space="preserve">   (</w:t>
            </w:r>
            <w:proofErr w:type="gramEnd"/>
            <w:r w:rsidRPr="00487834">
              <w:t>0.021)</w:t>
            </w:r>
          </w:p>
        </w:tc>
        <w:tc>
          <w:tcPr>
            <w:tcW w:w="1300" w:type="dxa"/>
            <w:tcBorders>
              <w:top w:val="nil"/>
              <w:left w:val="nil"/>
              <w:bottom w:val="nil"/>
              <w:right w:val="nil"/>
            </w:tcBorders>
            <w:shd w:val="clear" w:color="auto" w:fill="auto"/>
            <w:vAlign w:val="center"/>
            <w:hideMark/>
          </w:tcPr>
          <w:p w14:paraId="6CCBA0AA" w14:textId="77777777" w:rsidR="004D7B42" w:rsidRPr="00487834" w:rsidRDefault="004D7B42" w:rsidP="00F36A29">
            <w:pPr>
              <w:pStyle w:val="NoSpacing"/>
            </w:pPr>
            <w:r w:rsidRPr="00487834">
              <w:t xml:space="preserve">-0.0243 </w:t>
            </w:r>
            <w:proofErr w:type="gramStart"/>
            <w:r w:rsidRPr="00487834">
              <w:t xml:space="preserve">   (</w:t>
            </w:r>
            <w:proofErr w:type="gramEnd"/>
            <w:r w:rsidRPr="00487834">
              <w:t>0.018)</w:t>
            </w:r>
          </w:p>
        </w:tc>
        <w:tc>
          <w:tcPr>
            <w:tcW w:w="1280" w:type="dxa"/>
            <w:tcBorders>
              <w:top w:val="nil"/>
              <w:left w:val="nil"/>
              <w:bottom w:val="nil"/>
              <w:right w:val="nil"/>
            </w:tcBorders>
            <w:shd w:val="clear" w:color="auto" w:fill="auto"/>
            <w:vAlign w:val="center"/>
            <w:hideMark/>
          </w:tcPr>
          <w:p w14:paraId="5ADF783E" w14:textId="77777777" w:rsidR="004D7B42" w:rsidRPr="00487834" w:rsidRDefault="004D7B42" w:rsidP="00F36A29">
            <w:pPr>
              <w:pStyle w:val="NoSpacing"/>
            </w:pPr>
            <w:r w:rsidRPr="00487834">
              <w:t xml:space="preserve">-0.002 </w:t>
            </w:r>
            <w:proofErr w:type="gramStart"/>
            <w:r w:rsidRPr="00487834">
              <w:t xml:space="preserve">   (</w:t>
            </w:r>
            <w:proofErr w:type="gramEnd"/>
            <w:r w:rsidRPr="00487834">
              <w:t>0.007)</w:t>
            </w:r>
          </w:p>
        </w:tc>
        <w:tc>
          <w:tcPr>
            <w:tcW w:w="1300" w:type="dxa"/>
            <w:tcBorders>
              <w:top w:val="nil"/>
              <w:left w:val="nil"/>
              <w:bottom w:val="nil"/>
              <w:right w:val="nil"/>
            </w:tcBorders>
            <w:shd w:val="clear" w:color="auto" w:fill="auto"/>
            <w:vAlign w:val="center"/>
            <w:hideMark/>
          </w:tcPr>
          <w:p w14:paraId="4A14BE4F" w14:textId="77777777" w:rsidR="004D7B42" w:rsidRPr="00487834" w:rsidRDefault="004D7B42" w:rsidP="00F36A29">
            <w:pPr>
              <w:pStyle w:val="NoSpacing"/>
            </w:pPr>
            <w:r w:rsidRPr="00487834">
              <w:t xml:space="preserve">-0.003  </w:t>
            </w:r>
            <w:proofErr w:type="gramStart"/>
            <w:r w:rsidRPr="00487834">
              <w:t xml:space="preserve">   (</w:t>
            </w:r>
            <w:proofErr w:type="gramEnd"/>
            <w:r w:rsidRPr="00487834">
              <w:t>0.004)</w:t>
            </w:r>
          </w:p>
        </w:tc>
      </w:tr>
      <w:tr w:rsidR="004D7B42" w:rsidRPr="00487834" w14:paraId="75224DEC" w14:textId="77777777" w:rsidTr="004D7B42">
        <w:trPr>
          <w:trHeight w:val="580"/>
          <w:jc w:val="center"/>
        </w:trPr>
        <w:tc>
          <w:tcPr>
            <w:tcW w:w="2000" w:type="dxa"/>
            <w:tcBorders>
              <w:top w:val="nil"/>
              <w:left w:val="nil"/>
              <w:bottom w:val="nil"/>
              <w:right w:val="nil"/>
            </w:tcBorders>
            <w:shd w:val="clear" w:color="auto" w:fill="auto"/>
            <w:noWrap/>
            <w:vAlign w:val="center"/>
            <w:hideMark/>
          </w:tcPr>
          <w:p w14:paraId="5CB6DC0D" w14:textId="77777777" w:rsidR="004D7B42" w:rsidRPr="00487834" w:rsidRDefault="004D7B42" w:rsidP="00F36A29">
            <w:pPr>
              <w:pStyle w:val="NoSpacing"/>
              <w:rPr>
                <w:i/>
                <w:iCs/>
              </w:rPr>
            </w:pPr>
            <w:r w:rsidRPr="00487834">
              <w:rPr>
                <w:i/>
                <w:iCs/>
              </w:rPr>
              <w:t>ROA</w:t>
            </w:r>
          </w:p>
        </w:tc>
        <w:tc>
          <w:tcPr>
            <w:tcW w:w="1300" w:type="dxa"/>
            <w:tcBorders>
              <w:top w:val="nil"/>
              <w:left w:val="nil"/>
              <w:bottom w:val="nil"/>
              <w:right w:val="nil"/>
            </w:tcBorders>
            <w:shd w:val="clear" w:color="auto" w:fill="auto"/>
            <w:vAlign w:val="center"/>
            <w:hideMark/>
          </w:tcPr>
          <w:p w14:paraId="6E24B6B0" w14:textId="77777777" w:rsidR="004D7B42" w:rsidRPr="00487834" w:rsidRDefault="004D7B42" w:rsidP="00F36A29">
            <w:pPr>
              <w:pStyle w:val="NoSpacing"/>
            </w:pPr>
            <w:r w:rsidRPr="00487834">
              <w:t>-0.0076*</w:t>
            </w:r>
            <w:proofErr w:type="gramStart"/>
            <w:r w:rsidRPr="00487834">
              <w:t>*  (</w:t>
            </w:r>
            <w:proofErr w:type="gramEnd"/>
            <w:r w:rsidRPr="00487834">
              <w:t>0.003)</w:t>
            </w:r>
          </w:p>
        </w:tc>
        <w:tc>
          <w:tcPr>
            <w:tcW w:w="1300" w:type="dxa"/>
            <w:tcBorders>
              <w:top w:val="nil"/>
              <w:left w:val="nil"/>
              <w:bottom w:val="nil"/>
              <w:right w:val="nil"/>
            </w:tcBorders>
            <w:shd w:val="clear" w:color="auto" w:fill="auto"/>
            <w:vAlign w:val="center"/>
            <w:hideMark/>
          </w:tcPr>
          <w:p w14:paraId="11816138" w14:textId="77777777" w:rsidR="004D7B42" w:rsidRPr="00487834" w:rsidRDefault="004D7B42" w:rsidP="00F36A29">
            <w:pPr>
              <w:pStyle w:val="NoSpacing"/>
            </w:pPr>
            <w:r w:rsidRPr="00487834">
              <w:t>-0.0066***</w:t>
            </w:r>
            <w:proofErr w:type="gramStart"/>
            <w:r w:rsidRPr="00487834">
              <w:t xml:space="preserve">   (</w:t>
            </w:r>
            <w:proofErr w:type="gramEnd"/>
            <w:r w:rsidRPr="00487834">
              <w:t>0.003)</w:t>
            </w:r>
          </w:p>
        </w:tc>
        <w:tc>
          <w:tcPr>
            <w:tcW w:w="1280" w:type="dxa"/>
            <w:tcBorders>
              <w:top w:val="nil"/>
              <w:left w:val="nil"/>
              <w:bottom w:val="nil"/>
              <w:right w:val="nil"/>
            </w:tcBorders>
            <w:shd w:val="clear" w:color="auto" w:fill="auto"/>
            <w:vAlign w:val="center"/>
            <w:hideMark/>
          </w:tcPr>
          <w:p w14:paraId="2B7B6EBF" w14:textId="77777777" w:rsidR="004D7B42" w:rsidRPr="00487834" w:rsidRDefault="004D7B42" w:rsidP="00F36A29">
            <w:pPr>
              <w:pStyle w:val="NoSpacing"/>
            </w:pPr>
            <w:r w:rsidRPr="00487834">
              <w:t>-0.0014</w:t>
            </w:r>
            <w:proofErr w:type="gramStart"/>
            <w:r w:rsidRPr="00487834">
              <w:t xml:space="preserve">   (</w:t>
            </w:r>
            <w:proofErr w:type="gramEnd"/>
            <w:r w:rsidRPr="00487834">
              <w:t>0.001)</w:t>
            </w:r>
          </w:p>
        </w:tc>
        <w:tc>
          <w:tcPr>
            <w:tcW w:w="1300" w:type="dxa"/>
            <w:tcBorders>
              <w:top w:val="nil"/>
              <w:left w:val="nil"/>
              <w:bottom w:val="nil"/>
              <w:right w:val="nil"/>
            </w:tcBorders>
            <w:shd w:val="clear" w:color="auto" w:fill="auto"/>
            <w:vAlign w:val="center"/>
            <w:hideMark/>
          </w:tcPr>
          <w:p w14:paraId="39546137" w14:textId="77777777" w:rsidR="004D7B42" w:rsidRPr="00487834" w:rsidRDefault="004D7B42" w:rsidP="00F36A29">
            <w:pPr>
              <w:pStyle w:val="NoSpacing"/>
            </w:pPr>
            <w:r w:rsidRPr="00487834">
              <w:t>-0.0004</w:t>
            </w:r>
            <w:proofErr w:type="gramStart"/>
            <w:r w:rsidRPr="00487834">
              <w:t xml:space="preserve">   (</w:t>
            </w:r>
            <w:proofErr w:type="gramEnd"/>
            <w:r w:rsidRPr="00487834">
              <w:t>0.002)</w:t>
            </w:r>
          </w:p>
        </w:tc>
      </w:tr>
      <w:tr w:rsidR="004D7B42" w:rsidRPr="00487834" w14:paraId="2EBCE28B" w14:textId="77777777" w:rsidTr="004D7B42">
        <w:trPr>
          <w:trHeight w:val="580"/>
          <w:jc w:val="center"/>
        </w:trPr>
        <w:tc>
          <w:tcPr>
            <w:tcW w:w="2000" w:type="dxa"/>
            <w:tcBorders>
              <w:top w:val="nil"/>
              <w:left w:val="nil"/>
              <w:bottom w:val="nil"/>
              <w:right w:val="nil"/>
            </w:tcBorders>
            <w:shd w:val="clear" w:color="auto" w:fill="auto"/>
            <w:noWrap/>
            <w:vAlign w:val="center"/>
            <w:hideMark/>
          </w:tcPr>
          <w:p w14:paraId="401459DC" w14:textId="77777777" w:rsidR="004D7B42" w:rsidRPr="00487834" w:rsidRDefault="004D7B42" w:rsidP="00F36A29">
            <w:pPr>
              <w:pStyle w:val="NoSpacing"/>
              <w:rPr>
                <w:i/>
                <w:iCs/>
              </w:rPr>
            </w:pPr>
            <w:r w:rsidRPr="00487834">
              <w:rPr>
                <w:i/>
                <w:iCs/>
              </w:rPr>
              <w:t>Current</w:t>
            </w:r>
          </w:p>
        </w:tc>
        <w:tc>
          <w:tcPr>
            <w:tcW w:w="1300" w:type="dxa"/>
            <w:tcBorders>
              <w:top w:val="nil"/>
              <w:left w:val="nil"/>
              <w:bottom w:val="nil"/>
              <w:right w:val="nil"/>
            </w:tcBorders>
            <w:shd w:val="clear" w:color="auto" w:fill="auto"/>
            <w:vAlign w:val="center"/>
            <w:hideMark/>
          </w:tcPr>
          <w:p w14:paraId="67C821D0" w14:textId="77777777" w:rsidR="004D7B42" w:rsidRPr="00487834" w:rsidRDefault="004D7B42" w:rsidP="00F36A29">
            <w:pPr>
              <w:pStyle w:val="NoSpacing"/>
            </w:pPr>
            <w:r w:rsidRPr="00487834">
              <w:t>-0.</w:t>
            </w:r>
            <w:proofErr w:type="gramStart"/>
            <w:r w:rsidRPr="00487834">
              <w:t>0438  (</w:t>
            </w:r>
            <w:proofErr w:type="gramEnd"/>
            <w:r w:rsidRPr="00487834">
              <w:t>0.056)</w:t>
            </w:r>
          </w:p>
        </w:tc>
        <w:tc>
          <w:tcPr>
            <w:tcW w:w="1300" w:type="dxa"/>
            <w:tcBorders>
              <w:top w:val="nil"/>
              <w:left w:val="nil"/>
              <w:bottom w:val="nil"/>
              <w:right w:val="nil"/>
            </w:tcBorders>
            <w:shd w:val="clear" w:color="auto" w:fill="auto"/>
            <w:vAlign w:val="center"/>
            <w:hideMark/>
          </w:tcPr>
          <w:p w14:paraId="03C6210D" w14:textId="77777777" w:rsidR="004D7B42" w:rsidRPr="00487834" w:rsidRDefault="004D7B42" w:rsidP="00F36A29">
            <w:pPr>
              <w:pStyle w:val="NoSpacing"/>
            </w:pPr>
            <w:r w:rsidRPr="00487834">
              <w:t xml:space="preserve">-0.0302 </w:t>
            </w:r>
            <w:proofErr w:type="gramStart"/>
            <w:r w:rsidRPr="00487834">
              <w:t xml:space="preserve">   (</w:t>
            </w:r>
            <w:proofErr w:type="gramEnd"/>
            <w:r w:rsidRPr="00487834">
              <w:t>0.033)</w:t>
            </w:r>
          </w:p>
        </w:tc>
        <w:tc>
          <w:tcPr>
            <w:tcW w:w="1280" w:type="dxa"/>
            <w:tcBorders>
              <w:top w:val="nil"/>
              <w:left w:val="nil"/>
              <w:bottom w:val="nil"/>
              <w:right w:val="nil"/>
            </w:tcBorders>
            <w:shd w:val="clear" w:color="auto" w:fill="auto"/>
            <w:vAlign w:val="center"/>
            <w:hideMark/>
          </w:tcPr>
          <w:p w14:paraId="62EEA632" w14:textId="77777777" w:rsidR="004D7B42" w:rsidRPr="00487834" w:rsidRDefault="004D7B42" w:rsidP="00F36A29">
            <w:pPr>
              <w:pStyle w:val="NoSpacing"/>
            </w:pPr>
            <w:r w:rsidRPr="00487834">
              <w:t>-0.009*</w:t>
            </w:r>
            <w:proofErr w:type="gramStart"/>
            <w:r w:rsidRPr="00487834">
              <w:t>*  (</w:t>
            </w:r>
            <w:proofErr w:type="gramEnd"/>
            <w:r w:rsidRPr="00487834">
              <w:t>0.004)</w:t>
            </w:r>
          </w:p>
        </w:tc>
        <w:tc>
          <w:tcPr>
            <w:tcW w:w="1300" w:type="dxa"/>
            <w:tcBorders>
              <w:top w:val="nil"/>
              <w:left w:val="nil"/>
              <w:bottom w:val="nil"/>
              <w:right w:val="nil"/>
            </w:tcBorders>
            <w:shd w:val="clear" w:color="auto" w:fill="auto"/>
            <w:vAlign w:val="center"/>
            <w:hideMark/>
          </w:tcPr>
          <w:p w14:paraId="786AA806" w14:textId="77777777" w:rsidR="004D7B42" w:rsidRPr="00487834" w:rsidRDefault="004D7B42" w:rsidP="00F36A29">
            <w:pPr>
              <w:pStyle w:val="NoSpacing"/>
            </w:pPr>
            <w:r w:rsidRPr="00487834">
              <w:t xml:space="preserve">-0.081   </w:t>
            </w:r>
            <w:proofErr w:type="gramStart"/>
            <w:r w:rsidRPr="00487834">
              <w:t xml:space="preserve">   (</w:t>
            </w:r>
            <w:proofErr w:type="gramEnd"/>
            <w:r w:rsidRPr="00487834">
              <w:t>0.005)</w:t>
            </w:r>
          </w:p>
        </w:tc>
      </w:tr>
      <w:tr w:rsidR="004D7B42" w:rsidRPr="00487834" w14:paraId="00779A53" w14:textId="77777777" w:rsidTr="004D7B42">
        <w:trPr>
          <w:trHeight w:val="560"/>
          <w:jc w:val="center"/>
        </w:trPr>
        <w:tc>
          <w:tcPr>
            <w:tcW w:w="2000" w:type="dxa"/>
            <w:tcBorders>
              <w:top w:val="nil"/>
              <w:left w:val="nil"/>
              <w:bottom w:val="nil"/>
              <w:right w:val="nil"/>
            </w:tcBorders>
            <w:shd w:val="clear" w:color="auto" w:fill="auto"/>
            <w:noWrap/>
            <w:vAlign w:val="center"/>
            <w:hideMark/>
          </w:tcPr>
          <w:p w14:paraId="1F4BCBC9" w14:textId="77777777" w:rsidR="004D7B42" w:rsidRPr="00487834" w:rsidRDefault="004D7B42" w:rsidP="00F36A29">
            <w:pPr>
              <w:pStyle w:val="NoSpacing"/>
              <w:rPr>
                <w:i/>
                <w:iCs/>
              </w:rPr>
            </w:pPr>
            <w:r w:rsidRPr="00487834">
              <w:rPr>
                <w:i/>
                <w:iCs/>
              </w:rPr>
              <w:t>LEV</w:t>
            </w:r>
          </w:p>
        </w:tc>
        <w:tc>
          <w:tcPr>
            <w:tcW w:w="1300" w:type="dxa"/>
            <w:tcBorders>
              <w:top w:val="nil"/>
              <w:left w:val="nil"/>
              <w:bottom w:val="nil"/>
              <w:right w:val="nil"/>
            </w:tcBorders>
            <w:shd w:val="clear" w:color="auto" w:fill="auto"/>
            <w:vAlign w:val="center"/>
            <w:hideMark/>
          </w:tcPr>
          <w:p w14:paraId="39D596F7" w14:textId="77777777" w:rsidR="004D7B42" w:rsidRPr="00487834" w:rsidRDefault="004D7B42" w:rsidP="00F36A29">
            <w:pPr>
              <w:pStyle w:val="NoSpacing"/>
            </w:pPr>
            <w:r w:rsidRPr="00487834">
              <w:t xml:space="preserve">0.0042 </w:t>
            </w:r>
            <w:proofErr w:type="gramStart"/>
            <w:r w:rsidRPr="00487834">
              <w:t xml:space="preserve">   (</w:t>
            </w:r>
            <w:proofErr w:type="gramEnd"/>
            <w:r w:rsidRPr="00487834">
              <w:t>0.004)</w:t>
            </w:r>
          </w:p>
        </w:tc>
        <w:tc>
          <w:tcPr>
            <w:tcW w:w="1300" w:type="dxa"/>
            <w:tcBorders>
              <w:top w:val="nil"/>
              <w:left w:val="nil"/>
              <w:bottom w:val="nil"/>
              <w:right w:val="nil"/>
            </w:tcBorders>
            <w:shd w:val="clear" w:color="auto" w:fill="auto"/>
            <w:vAlign w:val="center"/>
            <w:hideMark/>
          </w:tcPr>
          <w:p w14:paraId="520D5D5E" w14:textId="77777777" w:rsidR="004D7B42" w:rsidRPr="00487834" w:rsidRDefault="004D7B42" w:rsidP="00F36A29">
            <w:pPr>
              <w:pStyle w:val="NoSpacing"/>
            </w:pPr>
            <w:r w:rsidRPr="00487834">
              <w:t>-0.0052*</w:t>
            </w:r>
            <w:proofErr w:type="gramStart"/>
            <w:r w:rsidRPr="00487834">
              <w:t>*  (</w:t>
            </w:r>
            <w:proofErr w:type="gramEnd"/>
            <w:r w:rsidRPr="00487834">
              <w:t>0.0023)</w:t>
            </w:r>
          </w:p>
        </w:tc>
        <w:tc>
          <w:tcPr>
            <w:tcW w:w="1280" w:type="dxa"/>
            <w:tcBorders>
              <w:top w:val="nil"/>
              <w:left w:val="nil"/>
              <w:bottom w:val="nil"/>
              <w:right w:val="nil"/>
            </w:tcBorders>
            <w:shd w:val="clear" w:color="auto" w:fill="auto"/>
            <w:vAlign w:val="center"/>
            <w:hideMark/>
          </w:tcPr>
          <w:p w14:paraId="65C3BE9B" w14:textId="77777777" w:rsidR="004D7B42" w:rsidRPr="00487834" w:rsidRDefault="004D7B42" w:rsidP="00F36A29">
            <w:pPr>
              <w:pStyle w:val="NoSpacing"/>
            </w:pPr>
            <w:proofErr w:type="gramStart"/>
            <w:r w:rsidRPr="00487834">
              <w:t>0.00005  (</w:t>
            </w:r>
            <w:proofErr w:type="gramEnd"/>
            <w:r w:rsidRPr="00487834">
              <w:t>0.001)</w:t>
            </w:r>
          </w:p>
        </w:tc>
        <w:tc>
          <w:tcPr>
            <w:tcW w:w="1300" w:type="dxa"/>
            <w:tcBorders>
              <w:top w:val="nil"/>
              <w:left w:val="nil"/>
              <w:bottom w:val="nil"/>
              <w:right w:val="nil"/>
            </w:tcBorders>
            <w:shd w:val="clear" w:color="auto" w:fill="auto"/>
            <w:vAlign w:val="center"/>
            <w:hideMark/>
          </w:tcPr>
          <w:p w14:paraId="217429E2" w14:textId="77777777" w:rsidR="004D7B42" w:rsidRPr="00487834" w:rsidRDefault="004D7B42" w:rsidP="00F36A29">
            <w:pPr>
              <w:pStyle w:val="NoSpacing"/>
            </w:pPr>
            <w:r w:rsidRPr="00487834">
              <w:t xml:space="preserve">0.0041**  </w:t>
            </w:r>
            <w:proofErr w:type="gramStart"/>
            <w:r w:rsidRPr="00487834">
              <w:t xml:space="preserve">   (</w:t>
            </w:r>
            <w:proofErr w:type="gramEnd"/>
            <w:r w:rsidRPr="00487834">
              <w:t>0.002)</w:t>
            </w:r>
          </w:p>
        </w:tc>
      </w:tr>
      <w:tr w:rsidR="004D7B42" w:rsidRPr="00487834" w14:paraId="19C93273" w14:textId="77777777" w:rsidTr="004D7B42">
        <w:trPr>
          <w:trHeight w:val="560"/>
          <w:jc w:val="center"/>
        </w:trPr>
        <w:tc>
          <w:tcPr>
            <w:tcW w:w="2000" w:type="dxa"/>
            <w:tcBorders>
              <w:top w:val="nil"/>
              <w:left w:val="nil"/>
              <w:bottom w:val="nil"/>
              <w:right w:val="nil"/>
            </w:tcBorders>
            <w:shd w:val="clear" w:color="auto" w:fill="auto"/>
            <w:noWrap/>
            <w:vAlign w:val="center"/>
            <w:hideMark/>
          </w:tcPr>
          <w:p w14:paraId="0767FFC1" w14:textId="77777777" w:rsidR="004D7B42" w:rsidRPr="00487834" w:rsidRDefault="004D7B42" w:rsidP="00F36A29">
            <w:pPr>
              <w:pStyle w:val="NoSpacing"/>
              <w:rPr>
                <w:i/>
                <w:iCs/>
              </w:rPr>
            </w:pPr>
            <w:r w:rsidRPr="00487834">
              <w:rPr>
                <w:i/>
                <w:iCs/>
              </w:rPr>
              <w:t>ND/EBITDA</w:t>
            </w:r>
          </w:p>
        </w:tc>
        <w:tc>
          <w:tcPr>
            <w:tcW w:w="1300" w:type="dxa"/>
            <w:tcBorders>
              <w:top w:val="nil"/>
              <w:left w:val="nil"/>
              <w:bottom w:val="nil"/>
              <w:right w:val="nil"/>
            </w:tcBorders>
            <w:shd w:val="clear" w:color="auto" w:fill="auto"/>
            <w:vAlign w:val="center"/>
            <w:hideMark/>
          </w:tcPr>
          <w:p w14:paraId="3BCB38ED" w14:textId="77777777" w:rsidR="004D7B42" w:rsidRPr="00487834" w:rsidRDefault="004D7B42" w:rsidP="00F36A29">
            <w:pPr>
              <w:pStyle w:val="NoSpacing"/>
            </w:pPr>
            <w:r w:rsidRPr="00487834">
              <w:t xml:space="preserve">-0.165 </w:t>
            </w:r>
            <w:proofErr w:type="gramStart"/>
            <w:r w:rsidRPr="00487834">
              <w:t xml:space="preserve">   (</w:t>
            </w:r>
            <w:proofErr w:type="gramEnd"/>
            <w:r w:rsidRPr="00487834">
              <w:t>0.515)</w:t>
            </w:r>
          </w:p>
        </w:tc>
        <w:tc>
          <w:tcPr>
            <w:tcW w:w="1300" w:type="dxa"/>
            <w:tcBorders>
              <w:top w:val="nil"/>
              <w:left w:val="nil"/>
              <w:bottom w:val="nil"/>
              <w:right w:val="nil"/>
            </w:tcBorders>
            <w:shd w:val="clear" w:color="auto" w:fill="auto"/>
            <w:vAlign w:val="center"/>
            <w:hideMark/>
          </w:tcPr>
          <w:p w14:paraId="7E53A8B5" w14:textId="77777777" w:rsidR="004D7B42" w:rsidRPr="00487834" w:rsidRDefault="004D7B42" w:rsidP="00F36A29">
            <w:pPr>
              <w:pStyle w:val="NoSpacing"/>
            </w:pPr>
            <w:r w:rsidRPr="00487834">
              <w:t xml:space="preserve">-0.2832    </w:t>
            </w:r>
            <w:proofErr w:type="gramStart"/>
            <w:r w:rsidRPr="00487834">
              <w:t xml:space="preserve">   (</w:t>
            </w:r>
            <w:proofErr w:type="gramEnd"/>
            <w:r w:rsidRPr="00487834">
              <w:t>0.237)</w:t>
            </w:r>
          </w:p>
        </w:tc>
        <w:tc>
          <w:tcPr>
            <w:tcW w:w="1280" w:type="dxa"/>
            <w:tcBorders>
              <w:top w:val="nil"/>
              <w:left w:val="nil"/>
              <w:bottom w:val="nil"/>
              <w:right w:val="nil"/>
            </w:tcBorders>
            <w:shd w:val="clear" w:color="auto" w:fill="auto"/>
            <w:vAlign w:val="center"/>
            <w:hideMark/>
          </w:tcPr>
          <w:p w14:paraId="6A7C30B8" w14:textId="77777777" w:rsidR="004D7B42" w:rsidRPr="00487834" w:rsidRDefault="004D7B42" w:rsidP="00F36A29">
            <w:pPr>
              <w:pStyle w:val="NoSpacing"/>
            </w:pPr>
            <w:r w:rsidRPr="00487834">
              <w:t xml:space="preserve">0.006     </w:t>
            </w:r>
            <w:proofErr w:type="gramStart"/>
            <w:r w:rsidRPr="00487834">
              <w:t xml:space="preserve">   (</w:t>
            </w:r>
            <w:proofErr w:type="gramEnd"/>
            <w:r w:rsidRPr="00487834">
              <w:t>0.01)</w:t>
            </w:r>
          </w:p>
        </w:tc>
        <w:tc>
          <w:tcPr>
            <w:tcW w:w="1300" w:type="dxa"/>
            <w:tcBorders>
              <w:top w:val="nil"/>
              <w:left w:val="nil"/>
              <w:bottom w:val="nil"/>
              <w:right w:val="nil"/>
            </w:tcBorders>
            <w:shd w:val="clear" w:color="auto" w:fill="auto"/>
            <w:vAlign w:val="center"/>
            <w:hideMark/>
          </w:tcPr>
          <w:p w14:paraId="3966048C" w14:textId="77777777" w:rsidR="004D7B42" w:rsidRPr="00487834" w:rsidRDefault="004D7B42" w:rsidP="00F36A29">
            <w:pPr>
              <w:pStyle w:val="NoSpacing"/>
            </w:pPr>
            <w:r w:rsidRPr="00487834">
              <w:t xml:space="preserve">0.0044      </w:t>
            </w:r>
            <w:proofErr w:type="gramStart"/>
            <w:r w:rsidRPr="00487834">
              <w:t xml:space="preserve">   (</w:t>
            </w:r>
            <w:proofErr w:type="gramEnd"/>
            <w:r w:rsidRPr="00487834">
              <w:t>0.014)</w:t>
            </w:r>
          </w:p>
        </w:tc>
      </w:tr>
      <w:tr w:rsidR="004D7B42" w:rsidRPr="00487834" w14:paraId="47BF0DBE" w14:textId="77777777" w:rsidTr="004D7B42">
        <w:trPr>
          <w:trHeight w:val="560"/>
          <w:jc w:val="center"/>
        </w:trPr>
        <w:tc>
          <w:tcPr>
            <w:tcW w:w="2000" w:type="dxa"/>
            <w:tcBorders>
              <w:top w:val="nil"/>
              <w:left w:val="nil"/>
              <w:bottom w:val="single" w:sz="4" w:space="0" w:color="auto"/>
              <w:right w:val="nil"/>
            </w:tcBorders>
            <w:shd w:val="clear" w:color="auto" w:fill="auto"/>
            <w:noWrap/>
            <w:vAlign w:val="center"/>
            <w:hideMark/>
          </w:tcPr>
          <w:p w14:paraId="56A1131C" w14:textId="77777777" w:rsidR="004D7B42" w:rsidRPr="00487834" w:rsidRDefault="004D7B42" w:rsidP="00F36A29">
            <w:pPr>
              <w:pStyle w:val="NoSpacing"/>
              <w:rPr>
                <w:i/>
                <w:iCs/>
              </w:rPr>
            </w:pPr>
            <w:r w:rsidRPr="00487834">
              <w:rPr>
                <w:i/>
                <w:iCs/>
              </w:rPr>
              <w:t>TLPA</w:t>
            </w:r>
          </w:p>
        </w:tc>
        <w:tc>
          <w:tcPr>
            <w:tcW w:w="1300" w:type="dxa"/>
            <w:tcBorders>
              <w:top w:val="nil"/>
              <w:left w:val="nil"/>
              <w:bottom w:val="single" w:sz="4" w:space="0" w:color="auto"/>
              <w:right w:val="nil"/>
            </w:tcBorders>
            <w:shd w:val="clear" w:color="auto" w:fill="auto"/>
            <w:vAlign w:val="center"/>
            <w:hideMark/>
          </w:tcPr>
          <w:p w14:paraId="7C66EEE3" w14:textId="77777777" w:rsidR="004D7B42" w:rsidRPr="00487834" w:rsidRDefault="004D7B42" w:rsidP="00F36A29">
            <w:pPr>
              <w:pStyle w:val="NoSpacing"/>
            </w:pPr>
            <w:r w:rsidRPr="00487834">
              <w:t>0.0064</w:t>
            </w:r>
            <w:proofErr w:type="gramStart"/>
            <w:r w:rsidRPr="00487834">
              <w:t xml:space="preserve">   (</w:t>
            </w:r>
            <w:proofErr w:type="gramEnd"/>
            <w:r w:rsidRPr="00487834">
              <w:t>0.006)</w:t>
            </w:r>
          </w:p>
        </w:tc>
        <w:tc>
          <w:tcPr>
            <w:tcW w:w="1300" w:type="dxa"/>
            <w:tcBorders>
              <w:top w:val="nil"/>
              <w:left w:val="nil"/>
              <w:bottom w:val="single" w:sz="4" w:space="0" w:color="auto"/>
              <w:right w:val="nil"/>
            </w:tcBorders>
            <w:shd w:val="clear" w:color="auto" w:fill="auto"/>
            <w:vAlign w:val="center"/>
            <w:hideMark/>
          </w:tcPr>
          <w:p w14:paraId="13E772E1" w14:textId="77777777" w:rsidR="004D7B42" w:rsidRPr="00487834" w:rsidRDefault="004D7B42" w:rsidP="00F36A29">
            <w:pPr>
              <w:pStyle w:val="NoSpacing"/>
            </w:pPr>
            <w:r w:rsidRPr="00487834">
              <w:t>-0.0007</w:t>
            </w:r>
            <w:proofErr w:type="gramStart"/>
            <w:r w:rsidRPr="00487834">
              <w:t xml:space="preserve">   (</w:t>
            </w:r>
            <w:proofErr w:type="gramEnd"/>
            <w:r w:rsidRPr="00487834">
              <w:t>0.002)</w:t>
            </w:r>
          </w:p>
        </w:tc>
        <w:tc>
          <w:tcPr>
            <w:tcW w:w="1280" w:type="dxa"/>
            <w:tcBorders>
              <w:top w:val="nil"/>
              <w:left w:val="nil"/>
              <w:bottom w:val="single" w:sz="4" w:space="0" w:color="auto"/>
              <w:right w:val="nil"/>
            </w:tcBorders>
            <w:shd w:val="clear" w:color="auto" w:fill="auto"/>
            <w:vAlign w:val="center"/>
            <w:hideMark/>
          </w:tcPr>
          <w:p w14:paraId="312ED152" w14:textId="77777777" w:rsidR="004D7B42" w:rsidRPr="00487834" w:rsidRDefault="004D7B42" w:rsidP="00F36A29">
            <w:pPr>
              <w:pStyle w:val="NoSpacing"/>
            </w:pPr>
            <w:r w:rsidRPr="00487834">
              <w:t>0.0047*** (0.002)</w:t>
            </w:r>
          </w:p>
        </w:tc>
        <w:tc>
          <w:tcPr>
            <w:tcW w:w="1300" w:type="dxa"/>
            <w:tcBorders>
              <w:top w:val="nil"/>
              <w:left w:val="nil"/>
              <w:bottom w:val="single" w:sz="4" w:space="0" w:color="auto"/>
              <w:right w:val="nil"/>
            </w:tcBorders>
            <w:shd w:val="clear" w:color="auto" w:fill="auto"/>
            <w:vAlign w:val="center"/>
            <w:hideMark/>
          </w:tcPr>
          <w:p w14:paraId="6C20F760" w14:textId="77777777" w:rsidR="004D7B42" w:rsidRPr="00487834" w:rsidRDefault="004D7B42" w:rsidP="00F36A29">
            <w:pPr>
              <w:pStyle w:val="NoSpacing"/>
            </w:pPr>
            <w:r w:rsidRPr="00487834">
              <w:t xml:space="preserve">0.0066***   </w:t>
            </w:r>
            <w:proofErr w:type="gramStart"/>
            <w:r w:rsidRPr="00487834">
              <w:t xml:space="preserve">   (</w:t>
            </w:r>
            <w:proofErr w:type="gramEnd"/>
            <w:r w:rsidRPr="00487834">
              <w:t>0.002)</w:t>
            </w:r>
          </w:p>
        </w:tc>
      </w:tr>
    </w:tbl>
    <w:p w14:paraId="077F1336" w14:textId="77777777" w:rsidR="004D7B42" w:rsidRPr="00487834" w:rsidRDefault="00050324" w:rsidP="003128F6">
      <w:pPr>
        <w:autoSpaceDE w:val="0"/>
        <w:autoSpaceDN w:val="0"/>
        <w:adjustRightInd w:val="0"/>
        <w:spacing w:line="300" w:lineRule="auto"/>
        <w:rPr>
          <w:rFonts w:eastAsiaTheme="minorHAnsi"/>
          <w:lang w:val="en-US" w:eastAsia="en-US"/>
        </w:rPr>
      </w:pPr>
      <w:r>
        <w:rPr>
          <w:rFonts w:eastAsiaTheme="minorHAnsi"/>
          <w:noProof/>
          <w:lang w:val="en-US" w:eastAsia="en-US"/>
        </w:rPr>
        <w:pict w14:anchorId="33DCD46F">
          <v:shape id="_x0000_s1032" type="#_x0000_t202" alt="" style="position:absolute;left:0;text-align:left;margin-left:34.2pt;margin-top:14pt;width:418.5pt;height:41.25pt;z-index:251667456;visibility:visible;mso-wrap-style:square;mso-wrap-edited:f;mso-width-percent:0;mso-height-percent:0;mso-position-horizontal-relative:text;mso-position-vertical-relative:text;mso-width-percent:0;mso-height-percent:0;mso-width-relative:margin;mso-height-relative:margin;v-text-anchor:top" fillcolor="white [3201]">
            <v:textbox>
              <w:txbxContent>
                <w:p w14:paraId="5FEB41CA" w14:textId="77777777" w:rsidR="00F36A29" w:rsidRPr="00E5055A" w:rsidRDefault="00F36A29" w:rsidP="004F4DDE">
                  <w:pPr>
                    <w:spacing w:before="240"/>
                    <w:jc w:val="center"/>
                    <w:rPr>
                      <w:sz w:val="20"/>
                      <w:szCs w:val="20"/>
                      <w:lang w:val="en-US"/>
                    </w:rPr>
                  </w:pPr>
                  <w:r w:rsidRPr="00E5055A">
                    <w:rPr>
                      <w:sz w:val="20"/>
                      <w:szCs w:val="20"/>
                      <w:lang w:val="en-US"/>
                    </w:rPr>
                    <w:t>*** - significant at a 1% level, ** - significant at a 5% level, * - significant at a 10% level</w:t>
                  </w:r>
                </w:p>
              </w:txbxContent>
            </v:textbox>
          </v:shape>
        </w:pict>
      </w:r>
    </w:p>
    <w:p w14:paraId="3110A249" w14:textId="77777777" w:rsidR="00213022" w:rsidRPr="00487834" w:rsidRDefault="00213022" w:rsidP="003128F6">
      <w:pPr>
        <w:autoSpaceDE w:val="0"/>
        <w:autoSpaceDN w:val="0"/>
        <w:adjustRightInd w:val="0"/>
        <w:spacing w:line="300" w:lineRule="auto"/>
        <w:rPr>
          <w:rFonts w:eastAsiaTheme="minorHAnsi"/>
          <w:lang w:val="en-US" w:eastAsia="en-US"/>
        </w:rPr>
      </w:pPr>
    </w:p>
    <w:p w14:paraId="662E8FAD" w14:textId="77777777" w:rsidR="00213022" w:rsidRPr="00487834" w:rsidRDefault="00213022" w:rsidP="003128F6">
      <w:pPr>
        <w:autoSpaceDE w:val="0"/>
        <w:autoSpaceDN w:val="0"/>
        <w:adjustRightInd w:val="0"/>
        <w:spacing w:line="300" w:lineRule="auto"/>
        <w:rPr>
          <w:rFonts w:eastAsiaTheme="minorHAnsi"/>
          <w:lang w:val="en-US" w:eastAsia="en-US"/>
        </w:rPr>
      </w:pPr>
    </w:p>
    <w:p w14:paraId="234AD2CA" w14:textId="77777777" w:rsidR="004F4DDE" w:rsidRPr="00487834" w:rsidRDefault="004F4DDE" w:rsidP="003128F6">
      <w:pPr>
        <w:autoSpaceDE w:val="0"/>
        <w:autoSpaceDN w:val="0"/>
        <w:adjustRightInd w:val="0"/>
        <w:spacing w:line="300" w:lineRule="auto"/>
        <w:rPr>
          <w:rFonts w:eastAsiaTheme="minorHAnsi"/>
          <w:lang w:val="en-US" w:eastAsia="en-US"/>
        </w:rPr>
      </w:pPr>
    </w:p>
    <w:tbl>
      <w:tblPr>
        <w:tblW w:w="7180" w:type="dxa"/>
        <w:jc w:val="center"/>
        <w:tblLook w:val="04A0" w:firstRow="1" w:lastRow="0" w:firstColumn="1" w:lastColumn="0" w:noHBand="0" w:noVBand="1"/>
      </w:tblPr>
      <w:tblGrid>
        <w:gridCol w:w="2268"/>
        <w:gridCol w:w="1032"/>
        <w:gridCol w:w="1300"/>
        <w:gridCol w:w="1280"/>
        <w:gridCol w:w="1300"/>
      </w:tblGrid>
      <w:tr w:rsidR="004D7B42" w:rsidRPr="00487834" w14:paraId="0BDC0812" w14:textId="77777777" w:rsidTr="00A83D58">
        <w:trPr>
          <w:trHeight w:val="580"/>
          <w:jc w:val="center"/>
        </w:trPr>
        <w:tc>
          <w:tcPr>
            <w:tcW w:w="2268" w:type="dxa"/>
            <w:tcBorders>
              <w:top w:val="single" w:sz="4" w:space="0" w:color="auto"/>
              <w:left w:val="nil"/>
              <w:bottom w:val="nil"/>
              <w:right w:val="nil"/>
            </w:tcBorders>
            <w:shd w:val="clear" w:color="auto" w:fill="auto"/>
            <w:noWrap/>
            <w:vAlign w:val="center"/>
            <w:hideMark/>
          </w:tcPr>
          <w:p w14:paraId="08855B4A" w14:textId="77777777" w:rsidR="004D7B42" w:rsidRPr="00487834" w:rsidRDefault="004D7B42" w:rsidP="00205E8B">
            <w:pPr>
              <w:pStyle w:val="NoSpacing"/>
            </w:pPr>
            <w:r w:rsidRPr="00487834">
              <w:t xml:space="preserve">Type </w:t>
            </w:r>
            <w:proofErr w:type="spellStart"/>
            <w:r w:rsidRPr="00487834">
              <w:t>of</w:t>
            </w:r>
            <w:proofErr w:type="spellEnd"/>
            <w:r w:rsidRPr="00487834">
              <w:t xml:space="preserve"> </w:t>
            </w:r>
            <w:proofErr w:type="spellStart"/>
            <w:r w:rsidRPr="00487834">
              <w:t>model</w:t>
            </w:r>
            <w:proofErr w:type="spellEnd"/>
          </w:p>
        </w:tc>
        <w:tc>
          <w:tcPr>
            <w:tcW w:w="1032" w:type="dxa"/>
            <w:tcBorders>
              <w:top w:val="single" w:sz="4" w:space="0" w:color="auto"/>
              <w:left w:val="nil"/>
              <w:bottom w:val="nil"/>
              <w:right w:val="nil"/>
            </w:tcBorders>
            <w:shd w:val="clear" w:color="auto" w:fill="auto"/>
            <w:vAlign w:val="center"/>
            <w:hideMark/>
          </w:tcPr>
          <w:p w14:paraId="7F0BD96E" w14:textId="77777777" w:rsidR="004D7B42" w:rsidRPr="00487834" w:rsidRDefault="004D7B42" w:rsidP="00205E8B">
            <w:pPr>
              <w:pStyle w:val="NoSpacing"/>
            </w:pPr>
            <w:proofErr w:type="spellStart"/>
            <w:r w:rsidRPr="00487834">
              <w:t>Fixed</w:t>
            </w:r>
            <w:proofErr w:type="spellEnd"/>
          </w:p>
        </w:tc>
        <w:tc>
          <w:tcPr>
            <w:tcW w:w="1300" w:type="dxa"/>
            <w:tcBorders>
              <w:top w:val="single" w:sz="4" w:space="0" w:color="auto"/>
              <w:left w:val="nil"/>
              <w:bottom w:val="nil"/>
              <w:right w:val="nil"/>
            </w:tcBorders>
            <w:shd w:val="clear" w:color="auto" w:fill="auto"/>
            <w:vAlign w:val="center"/>
            <w:hideMark/>
          </w:tcPr>
          <w:p w14:paraId="04A14FF8" w14:textId="77777777" w:rsidR="004D7B42" w:rsidRPr="00487834" w:rsidRDefault="004D7B42" w:rsidP="00205E8B">
            <w:pPr>
              <w:pStyle w:val="NoSpacing"/>
            </w:pPr>
            <w:proofErr w:type="spellStart"/>
            <w:r w:rsidRPr="00487834">
              <w:t>Random</w:t>
            </w:r>
            <w:proofErr w:type="spellEnd"/>
          </w:p>
        </w:tc>
        <w:tc>
          <w:tcPr>
            <w:tcW w:w="1280" w:type="dxa"/>
            <w:tcBorders>
              <w:top w:val="single" w:sz="4" w:space="0" w:color="auto"/>
              <w:left w:val="nil"/>
              <w:bottom w:val="nil"/>
              <w:right w:val="nil"/>
            </w:tcBorders>
            <w:shd w:val="clear" w:color="auto" w:fill="auto"/>
            <w:vAlign w:val="center"/>
            <w:hideMark/>
          </w:tcPr>
          <w:p w14:paraId="3B858C13" w14:textId="77777777" w:rsidR="004D7B42" w:rsidRPr="00487834" w:rsidRDefault="004D7B42" w:rsidP="00205E8B">
            <w:pPr>
              <w:pStyle w:val="NoSpacing"/>
            </w:pPr>
            <w:proofErr w:type="spellStart"/>
            <w:r w:rsidRPr="00487834">
              <w:t>Fixed</w:t>
            </w:r>
            <w:proofErr w:type="spellEnd"/>
          </w:p>
        </w:tc>
        <w:tc>
          <w:tcPr>
            <w:tcW w:w="1300" w:type="dxa"/>
            <w:tcBorders>
              <w:top w:val="single" w:sz="4" w:space="0" w:color="auto"/>
              <w:left w:val="nil"/>
              <w:bottom w:val="nil"/>
              <w:right w:val="nil"/>
            </w:tcBorders>
            <w:shd w:val="clear" w:color="auto" w:fill="auto"/>
            <w:vAlign w:val="center"/>
            <w:hideMark/>
          </w:tcPr>
          <w:p w14:paraId="0D5B8A79" w14:textId="77777777" w:rsidR="004D7B42" w:rsidRPr="00487834" w:rsidRDefault="004D7B42" w:rsidP="00205E8B">
            <w:pPr>
              <w:pStyle w:val="NoSpacing"/>
            </w:pPr>
            <w:proofErr w:type="spellStart"/>
            <w:r w:rsidRPr="00487834">
              <w:t>Fixed</w:t>
            </w:r>
            <w:proofErr w:type="spellEnd"/>
          </w:p>
        </w:tc>
      </w:tr>
      <w:tr w:rsidR="004D7B42" w:rsidRPr="00487834" w14:paraId="4A04E43F" w14:textId="77777777" w:rsidTr="00A83D58">
        <w:trPr>
          <w:trHeight w:val="560"/>
          <w:jc w:val="center"/>
        </w:trPr>
        <w:tc>
          <w:tcPr>
            <w:tcW w:w="2268" w:type="dxa"/>
            <w:tcBorders>
              <w:top w:val="nil"/>
              <w:left w:val="nil"/>
              <w:bottom w:val="nil"/>
              <w:right w:val="nil"/>
            </w:tcBorders>
            <w:shd w:val="clear" w:color="auto" w:fill="auto"/>
            <w:noWrap/>
            <w:vAlign w:val="center"/>
            <w:hideMark/>
          </w:tcPr>
          <w:p w14:paraId="132E524A" w14:textId="77777777" w:rsidR="004D7B42" w:rsidRPr="00487834" w:rsidRDefault="004D7B42" w:rsidP="00205E8B">
            <w:pPr>
              <w:pStyle w:val="NoSpacing"/>
            </w:pPr>
            <w:r w:rsidRPr="00487834">
              <w:lastRenderedPageBreak/>
              <w:t xml:space="preserve">N </w:t>
            </w:r>
            <w:proofErr w:type="spellStart"/>
            <w:r w:rsidRPr="00487834">
              <w:t>of</w:t>
            </w:r>
            <w:proofErr w:type="spellEnd"/>
            <w:r w:rsidRPr="00487834">
              <w:t xml:space="preserve"> </w:t>
            </w:r>
            <w:proofErr w:type="spellStart"/>
            <w:r w:rsidRPr="00487834">
              <w:t>obs</w:t>
            </w:r>
            <w:proofErr w:type="spellEnd"/>
            <w:r w:rsidRPr="00487834">
              <w:t>.</w:t>
            </w:r>
          </w:p>
        </w:tc>
        <w:tc>
          <w:tcPr>
            <w:tcW w:w="1032" w:type="dxa"/>
            <w:tcBorders>
              <w:top w:val="nil"/>
              <w:left w:val="nil"/>
              <w:bottom w:val="nil"/>
              <w:right w:val="nil"/>
            </w:tcBorders>
            <w:shd w:val="clear" w:color="auto" w:fill="auto"/>
            <w:vAlign w:val="center"/>
            <w:hideMark/>
          </w:tcPr>
          <w:p w14:paraId="731799C0" w14:textId="77777777" w:rsidR="004D7B42" w:rsidRPr="00487834" w:rsidRDefault="004D7B42" w:rsidP="00205E8B">
            <w:pPr>
              <w:pStyle w:val="NoSpacing"/>
            </w:pPr>
            <w:r w:rsidRPr="00487834">
              <w:t>152</w:t>
            </w:r>
          </w:p>
        </w:tc>
        <w:tc>
          <w:tcPr>
            <w:tcW w:w="1300" w:type="dxa"/>
            <w:tcBorders>
              <w:top w:val="nil"/>
              <w:left w:val="nil"/>
              <w:bottom w:val="nil"/>
              <w:right w:val="nil"/>
            </w:tcBorders>
            <w:shd w:val="clear" w:color="auto" w:fill="auto"/>
            <w:vAlign w:val="center"/>
            <w:hideMark/>
          </w:tcPr>
          <w:p w14:paraId="6B7255C8" w14:textId="77777777" w:rsidR="004D7B42" w:rsidRPr="00487834" w:rsidRDefault="004D7B42" w:rsidP="00205E8B">
            <w:pPr>
              <w:pStyle w:val="NoSpacing"/>
            </w:pPr>
            <w:r w:rsidRPr="00487834">
              <w:t>152</w:t>
            </w:r>
          </w:p>
        </w:tc>
        <w:tc>
          <w:tcPr>
            <w:tcW w:w="1280" w:type="dxa"/>
            <w:tcBorders>
              <w:top w:val="nil"/>
              <w:left w:val="nil"/>
              <w:bottom w:val="nil"/>
              <w:right w:val="nil"/>
            </w:tcBorders>
            <w:shd w:val="clear" w:color="auto" w:fill="auto"/>
            <w:vAlign w:val="center"/>
            <w:hideMark/>
          </w:tcPr>
          <w:p w14:paraId="1C51BD3D" w14:textId="77777777" w:rsidR="004D7B42" w:rsidRPr="00487834" w:rsidRDefault="004D7B42" w:rsidP="00205E8B">
            <w:pPr>
              <w:pStyle w:val="NoSpacing"/>
            </w:pPr>
            <w:r w:rsidRPr="00487834">
              <w:t>547</w:t>
            </w:r>
          </w:p>
        </w:tc>
        <w:tc>
          <w:tcPr>
            <w:tcW w:w="1300" w:type="dxa"/>
            <w:tcBorders>
              <w:top w:val="nil"/>
              <w:left w:val="nil"/>
              <w:bottom w:val="nil"/>
              <w:right w:val="nil"/>
            </w:tcBorders>
            <w:shd w:val="clear" w:color="auto" w:fill="auto"/>
            <w:vAlign w:val="center"/>
            <w:hideMark/>
          </w:tcPr>
          <w:p w14:paraId="06D59013" w14:textId="77777777" w:rsidR="004D7B42" w:rsidRPr="00487834" w:rsidRDefault="004D7B42" w:rsidP="00205E8B">
            <w:pPr>
              <w:pStyle w:val="NoSpacing"/>
            </w:pPr>
            <w:r w:rsidRPr="00487834">
              <w:t>493</w:t>
            </w:r>
          </w:p>
        </w:tc>
      </w:tr>
      <w:tr w:rsidR="004D7B42" w:rsidRPr="00487834" w14:paraId="1F432DF0" w14:textId="77777777" w:rsidTr="00A83D58">
        <w:trPr>
          <w:trHeight w:val="580"/>
          <w:jc w:val="center"/>
        </w:trPr>
        <w:tc>
          <w:tcPr>
            <w:tcW w:w="2268" w:type="dxa"/>
            <w:tcBorders>
              <w:top w:val="nil"/>
              <w:left w:val="nil"/>
              <w:bottom w:val="nil"/>
              <w:right w:val="nil"/>
            </w:tcBorders>
            <w:shd w:val="clear" w:color="auto" w:fill="auto"/>
            <w:noWrap/>
            <w:vAlign w:val="center"/>
            <w:hideMark/>
          </w:tcPr>
          <w:p w14:paraId="38B51955" w14:textId="77777777" w:rsidR="004D7B42" w:rsidRPr="00487834" w:rsidRDefault="004D7B42" w:rsidP="00205E8B">
            <w:pPr>
              <w:pStyle w:val="NoSpacing"/>
            </w:pPr>
            <w:r w:rsidRPr="00487834">
              <w:t>R-</w:t>
            </w:r>
            <w:proofErr w:type="spellStart"/>
            <w:r w:rsidRPr="00487834">
              <w:t>sq</w:t>
            </w:r>
            <w:proofErr w:type="spellEnd"/>
            <w:r w:rsidRPr="00487834">
              <w:t>.</w:t>
            </w:r>
          </w:p>
        </w:tc>
        <w:tc>
          <w:tcPr>
            <w:tcW w:w="1032" w:type="dxa"/>
            <w:tcBorders>
              <w:top w:val="nil"/>
              <w:left w:val="nil"/>
              <w:bottom w:val="nil"/>
              <w:right w:val="nil"/>
            </w:tcBorders>
            <w:shd w:val="clear" w:color="auto" w:fill="auto"/>
            <w:vAlign w:val="center"/>
            <w:hideMark/>
          </w:tcPr>
          <w:p w14:paraId="1699A08E" w14:textId="77777777" w:rsidR="004D7B42" w:rsidRPr="00487834" w:rsidRDefault="004D7B42" w:rsidP="00205E8B">
            <w:pPr>
              <w:pStyle w:val="NoSpacing"/>
            </w:pPr>
            <w:r w:rsidRPr="00487834">
              <w:t>0.389</w:t>
            </w:r>
          </w:p>
        </w:tc>
        <w:tc>
          <w:tcPr>
            <w:tcW w:w="1300" w:type="dxa"/>
            <w:tcBorders>
              <w:top w:val="nil"/>
              <w:left w:val="nil"/>
              <w:bottom w:val="nil"/>
              <w:right w:val="nil"/>
            </w:tcBorders>
            <w:shd w:val="clear" w:color="auto" w:fill="auto"/>
            <w:vAlign w:val="center"/>
            <w:hideMark/>
          </w:tcPr>
          <w:p w14:paraId="1EB136CA" w14:textId="77777777" w:rsidR="004D7B42" w:rsidRPr="00487834" w:rsidRDefault="004D7B42" w:rsidP="00205E8B">
            <w:pPr>
              <w:pStyle w:val="NoSpacing"/>
            </w:pPr>
            <w:r w:rsidRPr="00487834">
              <w:t>0.139</w:t>
            </w:r>
          </w:p>
        </w:tc>
        <w:tc>
          <w:tcPr>
            <w:tcW w:w="1280" w:type="dxa"/>
            <w:tcBorders>
              <w:top w:val="nil"/>
              <w:left w:val="nil"/>
              <w:bottom w:val="nil"/>
              <w:right w:val="nil"/>
            </w:tcBorders>
            <w:shd w:val="clear" w:color="auto" w:fill="auto"/>
            <w:vAlign w:val="center"/>
            <w:hideMark/>
          </w:tcPr>
          <w:p w14:paraId="0F8F96A3" w14:textId="77777777" w:rsidR="004D7B42" w:rsidRPr="00487834" w:rsidRDefault="004D7B42" w:rsidP="00205E8B">
            <w:pPr>
              <w:pStyle w:val="NoSpacing"/>
            </w:pPr>
            <w:r w:rsidRPr="00487834">
              <w:t>0.388</w:t>
            </w:r>
          </w:p>
        </w:tc>
        <w:tc>
          <w:tcPr>
            <w:tcW w:w="1300" w:type="dxa"/>
            <w:tcBorders>
              <w:top w:val="nil"/>
              <w:left w:val="nil"/>
              <w:bottom w:val="nil"/>
              <w:right w:val="nil"/>
            </w:tcBorders>
            <w:shd w:val="clear" w:color="auto" w:fill="auto"/>
            <w:vAlign w:val="center"/>
            <w:hideMark/>
          </w:tcPr>
          <w:p w14:paraId="1292A7FC" w14:textId="77777777" w:rsidR="004D7B42" w:rsidRPr="00487834" w:rsidRDefault="004D7B42" w:rsidP="00205E8B">
            <w:pPr>
              <w:pStyle w:val="NoSpacing"/>
            </w:pPr>
            <w:r w:rsidRPr="00487834">
              <w:t>0.423</w:t>
            </w:r>
          </w:p>
        </w:tc>
      </w:tr>
      <w:tr w:rsidR="004D7B42" w:rsidRPr="00487834" w14:paraId="1A4DFD49" w14:textId="77777777" w:rsidTr="00A83D58">
        <w:trPr>
          <w:trHeight w:val="560"/>
          <w:jc w:val="center"/>
        </w:trPr>
        <w:tc>
          <w:tcPr>
            <w:tcW w:w="2268" w:type="dxa"/>
            <w:tcBorders>
              <w:top w:val="nil"/>
              <w:left w:val="nil"/>
              <w:bottom w:val="nil"/>
              <w:right w:val="nil"/>
            </w:tcBorders>
            <w:shd w:val="clear" w:color="auto" w:fill="auto"/>
            <w:noWrap/>
            <w:vAlign w:val="center"/>
            <w:hideMark/>
          </w:tcPr>
          <w:p w14:paraId="6F461D49" w14:textId="77777777" w:rsidR="004D7B42" w:rsidRPr="00487834" w:rsidRDefault="004D7B42" w:rsidP="00205E8B">
            <w:pPr>
              <w:pStyle w:val="NoSpacing"/>
            </w:pPr>
            <w:proofErr w:type="spellStart"/>
            <w:r w:rsidRPr="00487834">
              <w:t>Adj</w:t>
            </w:r>
            <w:proofErr w:type="spellEnd"/>
            <w:r w:rsidRPr="00487834">
              <w:t>. R-</w:t>
            </w:r>
            <w:proofErr w:type="spellStart"/>
            <w:r w:rsidRPr="00487834">
              <w:t>sq</w:t>
            </w:r>
            <w:proofErr w:type="spellEnd"/>
            <w:r w:rsidRPr="00487834">
              <w:t>.</w:t>
            </w:r>
          </w:p>
        </w:tc>
        <w:tc>
          <w:tcPr>
            <w:tcW w:w="1032" w:type="dxa"/>
            <w:tcBorders>
              <w:top w:val="nil"/>
              <w:left w:val="nil"/>
              <w:bottom w:val="nil"/>
              <w:right w:val="nil"/>
            </w:tcBorders>
            <w:shd w:val="clear" w:color="auto" w:fill="auto"/>
            <w:vAlign w:val="center"/>
            <w:hideMark/>
          </w:tcPr>
          <w:p w14:paraId="6FDE7633" w14:textId="77777777" w:rsidR="004D7B42" w:rsidRPr="00487834" w:rsidRDefault="004D7B42" w:rsidP="00205E8B">
            <w:pPr>
              <w:pStyle w:val="NoSpacing"/>
            </w:pPr>
            <w:r w:rsidRPr="00487834">
              <w:t>0.211</w:t>
            </w:r>
          </w:p>
        </w:tc>
        <w:tc>
          <w:tcPr>
            <w:tcW w:w="1300" w:type="dxa"/>
            <w:tcBorders>
              <w:top w:val="nil"/>
              <w:left w:val="nil"/>
              <w:bottom w:val="nil"/>
              <w:right w:val="nil"/>
            </w:tcBorders>
            <w:shd w:val="clear" w:color="auto" w:fill="auto"/>
            <w:vAlign w:val="center"/>
            <w:hideMark/>
          </w:tcPr>
          <w:p w14:paraId="446965F5" w14:textId="77777777" w:rsidR="004D7B42" w:rsidRPr="00487834" w:rsidRDefault="004D7B42" w:rsidP="00205E8B">
            <w:pPr>
              <w:pStyle w:val="NoSpacing"/>
            </w:pPr>
            <w:r w:rsidRPr="00487834">
              <w:t>-</w:t>
            </w:r>
          </w:p>
        </w:tc>
        <w:tc>
          <w:tcPr>
            <w:tcW w:w="1280" w:type="dxa"/>
            <w:tcBorders>
              <w:top w:val="nil"/>
              <w:left w:val="nil"/>
              <w:bottom w:val="nil"/>
              <w:right w:val="nil"/>
            </w:tcBorders>
            <w:shd w:val="clear" w:color="auto" w:fill="auto"/>
            <w:vAlign w:val="center"/>
            <w:hideMark/>
          </w:tcPr>
          <w:p w14:paraId="1A794358" w14:textId="77777777" w:rsidR="004D7B42" w:rsidRPr="00487834" w:rsidRDefault="004D7B42" w:rsidP="00205E8B">
            <w:pPr>
              <w:pStyle w:val="NoSpacing"/>
            </w:pPr>
            <w:r w:rsidRPr="00487834">
              <w:t>0.239</w:t>
            </w:r>
          </w:p>
        </w:tc>
        <w:tc>
          <w:tcPr>
            <w:tcW w:w="1300" w:type="dxa"/>
            <w:tcBorders>
              <w:top w:val="nil"/>
              <w:left w:val="nil"/>
              <w:bottom w:val="nil"/>
              <w:right w:val="nil"/>
            </w:tcBorders>
            <w:shd w:val="clear" w:color="auto" w:fill="auto"/>
            <w:vAlign w:val="center"/>
            <w:hideMark/>
          </w:tcPr>
          <w:p w14:paraId="39194A8E" w14:textId="77777777" w:rsidR="004D7B42" w:rsidRPr="00487834" w:rsidRDefault="004D7B42" w:rsidP="00205E8B">
            <w:pPr>
              <w:pStyle w:val="NoSpacing"/>
            </w:pPr>
            <w:r w:rsidRPr="00487834">
              <w:t>0.312</w:t>
            </w:r>
          </w:p>
        </w:tc>
      </w:tr>
      <w:tr w:rsidR="004D7B42" w:rsidRPr="00487834" w14:paraId="57356139" w14:textId="77777777" w:rsidTr="00A83D58">
        <w:trPr>
          <w:trHeight w:val="540"/>
          <w:jc w:val="center"/>
        </w:trPr>
        <w:tc>
          <w:tcPr>
            <w:tcW w:w="2268" w:type="dxa"/>
            <w:tcBorders>
              <w:top w:val="nil"/>
              <w:left w:val="nil"/>
              <w:bottom w:val="nil"/>
              <w:right w:val="nil"/>
            </w:tcBorders>
            <w:shd w:val="clear" w:color="auto" w:fill="auto"/>
            <w:noWrap/>
            <w:vAlign w:val="center"/>
            <w:hideMark/>
          </w:tcPr>
          <w:p w14:paraId="3CFA88E0" w14:textId="77777777" w:rsidR="004D7B42" w:rsidRPr="00487834" w:rsidRDefault="004D7B42" w:rsidP="00205E8B">
            <w:pPr>
              <w:pStyle w:val="NoSpacing"/>
            </w:pPr>
            <w:r w:rsidRPr="00487834">
              <w:t xml:space="preserve">Year </w:t>
            </w:r>
            <w:proofErr w:type="spellStart"/>
            <w:r w:rsidRPr="00487834">
              <w:t>effects</w:t>
            </w:r>
            <w:proofErr w:type="spellEnd"/>
          </w:p>
        </w:tc>
        <w:tc>
          <w:tcPr>
            <w:tcW w:w="1032" w:type="dxa"/>
            <w:tcBorders>
              <w:top w:val="nil"/>
              <w:left w:val="nil"/>
              <w:bottom w:val="nil"/>
              <w:right w:val="nil"/>
            </w:tcBorders>
            <w:shd w:val="clear" w:color="auto" w:fill="auto"/>
            <w:vAlign w:val="center"/>
            <w:hideMark/>
          </w:tcPr>
          <w:p w14:paraId="7261CB6B" w14:textId="77777777" w:rsidR="004D7B42" w:rsidRPr="00487834" w:rsidRDefault="004D7B42" w:rsidP="00205E8B">
            <w:pPr>
              <w:pStyle w:val="NoSpacing"/>
            </w:pPr>
            <w:r w:rsidRPr="00487834">
              <w:t>Yes</w:t>
            </w:r>
          </w:p>
        </w:tc>
        <w:tc>
          <w:tcPr>
            <w:tcW w:w="1300" w:type="dxa"/>
            <w:tcBorders>
              <w:top w:val="nil"/>
              <w:left w:val="nil"/>
              <w:bottom w:val="nil"/>
              <w:right w:val="nil"/>
            </w:tcBorders>
            <w:shd w:val="clear" w:color="auto" w:fill="auto"/>
            <w:vAlign w:val="center"/>
            <w:hideMark/>
          </w:tcPr>
          <w:p w14:paraId="2CC5C41B" w14:textId="77777777" w:rsidR="004D7B42" w:rsidRPr="00487834" w:rsidRDefault="004D7B42" w:rsidP="00205E8B">
            <w:pPr>
              <w:pStyle w:val="NoSpacing"/>
            </w:pPr>
            <w:r w:rsidRPr="00487834">
              <w:t>Yes</w:t>
            </w:r>
          </w:p>
        </w:tc>
        <w:tc>
          <w:tcPr>
            <w:tcW w:w="1280" w:type="dxa"/>
            <w:tcBorders>
              <w:top w:val="nil"/>
              <w:left w:val="nil"/>
              <w:bottom w:val="nil"/>
              <w:right w:val="nil"/>
            </w:tcBorders>
            <w:shd w:val="clear" w:color="auto" w:fill="auto"/>
            <w:vAlign w:val="center"/>
            <w:hideMark/>
          </w:tcPr>
          <w:p w14:paraId="3A00F96E" w14:textId="77777777" w:rsidR="004D7B42" w:rsidRPr="00487834" w:rsidRDefault="004D7B42" w:rsidP="00205E8B">
            <w:pPr>
              <w:pStyle w:val="NoSpacing"/>
            </w:pPr>
            <w:r w:rsidRPr="00487834">
              <w:t>Yes</w:t>
            </w:r>
          </w:p>
        </w:tc>
        <w:tc>
          <w:tcPr>
            <w:tcW w:w="1300" w:type="dxa"/>
            <w:tcBorders>
              <w:top w:val="nil"/>
              <w:left w:val="nil"/>
              <w:bottom w:val="nil"/>
              <w:right w:val="nil"/>
            </w:tcBorders>
            <w:shd w:val="clear" w:color="auto" w:fill="auto"/>
            <w:vAlign w:val="center"/>
            <w:hideMark/>
          </w:tcPr>
          <w:p w14:paraId="526DBE96" w14:textId="77777777" w:rsidR="004D7B42" w:rsidRPr="00487834" w:rsidRDefault="004D7B42" w:rsidP="00205E8B">
            <w:pPr>
              <w:pStyle w:val="NoSpacing"/>
            </w:pPr>
            <w:r w:rsidRPr="00487834">
              <w:t>Yes</w:t>
            </w:r>
          </w:p>
        </w:tc>
      </w:tr>
      <w:tr w:rsidR="004D7B42" w:rsidRPr="00487834" w14:paraId="6F0BF8C1" w14:textId="77777777" w:rsidTr="00A83D58">
        <w:trPr>
          <w:trHeight w:val="580"/>
          <w:jc w:val="center"/>
        </w:trPr>
        <w:tc>
          <w:tcPr>
            <w:tcW w:w="2268" w:type="dxa"/>
            <w:tcBorders>
              <w:top w:val="nil"/>
              <w:left w:val="nil"/>
              <w:bottom w:val="nil"/>
              <w:right w:val="nil"/>
            </w:tcBorders>
            <w:shd w:val="clear" w:color="auto" w:fill="auto"/>
            <w:noWrap/>
            <w:vAlign w:val="center"/>
            <w:hideMark/>
          </w:tcPr>
          <w:p w14:paraId="35DFB4A7" w14:textId="77777777" w:rsidR="004D7B42" w:rsidRPr="00487834" w:rsidRDefault="004D7B42" w:rsidP="00205E8B">
            <w:pPr>
              <w:pStyle w:val="NoSpacing"/>
            </w:pPr>
            <w:proofErr w:type="spellStart"/>
            <w:r w:rsidRPr="00487834">
              <w:t>Firm</w:t>
            </w:r>
            <w:proofErr w:type="spellEnd"/>
            <w:r w:rsidRPr="00487834">
              <w:t xml:space="preserve"> </w:t>
            </w:r>
            <w:proofErr w:type="spellStart"/>
            <w:r w:rsidRPr="00487834">
              <w:t>effects</w:t>
            </w:r>
            <w:proofErr w:type="spellEnd"/>
          </w:p>
        </w:tc>
        <w:tc>
          <w:tcPr>
            <w:tcW w:w="1032" w:type="dxa"/>
            <w:tcBorders>
              <w:top w:val="nil"/>
              <w:left w:val="nil"/>
              <w:bottom w:val="nil"/>
              <w:right w:val="nil"/>
            </w:tcBorders>
            <w:shd w:val="clear" w:color="auto" w:fill="auto"/>
            <w:vAlign w:val="center"/>
            <w:hideMark/>
          </w:tcPr>
          <w:p w14:paraId="6222488D" w14:textId="77777777" w:rsidR="004D7B42" w:rsidRPr="00487834" w:rsidRDefault="004D7B42" w:rsidP="00205E8B">
            <w:pPr>
              <w:pStyle w:val="NoSpacing"/>
            </w:pPr>
            <w:r w:rsidRPr="00487834">
              <w:t>Yes</w:t>
            </w:r>
          </w:p>
        </w:tc>
        <w:tc>
          <w:tcPr>
            <w:tcW w:w="1300" w:type="dxa"/>
            <w:tcBorders>
              <w:top w:val="nil"/>
              <w:left w:val="nil"/>
              <w:bottom w:val="nil"/>
              <w:right w:val="nil"/>
            </w:tcBorders>
            <w:shd w:val="clear" w:color="auto" w:fill="auto"/>
            <w:vAlign w:val="center"/>
            <w:hideMark/>
          </w:tcPr>
          <w:p w14:paraId="584639EA" w14:textId="77777777" w:rsidR="004D7B42" w:rsidRPr="00487834" w:rsidRDefault="004D7B42" w:rsidP="00205E8B">
            <w:pPr>
              <w:pStyle w:val="NoSpacing"/>
            </w:pPr>
            <w:r w:rsidRPr="00487834">
              <w:t>Yes</w:t>
            </w:r>
          </w:p>
        </w:tc>
        <w:tc>
          <w:tcPr>
            <w:tcW w:w="1280" w:type="dxa"/>
            <w:tcBorders>
              <w:top w:val="nil"/>
              <w:left w:val="nil"/>
              <w:bottom w:val="nil"/>
              <w:right w:val="nil"/>
            </w:tcBorders>
            <w:shd w:val="clear" w:color="auto" w:fill="auto"/>
            <w:vAlign w:val="center"/>
            <w:hideMark/>
          </w:tcPr>
          <w:p w14:paraId="1928A70B" w14:textId="77777777" w:rsidR="004D7B42" w:rsidRPr="00487834" w:rsidRDefault="004D7B42" w:rsidP="00205E8B">
            <w:pPr>
              <w:pStyle w:val="NoSpacing"/>
            </w:pPr>
            <w:r w:rsidRPr="00487834">
              <w:t>Yes</w:t>
            </w:r>
          </w:p>
        </w:tc>
        <w:tc>
          <w:tcPr>
            <w:tcW w:w="1300" w:type="dxa"/>
            <w:tcBorders>
              <w:top w:val="nil"/>
              <w:left w:val="nil"/>
              <w:bottom w:val="nil"/>
              <w:right w:val="nil"/>
            </w:tcBorders>
            <w:shd w:val="clear" w:color="auto" w:fill="auto"/>
            <w:vAlign w:val="center"/>
            <w:hideMark/>
          </w:tcPr>
          <w:p w14:paraId="479D0D17" w14:textId="77777777" w:rsidR="004D7B42" w:rsidRPr="00487834" w:rsidRDefault="004D7B42" w:rsidP="00205E8B">
            <w:pPr>
              <w:pStyle w:val="NoSpacing"/>
            </w:pPr>
            <w:r w:rsidRPr="00487834">
              <w:t>Yes</w:t>
            </w:r>
          </w:p>
        </w:tc>
      </w:tr>
      <w:tr w:rsidR="004D7B42" w:rsidRPr="00487834" w14:paraId="03BD907E" w14:textId="77777777" w:rsidTr="00A83D58">
        <w:trPr>
          <w:trHeight w:val="1220"/>
          <w:jc w:val="center"/>
        </w:trPr>
        <w:tc>
          <w:tcPr>
            <w:tcW w:w="2268" w:type="dxa"/>
            <w:tcBorders>
              <w:top w:val="nil"/>
              <w:left w:val="nil"/>
              <w:bottom w:val="single" w:sz="4" w:space="0" w:color="auto"/>
              <w:right w:val="nil"/>
            </w:tcBorders>
            <w:shd w:val="clear" w:color="auto" w:fill="auto"/>
            <w:vAlign w:val="center"/>
            <w:hideMark/>
          </w:tcPr>
          <w:p w14:paraId="3952F64E" w14:textId="77777777" w:rsidR="004D7B42" w:rsidRPr="00487834" w:rsidRDefault="004D7B42" w:rsidP="00205E8B">
            <w:pPr>
              <w:pStyle w:val="NoSpacing"/>
            </w:pPr>
            <w:proofErr w:type="spellStart"/>
            <w:r w:rsidRPr="00487834">
              <w:t>Robust</w:t>
            </w:r>
            <w:proofErr w:type="spellEnd"/>
            <w:r w:rsidRPr="00487834">
              <w:t xml:space="preserve"> </w:t>
            </w:r>
            <w:proofErr w:type="spellStart"/>
            <w:r w:rsidRPr="00487834">
              <w:t>standard</w:t>
            </w:r>
            <w:proofErr w:type="spellEnd"/>
            <w:r w:rsidRPr="00487834">
              <w:t xml:space="preserve"> </w:t>
            </w:r>
            <w:proofErr w:type="spellStart"/>
            <w:r w:rsidRPr="00487834">
              <w:t>errors</w:t>
            </w:r>
            <w:proofErr w:type="spellEnd"/>
          </w:p>
        </w:tc>
        <w:tc>
          <w:tcPr>
            <w:tcW w:w="1032" w:type="dxa"/>
            <w:tcBorders>
              <w:top w:val="nil"/>
              <w:left w:val="nil"/>
              <w:bottom w:val="single" w:sz="4" w:space="0" w:color="auto"/>
              <w:right w:val="nil"/>
            </w:tcBorders>
            <w:shd w:val="clear" w:color="auto" w:fill="auto"/>
            <w:vAlign w:val="center"/>
            <w:hideMark/>
          </w:tcPr>
          <w:p w14:paraId="3EBFE148" w14:textId="77777777" w:rsidR="004D7B42" w:rsidRPr="00487834" w:rsidRDefault="004D7B42" w:rsidP="00205E8B">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300" w:type="dxa"/>
            <w:tcBorders>
              <w:top w:val="nil"/>
              <w:left w:val="nil"/>
              <w:bottom w:val="single" w:sz="4" w:space="0" w:color="auto"/>
              <w:right w:val="nil"/>
            </w:tcBorders>
            <w:shd w:val="clear" w:color="auto" w:fill="auto"/>
            <w:vAlign w:val="center"/>
            <w:hideMark/>
          </w:tcPr>
          <w:p w14:paraId="623263EA" w14:textId="77777777" w:rsidR="004D7B42" w:rsidRPr="00487834" w:rsidRDefault="004D7B42" w:rsidP="00205E8B">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280" w:type="dxa"/>
            <w:tcBorders>
              <w:top w:val="nil"/>
              <w:left w:val="nil"/>
              <w:bottom w:val="single" w:sz="4" w:space="0" w:color="auto"/>
              <w:right w:val="nil"/>
            </w:tcBorders>
            <w:shd w:val="clear" w:color="auto" w:fill="auto"/>
            <w:vAlign w:val="center"/>
            <w:hideMark/>
          </w:tcPr>
          <w:p w14:paraId="42300344" w14:textId="77777777" w:rsidR="004D7B42" w:rsidRPr="00487834" w:rsidRDefault="004D7B42" w:rsidP="00205E8B">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300" w:type="dxa"/>
            <w:tcBorders>
              <w:top w:val="nil"/>
              <w:left w:val="nil"/>
              <w:bottom w:val="single" w:sz="4" w:space="0" w:color="auto"/>
              <w:right w:val="nil"/>
            </w:tcBorders>
            <w:shd w:val="clear" w:color="auto" w:fill="auto"/>
            <w:vAlign w:val="center"/>
            <w:hideMark/>
          </w:tcPr>
          <w:p w14:paraId="46FA19D3" w14:textId="77777777" w:rsidR="004D7B42" w:rsidRPr="00487834" w:rsidRDefault="004D7B42" w:rsidP="00205E8B">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r>
    </w:tbl>
    <w:p w14:paraId="1A5CE746" w14:textId="77777777" w:rsidR="00213022" w:rsidRPr="00487834" w:rsidRDefault="00213022" w:rsidP="003128F6">
      <w:pPr>
        <w:autoSpaceDE w:val="0"/>
        <w:autoSpaceDN w:val="0"/>
        <w:adjustRightInd w:val="0"/>
        <w:spacing w:line="300" w:lineRule="auto"/>
        <w:rPr>
          <w:rFonts w:eastAsiaTheme="minorHAnsi"/>
          <w:lang w:val="en-US" w:eastAsia="en-US"/>
        </w:rPr>
      </w:pPr>
    </w:p>
    <w:p w14:paraId="7921366D" w14:textId="77777777" w:rsidR="00213022" w:rsidRPr="00487834" w:rsidRDefault="00213022" w:rsidP="003128F6">
      <w:pPr>
        <w:autoSpaceDE w:val="0"/>
        <w:autoSpaceDN w:val="0"/>
        <w:adjustRightInd w:val="0"/>
        <w:spacing w:line="300" w:lineRule="auto"/>
        <w:rPr>
          <w:rFonts w:eastAsiaTheme="minorHAnsi"/>
          <w:lang w:val="en-US" w:eastAsia="en-US"/>
        </w:rPr>
      </w:pPr>
    </w:p>
    <w:p w14:paraId="0A31F72D" w14:textId="77777777" w:rsidR="00ED5432" w:rsidRPr="00487834" w:rsidRDefault="00ED5432" w:rsidP="00ED5432">
      <w:pPr>
        <w:autoSpaceDE w:val="0"/>
        <w:autoSpaceDN w:val="0"/>
        <w:adjustRightInd w:val="0"/>
        <w:spacing w:line="300" w:lineRule="auto"/>
        <w:rPr>
          <w:rFonts w:eastAsiaTheme="minorHAnsi"/>
          <w:lang w:val="en-US" w:eastAsia="en-US"/>
        </w:rPr>
      </w:pPr>
    </w:p>
    <w:p w14:paraId="39E42B53" w14:textId="77777777" w:rsidR="00ED5432" w:rsidRPr="00487834" w:rsidRDefault="00ED5432" w:rsidP="00BD0942">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The regression results for the cost of debt without lagged predictors, segmented by country (Russia, Brazil, and South Africa), reveal varying impacts of ESG scores on financing costs</w:t>
      </w:r>
      <w:r w:rsidR="00BD0942" w:rsidRPr="00487834">
        <w:rPr>
          <w:rFonts w:eastAsiaTheme="minorHAnsi"/>
          <w:lang w:val="en-US" w:eastAsia="en-US"/>
        </w:rPr>
        <w:t xml:space="preserve">. </w:t>
      </w:r>
      <w:r w:rsidRPr="00487834">
        <w:rPr>
          <w:rFonts w:eastAsiaTheme="minorHAnsi"/>
          <w:lang w:val="en-US" w:eastAsia="en-US"/>
        </w:rPr>
        <w:t>In Russia</w:t>
      </w:r>
      <w:r w:rsidR="00BD0942" w:rsidRPr="00487834">
        <w:rPr>
          <w:rFonts w:eastAsiaTheme="minorHAnsi"/>
          <w:lang w:val="en-US" w:eastAsia="en-US"/>
        </w:rPr>
        <w:t xml:space="preserve">, </w:t>
      </w:r>
      <w:r w:rsidRPr="00487834">
        <w:rPr>
          <w:rFonts w:eastAsiaTheme="minorHAnsi"/>
          <w:lang w:val="en-US" w:eastAsia="en-US"/>
        </w:rPr>
        <w:t>the fixed effects (FE) and random effects (RE) models both show an insignificant relationship between ESG scores and the cost of debt, suggesting that ESG performance does not significantly influence borrowing costs in this market. This contradicts Hypothesis 4, which anticipated a stronger effect in Russia due to its emission-intensive industries. This finding aligns with the notion that in countries with less emphasis on sustainability, ESG improvements may not translate into immediate financial benefits, as also observed by Breuer et al. (2018) regarding investor protection's role in ESG effectiveness.</w:t>
      </w:r>
    </w:p>
    <w:p w14:paraId="015EEEEA" w14:textId="77777777" w:rsidR="00ED5432" w:rsidRPr="00487834" w:rsidRDefault="00ED5432" w:rsidP="00BD0942">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 xml:space="preserve">In contrast, Brazil's fixed effects model indicates a significant negative relationship between ESG scores and the cost of debt (-0.0059, p &lt; 0.01), supporting H2, which </w:t>
      </w:r>
      <w:r w:rsidR="000629FE" w:rsidRPr="00487834">
        <w:rPr>
          <w:rFonts w:eastAsiaTheme="minorHAnsi"/>
          <w:lang w:val="en-US" w:eastAsia="en-US"/>
        </w:rPr>
        <w:t>suggests</w:t>
      </w:r>
      <w:r w:rsidRPr="00487834">
        <w:rPr>
          <w:rFonts w:eastAsiaTheme="minorHAnsi"/>
          <w:lang w:val="en-US" w:eastAsia="en-US"/>
        </w:rPr>
        <w:t xml:space="preserve"> that higher ESG scores</w:t>
      </w:r>
      <w:r w:rsidR="000629FE" w:rsidRPr="00487834">
        <w:rPr>
          <w:rFonts w:eastAsiaTheme="minorHAnsi"/>
          <w:lang w:val="en-US" w:eastAsia="en-US"/>
        </w:rPr>
        <w:t xml:space="preserve"> converts to the lower </w:t>
      </w:r>
      <w:r w:rsidRPr="00487834">
        <w:rPr>
          <w:rFonts w:eastAsiaTheme="minorHAnsi"/>
          <w:lang w:val="en-US" w:eastAsia="en-US"/>
        </w:rPr>
        <w:t xml:space="preserve">cost of debt. This is consistent with the literature, such as </w:t>
      </w:r>
      <w:proofErr w:type="spellStart"/>
      <w:r w:rsidRPr="00487834">
        <w:rPr>
          <w:rFonts w:eastAsiaTheme="minorHAnsi"/>
          <w:lang w:val="en-US" w:eastAsia="en-US"/>
        </w:rPr>
        <w:t>Apergis</w:t>
      </w:r>
      <w:proofErr w:type="spellEnd"/>
      <w:r w:rsidRPr="00487834">
        <w:rPr>
          <w:rFonts w:eastAsiaTheme="minorHAnsi"/>
          <w:lang w:val="en-US" w:eastAsia="en-US"/>
        </w:rPr>
        <w:t xml:space="preserve"> et al. (2022) and Bhuiyan and Nguyen (2020), which found that better ESG performance reduces corporate borrowing costs. The significant impact in Brazil underscores the country's growing focus on sustainability and governance, as highlighted by </w:t>
      </w:r>
      <w:proofErr w:type="spellStart"/>
      <w:r w:rsidRPr="00487834">
        <w:rPr>
          <w:rFonts w:eastAsiaTheme="minorHAnsi"/>
          <w:lang w:val="en-US" w:eastAsia="en-US"/>
        </w:rPr>
        <w:t>Eliwa</w:t>
      </w:r>
      <w:proofErr w:type="spellEnd"/>
      <w:r w:rsidRPr="00487834">
        <w:rPr>
          <w:rFonts w:eastAsiaTheme="minorHAnsi"/>
          <w:lang w:val="en-US" w:eastAsia="en-US"/>
        </w:rPr>
        <w:t xml:space="preserve"> et al. (2021).</w:t>
      </w:r>
    </w:p>
    <w:p w14:paraId="32003FBB" w14:textId="712A5A80" w:rsidR="00ED5432" w:rsidRPr="00487834" w:rsidRDefault="00ED5432" w:rsidP="00D229B8">
      <w:pPr>
        <w:autoSpaceDE w:val="0"/>
        <w:autoSpaceDN w:val="0"/>
        <w:adjustRightInd w:val="0"/>
        <w:spacing w:line="300" w:lineRule="auto"/>
        <w:ind w:firstLine="0"/>
        <w:rPr>
          <w:rFonts w:eastAsiaTheme="minorHAnsi"/>
          <w:lang w:val="en-US" w:eastAsia="en-US"/>
        </w:rPr>
      </w:pPr>
      <w:r w:rsidRPr="00487834">
        <w:rPr>
          <w:rFonts w:eastAsiaTheme="minorHAnsi"/>
          <w:lang w:val="en-US" w:eastAsia="en-US"/>
        </w:rPr>
        <w:t xml:space="preserve">South Africa </w:t>
      </w:r>
      <w:r w:rsidR="000629FE" w:rsidRPr="00487834">
        <w:rPr>
          <w:rFonts w:eastAsiaTheme="minorHAnsi"/>
          <w:lang w:val="en-US" w:eastAsia="en-US"/>
        </w:rPr>
        <w:t xml:space="preserve">here is a surprising </w:t>
      </w:r>
      <w:r w:rsidRPr="00487834">
        <w:rPr>
          <w:rFonts w:eastAsiaTheme="minorHAnsi"/>
          <w:lang w:val="en-US" w:eastAsia="en-US"/>
        </w:rPr>
        <w:t>case where the ESG score positively impacts the cost of debt (0.0066, p &lt; 0.01), contrary to Hypothesis 2. This unexpected result could be due to unique market dynamics or higher costs associated with achieving and maintaining high ESG standards in the South African context</w:t>
      </w:r>
      <w:r w:rsidR="000629FE" w:rsidRPr="00487834">
        <w:rPr>
          <w:rFonts w:eastAsiaTheme="minorHAnsi"/>
          <w:lang w:val="en-US" w:eastAsia="en-US"/>
        </w:rPr>
        <w:t xml:space="preserve">, where </w:t>
      </w:r>
      <w:r w:rsidR="00E50CC9" w:rsidRPr="00487834">
        <w:rPr>
          <w:rFonts w:eastAsiaTheme="minorHAnsi"/>
          <w:lang w:val="en-US" w:eastAsia="en-US"/>
        </w:rPr>
        <w:t>labor and environmental protection institutional framework is still emerging.</w:t>
      </w:r>
    </w:p>
    <w:p w14:paraId="4E99AFAB" w14:textId="0B633F8E" w:rsidR="00213022" w:rsidRPr="00487834" w:rsidRDefault="00ED5432" w:rsidP="007D0527">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 xml:space="preserve">Control variables offer additional insights. Market capitalization (MCAP) consistently shows a negative and significant impact on the cost of debt across Brazil and South Africa, indicating that larger firms generally benefit from lower borrowing costs, aligning with Cardoso (2020) on the significance of firm size. The return on assets (ROA) and leverage (LEV) variables also </w:t>
      </w:r>
      <w:proofErr w:type="gramStart"/>
      <w:r w:rsidRPr="00487834">
        <w:rPr>
          <w:rFonts w:eastAsiaTheme="minorHAnsi"/>
          <w:lang w:val="en-US" w:eastAsia="en-US"/>
        </w:rPr>
        <w:t>show</w:t>
      </w:r>
      <w:proofErr w:type="gramEnd"/>
      <w:r w:rsidRPr="00487834">
        <w:rPr>
          <w:rFonts w:eastAsiaTheme="minorHAnsi"/>
          <w:lang w:val="en-US" w:eastAsia="en-US"/>
        </w:rPr>
        <w:t xml:space="preserve"> significant relationships in some models, emphasizing the importance of financial health and </w:t>
      </w:r>
      <w:r w:rsidR="00E50CC9" w:rsidRPr="00487834">
        <w:rPr>
          <w:rFonts w:eastAsiaTheme="minorHAnsi"/>
          <w:lang w:val="en-US" w:eastAsia="en-US"/>
        </w:rPr>
        <w:t xml:space="preserve">prudent leverage risk </w:t>
      </w:r>
      <w:r w:rsidRPr="00487834">
        <w:rPr>
          <w:rFonts w:eastAsiaTheme="minorHAnsi"/>
          <w:lang w:val="en-US" w:eastAsia="en-US"/>
        </w:rPr>
        <w:t xml:space="preserve">management in </w:t>
      </w:r>
      <w:r w:rsidR="00E50CC9" w:rsidRPr="00487834">
        <w:rPr>
          <w:rFonts w:eastAsiaTheme="minorHAnsi"/>
          <w:lang w:val="en-US" w:eastAsia="en-US"/>
        </w:rPr>
        <w:t>determinizing cost of debt.</w:t>
      </w:r>
      <w:r w:rsidR="00B72D57" w:rsidRPr="00487834">
        <w:rPr>
          <w:rFonts w:eastAsiaTheme="minorHAnsi"/>
          <w:lang w:val="en-US" w:eastAsia="en-US"/>
        </w:rPr>
        <w:t xml:space="preserve"> </w:t>
      </w:r>
      <w:r w:rsidRPr="00487834">
        <w:rPr>
          <w:rFonts w:eastAsiaTheme="minorHAnsi"/>
          <w:lang w:val="en-US" w:eastAsia="en-US"/>
        </w:rPr>
        <w:t xml:space="preserve">Overall, these results </w:t>
      </w:r>
      <w:r w:rsidRPr="00487834">
        <w:rPr>
          <w:rFonts w:eastAsiaTheme="minorHAnsi"/>
          <w:lang w:val="en-US" w:eastAsia="en-US"/>
        </w:rPr>
        <w:lastRenderedPageBreak/>
        <w:t xml:space="preserve">reveal a complex and country-specific relationship between ESG scores and the cost of debt in BRICS markets. While </w:t>
      </w:r>
      <w:r w:rsidR="007D0527" w:rsidRPr="00487834">
        <w:rPr>
          <w:rFonts w:eastAsiaTheme="minorHAnsi"/>
          <w:lang w:val="en-US" w:eastAsia="en-US"/>
        </w:rPr>
        <w:t>H</w:t>
      </w:r>
      <w:r w:rsidRPr="00487834">
        <w:rPr>
          <w:rFonts w:eastAsiaTheme="minorHAnsi"/>
          <w:lang w:val="en-US" w:eastAsia="en-US"/>
        </w:rPr>
        <w:t xml:space="preserve">2 </w:t>
      </w:r>
      <w:r w:rsidR="007D0527" w:rsidRPr="00487834">
        <w:rPr>
          <w:rFonts w:eastAsiaTheme="minorHAnsi"/>
          <w:lang w:val="en-US" w:eastAsia="en-US"/>
        </w:rPr>
        <w:t>is supported by the case</w:t>
      </w:r>
      <w:r w:rsidR="00161756">
        <w:rPr>
          <w:rFonts w:eastAsiaTheme="minorHAnsi"/>
          <w:lang w:val="en-US" w:eastAsia="en-US"/>
        </w:rPr>
        <w:t xml:space="preserve"> </w:t>
      </w:r>
      <w:r w:rsidR="007D0527" w:rsidRPr="00487834">
        <w:rPr>
          <w:rFonts w:eastAsiaTheme="minorHAnsi"/>
          <w:lang w:val="en-US" w:eastAsia="en-US"/>
        </w:rPr>
        <w:t xml:space="preserve">of </w:t>
      </w:r>
      <w:r w:rsidRPr="00487834">
        <w:rPr>
          <w:rFonts w:eastAsiaTheme="minorHAnsi"/>
          <w:lang w:val="en-US" w:eastAsia="en-US"/>
        </w:rPr>
        <w:t xml:space="preserve">Brazil, the inconsistent results in Russia and South Africa highlight the need for a nuanced understanding of how ESG performance interacts with local economic and regulatory contexts. This </w:t>
      </w:r>
      <w:r w:rsidR="007D0527" w:rsidRPr="00487834">
        <w:rPr>
          <w:rFonts w:eastAsiaTheme="minorHAnsi"/>
          <w:lang w:val="en-US" w:eastAsia="en-US"/>
        </w:rPr>
        <w:t xml:space="preserve">highlights </w:t>
      </w:r>
      <w:r w:rsidRPr="00487834">
        <w:rPr>
          <w:rFonts w:eastAsiaTheme="minorHAnsi"/>
          <w:lang w:val="en-US" w:eastAsia="en-US"/>
        </w:rPr>
        <w:t xml:space="preserve">the </w:t>
      </w:r>
      <w:r w:rsidR="007D0527" w:rsidRPr="00487834">
        <w:rPr>
          <w:rFonts w:eastAsiaTheme="minorHAnsi"/>
          <w:lang w:val="en-US" w:eastAsia="en-US"/>
        </w:rPr>
        <w:t>cruciality</w:t>
      </w:r>
      <w:r w:rsidRPr="00487834">
        <w:rPr>
          <w:rFonts w:eastAsiaTheme="minorHAnsi"/>
          <w:lang w:val="en-US" w:eastAsia="en-US"/>
        </w:rPr>
        <w:t xml:space="preserve"> of tailored strategies for ESG improvement to optimize financing costs in different emerging markets.</w:t>
      </w:r>
    </w:p>
    <w:p w14:paraId="78F50414" w14:textId="77777777" w:rsidR="00BD4062" w:rsidRPr="00487834" w:rsidRDefault="00BD4062" w:rsidP="003128F6">
      <w:pPr>
        <w:autoSpaceDE w:val="0"/>
        <w:autoSpaceDN w:val="0"/>
        <w:adjustRightInd w:val="0"/>
        <w:spacing w:line="300" w:lineRule="auto"/>
        <w:rPr>
          <w:rFonts w:eastAsiaTheme="minorHAnsi"/>
          <w:lang w:val="en-US" w:eastAsia="en-US"/>
        </w:rPr>
      </w:pPr>
    </w:p>
    <w:p w14:paraId="6AAA6A66" w14:textId="77777777" w:rsidR="00F36A29" w:rsidRPr="00487834" w:rsidRDefault="00170D3D" w:rsidP="00F36A29">
      <w:pPr>
        <w:autoSpaceDE w:val="0"/>
        <w:autoSpaceDN w:val="0"/>
        <w:adjustRightInd w:val="0"/>
        <w:spacing w:line="300" w:lineRule="auto"/>
        <w:rPr>
          <w:rFonts w:eastAsiaTheme="minorHAnsi"/>
          <w:lang w:val="en-US" w:eastAsia="en-US"/>
        </w:rPr>
      </w:pPr>
      <w:r w:rsidRPr="00487834">
        <w:rPr>
          <w:rFonts w:eastAsiaTheme="minorHAnsi"/>
          <w:b/>
          <w:bCs/>
          <w:lang w:val="en-US" w:eastAsia="en-US"/>
        </w:rPr>
        <w:t>Table 2</w:t>
      </w:r>
      <w:r w:rsidR="00BF355C" w:rsidRPr="00487834">
        <w:rPr>
          <w:rFonts w:eastAsiaTheme="minorHAnsi"/>
          <w:b/>
          <w:bCs/>
          <w:lang w:val="en-US" w:eastAsia="en-US"/>
        </w:rPr>
        <w:t>8</w:t>
      </w:r>
      <w:r w:rsidR="00286F41" w:rsidRPr="00487834">
        <w:rPr>
          <w:rFonts w:eastAsiaTheme="minorHAnsi"/>
          <w:b/>
          <w:bCs/>
          <w:lang w:val="en-US" w:eastAsia="en-US"/>
        </w:rPr>
        <w:t xml:space="preserve"> </w:t>
      </w:r>
      <w:r w:rsidRPr="00487834">
        <w:rPr>
          <w:rFonts w:eastAsiaTheme="minorHAnsi"/>
          <w:b/>
          <w:bCs/>
          <w:lang w:val="en-GB" w:eastAsia="en-US"/>
        </w:rPr>
        <w:t xml:space="preserve">– </w:t>
      </w:r>
      <w:r w:rsidR="00BD4062" w:rsidRPr="00487834">
        <w:rPr>
          <w:rFonts w:eastAsiaTheme="minorHAnsi"/>
          <w:lang w:val="en-US" w:eastAsia="en-US"/>
        </w:rPr>
        <w:t>Cost of debt regression results with lagged predictor for the full dataset and the subsamples (Top vs</w:t>
      </w:r>
      <w:r w:rsidR="00286F41" w:rsidRPr="00487834">
        <w:rPr>
          <w:rFonts w:eastAsiaTheme="minorHAnsi"/>
          <w:lang w:val="en-US" w:eastAsia="en-US"/>
        </w:rPr>
        <w:t xml:space="preserve"> </w:t>
      </w:r>
      <w:r w:rsidR="00BD4062" w:rsidRPr="00487834">
        <w:rPr>
          <w:rFonts w:eastAsiaTheme="minorHAnsi"/>
          <w:lang w:val="en-US" w:eastAsia="en-US"/>
        </w:rPr>
        <w:t>medium vs underperforming ESG scores)</w:t>
      </w:r>
    </w:p>
    <w:p w14:paraId="26C0C3EA" w14:textId="77777777" w:rsidR="00F36A29" w:rsidRPr="00487834" w:rsidRDefault="00F36A29" w:rsidP="00F36A29">
      <w:pPr>
        <w:autoSpaceDE w:val="0"/>
        <w:autoSpaceDN w:val="0"/>
        <w:adjustRightInd w:val="0"/>
        <w:spacing w:line="300" w:lineRule="auto"/>
        <w:rPr>
          <w:rFonts w:eastAsiaTheme="minorHAnsi"/>
          <w:lang w:val="en-US" w:eastAsia="en-US"/>
        </w:rPr>
      </w:pPr>
    </w:p>
    <w:tbl>
      <w:tblPr>
        <w:tblW w:w="8647" w:type="dxa"/>
        <w:jc w:val="center"/>
        <w:tblLook w:val="04A0" w:firstRow="1" w:lastRow="0" w:firstColumn="1" w:lastColumn="0" w:noHBand="0" w:noVBand="1"/>
      </w:tblPr>
      <w:tblGrid>
        <w:gridCol w:w="1843"/>
        <w:gridCol w:w="1437"/>
        <w:gridCol w:w="1300"/>
        <w:gridCol w:w="1300"/>
        <w:gridCol w:w="1300"/>
        <w:gridCol w:w="1467"/>
      </w:tblGrid>
      <w:tr w:rsidR="00621D3E" w:rsidRPr="00487834" w14:paraId="7D7A055A" w14:textId="77777777" w:rsidTr="00621D3E">
        <w:trPr>
          <w:trHeight w:val="260"/>
          <w:jc w:val="center"/>
        </w:trPr>
        <w:tc>
          <w:tcPr>
            <w:tcW w:w="1843" w:type="dxa"/>
            <w:tcBorders>
              <w:top w:val="single" w:sz="4" w:space="0" w:color="auto"/>
              <w:left w:val="nil"/>
              <w:bottom w:val="single" w:sz="4" w:space="0" w:color="auto"/>
              <w:right w:val="nil"/>
            </w:tcBorders>
            <w:shd w:val="clear" w:color="auto" w:fill="auto"/>
            <w:noWrap/>
            <w:vAlign w:val="center"/>
            <w:hideMark/>
          </w:tcPr>
          <w:p w14:paraId="4C28C152" w14:textId="77777777" w:rsidR="00621D3E" w:rsidRPr="00487834" w:rsidRDefault="00621D3E" w:rsidP="00F36A29">
            <w:pPr>
              <w:pStyle w:val="NoSpacing"/>
            </w:pPr>
            <w:proofErr w:type="spellStart"/>
            <w:r w:rsidRPr="00487834">
              <w:t>Parameter</w:t>
            </w:r>
            <w:proofErr w:type="spellEnd"/>
          </w:p>
        </w:tc>
        <w:tc>
          <w:tcPr>
            <w:tcW w:w="1437" w:type="dxa"/>
            <w:tcBorders>
              <w:top w:val="single" w:sz="4" w:space="0" w:color="auto"/>
              <w:left w:val="nil"/>
              <w:bottom w:val="single" w:sz="4" w:space="0" w:color="auto"/>
              <w:right w:val="nil"/>
            </w:tcBorders>
            <w:shd w:val="clear" w:color="auto" w:fill="auto"/>
            <w:noWrap/>
            <w:vAlign w:val="bottom"/>
            <w:hideMark/>
          </w:tcPr>
          <w:p w14:paraId="528D5469" w14:textId="77777777" w:rsidR="00621D3E" w:rsidRPr="00487834" w:rsidRDefault="00621D3E" w:rsidP="00F36A29">
            <w:pPr>
              <w:pStyle w:val="NoSpacing"/>
            </w:pPr>
            <w:proofErr w:type="spellStart"/>
            <w:r w:rsidRPr="00487834">
              <w:t>Entire</w:t>
            </w:r>
            <w:proofErr w:type="spellEnd"/>
            <w:r w:rsidRPr="00487834">
              <w:t xml:space="preserve"> </w:t>
            </w:r>
            <w:proofErr w:type="spellStart"/>
            <w:r w:rsidRPr="00487834">
              <w:t>dataset</w:t>
            </w:r>
            <w:proofErr w:type="spellEnd"/>
          </w:p>
        </w:tc>
        <w:tc>
          <w:tcPr>
            <w:tcW w:w="1300" w:type="dxa"/>
            <w:tcBorders>
              <w:top w:val="single" w:sz="4" w:space="0" w:color="auto"/>
              <w:left w:val="nil"/>
              <w:bottom w:val="single" w:sz="4" w:space="0" w:color="auto"/>
              <w:right w:val="nil"/>
            </w:tcBorders>
            <w:shd w:val="clear" w:color="auto" w:fill="auto"/>
            <w:noWrap/>
            <w:vAlign w:val="bottom"/>
            <w:hideMark/>
          </w:tcPr>
          <w:p w14:paraId="12EC1005" w14:textId="77777777" w:rsidR="00621D3E" w:rsidRPr="00487834" w:rsidRDefault="00621D3E" w:rsidP="00F36A29">
            <w:pPr>
              <w:pStyle w:val="NoSpacing"/>
            </w:pPr>
            <w:r w:rsidRPr="00487834">
              <w:t>Top 25%</w:t>
            </w:r>
          </w:p>
        </w:tc>
        <w:tc>
          <w:tcPr>
            <w:tcW w:w="1300" w:type="dxa"/>
            <w:tcBorders>
              <w:top w:val="single" w:sz="4" w:space="0" w:color="auto"/>
              <w:left w:val="nil"/>
              <w:bottom w:val="single" w:sz="4" w:space="0" w:color="auto"/>
              <w:right w:val="nil"/>
            </w:tcBorders>
            <w:shd w:val="clear" w:color="auto" w:fill="auto"/>
            <w:noWrap/>
            <w:vAlign w:val="bottom"/>
            <w:hideMark/>
          </w:tcPr>
          <w:p w14:paraId="052F5B6C" w14:textId="77777777" w:rsidR="00621D3E" w:rsidRPr="00487834" w:rsidRDefault="00621D3E" w:rsidP="00F36A29">
            <w:pPr>
              <w:pStyle w:val="NoSpacing"/>
            </w:pPr>
            <w:proofErr w:type="spellStart"/>
            <w:r w:rsidRPr="00487834">
              <w:t>Med</w:t>
            </w:r>
            <w:proofErr w:type="spellEnd"/>
            <w:r w:rsidRPr="00487834">
              <w:t>. 50%</w:t>
            </w:r>
          </w:p>
        </w:tc>
        <w:tc>
          <w:tcPr>
            <w:tcW w:w="1300" w:type="dxa"/>
            <w:tcBorders>
              <w:top w:val="single" w:sz="4" w:space="0" w:color="auto"/>
              <w:left w:val="nil"/>
              <w:bottom w:val="single" w:sz="4" w:space="0" w:color="auto"/>
              <w:right w:val="nil"/>
            </w:tcBorders>
            <w:shd w:val="clear" w:color="auto" w:fill="auto"/>
            <w:noWrap/>
            <w:vAlign w:val="bottom"/>
            <w:hideMark/>
          </w:tcPr>
          <w:p w14:paraId="04D2FC47" w14:textId="77777777" w:rsidR="00621D3E" w:rsidRPr="00487834" w:rsidRDefault="00621D3E" w:rsidP="00F36A29">
            <w:pPr>
              <w:pStyle w:val="NoSpacing"/>
            </w:pPr>
            <w:proofErr w:type="spellStart"/>
            <w:r w:rsidRPr="00487834">
              <w:t>Low</w:t>
            </w:r>
            <w:proofErr w:type="spellEnd"/>
            <w:r w:rsidRPr="00487834">
              <w:t xml:space="preserve"> 25% FE</w:t>
            </w:r>
          </w:p>
        </w:tc>
        <w:tc>
          <w:tcPr>
            <w:tcW w:w="1467" w:type="dxa"/>
            <w:tcBorders>
              <w:top w:val="single" w:sz="4" w:space="0" w:color="auto"/>
              <w:left w:val="nil"/>
              <w:bottom w:val="single" w:sz="4" w:space="0" w:color="auto"/>
              <w:right w:val="nil"/>
            </w:tcBorders>
            <w:shd w:val="clear" w:color="auto" w:fill="auto"/>
            <w:noWrap/>
            <w:vAlign w:val="bottom"/>
            <w:hideMark/>
          </w:tcPr>
          <w:p w14:paraId="2D24F28E" w14:textId="77777777" w:rsidR="00621D3E" w:rsidRPr="00487834" w:rsidRDefault="00621D3E" w:rsidP="00F36A29">
            <w:pPr>
              <w:pStyle w:val="NoSpacing"/>
            </w:pPr>
            <w:proofErr w:type="spellStart"/>
            <w:r w:rsidRPr="00487834">
              <w:t>Low</w:t>
            </w:r>
            <w:proofErr w:type="spellEnd"/>
            <w:r w:rsidRPr="00487834">
              <w:t xml:space="preserve"> 25% RE</w:t>
            </w:r>
          </w:p>
        </w:tc>
      </w:tr>
      <w:tr w:rsidR="00621D3E" w:rsidRPr="00487834" w14:paraId="026A4C7D" w14:textId="77777777" w:rsidTr="00621D3E">
        <w:trPr>
          <w:trHeight w:val="580"/>
          <w:jc w:val="center"/>
        </w:trPr>
        <w:tc>
          <w:tcPr>
            <w:tcW w:w="1843" w:type="dxa"/>
            <w:tcBorders>
              <w:top w:val="nil"/>
              <w:left w:val="nil"/>
              <w:bottom w:val="nil"/>
              <w:right w:val="nil"/>
            </w:tcBorders>
            <w:shd w:val="clear" w:color="auto" w:fill="auto"/>
            <w:noWrap/>
            <w:vAlign w:val="center"/>
            <w:hideMark/>
          </w:tcPr>
          <w:p w14:paraId="4D2C50BF" w14:textId="77777777" w:rsidR="00621D3E" w:rsidRPr="00487834" w:rsidRDefault="00621D3E" w:rsidP="00F36A29">
            <w:pPr>
              <w:pStyle w:val="NoSpacing"/>
              <w:rPr>
                <w:i/>
                <w:iCs/>
              </w:rPr>
            </w:pPr>
            <w:r w:rsidRPr="00487834">
              <w:rPr>
                <w:i/>
                <w:iCs/>
              </w:rPr>
              <w:t>C</w:t>
            </w:r>
          </w:p>
        </w:tc>
        <w:tc>
          <w:tcPr>
            <w:tcW w:w="1437" w:type="dxa"/>
            <w:tcBorders>
              <w:top w:val="nil"/>
              <w:left w:val="nil"/>
              <w:bottom w:val="nil"/>
              <w:right w:val="nil"/>
            </w:tcBorders>
            <w:shd w:val="clear" w:color="auto" w:fill="auto"/>
            <w:vAlign w:val="center"/>
            <w:hideMark/>
          </w:tcPr>
          <w:p w14:paraId="38227D63" w14:textId="77777777" w:rsidR="00621D3E" w:rsidRPr="00487834" w:rsidRDefault="00621D3E" w:rsidP="00F36A29">
            <w:pPr>
              <w:pStyle w:val="NoSpacing"/>
            </w:pPr>
            <w:r w:rsidRPr="00487834">
              <w:t>0.038*** (0.001)</w:t>
            </w:r>
          </w:p>
        </w:tc>
        <w:tc>
          <w:tcPr>
            <w:tcW w:w="1300" w:type="dxa"/>
            <w:tcBorders>
              <w:top w:val="nil"/>
              <w:left w:val="nil"/>
              <w:bottom w:val="nil"/>
              <w:right w:val="nil"/>
            </w:tcBorders>
            <w:shd w:val="clear" w:color="auto" w:fill="auto"/>
            <w:vAlign w:val="center"/>
            <w:hideMark/>
          </w:tcPr>
          <w:p w14:paraId="1E311C2E" w14:textId="77777777" w:rsidR="00621D3E" w:rsidRPr="00487834" w:rsidRDefault="00621D3E" w:rsidP="00F36A29">
            <w:pPr>
              <w:pStyle w:val="NoSpacing"/>
            </w:pPr>
            <w:r w:rsidRPr="00487834">
              <w:t>0.0508*** (0.005)</w:t>
            </w:r>
          </w:p>
        </w:tc>
        <w:tc>
          <w:tcPr>
            <w:tcW w:w="1300" w:type="dxa"/>
            <w:tcBorders>
              <w:top w:val="nil"/>
              <w:left w:val="nil"/>
              <w:bottom w:val="nil"/>
              <w:right w:val="nil"/>
            </w:tcBorders>
            <w:shd w:val="clear" w:color="auto" w:fill="auto"/>
            <w:vAlign w:val="center"/>
            <w:hideMark/>
          </w:tcPr>
          <w:p w14:paraId="5D12C2B0" w14:textId="77777777" w:rsidR="00621D3E" w:rsidRPr="00487834" w:rsidRDefault="00621D3E" w:rsidP="00F36A29">
            <w:pPr>
              <w:pStyle w:val="NoSpacing"/>
            </w:pPr>
            <w:r w:rsidRPr="00487834">
              <w:t>0.0372*** (0.001)</w:t>
            </w:r>
          </w:p>
        </w:tc>
        <w:tc>
          <w:tcPr>
            <w:tcW w:w="1300" w:type="dxa"/>
            <w:tcBorders>
              <w:top w:val="nil"/>
              <w:left w:val="nil"/>
              <w:bottom w:val="nil"/>
              <w:right w:val="nil"/>
            </w:tcBorders>
            <w:shd w:val="clear" w:color="auto" w:fill="auto"/>
            <w:vAlign w:val="center"/>
            <w:hideMark/>
          </w:tcPr>
          <w:p w14:paraId="33C3B9B2" w14:textId="77777777" w:rsidR="00621D3E" w:rsidRPr="00487834" w:rsidRDefault="00621D3E" w:rsidP="00F36A29">
            <w:pPr>
              <w:pStyle w:val="NoSpacing"/>
            </w:pPr>
            <w:r w:rsidRPr="00487834">
              <w:t>0.0473*** (0.006)</w:t>
            </w:r>
          </w:p>
        </w:tc>
        <w:tc>
          <w:tcPr>
            <w:tcW w:w="1467" w:type="dxa"/>
            <w:tcBorders>
              <w:top w:val="nil"/>
              <w:left w:val="nil"/>
              <w:bottom w:val="nil"/>
              <w:right w:val="nil"/>
            </w:tcBorders>
            <w:shd w:val="clear" w:color="auto" w:fill="auto"/>
            <w:vAlign w:val="center"/>
            <w:hideMark/>
          </w:tcPr>
          <w:p w14:paraId="76B7C0BF" w14:textId="77777777" w:rsidR="00621D3E" w:rsidRPr="00487834" w:rsidRDefault="00621D3E" w:rsidP="00F36A29">
            <w:pPr>
              <w:pStyle w:val="NoSpacing"/>
            </w:pPr>
            <w:r w:rsidRPr="00487834">
              <w:t>0.0389*** (0.004)</w:t>
            </w:r>
          </w:p>
        </w:tc>
      </w:tr>
      <w:tr w:rsidR="00621D3E" w:rsidRPr="00487834" w14:paraId="08EEA4B0" w14:textId="77777777" w:rsidTr="00621D3E">
        <w:trPr>
          <w:trHeight w:val="580"/>
          <w:jc w:val="center"/>
        </w:trPr>
        <w:tc>
          <w:tcPr>
            <w:tcW w:w="1843" w:type="dxa"/>
            <w:tcBorders>
              <w:top w:val="nil"/>
              <w:left w:val="nil"/>
              <w:bottom w:val="nil"/>
              <w:right w:val="nil"/>
            </w:tcBorders>
            <w:shd w:val="clear" w:color="auto" w:fill="auto"/>
            <w:noWrap/>
            <w:vAlign w:val="center"/>
            <w:hideMark/>
          </w:tcPr>
          <w:p w14:paraId="4304F681" w14:textId="77777777" w:rsidR="00621D3E" w:rsidRPr="00487834" w:rsidRDefault="00621D3E" w:rsidP="00F36A29">
            <w:pPr>
              <w:pStyle w:val="NoSpacing"/>
              <w:rPr>
                <w:i/>
                <w:iCs/>
              </w:rPr>
            </w:pPr>
            <w:r w:rsidRPr="00487834">
              <w:rPr>
                <w:i/>
                <w:iCs/>
              </w:rPr>
              <w:t>ESG</w:t>
            </w:r>
          </w:p>
        </w:tc>
        <w:tc>
          <w:tcPr>
            <w:tcW w:w="1437" w:type="dxa"/>
            <w:tcBorders>
              <w:top w:val="nil"/>
              <w:left w:val="nil"/>
              <w:bottom w:val="nil"/>
              <w:right w:val="nil"/>
            </w:tcBorders>
            <w:shd w:val="clear" w:color="auto" w:fill="auto"/>
            <w:vAlign w:val="center"/>
            <w:hideMark/>
          </w:tcPr>
          <w:p w14:paraId="30719B51" w14:textId="77777777" w:rsidR="00621D3E" w:rsidRPr="00487834" w:rsidRDefault="00621D3E" w:rsidP="00F36A29">
            <w:pPr>
              <w:pStyle w:val="NoSpacing"/>
            </w:pPr>
            <w:r w:rsidRPr="00487834">
              <w:t>0.0023*</w:t>
            </w:r>
            <w:proofErr w:type="gramStart"/>
            <w:r w:rsidRPr="00487834">
              <w:t xml:space="preserve">   (</w:t>
            </w:r>
            <w:proofErr w:type="gramEnd"/>
            <w:r w:rsidRPr="00487834">
              <w:t>0.001)</w:t>
            </w:r>
          </w:p>
        </w:tc>
        <w:tc>
          <w:tcPr>
            <w:tcW w:w="1300" w:type="dxa"/>
            <w:tcBorders>
              <w:top w:val="nil"/>
              <w:left w:val="nil"/>
              <w:bottom w:val="nil"/>
              <w:right w:val="nil"/>
            </w:tcBorders>
            <w:shd w:val="clear" w:color="auto" w:fill="auto"/>
            <w:vAlign w:val="center"/>
            <w:hideMark/>
          </w:tcPr>
          <w:p w14:paraId="116044DA" w14:textId="77777777" w:rsidR="00621D3E" w:rsidRPr="00487834" w:rsidRDefault="00621D3E" w:rsidP="00F36A29">
            <w:pPr>
              <w:pStyle w:val="NoSpacing"/>
            </w:pPr>
            <w:r w:rsidRPr="00487834">
              <w:t>-0.0114*** (0.004)</w:t>
            </w:r>
          </w:p>
        </w:tc>
        <w:tc>
          <w:tcPr>
            <w:tcW w:w="1300" w:type="dxa"/>
            <w:tcBorders>
              <w:top w:val="nil"/>
              <w:left w:val="nil"/>
              <w:bottom w:val="nil"/>
              <w:right w:val="nil"/>
            </w:tcBorders>
            <w:shd w:val="clear" w:color="auto" w:fill="auto"/>
            <w:vAlign w:val="center"/>
            <w:hideMark/>
          </w:tcPr>
          <w:p w14:paraId="353E0B2E" w14:textId="77777777" w:rsidR="00621D3E" w:rsidRPr="00487834" w:rsidRDefault="00621D3E" w:rsidP="00F36A29">
            <w:pPr>
              <w:pStyle w:val="NoSpacing"/>
            </w:pPr>
            <w:r w:rsidRPr="00487834">
              <w:t>0.005*</w:t>
            </w:r>
            <w:proofErr w:type="gramStart"/>
            <w:r w:rsidRPr="00487834">
              <w:t xml:space="preserve">   (</w:t>
            </w:r>
            <w:proofErr w:type="gramEnd"/>
            <w:r w:rsidRPr="00487834">
              <w:t>0.003)</w:t>
            </w:r>
          </w:p>
        </w:tc>
        <w:tc>
          <w:tcPr>
            <w:tcW w:w="1300" w:type="dxa"/>
            <w:tcBorders>
              <w:top w:val="nil"/>
              <w:left w:val="nil"/>
              <w:bottom w:val="nil"/>
              <w:right w:val="nil"/>
            </w:tcBorders>
            <w:shd w:val="clear" w:color="auto" w:fill="auto"/>
            <w:vAlign w:val="center"/>
            <w:hideMark/>
          </w:tcPr>
          <w:p w14:paraId="283FAF17" w14:textId="77777777" w:rsidR="00621D3E" w:rsidRPr="00487834" w:rsidRDefault="00621D3E" w:rsidP="00F36A29">
            <w:pPr>
              <w:pStyle w:val="NoSpacing"/>
            </w:pPr>
            <w:r w:rsidRPr="00487834">
              <w:t>0.002</w:t>
            </w:r>
            <w:proofErr w:type="gramStart"/>
            <w:r w:rsidRPr="00487834">
              <w:t xml:space="preserve">   (</w:t>
            </w:r>
            <w:proofErr w:type="gramEnd"/>
            <w:r w:rsidRPr="00487834">
              <w:t>0.003)</w:t>
            </w:r>
          </w:p>
        </w:tc>
        <w:tc>
          <w:tcPr>
            <w:tcW w:w="1467" w:type="dxa"/>
            <w:tcBorders>
              <w:top w:val="nil"/>
              <w:left w:val="nil"/>
              <w:bottom w:val="nil"/>
              <w:right w:val="nil"/>
            </w:tcBorders>
            <w:shd w:val="clear" w:color="auto" w:fill="auto"/>
            <w:vAlign w:val="center"/>
            <w:hideMark/>
          </w:tcPr>
          <w:p w14:paraId="2E2CD4DB" w14:textId="77777777" w:rsidR="00621D3E" w:rsidRPr="00487834" w:rsidRDefault="00621D3E" w:rsidP="00F36A29">
            <w:pPr>
              <w:pStyle w:val="NoSpacing"/>
            </w:pPr>
            <w:r w:rsidRPr="00487834">
              <w:t>-0.0011</w:t>
            </w:r>
            <w:proofErr w:type="gramStart"/>
            <w:r w:rsidRPr="00487834">
              <w:t xml:space="preserve">   (</w:t>
            </w:r>
            <w:proofErr w:type="gramEnd"/>
            <w:r w:rsidRPr="00487834">
              <w:t>0.002)</w:t>
            </w:r>
          </w:p>
        </w:tc>
      </w:tr>
      <w:tr w:rsidR="00621D3E" w:rsidRPr="00487834" w14:paraId="58E652A4" w14:textId="77777777" w:rsidTr="00621D3E">
        <w:trPr>
          <w:trHeight w:val="600"/>
          <w:jc w:val="center"/>
        </w:trPr>
        <w:tc>
          <w:tcPr>
            <w:tcW w:w="1843" w:type="dxa"/>
            <w:tcBorders>
              <w:top w:val="nil"/>
              <w:left w:val="nil"/>
              <w:bottom w:val="nil"/>
              <w:right w:val="nil"/>
            </w:tcBorders>
            <w:shd w:val="clear" w:color="auto" w:fill="auto"/>
            <w:noWrap/>
            <w:vAlign w:val="center"/>
            <w:hideMark/>
          </w:tcPr>
          <w:p w14:paraId="4630A038" w14:textId="77777777" w:rsidR="00621D3E" w:rsidRPr="00487834" w:rsidRDefault="00621D3E" w:rsidP="00F36A29">
            <w:pPr>
              <w:pStyle w:val="NoSpacing"/>
              <w:rPr>
                <w:i/>
                <w:iCs/>
              </w:rPr>
            </w:pPr>
            <w:r w:rsidRPr="00487834">
              <w:rPr>
                <w:i/>
                <w:iCs/>
              </w:rPr>
              <w:t>MCAP</w:t>
            </w:r>
          </w:p>
        </w:tc>
        <w:tc>
          <w:tcPr>
            <w:tcW w:w="1437" w:type="dxa"/>
            <w:tcBorders>
              <w:top w:val="nil"/>
              <w:left w:val="nil"/>
              <w:bottom w:val="nil"/>
              <w:right w:val="nil"/>
            </w:tcBorders>
            <w:shd w:val="clear" w:color="auto" w:fill="auto"/>
            <w:vAlign w:val="center"/>
            <w:hideMark/>
          </w:tcPr>
          <w:p w14:paraId="527F6B98" w14:textId="77777777" w:rsidR="00621D3E" w:rsidRPr="00487834" w:rsidRDefault="00621D3E" w:rsidP="00F36A29">
            <w:pPr>
              <w:pStyle w:val="NoSpacing"/>
            </w:pPr>
            <w:r w:rsidRPr="00487834">
              <w:t>-0.007*</w:t>
            </w:r>
            <w:proofErr w:type="gramStart"/>
            <w:r w:rsidRPr="00487834">
              <w:t>*  (</w:t>
            </w:r>
            <w:proofErr w:type="gramEnd"/>
            <w:r w:rsidRPr="00487834">
              <w:t>0.003)</w:t>
            </w:r>
          </w:p>
        </w:tc>
        <w:tc>
          <w:tcPr>
            <w:tcW w:w="1300" w:type="dxa"/>
            <w:tcBorders>
              <w:top w:val="nil"/>
              <w:left w:val="nil"/>
              <w:bottom w:val="nil"/>
              <w:right w:val="nil"/>
            </w:tcBorders>
            <w:shd w:val="clear" w:color="auto" w:fill="auto"/>
            <w:vAlign w:val="center"/>
            <w:hideMark/>
          </w:tcPr>
          <w:p w14:paraId="7D4F8B98" w14:textId="77777777" w:rsidR="00621D3E" w:rsidRPr="00487834" w:rsidRDefault="00621D3E" w:rsidP="00F36A29">
            <w:pPr>
              <w:pStyle w:val="NoSpacing"/>
            </w:pPr>
            <w:r w:rsidRPr="00487834">
              <w:t>-0.0016*** (0.004)</w:t>
            </w:r>
          </w:p>
        </w:tc>
        <w:tc>
          <w:tcPr>
            <w:tcW w:w="1300" w:type="dxa"/>
            <w:tcBorders>
              <w:top w:val="nil"/>
              <w:left w:val="nil"/>
              <w:bottom w:val="nil"/>
              <w:right w:val="nil"/>
            </w:tcBorders>
            <w:shd w:val="clear" w:color="auto" w:fill="auto"/>
            <w:vAlign w:val="center"/>
            <w:hideMark/>
          </w:tcPr>
          <w:p w14:paraId="6FAB3D34" w14:textId="77777777" w:rsidR="00621D3E" w:rsidRPr="00487834" w:rsidRDefault="00621D3E" w:rsidP="00F36A29">
            <w:pPr>
              <w:pStyle w:val="NoSpacing"/>
            </w:pPr>
            <w:r w:rsidRPr="00487834">
              <w:t>-0.0093</w:t>
            </w:r>
            <w:proofErr w:type="gramStart"/>
            <w:r w:rsidRPr="00487834">
              <w:t xml:space="preserve">   (</w:t>
            </w:r>
            <w:proofErr w:type="gramEnd"/>
            <w:r w:rsidRPr="00487834">
              <w:t>0.046)</w:t>
            </w:r>
          </w:p>
        </w:tc>
        <w:tc>
          <w:tcPr>
            <w:tcW w:w="1300" w:type="dxa"/>
            <w:tcBorders>
              <w:top w:val="nil"/>
              <w:left w:val="nil"/>
              <w:bottom w:val="nil"/>
              <w:right w:val="nil"/>
            </w:tcBorders>
            <w:shd w:val="clear" w:color="auto" w:fill="auto"/>
            <w:vAlign w:val="center"/>
            <w:hideMark/>
          </w:tcPr>
          <w:p w14:paraId="1757DED1" w14:textId="77777777" w:rsidR="00621D3E" w:rsidRPr="00487834" w:rsidRDefault="00621D3E" w:rsidP="00F36A29">
            <w:pPr>
              <w:pStyle w:val="NoSpacing"/>
            </w:pPr>
            <w:r w:rsidRPr="00487834">
              <w:t>-0.0011</w:t>
            </w:r>
            <w:proofErr w:type="gramStart"/>
            <w:r w:rsidRPr="00487834">
              <w:t xml:space="preserve">   (</w:t>
            </w:r>
            <w:proofErr w:type="gramEnd"/>
            <w:r w:rsidRPr="00487834">
              <w:t>0.008)</w:t>
            </w:r>
          </w:p>
        </w:tc>
        <w:tc>
          <w:tcPr>
            <w:tcW w:w="1467" w:type="dxa"/>
            <w:tcBorders>
              <w:top w:val="nil"/>
              <w:left w:val="nil"/>
              <w:bottom w:val="nil"/>
              <w:right w:val="nil"/>
            </w:tcBorders>
            <w:shd w:val="clear" w:color="auto" w:fill="auto"/>
            <w:vAlign w:val="center"/>
            <w:hideMark/>
          </w:tcPr>
          <w:p w14:paraId="210BB332" w14:textId="77777777" w:rsidR="00621D3E" w:rsidRPr="00487834" w:rsidRDefault="00621D3E" w:rsidP="00F36A29">
            <w:pPr>
              <w:pStyle w:val="NoSpacing"/>
            </w:pPr>
            <w:r w:rsidRPr="00487834">
              <w:t>0.0038*</w:t>
            </w:r>
            <w:proofErr w:type="gramStart"/>
            <w:r w:rsidRPr="00487834">
              <w:t xml:space="preserve">   (</w:t>
            </w:r>
            <w:proofErr w:type="gramEnd"/>
            <w:r w:rsidRPr="00487834">
              <w:t>0.002)</w:t>
            </w:r>
          </w:p>
        </w:tc>
      </w:tr>
      <w:tr w:rsidR="00621D3E" w:rsidRPr="00487834" w14:paraId="048CD32F" w14:textId="77777777" w:rsidTr="00621D3E">
        <w:trPr>
          <w:trHeight w:val="560"/>
          <w:jc w:val="center"/>
        </w:trPr>
        <w:tc>
          <w:tcPr>
            <w:tcW w:w="1843" w:type="dxa"/>
            <w:tcBorders>
              <w:top w:val="nil"/>
              <w:left w:val="nil"/>
              <w:bottom w:val="nil"/>
              <w:right w:val="nil"/>
            </w:tcBorders>
            <w:shd w:val="clear" w:color="auto" w:fill="auto"/>
            <w:noWrap/>
            <w:vAlign w:val="center"/>
            <w:hideMark/>
          </w:tcPr>
          <w:p w14:paraId="16FD3060" w14:textId="77777777" w:rsidR="00621D3E" w:rsidRPr="00487834" w:rsidRDefault="00621D3E" w:rsidP="00F36A29">
            <w:pPr>
              <w:pStyle w:val="NoSpacing"/>
              <w:rPr>
                <w:i/>
                <w:iCs/>
              </w:rPr>
            </w:pPr>
            <w:r w:rsidRPr="00487834">
              <w:rPr>
                <w:i/>
                <w:iCs/>
              </w:rPr>
              <w:t>ICR</w:t>
            </w:r>
          </w:p>
        </w:tc>
        <w:tc>
          <w:tcPr>
            <w:tcW w:w="1437" w:type="dxa"/>
            <w:tcBorders>
              <w:top w:val="nil"/>
              <w:left w:val="nil"/>
              <w:bottom w:val="nil"/>
              <w:right w:val="nil"/>
            </w:tcBorders>
            <w:shd w:val="clear" w:color="auto" w:fill="auto"/>
            <w:vAlign w:val="center"/>
            <w:hideMark/>
          </w:tcPr>
          <w:p w14:paraId="0A35A1B4" w14:textId="77777777" w:rsidR="00621D3E" w:rsidRPr="00487834" w:rsidRDefault="00621D3E" w:rsidP="00F36A29">
            <w:pPr>
              <w:pStyle w:val="NoSpacing"/>
            </w:pPr>
            <w:proofErr w:type="gramStart"/>
            <w:r w:rsidRPr="00487834">
              <w:t>0.0018  (</w:t>
            </w:r>
            <w:proofErr w:type="gramEnd"/>
            <w:r w:rsidRPr="00487834">
              <w:t>0.003)</w:t>
            </w:r>
          </w:p>
        </w:tc>
        <w:tc>
          <w:tcPr>
            <w:tcW w:w="1300" w:type="dxa"/>
            <w:tcBorders>
              <w:top w:val="nil"/>
              <w:left w:val="nil"/>
              <w:bottom w:val="nil"/>
              <w:right w:val="nil"/>
            </w:tcBorders>
            <w:shd w:val="clear" w:color="auto" w:fill="auto"/>
            <w:vAlign w:val="center"/>
            <w:hideMark/>
          </w:tcPr>
          <w:p w14:paraId="46892D2A" w14:textId="77777777" w:rsidR="00621D3E" w:rsidRPr="00487834" w:rsidRDefault="00621D3E" w:rsidP="00F36A29">
            <w:pPr>
              <w:pStyle w:val="NoSpacing"/>
            </w:pPr>
            <w:r w:rsidRPr="00487834">
              <w:t>-0.006</w:t>
            </w:r>
            <w:proofErr w:type="gramStart"/>
            <w:r w:rsidRPr="00487834">
              <w:t xml:space="preserve">   (</w:t>
            </w:r>
            <w:proofErr w:type="gramEnd"/>
            <w:r w:rsidRPr="00487834">
              <w:t>0.006)</w:t>
            </w:r>
          </w:p>
        </w:tc>
        <w:tc>
          <w:tcPr>
            <w:tcW w:w="1300" w:type="dxa"/>
            <w:tcBorders>
              <w:top w:val="nil"/>
              <w:left w:val="nil"/>
              <w:bottom w:val="nil"/>
              <w:right w:val="nil"/>
            </w:tcBorders>
            <w:shd w:val="clear" w:color="auto" w:fill="auto"/>
            <w:vAlign w:val="center"/>
            <w:hideMark/>
          </w:tcPr>
          <w:p w14:paraId="179675A2" w14:textId="77777777" w:rsidR="00621D3E" w:rsidRPr="00487834" w:rsidRDefault="00621D3E" w:rsidP="00F36A29">
            <w:pPr>
              <w:pStyle w:val="NoSpacing"/>
            </w:pPr>
            <w:r w:rsidRPr="00487834">
              <w:t xml:space="preserve">-0.012  </w:t>
            </w:r>
            <w:proofErr w:type="gramStart"/>
            <w:r w:rsidRPr="00487834">
              <w:t xml:space="preserve">   (</w:t>
            </w:r>
            <w:proofErr w:type="gramEnd"/>
            <w:r w:rsidRPr="00487834">
              <w:t>0.011)</w:t>
            </w:r>
          </w:p>
        </w:tc>
        <w:tc>
          <w:tcPr>
            <w:tcW w:w="1300" w:type="dxa"/>
            <w:tcBorders>
              <w:top w:val="nil"/>
              <w:left w:val="nil"/>
              <w:bottom w:val="nil"/>
              <w:right w:val="nil"/>
            </w:tcBorders>
            <w:shd w:val="clear" w:color="auto" w:fill="auto"/>
            <w:vAlign w:val="center"/>
            <w:hideMark/>
          </w:tcPr>
          <w:p w14:paraId="022B855F" w14:textId="77777777" w:rsidR="00621D3E" w:rsidRPr="00487834" w:rsidRDefault="00621D3E" w:rsidP="00F36A29">
            <w:pPr>
              <w:pStyle w:val="NoSpacing"/>
            </w:pPr>
            <w:proofErr w:type="gramStart"/>
            <w:r w:rsidRPr="00487834">
              <w:t>0.003  (</w:t>
            </w:r>
            <w:proofErr w:type="gramEnd"/>
            <w:r w:rsidRPr="00487834">
              <w:t>0.0044)</w:t>
            </w:r>
          </w:p>
        </w:tc>
        <w:tc>
          <w:tcPr>
            <w:tcW w:w="1467" w:type="dxa"/>
            <w:tcBorders>
              <w:top w:val="nil"/>
              <w:left w:val="nil"/>
              <w:bottom w:val="nil"/>
              <w:right w:val="nil"/>
            </w:tcBorders>
            <w:shd w:val="clear" w:color="auto" w:fill="auto"/>
            <w:vAlign w:val="center"/>
            <w:hideMark/>
          </w:tcPr>
          <w:p w14:paraId="5AA845DB" w14:textId="77777777" w:rsidR="00621D3E" w:rsidRPr="00487834" w:rsidRDefault="00621D3E" w:rsidP="00F36A29">
            <w:pPr>
              <w:pStyle w:val="NoSpacing"/>
            </w:pPr>
            <w:r w:rsidRPr="00487834">
              <w:t>0.0028</w:t>
            </w:r>
            <w:proofErr w:type="gramStart"/>
            <w:r w:rsidRPr="00487834">
              <w:t xml:space="preserve">   (</w:t>
            </w:r>
            <w:proofErr w:type="gramEnd"/>
            <w:r w:rsidRPr="00487834">
              <w:t>0.004)</w:t>
            </w:r>
          </w:p>
        </w:tc>
      </w:tr>
      <w:tr w:rsidR="00621D3E" w:rsidRPr="00487834" w14:paraId="6D1EE3D0" w14:textId="77777777" w:rsidTr="00621D3E">
        <w:trPr>
          <w:trHeight w:val="580"/>
          <w:jc w:val="center"/>
        </w:trPr>
        <w:tc>
          <w:tcPr>
            <w:tcW w:w="1843" w:type="dxa"/>
            <w:tcBorders>
              <w:top w:val="nil"/>
              <w:left w:val="nil"/>
              <w:bottom w:val="nil"/>
              <w:right w:val="nil"/>
            </w:tcBorders>
            <w:shd w:val="clear" w:color="auto" w:fill="auto"/>
            <w:noWrap/>
            <w:vAlign w:val="center"/>
            <w:hideMark/>
          </w:tcPr>
          <w:p w14:paraId="298E566B" w14:textId="77777777" w:rsidR="00621D3E" w:rsidRPr="00487834" w:rsidRDefault="00621D3E" w:rsidP="00F36A29">
            <w:pPr>
              <w:pStyle w:val="NoSpacing"/>
              <w:rPr>
                <w:i/>
                <w:iCs/>
              </w:rPr>
            </w:pPr>
            <w:r w:rsidRPr="00487834">
              <w:rPr>
                <w:i/>
                <w:iCs/>
              </w:rPr>
              <w:t>ROA</w:t>
            </w:r>
          </w:p>
        </w:tc>
        <w:tc>
          <w:tcPr>
            <w:tcW w:w="1437" w:type="dxa"/>
            <w:tcBorders>
              <w:top w:val="nil"/>
              <w:left w:val="nil"/>
              <w:bottom w:val="nil"/>
              <w:right w:val="nil"/>
            </w:tcBorders>
            <w:shd w:val="clear" w:color="auto" w:fill="auto"/>
            <w:vAlign w:val="center"/>
            <w:hideMark/>
          </w:tcPr>
          <w:p w14:paraId="5495FE04" w14:textId="77777777" w:rsidR="00621D3E" w:rsidRPr="00487834" w:rsidRDefault="00621D3E" w:rsidP="00F36A29">
            <w:pPr>
              <w:pStyle w:val="NoSpacing"/>
            </w:pPr>
            <w:r w:rsidRPr="00487834">
              <w:t>-0.002*** (0.001)</w:t>
            </w:r>
          </w:p>
        </w:tc>
        <w:tc>
          <w:tcPr>
            <w:tcW w:w="1300" w:type="dxa"/>
            <w:tcBorders>
              <w:top w:val="nil"/>
              <w:left w:val="nil"/>
              <w:bottom w:val="nil"/>
              <w:right w:val="nil"/>
            </w:tcBorders>
            <w:shd w:val="clear" w:color="auto" w:fill="auto"/>
            <w:vAlign w:val="center"/>
            <w:hideMark/>
          </w:tcPr>
          <w:p w14:paraId="193ED3AB" w14:textId="77777777" w:rsidR="00621D3E" w:rsidRPr="00487834" w:rsidRDefault="00621D3E" w:rsidP="00F36A29">
            <w:pPr>
              <w:pStyle w:val="NoSpacing"/>
            </w:pPr>
            <w:r w:rsidRPr="00487834">
              <w:t xml:space="preserve">0.0005 </w:t>
            </w:r>
            <w:proofErr w:type="gramStart"/>
            <w:r w:rsidRPr="00487834">
              <w:t xml:space="preserve">   (</w:t>
            </w:r>
            <w:proofErr w:type="gramEnd"/>
            <w:r w:rsidRPr="00487834">
              <w:t>0.002)</w:t>
            </w:r>
          </w:p>
        </w:tc>
        <w:tc>
          <w:tcPr>
            <w:tcW w:w="1300" w:type="dxa"/>
            <w:tcBorders>
              <w:top w:val="nil"/>
              <w:left w:val="nil"/>
              <w:bottom w:val="nil"/>
              <w:right w:val="nil"/>
            </w:tcBorders>
            <w:shd w:val="clear" w:color="auto" w:fill="auto"/>
            <w:vAlign w:val="center"/>
            <w:hideMark/>
          </w:tcPr>
          <w:p w14:paraId="1A4B1666" w14:textId="77777777" w:rsidR="00621D3E" w:rsidRPr="00487834" w:rsidRDefault="00621D3E" w:rsidP="00F36A29">
            <w:pPr>
              <w:pStyle w:val="NoSpacing"/>
            </w:pPr>
            <w:r w:rsidRPr="00487834">
              <w:t xml:space="preserve">-0.0024** </w:t>
            </w:r>
            <w:proofErr w:type="gramStart"/>
            <w:r w:rsidRPr="00487834">
              <w:t xml:space="preserve">   (</w:t>
            </w:r>
            <w:proofErr w:type="gramEnd"/>
            <w:r w:rsidRPr="00487834">
              <w:t>0.001)</w:t>
            </w:r>
          </w:p>
        </w:tc>
        <w:tc>
          <w:tcPr>
            <w:tcW w:w="1300" w:type="dxa"/>
            <w:tcBorders>
              <w:top w:val="nil"/>
              <w:left w:val="nil"/>
              <w:bottom w:val="nil"/>
              <w:right w:val="nil"/>
            </w:tcBorders>
            <w:shd w:val="clear" w:color="auto" w:fill="auto"/>
            <w:vAlign w:val="center"/>
            <w:hideMark/>
          </w:tcPr>
          <w:p w14:paraId="4DA70146" w14:textId="77777777" w:rsidR="00621D3E" w:rsidRPr="00487834" w:rsidRDefault="00621D3E" w:rsidP="00F36A29">
            <w:pPr>
              <w:pStyle w:val="NoSpacing"/>
            </w:pPr>
            <w:r w:rsidRPr="00487834">
              <w:t>-0.0011</w:t>
            </w:r>
            <w:proofErr w:type="gramStart"/>
            <w:r w:rsidRPr="00487834">
              <w:t xml:space="preserve">   (</w:t>
            </w:r>
            <w:proofErr w:type="gramEnd"/>
            <w:r w:rsidRPr="00487834">
              <w:t>0.008)</w:t>
            </w:r>
          </w:p>
        </w:tc>
        <w:tc>
          <w:tcPr>
            <w:tcW w:w="1467" w:type="dxa"/>
            <w:tcBorders>
              <w:top w:val="nil"/>
              <w:left w:val="nil"/>
              <w:bottom w:val="nil"/>
              <w:right w:val="nil"/>
            </w:tcBorders>
            <w:shd w:val="clear" w:color="auto" w:fill="auto"/>
            <w:vAlign w:val="center"/>
            <w:hideMark/>
          </w:tcPr>
          <w:p w14:paraId="1AE8B971" w14:textId="77777777" w:rsidR="00621D3E" w:rsidRPr="00487834" w:rsidRDefault="00621D3E" w:rsidP="00F36A29">
            <w:pPr>
              <w:pStyle w:val="NoSpacing"/>
            </w:pPr>
            <w:r w:rsidRPr="00487834">
              <w:t xml:space="preserve">-0.0005 </w:t>
            </w:r>
            <w:proofErr w:type="gramStart"/>
            <w:r w:rsidRPr="00487834">
              <w:t xml:space="preserve">   (</w:t>
            </w:r>
            <w:proofErr w:type="gramEnd"/>
            <w:r w:rsidRPr="00487834">
              <w:t>0.002)</w:t>
            </w:r>
          </w:p>
        </w:tc>
      </w:tr>
      <w:tr w:rsidR="00621D3E" w:rsidRPr="00487834" w14:paraId="4A854BDE" w14:textId="77777777" w:rsidTr="00621D3E">
        <w:trPr>
          <w:trHeight w:val="580"/>
          <w:jc w:val="center"/>
        </w:trPr>
        <w:tc>
          <w:tcPr>
            <w:tcW w:w="1843" w:type="dxa"/>
            <w:tcBorders>
              <w:top w:val="nil"/>
              <w:left w:val="nil"/>
              <w:bottom w:val="nil"/>
              <w:right w:val="nil"/>
            </w:tcBorders>
            <w:shd w:val="clear" w:color="auto" w:fill="auto"/>
            <w:noWrap/>
            <w:vAlign w:val="center"/>
            <w:hideMark/>
          </w:tcPr>
          <w:p w14:paraId="55169281" w14:textId="77777777" w:rsidR="00621D3E" w:rsidRPr="00487834" w:rsidRDefault="00621D3E" w:rsidP="00F36A29">
            <w:pPr>
              <w:pStyle w:val="NoSpacing"/>
              <w:rPr>
                <w:i/>
                <w:iCs/>
              </w:rPr>
            </w:pPr>
            <w:r w:rsidRPr="00487834">
              <w:rPr>
                <w:i/>
                <w:iCs/>
              </w:rPr>
              <w:t>Current</w:t>
            </w:r>
          </w:p>
        </w:tc>
        <w:tc>
          <w:tcPr>
            <w:tcW w:w="1437" w:type="dxa"/>
            <w:tcBorders>
              <w:top w:val="nil"/>
              <w:left w:val="nil"/>
              <w:bottom w:val="nil"/>
              <w:right w:val="nil"/>
            </w:tcBorders>
            <w:shd w:val="clear" w:color="auto" w:fill="auto"/>
            <w:vAlign w:val="center"/>
            <w:hideMark/>
          </w:tcPr>
          <w:p w14:paraId="5DFF46F0" w14:textId="77777777" w:rsidR="00621D3E" w:rsidRPr="00487834" w:rsidRDefault="00621D3E" w:rsidP="00F36A29">
            <w:pPr>
              <w:pStyle w:val="NoSpacing"/>
            </w:pPr>
            <w:r w:rsidRPr="00487834">
              <w:t xml:space="preserve">-0.0015 </w:t>
            </w:r>
            <w:proofErr w:type="gramStart"/>
            <w:r w:rsidRPr="00487834">
              <w:t xml:space="preserve">   (</w:t>
            </w:r>
            <w:proofErr w:type="gramEnd"/>
            <w:r w:rsidRPr="00487834">
              <w:t>0.004)</w:t>
            </w:r>
          </w:p>
        </w:tc>
        <w:tc>
          <w:tcPr>
            <w:tcW w:w="1300" w:type="dxa"/>
            <w:tcBorders>
              <w:top w:val="nil"/>
              <w:left w:val="nil"/>
              <w:bottom w:val="nil"/>
              <w:right w:val="nil"/>
            </w:tcBorders>
            <w:shd w:val="clear" w:color="auto" w:fill="auto"/>
            <w:vAlign w:val="center"/>
            <w:hideMark/>
          </w:tcPr>
          <w:p w14:paraId="25514A7E" w14:textId="77777777" w:rsidR="00621D3E" w:rsidRPr="00487834" w:rsidRDefault="00621D3E" w:rsidP="00F36A29">
            <w:pPr>
              <w:pStyle w:val="NoSpacing"/>
            </w:pPr>
            <w:r w:rsidRPr="00487834">
              <w:t>-0.0289</w:t>
            </w:r>
            <w:proofErr w:type="gramStart"/>
            <w:r w:rsidRPr="00487834">
              <w:t xml:space="preserve">   (</w:t>
            </w:r>
            <w:proofErr w:type="gramEnd"/>
            <w:r w:rsidRPr="00487834">
              <w:t>0.0205)</w:t>
            </w:r>
          </w:p>
        </w:tc>
        <w:tc>
          <w:tcPr>
            <w:tcW w:w="1300" w:type="dxa"/>
            <w:tcBorders>
              <w:top w:val="nil"/>
              <w:left w:val="nil"/>
              <w:bottom w:val="nil"/>
              <w:right w:val="nil"/>
            </w:tcBorders>
            <w:shd w:val="clear" w:color="auto" w:fill="auto"/>
            <w:vAlign w:val="center"/>
            <w:hideMark/>
          </w:tcPr>
          <w:p w14:paraId="3AA38D6E" w14:textId="77777777" w:rsidR="00621D3E" w:rsidRPr="00487834" w:rsidRDefault="00621D3E" w:rsidP="00F36A29">
            <w:pPr>
              <w:pStyle w:val="NoSpacing"/>
            </w:pPr>
            <w:r w:rsidRPr="00487834">
              <w:t xml:space="preserve">-0.0025    </w:t>
            </w:r>
            <w:proofErr w:type="gramStart"/>
            <w:r w:rsidRPr="00487834">
              <w:t xml:space="preserve">   (</w:t>
            </w:r>
            <w:proofErr w:type="gramEnd"/>
            <w:r w:rsidRPr="00487834">
              <w:t>0.05)</w:t>
            </w:r>
          </w:p>
        </w:tc>
        <w:tc>
          <w:tcPr>
            <w:tcW w:w="1300" w:type="dxa"/>
            <w:tcBorders>
              <w:top w:val="nil"/>
              <w:left w:val="nil"/>
              <w:bottom w:val="nil"/>
              <w:right w:val="nil"/>
            </w:tcBorders>
            <w:shd w:val="clear" w:color="auto" w:fill="auto"/>
            <w:vAlign w:val="center"/>
            <w:hideMark/>
          </w:tcPr>
          <w:p w14:paraId="2F757DA5" w14:textId="77777777" w:rsidR="00621D3E" w:rsidRPr="00487834" w:rsidRDefault="00621D3E" w:rsidP="00F36A29">
            <w:pPr>
              <w:pStyle w:val="NoSpacing"/>
            </w:pPr>
            <w:r w:rsidRPr="00487834">
              <w:t>-0.0067 (0.009)</w:t>
            </w:r>
          </w:p>
        </w:tc>
        <w:tc>
          <w:tcPr>
            <w:tcW w:w="1467" w:type="dxa"/>
            <w:tcBorders>
              <w:top w:val="nil"/>
              <w:left w:val="nil"/>
              <w:bottom w:val="nil"/>
              <w:right w:val="nil"/>
            </w:tcBorders>
            <w:shd w:val="clear" w:color="auto" w:fill="auto"/>
            <w:vAlign w:val="center"/>
            <w:hideMark/>
          </w:tcPr>
          <w:p w14:paraId="4961DDC3" w14:textId="77777777" w:rsidR="00621D3E" w:rsidRPr="00487834" w:rsidRDefault="00621D3E" w:rsidP="00F36A29">
            <w:pPr>
              <w:pStyle w:val="NoSpacing"/>
            </w:pPr>
            <w:r w:rsidRPr="00487834">
              <w:t xml:space="preserve">-0.015 </w:t>
            </w:r>
            <w:proofErr w:type="gramStart"/>
            <w:r w:rsidRPr="00487834">
              <w:t xml:space="preserve">   (</w:t>
            </w:r>
            <w:proofErr w:type="gramEnd"/>
            <w:r w:rsidRPr="00487834">
              <w:t>0.004)</w:t>
            </w:r>
          </w:p>
        </w:tc>
      </w:tr>
      <w:tr w:rsidR="00621D3E" w:rsidRPr="00487834" w14:paraId="753FDDE7" w14:textId="77777777" w:rsidTr="00621D3E">
        <w:trPr>
          <w:trHeight w:val="560"/>
          <w:jc w:val="center"/>
        </w:trPr>
        <w:tc>
          <w:tcPr>
            <w:tcW w:w="1843" w:type="dxa"/>
            <w:tcBorders>
              <w:top w:val="nil"/>
              <w:left w:val="nil"/>
              <w:bottom w:val="nil"/>
              <w:right w:val="nil"/>
            </w:tcBorders>
            <w:shd w:val="clear" w:color="auto" w:fill="auto"/>
            <w:noWrap/>
            <w:vAlign w:val="center"/>
            <w:hideMark/>
          </w:tcPr>
          <w:p w14:paraId="76BC6F2B" w14:textId="77777777" w:rsidR="00621D3E" w:rsidRPr="00487834" w:rsidRDefault="00621D3E" w:rsidP="00F36A29">
            <w:pPr>
              <w:pStyle w:val="NoSpacing"/>
              <w:rPr>
                <w:i/>
                <w:iCs/>
              </w:rPr>
            </w:pPr>
            <w:r w:rsidRPr="00487834">
              <w:rPr>
                <w:i/>
                <w:iCs/>
              </w:rPr>
              <w:t>LEV</w:t>
            </w:r>
          </w:p>
        </w:tc>
        <w:tc>
          <w:tcPr>
            <w:tcW w:w="1437" w:type="dxa"/>
            <w:tcBorders>
              <w:top w:val="nil"/>
              <w:left w:val="nil"/>
              <w:bottom w:val="nil"/>
              <w:right w:val="nil"/>
            </w:tcBorders>
            <w:shd w:val="clear" w:color="auto" w:fill="auto"/>
            <w:vAlign w:val="center"/>
            <w:hideMark/>
          </w:tcPr>
          <w:p w14:paraId="3601B790" w14:textId="77777777" w:rsidR="00621D3E" w:rsidRPr="00487834" w:rsidRDefault="00621D3E" w:rsidP="00F36A29">
            <w:pPr>
              <w:pStyle w:val="NoSpacing"/>
            </w:pPr>
            <w:proofErr w:type="gramStart"/>
            <w:r w:rsidRPr="00487834">
              <w:t>0.0008  (</w:t>
            </w:r>
            <w:proofErr w:type="gramEnd"/>
            <w:r w:rsidRPr="00487834">
              <w:t>0.001)</w:t>
            </w:r>
          </w:p>
        </w:tc>
        <w:tc>
          <w:tcPr>
            <w:tcW w:w="1300" w:type="dxa"/>
            <w:tcBorders>
              <w:top w:val="nil"/>
              <w:left w:val="nil"/>
              <w:bottom w:val="nil"/>
              <w:right w:val="nil"/>
            </w:tcBorders>
            <w:shd w:val="clear" w:color="auto" w:fill="auto"/>
            <w:vAlign w:val="center"/>
            <w:hideMark/>
          </w:tcPr>
          <w:p w14:paraId="7AEBDB36" w14:textId="77777777" w:rsidR="00621D3E" w:rsidRPr="00487834" w:rsidRDefault="00621D3E" w:rsidP="00F36A29">
            <w:pPr>
              <w:pStyle w:val="NoSpacing"/>
            </w:pPr>
            <w:r w:rsidRPr="00487834">
              <w:t>-0.0011</w:t>
            </w:r>
            <w:proofErr w:type="gramStart"/>
            <w:r w:rsidRPr="00487834">
              <w:t xml:space="preserve">   (</w:t>
            </w:r>
            <w:proofErr w:type="gramEnd"/>
            <w:r w:rsidRPr="00487834">
              <w:t>0.002)</w:t>
            </w:r>
          </w:p>
        </w:tc>
        <w:tc>
          <w:tcPr>
            <w:tcW w:w="1300" w:type="dxa"/>
            <w:tcBorders>
              <w:top w:val="nil"/>
              <w:left w:val="nil"/>
              <w:bottom w:val="nil"/>
              <w:right w:val="nil"/>
            </w:tcBorders>
            <w:shd w:val="clear" w:color="auto" w:fill="auto"/>
            <w:vAlign w:val="center"/>
            <w:hideMark/>
          </w:tcPr>
          <w:p w14:paraId="4545A6E5" w14:textId="77777777" w:rsidR="00621D3E" w:rsidRPr="00487834" w:rsidRDefault="00621D3E" w:rsidP="00F36A29">
            <w:pPr>
              <w:pStyle w:val="NoSpacing"/>
            </w:pPr>
            <w:r w:rsidRPr="00487834">
              <w:t xml:space="preserve">-0.002  </w:t>
            </w:r>
            <w:proofErr w:type="gramStart"/>
            <w:r w:rsidRPr="00487834">
              <w:t xml:space="preserve">   (</w:t>
            </w:r>
            <w:proofErr w:type="gramEnd"/>
            <w:r w:rsidRPr="00487834">
              <w:t>0.002)</w:t>
            </w:r>
          </w:p>
        </w:tc>
        <w:tc>
          <w:tcPr>
            <w:tcW w:w="1300" w:type="dxa"/>
            <w:tcBorders>
              <w:top w:val="nil"/>
              <w:left w:val="nil"/>
              <w:bottom w:val="nil"/>
              <w:right w:val="nil"/>
            </w:tcBorders>
            <w:shd w:val="clear" w:color="auto" w:fill="auto"/>
            <w:vAlign w:val="center"/>
            <w:hideMark/>
          </w:tcPr>
          <w:p w14:paraId="1C2077D6" w14:textId="77777777" w:rsidR="00621D3E" w:rsidRPr="00487834" w:rsidRDefault="00621D3E" w:rsidP="00F36A29">
            <w:pPr>
              <w:pStyle w:val="NoSpacing"/>
            </w:pPr>
            <w:r w:rsidRPr="00487834">
              <w:t>-0.0023 (0.0023)</w:t>
            </w:r>
          </w:p>
        </w:tc>
        <w:tc>
          <w:tcPr>
            <w:tcW w:w="1467" w:type="dxa"/>
            <w:tcBorders>
              <w:top w:val="nil"/>
              <w:left w:val="nil"/>
              <w:bottom w:val="nil"/>
              <w:right w:val="nil"/>
            </w:tcBorders>
            <w:shd w:val="clear" w:color="auto" w:fill="auto"/>
            <w:vAlign w:val="center"/>
            <w:hideMark/>
          </w:tcPr>
          <w:p w14:paraId="24A1FBA6" w14:textId="77777777" w:rsidR="00621D3E" w:rsidRPr="00487834" w:rsidRDefault="00621D3E" w:rsidP="00F36A29">
            <w:pPr>
              <w:pStyle w:val="NoSpacing"/>
            </w:pPr>
            <w:r w:rsidRPr="00487834">
              <w:t>-0.0007</w:t>
            </w:r>
            <w:proofErr w:type="gramStart"/>
            <w:r w:rsidRPr="00487834">
              <w:t xml:space="preserve">   (</w:t>
            </w:r>
            <w:proofErr w:type="gramEnd"/>
            <w:r w:rsidRPr="00487834">
              <w:t>0.002)</w:t>
            </w:r>
          </w:p>
        </w:tc>
      </w:tr>
      <w:tr w:rsidR="00621D3E" w:rsidRPr="00487834" w14:paraId="357165FA" w14:textId="77777777" w:rsidTr="00621D3E">
        <w:trPr>
          <w:trHeight w:val="560"/>
          <w:jc w:val="center"/>
        </w:trPr>
        <w:tc>
          <w:tcPr>
            <w:tcW w:w="1843" w:type="dxa"/>
            <w:tcBorders>
              <w:top w:val="nil"/>
              <w:left w:val="nil"/>
              <w:bottom w:val="nil"/>
              <w:right w:val="nil"/>
            </w:tcBorders>
            <w:shd w:val="clear" w:color="auto" w:fill="auto"/>
            <w:noWrap/>
            <w:vAlign w:val="center"/>
            <w:hideMark/>
          </w:tcPr>
          <w:p w14:paraId="2E30D583" w14:textId="77777777" w:rsidR="00621D3E" w:rsidRPr="00487834" w:rsidRDefault="00621D3E" w:rsidP="00F36A29">
            <w:pPr>
              <w:pStyle w:val="NoSpacing"/>
              <w:rPr>
                <w:i/>
                <w:iCs/>
              </w:rPr>
            </w:pPr>
            <w:r w:rsidRPr="00487834">
              <w:rPr>
                <w:i/>
                <w:iCs/>
              </w:rPr>
              <w:t>ND/EBITDA</w:t>
            </w:r>
          </w:p>
        </w:tc>
        <w:tc>
          <w:tcPr>
            <w:tcW w:w="1437" w:type="dxa"/>
            <w:tcBorders>
              <w:top w:val="nil"/>
              <w:left w:val="nil"/>
              <w:bottom w:val="nil"/>
              <w:right w:val="nil"/>
            </w:tcBorders>
            <w:shd w:val="clear" w:color="auto" w:fill="auto"/>
            <w:vAlign w:val="center"/>
            <w:hideMark/>
          </w:tcPr>
          <w:p w14:paraId="227BE054" w14:textId="77777777" w:rsidR="00621D3E" w:rsidRPr="00487834" w:rsidRDefault="00621D3E" w:rsidP="00F36A29">
            <w:pPr>
              <w:pStyle w:val="NoSpacing"/>
            </w:pPr>
            <w:r w:rsidRPr="00487834">
              <w:t>0.001</w:t>
            </w:r>
            <w:proofErr w:type="gramStart"/>
            <w:r w:rsidRPr="00487834">
              <w:t>*  (</w:t>
            </w:r>
            <w:proofErr w:type="gramEnd"/>
            <w:r w:rsidRPr="00487834">
              <w:t>0.001)</w:t>
            </w:r>
          </w:p>
        </w:tc>
        <w:tc>
          <w:tcPr>
            <w:tcW w:w="1300" w:type="dxa"/>
            <w:tcBorders>
              <w:top w:val="nil"/>
              <w:left w:val="nil"/>
              <w:bottom w:val="nil"/>
              <w:right w:val="nil"/>
            </w:tcBorders>
            <w:shd w:val="clear" w:color="auto" w:fill="auto"/>
            <w:vAlign w:val="center"/>
            <w:hideMark/>
          </w:tcPr>
          <w:p w14:paraId="0559B2E9" w14:textId="77777777" w:rsidR="00621D3E" w:rsidRPr="00487834" w:rsidRDefault="00621D3E" w:rsidP="00F36A29">
            <w:pPr>
              <w:pStyle w:val="NoSpacing"/>
            </w:pPr>
            <w:r w:rsidRPr="00487834">
              <w:t>-0.0039</w:t>
            </w:r>
            <w:proofErr w:type="gramStart"/>
            <w:r w:rsidRPr="00487834">
              <w:t xml:space="preserve">   (</w:t>
            </w:r>
            <w:proofErr w:type="gramEnd"/>
            <w:r w:rsidRPr="00487834">
              <w:t>0.027)</w:t>
            </w:r>
          </w:p>
        </w:tc>
        <w:tc>
          <w:tcPr>
            <w:tcW w:w="1300" w:type="dxa"/>
            <w:tcBorders>
              <w:top w:val="nil"/>
              <w:left w:val="nil"/>
              <w:bottom w:val="nil"/>
              <w:right w:val="nil"/>
            </w:tcBorders>
            <w:shd w:val="clear" w:color="auto" w:fill="auto"/>
            <w:vAlign w:val="center"/>
            <w:hideMark/>
          </w:tcPr>
          <w:p w14:paraId="5D31578E" w14:textId="77777777" w:rsidR="00621D3E" w:rsidRPr="00487834" w:rsidRDefault="00621D3E" w:rsidP="00F36A29">
            <w:pPr>
              <w:pStyle w:val="NoSpacing"/>
            </w:pPr>
            <w:r w:rsidRPr="00487834">
              <w:t xml:space="preserve">0.0011*    </w:t>
            </w:r>
            <w:proofErr w:type="gramStart"/>
            <w:r w:rsidRPr="00487834">
              <w:t xml:space="preserve">   (</w:t>
            </w:r>
            <w:proofErr w:type="gramEnd"/>
            <w:r w:rsidRPr="00487834">
              <w:t>0.001)</w:t>
            </w:r>
          </w:p>
        </w:tc>
        <w:tc>
          <w:tcPr>
            <w:tcW w:w="1300" w:type="dxa"/>
            <w:tcBorders>
              <w:top w:val="nil"/>
              <w:left w:val="nil"/>
              <w:bottom w:val="nil"/>
              <w:right w:val="nil"/>
            </w:tcBorders>
            <w:shd w:val="clear" w:color="auto" w:fill="auto"/>
            <w:vAlign w:val="center"/>
            <w:hideMark/>
          </w:tcPr>
          <w:p w14:paraId="48F8C44B" w14:textId="77777777" w:rsidR="00621D3E" w:rsidRPr="00487834" w:rsidRDefault="00621D3E" w:rsidP="00F36A29">
            <w:pPr>
              <w:pStyle w:val="NoSpacing"/>
            </w:pPr>
            <w:proofErr w:type="gramStart"/>
            <w:r w:rsidRPr="00487834">
              <w:t>0.0222  (</w:t>
            </w:r>
            <w:proofErr w:type="gramEnd"/>
            <w:r w:rsidRPr="00487834">
              <w:t>0.161)</w:t>
            </w:r>
          </w:p>
        </w:tc>
        <w:tc>
          <w:tcPr>
            <w:tcW w:w="1467" w:type="dxa"/>
            <w:tcBorders>
              <w:top w:val="nil"/>
              <w:left w:val="nil"/>
              <w:bottom w:val="nil"/>
              <w:right w:val="nil"/>
            </w:tcBorders>
            <w:shd w:val="clear" w:color="auto" w:fill="auto"/>
            <w:vAlign w:val="center"/>
            <w:hideMark/>
          </w:tcPr>
          <w:p w14:paraId="0A8F45B2" w14:textId="77777777" w:rsidR="00621D3E" w:rsidRPr="00487834" w:rsidRDefault="00621D3E" w:rsidP="00F36A29">
            <w:pPr>
              <w:pStyle w:val="NoSpacing"/>
            </w:pPr>
            <w:r w:rsidRPr="00487834">
              <w:t xml:space="preserve">0.0485  </w:t>
            </w:r>
            <w:proofErr w:type="gramStart"/>
            <w:r w:rsidRPr="00487834">
              <w:t xml:space="preserve">   (</w:t>
            </w:r>
            <w:proofErr w:type="gramEnd"/>
            <w:r w:rsidRPr="00487834">
              <w:t>0.06)</w:t>
            </w:r>
          </w:p>
        </w:tc>
      </w:tr>
      <w:tr w:rsidR="00621D3E" w:rsidRPr="00487834" w14:paraId="67553C04" w14:textId="77777777" w:rsidTr="00621D3E">
        <w:trPr>
          <w:trHeight w:val="560"/>
          <w:jc w:val="center"/>
        </w:trPr>
        <w:tc>
          <w:tcPr>
            <w:tcW w:w="1843" w:type="dxa"/>
            <w:tcBorders>
              <w:top w:val="nil"/>
              <w:left w:val="nil"/>
              <w:bottom w:val="single" w:sz="4" w:space="0" w:color="auto"/>
              <w:right w:val="nil"/>
            </w:tcBorders>
            <w:shd w:val="clear" w:color="auto" w:fill="auto"/>
            <w:noWrap/>
            <w:vAlign w:val="center"/>
            <w:hideMark/>
          </w:tcPr>
          <w:p w14:paraId="5A61F705" w14:textId="77777777" w:rsidR="00621D3E" w:rsidRPr="00487834" w:rsidRDefault="00621D3E" w:rsidP="00F36A29">
            <w:pPr>
              <w:pStyle w:val="NoSpacing"/>
              <w:rPr>
                <w:i/>
                <w:iCs/>
              </w:rPr>
            </w:pPr>
            <w:r w:rsidRPr="00487834">
              <w:rPr>
                <w:i/>
                <w:iCs/>
              </w:rPr>
              <w:t>TLPA</w:t>
            </w:r>
          </w:p>
        </w:tc>
        <w:tc>
          <w:tcPr>
            <w:tcW w:w="1437" w:type="dxa"/>
            <w:tcBorders>
              <w:top w:val="nil"/>
              <w:left w:val="nil"/>
              <w:bottom w:val="single" w:sz="4" w:space="0" w:color="auto"/>
              <w:right w:val="nil"/>
            </w:tcBorders>
            <w:shd w:val="clear" w:color="auto" w:fill="auto"/>
            <w:vAlign w:val="center"/>
            <w:hideMark/>
          </w:tcPr>
          <w:p w14:paraId="7B4E546D" w14:textId="77777777" w:rsidR="00621D3E" w:rsidRPr="00487834" w:rsidRDefault="00621D3E" w:rsidP="00F36A29">
            <w:pPr>
              <w:pStyle w:val="NoSpacing"/>
            </w:pPr>
            <w:r w:rsidRPr="00487834">
              <w:t>0.0066*** (0.002)</w:t>
            </w:r>
          </w:p>
        </w:tc>
        <w:tc>
          <w:tcPr>
            <w:tcW w:w="1300" w:type="dxa"/>
            <w:tcBorders>
              <w:top w:val="nil"/>
              <w:left w:val="nil"/>
              <w:bottom w:val="single" w:sz="4" w:space="0" w:color="auto"/>
              <w:right w:val="nil"/>
            </w:tcBorders>
            <w:shd w:val="clear" w:color="auto" w:fill="auto"/>
            <w:vAlign w:val="center"/>
            <w:hideMark/>
          </w:tcPr>
          <w:p w14:paraId="0709E318" w14:textId="77777777" w:rsidR="00621D3E" w:rsidRPr="00487834" w:rsidRDefault="00621D3E" w:rsidP="00F36A29">
            <w:pPr>
              <w:pStyle w:val="NoSpacing"/>
            </w:pPr>
            <w:r w:rsidRPr="00487834">
              <w:t xml:space="preserve">-0.0011  </w:t>
            </w:r>
            <w:proofErr w:type="gramStart"/>
            <w:r w:rsidRPr="00487834">
              <w:t xml:space="preserve">   (</w:t>
            </w:r>
            <w:proofErr w:type="gramEnd"/>
            <w:r w:rsidRPr="00487834">
              <w:t>0.002)</w:t>
            </w:r>
          </w:p>
        </w:tc>
        <w:tc>
          <w:tcPr>
            <w:tcW w:w="1300" w:type="dxa"/>
            <w:tcBorders>
              <w:top w:val="nil"/>
              <w:left w:val="nil"/>
              <w:bottom w:val="single" w:sz="4" w:space="0" w:color="auto"/>
              <w:right w:val="nil"/>
            </w:tcBorders>
            <w:shd w:val="clear" w:color="auto" w:fill="auto"/>
            <w:vAlign w:val="center"/>
            <w:hideMark/>
          </w:tcPr>
          <w:p w14:paraId="2159CF2F" w14:textId="77777777" w:rsidR="00621D3E" w:rsidRPr="00487834" w:rsidRDefault="00621D3E" w:rsidP="00F36A29">
            <w:pPr>
              <w:pStyle w:val="NoSpacing"/>
            </w:pPr>
            <w:r w:rsidRPr="00487834">
              <w:t xml:space="preserve">0.0073**    </w:t>
            </w:r>
            <w:proofErr w:type="gramStart"/>
            <w:r w:rsidRPr="00487834">
              <w:t xml:space="preserve">   (</w:t>
            </w:r>
            <w:proofErr w:type="gramEnd"/>
            <w:r w:rsidRPr="00487834">
              <w:t>0.003)</w:t>
            </w:r>
          </w:p>
        </w:tc>
        <w:tc>
          <w:tcPr>
            <w:tcW w:w="1300" w:type="dxa"/>
            <w:tcBorders>
              <w:top w:val="nil"/>
              <w:left w:val="nil"/>
              <w:bottom w:val="single" w:sz="4" w:space="0" w:color="auto"/>
              <w:right w:val="nil"/>
            </w:tcBorders>
            <w:shd w:val="clear" w:color="auto" w:fill="auto"/>
            <w:vAlign w:val="center"/>
            <w:hideMark/>
          </w:tcPr>
          <w:p w14:paraId="0D6E1226" w14:textId="77777777" w:rsidR="00621D3E" w:rsidRPr="00487834" w:rsidRDefault="00621D3E" w:rsidP="00F36A29">
            <w:pPr>
              <w:pStyle w:val="NoSpacing"/>
            </w:pPr>
            <w:r w:rsidRPr="00487834">
              <w:t>0.013*** (0.0027)</w:t>
            </w:r>
          </w:p>
        </w:tc>
        <w:tc>
          <w:tcPr>
            <w:tcW w:w="1467" w:type="dxa"/>
            <w:tcBorders>
              <w:top w:val="nil"/>
              <w:left w:val="nil"/>
              <w:bottom w:val="single" w:sz="4" w:space="0" w:color="auto"/>
              <w:right w:val="nil"/>
            </w:tcBorders>
            <w:shd w:val="clear" w:color="auto" w:fill="auto"/>
            <w:vAlign w:val="center"/>
            <w:hideMark/>
          </w:tcPr>
          <w:p w14:paraId="52BAE7A3" w14:textId="77777777" w:rsidR="00621D3E" w:rsidRPr="00487834" w:rsidRDefault="00621D3E" w:rsidP="00F36A29">
            <w:pPr>
              <w:pStyle w:val="NoSpacing"/>
            </w:pPr>
            <w:r w:rsidRPr="00487834">
              <w:t>0.0031** (0.002)</w:t>
            </w:r>
          </w:p>
        </w:tc>
      </w:tr>
    </w:tbl>
    <w:p w14:paraId="4BEC638F" w14:textId="77777777" w:rsidR="00621D3E" w:rsidRPr="00487834" w:rsidRDefault="00050324" w:rsidP="003128F6">
      <w:pPr>
        <w:autoSpaceDE w:val="0"/>
        <w:autoSpaceDN w:val="0"/>
        <w:adjustRightInd w:val="0"/>
        <w:spacing w:line="300" w:lineRule="auto"/>
        <w:rPr>
          <w:rFonts w:eastAsiaTheme="minorHAnsi"/>
          <w:lang w:val="en-US" w:eastAsia="en-US"/>
        </w:rPr>
      </w:pPr>
      <w:r>
        <w:rPr>
          <w:rFonts w:eastAsiaTheme="minorHAnsi"/>
          <w:noProof/>
          <w:lang w:val="en-US" w:eastAsia="en-US"/>
        </w:rPr>
        <w:pict w14:anchorId="485E4D16">
          <v:shape id="_x0000_s1031" type="#_x0000_t202" alt="" style="position:absolute;left:0;text-align:left;margin-left:-7.05pt;margin-top:13.25pt;width:444.75pt;height:41.25pt;z-index:251663360;visibility:visible;mso-wrap-style:square;mso-wrap-edited:f;mso-width-percent:0;mso-height-percent:0;mso-position-horizontal-relative:text;mso-position-vertical-relative:text;mso-width-percent:0;mso-height-percent:0;mso-width-relative:margin;mso-height-relative:margin;v-text-anchor:top" fillcolor="white [3201]">
            <v:textbox>
              <w:txbxContent>
                <w:p w14:paraId="5F1ADC38" w14:textId="77777777" w:rsidR="00F36A29" w:rsidRPr="00E5055A" w:rsidRDefault="00F36A29" w:rsidP="00BA7F83">
                  <w:pPr>
                    <w:spacing w:before="240"/>
                    <w:jc w:val="left"/>
                    <w:rPr>
                      <w:sz w:val="20"/>
                      <w:szCs w:val="20"/>
                      <w:lang w:val="en-US"/>
                    </w:rPr>
                  </w:pPr>
                  <w:r w:rsidRPr="00E5055A">
                    <w:rPr>
                      <w:sz w:val="20"/>
                      <w:szCs w:val="20"/>
                      <w:lang w:val="en-US"/>
                    </w:rPr>
                    <w:t>*** - significant at a 1% level, ** - significant at a 5% level, * - significant at a 10% level</w:t>
                  </w:r>
                </w:p>
              </w:txbxContent>
            </v:textbox>
          </v:shape>
        </w:pict>
      </w:r>
    </w:p>
    <w:p w14:paraId="46B43353" w14:textId="77777777" w:rsidR="00213022" w:rsidRPr="00487834" w:rsidRDefault="00213022" w:rsidP="003128F6">
      <w:pPr>
        <w:autoSpaceDE w:val="0"/>
        <w:autoSpaceDN w:val="0"/>
        <w:adjustRightInd w:val="0"/>
        <w:spacing w:line="300" w:lineRule="auto"/>
        <w:rPr>
          <w:rFonts w:eastAsiaTheme="minorHAnsi"/>
          <w:lang w:val="en-US" w:eastAsia="en-US"/>
        </w:rPr>
      </w:pPr>
    </w:p>
    <w:p w14:paraId="0A21D0D8" w14:textId="77777777" w:rsidR="00213022" w:rsidRPr="00487834" w:rsidRDefault="00213022" w:rsidP="003128F6">
      <w:pPr>
        <w:autoSpaceDE w:val="0"/>
        <w:autoSpaceDN w:val="0"/>
        <w:adjustRightInd w:val="0"/>
        <w:spacing w:line="300" w:lineRule="auto"/>
        <w:rPr>
          <w:rFonts w:eastAsiaTheme="minorHAnsi"/>
          <w:lang w:val="en-US" w:eastAsia="en-US"/>
        </w:rPr>
      </w:pPr>
    </w:p>
    <w:p w14:paraId="4E55B234" w14:textId="77777777" w:rsidR="004F4DDE" w:rsidRPr="00487834" w:rsidRDefault="004F4DDE" w:rsidP="003128F6">
      <w:pPr>
        <w:autoSpaceDE w:val="0"/>
        <w:autoSpaceDN w:val="0"/>
        <w:adjustRightInd w:val="0"/>
        <w:spacing w:line="300" w:lineRule="auto"/>
        <w:rPr>
          <w:rFonts w:eastAsiaTheme="minorHAnsi"/>
          <w:lang w:val="en-US" w:eastAsia="en-US"/>
        </w:rPr>
      </w:pPr>
    </w:p>
    <w:tbl>
      <w:tblPr>
        <w:tblW w:w="8460" w:type="dxa"/>
        <w:jc w:val="center"/>
        <w:tblLook w:val="04A0" w:firstRow="1" w:lastRow="0" w:firstColumn="1" w:lastColumn="0" w:noHBand="0" w:noVBand="1"/>
      </w:tblPr>
      <w:tblGrid>
        <w:gridCol w:w="2127"/>
        <w:gridCol w:w="1153"/>
        <w:gridCol w:w="1300"/>
        <w:gridCol w:w="1300"/>
        <w:gridCol w:w="1300"/>
        <w:gridCol w:w="1280"/>
      </w:tblGrid>
      <w:tr w:rsidR="00B1657C" w:rsidRPr="00487834" w14:paraId="0F39B893" w14:textId="77777777" w:rsidTr="00A83D58">
        <w:trPr>
          <w:trHeight w:val="580"/>
          <w:jc w:val="center"/>
        </w:trPr>
        <w:tc>
          <w:tcPr>
            <w:tcW w:w="2127" w:type="dxa"/>
            <w:tcBorders>
              <w:top w:val="single" w:sz="4" w:space="0" w:color="auto"/>
              <w:left w:val="nil"/>
              <w:bottom w:val="nil"/>
              <w:right w:val="nil"/>
            </w:tcBorders>
            <w:shd w:val="clear" w:color="auto" w:fill="auto"/>
            <w:noWrap/>
            <w:vAlign w:val="center"/>
            <w:hideMark/>
          </w:tcPr>
          <w:p w14:paraId="48A25686" w14:textId="77777777" w:rsidR="00B1657C" w:rsidRPr="00487834" w:rsidRDefault="00B1657C" w:rsidP="00BA7F83">
            <w:pPr>
              <w:pStyle w:val="NoSpacing"/>
              <w:jc w:val="left"/>
            </w:pPr>
            <w:r w:rsidRPr="00487834">
              <w:t xml:space="preserve">Type </w:t>
            </w:r>
            <w:proofErr w:type="spellStart"/>
            <w:r w:rsidRPr="00487834">
              <w:t>of</w:t>
            </w:r>
            <w:proofErr w:type="spellEnd"/>
            <w:r w:rsidRPr="00487834">
              <w:t xml:space="preserve"> </w:t>
            </w:r>
            <w:proofErr w:type="spellStart"/>
            <w:r w:rsidRPr="00487834">
              <w:t>model</w:t>
            </w:r>
            <w:proofErr w:type="spellEnd"/>
          </w:p>
        </w:tc>
        <w:tc>
          <w:tcPr>
            <w:tcW w:w="1153" w:type="dxa"/>
            <w:tcBorders>
              <w:top w:val="single" w:sz="4" w:space="0" w:color="auto"/>
              <w:left w:val="nil"/>
              <w:bottom w:val="nil"/>
              <w:right w:val="nil"/>
            </w:tcBorders>
            <w:shd w:val="clear" w:color="auto" w:fill="auto"/>
            <w:vAlign w:val="center"/>
            <w:hideMark/>
          </w:tcPr>
          <w:p w14:paraId="16DE2029" w14:textId="77777777" w:rsidR="00B1657C" w:rsidRPr="00487834" w:rsidRDefault="00B1657C" w:rsidP="00BA7F83">
            <w:pPr>
              <w:pStyle w:val="NoSpacing"/>
            </w:pPr>
            <w:proofErr w:type="spellStart"/>
            <w:r w:rsidRPr="00487834">
              <w:t>Fixed</w:t>
            </w:r>
            <w:proofErr w:type="spellEnd"/>
          </w:p>
        </w:tc>
        <w:tc>
          <w:tcPr>
            <w:tcW w:w="1300" w:type="dxa"/>
            <w:tcBorders>
              <w:top w:val="single" w:sz="4" w:space="0" w:color="auto"/>
              <w:left w:val="nil"/>
              <w:bottom w:val="nil"/>
              <w:right w:val="nil"/>
            </w:tcBorders>
            <w:shd w:val="clear" w:color="auto" w:fill="auto"/>
            <w:vAlign w:val="center"/>
            <w:hideMark/>
          </w:tcPr>
          <w:p w14:paraId="62847153" w14:textId="77777777" w:rsidR="00B1657C" w:rsidRPr="00487834" w:rsidRDefault="00B1657C" w:rsidP="00BA7F83">
            <w:pPr>
              <w:pStyle w:val="NoSpacing"/>
            </w:pPr>
            <w:proofErr w:type="spellStart"/>
            <w:r w:rsidRPr="00487834">
              <w:t>Random</w:t>
            </w:r>
            <w:proofErr w:type="spellEnd"/>
          </w:p>
        </w:tc>
        <w:tc>
          <w:tcPr>
            <w:tcW w:w="1300" w:type="dxa"/>
            <w:tcBorders>
              <w:top w:val="single" w:sz="4" w:space="0" w:color="auto"/>
              <w:left w:val="nil"/>
              <w:bottom w:val="nil"/>
              <w:right w:val="nil"/>
            </w:tcBorders>
            <w:shd w:val="clear" w:color="auto" w:fill="auto"/>
            <w:vAlign w:val="center"/>
            <w:hideMark/>
          </w:tcPr>
          <w:p w14:paraId="0DFC7258" w14:textId="77777777" w:rsidR="00B1657C" w:rsidRPr="00487834" w:rsidRDefault="00B1657C" w:rsidP="00BA7F83">
            <w:pPr>
              <w:pStyle w:val="NoSpacing"/>
            </w:pPr>
            <w:proofErr w:type="spellStart"/>
            <w:r w:rsidRPr="00487834">
              <w:t>Fixed</w:t>
            </w:r>
            <w:proofErr w:type="spellEnd"/>
          </w:p>
        </w:tc>
        <w:tc>
          <w:tcPr>
            <w:tcW w:w="1300" w:type="dxa"/>
            <w:tcBorders>
              <w:top w:val="single" w:sz="4" w:space="0" w:color="auto"/>
              <w:left w:val="nil"/>
              <w:bottom w:val="nil"/>
              <w:right w:val="nil"/>
            </w:tcBorders>
            <w:shd w:val="clear" w:color="auto" w:fill="auto"/>
            <w:vAlign w:val="center"/>
            <w:hideMark/>
          </w:tcPr>
          <w:p w14:paraId="28BB50BE" w14:textId="77777777" w:rsidR="00B1657C" w:rsidRPr="00487834" w:rsidRDefault="00B1657C" w:rsidP="00BA7F83">
            <w:pPr>
              <w:pStyle w:val="NoSpacing"/>
            </w:pPr>
            <w:proofErr w:type="spellStart"/>
            <w:r w:rsidRPr="00487834">
              <w:t>Fixed</w:t>
            </w:r>
            <w:proofErr w:type="spellEnd"/>
          </w:p>
        </w:tc>
        <w:tc>
          <w:tcPr>
            <w:tcW w:w="1280" w:type="dxa"/>
            <w:tcBorders>
              <w:top w:val="single" w:sz="4" w:space="0" w:color="auto"/>
              <w:left w:val="nil"/>
              <w:bottom w:val="nil"/>
              <w:right w:val="nil"/>
            </w:tcBorders>
            <w:shd w:val="clear" w:color="auto" w:fill="auto"/>
            <w:vAlign w:val="center"/>
            <w:hideMark/>
          </w:tcPr>
          <w:p w14:paraId="35155A66" w14:textId="77777777" w:rsidR="00B1657C" w:rsidRPr="00487834" w:rsidRDefault="00B1657C" w:rsidP="00BA7F83">
            <w:pPr>
              <w:pStyle w:val="NoSpacing"/>
            </w:pPr>
            <w:proofErr w:type="spellStart"/>
            <w:r w:rsidRPr="00487834">
              <w:t>Random</w:t>
            </w:r>
            <w:proofErr w:type="spellEnd"/>
          </w:p>
        </w:tc>
      </w:tr>
      <w:tr w:rsidR="00B1657C" w:rsidRPr="00487834" w14:paraId="3CBBFA42" w14:textId="77777777" w:rsidTr="00A83D58">
        <w:trPr>
          <w:trHeight w:val="560"/>
          <w:jc w:val="center"/>
        </w:trPr>
        <w:tc>
          <w:tcPr>
            <w:tcW w:w="2127" w:type="dxa"/>
            <w:tcBorders>
              <w:top w:val="nil"/>
              <w:left w:val="nil"/>
              <w:bottom w:val="nil"/>
              <w:right w:val="nil"/>
            </w:tcBorders>
            <w:shd w:val="clear" w:color="auto" w:fill="auto"/>
            <w:noWrap/>
            <w:vAlign w:val="center"/>
            <w:hideMark/>
          </w:tcPr>
          <w:p w14:paraId="346A97C0" w14:textId="77777777" w:rsidR="00B1657C" w:rsidRPr="00487834" w:rsidRDefault="00B1657C" w:rsidP="00BA7F83">
            <w:pPr>
              <w:pStyle w:val="NoSpacing"/>
              <w:jc w:val="left"/>
            </w:pPr>
            <w:r w:rsidRPr="00487834">
              <w:t xml:space="preserve">N </w:t>
            </w:r>
            <w:proofErr w:type="spellStart"/>
            <w:r w:rsidRPr="00487834">
              <w:t>of</w:t>
            </w:r>
            <w:proofErr w:type="spellEnd"/>
            <w:r w:rsidRPr="00487834">
              <w:t xml:space="preserve"> </w:t>
            </w:r>
            <w:proofErr w:type="spellStart"/>
            <w:r w:rsidRPr="00487834">
              <w:t>obs</w:t>
            </w:r>
            <w:proofErr w:type="spellEnd"/>
            <w:r w:rsidRPr="00487834">
              <w:t>.</w:t>
            </w:r>
          </w:p>
        </w:tc>
        <w:tc>
          <w:tcPr>
            <w:tcW w:w="1153" w:type="dxa"/>
            <w:tcBorders>
              <w:top w:val="nil"/>
              <w:left w:val="nil"/>
              <w:bottom w:val="nil"/>
              <w:right w:val="nil"/>
            </w:tcBorders>
            <w:shd w:val="clear" w:color="auto" w:fill="auto"/>
            <w:vAlign w:val="center"/>
            <w:hideMark/>
          </w:tcPr>
          <w:p w14:paraId="784C6B00" w14:textId="77777777" w:rsidR="00B1657C" w:rsidRPr="00487834" w:rsidRDefault="00B1657C" w:rsidP="00BA7F83">
            <w:pPr>
              <w:pStyle w:val="NoSpacing"/>
            </w:pPr>
            <w:r w:rsidRPr="00487834">
              <w:t>969</w:t>
            </w:r>
          </w:p>
        </w:tc>
        <w:tc>
          <w:tcPr>
            <w:tcW w:w="1300" w:type="dxa"/>
            <w:tcBorders>
              <w:top w:val="nil"/>
              <w:left w:val="nil"/>
              <w:bottom w:val="nil"/>
              <w:right w:val="nil"/>
            </w:tcBorders>
            <w:shd w:val="clear" w:color="auto" w:fill="auto"/>
            <w:vAlign w:val="center"/>
            <w:hideMark/>
          </w:tcPr>
          <w:p w14:paraId="26B1DF6E" w14:textId="77777777" w:rsidR="00B1657C" w:rsidRPr="00487834" w:rsidRDefault="00B1657C" w:rsidP="00BA7F83">
            <w:pPr>
              <w:pStyle w:val="NoSpacing"/>
            </w:pPr>
            <w:r w:rsidRPr="00487834">
              <w:t>241</w:t>
            </w:r>
          </w:p>
        </w:tc>
        <w:tc>
          <w:tcPr>
            <w:tcW w:w="1300" w:type="dxa"/>
            <w:tcBorders>
              <w:top w:val="nil"/>
              <w:left w:val="nil"/>
              <w:bottom w:val="nil"/>
              <w:right w:val="nil"/>
            </w:tcBorders>
            <w:shd w:val="clear" w:color="auto" w:fill="auto"/>
            <w:vAlign w:val="center"/>
            <w:hideMark/>
          </w:tcPr>
          <w:p w14:paraId="10D53F2D" w14:textId="77777777" w:rsidR="00B1657C" w:rsidRPr="00487834" w:rsidRDefault="00B1657C" w:rsidP="00BA7F83">
            <w:pPr>
              <w:pStyle w:val="NoSpacing"/>
            </w:pPr>
            <w:r w:rsidRPr="00487834">
              <w:t>485</w:t>
            </w:r>
          </w:p>
        </w:tc>
        <w:tc>
          <w:tcPr>
            <w:tcW w:w="1300" w:type="dxa"/>
            <w:tcBorders>
              <w:top w:val="nil"/>
              <w:left w:val="nil"/>
              <w:bottom w:val="nil"/>
              <w:right w:val="nil"/>
            </w:tcBorders>
            <w:shd w:val="clear" w:color="auto" w:fill="auto"/>
            <w:vAlign w:val="center"/>
            <w:hideMark/>
          </w:tcPr>
          <w:p w14:paraId="5FE56E5F" w14:textId="77777777" w:rsidR="00B1657C" w:rsidRPr="00487834" w:rsidRDefault="00B1657C" w:rsidP="00BA7F83">
            <w:pPr>
              <w:pStyle w:val="NoSpacing"/>
            </w:pPr>
            <w:r w:rsidRPr="00487834">
              <w:t>242</w:t>
            </w:r>
          </w:p>
        </w:tc>
        <w:tc>
          <w:tcPr>
            <w:tcW w:w="1280" w:type="dxa"/>
            <w:tcBorders>
              <w:top w:val="nil"/>
              <w:left w:val="nil"/>
              <w:bottom w:val="nil"/>
              <w:right w:val="nil"/>
            </w:tcBorders>
            <w:shd w:val="clear" w:color="auto" w:fill="auto"/>
            <w:vAlign w:val="center"/>
            <w:hideMark/>
          </w:tcPr>
          <w:p w14:paraId="7FC82838" w14:textId="77777777" w:rsidR="00B1657C" w:rsidRPr="00487834" w:rsidRDefault="00B1657C" w:rsidP="00BA7F83">
            <w:pPr>
              <w:pStyle w:val="NoSpacing"/>
            </w:pPr>
            <w:r w:rsidRPr="00487834">
              <w:t>242</w:t>
            </w:r>
          </w:p>
        </w:tc>
      </w:tr>
      <w:tr w:rsidR="00B1657C" w:rsidRPr="00487834" w14:paraId="2D8E65D2" w14:textId="77777777" w:rsidTr="00A83D58">
        <w:trPr>
          <w:trHeight w:val="580"/>
          <w:jc w:val="center"/>
        </w:trPr>
        <w:tc>
          <w:tcPr>
            <w:tcW w:w="2127" w:type="dxa"/>
            <w:tcBorders>
              <w:top w:val="nil"/>
              <w:left w:val="nil"/>
              <w:bottom w:val="nil"/>
              <w:right w:val="nil"/>
            </w:tcBorders>
            <w:shd w:val="clear" w:color="auto" w:fill="auto"/>
            <w:noWrap/>
            <w:vAlign w:val="center"/>
            <w:hideMark/>
          </w:tcPr>
          <w:p w14:paraId="127C90DE" w14:textId="77777777" w:rsidR="00B1657C" w:rsidRPr="00487834" w:rsidRDefault="00B1657C" w:rsidP="00BA7F83">
            <w:pPr>
              <w:pStyle w:val="NoSpacing"/>
              <w:jc w:val="left"/>
            </w:pPr>
            <w:r w:rsidRPr="00487834">
              <w:t>R-</w:t>
            </w:r>
            <w:proofErr w:type="spellStart"/>
            <w:r w:rsidRPr="00487834">
              <w:t>sq</w:t>
            </w:r>
            <w:proofErr w:type="spellEnd"/>
            <w:r w:rsidRPr="00487834">
              <w:t>.</w:t>
            </w:r>
          </w:p>
        </w:tc>
        <w:tc>
          <w:tcPr>
            <w:tcW w:w="1153" w:type="dxa"/>
            <w:tcBorders>
              <w:top w:val="nil"/>
              <w:left w:val="nil"/>
              <w:bottom w:val="nil"/>
              <w:right w:val="nil"/>
            </w:tcBorders>
            <w:shd w:val="clear" w:color="auto" w:fill="auto"/>
            <w:vAlign w:val="center"/>
            <w:hideMark/>
          </w:tcPr>
          <w:p w14:paraId="4FCE54C9" w14:textId="77777777" w:rsidR="00B1657C" w:rsidRPr="00487834" w:rsidRDefault="00B1657C" w:rsidP="00BA7F83">
            <w:pPr>
              <w:pStyle w:val="NoSpacing"/>
            </w:pPr>
            <w:r w:rsidRPr="00487834">
              <w:t>0.440</w:t>
            </w:r>
          </w:p>
        </w:tc>
        <w:tc>
          <w:tcPr>
            <w:tcW w:w="1300" w:type="dxa"/>
            <w:tcBorders>
              <w:top w:val="nil"/>
              <w:left w:val="nil"/>
              <w:bottom w:val="nil"/>
              <w:right w:val="nil"/>
            </w:tcBorders>
            <w:shd w:val="clear" w:color="auto" w:fill="auto"/>
            <w:vAlign w:val="center"/>
            <w:hideMark/>
          </w:tcPr>
          <w:p w14:paraId="39978F71" w14:textId="77777777" w:rsidR="00B1657C" w:rsidRPr="00487834" w:rsidRDefault="00B1657C" w:rsidP="00BA7F83">
            <w:pPr>
              <w:pStyle w:val="NoSpacing"/>
            </w:pPr>
            <w:r w:rsidRPr="00487834">
              <w:t>0.095</w:t>
            </w:r>
          </w:p>
        </w:tc>
        <w:tc>
          <w:tcPr>
            <w:tcW w:w="1300" w:type="dxa"/>
            <w:tcBorders>
              <w:top w:val="nil"/>
              <w:left w:val="nil"/>
              <w:bottom w:val="nil"/>
              <w:right w:val="nil"/>
            </w:tcBorders>
            <w:shd w:val="clear" w:color="auto" w:fill="auto"/>
            <w:vAlign w:val="center"/>
            <w:hideMark/>
          </w:tcPr>
          <w:p w14:paraId="0666B586" w14:textId="77777777" w:rsidR="00B1657C" w:rsidRPr="00487834" w:rsidRDefault="00B1657C" w:rsidP="00BA7F83">
            <w:pPr>
              <w:pStyle w:val="NoSpacing"/>
            </w:pPr>
            <w:r w:rsidRPr="00487834">
              <w:t>0.471</w:t>
            </w:r>
          </w:p>
        </w:tc>
        <w:tc>
          <w:tcPr>
            <w:tcW w:w="1300" w:type="dxa"/>
            <w:tcBorders>
              <w:top w:val="nil"/>
              <w:left w:val="nil"/>
              <w:bottom w:val="nil"/>
              <w:right w:val="nil"/>
            </w:tcBorders>
            <w:shd w:val="clear" w:color="auto" w:fill="auto"/>
            <w:vAlign w:val="center"/>
            <w:hideMark/>
          </w:tcPr>
          <w:p w14:paraId="2D4E967E" w14:textId="77777777" w:rsidR="00B1657C" w:rsidRPr="00487834" w:rsidRDefault="00B1657C" w:rsidP="00BA7F83">
            <w:pPr>
              <w:pStyle w:val="NoSpacing"/>
            </w:pPr>
            <w:r w:rsidRPr="00487834">
              <w:t>0.629</w:t>
            </w:r>
          </w:p>
        </w:tc>
        <w:tc>
          <w:tcPr>
            <w:tcW w:w="1280" w:type="dxa"/>
            <w:tcBorders>
              <w:top w:val="nil"/>
              <w:left w:val="nil"/>
              <w:bottom w:val="nil"/>
              <w:right w:val="nil"/>
            </w:tcBorders>
            <w:shd w:val="clear" w:color="auto" w:fill="auto"/>
            <w:vAlign w:val="center"/>
            <w:hideMark/>
          </w:tcPr>
          <w:p w14:paraId="3AF03E2F" w14:textId="77777777" w:rsidR="00B1657C" w:rsidRPr="00487834" w:rsidRDefault="00B1657C" w:rsidP="00BA7F83">
            <w:pPr>
              <w:pStyle w:val="NoSpacing"/>
            </w:pPr>
            <w:r w:rsidRPr="00487834">
              <w:t>0.031</w:t>
            </w:r>
          </w:p>
        </w:tc>
      </w:tr>
      <w:tr w:rsidR="00B1657C" w:rsidRPr="00487834" w14:paraId="087339E9" w14:textId="77777777" w:rsidTr="00A83D58">
        <w:trPr>
          <w:trHeight w:val="560"/>
          <w:jc w:val="center"/>
        </w:trPr>
        <w:tc>
          <w:tcPr>
            <w:tcW w:w="2127" w:type="dxa"/>
            <w:tcBorders>
              <w:top w:val="nil"/>
              <w:left w:val="nil"/>
              <w:bottom w:val="nil"/>
              <w:right w:val="nil"/>
            </w:tcBorders>
            <w:shd w:val="clear" w:color="auto" w:fill="auto"/>
            <w:noWrap/>
            <w:vAlign w:val="center"/>
            <w:hideMark/>
          </w:tcPr>
          <w:p w14:paraId="4AE4ED79" w14:textId="77777777" w:rsidR="00B1657C" w:rsidRPr="00487834" w:rsidRDefault="00B1657C" w:rsidP="00BA7F83">
            <w:pPr>
              <w:pStyle w:val="NoSpacing"/>
              <w:jc w:val="left"/>
            </w:pPr>
            <w:proofErr w:type="spellStart"/>
            <w:r w:rsidRPr="00487834">
              <w:t>Adj</w:t>
            </w:r>
            <w:proofErr w:type="spellEnd"/>
            <w:r w:rsidRPr="00487834">
              <w:t>. R-</w:t>
            </w:r>
            <w:proofErr w:type="spellStart"/>
            <w:r w:rsidRPr="00487834">
              <w:t>sq</w:t>
            </w:r>
            <w:proofErr w:type="spellEnd"/>
            <w:r w:rsidRPr="00487834">
              <w:t>.</w:t>
            </w:r>
          </w:p>
        </w:tc>
        <w:tc>
          <w:tcPr>
            <w:tcW w:w="1153" w:type="dxa"/>
            <w:tcBorders>
              <w:top w:val="nil"/>
              <w:left w:val="nil"/>
              <w:bottom w:val="nil"/>
              <w:right w:val="nil"/>
            </w:tcBorders>
            <w:shd w:val="clear" w:color="auto" w:fill="auto"/>
            <w:vAlign w:val="center"/>
            <w:hideMark/>
          </w:tcPr>
          <w:p w14:paraId="4B772009" w14:textId="77777777" w:rsidR="00B1657C" w:rsidRPr="00487834" w:rsidRDefault="00B1657C" w:rsidP="00BA7F83">
            <w:pPr>
              <w:pStyle w:val="NoSpacing"/>
            </w:pPr>
            <w:r w:rsidRPr="00487834">
              <w:t>0.298</w:t>
            </w:r>
          </w:p>
        </w:tc>
        <w:tc>
          <w:tcPr>
            <w:tcW w:w="1300" w:type="dxa"/>
            <w:tcBorders>
              <w:top w:val="nil"/>
              <w:left w:val="nil"/>
              <w:bottom w:val="nil"/>
              <w:right w:val="nil"/>
            </w:tcBorders>
            <w:shd w:val="clear" w:color="auto" w:fill="auto"/>
            <w:vAlign w:val="center"/>
            <w:hideMark/>
          </w:tcPr>
          <w:p w14:paraId="3414D462" w14:textId="77777777" w:rsidR="00B1657C" w:rsidRPr="00487834" w:rsidRDefault="00B1657C" w:rsidP="00BA7F83">
            <w:pPr>
              <w:pStyle w:val="NoSpacing"/>
            </w:pPr>
            <w:r w:rsidRPr="00487834">
              <w:t>-</w:t>
            </w:r>
          </w:p>
        </w:tc>
        <w:tc>
          <w:tcPr>
            <w:tcW w:w="1300" w:type="dxa"/>
            <w:tcBorders>
              <w:top w:val="nil"/>
              <w:left w:val="nil"/>
              <w:bottom w:val="nil"/>
              <w:right w:val="nil"/>
            </w:tcBorders>
            <w:shd w:val="clear" w:color="auto" w:fill="auto"/>
            <w:vAlign w:val="center"/>
            <w:hideMark/>
          </w:tcPr>
          <w:p w14:paraId="1E2488A6" w14:textId="77777777" w:rsidR="00B1657C" w:rsidRPr="00487834" w:rsidRDefault="00B1657C" w:rsidP="00BA7F83">
            <w:pPr>
              <w:pStyle w:val="NoSpacing"/>
            </w:pPr>
            <w:r w:rsidRPr="00487834">
              <w:t>0.268</w:t>
            </w:r>
          </w:p>
        </w:tc>
        <w:tc>
          <w:tcPr>
            <w:tcW w:w="1300" w:type="dxa"/>
            <w:tcBorders>
              <w:top w:val="nil"/>
              <w:left w:val="nil"/>
              <w:bottom w:val="nil"/>
              <w:right w:val="nil"/>
            </w:tcBorders>
            <w:shd w:val="clear" w:color="auto" w:fill="auto"/>
            <w:vAlign w:val="center"/>
            <w:hideMark/>
          </w:tcPr>
          <w:p w14:paraId="7A9B01FF" w14:textId="77777777" w:rsidR="00B1657C" w:rsidRPr="00487834" w:rsidRDefault="00B1657C" w:rsidP="00BA7F83">
            <w:pPr>
              <w:pStyle w:val="NoSpacing"/>
            </w:pPr>
            <w:r w:rsidRPr="00487834">
              <w:t>0.361</w:t>
            </w:r>
          </w:p>
        </w:tc>
        <w:tc>
          <w:tcPr>
            <w:tcW w:w="1280" w:type="dxa"/>
            <w:tcBorders>
              <w:top w:val="nil"/>
              <w:left w:val="nil"/>
              <w:bottom w:val="nil"/>
              <w:right w:val="nil"/>
            </w:tcBorders>
            <w:shd w:val="clear" w:color="auto" w:fill="auto"/>
            <w:vAlign w:val="center"/>
            <w:hideMark/>
          </w:tcPr>
          <w:p w14:paraId="27A88E99" w14:textId="77777777" w:rsidR="00B1657C" w:rsidRPr="00487834" w:rsidRDefault="00B1657C" w:rsidP="00BA7F83">
            <w:pPr>
              <w:pStyle w:val="NoSpacing"/>
            </w:pPr>
            <w:r w:rsidRPr="00487834">
              <w:t>-</w:t>
            </w:r>
          </w:p>
        </w:tc>
      </w:tr>
      <w:tr w:rsidR="00B1657C" w:rsidRPr="00487834" w14:paraId="2C34FDB7" w14:textId="77777777" w:rsidTr="00A83D58">
        <w:trPr>
          <w:trHeight w:val="540"/>
          <w:jc w:val="center"/>
        </w:trPr>
        <w:tc>
          <w:tcPr>
            <w:tcW w:w="2127" w:type="dxa"/>
            <w:tcBorders>
              <w:top w:val="nil"/>
              <w:left w:val="nil"/>
              <w:bottom w:val="nil"/>
              <w:right w:val="nil"/>
            </w:tcBorders>
            <w:shd w:val="clear" w:color="auto" w:fill="auto"/>
            <w:noWrap/>
            <w:vAlign w:val="center"/>
            <w:hideMark/>
          </w:tcPr>
          <w:p w14:paraId="47814735" w14:textId="77777777" w:rsidR="00B1657C" w:rsidRPr="00487834" w:rsidRDefault="00B1657C" w:rsidP="00BA7F83">
            <w:pPr>
              <w:pStyle w:val="NoSpacing"/>
              <w:jc w:val="left"/>
            </w:pPr>
            <w:r w:rsidRPr="00487834">
              <w:t xml:space="preserve">Year </w:t>
            </w:r>
            <w:proofErr w:type="spellStart"/>
            <w:r w:rsidRPr="00487834">
              <w:t>effects</w:t>
            </w:r>
            <w:proofErr w:type="spellEnd"/>
          </w:p>
        </w:tc>
        <w:tc>
          <w:tcPr>
            <w:tcW w:w="1153" w:type="dxa"/>
            <w:tcBorders>
              <w:top w:val="nil"/>
              <w:left w:val="nil"/>
              <w:bottom w:val="nil"/>
              <w:right w:val="nil"/>
            </w:tcBorders>
            <w:shd w:val="clear" w:color="auto" w:fill="auto"/>
            <w:vAlign w:val="center"/>
            <w:hideMark/>
          </w:tcPr>
          <w:p w14:paraId="4595927F" w14:textId="77777777" w:rsidR="00B1657C" w:rsidRPr="00487834" w:rsidRDefault="00B1657C" w:rsidP="00BA7F83">
            <w:pPr>
              <w:pStyle w:val="NoSpacing"/>
            </w:pPr>
            <w:r w:rsidRPr="00487834">
              <w:t>Yes</w:t>
            </w:r>
          </w:p>
        </w:tc>
        <w:tc>
          <w:tcPr>
            <w:tcW w:w="1300" w:type="dxa"/>
            <w:tcBorders>
              <w:top w:val="nil"/>
              <w:left w:val="nil"/>
              <w:bottom w:val="nil"/>
              <w:right w:val="nil"/>
            </w:tcBorders>
            <w:shd w:val="clear" w:color="auto" w:fill="auto"/>
            <w:vAlign w:val="center"/>
            <w:hideMark/>
          </w:tcPr>
          <w:p w14:paraId="1621EE9A" w14:textId="77777777" w:rsidR="00B1657C" w:rsidRPr="00487834" w:rsidRDefault="00B1657C" w:rsidP="00BA7F83">
            <w:pPr>
              <w:pStyle w:val="NoSpacing"/>
            </w:pPr>
            <w:r w:rsidRPr="00487834">
              <w:t>Yes</w:t>
            </w:r>
          </w:p>
        </w:tc>
        <w:tc>
          <w:tcPr>
            <w:tcW w:w="1300" w:type="dxa"/>
            <w:tcBorders>
              <w:top w:val="nil"/>
              <w:left w:val="nil"/>
              <w:bottom w:val="nil"/>
              <w:right w:val="nil"/>
            </w:tcBorders>
            <w:shd w:val="clear" w:color="auto" w:fill="auto"/>
            <w:vAlign w:val="center"/>
            <w:hideMark/>
          </w:tcPr>
          <w:p w14:paraId="2ECB42F8" w14:textId="77777777" w:rsidR="00B1657C" w:rsidRPr="00487834" w:rsidRDefault="00B1657C" w:rsidP="00BA7F83">
            <w:pPr>
              <w:pStyle w:val="NoSpacing"/>
            </w:pPr>
            <w:r w:rsidRPr="00487834">
              <w:t>Yes</w:t>
            </w:r>
          </w:p>
        </w:tc>
        <w:tc>
          <w:tcPr>
            <w:tcW w:w="1300" w:type="dxa"/>
            <w:tcBorders>
              <w:top w:val="nil"/>
              <w:left w:val="nil"/>
              <w:bottom w:val="nil"/>
              <w:right w:val="nil"/>
            </w:tcBorders>
            <w:shd w:val="clear" w:color="auto" w:fill="auto"/>
            <w:vAlign w:val="center"/>
            <w:hideMark/>
          </w:tcPr>
          <w:p w14:paraId="46D4E056" w14:textId="77777777" w:rsidR="00B1657C" w:rsidRPr="00487834" w:rsidRDefault="00B1657C" w:rsidP="00BA7F83">
            <w:pPr>
              <w:pStyle w:val="NoSpacing"/>
            </w:pPr>
            <w:r w:rsidRPr="00487834">
              <w:t>Yes</w:t>
            </w:r>
          </w:p>
        </w:tc>
        <w:tc>
          <w:tcPr>
            <w:tcW w:w="1280" w:type="dxa"/>
            <w:tcBorders>
              <w:top w:val="nil"/>
              <w:left w:val="nil"/>
              <w:bottom w:val="nil"/>
              <w:right w:val="nil"/>
            </w:tcBorders>
            <w:shd w:val="clear" w:color="auto" w:fill="auto"/>
            <w:vAlign w:val="center"/>
            <w:hideMark/>
          </w:tcPr>
          <w:p w14:paraId="6FAF1E94" w14:textId="77777777" w:rsidR="00B1657C" w:rsidRPr="00487834" w:rsidRDefault="00B1657C" w:rsidP="00BA7F83">
            <w:pPr>
              <w:pStyle w:val="NoSpacing"/>
            </w:pPr>
            <w:r w:rsidRPr="00487834">
              <w:t>Yes</w:t>
            </w:r>
          </w:p>
        </w:tc>
      </w:tr>
      <w:tr w:rsidR="00B1657C" w:rsidRPr="00487834" w14:paraId="7A44BA96" w14:textId="77777777" w:rsidTr="00A83D58">
        <w:trPr>
          <w:trHeight w:val="580"/>
          <w:jc w:val="center"/>
        </w:trPr>
        <w:tc>
          <w:tcPr>
            <w:tcW w:w="2127" w:type="dxa"/>
            <w:tcBorders>
              <w:top w:val="nil"/>
              <w:left w:val="nil"/>
              <w:bottom w:val="nil"/>
              <w:right w:val="nil"/>
            </w:tcBorders>
            <w:shd w:val="clear" w:color="auto" w:fill="auto"/>
            <w:noWrap/>
            <w:vAlign w:val="center"/>
            <w:hideMark/>
          </w:tcPr>
          <w:p w14:paraId="07F6292E" w14:textId="77777777" w:rsidR="00B1657C" w:rsidRPr="00487834" w:rsidRDefault="00B1657C" w:rsidP="00BA7F83">
            <w:pPr>
              <w:pStyle w:val="NoSpacing"/>
              <w:jc w:val="left"/>
            </w:pPr>
            <w:proofErr w:type="spellStart"/>
            <w:r w:rsidRPr="00487834">
              <w:t>Firm</w:t>
            </w:r>
            <w:proofErr w:type="spellEnd"/>
            <w:r w:rsidRPr="00487834">
              <w:t xml:space="preserve"> </w:t>
            </w:r>
            <w:proofErr w:type="spellStart"/>
            <w:r w:rsidRPr="00487834">
              <w:t>effects</w:t>
            </w:r>
            <w:proofErr w:type="spellEnd"/>
          </w:p>
        </w:tc>
        <w:tc>
          <w:tcPr>
            <w:tcW w:w="1153" w:type="dxa"/>
            <w:tcBorders>
              <w:top w:val="nil"/>
              <w:left w:val="nil"/>
              <w:bottom w:val="nil"/>
              <w:right w:val="nil"/>
            </w:tcBorders>
            <w:shd w:val="clear" w:color="auto" w:fill="auto"/>
            <w:vAlign w:val="center"/>
            <w:hideMark/>
          </w:tcPr>
          <w:p w14:paraId="09967912" w14:textId="77777777" w:rsidR="00B1657C" w:rsidRPr="00487834" w:rsidRDefault="00B1657C" w:rsidP="00BA7F83">
            <w:pPr>
              <w:pStyle w:val="NoSpacing"/>
            </w:pPr>
            <w:r w:rsidRPr="00487834">
              <w:t>Yes</w:t>
            </w:r>
          </w:p>
        </w:tc>
        <w:tc>
          <w:tcPr>
            <w:tcW w:w="1300" w:type="dxa"/>
            <w:tcBorders>
              <w:top w:val="nil"/>
              <w:left w:val="nil"/>
              <w:bottom w:val="nil"/>
              <w:right w:val="nil"/>
            </w:tcBorders>
            <w:shd w:val="clear" w:color="auto" w:fill="auto"/>
            <w:vAlign w:val="center"/>
            <w:hideMark/>
          </w:tcPr>
          <w:p w14:paraId="6CAF5338" w14:textId="77777777" w:rsidR="00B1657C" w:rsidRPr="00487834" w:rsidRDefault="00B1657C" w:rsidP="00BA7F83">
            <w:pPr>
              <w:pStyle w:val="NoSpacing"/>
            </w:pPr>
            <w:r w:rsidRPr="00487834">
              <w:t>Yes</w:t>
            </w:r>
          </w:p>
        </w:tc>
        <w:tc>
          <w:tcPr>
            <w:tcW w:w="1300" w:type="dxa"/>
            <w:tcBorders>
              <w:top w:val="nil"/>
              <w:left w:val="nil"/>
              <w:bottom w:val="nil"/>
              <w:right w:val="nil"/>
            </w:tcBorders>
            <w:shd w:val="clear" w:color="auto" w:fill="auto"/>
            <w:vAlign w:val="center"/>
            <w:hideMark/>
          </w:tcPr>
          <w:p w14:paraId="1D188794" w14:textId="77777777" w:rsidR="00B1657C" w:rsidRPr="00487834" w:rsidRDefault="00B1657C" w:rsidP="00BA7F83">
            <w:pPr>
              <w:pStyle w:val="NoSpacing"/>
            </w:pPr>
            <w:r w:rsidRPr="00487834">
              <w:t>Yes</w:t>
            </w:r>
          </w:p>
        </w:tc>
        <w:tc>
          <w:tcPr>
            <w:tcW w:w="1300" w:type="dxa"/>
            <w:tcBorders>
              <w:top w:val="nil"/>
              <w:left w:val="nil"/>
              <w:bottom w:val="nil"/>
              <w:right w:val="nil"/>
            </w:tcBorders>
            <w:shd w:val="clear" w:color="auto" w:fill="auto"/>
            <w:vAlign w:val="center"/>
            <w:hideMark/>
          </w:tcPr>
          <w:p w14:paraId="5115F263" w14:textId="77777777" w:rsidR="00B1657C" w:rsidRPr="00487834" w:rsidRDefault="00B1657C" w:rsidP="00BA7F83">
            <w:pPr>
              <w:pStyle w:val="NoSpacing"/>
            </w:pPr>
            <w:r w:rsidRPr="00487834">
              <w:t>Yes</w:t>
            </w:r>
          </w:p>
        </w:tc>
        <w:tc>
          <w:tcPr>
            <w:tcW w:w="1280" w:type="dxa"/>
            <w:tcBorders>
              <w:top w:val="nil"/>
              <w:left w:val="nil"/>
              <w:bottom w:val="nil"/>
              <w:right w:val="nil"/>
            </w:tcBorders>
            <w:shd w:val="clear" w:color="auto" w:fill="auto"/>
            <w:vAlign w:val="center"/>
            <w:hideMark/>
          </w:tcPr>
          <w:p w14:paraId="52008D97" w14:textId="77777777" w:rsidR="00B1657C" w:rsidRPr="00487834" w:rsidRDefault="00B1657C" w:rsidP="00BA7F83">
            <w:pPr>
              <w:pStyle w:val="NoSpacing"/>
            </w:pPr>
            <w:r w:rsidRPr="00487834">
              <w:t>Yes</w:t>
            </w:r>
          </w:p>
        </w:tc>
      </w:tr>
      <w:tr w:rsidR="00B1657C" w:rsidRPr="00487834" w14:paraId="69A8FDEE" w14:textId="77777777" w:rsidTr="00A83D58">
        <w:trPr>
          <w:trHeight w:val="1220"/>
          <w:jc w:val="center"/>
        </w:trPr>
        <w:tc>
          <w:tcPr>
            <w:tcW w:w="2127" w:type="dxa"/>
            <w:tcBorders>
              <w:top w:val="nil"/>
              <w:left w:val="nil"/>
              <w:bottom w:val="single" w:sz="4" w:space="0" w:color="auto"/>
              <w:right w:val="nil"/>
            </w:tcBorders>
            <w:shd w:val="clear" w:color="auto" w:fill="auto"/>
            <w:vAlign w:val="center"/>
            <w:hideMark/>
          </w:tcPr>
          <w:p w14:paraId="39B6F970" w14:textId="77777777" w:rsidR="00B1657C" w:rsidRPr="00487834" w:rsidRDefault="00B1657C" w:rsidP="00BA7F83">
            <w:pPr>
              <w:pStyle w:val="NoSpacing"/>
              <w:jc w:val="left"/>
            </w:pPr>
            <w:proofErr w:type="spellStart"/>
            <w:r w:rsidRPr="00487834">
              <w:lastRenderedPageBreak/>
              <w:t>Robust</w:t>
            </w:r>
            <w:proofErr w:type="spellEnd"/>
            <w:r w:rsidRPr="00487834">
              <w:t xml:space="preserve"> </w:t>
            </w:r>
            <w:proofErr w:type="spellStart"/>
            <w:r w:rsidRPr="00487834">
              <w:t>standard</w:t>
            </w:r>
            <w:proofErr w:type="spellEnd"/>
            <w:r w:rsidRPr="00487834">
              <w:t xml:space="preserve"> </w:t>
            </w:r>
            <w:proofErr w:type="spellStart"/>
            <w:r w:rsidRPr="00487834">
              <w:t>errors</w:t>
            </w:r>
            <w:proofErr w:type="spellEnd"/>
          </w:p>
        </w:tc>
        <w:tc>
          <w:tcPr>
            <w:tcW w:w="1153" w:type="dxa"/>
            <w:tcBorders>
              <w:top w:val="nil"/>
              <w:left w:val="nil"/>
              <w:bottom w:val="single" w:sz="4" w:space="0" w:color="auto"/>
              <w:right w:val="nil"/>
            </w:tcBorders>
            <w:shd w:val="clear" w:color="auto" w:fill="auto"/>
            <w:vAlign w:val="center"/>
            <w:hideMark/>
          </w:tcPr>
          <w:p w14:paraId="3B8C1B93" w14:textId="77777777" w:rsidR="00B1657C" w:rsidRPr="00487834" w:rsidRDefault="00B1657C" w:rsidP="00BA7F83">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300" w:type="dxa"/>
            <w:tcBorders>
              <w:top w:val="nil"/>
              <w:left w:val="nil"/>
              <w:bottom w:val="single" w:sz="4" w:space="0" w:color="auto"/>
              <w:right w:val="nil"/>
            </w:tcBorders>
            <w:shd w:val="clear" w:color="auto" w:fill="auto"/>
            <w:vAlign w:val="center"/>
            <w:hideMark/>
          </w:tcPr>
          <w:p w14:paraId="090AA0BC" w14:textId="77777777" w:rsidR="00B1657C" w:rsidRPr="00487834" w:rsidRDefault="00B1657C" w:rsidP="00BA7F83">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300" w:type="dxa"/>
            <w:tcBorders>
              <w:top w:val="nil"/>
              <w:left w:val="nil"/>
              <w:bottom w:val="single" w:sz="4" w:space="0" w:color="auto"/>
              <w:right w:val="nil"/>
            </w:tcBorders>
            <w:shd w:val="clear" w:color="auto" w:fill="auto"/>
            <w:vAlign w:val="center"/>
            <w:hideMark/>
          </w:tcPr>
          <w:p w14:paraId="77C506F6" w14:textId="77777777" w:rsidR="00B1657C" w:rsidRPr="00487834" w:rsidRDefault="00B1657C" w:rsidP="00BA7F83">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300" w:type="dxa"/>
            <w:tcBorders>
              <w:top w:val="nil"/>
              <w:left w:val="nil"/>
              <w:bottom w:val="single" w:sz="4" w:space="0" w:color="auto"/>
              <w:right w:val="nil"/>
            </w:tcBorders>
            <w:shd w:val="clear" w:color="auto" w:fill="auto"/>
            <w:vAlign w:val="center"/>
            <w:hideMark/>
          </w:tcPr>
          <w:p w14:paraId="5CA9142F" w14:textId="77777777" w:rsidR="00B1657C" w:rsidRPr="00487834" w:rsidRDefault="00B1657C" w:rsidP="00BA7F83">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280" w:type="dxa"/>
            <w:tcBorders>
              <w:top w:val="nil"/>
              <w:left w:val="nil"/>
              <w:bottom w:val="single" w:sz="4" w:space="0" w:color="auto"/>
              <w:right w:val="nil"/>
            </w:tcBorders>
            <w:shd w:val="clear" w:color="auto" w:fill="auto"/>
            <w:vAlign w:val="center"/>
            <w:hideMark/>
          </w:tcPr>
          <w:p w14:paraId="5D7842D6" w14:textId="77777777" w:rsidR="00B1657C" w:rsidRPr="00487834" w:rsidRDefault="00B1657C" w:rsidP="00BA7F83">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r>
    </w:tbl>
    <w:p w14:paraId="13228CC6" w14:textId="77777777" w:rsidR="00213022" w:rsidRPr="00487834" w:rsidRDefault="00213022" w:rsidP="003128F6">
      <w:pPr>
        <w:autoSpaceDE w:val="0"/>
        <w:autoSpaceDN w:val="0"/>
        <w:adjustRightInd w:val="0"/>
        <w:spacing w:line="300" w:lineRule="auto"/>
        <w:rPr>
          <w:rFonts w:eastAsiaTheme="minorHAnsi"/>
          <w:lang w:val="en-US" w:eastAsia="en-US"/>
        </w:rPr>
      </w:pPr>
    </w:p>
    <w:p w14:paraId="2F7F3E54" w14:textId="77777777" w:rsidR="00E403E8" w:rsidRPr="00487834" w:rsidRDefault="00E403E8" w:rsidP="00E403E8">
      <w:pPr>
        <w:autoSpaceDE w:val="0"/>
        <w:autoSpaceDN w:val="0"/>
        <w:adjustRightInd w:val="0"/>
        <w:spacing w:line="300" w:lineRule="auto"/>
        <w:rPr>
          <w:rFonts w:eastAsiaTheme="minorHAnsi"/>
          <w:lang w:val="en-US" w:eastAsia="en-US"/>
        </w:rPr>
      </w:pPr>
    </w:p>
    <w:p w14:paraId="016ADC8B" w14:textId="0C0DA0BF" w:rsidR="00E403E8" w:rsidRPr="00487834" w:rsidRDefault="00E403E8" w:rsidP="008A203E">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 xml:space="preserve">The regression results for the cost of debt with lagged predictors </w:t>
      </w:r>
      <w:r w:rsidR="00161756">
        <w:rPr>
          <w:rFonts w:eastAsiaTheme="minorHAnsi"/>
          <w:lang w:val="en-US" w:eastAsia="en-US"/>
        </w:rPr>
        <w:t xml:space="preserve">are also uneven </w:t>
      </w:r>
      <w:r w:rsidRPr="00487834">
        <w:rPr>
          <w:rFonts w:eastAsiaTheme="minorHAnsi"/>
          <w:lang w:val="en-US" w:eastAsia="en-US"/>
        </w:rPr>
        <w:t>across the entire dataset and various subsamples. For the entire dataset, the ESG score shows a positive but marginally significant relationship with the cost of debt (0.0023, p &lt; 0.10). This suggests that while ESG improvements have an immediate positive effect, their influence might weaken over time</w:t>
      </w:r>
      <w:r w:rsidR="008A203E">
        <w:rPr>
          <w:rFonts w:eastAsiaTheme="minorHAnsi"/>
          <w:lang w:val="en-US" w:eastAsia="en-US"/>
        </w:rPr>
        <w:t xml:space="preserve"> if whole spectrum of ESG performers is considered. In the meantime, </w:t>
      </w:r>
      <w:r w:rsidRPr="00487834">
        <w:rPr>
          <w:rFonts w:eastAsiaTheme="minorHAnsi"/>
          <w:lang w:val="en-US" w:eastAsia="en-US"/>
        </w:rPr>
        <w:t xml:space="preserve">the top 25% subsample, the relationship between ESG scores and the cost of debt is significantly negative (-0.0114, p &lt; 0.01). This finding aligns with Hypothesis 2, indicating that firms with superior ESG performance benefit from reduced borrowing costs. The significant lag effect here highlights that high ESG scores have a lasting positive impact on financing conditions, consistent with </w:t>
      </w:r>
      <w:proofErr w:type="spellStart"/>
      <w:r w:rsidRPr="00487834">
        <w:rPr>
          <w:rFonts w:eastAsiaTheme="minorHAnsi"/>
          <w:lang w:val="en-US" w:eastAsia="en-US"/>
        </w:rPr>
        <w:t>Apergis</w:t>
      </w:r>
      <w:proofErr w:type="spellEnd"/>
      <w:r w:rsidRPr="00487834">
        <w:rPr>
          <w:rFonts w:eastAsiaTheme="minorHAnsi"/>
          <w:lang w:val="en-US" w:eastAsia="en-US"/>
        </w:rPr>
        <w:t xml:space="preserve"> et al. (2022) and Bhuiyan and Nguyen (2020), who found long-term financial benefits for top ESG performers.</w:t>
      </w:r>
      <w:r w:rsidR="008A203E">
        <w:rPr>
          <w:rFonts w:eastAsiaTheme="minorHAnsi"/>
          <w:lang w:val="en-US" w:eastAsia="en-US"/>
        </w:rPr>
        <w:t xml:space="preserve"> The effect is also magnified with the </w:t>
      </w:r>
      <w:proofErr w:type="gramStart"/>
      <w:r w:rsidR="008A203E">
        <w:rPr>
          <w:rFonts w:eastAsiaTheme="minorHAnsi"/>
          <w:lang w:val="en-US" w:eastAsia="en-US"/>
        </w:rPr>
        <w:t>one year</w:t>
      </w:r>
      <w:proofErr w:type="gramEnd"/>
      <w:r w:rsidR="008A203E">
        <w:rPr>
          <w:rFonts w:eastAsiaTheme="minorHAnsi"/>
          <w:lang w:val="en-US" w:eastAsia="en-US"/>
        </w:rPr>
        <w:t xml:space="preserve"> time lagged model suggesting that </w:t>
      </w:r>
      <w:r w:rsidR="00A176D3">
        <w:rPr>
          <w:rFonts w:eastAsiaTheme="minorHAnsi"/>
          <w:lang w:val="en-US" w:eastAsia="en-US"/>
        </w:rPr>
        <w:t>top ESG performers enjoy long-lasting effects of their ESG investment that can be even more potent in one year horizon</w:t>
      </w:r>
    </w:p>
    <w:p w14:paraId="160A85A4" w14:textId="282682FD" w:rsidR="00E403E8" w:rsidRPr="00487834" w:rsidRDefault="00A176D3" w:rsidP="00A176D3">
      <w:pPr>
        <w:autoSpaceDE w:val="0"/>
        <w:autoSpaceDN w:val="0"/>
        <w:adjustRightInd w:val="0"/>
        <w:spacing w:line="300" w:lineRule="auto"/>
        <w:ind w:firstLine="720"/>
        <w:rPr>
          <w:rFonts w:eastAsiaTheme="minorHAnsi"/>
          <w:lang w:val="en-US" w:eastAsia="en-US"/>
        </w:rPr>
      </w:pPr>
      <w:r>
        <w:rPr>
          <w:rFonts w:eastAsiaTheme="minorHAnsi"/>
          <w:lang w:val="en-US" w:eastAsia="en-US"/>
        </w:rPr>
        <w:t xml:space="preserve">Furthermore, </w:t>
      </w:r>
      <w:r w:rsidR="00E403E8" w:rsidRPr="00487834">
        <w:rPr>
          <w:rFonts w:eastAsiaTheme="minorHAnsi"/>
          <w:lang w:val="en-US" w:eastAsia="en-US"/>
        </w:rPr>
        <w:t xml:space="preserve">the middle 50% subsample shows a positive relationship (0.005, p &lt; 0.10), suggesting that moderate ESG </w:t>
      </w:r>
      <w:r>
        <w:rPr>
          <w:rFonts w:eastAsiaTheme="minorHAnsi"/>
          <w:lang w:val="en-US" w:eastAsia="en-US"/>
        </w:rPr>
        <w:t xml:space="preserve">performance </w:t>
      </w:r>
      <w:r w:rsidR="00E403E8" w:rsidRPr="00487834">
        <w:rPr>
          <w:rFonts w:eastAsiaTheme="minorHAnsi"/>
          <w:lang w:val="en-US" w:eastAsia="en-US"/>
        </w:rPr>
        <w:t xml:space="preserve">do not significantly reduce the cost of debt over time. This </w:t>
      </w:r>
      <w:r w:rsidR="00671CA8">
        <w:rPr>
          <w:rFonts w:eastAsiaTheme="minorHAnsi"/>
          <w:lang w:val="en-US" w:eastAsia="en-US"/>
        </w:rPr>
        <w:t xml:space="preserve">again contradicts </w:t>
      </w:r>
      <w:r w:rsidR="00E403E8" w:rsidRPr="00487834">
        <w:rPr>
          <w:rFonts w:eastAsiaTheme="minorHAnsi"/>
          <w:lang w:val="en-US" w:eastAsia="en-US"/>
        </w:rPr>
        <w:t>the idea of diminishing marginal returns, where only substantial ESG enhancements translate into significant cost savings</w:t>
      </w:r>
      <w:r w:rsidR="00671CA8">
        <w:rPr>
          <w:rFonts w:eastAsiaTheme="minorHAnsi"/>
          <w:lang w:val="en-US" w:eastAsia="en-US"/>
        </w:rPr>
        <w:t xml:space="preserve"> posited in our H5 </w:t>
      </w:r>
    </w:p>
    <w:p w14:paraId="6E6CE031" w14:textId="3FA13E66" w:rsidR="00E403E8" w:rsidRPr="00487834" w:rsidRDefault="00E403E8" w:rsidP="00410A2E">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For the bottom 25% subsample, the results are mixed</w:t>
      </w:r>
      <w:r w:rsidR="003368CA">
        <w:rPr>
          <w:rFonts w:eastAsiaTheme="minorHAnsi"/>
          <w:lang w:val="en-US" w:eastAsia="en-US"/>
        </w:rPr>
        <w:t xml:space="preserve"> and statistically insignificant</w:t>
      </w:r>
      <w:r w:rsidRPr="00487834">
        <w:rPr>
          <w:rFonts w:eastAsiaTheme="minorHAnsi"/>
          <w:lang w:val="en-US" w:eastAsia="en-US"/>
        </w:rPr>
        <w:t xml:space="preserve">. The fixed effects model shows a positive but insignificant relationship (0.002), while the random effects model presents a negative but insignificant coefficient (-0.0011). These findings suggest that underperforming firms do not experience significant immediate or lagged financial benefits from minor ESG improvements, </w:t>
      </w:r>
      <w:r w:rsidR="005B754B">
        <w:rPr>
          <w:rFonts w:eastAsiaTheme="minorHAnsi"/>
          <w:lang w:val="en-US" w:eastAsia="en-US"/>
        </w:rPr>
        <w:t>refuting H5</w:t>
      </w:r>
      <w:r w:rsidR="003E59B6">
        <w:rPr>
          <w:rFonts w:eastAsiaTheme="minorHAnsi"/>
          <w:lang w:val="en-US" w:eastAsia="en-US"/>
        </w:rPr>
        <w:t xml:space="preserve">. The implications are that </w:t>
      </w:r>
      <w:r w:rsidRPr="00487834">
        <w:rPr>
          <w:rFonts w:eastAsiaTheme="minorHAnsi"/>
          <w:lang w:val="en-US" w:eastAsia="en-US"/>
        </w:rPr>
        <w:t>initial investments in ESG may not yield immediate financial returns but could potentially accumulate over time as firms move towards higher ESG performance tiers.</w:t>
      </w:r>
      <w:r w:rsidR="003E59B6">
        <w:rPr>
          <w:rFonts w:eastAsiaTheme="minorHAnsi"/>
          <w:lang w:val="en-US" w:eastAsia="en-US"/>
        </w:rPr>
        <w:t xml:space="preserve"> </w:t>
      </w:r>
      <w:r w:rsidRPr="00487834">
        <w:rPr>
          <w:rFonts w:eastAsiaTheme="minorHAnsi"/>
          <w:lang w:val="en-US" w:eastAsia="en-US"/>
        </w:rPr>
        <w:t xml:space="preserve">Control variables </w:t>
      </w:r>
      <w:r w:rsidR="00B23152">
        <w:rPr>
          <w:rFonts w:eastAsiaTheme="minorHAnsi"/>
          <w:lang w:val="en-US" w:eastAsia="en-US"/>
        </w:rPr>
        <w:t>provide further clarification of</w:t>
      </w:r>
      <w:r w:rsidRPr="00487834">
        <w:rPr>
          <w:rFonts w:eastAsiaTheme="minorHAnsi"/>
          <w:lang w:val="en-US" w:eastAsia="en-US"/>
        </w:rPr>
        <w:t xml:space="preserve"> the results. Market capitalization (MCAP) negatively impacts the cost of debt across most models, indicating larger firms generally enjoy lower borrowing costs. This finding aligns with Cardoso (2020), emphasizing the importance of firm size. Interestingly, the interest coverage ratio (ICR) and return on assets (ROA) show varied significance, underscoring the role of financial health in financing costs.</w:t>
      </w:r>
    </w:p>
    <w:p w14:paraId="3B3AA24E" w14:textId="741246C1" w:rsidR="00410A2E" w:rsidRDefault="00E403E8" w:rsidP="00AD365D">
      <w:pPr>
        <w:autoSpaceDE w:val="0"/>
        <w:autoSpaceDN w:val="0"/>
        <w:adjustRightInd w:val="0"/>
        <w:spacing w:line="300" w:lineRule="auto"/>
        <w:rPr>
          <w:rFonts w:eastAsiaTheme="minorHAnsi"/>
          <w:lang w:val="en-US" w:eastAsia="en-US"/>
        </w:rPr>
      </w:pPr>
      <w:r w:rsidRPr="00487834">
        <w:rPr>
          <w:rFonts w:eastAsiaTheme="minorHAnsi"/>
          <w:lang w:val="en-US" w:eastAsia="en-US"/>
        </w:rPr>
        <w:t xml:space="preserve">In summary, these results support Hypothesis </w:t>
      </w:r>
      <w:r w:rsidR="00410A2E">
        <w:rPr>
          <w:rFonts w:eastAsiaTheme="minorHAnsi"/>
          <w:lang w:val="en-US" w:eastAsia="en-US"/>
        </w:rPr>
        <w:t xml:space="preserve">2, but only in case of top ESG performers, while </w:t>
      </w:r>
      <w:r w:rsidRPr="00487834">
        <w:rPr>
          <w:rFonts w:eastAsiaTheme="minorHAnsi"/>
          <w:lang w:val="en-US" w:eastAsia="en-US"/>
        </w:rPr>
        <w:t>Hypothesis 5,</w:t>
      </w:r>
      <w:r w:rsidR="00410A2E">
        <w:rPr>
          <w:rFonts w:eastAsiaTheme="minorHAnsi"/>
          <w:lang w:val="en-US" w:eastAsia="en-US"/>
        </w:rPr>
        <w:t xml:space="preserve"> is refuted </w:t>
      </w:r>
      <w:r w:rsidR="00410A2E" w:rsidRPr="00487834">
        <w:rPr>
          <w:rFonts w:eastAsiaTheme="minorHAnsi"/>
          <w:lang w:val="en-US" w:eastAsia="en-US"/>
        </w:rPr>
        <w:t>revealing</w:t>
      </w:r>
      <w:r w:rsidRPr="00487834">
        <w:rPr>
          <w:rFonts w:eastAsiaTheme="minorHAnsi"/>
          <w:lang w:val="en-US" w:eastAsia="en-US"/>
        </w:rPr>
        <w:t xml:space="preserve"> that while high ESG scores can reduce the cost of debt, the benefits are more pronounced and sustained for top performers. The findings emphasize the importance of significant and ongoing ESG improvements to achieve financial benefits in the BRICS markets, with varied impacts across different performance tiers</w:t>
      </w:r>
      <w:r w:rsidR="00B803F6" w:rsidRPr="00487834">
        <w:rPr>
          <w:rFonts w:eastAsiaTheme="minorHAnsi"/>
          <w:lang w:val="en-US" w:eastAsia="en-US"/>
        </w:rPr>
        <w:t>.</w:t>
      </w:r>
    </w:p>
    <w:p w14:paraId="417B943E" w14:textId="77777777" w:rsidR="00410A2E" w:rsidRPr="00487834" w:rsidRDefault="00410A2E" w:rsidP="003128F6">
      <w:pPr>
        <w:autoSpaceDE w:val="0"/>
        <w:autoSpaceDN w:val="0"/>
        <w:adjustRightInd w:val="0"/>
        <w:spacing w:line="300" w:lineRule="auto"/>
        <w:rPr>
          <w:rFonts w:eastAsiaTheme="minorHAnsi"/>
          <w:lang w:val="en-US" w:eastAsia="en-US"/>
        </w:rPr>
      </w:pPr>
    </w:p>
    <w:p w14:paraId="2B42F133" w14:textId="77777777" w:rsidR="00EF4BE4" w:rsidRPr="00487834" w:rsidRDefault="00EF4BE4" w:rsidP="003128F6">
      <w:pPr>
        <w:autoSpaceDE w:val="0"/>
        <w:autoSpaceDN w:val="0"/>
        <w:adjustRightInd w:val="0"/>
        <w:spacing w:line="300" w:lineRule="auto"/>
        <w:rPr>
          <w:rFonts w:eastAsiaTheme="minorHAnsi"/>
          <w:b/>
          <w:bCs/>
          <w:lang w:val="en-US" w:eastAsia="en-US"/>
        </w:rPr>
      </w:pPr>
    </w:p>
    <w:p w14:paraId="422C09A5" w14:textId="77777777" w:rsidR="00A27CB9" w:rsidRPr="00487834" w:rsidRDefault="00170D3D" w:rsidP="003128F6">
      <w:pPr>
        <w:autoSpaceDE w:val="0"/>
        <w:autoSpaceDN w:val="0"/>
        <w:adjustRightInd w:val="0"/>
        <w:spacing w:line="300" w:lineRule="auto"/>
        <w:rPr>
          <w:rFonts w:eastAsiaTheme="minorHAnsi"/>
          <w:lang w:val="en-US" w:eastAsia="en-US"/>
        </w:rPr>
      </w:pPr>
      <w:r w:rsidRPr="00487834">
        <w:rPr>
          <w:rFonts w:eastAsiaTheme="minorHAnsi"/>
          <w:b/>
          <w:bCs/>
          <w:lang w:val="en-US" w:eastAsia="en-US"/>
        </w:rPr>
        <w:t>Table 2</w:t>
      </w:r>
      <w:r w:rsidR="00BF355C" w:rsidRPr="00487834">
        <w:rPr>
          <w:rFonts w:eastAsiaTheme="minorHAnsi"/>
          <w:b/>
          <w:bCs/>
          <w:lang w:val="en-US" w:eastAsia="en-US"/>
        </w:rPr>
        <w:t>9</w:t>
      </w:r>
      <w:r w:rsidR="00286F41" w:rsidRPr="00487834">
        <w:rPr>
          <w:rFonts w:eastAsiaTheme="minorHAnsi"/>
          <w:b/>
          <w:bCs/>
          <w:lang w:val="en-US" w:eastAsia="en-US"/>
        </w:rPr>
        <w:t xml:space="preserve"> </w:t>
      </w:r>
      <w:r w:rsidRPr="00487834">
        <w:rPr>
          <w:rFonts w:eastAsiaTheme="minorHAnsi"/>
          <w:b/>
          <w:bCs/>
          <w:lang w:val="en-GB" w:eastAsia="en-US"/>
        </w:rPr>
        <w:t xml:space="preserve">– </w:t>
      </w:r>
      <w:r w:rsidR="00A27CB9" w:rsidRPr="00487834">
        <w:rPr>
          <w:rFonts w:eastAsiaTheme="minorHAnsi"/>
          <w:lang w:val="en-US" w:eastAsia="en-US"/>
        </w:rPr>
        <w:t xml:space="preserve">Cost of debt regression results with lagged predictor for country subsamples </w:t>
      </w:r>
    </w:p>
    <w:p w14:paraId="2E7AC9CC" w14:textId="77777777" w:rsidR="00E2567F" w:rsidRPr="00487834" w:rsidRDefault="00E2567F" w:rsidP="003128F6">
      <w:pPr>
        <w:autoSpaceDE w:val="0"/>
        <w:autoSpaceDN w:val="0"/>
        <w:adjustRightInd w:val="0"/>
        <w:spacing w:line="300" w:lineRule="auto"/>
        <w:rPr>
          <w:rFonts w:eastAsiaTheme="minorHAnsi"/>
          <w:lang w:val="en-US" w:eastAsia="en-US"/>
        </w:rPr>
      </w:pPr>
    </w:p>
    <w:tbl>
      <w:tblPr>
        <w:tblW w:w="5860" w:type="dxa"/>
        <w:jc w:val="center"/>
        <w:tblLook w:val="04A0" w:firstRow="1" w:lastRow="0" w:firstColumn="1" w:lastColumn="0" w:noHBand="0" w:noVBand="1"/>
      </w:tblPr>
      <w:tblGrid>
        <w:gridCol w:w="2000"/>
        <w:gridCol w:w="1280"/>
        <w:gridCol w:w="1280"/>
        <w:gridCol w:w="1300"/>
      </w:tblGrid>
      <w:tr w:rsidR="00A27CB9" w:rsidRPr="00487834" w14:paraId="2C5540E0" w14:textId="77777777" w:rsidTr="00A27CB9">
        <w:trPr>
          <w:trHeight w:val="260"/>
          <w:jc w:val="center"/>
        </w:trPr>
        <w:tc>
          <w:tcPr>
            <w:tcW w:w="2000" w:type="dxa"/>
            <w:tcBorders>
              <w:top w:val="single" w:sz="4" w:space="0" w:color="auto"/>
              <w:left w:val="nil"/>
              <w:bottom w:val="single" w:sz="4" w:space="0" w:color="auto"/>
              <w:right w:val="nil"/>
            </w:tcBorders>
            <w:shd w:val="clear" w:color="auto" w:fill="auto"/>
            <w:noWrap/>
            <w:vAlign w:val="center"/>
            <w:hideMark/>
          </w:tcPr>
          <w:p w14:paraId="379C5C32" w14:textId="77777777" w:rsidR="00A27CB9" w:rsidRPr="00487834" w:rsidRDefault="00A27CB9" w:rsidP="00F36A29">
            <w:pPr>
              <w:pStyle w:val="NoSpacing"/>
            </w:pPr>
            <w:proofErr w:type="spellStart"/>
            <w:r w:rsidRPr="00487834">
              <w:t>Parameter</w:t>
            </w:r>
            <w:proofErr w:type="spellEnd"/>
          </w:p>
        </w:tc>
        <w:tc>
          <w:tcPr>
            <w:tcW w:w="1280" w:type="dxa"/>
            <w:tcBorders>
              <w:top w:val="single" w:sz="4" w:space="0" w:color="auto"/>
              <w:left w:val="nil"/>
              <w:bottom w:val="single" w:sz="4" w:space="0" w:color="auto"/>
              <w:right w:val="nil"/>
            </w:tcBorders>
            <w:shd w:val="clear" w:color="auto" w:fill="auto"/>
            <w:noWrap/>
            <w:vAlign w:val="bottom"/>
            <w:hideMark/>
          </w:tcPr>
          <w:p w14:paraId="0489AFC7" w14:textId="77777777" w:rsidR="00A27CB9" w:rsidRPr="00487834" w:rsidRDefault="00A27CB9" w:rsidP="00F36A29">
            <w:pPr>
              <w:pStyle w:val="NoSpacing"/>
            </w:pPr>
            <w:r w:rsidRPr="00487834">
              <w:t>Russia</w:t>
            </w:r>
          </w:p>
        </w:tc>
        <w:tc>
          <w:tcPr>
            <w:tcW w:w="1280" w:type="dxa"/>
            <w:tcBorders>
              <w:top w:val="single" w:sz="4" w:space="0" w:color="auto"/>
              <w:left w:val="nil"/>
              <w:bottom w:val="single" w:sz="4" w:space="0" w:color="auto"/>
              <w:right w:val="nil"/>
            </w:tcBorders>
            <w:shd w:val="clear" w:color="auto" w:fill="auto"/>
            <w:noWrap/>
            <w:vAlign w:val="bottom"/>
            <w:hideMark/>
          </w:tcPr>
          <w:p w14:paraId="31290EF4" w14:textId="77777777" w:rsidR="00A27CB9" w:rsidRPr="00487834" w:rsidRDefault="00A27CB9" w:rsidP="00F36A29">
            <w:pPr>
              <w:pStyle w:val="NoSpacing"/>
            </w:pPr>
            <w:proofErr w:type="spellStart"/>
            <w:r w:rsidRPr="00487834">
              <w:t>Brazil</w:t>
            </w:r>
            <w:proofErr w:type="spellEnd"/>
          </w:p>
        </w:tc>
        <w:tc>
          <w:tcPr>
            <w:tcW w:w="1300" w:type="dxa"/>
            <w:tcBorders>
              <w:top w:val="single" w:sz="4" w:space="0" w:color="auto"/>
              <w:left w:val="nil"/>
              <w:bottom w:val="single" w:sz="4" w:space="0" w:color="auto"/>
              <w:right w:val="nil"/>
            </w:tcBorders>
            <w:shd w:val="clear" w:color="auto" w:fill="auto"/>
            <w:noWrap/>
            <w:vAlign w:val="bottom"/>
            <w:hideMark/>
          </w:tcPr>
          <w:p w14:paraId="0F2F802F" w14:textId="77777777" w:rsidR="00A27CB9" w:rsidRPr="00487834" w:rsidRDefault="00A27CB9" w:rsidP="00F36A29">
            <w:pPr>
              <w:pStyle w:val="NoSpacing"/>
            </w:pPr>
            <w:r w:rsidRPr="00487834">
              <w:t>South Africa</w:t>
            </w:r>
          </w:p>
        </w:tc>
      </w:tr>
      <w:tr w:rsidR="00A27CB9" w:rsidRPr="00487834" w14:paraId="176E83A4" w14:textId="77777777" w:rsidTr="00A27CB9">
        <w:trPr>
          <w:trHeight w:val="580"/>
          <w:jc w:val="center"/>
        </w:trPr>
        <w:tc>
          <w:tcPr>
            <w:tcW w:w="2000" w:type="dxa"/>
            <w:tcBorders>
              <w:top w:val="nil"/>
              <w:left w:val="nil"/>
              <w:bottom w:val="nil"/>
              <w:right w:val="nil"/>
            </w:tcBorders>
            <w:shd w:val="clear" w:color="auto" w:fill="auto"/>
            <w:noWrap/>
            <w:vAlign w:val="center"/>
            <w:hideMark/>
          </w:tcPr>
          <w:p w14:paraId="5DA694E2" w14:textId="77777777" w:rsidR="00A27CB9" w:rsidRPr="00487834" w:rsidRDefault="00A27CB9" w:rsidP="00F36A29">
            <w:pPr>
              <w:pStyle w:val="NoSpacing"/>
              <w:rPr>
                <w:i/>
                <w:iCs/>
              </w:rPr>
            </w:pPr>
            <w:r w:rsidRPr="00487834">
              <w:rPr>
                <w:i/>
                <w:iCs/>
              </w:rPr>
              <w:t>C</w:t>
            </w:r>
          </w:p>
        </w:tc>
        <w:tc>
          <w:tcPr>
            <w:tcW w:w="1280" w:type="dxa"/>
            <w:tcBorders>
              <w:top w:val="nil"/>
              <w:left w:val="nil"/>
              <w:bottom w:val="nil"/>
              <w:right w:val="nil"/>
            </w:tcBorders>
            <w:shd w:val="clear" w:color="auto" w:fill="auto"/>
            <w:vAlign w:val="center"/>
            <w:hideMark/>
          </w:tcPr>
          <w:p w14:paraId="5AAA9531" w14:textId="77777777" w:rsidR="00A27CB9" w:rsidRPr="00487834" w:rsidRDefault="00A27CB9" w:rsidP="00F36A29">
            <w:pPr>
              <w:pStyle w:val="NoSpacing"/>
            </w:pPr>
            <w:r w:rsidRPr="00487834">
              <w:t>0.0292** (0.012)</w:t>
            </w:r>
          </w:p>
        </w:tc>
        <w:tc>
          <w:tcPr>
            <w:tcW w:w="1280" w:type="dxa"/>
            <w:tcBorders>
              <w:top w:val="nil"/>
              <w:left w:val="nil"/>
              <w:bottom w:val="nil"/>
              <w:right w:val="nil"/>
            </w:tcBorders>
            <w:shd w:val="clear" w:color="auto" w:fill="auto"/>
            <w:vAlign w:val="center"/>
            <w:hideMark/>
          </w:tcPr>
          <w:p w14:paraId="5D2A52A3" w14:textId="77777777" w:rsidR="00A27CB9" w:rsidRPr="00487834" w:rsidRDefault="00A27CB9" w:rsidP="00F36A29">
            <w:pPr>
              <w:pStyle w:val="NoSpacing"/>
            </w:pPr>
            <w:r w:rsidRPr="00487834">
              <w:t>0.0336*** (0.001)</w:t>
            </w:r>
          </w:p>
        </w:tc>
        <w:tc>
          <w:tcPr>
            <w:tcW w:w="1300" w:type="dxa"/>
            <w:tcBorders>
              <w:top w:val="nil"/>
              <w:left w:val="nil"/>
              <w:bottom w:val="nil"/>
              <w:right w:val="nil"/>
            </w:tcBorders>
            <w:shd w:val="clear" w:color="auto" w:fill="auto"/>
            <w:vAlign w:val="center"/>
            <w:hideMark/>
          </w:tcPr>
          <w:p w14:paraId="3BB12F40" w14:textId="77777777" w:rsidR="00A27CB9" w:rsidRPr="00487834" w:rsidRDefault="00A27CB9" w:rsidP="00F36A29">
            <w:pPr>
              <w:pStyle w:val="NoSpacing"/>
            </w:pPr>
            <w:r w:rsidRPr="00487834">
              <w:t>0.0376*** (0.002)</w:t>
            </w:r>
          </w:p>
        </w:tc>
      </w:tr>
      <w:tr w:rsidR="00A27CB9" w:rsidRPr="00487834" w14:paraId="23E990DD" w14:textId="77777777" w:rsidTr="00A27CB9">
        <w:trPr>
          <w:trHeight w:val="580"/>
          <w:jc w:val="center"/>
        </w:trPr>
        <w:tc>
          <w:tcPr>
            <w:tcW w:w="2000" w:type="dxa"/>
            <w:tcBorders>
              <w:top w:val="nil"/>
              <w:left w:val="nil"/>
              <w:bottom w:val="nil"/>
              <w:right w:val="nil"/>
            </w:tcBorders>
            <w:shd w:val="clear" w:color="auto" w:fill="auto"/>
            <w:noWrap/>
            <w:vAlign w:val="center"/>
            <w:hideMark/>
          </w:tcPr>
          <w:p w14:paraId="05BCF8CF" w14:textId="77777777" w:rsidR="00A27CB9" w:rsidRPr="00487834" w:rsidRDefault="00A27CB9" w:rsidP="00F36A29">
            <w:pPr>
              <w:pStyle w:val="NoSpacing"/>
              <w:rPr>
                <w:i/>
                <w:iCs/>
              </w:rPr>
            </w:pPr>
            <w:r w:rsidRPr="00487834">
              <w:rPr>
                <w:i/>
                <w:iCs/>
              </w:rPr>
              <w:t>ESG</w:t>
            </w:r>
          </w:p>
        </w:tc>
        <w:tc>
          <w:tcPr>
            <w:tcW w:w="1280" w:type="dxa"/>
            <w:tcBorders>
              <w:top w:val="nil"/>
              <w:left w:val="nil"/>
              <w:bottom w:val="nil"/>
              <w:right w:val="nil"/>
            </w:tcBorders>
            <w:shd w:val="clear" w:color="auto" w:fill="auto"/>
            <w:vAlign w:val="center"/>
            <w:hideMark/>
          </w:tcPr>
          <w:p w14:paraId="3DA1C297" w14:textId="77777777" w:rsidR="00A27CB9" w:rsidRPr="00487834" w:rsidRDefault="00A27CB9" w:rsidP="00F36A29">
            <w:pPr>
              <w:pStyle w:val="NoSpacing"/>
            </w:pPr>
            <w:r w:rsidRPr="00487834">
              <w:t>-0.0046</w:t>
            </w:r>
            <w:proofErr w:type="gramStart"/>
            <w:r w:rsidRPr="00487834">
              <w:t>*  (</w:t>
            </w:r>
            <w:proofErr w:type="gramEnd"/>
            <w:r w:rsidRPr="00487834">
              <w:t>0.003)</w:t>
            </w:r>
          </w:p>
        </w:tc>
        <w:tc>
          <w:tcPr>
            <w:tcW w:w="1280" w:type="dxa"/>
            <w:tcBorders>
              <w:top w:val="nil"/>
              <w:left w:val="nil"/>
              <w:bottom w:val="nil"/>
              <w:right w:val="nil"/>
            </w:tcBorders>
            <w:shd w:val="clear" w:color="auto" w:fill="auto"/>
            <w:vAlign w:val="center"/>
            <w:hideMark/>
          </w:tcPr>
          <w:p w14:paraId="01B2E6D6" w14:textId="77777777" w:rsidR="00A27CB9" w:rsidRPr="00487834" w:rsidRDefault="00A27CB9" w:rsidP="00F36A29">
            <w:pPr>
              <w:pStyle w:val="NoSpacing"/>
            </w:pPr>
            <w:r w:rsidRPr="00487834">
              <w:t>-0.0036** (0.002)</w:t>
            </w:r>
          </w:p>
        </w:tc>
        <w:tc>
          <w:tcPr>
            <w:tcW w:w="1300" w:type="dxa"/>
            <w:tcBorders>
              <w:top w:val="nil"/>
              <w:left w:val="nil"/>
              <w:bottom w:val="nil"/>
              <w:right w:val="nil"/>
            </w:tcBorders>
            <w:shd w:val="clear" w:color="auto" w:fill="auto"/>
            <w:vAlign w:val="center"/>
            <w:hideMark/>
          </w:tcPr>
          <w:p w14:paraId="474E5A43" w14:textId="77777777" w:rsidR="00A27CB9" w:rsidRPr="00487834" w:rsidRDefault="00A27CB9" w:rsidP="00F36A29">
            <w:pPr>
              <w:pStyle w:val="NoSpacing"/>
            </w:pPr>
            <w:r w:rsidRPr="00487834">
              <w:t>0.006** (0.003)</w:t>
            </w:r>
          </w:p>
        </w:tc>
      </w:tr>
      <w:tr w:rsidR="00A27CB9" w:rsidRPr="00487834" w14:paraId="46AF7D84" w14:textId="77777777" w:rsidTr="00A27CB9">
        <w:trPr>
          <w:trHeight w:val="600"/>
          <w:jc w:val="center"/>
        </w:trPr>
        <w:tc>
          <w:tcPr>
            <w:tcW w:w="2000" w:type="dxa"/>
            <w:tcBorders>
              <w:top w:val="nil"/>
              <w:left w:val="nil"/>
              <w:bottom w:val="nil"/>
              <w:right w:val="nil"/>
            </w:tcBorders>
            <w:shd w:val="clear" w:color="auto" w:fill="auto"/>
            <w:noWrap/>
            <w:vAlign w:val="center"/>
            <w:hideMark/>
          </w:tcPr>
          <w:p w14:paraId="52673491" w14:textId="77777777" w:rsidR="00A27CB9" w:rsidRPr="00487834" w:rsidRDefault="00A27CB9" w:rsidP="00F36A29">
            <w:pPr>
              <w:pStyle w:val="NoSpacing"/>
              <w:rPr>
                <w:i/>
                <w:iCs/>
              </w:rPr>
            </w:pPr>
            <w:r w:rsidRPr="00487834">
              <w:rPr>
                <w:i/>
                <w:iCs/>
              </w:rPr>
              <w:t>MCAP</w:t>
            </w:r>
          </w:p>
        </w:tc>
        <w:tc>
          <w:tcPr>
            <w:tcW w:w="1280" w:type="dxa"/>
            <w:tcBorders>
              <w:top w:val="nil"/>
              <w:left w:val="nil"/>
              <w:bottom w:val="nil"/>
              <w:right w:val="nil"/>
            </w:tcBorders>
            <w:shd w:val="clear" w:color="auto" w:fill="auto"/>
            <w:vAlign w:val="center"/>
            <w:hideMark/>
          </w:tcPr>
          <w:p w14:paraId="5C58870D" w14:textId="77777777" w:rsidR="00A27CB9" w:rsidRPr="00487834" w:rsidRDefault="00A27CB9" w:rsidP="00F36A29">
            <w:pPr>
              <w:pStyle w:val="NoSpacing"/>
            </w:pPr>
            <w:r w:rsidRPr="00487834">
              <w:t>0.0034</w:t>
            </w:r>
            <w:proofErr w:type="gramStart"/>
            <w:r w:rsidRPr="00487834">
              <w:t xml:space="preserve">   (</w:t>
            </w:r>
            <w:proofErr w:type="gramEnd"/>
            <w:r w:rsidRPr="00487834">
              <w:t>0.004)</w:t>
            </w:r>
          </w:p>
        </w:tc>
        <w:tc>
          <w:tcPr>
            <w:tcW w:w="1280" w:type="dxa"/>
            <w:tcBorders>
              <w:top w:val="nil"/>
              <w:left w:val="nil"/>
              <w:bottom w:val="nil"/>
              <w:right w:val="nil"/>
            </w:tcBorders>
            <w:shd w:val="clear" w:color="auto" w:fill="auto"/>
            <w:vAlign w:val="center"/>
            <w:hideMark/>
          </w:tcPr>
          <w:p w14:paraId="4B41D889" w14:textId="77777777" w:rsidR="00A27CB9" w:rsidRPr="00487834" w:rsidRDefault="00A27CB9" w:rsidP="00F36A29">
            <w:pPr>
              <w:pStyle w:val="NoSpacing"/>
            </w:pPr>
            <w:r w:rsidRPr="00487834">
              <w:t>-0.0061* (0.003)</w:t>
            </w:r>
          </w:p>
        </w:tc>
        <w:tc>
          <w:tcPr>
            <w:tcW w:w="1300" w:type="dxa"/>
            <w:tcBorders>
              <w:top w:val="nil"/>
              <w:left w:val="nil"/>
              <w:bottom w:val="nil"/>
              <w:right w:val="nil"/>
            </w:tcBorders>
            <w:shd w:val="clear" w:color="auto" w:fill="auto"/>
            <w:vAlign w:val="center"/>
            <w:hideMark/>
          </w:tcPr>
          <w:p w14:paraId="381CDF4E" w14:textId="77777777" w:rsidR="00A27CB9" w:rsidRPr="00487834" w:rsidRDefault="00A27CB9" w:rsidP="00F36A29">
            <w:pPr>
              <w:pStyle w:val="NoSpacing"/>
            </w:pPr>
            <w:r w:rsidRPr="00487834">
              <w:t>-0.0191*** (0.004)</w:t>
            </w:r>
          </w:p>
        </w:tc>
      </w:tr>
      <w:tr w:rsidR="00A27CB9" w:rsidRPr="00487834" w14:paraId="7FA81437" w14:textId="77777777" w:rsidTr="00A27CB9">
        <w:trPr>
          <w:trHeight w:val="560"/>
          <w:jc w:val="center"/>
        </w:trPr>
        <w:tc>
          <w:tcPr>
            <w:tcW w:w="2000" w:type="dxa"/>
            <w:tcBorders>
              <w:top w:val="nil"/>
              <w:left w:val="nil"/>
              <w:bottom w:val="nil"/>
              <w:right w:val="nil"/>
            </w:tcBorders>
            <w:shd w:val="clear" w:color="auto" w:fill="auto"/>
            <w:noWrap/>
            <w:vAlign w:val="center"/>
            <w:hideMark/>
          </w:tcPr>
          <w:p w14:paraId="556F040C" w14:textId="77777777" w:rsidR="00A27CB9" w:rsidRPr="00487834" w:rsidRDefault="00A27CB9" w:rsidP="00F36A29">
            <w:pPr>
              <w:pStyle w:val="NoSpacing"/>
              <w:rPr>
                <w:i/>
                <w:iCs/>
              </w:rPr>
            </w:pPr>
            <w:r w:rsidRPr="00487834">
              <w:rPr>
                <w:i/>
                <w:iCs/>
              </w:rPr>
              <w:t>ICR</w:t>
            </w:r>
          </w:p>
        </w:tc>
        <w:tc>
          <w:tcPr>
            <w:tcW w:w="1280" w:type="dxa"/>
            <w:tcBorders>
              <w:top w:val="nil"/>
              <w:left w:val="nil"/>
              <w:bottom w:val="nil"/>
              <w:right w:val="nil"/>
            </w:tcBorders>
            <w:shd w:val="clear" w:color="auto" w:fill="auto"/>
            <w:vAlign w:val="center"/>
            <w:hideMark/>
          </w:tcPr>
          <w:p w14:paraId="1EFB2B0F" w14:textId="77777777" w:rsidR="00A27CB9" w:rsidRPr="00487834" w:rsidRDefault="00A27CB9" w:rsidP="00F36A29">
            <w:pPr>
              <w:pStyle w:val="NoSpacing"/>
            </w:pPr>
            <w:r w:rsidRPr="00487834">
              <w:t>-0.038**</w:t>
            </w:r>
            <w:proofErr w:type="gramStart"/>
            <w:r w:rsidRPr="00487834">
              <w:t xml:space="preserve">   (</w:t>
            </w:r>
            <w:proofErr w:type="gramEnd"/>
            <w:r w:rsidRPr="00487834">
              <w:t>0.018)</w:t>
            </w:r>
          </w:p>
        </w:tc>
        <w:tc>
          <w:tcPr>
            <w:tcW w:w="1280" w:type="dxa"/>
            <w:tcBorders>
              <w:top w:val="nil"/>
              <w:left w:val="nil"/>
              <w:bottom w:val="nil"/>
              <w:right w:val="nil"/>
            </w:tcBorders>
            <w:shd w:val="clear" w:color="auto" w:fill="auto"/>
            <w:vAlign w:val="center"/>
            <w:hideMark/>
          </w:tcPr>
          <w:p w14:paraId="24AFAB1A" w14:textId="77777777" w:rsidR="00A27CB9" w:rsidRPr="00487834" w:rsidRDefault="00A27CB9" w:rsidP="00F36A29">
            <w:pPr>
              <w:pStyle w:val="NoSpacing"/>
            </w:pPr>
            <w:r w:rsidRPr="00487834">
              <w:t xml:space="preserve">-0.0174 </w:t>
            </w:r>
            <w:proofErr w:type="gramStart"/>
            <w:r w:rsidRPr="00487834">
              <w:t xml:space="preserve">   (</w:t>
            </w:r>
            <w:proofErr w:type="gramEnd"/>
            <w:r w:rsidRPr="00487834">
              <w:t>0.0012)</w:t>
            </w:r>
          </w:p>
        </w:tc>
        <w:tc>
          <w:tcPr>
            <w:tcW w:w="1300" w:type="dxa"/>
            <w:tcBorders>
              <w:top w:val="nil"/>
              <w:left w:val="nil"/>
              <w:bottom w:val="nil"/>
              <w:right w:val="nil"/>
            </w:tcBorders>
            <w:shd w:val="clear" w:color="auto" w:fill="auto"/>
            <w:vAlign w:val="center"/>
            <w:hideMark/>
          </w:tcPr>
          <w:p w14:paraId="0243D752" w14:textId="77777777" w:rsidR="00A27CB9" w:rsidRPr="00487834" w:rsidRDefault="00A27CB9" w:rsidP="00F36A29">
            <w:pPr>
              <w:pStyle w:val="NoSpacing"/>
            </w:pPr>
            <w:r w:rsidRPr="00487834">
              <w:t>-0.</w:t>
            </w:r>
            <w:proofErr w:type="gramStart"/>
            <w:r w:rsidRPr="00487834">
              <w:t>0051  (</w:t>
            </w:r>
            <w:proofErr w:type="gramEnd"/>
            <w:r w:rsidRPr="00487834">
              <w:t>0.003)</w:t>
            </w:r>
          </w:p>
        </w:tc>
      </w:tr>
      <w:tr w:rsidR="00A27CB9" w:rsidRPr="00487834" w14:paraId="59F086F2" w14:textId="77777777" w:rsidTr="00A27CB9">
        <w:trPr>
          <w:trHeight w:val="580"/>
          <w:jc w:val="center"/>
        </w:trPr>
        <w:tc>
          <w:tcPr>
            <w:tcW w:w="2000" w:type="dxa"/>
            <w:tcBorders>
              <w:top w:val="nil"/>
              <w:left w:val="nil"/>
              <w:bottom w:val="nil"/>
              <w:right w:val="nil"/>
            </w:tcBorders>
            <w:shd w:val="clear" w:color="auto" w:fill="auto"/>
            <w:noWrap/>
            <w:vAlign w:val="center"/>
            <w:hideMark/>
          </w:tcPr>
          <w:p w14:paraId="6E1C815C" w14:textId="77777777" w:rsidR="00A27CB9" w:rsidRPr="00487834" w:rsidRDefault="00A27CB9" w:rsidP="00F36A29">
            <w:pPr>
              <w:pStyle w:val="NoSpacing"/>
              <w:rPr>
                <w:i/>
                <w:iCs/>
              </w:rPr>
            </w:pPr>
            <w:r w:rsidRPr="00487834">
              <w:rPr>
                <w:i/>
                <w:iCs/>
              </w:rPr>
              <w:t>ROA</w:t>
            </w:r>
          </w:p>
        </w:tc>
        <w:tc>
          <w:tcPr>
            <w:tcW w:w="1280" w:type="dxa"/>
            <w:tcBorders>
              <w:top w:val="nil"/>
              <w:left w:val="nil"/>
              <w:bottom w:val="nil"/>
              <w:right w:val="nil"/>
            </w:tcBorders>
            <w:shd w:val="clear" w:color="auto" w:fill="auto"/>
            <w:vAlign w:val="center"/>
            <w:hideMark/>
          </w:tcPr>
          <w:p w14:paraId="569B8F18" w14:textId="77777777" w:rsidR="00A27CB9" w:rsidRPr="00487834" w:rsidRDefault="00A27CB9" w:rsidP="00F36A29">
            <w:pPr>
              <w:pStyle w:val="NoSpacing"/>
            </w:pPr>
            <w:r w:rsidRPr="00487834">
              <w:t>-0.0003</w:t>
            </w:r>
            <w:proofErr w:type="gramStart"/>
            <w:r w:rsidRPr="00487834">
              <w:t xml:space="preserve">   (</w:t>
            </w:r>
            <w:proofErr w:type="gramEnd"/>
            <w:r w:rsidRPr="00487834">
              <w:t>0.012)</w:t>
            </w:r>
          </w:p>
        </w:tc>
        <w:tc>
          <w:tcPr>
            <w:tcW w:w="1280" w:type="dxa"/>
            <w:tcBorders>
              <w:top w:val="nil"/>
              <w:left w:val="nil"/>
              <w:bottom w:val="nil"/>
              <w:right w:val="nil"/>
            </w:tcBorders>
            <w:shd w:val="clear" w:color="auto" w:fill="auto"/>
            <w:vAlign w:val="center"/>
            <w:hideMark/>
          </w:tcPr>
          <w:p w14:paraId="28CD827B" w14:textId="77777777" w:rsidR="00A27CB9" w:rsidRPr="00487834" w:rsidRDefault="00A27CB9" w:rsidP="00F36A29">
            <w:pPr>
              <w:pStyle w:val="NoSpacing"/>
            </w:pPr>
            <w:r w:rsidRPr="00487834">
              <w:t>-0.0026*** (0.001)</w:t>
            </w:r>
          </w:p>
        </w:tc>
        <w:tc>
          <w:tcPr>
            <w:tcW w:w="1300" w:type="dxa"/>
            <w:tcBorders>
              <w:top w:val="nil"/>
              <w:left w:val="nil"/>
              <w:bottom w:val="nil"/>
              <w:right w:val="nil"/>
            </w:tcBorders>
            <w:shd w:val="clear" w:color="auto" w:fill="auto"/>
            <w:vAlign w:val="center"/>
            <w:hideMark/>
          </w:tcPr>
          <w:p w14:paraId="6F137EB3" w14:textId="77777777" w:rsidR="00A27CB9" w:rsidRPr="00487834" w:rsidRDefault="00A27CB9" w:rsidP="00F36A29">
            <w:pPr>
              <w:pStyle w:val="NoSpacing"/>
            </w:pPr>
            <w:r w:rsidRPr="00487834">
              <w:t xml:space="preserve">-0.0007 </w:t>
            </w:r>
            <w:proofErr w:type="gramStart"/>
            <w:r w:rsidRPr="00487834">
              <w:t xml:space="preserve">   (</w:t>
            </w:r>
            <w:proofErr w:type="gramEnd"/>
            <w:r w:rsidRPr="00487834">
              <w:t>0.002)</w:t>
            </w:r>
          </w:p>
        </w:tc>
      </w:tr>
      <w:tr w:rsidR="00A27CB9" w:rsidRPr="00487834" w14:paraId="77E716B1" w14:textId="77777777" w:rsidTr="00A27CB9">
        <w:trPr>
          <w:trHeight w:val="580"/>
          <w:jc w:val="center"/>
        </w:trPr>
        <w:tc>
          <w:tcPr>
            <w:tcW w:w="2000" w:type="dxa"/>
            <w:tcBorders>
              <w:top w:val="nil"/>
              <w:left w:val="nil"/>
              <w:bottom w:val="nil"/>
              <w:right w:val="nil"/>
            </w:tcBorders>
            <w:shd w:val="clear" w:color="auto" w:fill="auto"/>
            <w:noWrap/>
            <w:vAlign w:val="center"/>
            <w:hideMark/>
          </w:tcPr>
          <w:p w14:paraId="7B75DDBC" w14:textId="77777777" w:rsidR="00A27CB9" w:rsidRPr="00487834" w:rsidRDefault="00A27CB9" w:rsidP="00F36A29">
            <w:pPr>
              <w:pStyle w:val="NoSpacing"/>
              <w:rPr>
                <w:i/>
                <w:iCs/>
              </w:rPr>
            </w:pPr>
            <w:r w:rsidRPr="00487834">
              <w:rPr>
                <w:i/>
                <w:iCs/>
              </w:rPr>
              <w:t>Current</w:t>
            </w:r>
          </w:p>
        </w:tc>
        <w:tc>
          <w:tcPr>
            <w:tcW w:w="1280" w:type="dxa"/>
            <w:tcBorders>
              <w:top w:val="nil"/>
              <w:left w:val="nil"/>
              <w:bottom w:val="nil"/>
              <w:right w:val="nil"/>
            </w:tcBorders>
            <w:shd w:val="clear" w:color="auto" w:fill="auto"/>
            <w:vAlign w:val="center"/>
            <w:hideMark/>
          </w:tcPr>
          <w:p w14:paraId="73C85DBE" w14:textId="77777777" w:rsidR="00A27CB9" w:rsidRPr="00487834" w:rsidRDefault="00A27CB9" w:rsidP="00F36A29">
            <w:pPr>
              <w:pStyle w:val="NoSpacing"/>
            </w:pPr>
            <w:r w:rsidRPr="00487834">
              <w:t>-0.083*</w:t>
            </w:r>
            <w:proofErr w:type="gramStart"/>
            <w:r w:rsidRPr="00487834">
              <w:t>*  (</w:t>
            </w:r>
            <w:proofErr w:type="gramEnd"/>
            <w:r w:rsidRPr="00487834">
              <w:t>0.039)</w:t>
            </w:r>
          </w:p>
        </w:tc>
        <w:tc>
          <w:tcPr>
            <w:tcW w:w="1280" w:type="dxa"/>
            <w:tcBorders>
              <w:top w:val="nil"/>
              <w:left w:val="nil"/>
              <w:bottom w:val="nil"/>
              <w:right w:val="nil"/>
            </w:tcBorders>
            <w:shd w:val="clear" w:color="auto" w:fill="auto"/>
            <w:vAlign w:val="center"/>
            <w:hideMark/>
          </w:tcPr>
          <w:p w14:paraId="68C14A2A" w14:textId="77777777" w:rsidR="00A27CB9" w:rsidRPr="00487834" w:rsidRDefault="00A27CB9" w:rsidP="00F36A29">
            <w:pPr>
              <w:pStyle w:val="NoSpacing"/>
            </w:pPr>
            <w:r w:rsidRPr="00487834">
              <w:t xml:space="preserve">-0.0013 </w:t>
            </w:r>
            <w:proofErr w:type="gramStart"/>
            <w:r w:rsidRPr="00487834">
              <w:t xml:space="preserve">   (</w:t>
            </w:r>
            <w:proofErr w:type="gramEnd"/>
            <w:r w:rsidRPr="00487834">
              <w:t>0.004)</w:t>
            </w:r>
          </w:p>
        </w:tc>
        <w:tc>
          <w:tcPr>
            <w:tcW w:w="1300" w:type="dxa"/>
            <w:tcBorders>
              <w:top w:val="nil"/>
              <w:left w:val="nil"/>
              <w:bottom w:val="nil"/>
              <w:right w:val="nil"/>
            </w:tcBorders>
            <w:shd w:val="clear" w:color="auto" w:fill="auto"/>
            <w:vAlign w:val="center"/>
            <w:hideMark/>
          </w:tcPr>
          <w:p w14:paraId="5A472F1B" w14:textId="77777777" w:rsidR="00A27CB9" w:rsidRPr="00487834" w:rsidRDefault="00A27CB9" w:rsidP="00F36A29">
            <w:pPr>
              <w:pStyle w:val="NoSpacing"/>
            </w:pPr>
            <w:r w:rsidRPr="00487834">
              <w:t xml:space="preserve">-0.005**    </w:t>
            </w:r>
            <w:proofErr w:type="gramStart"/>
            <w:r w:rsidRPr="00487834">
              <w:t xml:space="preserve">   (</w:t>
            </w:r>
            <w:proofErr w:type="gramEnd"/>
            <w:r w:rsidRPr="00487834">
              <w:t>0.009)</w:t>
            </w:r>
          </w:p>
        </w:tc>
      </w:tr>
      <w:tr w:rsidR="00A27CB9" w:rsidRPr="00487834" w14:paraId="7D627621" w14:textId="77777777" w:rsidTr="00A27CB9">
        <w:trPr>
          <w:trHeight w:val="560"/>
          <w:jc w:val="center"/>
        </w:trPr>
        <w:tc>
          <w:tcPr>
            <w:tcW w:w="2000" w:type="dxa"/>
            <w:tcBorders>
              <w:top w:val="nil"/>
              <w:left w:val="nil"/>
              <w:bottom w:val="nil"/>
              <w:right w:val="nil"/>
            </w:tcBorders>
            <w:shd w:val="clear" w:color="auto" w:fill="auto"/>
            <w:noWrap/>
            <w:vAlign w:val="center"/>
            <w:hideMark/>
          </w:tcPr>
          <w:p w14:paraId="775E761D" w14:textId="77777777" w:rsidR="00A27CB9" w:rsidRPr="00487834" w:rsidRDefault="00A27CB9" w:rsidP="00F36A29">
            <w:pPr>
              <w:pStyle w:val="NoSpacing"/>
              <w:rPr>
                <w:i/>
                <w:iCs/>
              </w:rPr>
            </w:pPr>
            <w:r w:rsidRPr="00487834">
              <w:rPr>
                <w:i/>
                <w:iCs/>
              </w:rPr>
              <w:t>LEV</w:t>
            </w:r>
          </w:p>
        </w:tc>
        <w:tc>
          <w:tcPr>
            <w:tcW w:w="1280" w:type="dxa"/>
            <w:tcBorders>
              <w:top w:val="nil"/>
              <w:left w:val="nil"/>
              <w:bottom w:val="nil"/>
              <w:right w:val="nil"/>
            </w:tcBorders>
            <w:shd w:val="clear" w:color="auto" w:fill="auto"/>
            <w:vAlign w:val="center"/>
            <w:hideMark/>
          </w:tcPr>
          <w:p w14:paraId="7DE63370" w14:textId="77777777" w:rsidR="00A27CB9" w:rsidRPr="00487834" w:rsidRDefault="00A27CB9" w:rsidP="00F36A29">
            <w:pPr>
              <w:pStyle w:val="NoSpacing"/>
            </w:pPr>
            <w:r w:rsidRPr="00487834">
              <w:t>0.006** (0.002)</w:t>
            </w:r>
          </w:p>
        </w:tc>
        <w:tc>
          <w:tcPr>
            <w:tcW w:w="1280" w:type="dxa"/>
            <w:tcBorders>
              <w:top w:val="nil"/>
              <w:left w:val="nil"/>
              <w:bottom w:val="nil"/>
              <w:right w:val="nil"/>
            </w:tcBorders>
            <w:shd w:val="clear" w:color="auto" w:fill="auto"/>
            <w:vAlign w:val="center"/>
            <w:hideMark/>
          </w:tcPr>
          <w:p w14:paraId="0350481A" w14:textId="77777777" w:rsidR="00A27CB9" w:rsidRPr="00487834" w:rsidRDefault="00A27CB9" w:rsidP="00F36A29">
            <w:pPr>
              <w:pStyle w:val="NoSpacing"/>
            </w:pPr>
            <w:r w:rsidRPr="00487834">
              <w:t xml:space="preserve">-0.008 </w:t>
            </w:r>
            <w:proofErr w:type="gramStart"/>
            <w:r w:rsidRPr="00487834">
              <w:t xml:space="preserve">   (</w:t>
            </w:r>
            <w:proofErr w:type="gramEnd"/>
            <w:r w:rsidRPr="00487834">
              <w:t>0.002)</w:t>
            </w:r>
          </w:p>
        </w:tc>
        <w:tc>
          <w:tcPr>
            <w:tcW w:w="1300" w:type="dxa"/>
            <w:tcBorders>
              <w:top w:val="nil"/>
              <w:left w:val="nil"/>
              <w:bottom w:val="nil"/>
              <w:right w:val="nil"/>
            </w:tcBorders>
            <w:shd w:val="clear" w:color="auto" w:fill="auto"/>
            <w:vAlign w:val="center"/>
            <w:hideMark/>
          </w:tcPr>
          <w:p w14:paraId="39EABD07" w14:textId="77777777" w:rsidR="00A27CB9" w:rsidRPr="00487834" w:rsidRDefault="00A27CB9" w:rsidP="00F36A29">
            <w:pPr>
              <w:pStyle w:val="NoSpacing"/>
            </w:pPr>
            <w:r w:rsidRPr="00487834">
              <w:t xml:space="preserve">0.0062***    </w:t>
            </w:r>
            <w:proofErr w:type="gramStart"/>
            <w:r w:rsidRPr="00487834">
              <w:t xml:space="preserve">   (</w:t>
            </w:r>
            <w:proofErr w:type="gramEnd"/>
            <w:r w:rsidRPr="00487834">
              <w:t>0.002)</w:t>
            </w:r>
          </w:p>
        </w:tc>
      </w:tr>
      <w:tr w:rsidR="00A27CB9" w:rsidRPr="00487834" w14:paraId="4DC6DD9E" w14:textId="77777777" w:rsidTr="00A27CB9">
        <w:trPr>
          <w:trHeight w:val="560"/>
          <w:jc w:val="center"/>
        </w:trPr>
        <w:tc>
          <w:tcPr>
            <w:tcW w:w="2000" w:type="dxa"/>
            <w:tcBorders>
              <w:top w:val="nil"/>
              <w:left w:val="nil"/>
              <w:bottom w:val="nil"/>
              <w:right w:val="nil"/>
            </w:tcBorders>
            <w:shd w:val="clear" w:color="auto" w:fill="auto"/>
            <w:noWrap/>
            <w:vAlign w:val="center"/>
            <w:hideMark/>
          </w:tcPr>
          <w:p w14:paraId="455AD6DC" w14:textId="77777777" w:rsidR="00A27CB9" w:rsidRPr="00487834" w:rsidRDefault="00A27CB9" w:rsidP="00F36A29">
            <w:pPr>
              <w:pStyle w:val="NoSpacing"/>
              <w:rPr>
                <w:i/>
                <w:iCs/>
              </w:rPr>
            </w:pPr>
            <w:r w:rsidRPr="00487834">
              <w:rPr>
                <w:i/>
                <w:iCs/>
              </w:rPr>
              <w:t>ND/EBITDA</w:t>
            </w:r>
          </w:p>
        </w:tc>
        <w:tc>
          <w:tcPr>
            <w:tcW w:w="1280" w:type="dxa"/>
            <w:tcBorders>
              <w:top w:val="nil"/>
              <w:left w:val="nil"/>
              <w:bottom w:val="nil"/>
              <w:right w:val="nil"/>
            </w:tcBorders>
            <w:shd w:val="clear" w:color="auto" w:fill="auto"/>
            <w:vAlign w:val="center"/>
            <w:hideMark/>
          </w:tcPr>
          <w:p w14:paraId="48F18DF6" w14:textId="77777777" w:rsidR="00A27CB9" w:rsidRPr="00487834" w:rsidRDefault="00A27CB9" w:rsidP="00F36A29">
            <w:pPr>
              <w:pStyle w:val="NoSpacing"/>
            </w:pPr>
            <w:r w:rsidRPr="00487834">
              <w:t>-0.2325</w:t>
            </w:r>
            <w:proofErr w:type="gramStart"/>
            <w:r w:rsidRPr="00487834">
              <w:t xml:space="preserve">   (</w:t>
            </w:r>
            <w:proofErr w:type="gramEnd"/>
            <w:r w:rsidRPr="00487834">
              <w:t>0.286)</w:t>
            </w:r>
          </w:p>
        </w:tc>
        <w:tc>
          <w:tcPr>
            <w:tcW w:w="1280" w:type="dxa"/>
            <w:tcBorders>
              <w:top w:val="nil"/>
              <w:left w:val="nil"/>
              <w:bottom w:val="nil"/>
              <w:right w:val="nil"/>
            </w:tcBorders>
            <w:shd w:val="clear" w:color="auto" w:fill="auto"/>
            <w:vAlign w:val="center"/>
            <w:hideMark/>
          </w:tcPr>
          <w:p w14:paraId="75E0009D" w14:textId="77777777" w:rsidR="00A27CB9" w:rsidRPr="00487834" w:rsidRDefault="00A27CB9" w:rsidP="00F36A29">
            <w:pPr>
              <w:pStyle w:val="NoSpacing"/>
            </w:pPr>
            <w:r w:rsidRPr="00487834">
              <w:t>-0.001**.  (0.0004)</w:t>
            </w:r>
          </w:p>
        </w:tc>
        <w:tc>
          <w:tcPr>
            <w:tcW w:w="1300" w:type="dxa"/>
            <w:tcBorders>
              <w:top w:val="nil"/>
              <w:left w:val="nil"/>
              <w:bottom w:val="nil"/>
              <w:right w:val="nil"/>
            </w:tcBorders>
            <w:shd w:val="clear" w:color="auto" w:fill="auto"/>
            <w:vAlign w:val="center"/>
            <w:hideMark/>
          </w:tcPr>
          <w:p w14:paraId="2D84769B" w14:textId="77777777" w:rsidR="00A27CB9" w:rsidRPr="00487834" w:rsidRDefault="00A27CB9" w:rsidP="00F36A29">
            <w:pPr>
              <w:pStyle w:val="NoSpacing"/>
            </w:pPr>
            <w:r w:rsidRPr="00487834">
              <w:t xml:space="preserve">0.0103   </w:t>
            </w:r>
            <w:proofErr w:type="gramStart"/>
            <w:r w:rsidRPr="00487834">
              <w:t xml:space="preserve">   (</w:t>
            </w:r>
            <w:proofErr w:type="gramEnd"/>
            <w:r w:rsidRPr="00487834">
              <w:t>0.014)</w:t>
            </w:r>
          </w:p>
        </w:tc>
      </w:tr>
      <w:tr w:rsidR="00A27CB9" w:rsidRPr="00487834" w14:paraId="36BE6DD2" w14:textId="77777777" w:rsidTr="00A27CB9">
        <w:trPr>
          <w:trHeight w:val="560"/>
          <w:jc w:val="center"/>
        </w:trPr>
        <w:tc>
          <w:tcPr>
            <w:tcW w:w="2000" w:type="dxa"/>
            <w:tcBorders>
              <w:top w:val="nil"/>
              <w:left w:val="nil"/>
              <w:bottom w:val="single" w:sz="4" w:space="0" w:color="auto"/>
              <w:right w:val="nil"/>
            </w:tcBorders>
            <w:shd w:val="clear" w:color="auto" w:fill="auto"/>
            <w:noWrap/>
            <w:vAlign w:val="center"/>
            <w:hideMark/>
          </w:tcPr>
          <w:p w14:paraId="6130D0E9" w14:textId="77777777" w:rsidR="00A27CB9" w:rsidRPr="00487834" w:rsidRDefault="00A27CB9" w:rsidP="00F36A29">
            <w:pPr>
              <w:pStyle w:val="NoSpacing"/>
              <w:rPr>
                <w:i/>
                <w:iCs/>
              </w:rPr>
            </w:pPr>
            <w:r w:rsidRPr="00487834">
              <w:rPr>
                <w:i/>
                <w:iCs/>
              </w:rPr>
              <w:t>TLPA</w:t>
            </w:r>
          </w:p>
        </w:tc>
        <w:tc>
          <w:tcPr>
            <w:tcW w:w="1280" w:type="dxa"/>
            <w:tcBorders>
              <w:top w:val="nil"/>
              <w:left w:val="nil"/>
              <w:bottom w:val="single" w:sz="4" w:space="0" w:color="auto"/>
              <w:right w:val="nil"/>
            </w:tcBorders>
            <w:shd w:val="clear" w:color="auto" w:fill="auto"/>
            <w:vAlign w:val="center"/>
            <w:hideMark/>
          </w:tcPr>
          <w:p w14:paraId="28CB64AB" w14:textId="77777777" w:rsidR="00A27CB9" w:rsidRPr="00487834" w:rsidRDefault="00A27CB9" w:rsidP="00F36A29">
            <w:pPr>
              <w:pStyle w:val="NoSpacing"/>
            </w:pPr>
            <w:r w:rsidRPr="00487834">
              <w:t>-0.0034</w:t>
            </w:r>
            <w:proofErr w:type="gramStart"/>
            <w:r w:rsidRPr="00487834">
              <w:t xml:space="preserve">   (</w:t>
            </w:r>
            <w:proofErr w:type="gramEnd"/>
            <w:r w:rsidRPr="00487834">
              <w:t>0.003)</w:t>
            </w:r>
          </w:p>
        </w:tc>
        <w:tc>
          <w:tcPr>
            <w:tcW w:w="1280" w:type="dxa"/>
            <w:tcBorders>
              <w:top w:val="nil"/>
              <w:left w:val="nil"/>
              <w:bottom w:val="single" w:sz="4" w:space="0" w:color="auto"/>
              <w:right w:val="nil"/>
            </w:tcBorders>
            <w:shd w:val="clear" w:color="auto" w:fill="auto"/>
            <w:vAlign w:val="center"/>
            <w:hideMark/>
          </w:tcPr>
          <w:p w14:paraId="1DE1CEC9" w14:textId="77777777" w:rsidR="00A27CB9" w:rsidRPr="00487834" w:rsidRDefault="00A27CB9" w:rsidP="00F36A29">
            <w:pPr>
              <w:pStyle w:val="NoSpacing"/>
            </w:pPr>
            <w:r w:rsidRPr="00487834">
              <w:t>-0.</w:t>
            </w:r>
            <w:proofErr w:type="gramStart"/>
            <w:r w:rsidRPr="00487834">
              <w:t>001  (</w:t>
            </w:r>
            <w:proofErr w:type="gramEnd"/>
            <w:r w:rsidRPr="00487834">
              <w:t>0.002)</w:t>
            </w:r>
          </w:p>
        </w:tc>
        <w:tc>
          <w:tcPr>
            <w:tcW w:w="1300" w:type="dxa"/>
            <w:tcBorders>
              <w:top w:val="nil"/>
              <w:left w:val="nil"/>
              <w:bottom w:val="single" w:sz="4" w:space="0" w:color="auto"/>
              <w:right w:val="nil"/>
            </w:tcBorders>
            <w:shd w:val="clear" w:color="auto" w:fill="auto"/>
            <w:vAlign w:val="center"/>
            <w:hideMark/>
          </w:tcPr>
          <w:p w14:paraId="7AC6C69D" w14:textId="77777777" w:rsidR="00A27CB9" w:rsidRPr="00487834" w:rsidRDefault="00A27CB9" w:rsidP="00F36A29">
            <w:pPr>
              <w:pStyle w:val="NoSpacing"/>
            </w:pPr>
            <w:r w:rsidRPr="00487834">
              <w:t xml:space="preserve">0.0111****   </w:t>
            </w:r>
            <w:proofErr w:type="gramStart"/>
            <w:r w:rsidRPr="00487834">
              <w:t xml:space="preserve">   (</w:t>
            </w:r>
            <w:proofErr w:type="gramEnd"/>
            <w:r w:rsidRPr="00487834">
              <w:t>0.003)</w:t>
            </w:r>
          </w:p>
        </w:tc>
      </w:tr>
    </w:tbl>
    <w:p w14:paraId="4287E3A3" w14:textId="77777777" w:rsidR="00D63187" w:rsidRPr="00487834" w:rsidRDefault="00050324" w:rsidP="003128F6">
      <w:pPr>
        <w:autoSpaceDE w:val="0"/>
        <w:autoSpaceDN w:val="0"/>
        <w:adjustRightInd w:val="0"/>
        <w:spacing w:line="300" w:lineRule="auto"/>
        <w:rPr>
          <w:rFonts w:eastAsiaTheme="minorHAnsi"/>
          <w:lang w:val="en-US" w:eastAsia="en-US"/>
        </w:rPr>
      </w:pPr>
      <w:r>
        <w:rPr>
          <w:rFonts w:eastAsiaTheme="minorHAnsi"/>
          <w:noProof/>
          <w:lang w:val="en-US" w:eastAsia="en-US"/>
        </w:rPr>
        <w:pict w14:anchorId="2ED5E8D5">
          <v:shape id="_x0000_s1030" type="#_x0000_t202" alt="" style="position:absolute;left:0;text-align:left;margin-left:13.2pt;margin-top:14.75pt;width:424.5pt;height:41.25pt;z-index:251671552;visibility:visible;mso-wrap-style:square;mso-wrap-edited:f;mso-width-percent:0;mso-height-percent:0;mso-position-horizontal-relative:text;mso-position-vertical-relative:text;mso-width-percent:0;mso-height-percent:0;mso-width-relative:margin;mso-height-relative:margin;v-text-anchor:top" fillcolor="white [3201]">
            <v:textbox>
              <w:txbxContent>
                <w:p w14:paraId="42A0E3C6" w14:textId="77777777" w:rsidR="00F36A29" w:rsidRPr="00E5055A" w:rsidRDefault="00F36A29" w:rsidP="004F4DDE">
                  <w:pPr>
                    <w:spacing w:before="240"/>
                    <w:jc w:val="center"/>
                    <w:rPr>
                      <w:sz w:val="20"/>
                      <w:szCs w:val="20"/>
                      <w:lang w:val="en-US"/>
                    </w:rPr>
                  </w:pPr>
                  <w:r w:rsidRPr="00E5055A">
                    <w:rPr>
                      <w:sz w:val="20"/>
                      <w:szCs w:val="20"/>
                      <w:lang w:val="en-US"/>
                    </w:rPr>
                    <w:t>*** - significant at a 1% level, ** - significant at a 5% level, * - significant at a 10% level</w:t>
                  </w:r>
                </w:p>
              </w:txbxContent>
            </v:textbox>
          </v:shape>
        </w:pict>
      </w:r>
    </w:p>
    <w:p w14:paraId="7234AF97" w14:textId="77777777" w:rsidR="00B1657C" w:rsidRPr="00487834" w:rsidRDefault="00B1657C" w:rsidP="003128F6">
      <w:pPr>
        <w:autoSpaceDE w:val="0"/>
        <w:autoSpaceDN w:val="0"/>
        <w:adjustRightInd w:val="0"/>
        <w:spacing w:line="300" w:lineRule="auto"/>
        <w:rPr>
          <w:rFonts w:eastAsiaTheme="minorHAnsi"/>
          <w:lang w:val="en-US" w:eastAsia="en-US"/>
        </w:rPr>
      </w:pPr>
    </w:p>
    <w:p w14:paraId="6A4129B7" w14:textId="77777777" w:rsidR="00D63187" w:rsidRPr="00487834" w:rsidRDefault="00D63187" w:rsidP="003128F6">
      <w:pPr>
        <w:autoSpaceDE w:val="0"/>
        <w:autoSpaceDN w:val="0"/>
        <w:adjustRightInd w:val="0"/>
        <w:spacing w:line="300" w:lineRule="auto"/>
        <w:rPr>
          <w:rFonts w:eastAsiaTheme="minorHAnsi"/>
          <w:lang w:val="en-US" w:eastAsia="en-US"/>
        </w:rPr>
      </w:pPr>
    </w:p>
    <w:p w14:paraId="60EA470B" w14:textId="77777777" w:rsidR="004015E0" w:rsidRPr="00487834" w:rsidRDefault="004015E0" w:rsidP="003128F6">
      <w:pPr>
        <w:autoSpaceDE w:val="0"/>
        <w:autoSpaceDN w:val="0"/>
        <w:adjustRightInd w:val="0"/>
        <w:spacing w:line="300" w:lineRule="auto"/>
        <w:rPr>
          <w:rFonts w:eastAsiaTheme="minorHAnsi"/>
          <w:lang w:val="en-US" w:eastAsia="en-US"/>
        </w:rPr>
      </w:pPr>
    </w:p>
    <w:p w14:paraId="16B44A9D" w14:textId="77777777" w:rsidR="00632AC0" w:rsidRPr="00487834" w:rsidRDefault="00632AC0" w:rsidP="003128F6">
      <w:pPr>
        <w:autoSpaceDE w:val="0"/>
        <w:autoSpaceDN w:val="0"/>
        <w:adjustRightInd w:val="0"/>
        <w:spacing w:line="300" w:lineRule="auto"/>
        <w:rPr>
          <w:rFonts w:eastAsiaTheme="minorHAnsi"/>
          <w:lang w:val="en-US" w:eastAsia="en-US"/>
        </w:rPr>
      </w:pPr>
    </w:p>
    <w:tbl>
      <w:tblPr>
        <w:tblW w:w="5860" w:type="dxa"/>
        <w:jc w:val="center"/>
        <w:tblLook w:val="04A0" w:firstRow="1" w:lastRow="0" w:firstColumn="1" w:lastColumn="0" w:noHBand="0" w:noVBand="1"/>
      </w:tblPr>
      <w:tblGrid>
        <w:gridCol w:w="2127"/>
        <w:gridCol w:w="1153"/>
        <w:gridCol w:w="1280"/>
        <w:gridCol w:w="1300"/>
      </w:tblGrid>
      <w:tr w:rsidR="00D418C9" w:rsidRPr="00487834" w14:paraId="237E7C46" w14:textId="77777777" w:rsidTr="00D418C9">
        <w:trPr>
          <w:trHeight w:val="580"/>
          <w:jc w:val="center"/>
        </w:trPr>
        <w:tc>
          <w:tcPr>
            <w:tcW w:w="2127" w:type="dxa"/>
            <w:tcBorders>
              <w:top w:val="single" w:sz="4" w:space="0" w:color="auto"/>
              <w:left w:val="nil"/>
              <w:bottom w:val="nil"/>
              <w:right w:val="nil"/>
            </w:tcBorders>
            <w:shd w:val="clear" w:color="auto" w:fill="auto"/>
            <w:noWrap/>
            <w:vAlign w:val="center"/>
            <w:hideMark/>
          </w:tcPr>
          <w:p w14:paraId="1D9F25CE" w14:textId="77777777" w:rsidR="00D418C9" w:rsidRPr="00487834" w:rsidRDefault="00D418C9" w:rsidP="00BA7F83">
            <w:pPr>
              <w:pStyle w:val="NoSpacing"/>
              <w:jc w:val="left"/>
            </w:pPr>
            <w:r w:rsidRPr="00487834">
              <w:t xml:space="preserve">Type </w:t>
            </w:r>
            <w:proofErr w:type="spellStart"/>
            <w:r w:rsidRPr="00487834">
              <w:t>of</w:t>
            </w:r>
            <w:proofErr w:type="spellEnd"/>
            <w:r w:rsidRPr="00487834">
              <w:t xml:space="preserve"> </w:t>
            </w:r>
            <w:proofErr w:type="spellStart"/>
            <w:r w:rsidRPr="00487834">
              <w:t>model</w:t>
            </w:r>
            <w:proofErr w:type="spellEnd"/>
          </w:p>
        </w:tc>
        <w:tc>
          <w:tcPr>
            <w:tcW w:w="1153" w:type="dxa"/>
            <w:tcBorders>
              <w:top w:val="single" w:sz="4" w:space="0" w:color="auto"/>
              <w:left w:val="nil"/>
              <w:bottom w:val="nil"/>
              <w:right w:val="nil"/>
            </w:tcBorders>
            <w:shd w:val="clear" w:color="auto" w:fill="auto"/>
            <w:vAlign w:val="center"/>
            <w:hideMark/>
          </w:tcPr>
          <w:p w14:paraId="7D7A0F39" w14:textId="77777777" w:rsidR="00D418C9" w:rsidRPr="00487834" w:rsidRDefault="00D418C9" w:rsidP="00BA7F83">
            <w:pPr>
              <w:pStyle w:val="NoSpacing"/>
            </w:pPr>
            <w:proofErr w:type="spellStart"/>
            <w:r w:rsidRPr="00487834">
              <w:t>Random</w:t>
            </w:r>
            <w:proofErr w:type="spellEnd"/>
          </w:p>
        </w:tc>
        <w:tc>
          <w:tcPr>
            <w:tcW w:w="1280" w:type="dxa"/>
            <w:tcBorders>
              <w:top w:val="single" w:sz="4" w:space="0" w:color="auto"/>
              <w:left w:val="nil"/>
              <w:bottom w:val="nil"/>
              <w:right w:val="nil"/>
            </w:tcBorders>
            <w:shd w:val="clear" w:color="auto" w:fill="auto"/>
            <w:vAlign w:val="center"/>
            <w:hideMark/>
          </w:tcPr>
          <w:p w14:paraId="4EA6F12C" w14:textId="77777777" w:rsidR="00D418C9" w:rsidRPr="00487834" w:rsidRDefault="00D418C9" w:rsidP="00BA7F83">
            <w:pPr>
              <w:pStyle w:val="NoSpacing"/>
            </w:pPr>
            <w:proofErr w:type="spellStart"/>
            <w:r w:rsidRPr="00487834">
              <w:t>Fixed</w:t>
            </w:r>
            <w:proofErr w:type="spellEnd"/>
          </w:p>
        </w:tc>
        <w:tc>
          <w:tcPr>
            <w:tcW w:w="1300" w:type="dxa"/>
            <w:tcBorders>
              <w:top w:val="single" w:sz="4" w:space="0" w:color="auto"/>
              <w:left w:val="nil"/>
              <w:bottom w:val="nil"/>
              <w:right w:val="nil"/>
            </w:tcBorders>
            <w:shd w:val="clear" w:color="auto" w:fill="auto"/>
            <w:vAlign w:val="center"/>
            <w:hideMark/>
          </w:tcPr>
          <w:p w14:paraId="757EFB60" w14:textId="77777777" w:rsidR="00D418C9" w:rsidRPr="00487834" w:rsidRDefault="00D418C9" w:rsidP="00BA7F83">
            <w:pPr>
              <w:pStyle w:val="NoSpacing"/>
            </w:pPr>
            <w:proofErr w:type="spellStart"/>
            <w:r w:rsidRPr="00487834">
              <w:t>Fixed</w:t>
            </w:r>
            <w:proofErr w:type="spellEnd"/>
          </w:p>
        </w:tc>
      </w:tr>
      <w:tr w:rsidR="00D418C9" w:rsidRPr="00487834" w14:paraId="3E29D3BF" w14:textId="77777777" w:rsidTr="00D418C9">
        <w:trPr>
          <w:trHeight w:val="560"/>
          <w:jc w:val="center"/>
        </w:trPr>
        <w:tc>
          <w:tcPr>
            <w:tcW w:w="2127" w:type="dxa"/>
            <w:tcBorders>
              <w:top w:val="nil"/>
              <w:left w:val="nil"/>
              <w:bottom w:val="nil"/>
              <w:right w:val="nil"/>
            </w:tcBorders>
            <w:shd w:val="clear" w:color="auto" w:fill="auto"/>
            <w:noWrap/>
            <w:vAlign w:val="center"/>
            <w:hideMark/>
          </w:tcPr>
          <w:p w14:paraId="46726092" w14:textId="77777777" w:rsidR="00D418C9" w:rsidRPr="00487834" w:rsidRDefault="00D418C9" w:rsidP="00BA7F83">
            <w:pPr>
              <w:pStyle w:val="NoSpacing"/>
              <w:jc w:val="left"/>
            </w:pPr>
            <w:r w:rsidRPr="00487834">
              <w:t xml:space="preserve">N </w:t>
            </w:r>
            <w:proofErr w:type="spellStart"/>
            <w:r w:rsidRPr="00487834">
              <w:t>of</w:t>
            </w:r>
            <w:proofErr w:type="spellEnd"/>
            <w:r w:rsidRPr="00487834">
              <w:t xml:space="preserve"> </w:t>
            </w:r>
            <w:proofErr w:type="spellStart"/>
            <w:r w:rsidRPr="00487834">
              <w:t>obs</w:t>
            </w:r>
            <w:proofErr w:type="spellEnd"/>
            <w:r w:rsidRPr="00487834">
              <w:t>.</w:t>
            </w:r>
          </w:p>
        </w:tc>
        <w:tc>
          <w:tcPr>
            <w:tcW w:w="1153" w:type="dxa"/>
            <w:tcBorders>
              <w:top w:val="nil"/>
              <w:left w:val="nil"/>
              <w:bottom w:val="nil"/>
              <w:right w:val="nil"/>
            </w:tcBorders>
            <w:shd w:val="clear" w:color="auto" w:fill="auto"/>
            <w:vAlign w:val="center"/>
            <w:hideMark/>
          </w:tcPr>
          <w:p w14:paraId="2CEFA465" w14:textId="77777777" w:rsidR="00D418C9" w:rsidRPr="00487834" w:rsidRDefault="00D418C9" w:rsidP="00BA7F83">
            <w:pPr>
              <w:pStyle w:val="NoSpacing"/>
            </w:pPr>
            <w:r w:rsidRPr="00487834">
              <w:t>121</w:t>
            </w:r>
          </w:p>
        </w:tc>
        <w:tc>
          <w:tcPr>
            <w:tcW w:w="1280" w:type="dxa"/>
            <w:tcBorders>
              <w:top w:val="nil"/>
              <w:left w:val="nil"/>
              <w:bottom w:val="nil"/>
              <w:right w:val="nil"/>
            </w:tcBorders>
            <w:shd w:val="clear" w:color="auto" w:fill="auto"/>
            <w:vAlign w:val="center"/>
            <w:hideMark/>
          </w:tcPr>
          <w:p w14:paraId="00828AFD" w14:textId="77777777" w:rsidR="00D418C9" w:rsidRPr="00487834" w:rsidRDefault="00D418C9" w:rsidP="00BA7F83">
            <w:pPr>
              <w:pStyle w:val="NoSpacing"/>
            </w:pPr>
            <w:r w:rsidRPr="00487834">
              <w:t>443</w:t>
            </w:r>
          </w:p>
        </w:tc>
        <w:tc>
          <w:tcPr>
            <w:tcW w:w="1300" w:type="dxa"/>
            <w:tcBorders>
              <w:top w:val="nil"/>
              <w:left w:val="nil"/>
              <w:bottom w:val="nil"/>
              <w:right w:val="nil"/>
            </w:tcBorders>
            <w:shd w:val="clear" w:color="auto" w:fill="auto"/>
            <w:vAlign w:val="center"/>
            <w:hideMark/>
          </w:tcPr>
          <w:p w14:paraId="2B1ACCA6" w14:textId="77777777" w:rsidR="00D418C9" w:rsidRPr="00487834" w:rsidRDefault="00D418C9" w:rsidP="00BA7F83">
            <w:pPr>
              <w:pStyle w:val="NoSpacing"/>
            </w:pPr>
            <w:r w:rsidRPr="00487834">
              <w:t>405</w:t>
            </w:r>
          </w:p>
        </w:tc>
      </w:tr>
      <w:tr w:rsidR="00D418C9" w:rsidRPr="00487834" w14:paraId="43CF4F7F" w14:textId="77777777" w:rsidTr="00D418C9">
        <w:trPr>
          <w:trHeight w:val="580"/>
          <w:jc w:val="center"/>
        </w:trPr>
        <w:tc>
          <w:tcPr>
            <w:tcW w:w="2127" w:type="dxa"/>
            <w:tcBorders>
              <w:top w:val="nil"/>
              <w:left w:val="nil"/>
              <w:bottom w:val="nil"/>
              <w:right w:val="nil"/>
            </w:tcBorders>
            <w:shd w:val="clear" w:color="auto" w:fill="auto"/>
            <w:noWrap/>
            <w:vAlign w:val="center"/>
            <w:hideMark/>
          </w:tcPr>
          <w:p w14:paraId="65AD2AC0" w14:textId="77777777" w:rsidR="00D418C9" w:rsidRPr="00487834" w:rsidRDefault="00D418C9" w:rsidP="00BA7F83">
            <w:pPr>
              <w:pStyle w:val="NoSpacing"/>
              <w:jc w:val="left"/>
            </w:pPr>
            <w:r w:rsidRPr="00487834">
              <w:t>R-</w:t>
            </w:r>
            <w:proofErr w:type="spellStart"/>
            <w:r w:rsidRPr="00487834">
              <w:t>sq</w:t>
            </w:r>
            <w:proofErr w:type="spellEnd"/>
            <w:r w:rsidRPr="00487834">
              <w:t>.</w:t>
            </w:r>
          </w:p>
        </w:tc>
        <w:tc>
          <w:tcPr>
            <w:tcW w:w="1153" w:type="dxa"/>
            <w:tcBorders>
              <w:top w:val="nil"/>
              <w:left w:val="nil"/>
              <w:bottom w:val="nil"/>
              <w:right w:val="nil"/>
            </w:tcBorders>
            <w:shd w:val="clear" w:color="auto" w:fill="auto"/>
            <w:vAlign w:val="center"/>
            <w:hideMark/>
          </w:tcPr>
          <w:p w14:paraId="3F4E009C" w14:textId="77777777" w:rsidR="00D418C9" w:rsidRPr="00487834" w:rsidRDefault="00D418C9" w:rsidP="00BA7F83">
            <w:pPr>
              <w:pStyle w:val="NoSpacing"/>
            </w:pPr>
            <w:r w:rsidRPr="00487834">
              <w:t>0.183</w:t>
            </w:r>
          </w:p>
        </w:tc>
        <w:tc>
          <w:tcPr>
            <w:tcW w:w="1280" w:type="dxa"/>
            <w:tcBorders>
              <w:top w:val="nil"/>
              <w:left w:val="nil"/>
              <w:bottom w:val="nil"/>
              <w:right w:val="nil"/>
            </w:tcBorders>
            <w:shd w:val="clear" w:color="auto" w:fill="auto"/>
            <w:vAlign w:val="center"/>
            <w:hideMark/>
          </w:tcPr>
          <w:p w14:paraId="2E7A39FD" w14:textId="77777777" w:rsidR="00D418C9" w:rsidRPr="00487834" w:rsidRDefault="00D418C9" w:rsidP="00BA7F83">
            <w:pPr>
              <w:pStyle w:val="NoSpacing"/>
            </w:pPr>
            <w:r w:rsidRPr="00487834">
              <w:t>0.411</w:t>
            </w:r>
          </w:p>
        </w:tc>
        <w:tc>
          <w:tcPr>
            <w:tcW w:w="1300" w:type="dxa"/>
            <w:tcBorders>
              <w:top w:val="nil"/>
              <w:left w:val="nil"/>
              <w:bottom w:val="nil"/>
              <w:right w:val="nil"/>
            </w:tcBorders>
            <w:shd w:val="clear" w:color="auto" w:fill="auto"/>
            <w:vAlign w:val="center"/>
            <w:hideMark/>
          </w:tcPr>
          <w:p w14:paraId="220F662B" w14:textId="77777777" w:rsidR="00D418C9" w:rsidRPr="00487834" w:rsidRDefault="00D418C9" w:rsidP="00BA7F83">
            <w:pPr>
              <w:pStyle w:val="NoSpacing"/>
            </w:pPr>
            <w:r w:rsidRPr="00487834">
              <w:t>0.523</w:t>
            </w:r>
          </w:p>
        </w:tc>
      </w:tr>
      <w:tr w:rsidR="00D418C9" w:rsidRPr="00487834" w14:paraId="148A24FD" w14:textId="77777777" w:rsidTr="00D418C9">
        <w:trPr>
          <w:trHeight w:val="560"/>
          <w:jc w:val="center"/>
        </w:trPr>
        <w:tc>
          <w:tcPr>
            <w:tcW w:w="2127" w:type="dxa"/>
            <w:tcBorders>
              <w:top w:val="nil"/>
              <w:left w:val="nil"/>
              <w:bottom w:val="nil"/>
              <w:right w:val="nil"/>
            </w:tcBorders>
            <w:shd w:val="clear" w:color="auto" w:fill="auto"/>
            <w:noWrap/>
            <w:vAlign w:val="center"/>
            <w:hideMark/>
          </w:tcPr>
          <w:p w14:paraId="032986BE" w14:textId="77777777" w:rsidR="00D418C9" w:rsidRPr="00487834" w:rsidRDefault="00D418C9" w:rsidP="00BA7F83">
            <w:pPr>
              <w:pStyle w:val="NoSpacing"/>
              <w:jc w:val="left"/>
            </w:pPr>
            <w:proofErr w:type="spellStart"/>
            <w:r w:rsidRPr="00487834">
              <w:t>Adj</w:t>
            </w:r>
            <w:proofErr w:type="spellEnd"/>
            <w:r w:rsidRPr="00487834">
              <w:t>. R-</w:t>
            </w:r>
            <w:proofErr w:type="spellStart"/>
            <w:r w:rsidRPr="00487834">
              <w:t>sq</w:t>
            </w:r>
            <w:proofErr w:type="spellEnd"/>
            <w:r w:rsidRPr="00487834">
              <w:t>.</w:t>
            </w:r>
          </w:p>
        </w:tc>
        <w:tc>
          <w:tcPr>
            <w:tcW w:w="1153" w:type="dxa"/>
            <w:tcBorders>
              <w:top w:val="nil"/>
              <w:left w:val="nil"/>
              <w:bottom w:val="nil"/>
              <w:right w:val="nil"/>
            </w:tcBorders>
            <w:shd w:val="clear" w:color="auto" w:fill="auto"/>
            <w:vAlign w:val="center"/>
            <w:hideMark/>
          </w:tcPr>
          <w:p w14:paraId="6B22E510" w14:textId="77777777" w:rsidR="00D418C9" w:rsidRPr="00487834" w:rsidRDefault="00D418C9" w:rsidP="00BA7F83">
            <w:pPr>
              <w:pStyle w:val="NoSpacing"/>
            </w:pPr>
            <w:r w:rsidRPr="00487834">
              <w:t>-</w:t>
            </w:r>
          </w:p>
        </w:tc>
        <w:tc>
          <w:tcPr>
            <w:tcW w:w="1280" w:type="dxa"/>
            <w:tcBorders>
              <w:top w:val="nil"/>
              <w:left w:val="nil"/>
              <w:bottom w:val="nil"/>
              <w:right w:val="nil"/>
            </w:tcBorders>
            <w:shd w:val="clear" w:color="auto" w:fill="auto"/>
            <w:vAlign w:val="center"/>
            <w:hideMark/>
          </w:tcPr>
          <w:p w14:paraId="34BA7FF1" w14:textId="77777777" w:rsidR="00D418C9" w:rsidRPr="00487834" w:rsidRDefault="00D418C9" w:rsidP="00BA7F83">
            <w:pPr>
              <w:pStyle w:val="NoSpacing"/>
            </w:pPr>
            <w:r w:rsidRPr="00487834">
              <w:t>0.236</w:t>
            </w:r>
          </w:p>
        </w:tc>
        <w:tc>
          <w:tcPr>
            <w:tcW w:w="1300" w:type="dxa"/>
            <w:tcBorders>
              <w:top w:val="nil"/>
              <w:left w:val="nil"/>
              <w:bottom w:val="nil"/>
              <w:right w:val="nil"/>
            </w:tcBorders>
            <w:shd w:val="clear" w:color="auto" w:fill="auto"/>
            <w:vAlign w:val="center"/>
            <w:hideMark/>
          </w:tcPr>
          <w:p w14:paraId="71CB04F5" w14:textId="77777777" w:rsidR="00D418C9" w:rsidRPr="00487834" w:rsidRDefault="00D418C9" w:rsidP="00BA7F83">
            <w:pPr>
              <w:pStyle w:val="NoSpacing"/>
            </w:pPr>
            <w:r w:rsidRPr="00487834">
              <w:t>0.41</w:t>
            </w:r>
          </w:p>
        </w:tc>
      </w:tr>
      <w:tr w:rsidR="00D418C9" w:rsidRPr="00487834" w14:paraId="32E20FB5" w14:textId="77777777" w:rsidTr="00D418C9">
        <w:trPr>
          <w:trHeight w:val="540"/>
          <w:jc w:val="center"/>
        </w:trPr>
        <w:tc>
          <w:tcPr>
            <w:tcW w:w="2127" w:type="dxa"/>
            <w:tcBorders>
              <w:top w:val="nil"/>
              <w:left w:val="nil"/>
              <w:bottom w:val="nil"/>
              <w:right w:val="nil"/>
            </w:tcBorders>
            <w:shd w:val="clear" w:color="auto" w:fill="auto"/>
            <w:noWrap/>
            <w:vAlign w:val="center"/>
            <w:hideMark/>
          </w:tcPr>
          <w:p w14:paraId="12B9CCAA" w14:textId="77777777" w:rsidR="00D418C9" w:rsidRPr="00487834" w:rsidRDefault="00D418C9" w:rsidP="00BA7F83">
            <w:pPr>
              <w:pStyle w:val="NoSpacing"/>
              <w:jc w:val="left"/>
            </w:pPr>
            <w:r w:rsidRPr="00487834">
              <w:t xml:space="preserve">Year </w:t>
            </w:r>
            <w:proofErr w:type="spellStart"/>
            <w:r w:rsidRPr="00487834">
              <w:t>effects</w:t>
            </w:r>
            <w:proofErr w:type="spellEnd"/>
          </w:p>
        </w:tc>
        <w:tc>
          <w:tcPr>
            <w:tcW w:w="1153" w:type="dxa"/>
            <w:tcBorders>
              <w:top w:val="nil"/>
              <w:left w:val="nil"/>
              <w:bottom w:val="nil"/>
              <w:right w:val="nil"/>
            </w:tcBorders>
            <w:shd w:val="clear" w:color="auto" w:fill="auto"/>
            <w:vAlign w:val="center"/>
            <w:hideMark/>
          </w:tcPr>
          <w:p w14:paraId="7CED458F" w14:textId="77777777" w:rsidR="00D418C9" w:rsidRPr="00487834" w:rsidRDefault="00D418C9" w:rsidP="00BA7F83">
            <w:pPr>
              <w:pStyle w:val="NoSpacing"/>
            </w:pPr>
            <w:r w:rsidRPr="00487834">
              <w:t>Yes</w:t>
            </w:r>
          </w:p>
        </w:tc>
        <w:tc>
          <w:tcPr>
            <w:tcW w:w="1280" w:type="dxa"/>
            <w:tcBorders>
              <w:top w:val="nil"/>
              <w:left w:val="nil"/>
              <w:bottom w:val="nil"/>
              <w:right w:val="nil"/>
            </w:tcBorders>
            <w:shd w:val="clear" w:color="auto" w:fill="auto"/>
            <w:vAlign w:val="center"/>
            <w:hideMark/>
          </w:tcPr>
          <w:p w14:paraId="35927ACF" w14:textId="77777777" w:rsidR="00D418C9" w:rsidRPr="00487834" w:rsidRDefault="00D418C9" w:rsidP="00BA7F83">
            <w:pPr>
              <w:pStyle w:val="NoSpacing"/>
            </w:pPr>
            <w:r w:rsidRPr="00487834">
              <w:t>Yes</w:t>
            </w:r>
          </w:p>
        </w:tc>
        <w:tc>
          <w:tcPr>
            <w:tcW w:w="1300" w:type="dxa"/>
            <w:tcBorders>
              <w:top w:val="nil"/>
              <w:left w:val="nil"/>
              <w:bottom w:val="nil"/>
              <w:right w:val="nil"/>
            </w:tcBorders>
            <w:shd w:val="clear" w:color="auto" w:fill="auto"/>
            <w:vAlign w:val="center"/>
            <w:hideMark/>
          </w:tcPr>
          <w:p w14:paraId="4F7E146A" w14:textId="77777777" w:rsidR="00D418C9" w:rsidRPr="00487834" w:rsidRDefault="00D418C9" w:rsidP="00BA7F83">
            <w:pPr>
              <w:pStyle w:val="NoSpacing"/>
            </w:pPr>
            <w:r w:rsidRPr="00487834">
              <w:t>Yes</w:t>
            </w:r>
          </w:p>
        </w:tc>
      </w:tr>
      <w:tr w:rsidR="00D418C9" w:rsidRPr="00487834" w14:paraId="403C172A" w14:textId="77777777" w:rsidTr="00D418C9">
        <w:trPr>
          <w:trHeight w:val="580"/>
          <w:jc w:val="center"/>
        </w:trPr>
        <w:tc>
          <w:tcPr>
            <w:tcW w:w="2127" w:type="dxa"/>
            <w:tcBorders>
              <w:top w:val="nil"/>
              <w:left w:val="nil"/>
              <w:bottom w:val="nil"/>
              <w:right w:val="nil"/>
            </w:tcBorders>
            <w:shd w:val="clear" w:color="auto" w:fill="auto"/>
            <w:noWrap/>
            <w:vAlign w:val="center"/>
            <w:hideMark/>
          </w:tcPr>
          <w:p w14:paraId="25816D7E" w14:textId="77777777" w:rsidR="00D418C9" w:rsidRPr="00487834" w:rsidRDefault="00D418C9" w:rsidP="00BA7F83">
            <w:pPr>
              <w:pStyle w:val="NoSpacing"/>
              <w:jc w:val="left"/>
            </w:pPr>
            <w:proofErr w:type="spellStart"/>
            <w:r w:rsidRPr="00487834">
              <w:t>Firm</w:t>
            </w:r>
            <w:proofErr w:type="spellEnd"/>
            <w:r w:rsidRPr="00487834">
              <w:t xml:space="preserve"> </w:t>
            </w:r>
            <w:proofErr w:type="spellStart"/>
            <w:r w:rsidRPr="00487834">
              <w:t>effects</w:t>
            </w:r>
            <w:proofErr w:type="spellEnd"/>
          </w:p>
        </w:tc>
        <w:tc>
          <w:tcPr>
            <w:tcW w:w="1153" w:type="dxa"/>
            <w:tcBorders>
              <w:top w:val="nil"/>
              <w:left w:val="nil"/>
              <w:bottom w:val="nil"/>
              <w:right w:val="nil"/>
            </w:tcBorders>
            <w:shd w:val="clear" w:color="auto" w:fill="auto"/>
            <w:vAlign w:val="center"/>
            <w:hideMark/>
          </w:tcPr>
          <w:p w14:paraId="71525356" w14:textId="77777777" w:rsidR="00D418C9" w:rsidRPr="00487834" w:rsidRDefault="00D418C9" w:rsidP="00BA7F83">
            <w:pPr>
              <w:pStyle w:val="NoSpacing"/>
            </w:pPr>
            <w:r w:rsidRPr="00487834">
              <w:t>Yes</w:t>
            </w:r>
          </w:p>
        </w:tc>
        <w:tc>
          <w:tcPr>
            <w:tcW w:w="1280" w:type="dxa"/>
            <w:tcBorders>
              <w:top w:val="nil"/>
              <w:left w:val="nil"/>
              <w:bottom w:val="nil"/>
              <w:right w:val="nil"/>
            </w:tcBorders>
            <w:shd w:val="clear" w:color="auto" w:fill="auto"/>
            <w:vAlign w:val="center"/>
            <w:hideMark/>
          </w:tcPr>
          <w:p w14:paraId="7E53FEE7" w14:textId="77777777" w:rsidR="00D418C9" w:rsidRPr="00487834" w:rsidRDefault="00D418C9" w:rsidP="00BA7F83">
            <w:pPr>
              <w:pStyle w:val="NoSpacing"/>
            </w:pPr>
            <w:r w:rsidRPr="00487834">
              <w:t>Yes</w:t>
            </w:r>
          </w:p>
        </w:tc>
        <w:tc>
          <w:tcPr>
            <w:tcW w:w="1300" w:type="dxa"/>
            <w:tcBorders>
              <w:top w:val="nil"/>
              <w:left w:val="nil"/>
              <w:bottom w:val="nil"/>
              <w:right w:val="nil"/>
            </w:tcBorders>
            <w:shd w:val="clear" w:color="auto" w:fill="auto"/>
            <w:vAlign w:val="center"/>
            <w:hideMark/>
          </w:tcPr>
          <w:p w14:paraId="7766DD13" w14:textId="77777777" w:rsidR="00D418C9" w:rsidRPr="00487834" w:rsidRDefault="00D418C9" w:rsidP="00BA7F83">
            <w:pPr>
              <w:pStyle w:val="NoSpacing"/>
            </w:pPr>
            <w:r w:rsidRPr="00487834">
              <w:t>Yes</w:t>
            </w:r>
          </w:p>
        </w:tc>
      </w:tr>
      <w:tr w:rsidR="00D418C9" w:rsidRPr="00487834" w14:paraId="43BC0B08" w14:textId="77777777" w:rsidTr="00D418C9">
        <w:trPr>
          <w:trHeight w:val="1220"/>
          <w:jc w:val="center"/>
        </w:trPr>
        <w:tc>
          <w:tcPr>
            <w:tcW w:w="2127" w:type="dxa"/>
            <w:tcBorders>
              <w:top w:val="nil"/>
              <w:left w:val="nil"/>
              <w:bottom w:val="single" w:sz="4" w:space="0" w:color="auto"/>
              <w:right w:val="nil"/>
            </w:tcBorders>
            <w:shd w:val="clear" w:color="auto" w:fill="auto"/>
            <w:vAlign w:val="center"/>
            <w:hideMark/>
          </w:tcPr>
          <w:p w14:paraId="5C518A6F" w14:textId="77777777" w:rsidR="00D418C9" w:rsidRPr="00487834" w:rsidRDefault="00D418C9" w:rsidP="00BA7F83">
            <w:pPr>
              <w:pStyle w:val="NoSpacing"/>
              <w:jc w:val="left"/>
            </w:pPr>
            <w:proofErr w:type="spellStart"/>
            <w:r w:rsidRPr="00487834">
              <w:t>Robust</w:t>
            </w:r>
            <w:proofErr w:type="spellEnd"/>
            <w:r w:rsidRPr="00487834">
              <w:t xml:space="preserve"> </w:t>
            </w:r>
            <w:proofErr w:type="spellStart"/>
            <w:r w:rsidRPr="00487834">
              <w:t>standard</w:t>
            </w:r>
            <w:proofErr w:type="spellEnd"/>
            <w:r w:rsidRPr="00487834">
              <w:t xml:space="preserve"> </w:t>
            </w:r>
            <w:proofErr w:type="spellStart"/>
            <w:r w:rsidRPr="00487834">
              <w:t>errors</w:t>
            </w:r>
            <w:proofErr w:type="spellEnd"/>
          </w:p>
        </w:tc>
        <w:tc>
          <w:tcPr>
            <w:tcW w:w="1153" w:type="dxa"/>
            <w:tcBorders>
              <w:top w:val="nil"/>
              <w:left w:val="nil"/>
              <w:bottom w:val="single" w:sz="4" w:space="0" w:color="auto"/>
              <w:right w:val="nil"/>
            </w:tcBorders>
            <w:shd w:val="clear" w:color="auto" w:fill="auto"/>
            <w:vAlign w:val="center"/>
            <w:hideMark/>
          </w:tcPr>
          <w:p w14:paraId="3F38BEE8" w14:textId="77777777" w:rsidR="00D418C9" w:rsidRPr="00487834" w:rsidRDefault="00D418C9" w:rsidP="00BA7F83">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280" w:type="dxa"/>
            <w:tcBorders>
              <w:top w:val="nil"/>
              <w:left w:val="nil"/>
              <w:bottom w:val="single" w:sz="4" w:space="0" w:color="auto"/>
              <w:right w:val="nil"/>
            </w:tcBorders>
            <w:shd w:val="clear" w:color="auto" w:fill="auto"/>
            <w:vAlign w:val="center"/>
            <w:hideMark/>
          </w:tcPr>
          <w:p w14:paraId="7F00AA69" w14:textId="77777777" w:rsidR="00D418C9" w:rsidRPr="00487834" w:rsidRDefault="00D418C9" w:rsidP="00BA7F83">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300" w:type="dxa"/>
            <w:tcBorders>
              <w:top w:val="nil"/>
              <w:left w:val="nil"/>
              <w:bottom w:val="single" w:sz="4" w:space="0" w:color="auto"/>
              <w:right w:val="nil"/>
            </w:tcBorders>
            <w:shd w:val="clear" w:color="auto" w:fill="auto"/>
            <w:vAlign w:val="center"/>
            <w:hideMark/>
          </w:tcPr>
          <w:p w14:paraId="57968012" w14:textId="77777777" w:rsidR="00D418C9" w:rsidRPr="00487834" w:rsidRDefault="00D418C9" w:rsidP="00BA7F83">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r>
    </w:tbl>
    <w:p w14:paraId="1FFFF93E" w14:textId="77777777" w:rsidR="004015E0" w:rsidRPr="00487834" w:rsidRDefault="004015E0" w:rsidP="003128F6">
      <w:pPr>
        <w:autoSpaceDE w:val="0"/>
        <w:autoSpaceDN w:val="0"/>
        <w:adjustRightInd w:val="0"/>
        <w:spacing w:line="300" w:lineRule="auto"/>
        <w:rPr>
          <w:rFonts w:eastAsiaTheme="minorHAnsi"/>
          <w:lang w:val="en-US" w:eastAsia="en-US"/>
        </w:rPr>
      </w:pPr>
    </w:p>
    <w:p w14:paraId="07F13D12" w14:textId="2DCC1812" w:rsidR="00B803F6" w:rsidRPr="00487834" w:rsidRDefault="00B803F6" w:rsidP="005A01BB">
      <w:pPr>
        <w:autoSpaceDE w:val="0"/>
        <w:autoSpaceDN w:val="0"/>
        <w:adjustRightInd w:val="0"/>
        <w:spacing w:line="300" w:lineRule="auto"/>
        <w:rPr>
          <w:rFonts w:eastAsiaTheme="minorHAnsi"/>
          <w:lang w:val="en-US" w:eastAsia="en-US"/>
        </w:rPr>
      </w:pPr>
      <w:r w:rsidRPr="00487834">
        <w:rPr>
          <w:rFonts w:eastAsiaTheme="minorHAnsi"/>
          <w:lang w:val="en-US" w:eastAsia="en-US"/>
        </w:rPr>
        <w:t xml:space="preserve">The regression results for the cost of debt with lagged predictors, segmented by country (Russia, Brazil, and South Africa), illustrate </w:t>
      </w:r>
      <w:r w:rsidR="00D11131">
        <w:rPr>
          <w:rFonts w:eastAsiaTheme="minorHAnsi"/>
          <w:lang w:val="en-US" w:eastAsia="en-US"/>
        </w:rPr>
        <w:t>specific</w:t>
      </w:r>
      <w:r w:rsidRPr="00487834">
        <w:rPr>
          <w:rFonts w:eastAsiaTheme="minorHAnsi"/>
          <w:lang w:val="en-US" w:eastAsia="en-US"/>
        </w:rPr>
        <w:t xml:space="preserve"> patterns in how ESG scores influence </w:t>
      </w:r>
      <w:r w:rsidRPr="00487834">
        <w:rPr>
          <w:rFonts w:eastAsiaTheme="minorHAnsi"/>
          <w:lang w:val="en-US" w:eastAsia="en-US"/>
        </w:rPr>
        <w:lastRenderedPageBreak/>
        <w:t xml:space="preserve">financing costs over time, reflecting the unique </w:t>
      </w:r>
      <w:r w:rsidR="00D11131">
        <w:rPr>
          <w:rFonts w:eastAsiaTheme="minorHAnsi"/>
          <w:lang w:val="en-US" w:eastAsia="en-US"/>
        </w:rPr>
        <w:t xml:space="preserve">market contexts. </w:t>
      </w:r>
      <w:r w:rsidRPr="00487834">
        <w:rPr>
          <w:rFonts w:eastAsiaTheme="minorHAnsi"/>
          <w:lang w:val="en-US" w:eastAsia="en-US"/>
        </w:rPr>
        <w:t xml:space="preserve">In </w:t>
      </w:r>
      <w:r w:rsidR="00D11131">
        <w:rPr>
          <w:rFonts w:eastAsiaTheme="minorHAnsi"/>
          <w:lang w:val="en-US" w:eastAsia="en-US"/>
        </w:rPr>
        <w:t xml:space="preserve">case of </w:t>
      </w:r>
      <w:r w:rsidRPr="00487834">
        <w:rPr>
          <w:rFonts w:eastAsiaTheme="minorHAnsi"/>
          <w:lang w:val="en-US" w:eastAsia="en-US"/>
        </w:rPr>
        <w:t xml:space="preserve">Russia, the ESG score shows a negative and marginally significant relationship with the cost of debt (-0.0046, p &lt; 0.10). This suggests that improvements in ESG performance can reduce borrowing costs, albeit modestly, over time. This finding partially supports Hypothesis 4, which anticipated a stronger effect in Russia due to its emission-intensive industries. The negative impact of ESG scores aligns with global findings by </w:t>
      </w:r>
      <w:proofErr w:type="spellStart"/>
      <w:r w:rsidRPr="00487834">
        <w:rPr>
          <w:rFonts w:eastAsiaTheme="minorHAnsi"/>
          <w:lang w:val="en-US" w:eastAsia="en-US"/>
        </w:rPr>
        <w:t>Stellner</w:t>
      </w:r>
      <w:proofErr w:type="spellEnd"/>
      <w:r w:rsidRPr="00487834">
        <w:rPr>
          <w:rFonts w:eastAsiaTheme="minorHAnsi"/>
          <w:lang w:val="en-US" w:eastAsia="en-US"/>
        </w:rPr>
        <w:t xml:space="preserve"> et al. (2015), who indicated that top ESG performers benefit more in markets with high environmental risks.</w:t>
      </w:r>
      <w:r w:rsidR="005A01BB">
        <w:rPr>
          <w:rFonts w:eastAsiaTheme="minorHAnsi"/>
          <w:lang w:val="en-US" w:eastAsia="en-US"/>
        </w:rPr>
        <w:t xml:space="preserve"> Meanwhile, i</w:t>
      </w:r>
      <w:r w:rsidRPr="00487834">
        <w:rPr>
          <w:rFonts w:eastAsiaTheme="minorHAnsi"/>
          <w:lang w:val="en-US" w:eastAsia="en-US"/>
        </w:rPr>
        <w:t xml:space="preserve">n Brazil, the ESG score also shows a significant negative relationship with the cost of debt (-0.0036, p &lt; 0.05), further supporting Hypothesis 2. This underscores the sustained financial benefits of high ESG performance in Brazil, consistent with studies by </w:t>
      </w:r>
      <w:proofErr w:type="spellStart"/>
      <w:r w:rsidRPr="00487834">
        <w:rPr>
          <w:rFonts w:eastAsiaTheme="minorHAnsi"/>
          <w:lang w:val="en-US" w:eastAsia="en-US"/>
        </w:rPr>
        <w:t>Apergis</w:t>
      </w:r>
      <w:proofErr w:type="spellEnd"/>
      <w:r w:rsidRPr="00487834">
        <w:rPr>
          <w:rFonts w:eastAsiaTheme="minorHAnsi"/>
          <w:lang w:val="en-US" w:eastAsia="en-US"/>
        </w:rPr>
        <w:t xml:space="preserve"> et al. (2022) and Bhuiyan and Nguyen (2020). The significant lag effect </w:t>
      </w:r>
      <w:r w:rsidR="005A01BB">
        <w:rPr>
          <w:rFonts w:eastAsiaTheme="minorHAnsi"/>
          <w:lang w:val="en-US" w:eastAsia="en-US"/>
        </w:rPr>
        <w:t>for Brazil is less pronounced that in the case o</w:t>
      </w:r>
      <w:r w:rsidR="00C77996">
        <w:rPr>
          <w:rFonts w:eastAsiaTheme="minorHAnsi"/>
          <w:lang w:val="en-US" w:eastAsia="en-US"/>
        </w:rPr>
        <w:t>f model without lag. On the contrary, Russia’s results are only significant and in line with H2 and H4 when lag is employed.</w:t>
      </w:r>
    </w:p>
    <w:p w14:paraId="13802F84" w14:textId="664C09CC" w:rsidR="00B803F6" w:rsidRPr="00487834" w:rsidRDefault="00B803F6" w:rsidP="00C77996">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Conversely, in South Africa, the ESG score shows a significant positive relationship with the cost of debt (0.006, p &lt; 0.05). This counterintuitive result suggests that in the South African context, higher ESG scores might be associated with higher costs of debt. This could be due to the unique market dynamics or the higher costs of achieving and maintaining high ESG standards, as indicated by Fatemi et al. (2018). It implies that while ESG improvements are beneficial, they might come with substantial initial costs that increase overall borrowing costs.</w:t>
      </w:r>
      <w:r w:rsidR="00C43497">
        <w:rPr>
          <w:rFonts w:eastAsiaTheme="minorHAnsi"/>
          <w:lang w:val="en-US" w:eastAsia="en-US"/>
        </w:rPr>
        <w:t xml:space="preserve"> That might be particularly burdensome in the case of South Africa, where economic inequity is even more staggering than in her peers, and </w:t>
      </w:r>
      <w:r w:rsidR="00A71D8D">
        <w:rPr>
          <w:rFonts w:eastAsiaTheme="minorHAnsi"/>
          <w:lang w:val="en-US" w:eastAsia="en-US"/>
        </w:rPr>
        <w:t>GDP per capita is considerably lower and available resources in fixed capital and ESG transformations are considerably lower.</w:t>
      </w:r>
    </w:p>
    <w:p w14:paraId="0282D424" w14:textId="16D4EA9C" w:rsidR="00B803F6" w:rsidRPr="00487834" w:rsidRDefault="00B803F6" w:rsidP="005162B6">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Control variables offer</w:t>
      </w:r>
      <w:r w:rsidR="00DE5F9A">
        <w:rPr>
          <w:rFonts w:eastAsiaTheme="minorHAnsi"/>
          <w:lang w:val="en-US" w:eastAsia="en-US"/>
        </w:rPr>
        <w:t xml:space="preserve"> less controversial insights</w:t>
      </w:r>
      <w:r w:rsidR="005162B6">
        <w:rPr>
          <w:rFonts w:eastAsiaTheme="minorHAnsi"/>
          <w:lang w:val="en-US" w:eastAsia="en-US"/>
        </w:rPr>
        <w:t xml:space="preserve">. </w:t>
      </w:r>
      <w:r w:rsidRPr="00487834">
        <w:rPr>
          <w:rFonts w:eastAsiaTheme="minorHAnsi"/>
          <w:lang w:val="en-US" w:eastAsia="en-US"/>
        </w:rPr>
        <w:t xml:space="preserve">In Russia, the interest coverage ratio (ICR) and current ratio (Current) show significant negative relationships with the cost of debt, emphasizing the importance of liquidity and debt servicing </w:t>
      </w:r>
      <w:proofErr w:type="spellStart"/>
      <w:proofErr w:type="gramStart"/>
      <w:r w:rsidRPr="00487834">
        <w:rPr>
          <w:rFonts w:eastAsiaTheme="minorHAnsi"/>
          <w:lang w:val="en-US" w:eastAsia="en-US"/>
        </w:rPr>
        <w:t>capability.In</w:t>
      </w:r>
      <w:proofErr w:type="spellEnd"/>
      <w:proofErr w:type="gramEnd"/>
      <w:r w:rsidRPr="00487834">
        <w:rPr>
          <w:rFonts w:eastAsiaTheme="minorHAnsi"/>
          <w:lang w:val="en-US" w:eastAsia="en-US"/>
        </w:rPr>
        <w:t xml:space="preserve"> Brazil, market capitalization (MCAP) negatively impacts the cost of debt, indicating that larger firms generally enjoy lower borrowing costs, consistent with Cardoso (2020). The leverage ratio (LEV) shows a significant </w:t>
      </w:r>
      <w:r w:rsidR="00DE5F9A">
        <w:rPr>
          <w:rFonts w:eastAsiaTheme="minorHAnsi"/>
          <w:lang w:val="en-US" w:eastAsia="en-US"/>
        </w:rPr>
        <w:t>positive</w:t>
      </w:r>
      <w:r w:rsidRPr="00487834">
        <w:rPr>
          <w:rFonts w:eastAsiaTheme="minorHAnsi"/>
          <w:lang w:val="en-US" w:eastAsia="en-US"/>
        </w:rPr>
        <w:t xml:space="preserve"> relationship, highlighting the importance of balance sheet strength in reducing financing costs.</w:t>
      </w:r>
      <w:r w:rsidR="00DE5F9A">
        <w:rPr>
          <w:rFonts w:eastAsiaTheme="minorHAnsi"/>
          <w:lang w:val="en-US" w:eastAsia="en-US"/>
        </w:rPr>
        <w:t xml:space="preserve"> </w:t>
      </w:r>
    </w:p>
    <w:p w14:paraId="23FBB3FB" w14:textId="0B7B6EC0" w:rsidR="00A27CB9" w:rsidRPr="00487834" w:rsidRDefault="00B803F6" w:rsidP="00DE5F9A">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Overall, these results provide partial support for Hypotheses 2 and 4, revealing that while ESG scores can reduce the cost of debt, the benefits vary significantly across countries. The findings emphasize the importance of considering country-specific economic and regulatory contexts when assessing the financial impacts of ESG performance. The significant lagged effects in Brazil and Russia, contrasted with the positive impact in South Africa, highlight the complex interplay between ESG improvements and financing costs in the BRICS markets.</w:t>
      </w:r>
    </w:p>
    <w:p w14:paraId="0A347316" w14:textId="77777777" w:rsidR="00EF4BE4" w:rsidRPr="00487834" w:rsidRDefault="00EF4BE4" w:rsidP="003128F6">
      <w:pPr>
        <w:autoSpaceDE w:val="0"/>
        <w:autoSpaceDN w:val="0"/>
        <w:adjustRightInd w:val="0"/>
        <w:spacing w:line="300" w:lineRule="auto"/>
        <w:rPr>
          <w:rFonts w:eastAsiaTheme="minorHAnsi"/>
          <w:lang w:val="en-US" w:eastAsia="en-US"/>
        </w:rPr>
      </w:pPr>
    </w:p>
    <w:p w14:paraId="0DE8AC03" w14:textId="77777777" w:rsidR="00B73F4D" w:rsidRPr="00487834" w:rsidRDefault="00B73F4D" w:rsidP="003128F6">
      <w:pPr>
        <w:autoSpaceDE w:val="0"/>
        <w:autoSpaceDN w:val="0"/>
        <w:adjustRightInd w:val="0"/>
        <w:spacing w:line="300" w:lineRule="auto"/>
        <w:rPr>
          <w:rFonts w:eastAsiaTheme="minorHAnsi"/>
          <w:b/>
          <w:bCs/>
          <w:lang w:val="en-US" w:eastAsia="en-US"/>
        </w:rPr>
      </w:pPr>
    </w:p>
    <w:p w14:paraId="6B26D01A" w14:textId="77777777" w:rsidR="00B73F4D" w:rsidRPr="00487834" w:rsidRDefault="00B73F4D" w:rsidP="003128F6">
      <w:pPr>
        <w:autoSpaceDE w:val="0"/>
        <w:autoSpaceDN w:val="0"/>
        <w:adjustRightInd w:val="0"/>
        <w:spacing w:line="300" w:lineRule="auto"/>
        <w:rPr>
          <w:rFonts w:eastAsiaTheme="minorHAnsi"/>
          <w:b/>
          <w:bCs/>
          <w:lang w:val="en-US" w:eastAsia="en-US"/>
        </w:rPr>
      </w:pPr>
    </w:p>
    <w:p w14:paraId="68819361" w14:textId="77777777" w:rsidR="00B73F4D" w:rsidRDefault="00B73F4D" w:rsidP="003128F6">
      <w:pPr>
        <w:autoSpaceDE w:val="0"/>
        <w:autoSpaceDN w:val="0"/>
        <w:adjustRightInd w:val="0"/>
        <w:spacing w:line="300" w:lineRule="auto"/>
        <w:rPr>
          <w:rFonts w:eastAsiaTheme="minorHAnsi"/>
          <w:b/>
          <w:bCs/>
          <w:lang w:val="en-US" w:eastAsia="en-US"/>
        </w:rPr>
      </w:pPr>
    </w:p>
    <w:p w14:paraId="36722BB7" w14:textId="77777777" w:rsidR="0050492F" w:rsidRDefault="0050492F" w:rsidP="003128F6">
      <w:pPr>
        <w:autoSpaceDE w:val="0"/>
        <w:autoSpaceDN w:val="0"/>
        <w:adjustRightInd w:val="0"/>
        <w:spacing w:line="300" w:lineRule="auto"/>
        <w:rPr>
          <w:rFonts w:eastAsiaTheme="minorHAnsi"/>
          <w:b/>
          <w:bCs/>
          <w:lang w:val="en-US" w:eastAsia="en-US"/>
        </w:rPr>
      </w:pPr>
    </w:p>
    <w:p w14:paraId="0F7903DF" w14:textId="77777777" w:rsidR="0050492F" w:rsidRPr="00487834" w:rsidRDefault="0050492F" w:rsidP="003128F6">
      <w:pPr>
        <w:autoSpaceDE w:val="0"/>
        <w:autoSpaceDN w:val="0"/>
        <w:adjustRightInd w:val="0"/>
        <w:spacing w:line="300" w:lineRule="auto"/>
        <w:rPr>
          <w:rFonts w:eastAsiaTheme="minorHAnsi"/>
          <w:b/>
          <w:bCs/>
          <w:lang w:val="en-US" w:eastAsia="en-US"/>
        </w:rPr>
      </w:pPr>
    </w:p>
    <w:p w14:paraId="192FD0BC" w14:textId="4B0A62EA" w:rsidR="00662347" w:rsidRPr="00487834" w:rsidRDefault="00BF355C" w:rsidP="003128F6">
      <w:pPr>
        <w:autoSpaceDE w:val="0"/>
        <w:autoSpaceDN w:val="0"/>
        <w:adjustRightInd w:val="0"/>
        <w:spacing w:line="300" w:lineRule="auto"/>
        <w:rPr>
          <w:rFonts w:eastAsiaTheme="minorHAnsi"/>
          <w:lang w:val="en-US" w:eastAsia="en-US"/>
        </w:rPr>
      </w:pPr>
      <w:r w:rsidRPr="00487834">
        <w:rPr>
          <w:rFonts w:eastAsiaTheme="minorHAnsi"/>
          <w:b/>
          <w:bCs/>
          <w:lang w:val="en-US" w:eastAsia="en-US"/>
        </w:rPr>
        <w:lastRenderedPageBreak/>
        <w:t>Table 30</w:t>
      </w:r>
      <w:r w:rsidR="00286F41" w:rsidRPr="00487834">
        <w:rPr>
          <w:rFonts w:eastAsiaTheme="minorHAnsi"/>
          <w:b/>
          <w:bCs/>
          <w:lang w:val="en-US" w:eastAsia="en-US"/>
        </w:rPr>
        <w:t xml:space="preserve"> </w:t>
      </w:r>
      <w:r w:rsidR="00170D3D" w:rsidRPr="00487834">
        <w:rPr>
          <w:rFonts w:eastAsiaTheme="minorHAnsi"/>
          <w:b/>
          <w:bCs/>
          <w:lang w:val="en-GB" w:eastAsia="en-US"/>
        </w:rPr>
        <w:t xml:space="preserve">– </w:t>
      </w:r>
      <w:r w:rsidR="00662347" w:rsidRPr="00487834">
        <w:rPr>
          <w:rFonts w:eastAsiaTheme="minorHAnsi"/>
          <w:lang w:val="en-US" w:eastAsia="en-US"/>
        </w:rPr>
        <w:t>Cost of equity regression results without lagged predictor for the full dataset and the subsamples (Top vs</w:t>
      </w:r>
      <w:r w:rsidR="00286F41" w:rsidRPr="00487834">
        <w:rPr>
          <w:rFonts w:eastAsiaTheme="minorHAnsi"/>
          <w:lang w:val="en-US" w:eastAsia="en-US"/>
        </w:rPr>
        <w:t xml:space="preserve"> </w:t>
      </w:r>
      <w:r w:rsidR="00662347" w:rsidRPr="00487834">
        <w:rPr>
          <w:rFonts w:eastAsiaTheme="minorHAnsi"/>
          <w:lang w:val="en-US" w:eastAsia="en-US"/>
        </w:rPr>
        <w:t>medium vs underperforming ESG scores)</w:t>
      </w:r>
    </w:p>
    <w:p w14:paraId="5A67898C" w14:textId="77777777" w:rsidR="00B250C8" w:rsidRPr="00487834" w:rsidRDefault="00B250C8" w:rsidP="00F36A29">
      <w:pPr>
        <w:autoSpaceDE w:val="0"/>
        <w:autoSpaceDN w:val="0"/>
        <w:adjustRightInd w:val="0"/>
        <w:spacing w:line="300" w:lineRule="auto"/>
        <w:ind w:firstLine="0"/>
        <w:rPr>
          <w:rFonts w:eastAsiaTheme="minorHAnsi"/>
          <w:lang w:val="en-US" w:eastAsia="en-US"/>
        </w:rPr>
      </w:pPr>
    </w:p>
    <w:tbl>
      <w:tblPr>
        <w:tblW w:w="7598" w:type="dxa"/>
        <w:jc w:val="center"/>
        <w:tblLook w:val="04A0" w:firstRow="1" w:lastRow="0" w:firstColumn="1" w:lastColumn="0" w:noHBand="0" w:noVBand="1"/>
      </w:tblPr>
      <w:tblGrid>
        <w:gridCol w:w="2227"/>
        <w:gridCol w:w="1402"/>
        <w:gridCol w:w="1236"/>
        <w:gridCol w:w="1280"/>
        <w:gridCol w:w="1453"/>
      </w:tblGrid>
      <w:tr w:rsidR="00662347" w:rsidRPr="00487834" w14:paraId="487E07B7" w14:textId="77777777" w:rsidTr="00F36A29">
        <w:trPr>
          <w:trHeight w:val="300"/>
          <w:jc w:val="center"/>
        </w:trPr>
        <w:tc>
          <w:tcPr>
            <w:tcW w:w="2227" w:type="dxa"/>
            <w:tcBorders>
              <w:top w:val="single" w:sz="4" w:space="0" w:color="auto"/>
              <w:left w:val="nil"/>
              <w:bottom w:val="single" w:sz="4" w:space="0" w:color="auto"/>
              <w:right w:val="nil"/>
            </w:tcBorders>
            <w:shd w:val="clear" w:color="auto" w:fill="auto"/>
            <w:noWrap/>
            <w:vAlign w:val="center"/>
            <w:hideMark/>
          </w:tcPr>
          <w:p w14:paraId="5114A41D" w14:textId="77777777" w:rsidR="00662347" w:rsidRPr="00487834" w:rsidRDefault="00662347" w:rsidP="00C40407">
            <w:pPr>
              <w:pStyle w:val="NoSpacing"/>
            </w:pPr>
            <w:proofErr w:type="spellStart"/>
            <w:r w:rsidRPr="00487834">
              <w:t>Parameter</w:t>
            </w:r>
            <w:proofErr w:type="spellEnd"/>
          </w:p>
        </w:tc>
        <w:tc>
          <w:tcPr>
            <w:tcW w:w="1402" w:type="dxa"/>
            <w:tcBorders>
              <w:top w:val="single" w:sz="4" w:space="0" w:color="auto"/>
              <w:left w:val="nil"/>
              <w:bottom w:val="single" w:sz="4" w:space="0" w:color="auto"/>
              <w:right w:val="nil"/>
            </w:tcBorders>
            <w:shd w:val="clear" w:color="auto" w:fill="auto"/>
            <w:noWrap/>
            <w:vAlign w:val="bottom"/>
            <w:hideMark/>
          </w:tcPr>
          <w:p w14:paraId="1FE8C7BA" w14:textId="77777777" w:rsidR="00662347" w:rsidRPr="00487834" w:rsidRDefault="00662347" w:rsidP="00C40407">
            <w:pPr>
              <w:pStyle w:val="NoSpacing"/>
            </w:pPr>
            <w:proofErr w:type="spellStart"/>
            <w:r w:rsidRPr="00487834">
              <w:t>Entire</w:t>
            </w:r>
            <w:proofErr w:type="spellEnd"/>
            <w:r w:rsidRPr="00487834">
              <w:t xml:space="preserve"> </w:t>
            </w:r>
            <w:proofErr w:type="spellStart"/>
            <w:r w:rsidRPr="00487834">
              <w:t>dataset</w:t>
            </w:r>
            <w:proofErr w:type="spellEnd"/>
          </w:p>
        </w:tc>
        <w:tc>
          <w:tcPr>
            <w:tcW w:w="1236" w:type="dxa"/>
            <w:tcBorders>
              <w:top w:val="single" w:sz="4" w:space="0" w:color="auto"/>
              <w:left w:val="nil"/>
              <w:bottom w:val="single" w:sz="4" w:space="0" w:color="auto"/>
              <w:right w:val="nil"/>
            </w:tcBorders>
            <w:shd w:val="clear" w:color="auto" w:fill="auto"/>
            <w:noWrap/>
            <w:vAlign w:val="bottom"/>
            <w:hideMark/>
          </w:tcPr>
          <w:p w14:paraId="4042E038" w14:textId="77777777" w:rsidR="00662347" w:rsidRPr="00487834" w:rsidRDefault="00662347" w:rsidP="00C40407">
            <w:pPr>
              <w:pStyle w:val="NoSpacing"/>
            </w:pPr>
            <w:r w:rsidRPr="00487834">
              <w:t>Top 25%</w:t>
            </w:r>
          </w:p>
        </w:tc>
        <w:tc>
          <w:tcPr>
            <w:tcW w:w="1280" w:type="dxa"/>
            <w:tcBorders>
              <w:top w:val="single" w:sz="4" w:space="0" w:color="auto"/>
              <w:left w:val="nil"/>
              <w:bottom w:val="single" w:sz="4" w:space="0" w:color="auto"/>
              <w:right w:val="nil"/>
            </w:tcBorders>
            <w:shd w:val="clear" w:color="auto" w:fill="auto"/>
            <w:noWrap/>
            <w:vAlign w:val="bottom"/>
            <w:hideMark/>
          </w:tcPr>
          <w:p w14:paraId="60A0A047" w14:textId="77777777" w:rsidR="00662347" w:rsidRPr="00487834" w:rsidRDefault="00662347" w:rsidP="00C40407">
            <w:pPr>
              <w:pStyle w:val="NoSpacing"/>
            </w:pPr>
            <w:proofErr w:type="spellStart"/>
            <w:r w:rsidRPr="00487834">
              <w:t>Med</w:t>
            </w:r>
            <w:proofErr w:type="spellEnd"/>
            <w:r w:rsidRPr="00487834">
              <w:t>. 50%</w:t>
            </w:r>
          </w:p>
        </w:tc>
        <w:tc>
          <w:tcPr>
            <w:tcW w:w="1453" w:type="dxa"/>
            <w:tcBorders>
              <w:top w:val="single" w:sz="4" w:space="0" w:color="auto"/>
              <w:left w:val="nil"/>
              <w:bottom w:val="single" w:sz="4" w:space="0" w:color="auto"/>
              <w:right w:val="nil"/>
            </w:tcBorders>
            <w:shd w:val="clear" w:color="auto" w:fill="auto"/>
            <w:noWrap/>
            <w:vAlign w:val="bottom"/>
            <w:hideMark/>
          </w:tcPr>
          <w:p w14:paraId="0D31BF21" w14:textId="77777777" w:rsidR="00662347" w:rsidRPr="00487834" w:rsidRDefault="00662347" w:rsidP="00C40407">
            <w:pPr>
              <w:pStyle w:val="NoSpacing"/>
            </w:pPr>
            <w:proofErr w:type="spellStart"/>
            <w:r w:rsidRPr="00487834">
              <w:t>Low</w:t>
            </w:r>
            <w:proofErr w:type="spellEnd"/>
            <w:r w:rsidRPr="00487834">
              <w:t xml:space="preserve"> 25%</w:t>
            </w:r>
          </w:p>
        </w:tc>
      </w:tr>
      <w:tr w:rsidR="00662347" w:rsidRPr="00487834" w14:paraId="12060A53" w14:textId="77777777" w:rsidTr="00F36A29">
        <w:trPr>
          <w:trHeight w:val="560"/>
          <w:jc w:val="center"/>
        </w:trPr>
        <w:tc>
          <w:tcPr>
            <w:tcW w:w="2227" w:type="dxa"/>
            <w:tcBorders>
              <w:top w:val="nil"/>
              <w:left w:val="nil"/>
              <w:bottom w:val="nil"/>
              <w:right w:val="nil"/>
            </w:tcBorders>
            <w:shd w:val="clear" w:color="auto" w:fill="auto"/>
            <w:noWrap/>
            <w:vAlign w:val="center"/>
            <w:hideMark/>
          </w:tcPr>
          <w:p w14:paraId="25FAD033" w14:textId="77777777" w:rsidR="00662347" w:rsidRPr="00487834" w:rsidRDefault="00662347" w:rsidP="00C40407">
            <w:pPr>
              <w:pStyle w:val="NoSpacing"/>
            </w:pPr>
            <w:r w:rsidRPr="00487834">
              <w:t>C</w:t>
            </w:r>
          </w:p>
        </w:tc>
        <w:tc>
          <w:tcPr>
            <w:tcW w:w="1402" w:type="dxa"/>
            <w:tcBorders>
              <w:top w:val="nil"/>
              <w:left w:val="nil"/>
              <w:bottom w:val="nil"/>
              <w:right w:val="nil"/>
            </w:tcBorders>
            <w:shd w:val="clear" w:color="auto" w:fill="auto"/>
            <w:vAlign w:val="center"/>
            <w:hideMark/>
          </w:tcPr>
          <w:p w14:paraId="2211EA67" w14:textId="77777777" w:rsidR="00662347" w:rsidRPr="00487834" w:rsidRDefault="00662347" w:rsidP="00C40407">
            <w:pPr>
              <w:pStyle w:val="NoSpacing"/>
            </w:pPr>
            <w:r w:rsidRPr="00487834">
              <w:t>0.112*** (0.002)</w:t>
            </w:r>
          </w:p>
        </w:tc>
        <w:tc>
          <w:tcPr>
            <w:tcW w:w="1236" w:type="dxa"/>
            <w:tcBorders>
              <w:top w:val="nil"/>
              <w:left w:val="nil"/>
              <w:bottom w:val="nil"/>
              <w:right w:val="nil"/>
            </w:tcBorders>
            <w:shd w:val="clear" w:color="auto" w:fill="auto"/>
            <w:vAlign w:val="center"/>
            <w:hideMark/>
          </w:tcPr>
          <w:p w14:paraId="245A3BE6" w14:textId="77777777" w:rsidR="00662347" w:rsidRPr="00487834" w:rsidRDefault="00662347" w:rsidP="00C40407">
            <w:pPr>
              <w:pStyle w:val="NoSpacing"/>
            </w:pPr>
            <w:r w:rsidRPr="00487834">
              <w:t xml:space="preserve">0.0059 </w:t>
            </w:r>
            <w:proofErr w:type="gramStart"/>
            <w:r w:rsidRPr="00487834">
              <w:t xml:space="preserve">   (</w:t>
            </w:r>
            <w:proofErr w:type="gramEnd"/>
            <w:r w:rsidRPr="00487834">
              <w:t>0.056)</w:t>
            </w:r>
          </w:p>
        </w:tc>
        <w:tc>
          <w:tcPr>
            <w:tcW w:w="1280" w:type="dxa"/>
            <w:tcBorders>
              <w:top w:val="nil"/>
              <w:left w:val="nil"/>
              <w:bottom w:val="nil"/>
              <w:right w:val="nil"/>
            </w:tcBorders>
            <w:shd w:val="clear" w:color="auto" w:fill="auto"/>
            <w:vAlign w:val="center"/>
            <w:hideMark/>
          </w:tcPr>
          <w:p w14:paraId="34B8AF29" w14:textId="77777777" w:rsidR="00662347" w:rsidRPr="00487834" w:rsidRDefault="00662347" w:rsidP="00C40407">
            <w:pPr>
              <w:pStyle w:val="NoSpacing"/>
            </w:pPr>
            <w:r w:rsidRPr="00487834">
              <w:t>0.111*** (0.008)</w:t>
            </w:r>
          </w:p>
        </w:tc>
        <w:tc>
          <w:tcPr>
            <w:tcW w:w="1453" w:type="dxa"/>
            <w:tcBorders>
              <w:top w:val="nil"/>
              <w:left w:val="nil"/>
              <w:bottom w:val="nil"/>
              <w:right w:val="nil"/>
            </w:tcBorders>
            <w:shd w:val="clear" w:color="auto" w:fill="auto"/>
            <w:vAlign w:val="center"/>
            <w:hideMark/>
          </w:tcPr>
          <w:p w14:paraId="2C24921C" w14:textId="77777777" w:rsidR="00662347" w:rsidRPr="00487834" w:rsidRDefault="00662347" w:rsidP="00C40407">
            <w:pPr>
              <w:pStyle w:val="NoSpacing"/>
            </w:pPr>
            <w:r w:rsidRPr="00487834">
              <w:t>0.111*** (0.013)</w:t>
            </w:r>
          </w:p>
        </w:tc>
      </w:tr>
      <w:tr w:rsidR="00662347" w:rsidRPr="00487834" w14:paraId="33378672" w14:textId="77777777" w:rsidTr="00F36A29">
        <w:trPr>
          <w:trHeight w:val="560"/>
          <w:jc w:val="center"/>
        </w:trPr>
        <w:tc>
          <w:tcPr>
            <w:tcW w:w="2227" w:type="dxa"/>
            <w:tcBorders>
              <w:top w:val="nil"/>
              <w:left w:val="nil"/>
              <w:bottom w:val="nil"/>
              <w:right w:val="nil"/>
            </w:tcBorders>
            <w:shd w:val="clear" w:color="auto" w:fill="auto"/>
            <w:noWrap/>
            <w:vAlign w:val="center"/>
            <w:hideMark/>
          </w:tcPr>
          <w:p w14:paraId="0CC6D6F1" w14:textId="77777777" w:rsidR="00662347" w:rsidRPr="00487834" w:rsidRDefault="00662347" w:rsidP="00C40407">
            <w:pPr>
              <w:pStyle w:val="NoSpacing"/>
            </w:pPr>
            <w:r w:rsidRPr="00487834">
              <w:t>ESG</w:t>
            </w:r>
          </w:p>
        </w:tc>
        <w:tc>
          <w:tcPr>
            <w:tcW w:w="1402" w:type="dxa"/>
            <w:tcBorders>
              <w:top w:val="nil"/>
              <w:left w:val="nil"/>
              <w:bottom w:val="nil"/>
              <w:right w:val="nil"/>
            </w:tcBorders>
            <w:shd w:val="clear" w:color="auto" w:fill="auto"/>
            <w:vAlign w:val="center"/>
            <w:hideMark/>
          </w:tcPr>
          <w:p w14:paraId="43308549" w14:textId="77777777" w:rsidR="00662347" w:rsidRPr="00487834" w:rsidRDefault="00662347" w:rsidP="00C40407">
            <w:pPr>
              <w:pStyle w:val="NoSpacing"/>
            </w:pPr>
            <w:r w:rsidRPr="00487834">
              <w:t>0.0131*** (0.002)</w:t>
            </w:r>
          </w:p>
        </w:tc>
        <w:tc>
          <w:tcPr>
            <w:tcW w:w="1236" w:type="dxa"/>
            <w:tcBorders>
              <w:top w:val="nil"/>
              <w:left w:val="nil"/>
              <w:bottom w:val="nil"/>
              <w:right w:val="nil"/>
            </w:tcBorders>
            <w:shd w:val="clear" w:color="auto" w:fill="auto"/>
            <w:vAlign w:val="center"/>
            <w:hideMark/>
          </w:tcPr>
          <w:p w14:paraId="37762207" w14:textId="77777777" w:rsidR="00662347" w:rsidRPr="00487834" w:rsidRDefault="00662347" w:rsidP="00C40407">
            <w:pPr>
              <w:pStyle w:val="NoSpacing"/>
            </w:pPr>
            <w:r w:rsidRPr="00487834">
              <w:t>0.0284*** (0.01)</w:t>
            </w:r>
          </w:p>
        </w:tc>
        <w:tc>
          <w:tcPr>
            <w:tcW w:w="1280" w:type="dxa"/>
            <w:tcBorders>
              <w:top w:val="nil"/>
              <w:left w:val="nil"/>
              <w:bottom w:val="nil"/>
              <w:right w:val="nil"/>
            </w:tcBorders>
            <w:shd w:val="clear" w:color="auto" w:fill="auto"/>
            <w:vAlign w:val="center"/>
            <w:hideMark/>
          </w:tcPr>
          <w:p w14:paraId="4A043E95" w14:textId="77777777" w:rsidR="00662347" w:rsidRPr="00487834" w:rsidRDefault="00662347" w:rsidP="00C40407">
            <w:pPr>
              <w:pStyle w:val="NoSpacing"/>
            </w:pPr>
            <w:r w:rsidRPr="00487834">
              <w:t>0.0105** (0.005)</w:t>
            </w:r>
          </w:p>
        </w:tc>
        <w:tc>
          <w:tcPr>
            <w:tcW w:w="1453" w:type="dxa"/>
            <w:tcBorders>
              <w:top w:val="nil"/>
              <w:left w:val="nil"/>
              <w:bottom w:val="nil"/>
              <w:right w:val="nil"/>
            </w:tcBorders>
            <w:shd w:val="clear" w:color="auto" w:fill="auto"/>
            <w:vAlign w:val="center"/>
            <w:hideMark/>
          </w:tcPr>
          <w:p w14:paraId="1FE1C461" w14:textId="77777777" w:rsidR="00662347" w:rsidRPr="00487834" w:rsidRDefault="00662347" w:rsidP="00C40407">
            <w:pPr>
              <w:pStyle w:val="NoSpacing"/>
            </w:pPr>
            <w:r w:rsidRPr="00487834">
              <w:t>0.0092</w:t>
            </w:r>
            <w:proofErr w:type="gramStart"/>
            <w:r w:rsidRPr="00487834">
              <w:t xml:space="preserve">   (</w:t>
            </w:r>
            <w:proofErr w:type="gramEnd"/>
            <w:r w:rsidRPr="00487834">
              <w:t>0.008)</w:t>
            </w:r>
          </w:p>
        </w:tc>
      </w:tr>
      <w:tr w:rsidR="00662347" w:rsidRPr="00487834" w14:paraId="0BB2B71E" w14:textId="77777777" w:rsidTr="00F36A29">
        <w:trPr>
          <w:trHeight w:val="560"/>
          <w:jc w:val="center"/>
        </w:trPr>
        <w:tc>
          <w:tcPr>
            <w:tcW w:w="2227" w:type="dxa"/>
            <w:tcBorders>
              <w:top w:val="nil"/>
              <w:left w:val="nil"/>
              <w:bottom w:val="nil"/>
              <w:right w:val="nil"/>
            </w:tcBorders>
            <w:shd w:val="clear" w:color="auto" w:fill="auto"/>
            <w:noWrap/>
            <w:vAlign w:val="center"/>
            <w:hideMark/>
          </w:tcPr>
          <w:p w14:paraId="742D88A5" w14:textId="77777777" w:rsidR="00662347" w:rsidRPr="00487834" w:rsidRDefault="00662347" w:rsidP="00C40407">
            <w:pPr>
              <w:pStyle w:val="NoSpacing"/>
            </w:pPr>
            <w:r w:rsidRPr="00487834">
              <w:t>MCAP</w:t>
            </w:r>
          </w:p>
        </w:tc>
        <w:tc>
          <w:tcPr>
            <w:tcW w:w="1402" w:type="dxa"/>
            <w:tcBorders>
              <w:top w:val="nil"/>
              <w:left w:val="nil"/>
              <w:bottom w:val="nil"/>
              <w:right w:val="nil"/>
            </w:tcBorders>
            <w:shd w:val="clear" w:color="auto" w:fill="auto"/>
            <w:vAlign w:val="center"/>
            <w:hideMark/>
          </w:tcPr>
          <w:p w14:paraId="11E01BDA" w14:textId="77777777" w:rsidR="00662347" w:rsidRPr="00487834" w:rsidRDefault="00662347" w:rsidP="00C40407">
            <w:pPr>
              <w:pStyle w:val="NoSpacing"/>
            </w:pPr>
            <w:r w:rsidRPr="00487834">
              <w:t>-0.0014</w:t>
            </w:r>
            <w:proofErr w:type="gramStart"/>
            <w:r w:rsidRPr="00487834">
              <w:t xml:space="preserve">   (</w:t>
            </w:r>
            <w:proofErr w:type="gramEnd"/>
            <w:r w:rsidRPr="00487834">
              <w:t>0.006)</w:t>
            </w:r>
          </w:p>
        </w:tc>
        <w:tc>
          <w:tcPr>
            <w:tcW w:w="1236" w:type="dxa"/>
            <w:tcBorders>
              <w:top w:val="nil"/>
              <w:left w:val="nil"/>
              <w:bottom w:val="nil"/>
              <w:right w:val="nil"/>
            </w:tcBorders>
            <w:shd w:val="clear" w:color="auto" w:fill="auto"/>
            <w:vAlign w:val="center"/>
            <w:hideMark/>
          </w:tcPr>
          <w:p w14:paraId="5D99420D" w14:textId="77777777" w:rsidR="00662347" w:rsidRPr="00487834" w:rsidRDefault="00662347" w:rsidP="00C40407">
            <w:pPr>
              <w:pStyle w:val="NoSpacing"/>
            </w:pPr>
            <w:r w:rsidRPr="00487834">
              <w:t>0.0052</w:t>
            </w:r>
            <w:proofErr w:type="gramStart"/>
            <w:r w:rsidRPr="00487834">
              <w:t xml:space="preserve">   (</w:t>
            </w:r>
            <w:proofErr w:type="gramEnd"/>
            <w:r w:rsidRPr="00487834">
              <w:t>0.012)</w:t>
            </w:r>
          </w:p>
        </w:tc>
        <w:tc>
          <w:tcPr>
            <w:tcW w:w="1280" w:type="dxa"/>
            <w:tcBorders>
              <w:top w:val="nil"/>
              <w:left w:val="nil"/>
              <w:bottom w:val="nil"/>
              <w:right w:val="nil"/>
            </w:tcBorders>
            <w:shd w:val="clear" w:color="auto" w:fill="auto"/>
            <w:vAlign w:val="center"/>
            <w:hideMark/>
          </w:tcPr>
          <w:p w14:paraId="5B87CDFA" w14:textId="77777777" w:rsidR="00662347" w:rsidRPr="00487834" w:rsidRDefault="00662347" w:rsidP="00C40407">
            <w:pPr>
              <w:pStyle w:val="NoSpacing"/>
            </w:pPr>
            <w:r w:rsidRPr="00487834">
              <w:t>0.007</w:t>
            </w:r>
            <w:proofErr w:type="gramStart"/>
            <w:r w:rsidRPr="00487834">
              <w:t xml:space="preserve">   (</w:t>
            </w:r>
            <w:proofErr w:type="gramEnd"/>
            <w:r w:rsidRPr="00487834">
              <w:t>0.009)</w:t>
            </w:r>
          </w:p>
        </w:tc>
        <w:tc>
          <w:tcPr>
            <w:tcW w:w="1453" w:type="dxa"/>
            <w:tcBorders>
              <w:top w:val="nil"/>
              <w:left w:val="nil"/>
              <w:bottom w:val="nil"/>
              <w:right w:val="nil"/>
            </w:tcBorders>
            <w:shd w:val="clear" w:color="auto" w:fill="auto"/>
            <w:vAlign w:val="center"/>
            <w:hideMark/>
          </w:tcPr>
          <w:p w14:paraId="03F5E72F" w14:textId="77777777" w:rsidR="00662347" w:rsidRPr="00487834" w:rsidRDefault="00662347" w:rsidP="00C40407">
            <w:pPr>
              <w:pStyle w:val="NoSpacing"/>
            </w:pPr>
            <w:r w:rsidRPr="00487834">
              <w:t>-0.0339*** (0.012)</w:t>
            </w:r>
          </w:p>
        </w:tc>
      </w:tr>
      <w:tr w:rsidR="00662347" w:rsidRPr="00487834" w14:paraId="71F5030B" w14:textId="77777777" w:rsidTr="00F36A29">
        <w:trPr>
          <w:trHeight w:val="560"/>
          <w:jc w:val="center"/>
        </w:trPr>
        <w:tc>
          <w:tcPr>
            <w:tcW w:w="2227" w:type="dxa"/>
            <w:tcBorders>
              <w:top w:val="nil"/>
              <w:left w:val="nil"/>
              <w:bottom w:val="nil"/>
              <w:right w:val="nil"/>
            </w:tcBorders>
            <w:shd w:val="clear" w:color="auto" w:fill="auto"/>
            <w:noWrap/>
            <w:vAlign w:val="center"/>
            <w:hideMark/>
          </w:tcPr>
          <w:p w14:paraId="6227A07C" w14:textId="77777777" w:rsidR="00662347" w:rsidRPr="00487834" w:rsidRDefault="00662347" w:rsidP="00C40407">
            <w:pPr>
              <w:pStyle w:val="NoSpacing"/>
            </w:pPr>
            <w:r w:rsidRPr="00487834">
              <w:t>PE</w:t>
            </w:r>
          </w:p>
        </w:tc>
        <w:tc>
          <w:tcPr>
            <w:tcW w:w="1402" w:type="dxa"/>
            <w:tcBorders>
              <w:top w:val="nil"/>
              <w:left w:val="nil"/>
              <w:bottom w:val="nil"/>
              <w:right w:val="nil"/>
            </w:tcBorders>
            <w:shd w:val="clear" w:color="auto" w:fill="auto"/>
            <w:vAlign w:val="center"/>
            <w:hideMark/>
          </w:tcPr>
          <w:p w14:paraId="2544A3CB" w14:textId="77777777" w:rsidR="00662347" w:rsidRPr="00487834" w:rsidRDefault="00662347" w:rsidP="00C40407">
            <w:pPr>
              <w:pStyle w:val="NoSpacing"/>
            </w:pPr>
            <w:r w:rsidRPr="00487834">
              <w:t>-0.001*** (0.004)</w:t>
            </w:r>
          </w:p>
        </w:tc>
        <w:tc>
          <w:tcPr>
            <w:tcW w:w="1236" w:type="dxa"/>
            <w:tcBorders>
              <w:top w:val="nil"/>
              <w:left w:val="nil"/>
              <w:bottom w:val="nil"/>
              <w:right w:val="nil"/>
            </w:tcBorders>
            <w:shd w:val="clear" w:color="auto" w:fill="auto"/>
            <w:vAlign w:val="center"/>
            <w:hideMark/>
          </w:tcPr>
          <w:p w14:paraId="554C680E" w14:textId="77777777" w:rsidR="00662347" w:rsidRPr="00487834" w:rsidRDefault="00662347" w:rsidP="00C40407">
            <w:pPr>
              <w:pStyle w:val="NoSpacing"/>
            </w:pPr>
            <w:r w:rsidRPr="00487834">
              <w:t>-0.0139* (0.008)</w:t>
            </w:r>
          </w:p>
        </w:tc>
        <w:tc>
          <w:tcPr>
            <w:tcW w:w="1280" w:type="dxa"/>
            <w:tcBorders>
              <w:top w:val="nil"/>
              <w:left w:val="nil"/>
              <w:bottom w:val="nil"/>
              <w:right w:val="nil"/>
            </w:tcBorders>
            <w:shd w:val="clear" w:color="auto" w:fill="auto"/>
            <w:vAlign w:val="center"/>
            <w:hideMark/>
          </w:tcPr>
          <w:p w14:paraId="6F40BB99" w14:textId="77777777" w:rsidR="00662347" w:rsidRPr="00487834" w:rsidRDefault="00662347" w:rsidP="00C40407">
            <w:pPr>
              <w:pStyle w:val="NoSpacing"/>
            </w:pPr>
            <w:r w:rsidRPr="00487834">
              <w:t>-0.0017</w:t>
            </w:r>
            <w:proofErr w:type="gramStart"/>
            <w:r w:rsidRPr="00487834">
              <w:t xml:space="preserve">   (</w:t>
            </w:r>
            <w:proofErr w:type="gramEnd"/>
            <w:r w:rsidRPr="00487834">
              <w:t>0.005)</w:t>
            </w:r>
          </w:p>
        </w:tc>
        <w:tc>
          <w:tcPr>
            <w:tcW w:w="1453" w:type="dxa"/>
            <w:tcBorders>
              <w:top w:val="nil"/>
              <w:left w:val="nil"/>
              <w:bottom w:val="nil"/>
              <w:right w:val="nil"/>
            </w:tcBorders>
            <w:shd w:val="clear" w:color="auto" w:fill="auto"/>
            <w:vAlign w:val="center"/>
            <w:hideMark/>
          </w:tcPr>
          <w:p w14:paraId="2169C69C" w14:textId="77777777" w:rsidR="00662347" w:rsidRPr="00487834" w:rsidRDefault="00662347" w:rsidP="00C40407">
            <w:pPr>
              <w:pStyle w:val="NoSpacing"/>
            </w:pPr>
            <w:r w:rsidRPr="00487834">
              <w:t>-0.0412*** (0.012)</w:t>
            </w:r>
          </w:p>
        </w:tc>
      </w:tr>
      <w:tr w:rsidR="00662347" w:rsidRPr="00487834" w14:paraId="09361FD0" w14:textId="77777777" w:rsidTr="00F36A29">
        <w:trPr>
          <w:trHeight w:val="560"/>
          <w:jc w:val="center"/>
        </w:trPr>
        <w:tc>
          <w:tcPr>
            <w:tcW w:w="2227" w:type="dxa"/>
            <w:tcBorders>
              <w:top w:val="nil"/>
              <w:left w:val="nil"/>
              <w:bottom w:val="nil"/>
              <w:right w:val="nil"/>
            </w:tcBorders>
            <w:shd w:val="clear" w:color="auto" w:fill="auto"/>
            <w:noWrap/>
            <w:vAlign w:val="center"/>
            <w:hideMark/>
          </w:tcPr>
          <w:p w14:paraId="5F82BBEC" w14:textId="77777777" w:rsidR="00662347" w:rsidRPr="00487834" w:rsidRDefault="00662347" w:rsidP="00C40407">
            <w:pPr>
              <w:pStyle w:val="NoSpacing"/>
            </w:pPr>
            <w:r w:rsidRPr="00487834">
              <w:t>MTB</w:t>
            </w:r>
          </w:p>
        </w:tc>
        <w:tc>
          <w:tcPr>
            <w:tcW w:w="1402" w:type="dxa"/>
            <w:tcBorders>
              <w:top w:val="nil"/>
              <w:left w:val="nil"/>
              <w:bottom w:val="nil"/>
              <w:right w:val="nil"/>
            </w:tcBorders>
            <w:shd w:val="clear" w:color="auto" w:fill="auto"/>
            <w:vAlign w:val="center"/>
            <w:hideMark/>
          </w:tcPr>
          <w:p w14:paraId="35704166" w14:textId="77777777" w:rsidR="00662347" w:rsidRPr="00487834" w:rsidRDefault="00662347" w:rsidP="00C40407">
            <w:pPr>
              <w:pStyle w:val="NoSpacing"/>
            </w:pPr>
            <w:r w:rsidRPr="00487834">
              <w:t>-0.02*** (0.004)</w:t>
            </w:r>
          </w:p>
        </w:tc>
        <w:tc>
          <w:tcPr>
            <w:tcW w:w="1236" w:type="dxa"/>
            <w:tcBorders>
              <w:top w:val="nil"/>
              <w:left w:val="nil"/>
              <w:bottom w:val="nil"/>
              <w:right w:val="nil"/>
            </w:tcBorders>
            <w:shd w:val="clear" w:color="auto" w:fill="auto"/>
            <w:vAlign w:val="center"/>
            <w:hideMark/>
          </w:tcPr>
          <w:p w14:paraId="2E89B8C7" w14:textId="77777777" w:rsidR="00662347" w:rsidRPr="00487834" w:rsidRDefault="00662347" w:rsidP="00C40407">
            <w:pPr>
              <w:pStyle w:val="NoSpacing"/>
            </w:pPr>
            <w:r w:rsidRPr="00487834">
              <w:t>-0.023*** (0.008)</w:t>
            </w:r>
          </w:p>
        </w:tc>
        <w:tc>
          <w:tcPr>
            <w:tcW w:w="1280" w:type="dxa"/>
            <w:tcBorders>
              <w:top w:val="nil"/>
              <w:left w:val="nil"/>
              <w:bottom w:val="nil"/>
              <w:right w:val="nil"/>
            </w:tcBorders>
            <w:shd w:val="clear" w:color="auto" w:fill="auto"/>
            <w:vAlign w:val="center"/>
            <w:hideMark/>
          </w:tcPr>
          <w:p w14:paraId="74827225" w14:textId="77777777" w:rsidR="00662347" w:rsidRPr="00487834" w:rsidRDefault="00662347" w:rsidP="00C40407">
            <w:pPr>
              <w:pStyle w:val="NoSpacing"/>
            </w:pPr>
            <w:r w:rsidRPr="00487834">
              <w:t>-0.0191***</w:t>
            </w:r>
            <w:proofErr w:type="gramStart"/>
            <w:r w:rsidRPr="00487834">
              <w:t xml:space="preserve">   (</w:t>
            </w:r>
            <w:proofErr w:type="gramEnd"/>
            <w:r w:rsidRPr="00487834">
              <w:t>0.006)</w:t>
            </w:r>
          </w:p>
        </w:tc>
        <w:tc>
          <w:tcPr>
            <w:tcW w:w="1453" w:type="dxa"/>
            <w:tcBorders>
              <w:top w:val="nil"/>
              <w:left w:val="nil"/>
              <w:bottom w:val="nil"/>
              <w:right w:val="nil"/>
            </w:tcBorders>
            <w:shd w:val="clear" w:color="auto" w:fill="auto"/>
            <w:vAlign w:val="center"/>
            <w:hideMark/>
          </w:tcPr>
          <w:p w14:paraId="4B61FD10" w14:textId="77777777" w:rsidR="00662347" w:rsidRPr="00487834" w:rsidRDefault="00662347" w:rsidP="00C40407">
            <w:pPr>
              <w:pStyle w:val="NoSpacing"/>
            </w:pPr>
            <w:r w:rsidRPr="00487834">
              <w:t>-0.0039</w:t>
            </w:r>
            <w:proofErr w:type="gramStart"/>
            <w:r w:rsidRPr="00487834">
              <w:t xml:space="preserve">   (</w:t>
            </w:r>
            <w:proofErr w:type="gramEnd"/>
            <w:r w:rsidRPr="00487834">
              <w:t>0.007)</w:t>
            </w:r>
          </w:p>
        </w:tc>
      </w:tr>
      <w:tr w:rsidR="00662347" w:rsidRPr="00487834" w14:paraId="0DA36E9C" w14:textId="77777777" w:rsidTr="00F36A29">
        <w:trPr>
          <w:trHeight w:val="560"/>
          <w:jc w:val="center"/>
        </w:trPr>
        <w:tc>
          <w:tcPr>
            <w:tcW w:w="2227" w:type="dxa"/>
            <w:tcBorders>
              <w:top w:val="nil"/>
              <w:left w:val="nil"/>
              <w:bottom w:val="nil"/>
              <w:right w:val="nil"/>
            </w:tcBorders>
            <w:shd w:val="clear" w:color="auto" w:fill="auto"/>
            <w:noWrap/>
            <w:vAlign w:val="center"/>
            <w:hideMark/>
          </w:tcPr>
          <w:p w14:paraId="7C6F2F99" w14:textId="77777777" w:rsidR="00662347" w:rsidRPr="00487834" w:rsidRDefault="00662347" w:rsidP="00C40407">
            <w:pPr>
              <w:pStyle w:val="NoSpacing"/>
            </w:pPr>
            <w:r w:rsidRPr="00487834">
              <w:t>BETA</w:t>
            </w:r>
          </w:p>
        </w:tc>
        <w:tc>
          <w:tcPr>
            <w:tcW w:w="1402" w:type="dxa"/>
            <w:tcBorders>
              <w:top w:val="nil"/>
              <w:left w:val="nil"/>
              <w:bottom w:val="nil"/>
              <w:right w:val="nil"/>
            </w:tcBorders>
            <w:shd w:val="clear" w:color="auto" w:fill="auto"/>
            <w:vAlign w:val="center"/>
            <w:hideMark/>
          </w:tcPr>
          <w:p w14:paraId="5081F3E5" w14:textId="77777777" w:rsidR="00662347" w:rsidRPr="00487834" w:rsidRDefault="00662347" w:rsidP="00C40407">
            <w:pPr>
              <w:pStyle w:val="NoSpacing"/>
            </w:pPr>
            <w:r w:rsidRPr="00487834">
              <w:t>0.0342*** (0.002)</w:t>
            </w:r>
          </w:p>
        </w:tc>
        <w:tc>
          <w:tcPr>
            <w:tcW w:w="1236" w:type="dxa"/>
            <w:tcBorders>
              <w:top w:val="nil"/>
              <w:left w:val="nil"/>
              <w:bottom w:val="nil"/>
              <w:right w:val="nil"/>
            </w:tcBorders>
            <w:shd w:val="clear" w:color="auto" w:fill="auto"/>
            <w:vAlign w:val="center"/>
            <w:hideMark/>
          </w:tcPr>
          <w:p w14:paraId="24768703" w14:textId="77777777" w:rsidR="00662347" w:rsidRPr="00487834" w:rsidRDefault="00662347" w:rsidP="00C40407">
            <w:pPr>
              <w:pStyle w:val="NoSpacing"/>
            </w:pPr>
            <w:r w:rsidRPr="00487834">
              <w:t>0.0266*** (0.004)</w:t>
            </w:r>
          </w:p>
        </w:tc>
        <w:tc>
          <w:tcPr>
            <w:tcW w:w="1280" w:type="dxa"/>
            <w:tcBorders>
              <w:top w:val="nil"/>
              <w:left w:val="nil"/>
              <w:bottom w:val="nil"/>
              <w:right w:val="nil"/>
            </w:tcBorders>
            <w:shd w:val="clear" w:color="auto" w:fill="auto"/>
            <w:vAlign w:val="center"/>
            <w:hideMark/>
          </w:tcPr>
          <w:p w14:paraId="72264A5D" w14:textId="77777777" w:rsidR="00662347" w:rsidRPr="00487834" w:rsidRDefault="00662347" w:rsidP="00C40407">
            <w:pPr>
              <w:pStyle w:val="NoSpacing"/>
            </w:pPr>
            <w:r w:rsidRPr="00487834">
              <w:t xml:space="preserve">0.0377***    </w:t>
            </w:r>
            <w:proofErr w:type="gramStart"/>
            <w:r w:rsidRPr="00487834">
              <w:t xml:space="preserve">   (</w:t>
            </w:r>
            <w:proofErr w:type="gramEnd"/>
            <w:r w:rsidRPr="00487834">
              <w:t>0.003)</w:t>
            </w:r>
          </w:p>
        </w:tc>
        <w:tc>
          <w:tcPr>
            <w:tcW w:w="1453" w:type="dxa"/>
            <w:tcBorders>
              <w:top w:val="nil"/>
              <w:left w:val="nil"/>
              <w:bottom w:val="nil"/>
              <w:right w:val="nil"/>
            </w:tcBorders>
            <w:shd w:val="clear" w:color="auto" w:fill="auto"/>
            <w:vAlign w:val="center"/>
            <w:hideMark/>
          </w:tcPr>
          <w:p w14:paraId="41FFCE8A" w14:textId="77777777" w:rsidR="00662347" w:rsidRPr="00487834" w:rsidRDefault="00662347" w:rsidP="00C40407">
            <w:pPr>
              <w:pStyle w:val="NoSpacing"/>
            </w:pPr>
            <w:r w:rsidRPr="00487834">
              <w:t>0.283**</w:t>
            </w:r>
            <w:proofErr w:type="gramStart"/>
            <w:r w:rsidRPr="00487834">
              <w:t>*  (</w:t>
            </w:r>
            <w:proofErr w:type="gramEnd"/>
            <w:r w:rsidRPr="00487834">
              <w:t>0.005)</w:t>
            </w:r>
          </w:p>
        </w:tc>
      </w:tr>
      <w:tr w:rsidR="00662347" w:rsidRPr="00487834" w14:paraId="377D27DA" w14:textId="77777777" w:rsidTr="00F36A29">
        <w:trPr>
          <w:trHeight w:val="560"/>
          <w:jc w:val="center"/>
        </w:trPr>
        <w:tc>
          <w:tcPr>
            <w:tcW w:w="2227" w:type="dxa"/>
            <w:tcBorders>
              <w:top w:val="nil"/>
              <w:left w:val="nil"/>
              <w:bottom w:val="nil"/>
              <w:right w:val="nil"/>
            </w:tcBorders>
            <w:shd w:val="clear" w:color="auto" w:fill="auto"/>
            <w:noWrap/>
            <w:vAlign w:val="center"/>
            <w:hideMark/>
          </w:tcPr>
          <w:p w14:paraId="51D70E6B" w14:textId="77777777" w:rsidR="00662347" w:rsidRPr="00487834" w:rsidRDefault="00662347" w:rsidP="00C40407">
            <w:pPr>
              <w:pStyle w:val="NoSpacing"/>
            </w:pPr>
            <w:r w:rsidRPr="00487834">
              <w:t>ROE</w:t>
            </w:r>
          </w:p>
        </w:tc>
        <w:tc>
          <w:tcPr>
            <w:tcW w:w="1402" w:type="dxa"/>
            <w:tcBorders>
              <w:top w:val="nil"/>
              <w:left w:val="nil"/>
              <w:bottom w:val="nil"/>
              <w:right w:val="nil"/>
            </w:tcBorders>
            <w:shd w:val="clear" w:color="auto" w:fill="auto"/>
            <w:vAlign w:val="center"/>
            <w:hideMark/>
          </w:tcPr>
          <w:p w14:paraId="4250FE1B" w14:textId="77777777" w:rsidR="00662347" w:rsidRPr="00487834" w:rsidRDefault="00662347" w:rsidP="00C40407">
            <w:pPr>
              <w:pStyle w:val="NoSpacing"/>
            </w:pPr>
            <w:r w:rsidRPr="00487834">
              <w:t>0.0132</w:t>
            </w:r>
            <w:proofErr w:type="gramStart"/>
            <w:r w:rsidRPr="00487834">
              <w:t xml:space="preserve">   (</w:t>
            </w:r>
            <w:proofErr w:type="gramEnd"/>
            <w:r w:rsidRPr="00487834">
              <w:t>0.009)</w:t>
            </w:r>
          </w:p>
        </w:tc>
        <w:tc>
          <w:tcPr>
            <w:tcW w:w="1236" w:type="dxa"/>
            <w:tcBorders>
              <w:top w:val="nil"/>
              <w:left w:val="nil"/>
              <w:bottom w:val="nil"/>
              <w:right w:val="nil"/>
            </w:tcBorders>
            <w:shd w:val="clear" w:color="auto" w:fill="auto"/>
            <w:vAlign w:val="center"/>
            <w:hideMark/>
          </w:tcPr>
          <w:p w14:paraId="3831267A" w14:textId="77777777" w:rsidR="00662347" w:rsidRPr="00487834" w:rsidRDefault="00662347" w:rsidP="00C40407">
            <w:pPr>
              <w:pStyle w:val="NoSpacing"/>
            </w:pPr>
            <w:r w:rsidRPr="00487834">
              <w:t>0.0151 (0.0014)</w:t>
            </w:r>
          </w:p>
        </w:tc>
        <w:tc>
          <w:tcPr>
            <w:tcW w:w="1280" w:type="dxa"/>
            <w:tcBorders>
              <w:top w:val="nil"/>
              <w:left w:val="nil"/>
              <w:bottom w:val="nil"/>
              <w:right w:val="nil"/>
            </w:tcBorders>
            <w:shd w:val="clear" w:color="auto" w:fill="auto"/>
            <w:vAlign w:val="center"/>
            <w:hideMark/>
          </w:tcPr>
          <w:p w14:paraId="509DF9E6" w14:textId="77777777" w:rsidR="00662347" w:rsidRPr="00487834" w:rsidRDefault="00662347" w:rsidP="00C40407">
            <w:pPr>
              <w:pStyle w:val="NoSpacing"/>
            </w:pPr>
            <w:r w:rsidRPr="00487834">
              <w:t xml:space="preserve">0.009    </w:t>
            </w:r>
            <w:proofErr w:type="gramStart"/>
            <w:r w:rsidRPr="00487834">
              <w:t xml:space="preserve">   (</w:t>
            </w:r>
            <w:proofErr w:type="gramEnd"/>
            <w:r w:rsidRPr="00487834">
              <w:t>0.018)</w:t>
            </w:r>
          </w:p>
        </w:tc>
        <w:tc>
          <w:tcPr>
            <w:tcW w:w="1453" w:type="dxa"/>
            <w:tcBorders>
              <w:top w:val="nil"/>
              <w:left w:val="nil"/>
              <w:bottom w:val="nil"/>
              <w:right w:val="nil"/>
            </w:tcBorders>
            <w:shd w:val="clear" w:color="auto" w:fill="auto"/>
            <w:vAlign w:val="center"/>
            <w:hideMark/>
          </w:tcPr>
          <w:p w14:paraId="5788D5C1" w14:textId="77777777" w:rsidR="00662347" w:rsidRPr="00487834" w:rsidRDefault="00662347" w:rsidP="00C40407">
            <w:pPr>
              <w:pStyle w:val="NoSpacing"/>
            </w:pPr>
            <w:r w:rsidRPr="00487834">
              <w:t>0.0214</w:t>
            </w:r>
            <w:proofErr w:type="gramStart"/>
            <w:r w:rsidRPr="00487834">
              <w:t xml:space="preserve">   (</w:t>
            </w:r>
            <w:proofErr w:type="gramEnd"/>
            <w:r w:rsidRPr="00487834">
              <w:t>0.018)</w:t>
            </w:r>
          </w:p>
        </w:tc>
      </w:tr>
      <w:tr w:rsidR="00662347" w:rsidRPr="00487834" w14:paraId="386F17EE" w14:textId="77777777" w:rsidTr="00F36A29">
        <w:trPr>
          <w:trHeight w:val="560"/>
          <w:jc w:val="center"/>
        </w:trPr>
        <w:tc>
          <w:tcPr>
            <w:tcW w:w="2227" w:type="dxa"/>
            <w:tcBorders>
              <w:top w:val="nil"/>
              <w:left w:val="nil"/>
              <w:bottom w:val="single" w:sz="4" w:space="0" w:color="auto"/>
              <w:right w:val="nil"/>
            </w:tcBorders>
            <w:shd w:val="clear" w:color="auto" w:fill="auto"/>
            <w:noWrap/>
            <w:vAlign w:val="center"/>
            <w:hideMark/>
          </w:tcPr>
          <w:p w14:paraId="576EAEC2" w14:textId="77777777" w:rsidR="00662347" w:rsidRPr="00487834" w:rsidRDefault="00662347" w:rsidP="00C40407">
            <w:pPr>
              <w:pStyle w:val="NoSpacing"/>
            </w:pPr>
            <w:r w:rsidRPr="00487834">
              <w:t>EV/EBITDA</w:t>
            </w:r>
          </w:p>
        </w:tc>
        <w:tc>
          <w:tcPr>
            <w:tcW w:w="1402" w:type="dxa"/>
            <w:tcBorders>
              <w:top w:val="nil"/>
              <w:left w:val="nil"/>
              <w:bottom w:val="single" w:sz="4" w:space="0" w:color="auto"/>
              <w:right w:val="nil"/>
            </w:tcBorders>
            <w:shd w:val="clear" w:color="auto" w:fill="auto"/>
            <w:vAlign w:val="center"/>
            <w:hideMark/>
          </w:tcPr>
          <w:p w14:paraId="4C333D24" w14:textId="77777777" w:rsidR="00662347" w:rsidRPr="00487834" w:rsidRDefault="00662347" w:rsidP="00C40407">
            <w:pPr>
              <w:pStyle w:val="NoSpacing"/>
            </w:pPr>
            <w:r w:rsidRPr="00487834">
              <w:t>0.0209 (0.025)</w:t>
            </w:r>
          </w:p>
        </w:tc>
        <w:tc>
          <w:tcPr>
            <w:tcW w:w="1236" w:type="dxa"/>
            <w:tcBorders>
              <w:top w:val="nil"/>
              <w:left w:val="nil"/>
              <w:bottom w:val="single" w:sz="4" w:space="0" w:color="auto"/>
              <w:right w:val="nil"/>
            </w:tcBorders>
            <w:shd w:val="clear" w:color="auto" w:fill="auto"/>
            <w:vAlign w:val="center"/>
            <w:hideMark/>
          </w:tcPr>
          <w:p w14:paraId="64BD60CC" w14:textId="77777777" w:rsidR="00662347" w:rsidRPr="00487834" w:rsidRDefault="00662347" w:rsidP="00C40407">
            <w:pPr>
              <w:pStyle w:val="NoSpacing"/>
            </w:pPr>
            <w:r w:rsidRPr="00487834">
              <w:t>-0.748</w:t>
            </w:r>
            <w:proofErr w:type="gramStart"/>
            <w:r w:rsidRPr="00487834">
              <w:t xml:space="preserve">   (</w:t>
            </w:r>
            <w:proofErr w:type="gramEnd"/>
            <w:r w:rsidRPr="00487834">
              <w:t>0.627)</w:t>
            </w:r>
          </w:p>
        </w:tc>
        <w:tc>
          <w:tcPr>
            <w:tcW w:w="1280" w:type="dxa"/>
            <w:tcBorders>
              <w:top w:val="nil"/>
              <w:left w:val="nil"/>
              <w:bottom w:val="single" w:sz="4" w:space="0" w:color="auto"/>
              <w:right w:val="nil"/>
            </w:tcBorders>
            <w:shd w:val="clear" w:color="auto" w:fill="auto"/>
            <w:vAlign w:val="center"/>
            <w:hideMark/>
          </w:tcPr>
          <w:p w14:paraId="50376054" w14:textId="77777777" w:rsidR="00662347" w:rsidRPr="00487834" w:rsidRDefault="00662347" w:rsidP="00C40407">
            <w:pPr>
              <w:pStyle w:val="NoSpacing"/>
            </w:pPr>
            <w:r w:rsidRPr="00487834">
              <w:t xml:space="preserve">-0.0243      </w:t>
            </w:r>
            <w:proofErr w:type="gramStart"/>
            <w:r w:rsidRPr="00487834">
              <w:t xml:space="preserve">   (</w:t>
            </w:r>
            <w:proofErr w:type="gramEnd"/>
            <w:r w:rsidRPr="00487834">
              <w:t>0.095)</w:t>
            </w:r>
          </w:p>
        </w:tc>
        <w:tc>
          <w:tcPr>
            <w:tcW w:w="1453" w:type="dxa"/>
            <w:tcBorders>
              <w:top w:val="nil"/>
              <w:left w:val="nil"/>
              <w:bottom w:val="single" w:sz="4" w:space="0" w:color="auto"/>
              <w:right w:val="nil"/>
            </w:tcBorders>
            <w:shd w:val="clear" w:color="auto" w:fill="auto"/>
            <w:vAlign w:val="center"/>
            <w:hideMark/>
          </w:tcPr>
          <w:p w14:paraId="777757C5" w14:textId="77777777" w:rsidR="00662347" w:rsidRPr="00487834" w:rsidRDefault="00662347" w:rsidP="00C40407">
            <w:pPr>
              <w:pStyle w:val="NoSpacing"/>
            </w:pPr>
            <w:proofErr w:type="gramStart"/>
            <w:r w:rsidRPr="00487834">
              <w:t>0.0526  (</w:t>
            </w:r>
            <w:proofErr w:type="gramEnd"/>
            <w:r w:rsidRPr="00487834">
              <w:t>0.048)</w:t>
            </w:r>
          </w:p>
        </w:tc>
      </w:tr>
    </w:tbl>
    <w:p w14:paraId="18F5C694" w14:textId="77777777" w:rsidR="00A27CB9" w:rsidRPr="00487834" w:rsidRDefault="00050324" w:rsidP="003128F6">
      <w:pPr>
        <w:autoSpaceDE w:val="0"/>
        <w:autoSpaceDN w:val="0"/>
        <w:adjustRightInd w:val="0"/>
        <w:spacing w:line="300" w:lineRule="auto"/>
        <w:rPr>
          <w:rFonts w:eastAsiaTheme="minorHAnsi"/>
          <w:lang w:val="en-US" w:eastAsia="en-US"/>
        </w:rPr>
      </w:pPr>
      <w:r>
        <w:rPr>
          <w:rFonts w:eastAsiaTheme="minorHAnsi"/>
          <w:noProof/>
          <w:lang w:val="en-US" w:eastAsia="en-US"/>
        </w:rPr>
        <w:pict w14:anchorId="5E674F7B">
          <v:shape id="_x0000_s1029" type="#_x0000_t202" alt="" style="position:absolute;left:0;text-align:left;margin-left:39.45pt;margin-top:14.3pt;width:423pt;height:41.25pt;z-index:251673600;visibility:visible;mso-wrap-style:square;mso-wrap-edited:f;mso-width-percent:0;mso-height-percent:0;mso-position-horizontal-relative:text;mso-position-vertical-relative:text;mso-width-percent:0;mso-height-percent:0;mso-width-relative:margin;mso-height-relative:margin;v-text-anchor:top" fillcolor="white [3201]">
            <v:textbox>
              <w:txbxContent>
                <w:p w14:paraId="3E49A2FB" w14:textId="77777777" w:rsidR="00F36A29" w:rsidRPr="00E5055A" w:rsidRDefault="00F36A29" w:rsidP="00932B4B">
                  <w:pPr>
                    <w:spacing w:before="240"/>
                    <w:jc w:val="center"/>
                    <w:rPr>
                      <w:sz w:val="20"/>
                      <w:szCs w:val="20"/>
                      <w:lang w:val="en-US"/>
                    </w:rPr>
                  </w:pPr>
                  <w:r w:rsidRPr="00E5055A">
                    <w:rPr>
                      <w:sz w:val="20"/>
                      <w:szCs w:val="20"/>
                      <w:lang w:val="en-US"/>
                    </w:rPr>
                    <w:t>*** - significant at a 1% level, ** - significant at a 5% level, * - significant at a 10% level</w:t>
                  </w:r>
                </w:p>
              </w:txbxContent>
            </v:textbox>
          </v:shape>
        </w:pict>
      </w:r>
    </w:p>
    <w:p w14:paraId="27CFC953" w14:textId="77777777" w:rsidR="00A27CB9" w:rsidRPr="00487834" w:rsidRDefault="00A27CB9" w:rsidP="003128F6">
      <w:pPr>
        <w:autoSpaceDE w:val="0"/>
        <w:autoSpaceDN w:val="0"/>
        <w:adjustRightInd w:val="0"/>
        <w:spacing w:line="300" w:lineRule="auto"/>
        <w:rPr>
          <w:rFonts w:eastAsiaTheme="minorHAnsi"/>
          <w:lang w:val="en-US" w:eastAsia="en-US"/>
        </w:rPr>
      </w:pPr>
    </w:p>
    <w:p w14:paraId="696B3969" w14:textId="77777777" w:rsidR="00A27CB9" w:rsidRPr="00487834" w:rsidRDefault="00A27CB9" w:rsidP="003128F6">
      <w:pPr>
        <w:autoSpaceDE w:val="0"/>
        <w:autoSpaceDN w:val="0"/>
        <w:adjustRightInd w:val="0"/>
        <w:spacing w:line="300" w:lineRule="auto"/>
        <w:rPr>
          <w:rFonts w:eastAsiaTheme="minorHAnsi"/>
          <w:lang w:val="en-US" w:eastAsia="en-US"/>
        </w:rPr>
      </w:pPr>
    </w:p>
    <w:p w14:paraId="51865D31" w14:textId="77777777" w:rsidR="00A27CB9" w:rsidRPr="00487834" w:rsidRDefault="00A27CB9" w:rsidP="003128F6">
      <w:pPr>
        <w:autoSpaceDE w:val="0"/>
        <w:autoSpaceDN w:val="0"/>
        <w:adjustRightInd w:val="0"/>
        <w:spacing w:line="300" w:lineRule="auto"/>
        <w:rPr>
          <w:rFonts w:eastAsiaTheme="minorHAnsi"/>
          <w:lang w:val="en-US" w:eastAsia="en-US"/>
        </w:rPr>
      </w:pPr>
    </w:p>
    <w:tbl>
      <w:tblPr>
        <w:tblW w:w="7200" w:type="dxa"/>
        <w:jc w:val="center"/>
        <w:tblLook w:val="04A0" w:firstRow="1" w:lastRow="0" w:firstColumn="1" w:lastColumn="0" w:noHBand="0" w:noVBand="1"/>
      </w:tblPr>
      <w:tblGrid>
        <w:gridCol w:w="2040"/>
        <w:gridCol w:w="1300"/>
        <w:gridCol w:w="1300"/>
        <w:gridCol w:w="1280"/>
        <w:gridCol w:w="1280"/>
      </w:tblGrid>
      <w:tr w:rsidR="00FE60D4" w:rsidRPr="00487834" w14:paraId="587B8076" w14:textId="77777777" w:rsidTr="00FE60D4">
        <w:trPr>
          <w:trHeight w:val="540"/>
          <w:jc w:val="center"/>
        </w:trPr>
        <w:tc>
          <w:tcPr>
            <w:tcW w:w="2040" w:type="dxa"/>
            <w:tcBorders>
              <w:top w:val="single" w:sz="4" w:space="0" w:color="auto"/>
              <w:left w:val="nil"/>
              <w:bottom w:val="nil"/>
              <w:right w:val="nil"/>
            </w:tcBorders>
            <w:shd w:val="clear" w:color="auto" w:fill="auto"/>
            <w:noWrap/>
            <w:vAlign w:val="center"/>
            <w:hideMark/>
          </w:tcPr>
          <w:p w14:paraId="2AB1F7CB" w14:textId="77777777" w:rsidR="00FE60D4" w:rsidRPr="00487834" w:rsidRDefault="00FE60D4" w:rsidP="00F36A29">
            <w:pPr>
              <w:pStyle w:val="NoSpacing"/>
            </w:pPr>
            <w:r w:rsidRPr="00487834">
              <w:t xml:space="preserve">Type </w:t>
            </w:r>
            <w:proofErr w:type="spellStart"/>
            <w:r w:rsidRPr="00487834">
              <w:t>of</w:t>
            </w:r>
            <w:proofErr w:type="spellEnd"/>
            <w:r w:rsidRPr="00487834">
              <w:t xml:space="preserve"> </w:t>
            </w:r>
            <w:proofErr w:type="spellStart"/>
            <w:r w:rsidRPr="00487834">
              <w:t>model</w:t>
            </w:r>
            <w:proofErr w:type="spellEnd"/>
          </w:p>
        </w:tc>
        <w:tc>
          <w:tcPr>
            <w:tcW w:w="1300" w:type="dxa"/>
            <w:tcBorders>
              <w:top w:val="single" w:sz="4" w:space="0" w:color="auto"/>
              <w:left w:val="nil"/>
              <w:bottom w:val="nil"/>
              <w:right w:val="nil"/>
            </w:tcBorders>
            <w:shd w:val="clear" w:color="auto" w:fill="auto"/>
            <w:vAlign w:val="center"/>
            <w:hideMark/>
          </w:tcPr>
          <w:p w14:paraId="087BFC2B" w14:textId="77777777" w:rsidR="00FE60D4" w:rsidRPr="00487834" w:rsidRDefault="00FE60D4" w:rsidP="00F36A29">
            <w:pPr>
              <w:pStyle w:val="NoSpacing"/>
            </w:pPr>
            <w:proofErr w:type="spellStart"/>
            <w:r w:rsidRPr="00487834">
              <w:t>Fixed</w:t>
            </w:r>
            <w:proofErr w:type="spellEnd"/>
          </w:p>
        </w:tc>
        <w:tc>
          <w:tcPr>
            <w:tcW w:w="1300" w:type="dxa"/>
            <w:tcBorders>
              <w:top w:val="single" w:sz="4" w:space="0" w:color="auto"/>
              <w:left w:val="nil"/>
              <w:bottom w:val="nil"/>
              <w:right w:val="nil"/>
            </w:tcBorders>
            <w:shd w:val="clear" w:color="auto" w:fill="auto"/>
            <w:vAlign w:val="center"/>
            <w:hideMark/>
          </w:tcPr>
          <w:p w14:paraId="1785B3CC" w14:textId="77777777" w:rsidR="00FE60D4" w:rsidRPr="00487834" w:rsidRDefault="00FE60D4" w:rsidP="00F36A29">
            <w:pPr>
              <w:pStyle w:val="NoSpacing"/>
            </w:pPr>
            <w:proofErr w:type="spellStart"/>
            <w:r w:rsidRPr="00487834">
              <w:t>Fixed</w:t>
            </w:r>
            <w:proofErr w:type="spellEnd"/>
          </w:p>
        </w:tc>
        <w:tc>
          <w:tcPr>
            <w:tcW w:w="1280" w:type="dxa"/>
            <w:tcBorders>
              <w:top w:val="single" w:sz="4" w:space="0" w:color="auto"/>
              <w:left w:val="nil"/>
              <w:bottom w:val="nil"/>
              <w:right w:val="nil"/>
            </w:tcBorders>
            <w:shd w:val="clear" w:color="auto" w:fill="auto"/>
            <w:vAlign w:val="center"/>
            <w:hideMark/>
          </w:tcPr>
          <w:p w14:paraId="7F4F5918" w14:textId="77777777" w:rsidR="00FE60D4" w:rsidRPr="00487834" w:rsidRDefault="00FE60D4" w:rsidP="00F36A29">
            <w:pPr>
              <w:pStyle w:val="NoSpacing"/>
            </w:pPr>
            <w:proofErr w:type="spellStart"/>
            <w:r w:rsidRPr="00487834">
              <w:t>Fixed</w:t>
            </w:r>
            <w:proofErr w:type="spellEnd"/>
          </w:p>
        </w:tc>
        <w:tc>
          <w:tcPr>
            <w:tcW w:w="1280" w:type="dxa"/>
            <w:tcBorders>
              <w:top w:val="single" w:sz="4" w:space="0" w:color="auto"/>
              <w:left w:val="nil"/>
              <w:bottom w:val="nil"/>
              <w:right w:val="nil"/>
            </w:tcBorders>
            <w:shd w:val="clear" w:color="auto" w:fill="auto"/>
            <w:vAlign w:val="center"/>
            <w:hideMark/>
          </w:tcPr>
          <w:p w14:paraId="2219F292" w14:textId="77777777" w:rsidR="00FE60D4" w:rsidRPr="00487834" w:rsidRDefault="00FE60D4" w:rsidP="00F36A29">
            <w:pPr>
              <w:pStyle w:val="NoSpacing"/>
            </w:pPr>
            <w:proofErr w:type="spellStart"/>
            <w:r w:rsidRPr="00487834">
              <w:t>Fixed</w:t>
            </w:r>
            <w:proofErr w:type="spellEnd"/>
          </w:p>
        </w:tc>
      </w:tr>
      <w:tr w:rsidR="00FE60D4" w:rsidRPr="00487834" w14:paraId="115D2728" w14:textId="77777777" w:rsidTr="00FE60D4">
        <w:trPr>
          <w:trHeight w:val="540"/>
          <w:jc w:val="center"/>
        </w:trPr>
        <w:tc>
          <w:tcPr>
            <w:tcW w:w="2040" w:type="dxa"/>
            <w:tcBorders>
              <w:top w:val="nil"/>
              <w:left w:val="nil"/>
              <w:bottom w:val="nil"/>
              <w:right w:val="nil"/>
            </w:tcBorders>
            <w:shd w:val="clear" w:color="auto" w:fill="auto"/>
            <w:noWrap/>
            <w:vAlign w:val="center"/>
            <w:hideMark/>
          </w:tcPr>
          <w:p w14:paraId="14FC1C44" w14:textId="77777777" w:rsidR="00FE60D4" w:rsidRPr="00487834" w:rsidRDefault="00FE60D4" w:rsidP="00F36A29">
            <w:pPr>
              <w:pStyle w:val="NoSpacing"/>
            </w:pPr>
            <w:r w:rsidRPr="00487834">
              <w:t xml:space="preserve">N </w:t>
            </w:r>
            <w:proofErr w:type="spellStart"/>
            <w:r w:rsidRPr="00487834">
              <w:t>of</w:t>
            </w:r>
            <w:proofErr w:type="spellEnd"/>
            <w:r w:rsidRPr="00487834">
              <w:t xml:space="preserve"> </w:t>
            </w:r>
            <w:proofErr w:type="spellStart"/>
            <w:r w:rsidRPr="00487834">
              <w:t>obs</w:t>
            </w:r>
            <w:proofErr w:type="spellEnd"/>
            <w:r w:rsidRPr="00487834">
              <w:t>.</w:t>
            </w:r>
          </w:p>
        </w:tc>
        <w:tc>
          <w:tcPr>
            <w:tcW w:w="1300" w:type="dxa"/>
            <w:tcBorders>
              <w:top w:val="nil"/>
              <w:left w:val="nil"/>
              <w:bottom w:val="nil"/>
              <w:right w:val="nil"/>
            </w:tcBorders>
            <w:shd w:val="clear" w:color="auto" w:fill="auto"/>
            <w:noWrap/>
            <w:vAlign w:val="center"/>
            <w:hideMark/>
          </w:tcPr>
          <w:p w14:paraId="26D517AC" w14:textId="77777777" w:rsidR="00FE60D4" w:rsidRPr="00487834" w:rsidRDefault="00FE60D4" w:rsidP="00F36A29">
            <w:pPr>
              <w:pStyle w:val="NoSpacing"/>
            </w:pPr>
            <w:r w:rsidRPr="00487834">
              <w:t>1238</w:t>
            </w:r>
          </w:p>
        </w:tc>
        <w:tc>
          <w:tcPr>
            <w:tcW w:w="1300" w:type="dxa"/>
            <w:tcBorders>
              <w:top w:val="nil"/>
              <w:left w:val="nil"/>
              <w:bottom w:val="nil"/>
              <w:right w:val="nil"/>
            </w:tcBorders>
            <w:shd w:val="clear" w:color="auto" w:fill="auto"/>
            <w:noWrap/>
            <w:vAlign w:val="center"/>
            <w:hideMark/>
          </w:tcPr>
          <w:p w14:paraId="57F9F973" w14:textId="77777777" w:rsidR="00FE60D4" w:rsidRPr="00487834" w:rsidRDefault="00FE60D4" w:rsidP="00F36A29">
            <w:pPr>
              <w:pStyle w:val="NoSpacing"/>
            </w:pPr>
            <w:r w:rsidRPr="00487834">
              <w:t>309</w:t>
            </w:r>
          </w:p>
        </w:tc>
        <w:tc>
          <w:tcPr>
            <w:tcW w:w="1280" w:type="dxa"/>
            <w:tcBorders>
              <w:top w:val="nil"/>
              <w:left w:val="nil"/>
              <w:bottom w:val="nil"/>
              <w:right w:val="nil"/>
            </w:tcBorders>
            <w:shd w:val="clear" w:color="auto" w:fill="auto"/>
            <w:noWrap/>
            <w:vAlign w:val="center"/>
            <w:hideMark/>
          </w:tcPr>
          <w:p w14:paraId="2BE3940F" w14:textId="77777777" w:rsidR="00FE60D4" w:rsidRPr="00487834" w:rsidRDefault="00FE60D4" w:rsidP="00F36A29">
            <w:pPr>
              <w:pStyle w:val="NoSpacing"/>
            </w:pPr>
            <w:r w:rsidRPr="00487834">
              <w:t>618</w:t>
            </w:r>
          </w:p>
        </w:tc>
        <w:tc>
          <w:tcPr>
            <w:tcW w:w="1280" w:type="dxa"/>
            <w:tcBorders>
              <w:top w:val="nil"/>
              <w:left w:val="nil"/>
              <w:bottom w:val="nil"/>
              <w:right w:val="nil"/>
            </w:tcBorders>
            <w:shd w:val="clear" w:color="auto" w:fill="auto"/>
            <w:noWrap/>
            <w:vAlign w:val="center"/>
            <w:hideMark/>
          </w:tcPr>
          <w:p w14:paraId="54B3D0C6" w14:textId="77777777" w:rsidR="00FE60D4" w:rsidRPr="00487834" w:rsidRDefault="00FE60D4" w:rsidP="00F36A29">
            <w:pPr>
              <w:pStyle w:val="NoSpacing"/>
            </w:pPr>
            <w:r w:rsidRPr="00487834">
              <w:t>310</w:t>
            </w:r>
          </w:p>
        </w:tc>
      </w:tr>
      <w:tr w:rsidR="00FE60D4" w:rsidRPr="00487834" w14:paraId="55C15C51" w14:textId="77777777" w:rsidTr="00FE60D4">
        <w:trPr>
          <w:trHeight w:val="560"/>
          <w:jc w:val="center"/>
        </w:trPr>
        <w:tc>
          <w:tcPr>
            <w:tcW w:w="2040" w:type="dxa"/>
            <w:tcBorders>
              <w:top w:val="nil"/>
              <w:left w:val="nil"/>
              <w:bottom w:val="nil"/>
              <w:right w:val="nil"/>
            </w:tcBorders>
            <w:shd w:val="clear" w:color="auto" w:fill="auto"/>
            <w:noWrap/>
            <w:vAlign w:val="center"/>
            <w:hideMark/>
          </w:tcPr>
          <w:p w14:paraId="3DB3DA3C" w14:textId="77777777" w:rsidR="00FE60D4" w:rsidRPr="00487834" w:rsidRDefault="00FE60D4" w:rsidP="00F36A29">
            <w:pPr>
              <w:pStyle w:val="NoSpacing"/>
            </w:pPr>
            <w:r w:rsidRPr="00487834">
              <w:t>R-</w:t>
            </w:r>
            <w:proofErr w:type="spellStart"/>
            <w:r w:rsidRPr="00487834">
              <w:t>sq</w:t>
            </w:r>
            <w:proofErr w:type="spellEnd"/>
            <w:r w:rsidRPr="00487834">
              <w:t>.</w:t>
            </w:r>
          </w:p>
        </w:tc>
        <w:tc>
          <w:tcPr>
            <w:tcW w:w="1300" w:type="dxa"/>
            <w:tcBorders>
              <w:top w:val="nil"/>
              <w:left w:val="nil"/>
              <w:bottom w:val="nil"/>
              <w:right w:val="nil"/>
            </w:tcBorders>
            <w:shd w:val="clear" w:color="auto" w:fill="auto"/>
            <w:vAlign w:val="center"/>
            <w:hideMark/>
          </w:tcPr>
          <w:p w14:paraId="37C80C2F" w14:textId="77777777" w:rsidR="00FE60D4" w:rsidRPr="00487834" w:rsidRDefault="00FE60D4" w:rsidP="00F36A29">
            <w:pPr>
              <w:pStyle w:val="NoSpacing"/>
            </w:pPr>
            <w:r w:rsidRPr="00487834">
              <w:t>0.666</w:t>
            </w:r>
          </w:p>
        </w:tc>
        <w:tc>
          <w:tcPr>
            <w:tcW w:w="1300" w:type="dxa"/>
            <w:tcBorders>
              <w:top w:val="nil"/>
              <w:left w:val="nil"/>
              <w:bottom w:val="nil"/>
              <w:right w:val="nil"/>
            </w:tcBorders>
            <w:shd w:val="clear" w:color="auto" w:fill="auto"/>
            <w:noWrap/>
            <w:vAlign w:val="center"/>
            <w:hideMark/>
          </w:tcPr>
          <w:p w14:paraId="10883F7E" w14:textId="77777777" w:rsidR="00FE60D4" w:rsidRPr="00487834" w:rsidRDefault="00FE60D4" w:rsidP="00F36A29">
            <w:pPr>
              <w:pStyle w:val="NoSpacing"/>
            </w:pPr>
            <w:r w:rsidRPr="00487834">
              <w:t>0.591</w:t>
            </w:r>
          </w:p>
        </w:tc>
        <w:tc>
          <w:tcPr>
            <w:tcW w:w="1280" w:type="dxa"/>
            <w:tcBorders>
              <w:top w:val="nil"/>
              <w:left w:val="nil"/>
              <w:bottom w:val="nil"/>
              <w:right w:val="nil"/>
            </w:tcBorders>
            <w:shd w:val="clear" w:color="auto" w:fill="auto"/>
            <w:vAlign w:val="center"/>
            <w:hideMark/>
          </w:tcPr>
          <w:p w14:paraId="55F88523" w14:textId="77777777" w:rsidR="00FE60D4" w:rsidRPr="00487834" w:rsidRDefault="00FE60D4" w:rsidP="00F36A29">
            <w:pPr>
              <w:pStyle w:val="NoSpacing"/>
            </w:pPr>
            <w:r w:rsidRPr="00487834">
              <w:t>0.728</w:t>
            </w:r>
          </w:p>
        </w:tc>
        <w:tc>
          <w:tcPr>
            <w:tcW w:w="1280" w:type="dxa"/>
            <w:tcBorders>
              <w:top w:val="nil"/>
              <w:left w:val="nil"/>
              <w:bottom w:val="nil"/>
              <w:right w:val="nil"/>
            </w:tcBorders>
            <w:shd w:val="clear" w:color="auto" w:fill="auto"/>
            <w:noWrap/>
            <w:vAlign w:val="center"/>
            <w:hideMark/>
          </w:tcPr>
          <w:p w14:paraId="3A186AAE" w14:textId="77777777" w:rsidR="00FE60D4" w:rsidRPr="00487834" w:rsidRDefault="00FE60D4" w:rsidP="00F36A29">
            <w:pPr>
              <w:pStyle w:val="NoSpacing"/>
            </w:pPr>
            <w:r w:rsidRPr="00487834">
              <w:t>0.788</w:t>
            </w:r>
          </w:p>
        </w:tc>
      </w:tr>
      <w:tr w:rsidR="00FE60D4" w:rsidRPr="00487834" w14:paraId="14BB1A1B" w14:textId="77777777" w:rsidTr="00FE60D4">
        <w:trPr>
          <w:trHeight w:val="600"/>
          <w:jc w:val="center"/>
        </w:trPr>
        <w:tc>
          <w:tcPr>
            <w:tcW w:w="2040" w:type="dxa"/>
            <w:tcBorders>
              <w:top w:val="nil"/>
              <w:left w:val="nil"/>
              <w:bottom w:val="nil"/>
              <w:right w:val="nil"/>
            </w:tcBorders>
            <w:shd w:val="clear" w:color="auto" w:fill="auto"/>
            <w:noWrap/>
            <w:vAlign w:val="center"/>
            <w:hideMark/>
          </w:tcPr>
          <w:p w14:paraId="75FF77B9" w14:textId="77777777" w:rsidR="00FE60D4" w:rsidRPr="00487834" w:rsidRDefault="00FE60D4" w:rsidP="00F36A29">
            <w:pPr>
              <w:pStyle w:val="NoSpacing"/>
            </w:pPr>
            <w:proofErr w:type="spellStart"/>
            <w:r w:rsidRPr="00487834">
              <w:t>Adj</w:t>
            </w:r>
            <w:proofErr w:type="spellEnd"/>
            <w:r w:rsidRPr="00487834">
              <w:t>. R-</w:t>
            </w:r>
            <w:proofErr w:type="spellStart"/>
            <w:r w:rsidRPr="00487834">
              <w:t>sq</w:t>
            </w:r>
            <w:proofErr w:type="spellEnd"/>
            <w:r w:rsidRPr="00487834">
              <w:t>.</w:t>
            </w:r>
          </w:p>
        </w:tc>
        <w:tc>
          <w:tcPr>
            <w:tcW w:w="1300" w:type="dxa"/>
            <w:tcBorders>
              <w:top w:val="nil"/>
              <w:left w:val="nil"/>
              <w:bottom w:val="nil"/>
              <w:right w:val="nil"/>
            </w:tcBorders>
            <w:shd w:val="clear" w:color="auto" w:fill="auto"/>
            <w:vAlign w:val="center"/>
            <w:hideMark/>
          </w:tcPr>
          <w:p w14:paraId="64A0EE6A" w14:textId="77777777" w:rsidR="00FE60D4" w:rsidRPr="00487834" w:rsidRDefault="00FE60D4" w:rsidP="00F36A29">
            <w:pPr>
              <w:pStyle w:val="NoSpacing"/>
            </w:pPr>
            <w:r w:rsidRPr="00487834">
              <w:t>0.582</w:t>
            </w:r>
          </w:p>
        </w:tc>
        <w:tc>
          <w:tcPr>
            <w:tcW w:w="1300" w:type="dxa"/>
            <w:tcBorders>
              <w:top w:val="nil"/>
              <w:left w:val="nil"/>
              <w:bottom w:val="nil"/>
              <w:right w:val="nil"/>
            </w:tcBorders>
            <w:shd w:val="clear" w:color="auto" w:fill="auto"/>
            <w:noWrap/>
            <w:vAlign w:val="center"/>
            <w:hideMark/>
          </w:tcPr>
          <w:p w14:paraId="0CE73C3E" w14:textId="77777777" w:rsidR="00FE60D4" w:rsidRPr="00487834" w:rsidRDefault="00FE60D4" w:rsidP="00F36A29">
            <w:pPr>
              <w:pStyle w:val="NoSpacing"/>
            </w:pPr>
            <w:r w:rsidRPr="00487834">
              <w:t>0.435</w:t>
            </w:r>
          </w:p>
        </w:tc>
        <w:tc>
          <w:tcPr>
            <w:tcW w:w="1280" w:type="dxa"/>
            <w:tcBorders>
              <w:top w:val="nil"/>
              <w:left w:val="nil"/>
              <w:bottom w:val="nil"/>
              <w:right w:val="nil"/>
            </w:tcBorders>
            <w:shd w:val="clear" w:color="auto" w:fill="auto"/>
            <w:noWrap/>
            <w:vAlign w:val="center"/>
            <w:hideMark/>
          </w:tcPr>
          <w:p w14:paraId="1DFEC0EF" w14:textId="77777777" w:rsidR="00FE60D4" w:rsidRPr="00487834" w:rsidRDefault="00FE60D4" w:rsidP="00F36A29">
            <w:pPr>
              <w:pStyle w:val="NoSpacing"/>
            </w:pPr>
            <w:r w:rsidRPr="00487834">
              <w:t>0.619</w:t>
            </w:r>
          </w:p>
        </w:tc>
        <w:tc>
          <w:tcPr>
            <w:tcW w:w="1280" w:type="dxa"/>
            <w:tcBorders>
              <w:top w:val="nil"/>
              <w:left w:val="nil"/>
              <w:bottom w:val="nil"/>
              <w:right w:val="nil"/>
            </w:tcBorders>
            <w:shd w:val="clear" w:color="auto" w:fill="auto"/>
            <w:noWrap/>
            <w:vAlign w:val="center"/>
            <w:hideMark/>
          </w:tcPr>
          <w:p w14:paraId="513C6352" w14:textId="77777777" w:rsidR="00FE60D4" w:rsidRPr="00487834" w:rsidRDefault="00FE60D4" w:rsidP="00F36A29">
            <w:pPr>
              <w:pStyle w:val="NoSpacing"/>
            </w:pPr>
            <w:r w:rsidRPr="00487834">
              <w:t>0.671</w:t>
            </w:r>
          </w:p>
        </w:tc>
      </w:tr>
      <w:tr w:rsidR="00FE60D4" w:rsidRPr="00487834" w14:paraId="7BCF30E2" w14:textId="77777777" w:rsidTr="00FE60D4">
        <w:trPr>
          <w:trHeight w:val="560"/>
          <w:jc w:val="center"/>
        </w:trPr>
        <w:tc>
          <w:tcPr>
            <w:tcW w:w="2040" w:type="dxa"/>
            <w:tcBorders>
              <w:top w:val="nil"/>
              <w:left w:val="nil"/>
              <w:bottom w:val="nil"/>
              <w:right w:val="nil"/>
            </w:tcBorders>
            <w:shd w:val="clear" w:color="auto" w:fill="auto"/>
            <w:noWrap/>
            <w:vAlign w:val="center"/>
            <w:hideMark/>
          </w:tcPr>
          <w:p w14:paraId="68E54510" w14:textId="77777777" w:rsidR="00FE60D4" w:rsidRPr="00487834" w:rsidRDefault="00FE60D4" w:rsidP="00F36A29">
            <w:pPr>
              <w:pStyle w:val="NoSpacing"/>
            </w:pPr>
            <w:r w:rsidRPr="00487834">
              <w:t xml:space="preserve">Year </w:t>
            </w:r>
            <w:proofErr w:type="spellStart"/>
            <w:r w:rsidRPr="00487834">
              <w:t>effects</w:t>
            </w:r>
            <w:proofErr w:type="spellEnd"/>
          </w:p>
        </w:tc>
        <w:tc>
          <w:tcPr>
            <w:tcW w:w="1300" w:type="dxa"/>
            <w:tcBorders>
              <w:top w:val="nil"/>
              <w:left w:val="nil"/>
              <w:bottom w:val="nil"/>
              <w:right w:val="nil"/>
            </w:tcBorders>
            <w:shd w:val="clear" w:color="auto" w:fill="auto"/>
            <w:vAlign w:val="center"/>
            <w:hideMark/>
          </w:tcPr>
          <w:p w14:paraId="3E976D0D" w14:textId="77777777" w:rsidR="00FE60D4" w:rsidRPr="00487834" w:rsidRDefault="00FE60D4" w:rsidP="00F36A29">
            <w:pPr>
              <w:pStyle w:val="NoSpacing"/>
            </w:pPr>
            <w:r w:rsidRPr="00487834">
              <w:t>Yes</w:t>
            </w:r>
          </w:p>
        </w:tc>
        <w:tc>
          <w:tcPr>
            <w:tcW w:w="1300" w:type="dxa"/>
            <w:tcBorders>
              <w:top w:val="nil"/>
              <w:left w:val="nil"/>
              <w:bottom w:val="nil"/>
              <w:right w:val="nil"/>
            </w:tcBorders>
            <w:shd w:val="clear" w:color="auto" w:fill="auto"/>
            <w:noWrap/>
            <w:vAlign w:val="center"/>
            <w:hideMark/>
          </w:tcPr>
          <w:p w14:paraId="523F5753" w14:textId="77777777" w:rsidR="00FE60D4" w:rsidRPr="00487834" w:rsidRDefault="00FE60D4" w:rsidP="00F36A29">
            <w:pPr>
              <w:pStyle w:val="NoSpacing"/>
            </w:pPr>
            <w:r w:rsidRPr="00487834">
              <w:t>Yes</w:t>
            </w:r>
          </w:p>
        </w:tc>
        <w:tc>
          <w:tcPr>
            <w:tcW w:w="1280" w:type="dxa"/>
            <w:tcBorders>
              <w:top w:val="nil"/>
              <w:left w:val="nil"/>
              <w:bottom w:val="nil"/>
              <w:right w:val="nil"/>
            </w:tcBorders>
            <w:shd w:val="clear" w:color="auto" w:fill="auto"/>
            <w:noWrap/>
            <w:vAlign w:val="center"/>
            <w:hideMark/>
          </w:tcPr>
          <w:p w14:paraId="6305EF8E" w14:textId="77777777" w:rsidR="00FE60D4" w:rsidRPr="00487834" w:rsidRDefault="00FE60D4" w:rsidP="00F36A29">
            <w:pPr>
              <w:pStyle w:val="NoSpacing"/>
            </w:pPr>
            <w:r w:rsidRPr="00487834">
              <w:t>Yes</w:t>
            </w:r>
          </w:p>
        </w:tc>
        <w:tc>
          <w:tcPr>
            <w:tcW w:w="1280" w:type="dxa"/>
            <w:tcBorders>
              <w:top w:val="nil"/>
              <w:left w:val="nil"/>
              <w:bottom w:val="nil"/>
              <w:right w:val="nil"/>
            </w:tcBorders>
            <w:shd w:val="clear" w:color="auto" w:fill="auto"/>
            <w:noWrap/>
            <w:vAlign w:val="center"/>
            <w:hideMark/>
          </w:tcPr>
          <w:p w14:paraId="75C403B5" w14:textId="77777777" w:rsidR="00FE60D4" w:rsidRPr="00487834" w:rsidRDefault="00FE60D4" w:rsidP="00F36A29">
            <w:pPr>
              <w:pStyle w:val="NoSpacing"/>
            </w:pPr>
            <w:r w:rsidRPr="00487834">
              <w:t>Yes</w:t>
            </w:r>
          </w:p>
        </w:tc>
      </w:tr>
      <w:tr w:rsidR="00FE60D4" w:rsidRPr="00487834" w14:paraId="7E0F8107" w14:textId="77777777" w:rsidTr="00FE60D4">
        <w:trPr>
          <w:trHeight w:val="560"/>
          <w:jc w:val="center"/>
        </w:trPr>
        <w:tc>
          <w:tcPr>
            <w:tcW w:w="2040" w:type="dxa"/>
            <w:tcBorders>
              <w:top w:val="nil"/>
              <w:left w:val="nil"/>
              <w:bottom w:val="nil"/>
              <w:right w:val="nil"/>
            </w:tcBorders>
            <w:shd w:val="clear" w:color="auto" w:fill="auto"/>
            <w:noWrap/>
            <w:vAlign w:val="center"/>
            <w:hideMark/>
          </w:tcPr>
          <w:p w14:paraId="56935126" w14:textId="77777777" w:rsidR="00FE60D4" w:rsidRPr="00487834" w:rsidRDefault="00FE60D4" w:rsidP="00F36A29">
            <w:pPr>
              <w:pStyle w:val="NoSpacing"/>
            </w:pPr>
            <w:proofErr w:type="spellStart"/>
            <w:r w:rsidRPr="00487834">
              <w:t>Firm</w:t>
            </w:r>
            <w:proofErr w:type="spellEnd"/>
            <w:r w:rsidRPr="00487834">
              <w:t xml:space="preserve"> </w:t>
            </w:r>
            <w:proofErr w:type="spellStart"/>
            <w:r w:rsidRPr="00487834">
              <w:t>effects</w:t>
            </w:r>
            <w:proofErr w:type="spellEnd"/>
          </w:p>
        </w:tc>
        <w:tc>
          <w:tcPr>
            <w:tcW w:w="1300" w:type="dxa"/>
            <w:tcBorders>
              <w:top w:val="nil"/>
              <w:left w:val="nil"/>
              <w:bottom w:val="nil"/>
              <w:right w:val="nil"/>
            </w:tcBorders>
            <w:shd w:val="clear" w:color="auto" w:fill="auto"/>
            <w:vAlign w:val="center"/>
            <w:hideMark/>
          </w:tcPr>
          <w:p w14:paraId="6C9D132A" w14:textId="77777777" w:rsidR="00FE60D4" w:rsidRPr="00487834" w:rsidRDefault="00FE60D4" w:rsidP="00F36A29">
            <w:pPr>
              <w:pStyle w:val="NoSpacing"/>
            </w:pPr>
            <w:r w:rsidRPr="00487834">
              <w:t>Yes</w:t>
            </w:r>
          </w:p>
        </w:tc>
        <w:tc>
          <w:tcPr>
            <w:tcW w:w="1300" w:type="dxa"/>
            <w:tcBorders>
              <w:top w:val="nil"/>
              <w:left w:val="nil"/>
              <w:bottom w:val="nil"/>
              <w:right w:val="nil"/>
            </w:tcBorders>
            <w:shd w:val="clear" w:color="auto" w:fill="auto"/>
            <w:noWrap/>
            <w:vAlign w:val="center"/>
            <w:hideMark/>
          </w:tcPr>
          <w:p w14:paraId="60F535D5" w14:textId="77777777" w:rsidR="00FE60D4" w:rsidRPr="00487834" w:rsidRDefault="00FE60D4" w:rsidP="00F36A29">
            <w:pPr>
              <w:pStyle w:val="NoSpacing"/>
            </w:pPr>
            <w:r w:rsidRPr="00487834">
              <w:t>Yes</w:t>
            </w:r>
          </w:p>
        </w:tc>
        <w:tc>
          <w:tcPr>
            <w:tcW w:w="1280" w:type="dxa"/>
            <w:tcBorders>
              <w:top w:val="nil"/>
              <w:left w:val="nil"/>
              <w:bottom w:val="nil"/>
              <w:right w:val="nil"/>
            </w:tcBorders>
            <w:shd w:val="clear" w:color="auto" w:fill="auto"/>
            <w:noWrap/>
            <w:vAlign w:val="center"/>
            <w:hideMark/>
          </w:tcPr>
          <w:p w14:paraId="3A1F04B8" w14:textId="77777777" w:rsidR="00FE60D4" w:rsidRPr="00487834" w:rsidRDefault="00FE60D4" w:rsidP="00F36A29">
            <w:pPr>
              <w:pStyle w:val="NoSpacing"/>
            </w:pPr>
            <w:r w:rsidRPr="00487834">
              <w:t>Yes</w:t>
            </w:r>
          </w:p>
        </w:tc>
        <w:tc>
          <w:tcPr>
            <w:tcW w:w="1280" w:type="dxa"/>
            <w:tcBorders>
              <w:top w:val="nil"/>
              <w:left w:val="nil"/>
              <w:bottom w:val="nil"/>
              <w:right w:val="nil"/>
            </w:tcBorders>
            <w:shd w:val="clear" w:color="auto" w:fill="auto"/>
            <w:noWrap/>
            <w:vAlign w:val="center"/>
            <w:hideMark/>
          </w:tcPr>
          <w:p w14:paraId="5304E69A" w14:textId="77777777" w:rsidR="00FE60D4" w:rsidRPr="00487834" w:rsidRDefault="00FE60D4" w:rsidP="00F36A29">
            <w:pPr>
              <w:pStyle w:val="NoSpacing"/>
            </w:pPr>
            <w:r w:rsidRPr="00487834">
              <w:t>Yes</w:t>
            </w:r>
          </w:p>
        </w:tc>
      </w:tr>
      <w:tr w:rsidR="00FE60D4" w:rsidRPr="00487834" w14:paraId="3302F9B0" w14:textId="77777777" w:rsidTr="00FE60D4">
        <w:trPr>
          <w:trHeight w:val="1220"/>
          <w:jc w:val="center"/>
        </w:trPr>
        <w:tc>
          <w:tcPr>
            <w:tcW w:w="2040" w:type="dxa"/>
            <w:tcBorders>
              <w:top w:val="nil"/>
              <w:left w:val="nil"/>
              <w:bottom w:val="single" w:sz="4" w:space="0" w:color="auto"/>
              <w:right w:val="nil"/>
            </w:tcBorders>
            <w:shd w:val="clear" w:color="auto" w:fill="auto"/>
            <w:vAlign w:val="center"/>
            <w:hideMark/>
          </w:tcPr>
          <w:p w14:paraId="33D5D6A4" w14:textId="77777777" w:rsidR="00FE60D4" w:rsidRPr="00487834" w:rsidRDefault="00FE60D4" w:rsidP="00073830">
            <w:pPr>
              <w:pStyle w:val="NoSpacing"/>
              <w:jc w:val="left"/>
            </w:pPr>
            <w:proofErr w:type="spellStart"/>
            <w:r w:rsidRPr="00487834">
              <w:t>Robust</w:t>
            </w:r>
            <w:proofErr w:type="spellEnd"/>
            <w:r w:rsidRPr="00487834">
              <w:t xml:space="preserve"> </w:t>
            </w:r>
            <w:proofErr w:type="spellStart"/>
            <w:r w:rsidRPr="00487834">
              <w:t>standard</w:t>
            </w:r>
            <w:proofErr w:type="spellEnd"/>
            <w:r w:rsidRPr="00487834">
              <w:t xml:space="preserve"> </w:t>
            </w:r>
            <w:proofErr w:type="spellStart"/>
            <w:r w:rsidRPr="00487834">
              <w:t>errors</w:t>
            </w:r>
            <w:proofErr w:type="spellEnd"/>
          </w:p>
        </w:tc>
        <w:tc>
          <w:tcPr>
            <w:tcW w:w="1300" w:type="dxa"/>
            <w:tcBorders>
              <w:top w:val="nil"/>
              <w:left w:val="nil"/>
              <w:bottom w:val="single" w:sz="4" w:space="0" w:color="auto"/>
              <w:right w:val="nil"/>
            </w:tcBorders>
            <w:shd w:val="clear" w:color="auto" w:fill="auto"/>
            <w:vAlign w:val="center"/>
            <w:hideMark/>
          </w:tcPr>
          <w:p w14:paraId="2D98170A" w14:textId="77777777" w:rsidR="00FE60D4" w:rsidRPr="00487834" w:rsidRDefault="00FE60D4" w:rsidP="00F36A29">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300" w:type="dxa"/>
            <w:tcBorders>
              <w:top w:val="nil"/>
              <w:left w:val="nil"/>
              <w:bottom w:val="single" w:sz="4" w:space="0" w:color="auto"/>
              <w:right w:val="nil"/>
            </w:tcBorders>
            <w:shd w:val="clear" w:color="auto" w:fill="auto"/>
            <w:vAlign w:val="center"/>
            <w:hideMark/>
          </w:tcPr>
          <w:p w14:paraId="3EB89CB8" w14:textId="77777777" w:rsidR="00FE60D4" w:rsidRPr="00487834" w:rsidRDefault="00FE60D4" w:rsidP="00F36A29">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280" w:type="dxa"/>
            <w:tcBorders>
              <w:top w:val="nil"/>
              <w:left w:val="nil"/>
              <w:bottom w:val="single" w:sz="4" w:space="0" w:color="auto"/>
              <w:right w:val="nil"/>
            </w:tcBorders>
            <w:shd w:val="clear" w:color="auto" w:fill="auto"/>
            <w:vAlign w:val="center"/>
            <w:hideMark/>
          </w:tcPr>
          <w:p w14:paraId="4B6120A0" w14:textId="77777777" w:rsidR="00FE60D4" w:rsidRPr="00487834" w:rsidRDefault="00FE60D4" w:rsidP="00F36A29">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280" w:type="dxa"/>
            <w:tcBorders>
              <w:top w:val="nil"/>
              <w:left w:val="nil"/>
              <w:bottom w:val="single" w:sz="4" w:space="0" w:color="auto"/>
              <w:right w:val="nil"/>
            </w:tcBorders>
            <w:shd w:val="clear" w:color="auto" w:fill="auto"/>
            <w:vAlign w:val="center"/>
            <w:hideMark/>
          </w:tcPr>
          <w:p w14:paraId="682D7589" w14:textId="77777777" w:rsidR="00FE60D4" w:rsidRPr="00487834" w:rsidRDefault="00FE60D4" w:rsidP="00F36A29">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r>
    </w:tbl>
    <w:p w14:paraId="1431A484" w14:textId="77777777" w:rsidR="00A27CB9" w:rsidRPr="00487834" w:rsidRDefault="00A27CB9" w:rsidP="003128F6">
      <w:pPr>
        <w:autoSpaceDE w:val="0"/>
        <w:autoSpaceDN w:val="0"/>
        <w:adjustRightInd w:val="0"/>
        <w:spacing w:line="300" w:lineRule="auto"/>
        <w:rPr>
          <w:rFonts w:eastAsiaTheme="minorHAnsi"/>
          <w:lang w:val="en-US" w:eastAsia="en-US"/>
        </w:rPr>
      </w:pPr>
    </w:p>
    <w:p w14:paraId="7282CE9C" w14:textId="51DD7FAA" w:rsidR="00615A30" w:rsidRPr="00487834" w:rsidRDefault="0050492F" w:rsidP="00230B93">
      <w:pPr>
        <w:autoSpaceDE w:val="0"/>
        <w:autoSpaceDN w:val="0"/>
        <w:adjustRightInd w:val="0"/>
        <w:spacing w:line="300" w:lineRule="auto"/>
        <w:rPr>
          <w:rFonts w:eastAsiaTheme="minorHAnsi"/>
          <w:lang w:val="en-US" w:eastAsia="en-US"/>
        </w:rPr>
      </w:pPr>
      <w:r>
        <w:rPr>
          <w:rFonts w:eastAsiaTheme="minorHAnsi"/>
          <w:lang w:val="en-US" w:eastAsia="en-US"/>
        </w:rPr>
        <w:t>Moving on to the other element of cost of capital – the cost of equity</w:t>
      </w:r>
      <w:r w:rsidR="00073830">
        <w:rPr>
          <w:rFonts w:eastAsiaTheme="minorHAnsi"/>
          <w:lang w:val="en-US" w:eastAsia="en-US"/>
        </w:rPr>
        <w:t xml:space="preserve">, the findings are even more surprising. </w:t>
      </w:r>
      <w:r w:rsidR="00615A30" w:rsidRPr="00487834">
        <w:rPr>
          <w:rFonts w:eastAsiaTheme="minorHAnsi"/>
          <w:lang w:val="en-US" w:eastAsia="en-US"/>
        </w:rPr>
        <w:t xml:space="preserve">For the entire dataset, the ESG score exhibits a significant positive relationship with the cost of equity (0.0131, p &lt; 0.01). This finding contrasts with the typical expectation that better ESG performance reduces equity costs, suggesting that investors might perceive higher ESG scores as indicative of </w:t>
      </w:r>
      <w:r w:rsidR="00230B93">
        <w:rPr>
          <w:rFonts w:eastAsiaTheme="minorHAnsi"/>
          <w:lang w:val="en-US" w:eastAsia="en-US"/>
        </w:rPr>
        <w:t xml:space="preserve">additional risk of </w:t>
      </w:r>
      <w:r w:rsidR="00615A30" w:rsidRPr="00487834">
        <w:rPr>
          <w:rFonts w:eastAsiaTheme="minorHAnsi"/>
          <w:lang w:val="en-US" w:eastAsia="en-US"/>
        </w:rPr>
        <w:t xml:space="preserve">increased costs associated with </w:t>
      </w:r>
      <w:r w:rsidR="00615A30" w:rsidRPr="00487834">
        <w:rPr>
          <w:rFonts w:eastAsiaTheme="minorHAnsi"/>
          <w:lang w:val="en-US" w:eastAsia="en-US"/>
        </w:rPr>
        <w:lastRenderedPageBreak/>
        <w:t xml:space="preserve">implementing and maintaining these </w:t>
      </w:r>
      <w:proofErr w:type="spellStart"/>
      <w:proofErr w:type="gramStart"/>
      <w:r w:rsidR="00615A30" w:rsidRPr="00487834">
        <w:rPr>
          <w:rFonts w:eastAsiaTheme="minorHAnsi"/>
          <w:lang w:val="en-US" w:eastAsia="en-US"/>
        </w:rPr>
        <w:t>standards</w:t>
      </w:r>
      <w:r w:rsidR="00230B93">
        <w:rPr>
          <w:rFonts w:eastAsiaTheme="minorHAnsi"/>
          <w:lang w:val="en-US" w:eastAsia="en-US"/>
        </w:rPr>
        <w:t>.</w:t>
      </w:r>
      <w:r w:rsidR="00615A30" w:rsidRPr="00487834">
        <w:rPr>
          <w:rFonts w:eastAsiaTheme="minorHAnsi"/>
          <w:lang w:val="en-US" w:eastAsia="en-US"/>
        </w:rPr>
        <w:t>For</w:t>
      </w:r>
      <w:proofErr w:type="spellEnd"/>
      <w:proofErr w:type="gramEnd"/>
      <w:r w:rsidR="00615A30" w:rsidRPr="00487834">
        <w:rPr>
          <w:rFonts w:eastAsiaTheme="minorHAnsi"/>
          <w:lang w:val="en-US" w:eastAsia="en-US"/>
        </w:rPr>
        <w:t xml:space="preserve"> the top 25% subsample, the relationship is significantly positive (0.0284, p &lt; 0.01), indicating that top ESG performers experience higher costs of equity. This may reflect the substantial initial investments required for achieving high ESG standards, which are then reflected in investor-required returns. This outcome </w:t>
      </w:r>
      <w:r w:rsidR="00230B93">
        <w:rPr>
          <w:rFonts w:eastAsiaTheme="minorHAnsi"/>
          <w:lang w:val="en-US" w:eastAsia="en-US"/>
        </w:rPr>
        <w:t>might be aligned</w:t>
      </w:r>
      <w:r w:rsidR="00615A30" w:rsidRPr="00487834">
        <w:rPr>
          <w:rFonts w:eastAsiaTheme="minorHAnsi"/>
          <w:lang w:val="en-US" w:eastAsia="en-US"/>
        </w:rPr>
        <w:t xml:space="preserve"> with </w:t>
      </w:r>
      <w:r w:rsidR="00230B93">
        <w:rPr>
          <w:rFonts w:eastAsiaTheme="minorHAnsi"/>
          <w:lang w:val="en-US" w:eastAsia="en-US"/>
        </w:rPr>
        <w:t xml:space="preserve">some of </w:t>
      </w:r>
      <w:r w:rsidR="00615A30" w:rsidRPr="00487834">
        <w:rPr>
          <w:rFonts w:eastAsiaTheme="minorHAnsi"/>
          <w:lang w:val="en-US" w:eastAsia="en-US"/>
        </w:rPr>
        <w:t>the literature indicating that while high ESG scores can enhance corporate reputation and long-term performance, the short-term costs might elevate required returns (Fatemi et al., 2018).</w:t>
      </w:r>
    </w:p>
    <w:p w14:paraId="4D80072A" w14:textId="1D1E36E9" w:rsidR="00615A30" w:rsidRPr="00487834" w:rsidRDefault="00615A30" w:rsidP="000D199E">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 xml:space="preserve">In the middle 50% subsample, the ESG score </w:t>
      </w:r>
      <w:proofErr w:type="gramStart"/>
      <w:r w:rsidRPr="00487834">
        <w:rPr>
          <w:rFonts w:eastAsiaTheme="minorHAnsi"/>
          <w:lang w:val="en-US" w:eastAsia="en-US"/>
        </w:rPr>
        <w:t xml:space="preserve">is </w:t>
      </w:r>
      <w:r w:rsidR="000D199E">
        <w:rPr>
          <w:rFonts w:eastAsiaTheme="minorHAnsi"/>
          <w:lang w:val="en-US" w:eastAsia="en-US"/>
        </w:rPr>
        <w:t xml:space="preserve"> also</w:t>
      </w:r>
      <w:proofErr w:type="gramEnd"/>
      <w:r w:rsidR="000D199E">
        <w:rPr>
          <w:rFonts w:eastAsiaTheme="minorHAnsi"/>
          <w:lang w:val="en-US" w:eastAsia="en-US"/>
        </w:rPr>
        <w:t xml:space="preserve"> </w:t>
      </w:r>
      <w:r w:rsidRPr="00487834">
        <w:rPr>
          <w:rFonts w:eastAsiaTheme="minorHAnsi"/>
          <w:lang w:val="en-US" w:eastAsia="en-US"/>
        </w:rPr>
        <w:t>positively related to the cost of equity (0.0105, p &lt; 0.05). This suggests that moderate ESG performers also face higher equity costs, possibly due to the perceived uncertainty and costs associated with further ESG improvements. This aligns with Nga &amp;</w:t>
      </w:r>
      <w:proofErr w:type="spellStart"/>
      <w:r w:rsidRPr="00487834">
        <w:rPr>
          <w:rFonts w:eastAsiaTheme="minorHAnsi"/>
          <w:lang w:val="en-US" w:eastAsia="en-US"/>
        </w:rPr>
        <w:t>Rezaee</w:t>
      </w:r>
      <w:proofErr w:type="spellEnd"/>
      <w:r w:rsidRPr="00487834">
        <w:rPr>
          <w:rFonts w:eastAsiaTheme="minorHAnsi"/>
          <w:lang w:val="en-US" w:eastAsia="en-US"/>
        </w:rPr>
        <w:t xml:space="preserve"> (2015), who found that environmental and governance improvements could lead to increased perceived risks and costs for investors.</w:t>
      </w:r>
      <w:r w:rsidR="000D199E">
        <w:rPr>
          <w:rFonts w:eastAsiaTheme="minorHAnsi"/>
          <w:lang w:val="en-US" w:eastAsia="en-US"/>
        </w:rPr>
        <w:t xml:space="preserve"> </w:t>
      </w:r>
      <w:r w:rsidRPr="00487834">
        <w:rPr>
          <w:rFonts w:eastAsiaTheme="minorHAnsi"/>
          <w:lang w:val="en-US" w:eastAsia="en-US"/>
        </w:rPr>
        <w:t>For the bottom 25%, the relationship between ESG scores and cost of equity is positive but not statistically significant (0.0092). This indicates that underperforming firms do not experience substantial cost changes with minor ESG improvements,</w:t>
      </w:r>
      <w:r w:rsidR="000D199E">
        <w:rPr>
          <w:rFonts w:eastAsiaTheme="minorHAnsi"/>
          <w:lang w:val="en-US" w:eastAsia="en-US"/>
        </w:rPr>
        <w:t xml:space="preserve"> again refuting our</w:t>
      </w:r>
      <w:r w:rsidRPr="00487834">
        <w:rPr>
          <w:rFonts w:eastAsiaTheme="minorHAnsi"/>
          <w:lang w:val="en-US" w:eastAsia="en-US"/>
        </w:rPr>
        <w:t xml:space="preserve"> Hypothesis 5, suggesting that the relationship between ESG scores and cost of equity is more pronounced for underperformers.</w:t>
      </w:r>
    </w:p>
    <w:p w14:paraId="613BF4DB" w14:textId="02AF37F7" w:rsidR="00615A30" w:rsidRPr="00487834" w:rsidRDefault="00923C6A" w:rsidP="00923C6A">
      <w:pPr>
        <w:autoSpaceDE w:val="0"/>
        <w:autoSpaceDN w:val="0"/>
        <w:adjustRightInd w:val="0"/>
        <w:spacing w:line="300" w:lineRule="auto"/>
        <w:ind w:firstLine="720"/>
        <w:rPr>
          <w:rFonts w:eastAsiaTheme="minorHAnsi"/>
          <w:lang w:val="en-US" w:eastAsia="en-US"/>
        </w:rPr>
      </w:pPr>
      <w:r>
        <w:rPr>
          <w:rFonts w:eastAsiaTheme="minorHAnsi"/>
          <w:lang w:val="en-US" w:eastAsia="en-US"/>
        </w:rPr>
        <w:t xml:space="preserve">In terms of controls, no surprise arise in this particular </w:t>
      </w:r>
      <w:proofErr w:type="spellStart"/>
      <w:proofErr w:type="gramStart"/>
      <w:r>
        <w:rPr>
          <w:rFonts w:eastAsiaTheme="minorHAnsi"/>
          <w:lang w:val="en-US" w:eastAsia="en-US"/>
        </w:rPr>
        <w:t>model</w:t>
      </w:r>
      <w:r w:rsidR="00615A30" w:rsidRPr="00487834">
        <w:rPr>
          <w:rFonts w:eastAsiaTheme="minorHAnsi"/>
          <w:lang w:val="en-US" w:eastAsia="en-US"/>
        </w:rPr>
        <w:t>.Market</w:t>
      </w:r>
      <w:proofErr w:type="spellEnd"/>
      <w:proofErr w:type="gramEnd"/>
      <w:r w:rsidR="00615A30" w:rsidRPr="00487834">
        <w:rPr>
          <w:rFonts w:eastAsiaTheme="minorHAnsi"/>
          <w:lang w:val="en-US" w:eastAsia="en-US"/>
        </w:rPr>
        <w:t xml:space="preserve"> capitalization (MCAP) shows varied impacts, with a significant negative relationship in the bottom 25% subsample (-0.0339, p &lt; 0.01), suggesting larger firms in this group benefit from lower equity costs. Price-to-earnings ratio (PE) and market-to-book ratio (MTB) generally display significant negative relationships with the cost of equity, emphasizing the importance of valuation metrics in determining investor returns. Beta consistently shows a significant positive relationship, reflecting the role of systematic risk in equity cost determination</w:t>
      </w:r>
      <w:r>
        <w:rPr>
          <w:rFonts w:eastAsiaTheme="minorHAnsi"/>
          <w:lang w:val="en-US" w:eastAsia="en-US"/>
        </w:rPr>
        <w:t>, which was rather predictable</w:t>
      </w:r>
    </w:p>
    <w:p w14:paraId="74084871" w14:textId="294C274B" w:rsidR="00B73F4D" w:rsidRDefault="00615A30" w:rsidP="00B374B4">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 xml:space="preserve">Overall, these results </w:t>
      </w:r>
      <w:r w:rsidR="000B4BD1">
        <w:rPr>
          <w:rFonts w:eastAsiaTheme="minorHAnsi"/>
          <w:lang w:val="en-US" w:eastAsia="en-US"/>
        </w:rPr>
        <w:t>completely refute</w:t>
      </w:r>
      <w:r w:rsidRPr="00487834">
        <w:rPr>
          <w:rFonts w:eastAsiaTheme="minorHAnsi"/>
          <w:lang w:val="en-US" w:eastAsia="en-US"/>
        </w:rPr>
        <w:t xml:space="preserve"> Hypothesis 2 and </w:t>
      </w:r>
      <w:r w:rsidR="000B4BD1">
        <w:rPr>
          <w:rFonts w:eastAsiaTheme="minorHAnsi"/>
          <w:lang w:val="en-US" w:eastAsia="en-US"/>
        </w:rPr>
        <w:t xml:space="preserve">do not substantiate </w:t>
      </w:r>
      <w:r w:rsidRPr="00487834">
        <w:rPr>
          <w:rFonts w:eastAsiaTheme="minorHAnsi"/>
          <w:lang w:val="en-US" w:eastAsia="en-US"/>
        </w:rPr>
        <w:t xml:space="preserve">Hypothesis 5, revealing that while higher ESG scores can increase the cost of equity across the board, the magnitude of this effect varies significantly among different performance tiers. </w:t>
      </w:r>
    </w:p>
    <w:p w14:paraId="43CD634E" w14:textId="77777777" w:rsidR="00B374B4" w:rsidRPr="00B374B4" w:rsidRDefault="00B374B4" w:rsidP="00B374B4">
      <w:pPr>
        <w:autoSpaceDE w:val="0"/>
        <w:autoSpaceDN w:val="0"/>
        <w:adjustRightInd w:val="0"/>
        <w:spacing w:line="300" w:lineRule="auto"/>
        <w:ind w:firstLine="720"/>
        <w:rPr>
          <w:rFonts w:eastAsiaTheme="minorHAnsi"/>
          <w:lang w:val="en-US" w:eastAsia="en-US"/>
        </w:rPr>
      </w:pPr>
    </w:p>
    <w:p w14:paraId="4C42638B" w14:textId="3B2E232D" w:rsidR="000818CE" w:rsidRPr="00487834" w:rsidRDefault="00170D3D" w:rsidP="003128F6">
      <w:pPr>
        <w:autoSpaceDE w:val="0"/>
        <w:autoSpaceDN w:val="0"/>
        <w:adjustRightInd w:val="0"/>
        <w:spacing w:line="300" w:lineRule="auto"/>
        <w:rPr>
          <w:rFonts w:eastAsiaTheme="minorHAnsi"/>
          <w:lang w:val="en-US" w:eastAsia="en-US"/>
        </w:rPr>
      </w:pPr>
      <w:r w:rsidRPr="00487834">
        <w:rPr>
          <w:rFonts w:eastAsiaTheme="minorHAnsi"/>
          <w:b/>
          <w:bCs/>
          <w:lang w:val="en-US" w:eastAsia="en-US"/>
        </w:rPr>
        <w:t xml:space="preserve">Table </w:t>
      </w:r>
      <w:r w:rsidR="00BF355C" w:rsidRPr="00487834">
        <w:rPr>
          <w:rFonts w:eastAsiaTheme="minorHAnsi"/>
          <w:b/>
          <w:bCs/>
          <w:lang w:val="en-US" w:eastAsia="en-US"/>
        </w:rPr>
        <w:t>31</w:t>
      </w:r>
      <w:r w:rsidR="00286F41" w:rsidRPr="00487834">
        <w:rPr>
          <w:rFonts w:eastAsiaTheme="minorHAnsi"/>
          <w:b/>
          <w:bCs/>
          <w:lang w:val="en-US" w:eastAsia="en-US"/>
        </w:rPr>
        <w:t xml:space="preserve"> </w:t>
      </w:r>
      <w:r w:rsidRPr="00487834">
        <w:rPr>
          <w:rFonts w:eastAsiaTheme="minorHAnsi"/>
          <w:b/>
          <w:bCs/>
          <w:lang w:val="en-GB" w:eastAsia="en-US"/>
        </w:rPr>
        <w:t xml:space="preserve">– </w:t>
      </w:r>
      <w:r w:rsidR="00FE60D4" w:rsidRPr="00487834">
        <w:rPr>
          <w:rFonts w:eastAsiaTheme="minorHAnsi"/>
          <w:lang w:val="en-US" w:eastAsia="en-US"/>
        </w:rPr>
        <w:t xml:space="preserve">Cost of equity regression results without lagged predictor for country subsamples </w:t>
      </w:r>
    </w:p>
    <w:p w14:paraId="29F198E6" w14:textId="77777777" w:rsidR="000818CE" w:rsidRPr="00487834" w:rsidRDefault="000818CE" w:rsidP="003128F6">
      <w:pPr>
        <w:autoSpaceDE w:val="0"/>
        <w:autoSpaceDN w:val="0"/>
        <w:adjustRightInd w:val="0"/>
        <w:spacing w:line="300" w:lineRule="auto"/>
        <w:rPr>
          <w:rFonts w:eastAsiaTheme="minorHAnsi"/>
          <w:lang w:val="en-US" w:eastAsia="en-US"/>
        </w:rPr>
      </w:pPr>
    </w:p>
    <w:tbl>
      <w:tblPr>
        <w:tblW w:w="6299" w:type="dxa"/>
        <w:jc w:val="center"/>
        <w:tblLook w:val="04A0" w:firstRow="1" w:lastRow="0" w:firstColumn="1" w:lastColumn="0" w:noHBand="0" w:noVBand="1"/>
      </w:tblPr>
      <w:tblGrid>
        <w:gridCol w:w="2239"/>
        <w:gridCol w:w="1300"/>
        <w:gridCol w:w="1454"/>
        <w:gridCol w:w="1306"/>
      </w:tblGrid>
      <w:tr w:rsidR="00814194" w:rsidRPr="00487834" w14:paraId="6BA1CB26" w14:textId="77777777" w:rsidTr="00826641">
        <w:trPr>
          <w:trHeight w:val="300"/>
          <w:jc w:val="center"/>
        </w:trPr>
        <w:tc>
          <w:tcPr>
            <w:tcW w:w="2239" w:type="dxa"/>
            <w:tcBorders>
              <w:top w:val="single" w:sz="4" w:space="0" w:color="auto"/>
              <w:left w:val="nil"/>
              <w:bottom w:val="single" w:sz="4" w:space="0" w:color="auto"/>
              <w:right w:val="nil"/>
            </w:tcBorders>
            <w:shd w:val="clear" w:color="auto" w:fill="auto"/>
            <w:noWrap/>
            <w:vAlign w:val="center"/>
            <w:hideMark/>
          </w:tcPr>
          <w:p w14:paraId="34837B62" w14:textId="77777777" w:rsidR="00814194" w:rsidRPr="00487834" w:rsidRDefault="00814194" w:rsidP="00F36A29">
            <w:pPr>
              <w:pStyle w:val="NoSpacing"/>
              <w:rPr>
                <w:szCs w:val="22"/>
              </w:rPr>
            </w:pPr>
            <w:proofErr w:type="spellStart"/>
            <w:r w:rsidRPr="00487834">
              <w:rPr>
                <w:szCs w:val="22"/>
              </w:rPr>
              <w:t>Parameter</w:t>
            </w:r>
            <w:proofErr w:type="spellEnd"/>
          </w:p>
        </w:tc>
        <w:tc>
          <w:tcPr>
            <w:tcW w:w="1300" w:type="dxa"/>
            <w:tcBorders>
              <w:top w:val="single" w:sz="4" w:space="0" w:color="auto"/>
              <w:left w:val="nil"/>
              <w:bottom w:val="single" w:sz="4" w:space="0" w:color="auto"/>
              <w:right w:val="nil"/>
            </w:tcBorders>
            <w:shd w:val="clear" w:color="auto" w:fill="auto"/>
            <w:noWrap/>
            <w:vAlign w:val="bottom"/>
            <w:hideMark/>
          </w:tcPr>
          <w:p w14:paraId="3321318C" w14:textId="77777777" w:rsidR="00814194" w:rsidRPr="00487834" w:rsidRDefault="00814194" w:rsidP="00F36A29">
            <w:pPr>
              <w:pStyle w:val="NoSpacing"/>
              <w:rPr>
                <w:szCs w:val="22"/>
              </w:rPr>
            </w:pPr>
            <w:r w:rsidRPr="00487834">
              <w:rPr>
                <w:szCs w:val="22"/>
              </w:rPr>
              <w:t>Russia</w:t>
            </w:r>
          </w:p>
        </w:tc>
        <w:tc>
          <w:tcPr>
            <w:tcW w:w="1454" w:type="dxa"/>
            <w:tcBorders>
              <w:top w:val="single" w:sz="4" w:space="0" w:color="auto"/>
              <w:left w:val="nil"/>
              <w:bottom w:val="single" w:sz="4" w:space="0" w:color="auto"/>
              <w:right w:val="nil"/>
            </w:tcBorders>
            <w:shd w:val="clear" w:color="auto" w:fill="auto"/>
            <w:noWrap/>
            <w:vAlign w:val="bottom"/>
            <w:hideMark/>
          </w:tcPr>
          <w:p w14:paraId="1B76A4A0" w14:textId="77777777" w:rsidR="00814194" w:rsidRPr="00487834" w:rsidRDefault="00814194" w:rsidP="00F36A29">
            <w:pPr>
              <w:pStyle w:val="NoSpacing"/>
              <w:rPr>
                <w:szCs w:val="22"/>
              </w:rPr>
            </w:pPr>
            <w:proofErr w:type="spellStart"/>
            <w:r w:rsidRPr="00487834">
              <w:rPr>
                <w:szCs w:val="22"/>
              </w:rPr>
              <w:t>Brazil</w:t>
            </w:r>
            <w:proofErr w:type="spellEnd"/>
          </w:p>
        </w:tc>
        <w:tc>
          <w:tcPr>
            <w:tcW w:w="1306" w:type="dxa"/>
            <w:tcBorders>
              <w:top w:val="single" w:sz="4" w:space="0" w:color="auto"/>
              <w:left w:val="nil"/>
              <w:bottom w:val="single" w:sz="4" w:space="0" w:color="auto"/>
              <w:right w:val="nil"/>
            </w:tcBorders>
            <w:shd w:val="clear" w:color="auto" w:fill="auto"/>
            <w:noWrap/>
            <w:vAlign w:val="bottom"/>
            <w:hideMark/>
          </w:tcPr>
          <w:p w14:paraId="31963CA8" w14:textId="77777777" w:rsidR="00814194" w:rsidRPr="00487834" w:rsidRDefault="00814194" w:rsidP="00F36A29">
            <w:pPr>
              <w:pStyle w:val="NoSpacing"/>
              <w:rPr>
                <w:szCs w:val="22"/>
              </w:rPr>
            </w:pPr>
            <w:r w:rsidRPr="00487834">
              <w:rPr>
                <w:szCs w:val="22"/>
              </w:rPr>
              <w:t>South Africa</w:t>
            </w:r>
          </w:p>
        </w:tc>
      </w:tr>
      <w:tr w:rsidR="00814194" w:rsidRPr="00487834" w14:paraId="2DC1564B" w14:textId="77777777" w:rsidTr="00826641">
        <w:trPr>
          <w:trHeight w:val="560"/>
          <w:jc w:val="center"/>
        </w:trPr>
        <w:tc>
          <w:tcPr>
            <w:tcW w:w="2239" w:type="dxa"/>
            <w:tcBorders>
              <w:top w:val="nil"/>
              <w:left w:val="nil"/>
              <w:bottom w:val="nil"/>
              <w:right w:val="nil"/>
            </w:tcBorders>
            <w:shd w:val="clear" w:color="auto" w:fill="auto"/>
            <w:noWrap/>
            <w:vAlign w:val="center"/>
            <w:hideMark/>
          </w:tcPr>
          <w:p w14:paraId="38FB7401" w14:textId="77777777" w:rsidR="00814194" w:rsidRPr="00487834" w:rsidRDefault="00814194" w:rsidP="00F36A29">
            <w:pPr>
              <w:pStyle w:val="NoSpacing"/>
              <w:rPr>
                <w:i/>
                <w:iCs/>
                <w:szCs w:val="22"/>
              </w:rPr>
            </w:pPr>
            <w:r w:rsidRPr="00487834">
              <w:rPr>
                <w:i/>
                <w:iCs/>
                <w:szCs w:val="22"/>
              </w:rPr>
              <w:t>C</w:t>
            </w:r>
          </w:p>
        </w:tc>
        <w:tc>
          <w:tcPr>
            <w:tcW w:w="1300" w:type="dxa"/>
            <w:tcBorders>
              <w:top w:val="nil"/>
              <w:left w:val="nil"/>
              <w:bottom w:val="nil"/>
              <w:right w:val="nil"/>
            </w:tcBorders>
            <w:shd w:val="clear" w:color="auto" w:fill="auto"/>
            <w:vAlign w:val="center"/>
            <w:hideMark/>
          </w:tcPr>
          <w:p w14:paraId="219E264D" w14:textId="77777777" w:rsidR="00814194" w:rsidRPr="00487834" w:rsidRDefault="00814194" w:rsidP="00F36A29">
            <w:pPr>
              <w:pStyle w:val="NoSpacing"/>
              <w:rPr>
                <w:szCs w:val="22"/>
              </w:rPr>
            </w:pPr>
            <w:r w:rsidRPr="00487834">
              <w:rPr>
                <w:szCs w:val="22"/>
              </w:rPr>
              <w:t>0.123*** (0.004)</w:t>
            </w:r>
          </w:p>
        </w:tc>
        <w:tc>
          <w:tcPr>
            <w:tcW w:w="1454" w:type="dxa"/>
            <w:tcBorders>
              <w:top w:val="nil"/>
              <w:left w:val="nil"/>
              <w:bottom w:val="nil"/>
              <w:right w:val="nil"/>
            </w:tcBorders>
            <w:shd w:val="clear" w:color="auto" w:fill="auto"/>
            <w:vAlign w:val="center"/>
            <w:hideMark/>
          </w:tcPr>
          <w:p w14:paraId="4B302CF1" w14:textId="77777777" w:rsidR="00814194" w:rsidRPr="00487834" w:rsidRDefault="00814194" w:rsidP="00F36A29">
            <w:pPr>
              <w:pStyle w:val="NoSpacing"/>
              <w:rPr>
                <w:szCs w:val="22"/>
              </w:rPr>
            </w:pPr>
            <w:r w:rsidRPr="00487834">
              <w:rPr>
                <w:szCs w:val="22"/>
              </w:rPr>
              <w:t>0.0706** (0.031)</w:t>
            </w:r>
          </w:p>
        </w:tc>
        <w:tc>
          <w:tcPr>
            <w:tcW w:w="1306" w:type="dxa"/>
            <w:tcBorders>
              <w:top w:val="nil"/>
              <w:left w:val="nil"/>
              <w:bottom w:val="nil"/>
              <w:right w:val="nil"/>
            </w:tcBorders>
            <w:shd w:val="clear" w:color="auto" w:fill="auto"/>
            <w:vAlign w:val="center"/>
            <w:hideMark/>
          </w:tcPr>
          <w:p w14:paraId="1238F2A5" w14:textId="77777777" w:rsidR="00814194" w:rsidRPr="00487834" w:rsidRDefault="00814194" w:rsidP="00F36A29">
            <w:pPr>
              <w:pStyle w:val="NoSpacing"/>
              <w:rPr>
                <w:szCs w:val="22"/>
              </w:rPr>
            </w:pPr>
            <w:r w:rsidRPr="00487834">
              <w:rPr>
                <w:szCs w:val="22"/>
              </w:rPr>
              <w:t>0.1037*** (0.003)</w:t>
            </w:r>
          </w:p>
        </w:tc>
      </w:tr>
      <w:tr w:rsidR="00814194" w:rsidRPr="00487834" w14:paraId="0D488B78" w14:textId="77777777" w:rsidTr="00826641">
        <w:trPr>
          <w:trHeight w:val="560"/>
          <w:jc w:val="center"/>
        </w:trPr>
        <w:tc>
          <w:tcPr>
            <w:tcW w:w="2239" w:type="dxa"/>
            <w:tcBorders>
              <w:top w:val="nil"/>
              <w:left w:val="nil"/>
              <w:bottom w:val="nil"/>
              <w:right w:val="nil"/>
            </w:tcBorders>
            <w:shd w:val="clear" w:color="auto" w:fill="auto"/>
            <w:noWrap/>
            <w:vAlign w:val="center"/>
            <w:hideMark/>
          </w:tcPr>
          <w:p w14:paraId="6D18577B" w14:textId="77777777" w:rsidR="00814194" w:rsidRPr="00487834" w:rsidRDefault="00814194" w:rsidP="00F36A29">
            <w:pPr>
              <w:pStyle w:val="NoSpacing"/>
              <w:rPr>
                <w:i/>
                <w:iCs/>
                <w:szCs w:val="22"/>
              </w:rPr>
            </w:pPr>
            <w:r w:rsidRPr="00487834">
              <w:rPr>
                <w:i/>
                <w:iCs/>
                <w:szCs w:val="22"/>
              </w:rPr>
              <w:t>ESG</w:t>
            </w:r>
          </w:p>
        </w:tc>
        <w:tc>
          <w:tcPr>
            <w:tcW w:w="1300" w:type="dxa"/>
            <w:tcBorders>
              <w:top w:val="nil"/>
              <w:left w:val="nil"/>
              <w:bottom w:val="nil"/>
              <w:right w:val="nil"/>
            </w:tcBorders>
            <w:shd w:val="clear" w:color="auto" w:fill="auto"/>
            <w:vAlign w:val="center"/>
            <w:hideMark/>
          </w:tcPr>
          <w:p w14:paraId="59E0FA86" w14:textId="77777777" w:rsidR="00814194" w:rsidRPr="00487834" w:rsidRDefault="00814194" w:rsidP="00F36A29">
            <w:pPr>
              <w:pStyle w:val="NoSpacing"/>
              <w:rPr>
                <w:szCs w:val="22"/>
              </w:rPr>
            </w:pPr>
            <w:proofErr w:type="gramStart"/>
            <w:r w:rsidRPr="00487834">
              <w:rPr>
                <w:szCs w:val="22"/>
              </w:rPr>
              <w:t>0.0035  (</w:t>
            </w:r>
            <w:proofErr w:type="gramEnd"/>
            <w:r w:rsidRPr="00487834">
              <w:rPr>
                <w:szCs w:val="22"/>
              </w:rPr>
              <w:t>0.003)</w:t>
            </w:r>
          </w:p>
        </w:tc>
        <w:tc>
          <w:tcPr>
            <w:tcW w:w="1454" w:type="dxa"/>
            <w:tcBorders>
              <w:top w:val="nil"/>
              <w:left w:val="nil"/>
              <w:bottom w:val="nil"/>
              <w:right w:val="nil"/>
            </w:tcBorders>
            <w:shd w:val="clear" w:color="auto" w:fill="auto"/>
            <w:vAlign w:val="center"/>
            <w:hideMark/>
          </w:tcPr>
          <w:p w14:paraId="26F7D5A6" w14:textId="77777777" w:rsidR="00814194" w:rsidRPr="00487834" w:rsidRDefault="00814194" w:rsidP="00F36A29">
            <w:pPr>
              <w:pStyle w:val="NoSpacing"/>
              <w:rPr>
                <w:szCs w:val="22"/>
              </w:rPr>
            </w:pPr>
            <w:r w:rsidRPr="00487834">
              <w:rPr>
                <w:szCs w:val="22"/>
              </w:rPr>
              <w:t>0.0231*** (0.004)</w:t>
            </w:r>
          </w:p>
        </w:tc>
        <w:tc>
          <w:tcPr>
            <w:tcW w:w="1306" w:type="dxa"/>
            <w:tcBorders>
              <w:top w:val="nil"/>
              <w:left w:val="nil"/>
              <w:bottom w:val="nil"/>
              <w:right w:val="nil"/>
            </w:tcBorders>
            <w:shd w:val="clear" w:color="auto" w:fill="auto"/>
            <w:vAlign w:val="center"/>
            <w:hideMark/>
          </w:tcPr>
          <w:p w14:paraId="0CCC1B86" w14:textId="77777777" w:rsidR="00814194" w:rsidRPr="00487834" w:rsidRDefault="00814194" w:rsidP="00F36A29">
            <w:pPr>
              <w:pStyle w:val="NoSpacing"/>
              <w:rPr>
                <w:szCs w:val="22"/>
              </w:rPr>
            </w:pPr>
            <w:r w:rsidRPr="00487834">
              <w:rPr>
                <w:szCs w:val="22"/>
              </w:rPr>
              <w:t>0.0043*** (0.001)</w:t>
            </w:r>
          </w:p>
        </w:tc>
      </w:tr>
      <w:tr w:rsidR="00814194" w:rsidRPr="00487834" w14:paraId="3F707FA2" w14:textId="77777777" w:rsidTr="00826641">
        <w:trPr>
          <w:trHeight w:val="560"/>
          <w:jc w:val="center"/>
        </w:trPr>
        <w:tc>
          <w:tcPr>
            <w:tcW w:w="2239" w:type="dxa"/>
            <w:tcBorders>
              <w:top w:val="nil"/>
              <w:left w:val="nil"/>
              <w:bottom w:val="nil"/>
              <w:right w:val="nil"/>
            </w:tcBorders>
            <w:shd w:val="clear" w:color="auto" w:fill="auto"/>
            <w:noWrap/>
            <w:vAlign w:val="center"/>
            <w:hideMark/>
          </w:tcPr>
          <w:p w14:paraId="331B3F61" w14:textId="77777777" w:rsidR="00814194" w:rsidRPr="00487834" w:rsidRDefault="00814194" w:rsidP="00F36A29">
            <w:pPr>
              <w:pStyle w:val="NoSpacing"/>
              <w:rPr>
                <w:i/>
                <w:iCs/>
                <w:szCs w:val="22"/>
              </w:rPr>
            </w:pPr>
            <w:r w:rsidRPr="00487834">
              <w:rPr>
                <w:i/>
                <w:iCs/>
                <w:szCs w:val="22"/>
              </w:rPr>
              <w:t>MCAP</w:t>
            </w:r>
          </w:p>
        </w:tc>
        <w:tc>
          <w:tcPr>
            <w:tcW w:w="1300" w:type="dxa"/>
            <w:tcBorders>
              <w:top w:val="nil"/>
              <w:left w:val="nil"/>
              <w:bottom w:val="nil"/>
              <w:right w:val="nil"/>
            </w:tcBorders>
            <w:shd w:val="clear" w:color="auto" w:fill="auto"/>
            <w:vAlign w:val="center"/>
            <w:hideMark/>
          </w:tcPr>
          <w:p w14:paraId="375B3C56" w14:textId="77777777" w:rsidR="00814194" w:rsidRPr="00487834" w:rsidRDefault="00814194" w:rsidP="00F36A29">
            <w:pPr>
              <w:pStyle w:val="NoSpacing"/>
              <w:rPr>
                <w:szCs w:val="22"/>
              </w:rPr>
            </w:pPr>
            <w:r w:rsidRPr="00487834">
              <w:rPr>
                <w:szCs w:val="22"/>
              </w:rPr>
              <w:t>-0.</w:t>
            </w:r>
            <w:proofErr w:type="gramStart"/>
            <w:r w:rsidRPr="00487834">
              <w:rPr>
                <w:szCs w:val="22"/>
              </w:rPr>
              <w:t>0019  (</w:t>
            </w:r>
            <w:proofErr w:type="gramEnd"/>
            <w:r w:rsidRPr="00487834">
              <w:rPr>
                <w:szCs w:val="22"/>
              </w:rPr>
              <w:t>0.004)</w:t>
            </w:r>
          </w:p>
        </w:tc>
        <w:tc>
          <w:tcPr>
            <w:tcW w:w="1454" w:type="dxa"/>
            <w:tcBorders>
              <w:top w:val="nil"/>
              <w:left w:val="nil"/>
              <w:bottom w:val="nil"/>
              <w:right w:val="nil"/>
            </w:tcBorders>
            <w:shd w:val="clear" w:color="auto" w:fill="auto"/>
            <w:vAlign w:val="center"/>
            <w:hideMark/>
          </w:tcPr>
          <w:p w14:paraId="42268FC0" w14:textId="77777777" w:rsidR="00814194" w:rsidRPr="00487834" w:rsidRDefault="00814194" w:rsidP="00F36A29">
            <w:pPr>
              <w:pStyle w:val="NoSpacing"/>
              <w:rPr>
                <w:szCs w:val="22"/>
              </w:rPr>
            </w:pPr>
            <w:r w:rsidRPr="00487834">
              <w:rPr>
                <w:szCs w:val="22"/>
              </w:rPr>
              <w:t>-0.0097</w:t>
            </w:r>
            <w:proofErr w:type="gramStart"/>
            <w:r w:rsidRPr="00487834">
              <w:rPr>
                <w:szCs w:val="22"/>
              </w:rPr>
              <w:t xml:space="preserve">   (</w:t>
            </w:r>
            <w:proofErr w:type="gramEnd"/>
            <w:r w:rsidRPr="00487834">
              <w:rPr>
                <w:szCs w:val="22"/>
              </w:rPr>
              <w:t>0.01)</w:t>
            </w:r>
          </w:p>
        </w:tc>
        <w:tc>
          <w:tcPr>
            <w:tcW w:w="1306" w:type="dxa"/>
            <w:tcBorders>
              <w:top w:val="nil"/>
              <w:left w:val="nil"/>
              <w:bottom w:val="nil"/>
              <w:right w:val="nil"/>
            </w:tcBorders>
            <w:shd w:val="clear" w:color="auto" w:fill="auto"/>
            <w:vAlign w:val="center"/>
            <w:hideMark/>
          </w:tcPr>
          <w:p w14:paraId="5C6590CA" w14:textId="77777777" w:rsidR="00814194" w:rsidRPr="00487834" w:rsidRDefault="00814194" w:rsidP="00F36A29">
            <w:pPr>
              <w:pStyle w:val="NoSpacing"/>
              <w:rPr>
                <w:szCs w:val="22"/>
              </w:rPr>
            </w:pPr>
            <w:r w:rsidRPr="00487834">
              <w:rPr>
                <w:szCs w:val="22"/>
              </w:rPr>
              <w:t>0.0042</w:t>
            </w:r>
            <w:proofErr w:type="gramStart"/>
            <w:r w:rsidRPr="00487834">
              <w:rPr>
                <w:szCs w:val="22"/>
              </w:rPr>
              <w:t xml:space="preserve">   (</w:t>
            </w:r>
            <w:proofErr w:type="gramEnd"/>
            <w:r w:rsidRPr="00487834">
              <w:rPr>
                <w:szCs w:val="22"/>
              </w:rPr>
              <w:t>0.003)</w:t>
            </w:r>
          </w:p>
        </w:tc>
      </w:tr>
      <w:tr w:rsidR="00814194" w:rsidRPr="00487834" w14:paraId="2B5A0549" w14:textId="77777777" w:rsidTr="00826641">
        <w:trPr>
          <w:trHeight w:val="560"/>
          <w:jc w:val="center"/>
        </w:trPr>
        <w:tc>
          <w:tcPr>
            <w:tcW w:w="2239" w:type="dxa"/>
            <w:tcBorders>
              <w:top w:val="nil"/>
              <w:left w:val="nil"/>
              <w:bottom w:val="nil"/>
              <w:right w:val="nil"/>
            </w:tcBorders>
            <w:shd w:val="clear" w:color="auto" w:fill="auto"/>
            <w:noWrap/>
            <w:vAlign w:val="center"/>
            <w:hideMark/>
          </w:tcPr>
          <w:p w14:paraId="59DD330E" w14:textId="77777777" w:rsidR="00814194" w:rsidRPr="00487834" w:rsidRDefault="00814194" w:rsidP="00F36A29">
            <w:pPr>
              <w:pStyle w:val="NoSpacing"/>
              <w:rPr>
                <w:i/>
                <w:iCs/>
                <w:szCs w:val="22"/>
              </w:rPr>
            </w:pPr>
            <w:r w:rsidRPr="00487834">
              <w:rPr>
                <w:i/>
                <w:iCs/>
                <w:szCs w:val="22"/>
              </w:rPr>
              <w:t>PE</w:t>
            </w:r>
          </w:p>
        </w:tc>
        <w:tc>
          <w:tcPr>
            <w:tcW w:w="1300" w:type="dxa"/>
            <w:tcBorders>
              <w:top w:val="nil"/>
              <w:left w:val="nil"/>
              <w:bottom w:val="nil"/>
              <w:right w:val="nil"/>
            </w:tcBorders>
            <w:shd w:val="clear" w:color="auto" w:fill="auto"/>
            <w:vAlign w:val="center"/>
            <w:hideMark/>
          </w:tcPr>
          <w:p w14:paraId="15FC8BB0" w14:textId="77777777" w:rsidR="00814194" w:rsidRPr="00487834" w:rsidRDefault="00814194" w:rsidP="00F36A29">
            <w:pPr>
              <w:pStyle w:val="NoSpacing"/>
              <w:rPr>
                <w:szCs w:val="22"/>
              </w:rPr>
            </w:pPr>
            <w:r w:rsidRPr="00487834">
              <w:rPr>
                <w:szCs w:val="22"/>
              </w:rPr>
              <w:t>-0.</w:t>
            </w:r>
            <w:proofErr w:type="gramStart"/>
            <w:r w:rsidRPr="00487834">
              <w:rPr>
                <w:szCs w:val="22"/>
              </w:rPr>
              <w:t>0128  (</w:t>
            </w:r>
            <w:proofErr w:type="gramEnd"/>
            <w:r w:rsidRPr="00487834">
              <w:rPr>
                <w:szCs w:val="22"/>
              </w:rPr>
              <w:t>0.008)</w:t>
            </w:r>
          </w:p>
        </w:tc>
        <w:tc>
          <w:tcPr>
            <w:tcW w:w="1454" w:type="dxa"/>
            <w:tcBorders>
              <w:top w:val="nil"/>
              <w:left w:val="nil"/>
              <w:bottom w:val="nil"/>
              <w:right w:val="nil"/>
            </w:tcBorders>
            <w:shd w:val="clear" w:color="auto" w:fill="auto"/>
            <w:vAlign w:val="center"/>
            <w:hideMark/>
          </w:tcPr>
          <w:p w14:paraId="14878C1F" w14:textId="77777777" w:rsidR="00814194" w:rsidRPr="00487834" w:rsidRDefault="00814194" w:rsidP="00F36A29">
            <w:pPr>
              <w:pStyle w:val="NoSpacing"/>
              <w:rPr>
                <w:szCs w:val="22"/>
              </w:rPr>
            </w:pPr>
            <w:r w:rsidRPr="00487834">
              <w:rPr>
                <w:szCs w:val="22"/>
              </w:rPr>
              <w:t>-0.0122*</w:t>
            </w:r>
            <w:proofErr w:type="gramStart"/>
            <w:r w:rsidRPr="00487834">
              <w:rPr>
                <w:szCs w:val="22"/>
              </w:rPr>
              <w:t xml:space="preserve">   (</w:t>
            </w:r>
            <w:proofErr w:type="gramEnd"/>
            <w:r w:rsidRPr="00487834">
              <w:rPr>
                <w:szCs w:val="22"/>
              </w:rPr>
              <w:t>0.007)</w:t>
            </w:r>
          </w:p>
        </w:tc>
        <w:tc>
          <w:tcPr>
            <w:tcW w:w="1306" w:type="dxa"/>
            <w:tcBorders>
              <w:top w:val="nil"/>
              <w:left w:val="nil"/>
              <w:bottom w:val="nil"/>
              <w:right w:val="nil"/>
            </w:tcBorders>
            <w:shd w:val="clear" w:color="auto" w:fill="auto"/>
            <w:vAlign w:val="center"/>
            <w:hideMark/>
          </w:tcPr>
          <w:p w14:paraId="2F17490B" w14:textId="77777777" w:rsidR="00814194" w:rsidRPr="00487834" w:rsidRDefault="00814194" w:rsidP="00F36A29">
            <w:pPr>
              <w:pStyle w:val="NoSpacing"/>
              <w:rPr>
                <w:szCs w:val="22"/>
              </w:rPr>
            </w:pPr>
            <w:r w:rsidRPr="00487834">
              <w:rPr>
                <w:szCs w:val="22"/>
              </w:rPr>
              <w:t>-0.0031</w:t>
            </w:r>
            <w:proofErr w:type="gramStart"/>
            <w:r w:rsidRPr="00487834">
              <w:rPr>
                <w:szCs w:val="22"/>
              </w:rPr>
              <w:t xml:space="preserve">   (</w:t>
            </w:r>
            <w:proofErr w:type="gramEnd"/>
            <w:r w:rsidRPr="00487834">
              <w:rPr>
                <w:szCs w:val="22"/>
              </w:rPr>
              <w:t>0.002)</w:t>
            </w:r>
          </w:p>
        </w:tc>
      </w:tr>
      <w:tr w:rsidR="00814194" w:rsidRPr="00487834" w14:paraId="6D19288F" w14:textId="77777777" w:rsidTr="00826641">
        <w:trPr>
          <w:trHeight w:val="560"/>
          <w:jc w:val="center"/>
        </w:trPr>
        <w:tc>
          <w:tcPr>
            <w:tcW w:w="2239" w:type="dxa"/>
            <w:tcBorders>
              <w:top w:val="nil"/>
              <w:left w:val="nil"/>
              <w:bottom w:val="nil"/>
              <w:right w:val="nil"/>
            </w:tcBorders>
            <w:shd w:val="clear" w:color="auto" w:fill="auto"/>
            <w:noWrap/>
            <w:vAlign w:val="center"/>
            <w:hideMark/>
          </w:tcPr>
          <w:p w14:paraId="378996A4" w14:textId="77777777" w:rsidR="00814194" w:rsidRPr="00487834" w:rsidRDefault="00814194" w:rsidP="00F36A29">
            <w:pPr>
              <w:pStyle w:val="NoSpacing"/>
              <w:rPr>
                <w:i/>
                <w:iCs/>
                <w:szCs w:val="22"/>
              </w:rPr>
            </w:pPr>
            <w:r w:rsidRPr="00487834">
              <w:rPr>
                <w:i/>
                <w:iCs/>
                <w:szCs w:val="22"/>
              </w:rPr>
              <w:t>MTB</w:t>
            </w:r>
          </w:p>
        </w:tc>
        <w:tc>
          <w:tcPr>
            <w:tcW w:w="1300" w:type="dxa"/>
            <w:tcBorders>
              <w:top w:val="nil"/>
              <w:left w:val="nil"/>
              <w:bottom w:val="nil"/>
              <w:right w:val="nil"/>
            </w:tcBorders>
            <w:shd w:val="clear" w:color="auto" w:fill="auto"/>
            <w:vAlign w:val="center"/>
            <w:hideMark/>
          </w:tcPr>
          <w:p w14:paraId="3464D23E" w14:textId="77777777" w:rsidR="00814194" w:rsidRPr="00487834" w:rsidRDefault="00814194" w:rsidP="00F36A29">
            <w:pPr>
              <w:pStyle w:val="NoSpacing"/>
              <w:rPr>
                <w:szCs w:val="22"/>
              </w:rPr>
            </w:pPr>
            <w:r w:rsidRPr="00487834">
              <w:rPr>
                <w:szCs w:val="22"/>
              </w:rPr>
              <w:t>-0.</w:t>
            </w:r>
            <w:proofErr w:type="gramStart"/>
            <w:r w:rsidRPr="00487834">
              <w:rPr>
                <w:szCs w:val="22"/>
              </w:rPr>
              <w:t>005  (</w:t>
            </w:r>
            <w:proofErr w:type="gramEnd"/>
            <w:r w:rsidRPr="00487834">
              <w:rPr>
                <w:szCs w:val="22"/>
              </w:rPr>
              <w:t>0.005)</w:t>
            </w:r>
          </w:p>
        </w:tc>
        <w:tc>
          <w:tcPr>
            <w:tcW w:w="1454" w:type="dxa"/>
            <w:tcBorders>
              <w:top w:val="nil"/>
              <w:left w:val="nil"/>
              <w:bottom w:val="nil"/>
              <w:right w:val="nil"/>
            </w:tcBorders>
            <w:shd w:val="clear" w:color="auto" w:fill="auto"/>
            <w:vAlign w:val="center"/>
            <w:hideMark/>
          </w:tcPr>
          <w:p w14:paraId="1AE26500" w14:textId="77777777" w:rsidR="00814194" w:rsidRPr="00487834" w:rsidRDefault="00814194" w:rsidP="00F36A29">
            <w:pPr>
              <w:pStyle w:val="NoSpacing"/>
              <w:rPr>
                <w:szCs w:val="22"/>
              </w:rPr>
            </w:pPr>
            <w:r w:rsidRPr="00487834">
              <w:rPr>
                <w:szCs w:val="22"/>
              </w:rPr>
              <w:t>-0.0235***</w:t>
            </w:r>
            <w:proofErr w:type="gramStart"/>
            <w:r w:rsidRPr="00487834">
              <w:rPr>
                <w:szCs w:val="22"/>
              </w:rPr>
              <w:t xml:space="preserve">   (</w:t>
            </w:r>
            <w:proofErr w:type="gramEnd"/>
            <w:r w:rsidRPr="00487834">
              <w:rPr>
                <w:szCs w:val="22"/>
              </w:rPr>
              <w:t>0.008)</w:t>
            </w:r>
          </w:p>
        </w:tc>
        <w:tc>
          <w:tcPr>
            <w:tcW w:w="1306" w:type="dxa"/>
            <w:tcBorders>
              <w:top w:val="nil"/>
              <w:left w:val="nil"/>
              <w:bottom w:val="nil"/>
              <w:right w:val="nil"/>
            </w:tcBorders>
            <w:shd w:val="clear" w:color="auto" w:fill="auto"/>
            <w:vAlign w:val="center"/>
            <w:hideMark/>
          </w:tcPr>
          <w:p w14:paraId="7A49679F" w14:textId="77777777" w:rsidR="00814194" w:rsidRPr="00487834" w:rsidRDefault="00814194" w:rsidP="00F36A29">
            <w:pPr>
              <w:pStyle w:val="NoSpacing"/>
              <w:rPr>
                <w:szCs w:val="22"/>
              </w:rPr>
            </w:pPr>
            <w:r w:rsidRPr="00487834">
              <w:rPr>
                <w:szCs w:val="22"/>
              </w:rPr>
              <w:t xml:space="preserve">-0.006***  </w:t>
            </w:r>
            <w:proofErr w:type="gramStart"/>
            <w:r w:rsidRPr="00487834">
              <w:rPr>
                <w:szCs w:val="22"/>
              </w:rPr>
              <w:t xml:space="preserve">   (</w:t>
            </w:r>
            <w:proofErr w:type="gramEnd"/>
            <w:r w:rsidRPr="00487834">
              <w:rPr>
                <w:szCs w:val="22"/>
              </w:rPr>
              <w:t>0.002)</w:t>
            </w:r>
          </w:p>
        </w:tc>
      </w:tr>
      <w:tr w:rsidR="00814194" w:rsidRPr="00487834" w14:paraId="4CFD38BD" w14:textId="77777777" w:rsidTr="00826641">
        <w:trPr>
          <w:trHeight w:val="560"/>
          <w:jc w:val="center"/>
        </w:trPr>
        <w:tc>
          <w:tcPr>
            <w:tcW w:w="2239" w:type="dxa"/>
            <w:tcBorders>
              <w:top w:val="nil"/>
              <w:left w:val="nil"/>
              <w:bottom w:val="nil"/>
              <w:right w:val="nil"/>
            </w:tcBorders>
            <w:shd w:val="clear" w:color="auto" w:fill="auto"/>
            <w:noWrap/>
            <w:vAlign w:val="center"/>
            <w:hideMark/>
          </w:tcPr>
          <w:p w14:paraId="7935E211" w14:textId="77777777" w:rsidR="00814194" w:rsidRPr="00487834" w:rsidRDefault="00814194" w:rsidP="00F36A29">
            <w:pPr>
              <w:pStyle w:val="NoSpacing"/>
              <w:rPr>
                <w:i/>
                <w:iCs/>
                <w:szCs w:val="22"/>
              </w:rPr>
            </w:pPr>
            <w:r w:rsidRPr="00487834">
              <w:rPr>
                <w:i/>
                <w:iCs/>
                <w:szCs w:val="22"/>
              </w:rPr>
              <w:lastRenderedPageBreak/>
              <w:t>BETA</w:t>
            </w:r>
          </w:p>
        </w:tc>
        <w:tc>
          <w:tcPr>
            <w:tcW w:w="1300" w:type="dxa"/>
            <w:tcBorders>
              <w:top w:val="nil"/>
              <w:left w:val="nil"/>
              <w:bottom w:val="nil"/>
              <w:right w:val="nil"/>
            </w:tcBorders>
            <w:shd w:val="clear" w:color="auto" w:fill="auto"/>
            <w:vAlign w:val="center"/>
            <w:hideMark/>
          </w:tcPr>
          <w:p w14:paraId="232EAA93" w14:textId="77777777" w:rsidR="00814194" w:rsidRPr="00487834" w:rsidRDefault="00814194" w:rsidP="00F36A29">
            <w:pPr>
              <w:pStyle w:val="NoSpacing"/>
              <w:rPr>
                <w:szCs w:val="22"/>
              </w:rPr>
            </w:pPr>
            <w:r w:rsidRPr="00487834">
              <w:rPr>
                <w:szCs w:val="22"/>
              </w:rPr>
              <w:t>0.0445*** (0.003)</w:t>
            </w:r>
          </w:p>
        </w:tc>
        <w:tc>
          <w:tcPr>
            <w:tcW w:w="1454" w:type="dxa"/>
            <w:tcBorders>
              <w:top w:val="nil"/>
              <w:left w:val="nil"/>
              <w:bottom w:val="nil"/>
              <w:right w:val="nil"/>
            </w:tcBorders>
            <w:shd w:val="clear" w:color="auto" w:fill="auto"/>
            <w:vAlign w:val="center"/>
            <w:hideMark/>
          </w:tcPr>
          <w:p w14:paraId="5052A1BE" w14:textId="77777777" w:rsidR="00814194" w:rsidRPr="00487834" w:rsidRDefault="00814194" w:rsidP="00F36A29">
            <w:pPr>
              <w:pStyle w:val="NoSpacing"/>
              <w:rPr>
                <w:szCs w:val="22"/>
              </w:rPr>
            </w:pPr>
            <w:r w:rsidRPr="00487834">
              <w:rPr>
                <w:szCs w:val="22"/>
              </w:rPr>
              <w:t>0.0391*** (0.004)</w:t>
            </w:r>
          </w:p>
        </w:tc>
        <w:tc>
          <w:tcPr>
            <w:tcW w:w="1306" w:type="dxa"/>
            <w:tcBorders>
              <w:top w:val="nil"/>
              <w:left w:val="nil"/>
              <w:bottom w:val="nil"/>
              <w:right w:val="nil"/>
            </w:tcBorders>
            <w:shd w:val="clear" w:color="auto" w:fill="auto"/>
            <w:vAlign w:val="center"/>
            <w:hideMark/>
          </w:tcPr>
          <w:p w14:paraId="0D13D5C9" w14:textId="77777777" w:rsidR="00814194" w:rsidRPr="00487834" w:rsidRDefault="00814194" w:rsidP="00F36A29">
            <w:pPr>
              <w:pStyle w:val="NoSpacing"/>
              <w:rPr>
                <w:szCs w:val="22"/>
              </w:rPr>
            </w:pPr>
            <w:r w:rsidRPr="00487834">
              <w:rPr>
                <w:szCs w:val="22"/>
              </w:rPr>
              <w:t xml:space="preserve">0.0311***    </w:t>
            </w:r>
            <w:proofErr w:type="gramStart"/>
            <w:r w:rsidRPr="00487834">
              <w:rPr>
                <w:szCs w:val="22"/>
              </w:rPr>
              <w:t xml:space="preserve">   (</w:t>
            </w:r>
            <w:proofErr w:type="gramEnd"/>
            <w:r w:rsidRPr="00487834">
              <w:rPr>
                <w:szCs w:val="22"/>
              </w:rPr>
              <w:t>0.001)</w:t>
            </w:r>
          </w:p>
        </w:tc>
      </w:tr>
      <w:tr w:rsidR="00814194" w:rsidRPr="00487834" w14:paraId="20DE311B" w14:textId="77777777" w:rsidTr="00826641">
        <w:trPr>
          <w:trHeight w:val="560"/>
          <w:jc w:val="center"/>
        </w:trPr>
        <w:tc>
          <w:tcPr>
            <w:tcW w:w="2239" w:type="dxa"/>
            <w:tcBorders>
              <w:top w:val="nil"/>
              <w:left w:val="nil"/>
              <w:bottom w:val="nil"/>
              <w:right w:val="nil"/>
            </w:tcBorders>
            <w:shd w:val="clear" w:color="auto" w:fill="auto"/>
            <w:noWrap/>
            <w:vAlign w:val="center"/>
            <w:hideMark/>
          </w:tcPr>
          <w:p w14:paraId="297697C2" w14:textId="77777777" w:rsidR="00814194" w:rsidRPr="00487834" w:rsidRDefault="00814194" w:rsidP="00F36A29">
            <w:pPr>
              <w:pStyle w:val="NoSpacing"/>
              <w:rPr>
                <w:i/>
                <w:iCs/>
                <w:szCs w:val="22"/>
              </w:rPr>
            </w:pPr>
            <w:r w:rsidRPr="00487834">
              <w:rPr>
                <w:i/>
                <w:iCs/>
                <w:szCs w:val="22"/>
              </w:rPr>
              <w:t>ROE</w:t>
            </w:r>
          </w:p>
        </w:tc>
        <w:tc>
          <w:tcPr>
            <w:tcW w:w="1300" w:type="dxa"/>
            <w:tcBorders>
              <w:top w:val="nil"/>
              <w:left w:val="nil"/>
              <w:bottom w:val="nil"/>
              <w:right w:val="nil"/>
            </w:tcBorders>
            <w:shd w:val="clear" w:color="auto" w:fill="auto"/>
            <w:vAlign w:val="center"/>
            <w:hideMark/>
          </w:tcPr>
          <w:p w14:paraId="45A8B2EF" w14:textId="77777777" w:rsidR="00814194" w:rsidRPr="00487834" w:rsidRDefault="00814194" w:rsidP="00F36A29">
            <w:pPr>
              <w:pStyle w:val="NoSpacing"/>
              <w:rPr>
                <w:szCs w:val="22"/>
              </w:rPr>
            </w:pPr>
            <w:r w:rsidRPr="00487834">
              <w:rPr>
                <w:szCs w:val="22"/>
              </w:rPr>
              <w:t>0.014.  (0.013)</w:t>
            </w:r>
          </w:p>
        </w:tc>
        <w:tc>
          <w:tcPr>
            <w:tcW w:w="1454" w:type="dxa"/>
            <w:tcBorders>
              <w:top w:val="nil"/>
              <w:left w:val="nil"/>
              <w:bottom w:val="nil"/>
              <w:right w:val="nil"/>
            </w:tcBorders>
            <w:shd w:val="clear" w:color="auto" w:fill="auto"/>
            <w:vAlign w:val="center"/>
            <w:hideMark/>
          </w:tcPr>
          <w:p w14:paraId="73E56345" w14:textId="77777777" w:rsidR="00814194" w:rsidRPr="00487834" w:rsidRDefault="00814194" w:rsidP="00F36A29">
            <w:pPr>
              <w:pStyle w:val="NoSpacing"/>
              <w:rPr>
                <w:szCs w:val="22"/>
              </w:rPr>
            </w:pPr>
            <w:r w:rsidRPr="00487834">
              <w:rPr>
                <w:szCs w:val="22"/>
              </w:rPr>
              <w:t>0.0045 (0.015)</w:t>
            </w:r>
          </w:p>
        </w:tc>
        <w:tc>
          <w:tcPr>
            <w:tcW w:w="1306" w:type="dxa"/>
            <w:tcBorders>
              <w:top w:val="nil"/>
              <w:left w:val="nil"/>
              <w:bottom w:val="nil"/>
              <w:right w:val="nil"/>
            </w:tcBorders>
            <w:shd w:val="clear" w:color="auto" w:fill="auto"/>
            <w:vAlign w:val="center"/>
            <w:hideMark/>
          </w:tcPr>
          <w:p w14:paraId="421E5636" w14:textId="77777777" w:rsidR="00814194" w:rsidRPr="00487834" w:rsidRDefault="00814194" w:rsidP="00F36A29">
            <w:pPr>
              <w:pStyle w:val="NoSpacing"/>
              <w:rPr>
                <w:szCs w:val="22"/>
              </w:rPr>
            </w:pPr>
            <w:r w:rsidRPr="00487834">
              <w:rPr>
                <w:szCs w:val="22"/>
              </w:rPr>
              <w:t xml:space="preserve">0.0197**    </w:t>
            </w:r>
            <w:proofErr w:type="gramStart"/>
            <w:r w:rsidRPr="00487834">
              <w:rPr>
                <w:szCs w:val="22"/>
              </w:rPr>
              <w:t xml:space="preserve">   (</w:t>
            </w:r>
            <w:proofErr w:type="gramEnd"/>
            <w:r w:rsidRPr="00487834">
              <w:rPr>
                <w:szCs w:val="22"/>
              </w:rPr>
              <w:t>0.008)</w:t>
            </w:r>
          </w:p>
        </w:tc>
      </w:tr>
      <w:tr w:rsidR="00814194" w:rsidRPr="00487834" w14:paraId="25379057" w14:textId="77777777" w:rsidTr="00826641">
        <w:trPr>
          <w:trHeight w:val="560"/>
          <w:jc w:val="center"/>
        </w:trPr>
        <w:tc>
          <w:tcPr>
            <w:tcW w:w="2239" w:type="dxa"/>
            <w:tcBorders>
              <w:top w:val="nil"/>
              <w:left w:val="nil"/>
              <w:bottom w:val="single" w:sz="4" w:space="0" w:color="auto"/>
              <w:right w:val="nil"/>
            </w:tcBorders>
            <w:shd w:val="clear" w:color="auto" w:fill="auto"/>
            <w:noWrap/>
            <w:vAlign w:val="center"/>
            <w:hideMark/>
          </w:tcPr>
          <w:p w14:paraId="070EAA56" w14:textId="77777777" w:rsidR="00814194" w:rsidRPr="00487834" w:rsidRDefault="00814194" w:rsidP="00F36A29">
            <w:pPr>
              <w:pStyle w:val="NoSpacing"/>
              <w:rPr>
                <w:i/>
                <w:iCs/>
                <w:szCs w:val="22"/>
              </w:rPr>
            </w:pPr>
            <w:r w:rsidRPr="00487834">
              <w:rPr>
                <w:i/>
                <w:iCs/>
                <w:szCs w:val="22"/>
              </w:rPr>
              <w:t>EV/EBITDA</w:t>
            </w:r>
          </w:p>
        </w:tc>
        <w:tc>
          <w:tcPr>
            <w:tcW w:w="1300" w:type="dxa"/>
            <w:tcBorders>
              <w:top w:val="nil"/>
              <w:left w:val="nil"/>
              <w:bottom w:val="single" w:sz="4" w:space="0" w:color="auto"/>
              <w:right w:val="nil"/>
            </w:tcBorders>
            <w:shd w:val="clear" w:color="auto" w:fill="auto"/>
            <w:vAlign w:val="center"/>
            <w:hideMark/>
          </w:tcPr>
          <w:p w14:paraId="58A94A55" w14:textId="77777777" w:rsidR="00814194" w:rsidRPr="00487834" w:rsidRDefault="00814194" w:rsidP="00F36A29">
            <w:pPr>
              <w:pStyle w:val="NoSpacing"/>
              <w:rPr>
                <w:szCs w:val="22"/>
              </w:rPr>
            </w:pPr>
            <w:r w:rsidRPr="00487834">
              <w:rPr>
                <w:szCs w:val="22"/>
              </w:rPr>
              <w:t>0.0032</w:t>
            </w:r>
            <w:proofErr w:type="gramStart"/>
            <w:r w:rsidRPr="00487834">
              <w:rPr>
                <w:szCs w:val="22"/>
              </w:rPr>
              <w:t xml:space="preserve">   (</w:t>
            </w:r>
            <w:proofErr w:type="gramEnd"/>
            <w:r w:rsidRPr="00487834">
              <w:rPr>
                <w:szCs w:val="22"/>
              </w:rPr>
              <w:t>0.008)</w:t>
            </w:r>
          </w:p>
        </w:tc>
        <w:tc>
          <w:tcPr>
            <w:tcW w:w="1454" w:type="dxa"/>
            <w:tcBorders>
              <w:top w:val="nil"/>
              <w:left w:val="nil"/>
              <w:bottom w:val="single" w:sz="4" w:space="0" w:color="auto"/>
              <w:right w:val="nil"/>
            </w:tcBorders>
            <w:shd w:val="clear" w:color="auto" w:fill="auto"/>
            <w:vAlign w:val="center"/>
            <w:hideMark/>
          </w:tcPr>
          <w:p w14:paraId="71957558" w14:textId="77777777" w:rsidR="00814194" w:rsidRPr="00487834" w:rsidRDefault="00814194" w:rsidP="00F36A29">
            <w:pPr>
              <w:pStyle w:val="NoSpacing"/>
              <w:rPr>
                <w:szCs w:val="22"/>
              </w:rPr>
            </w:pPr>
            <w:r w:rsidRPr="00487834">
              <w:rPr>
                <w:szCs w:val="22"/>
              </w:rPr>
              <w:t xml:space="preserve">-0.4612  </w:t>
            </w:r>
            <w:proofErr w:type="gramStart"/>
            <w:r w:rsidRPr="00487834">
              <w:rPr>
                <w:szCs w:val="22"/>
              </w:rPr>
              <w:t xml:space="preserve">   (</w:t>
            </w:r>
            <w:proofErr w:type="gramEnd"/>
            <w:r w:rsidRPr="00487834">
              <w:rPr>
                <w:szCs w:val="22"/>
              </w:rPr>
              <w:t>0.353)</w:t>
            </w:r>
          </w:p>
        </w:tc>
        <w:tc>
          <w:tcPr>
            <w:tcW w:w="1306" w:type="dxa"/>
            <w:tcBorders>
              <w:top w:val="nil"/>
              <w:left w:val="nil"/>
              <w:bottom w:val="single" w:sz="4" w:space="0" w:color="auto"/>
              <w:right w:val="nil"/>
            </w:tcBorders>
            <w:shd w:val="clear" w:color="auto" w:fill="auto"/>
            <w:vAlign w:val="center"/>
            <w:hideMark/>
          </w:tcPr>
          <w:p w14:paraId="0DC3A257" w14:textId="77777777" w:rsidR="00814194" w:rsidRPr="00487834" w:rsidRDefault="00814194" w:rsidP="00F36A29">
            <w:pPr>
              <w:pStyle w:val="NoSpacing"/>
              <w:rPr>
                <w:szCs w:val="22"/>
              </w:rPr>
            </w:pPr>
            <w:r w:rsidRPr="00487834">
              <w:rPr>
                <w:szCs w:val="22"/>
              </w:rPr>
              <w:t xml:space="preserve">-0.0198  </w:t>
            </w:r>
            <w:proofErr w:type="gramStart"/>
            <w:r w:rsidRPr="00487834">
              <w:rPr>
                <w:szCs w:val="22"/>
              </w:rPr>
              <w:t xml:space="preserve">   (</w:t>
            </w:r>
            <w:proofErr w:type="gramEnd"/>
            <w:r w:rsidRPr="00487834">
              <w:rPr>
                <w:szCs w:val="22"/>
              </w:rPr>
              <w:t>0.034)</w:t>
            </w:r>
          </w:p>
        </w:tc>
      </w:tr>
    </w:tbl>
    <w:p w14:paraId="5FA91DF0" w14:textId="77777777" w:rsidR="00814194" w:rsidRPr="00487834" w:rsidRDefault="00050324" w:rsidP="003128F6">
      <w:pPr>
        <w:autoSpaceDE w:val="0"/>
        <w:autoSpaceDN w:val="0"/>
        <w:adjustRightInd w:val="0"/>
        <w:spacing w:line="300" w:lineRule="auto"/>
        <w:rPr>
          <w:rFonts w:eastAsiaTheme="minorHAnsi"/>
          <w:lang w:val="en-US" w:eastAsia="en-US"/>
        </w:rPr>
      </w:pPr>
      <w:r>
        <w:rPr>
          <w:rFonts w:eastAsiaTheme="minorHAnsi"/>
          <w:noProof/>
          <w:lang w:val="en-US" w:eastAsia="en-US"/>
        </w:rPr>
        <w:pict w14:anchorId="7B5B4E0D">
          <v:shape id="_x0000_s1028" type="#_x0000_t202" alt="" style="position:absolute;left:0;text-align:left;margin-left:19.95pt;margin-top:13.5pt;width:417.75pt;height:41.1pt;z-index:251675648;visibility:visible;mso-wrap-style:square;mso-wrap-edited:f;mso-width-percent:0;mso-height-percent:0;mso-position-horizontal-relative:text;mso-position-vertical-relative:text;mso-width-percent:0;mso-height-percent:0;mso-width-relative:margin;mso-height-relative:margin;v-text-anchor:top" fillcolor="white [3201]">
            <v:textbox>
              <w:txbxContent>
                <w:p w14:paraId="1B29B3DB" w14:textId="77777777" w:rsidR="00F36A29" w:rsidRPr="00E5055A" w:rsidRDefault="00F36A29" w:rsidP="00814194">
                  <w:pPr>
                    <w:spacing w:before="240"/>
                    <w:jc w:val="center"/>
                    <w:rPr>
                      <w:sz w:val="20"/>
                      <w:szCs w:val="20"/>
                      <w:lang w:val="en-US"/>
                    </w:rPr>
                  </w:pPr>
                  <w:r w:rsidRPr="00E5055A">
                    <w:rPr>
                      <w:sz w:val="20"/>
                      <w:szCs w:val="20"/>
                      <w:lang w:val="en-US"/>
                    </w:rPr>
                    <w:t>*** - significant at a 1% level, ** - significant at a 5% level, * - significant at a 10% level</w:t>
                  </w:r>
                </w:p>
              </w:txbxContent>
            </v:textbox>
          </v:shape>
        </w:pict>
      </w:r>
    </w:p>
    <w:p w14:paraId="75EE7333" w14:textId="77777777" w:rsidR="00814194" w:rsidRPr="00487834" w:rsidRDefault="00814194" w:rsidP="003128F6">
      <w:pPr>
        <w:autoSpaceDE w:val="0"/>
        <w:autoSpaceDN w:val="0"/>
        <w:adjustRightInd w:val="0"/>
        <w:spacing w:line="300" w:lineRule="auto"/>
        <w:rPr>
          <w:rFonts w:eastAsiaTheme="minorHAnsi"/>
          <w:lang w:val="en-US" w:eastAsia="en-US"/>
        </w:rPr>
      </w:pPr>
    </w:p>
    <w:p w14:paraId="57C664C3" w14:textId="77777777" w:rsidR="00814194" w:rsidRPr="00487834" w:rsidRDefault="00814194" w:rsidP="003128F6">
      <w:pPr>
        <w:autoSpaceDE w:val="0"/>
        <w:autoSpaceDN w:val="0"/>
        <w:adjustRightInd w:val="0"/>
        <w:spacing w:line="300" w:lineRule="auto"/>
        <w:rPr>
          <w:rFonts w:eastAsiaTheme="minorHAnsi"/>
          <w:lang w:val="en-US" w:eastAsia="en-US"/>
        </w:rPr>
      </w:pPr>
    </w:p>
    <w:p w14:paraId="711462A1" w14:textId="77777777" w:rsidR="00654423" w:rsidRPr="00487834" w:rsidRDefault="00654423" w:rsidP="003128F6">
      <w:pPr>
        <w:autoSpaceDE w:val="0"/>
        <w:autoSpaceDN w:val="0"/>
        <w:adjustRightInd w:val="0"/>
        <w:spacing w:line="300" w:lineRule="auto"/>
        <w:rPr>
          <w:rFonts w:eastAsiaTheme="minorHAnsi"/>
          <w:lang w:val="en-US" w:eastAsia="en-US"/>
        </w:rPr>
      </w:pPr>
    </w:p>
    <w:tbl>
      <w:tblPr>
        <w:tblW w:w="5920" w:type="dxa"/>
        <w:jc w:val="center"/>
        <w:tblLook w:val="04A0" w:firstRow="1" w:lastRow="0" w:firstColumn="1" w:lastColumn="0" w:noHBand="0" w:noVBand="1"/>
      </w:tblPr>
      <w:tblGrid>
        <w:gridCol w:w="2127"/>
        <w:gridCol w:w="1193"/>
        <w:gridCol w:w="1300"/>
        <w:gridCol w:w="1300"/>
      </w:tblGrid>
      <w:tr w:rsidR="00814194" w:rsidRPr="00487834" w14:paraId="3B58AF25" w14:textId="77777777" w:rsidTr="00A83D58">
        <w:trPr>
          <w:trHeight w:val="540"/>
          <w:jc w:val="center"/>
        </w:trPr>
        <w:tc>
          <w:tcPr>
            <w:tcW w:w="2127" w:type="dxa"/>
            <w:tcBorders>
              <w:top w:val="single" w:sz="4" w:space="0" w:color="auto"/>
              <w:left w:val="nil"/>
              <w:bottom w:val="nil"/>
              <w:right w:val="nil"/>
            </w:tcBorders>
            <w:shd w:val="clear" w:color="auto" w:fill="auto"/>
            <w:noWrap/>
            <w:vAlign w:val="center"/>
            <w:hideMark/>
          </w:tcPr>
          <w:p w14:paraId="3618B9DE" w14:textId="77777777" w:rsidR="00814194" w:rsidRPr="00487834" w:rsidRDefault="00814194" w:rsidP="00F36A29">
            <w:pPr>
              <w:pStyle w:val="NoSpacing"/>
            </w:pPr>
            <w:r w:rsidRPr="00487834">
              <w:t xml:space="preserve">Type </w:t>
            </w:r>
            <w:proofErr w:type="spellStart"/>
            <w:r w:rsidRPr="00487834">
              <w:t>of</w:t>
            </w:r>
            <w:proofErr w:type="spellEnd"/>
            <w:r w:rsidRPr="00487834">
              <w:t xml:space="preserve"> </w:t>
            </w:r>
            <w:proofErr w:type="spellStart"/>
            <w:r w:rsidRPr="00487834">
              <w:t>model</w:t>
            </w:r>
            <w:proofErr w:type="spellEnd"/>
          </w:p>
        </w:tc>
        <w:tc>
          <w:tcPr>
            <w:tcW w:w="1193" w:type="dxa"/>
            <w:tcBorders>
              <w:top w:val="single" w:sz="4" w:space="0" w:color="auto"/>
              <w:left w:val="nil"/>
              <w:bottom w:val="nil"/>
              <w:right w:val="nil"/>
            </w:tcBorders>
            <w:shd w:val="clear" w:color="auto" w:fill="auto"/>
            <w:vAlign w:val="center"/>
            <w:hideMark/>
          </w:tcPr>
          <w:p w14:paraId="6D9F4B65" w14:textId="77777777" w:rsidR="00814194" w:rsidRPr="00487834" w:rsidRDefault="00814194" w:rsidP="00F36A29">
            <w:pPr>
              <w:pStyle w:val="NoSpacing"/>
            </w:pPr>
            <w:proofErr w:type="spellStart"/>
            <w:r w:rsidRPr="00487834">
              <w:t>Random</w:t>
            </w:r>
            <w:proofErr w:type="spellEnd"/>
          </w:p>
        </w:tc>
        <w:tc>
          <w:tcPr>
            <w:tcW w:w="1300" w:type="dxa"/>
            <w:tcBorders>
              <w:top w:val="single" w:sz="4" w:space="0" w:color="auto"/>
              <w:left w:val="nil"/>
              <w:bottom w:val="nil"/>
              <w:right w:val="nil"/>
            </w:tcBorders>
            <w:shd w:val="clear" w:color="auto" w:fill="auto"/>
            <w:vAlign w:val="center"/>
            <w:hideMark/>
          </w:tcPr>
          <w:p w14:paraId="131C420D" w14:textId="77777777" w:rsidR="00814194" w:rsidRPr="00487834" w:rsidRDefault="00814194" w:rsidP="00F36A29">
            <w:pPr>
              <w:pStyle w:val="NoSpacing"/>
            </w:pPr>
            <w:proofErr w:type="spellStart"/>
            <w:r w:rsidRPr="00487834">
              <w:t>Fixed</w:t>
            </w:r>
            <w:proofErr w:type="spellEnd"/>
          </w:p>
        </w:tc>
        <w:tc>
          <w:tcPr>
            <w:tcW w:w="1300" w:type="dxa"/>
            <w:tcBorders>
              <w:top w:val="single" w:sz="4" w:space="0" w:color="auto"/>
              <w:left w:val="nil"/>
              <w:bottom w:val="nil"/>
              <w:right w:val="nil"/>
            </w:tcBorders>
            <w:shd w:val="clear" w:color="auto" w:fill="auto"/>
            <w:vAlign w:val="center"/>
            <w:hideMark/>
          </w:tcPr>
          <w:p w14:paraId="3E1EB6D4" w14:textId="77777777" w:rsidR="00814194" w:rsidRPr="00487834" w:rsidRDefault="00814194" w:rsidP="00F36A29">
            <w:pPr>
              <w:pStyle w:val="NoSpacing"/>
            </w:pPr>
            <w:proofErr w:type="spellStart"/>
            <w:r w:rsidRPr="00487834">
              <w:t>Fixed</w:t>
            </w:r>
            <w:proofErr w:type="spellEnd"/>
          </w:p>
        </w:tc>
      </w:tr>
      <w:tr w:rsidR="00814194" w:rsidRPr="00487834" w14:paraId="2FF3CBE0" w14:textId="77777777" w:rsidTr="00A83D58">
        <w:trPr>
          <w:trHeight w:val="540"/>
          <w:jc w:val="center"/>
        </w:trPr>
        <w:tc>
          <w:tcPr>
            <w:tcW w:w="2127" w:type="dxa"/>
            <w:tcBorders>
              <w:top w:val="nil"/>
              <w:left w:val="nil"/>
              <w:bottom w:val="nil"/>
              <w:right w:val="nil"/>
            </w:tcBorders>
            <w:shd w:val="clear" w:color="auto" w:fill="auto"/>
            <w:noWrap/>
            <w:vAlign w:val="center"/>
            <w:hideMark/>
          </w:tcPr>
          <w:p w14:paraId="5443E6E5" w14:textId="77777777" w:rsidR="00814194" w:rsidRPr="00487834" w:rsidRDefault="00814194" w:rsidP="00F36A29">
            <w:pPr>
              <w:pStyle w:val="NoSpacing"/>
            </w:pPr>
            <w:r w:rsidRPr="00487834">
              <w:t xml:space="preserve">N </w:t>
            </w:r>
            <w:proofErr w:type="spellStart"/>
            <w:r w:rsidRPr="00487834">
              <w:t>of</w:t>
            </w:r>
            <w:proofErr w:type="spellEnd"/>
            <w:r w:rsidRPr="00487834">
              <w:t xml:space="preserve"> </w:t>
            </w:r>
            <w:proofErr w:type="spellStart"/>
            <w:r w:rsidRPr="00487834">
              <w:t>obs</w:t>
            </w:r>
            <w:proofErr w:type="spellEnd"/>
            <w:r w:rsidRPr="00487834">
              <w:t>.</w:t>
            </w:r>
          </w:p>
        </w:tc>
        <w:tc>
          <w:tcPr>
            <w:tcW w:w="1193" w:type="dxa"/>
            <w:tcBorders>
              <w:top w:val="nil"/>
              <w:left w:val="nil"/>
              <w:bottom w:val="nil"/>
              <w:right w:val="nil"/>
            </w:tcBorders>
            <w:shd w:val="clear" w:color="auto" w:fill="auto"/>
            <w:noWrap/>
            <w:vAlign w:val="center"/>
            <w:hideMark/>
          </w:tcPr>
          <w:p w14:paraId="4BFDD1D5" w14:textId="77777777" w:rsidR="00814194" w:rsidRPr="00487834" w:rsidRDefault="00814194" w:rsidP="00F36A29">
            <w:pPr>
              <w:pStyle w:val="NoSpacing"/>
            </w:pPr>
            <w:r w:rsidRPr="00487834">
              <w:t>152</w:t>
            </w:r>
          </w:p>
        </w:tc>
        <w:tc>
          <w:tcPr>
            <w:tcW w:w="1300" w:type="dxa"/>
            <w:tcBorders>
              <w:top w:val="nil"/>
              <w:left w:val="nil"/>
              <w:bottom w:val="nil"/>
              <w:right w:val="nil"/>
            </w:tcBorders>
            <w:shd w:val="clear" w:color="auto" w:fill="auto"/>
            <w:noWrap/>
            <w:vAlign w:val="center"/>
            <w:hideMark/>
          </w:tcPr>
          <w:p w14:paraId="6367AEC5" w14:textId="77777777" w:rsidR="00814194" w:rsidRPr="00487834" w:rsidRDefault="00814194" w:rsidP="00F36A29">
            <w:pPr>
              <w:pStyle w:val="NoSpacing"/>
            </w:pPr>
            <w:r w:rsidRPr="00487834">
              <w:t>551</w:t>
            </w:r>
          </w:p>
        </w:tc>
        <w:tc>
          <w:tcPr>
            <w:tcW w:w="1300" w:type="dxa"/>
            <w:tcBorders>
              <w:top w:val="nil"/>
              <w:left w:val="nil"/>
              <w:bottom w:val="nil"/>
              <w:right w:val="nil"/>
            </w:tcBorders>
            <w:shd w:val="clear" w:color="auto" w:fill="auto"/>
            <w:noWrap/>
            <w:vAlign w:val="center"/>
            <w:hideMark/>
          </w:tcPr>
          <w:p w14:paraId="1BA8A5F8" w14:textId="77777777" w:rsidR="00814194" w:rsidRPr="00487834" w:rsidRDefault="00814194" w:rsidP="00F36A29">
            <w:pPr>
              <w:pStyle w:val="NoSpacing"/>
            </w:pPr>
            <w:r w:rsidRPr="00487834">
              <w:t>523</w:t>
            </w:r>
          </w:p>
        </w:tc>
      </w:tr>
      <w:tr w:rsidR="00814194" w:rsidRPr="00487834" w14:paraId="18A0018A" w14:textId="77777777" w:rsidTr="00A83D58">
        <w:trPr>
          <w:trHeight w:val="560"/>
          <w:jc w:val="center"/>
        </w:trPr>
        <w:tc>
          <w:tcPr>
            <w:tcW w:w="2127" w:type="dxa"/>
            <w:tcBorders>
              <w:top w:val="nil"/>
              <w:left w:val="nil"/>
              <w:bottom w:val="nil"/>
              <w:right w:val="nil"/>
            </w:tcBorders>
            <w:shd w:val="clear" w:color="auto" w:fill="auto"/>
            <w:noWrap/>
            <w:vAlign w:val="center"/>
            <w:hideMark/>
          </w:tcPr>
          <w:p w14:paraId="36E10D5E" w14:textId="77777777" w:rsidR="00814194" w:rsidRPr="00487834" w:rsidRDefault="00814194" w:rsidP="00F36A29">
            <w:pPr>
              <w:pStyle w:val="NoSpacing"/>
            </w:pPr>
            <w:r w:rsidRPr="00487834">
              <w:t>R-</w:t>
            </w:r>
            <w:proofErr w:type="spellStart"/>
            <w:r w:rsidRPr="00487834">
              <w:t>sq</w:t>
            </w:r>
            <w:proofErr w:type="spellEnd"/>
            <w:r w:rsidRPr="00487834">
              <w:t>.</w:t>
            </w:r>
          </w:p>
        </w:tc>
        <w:tc>
          <w:tcPr>
            <w:tcW w:w="1193" w:type="dxa"/>
            <w:tcBorders>
              <w:top w:val="nil"/>
              <w:left w:val="nil"/>
              <w:bottom w:val="nil"/>
              <w:right w:val="nil"/>
            </w:tcBorders>
            <w:shd w:val="clear" w:color="auto" w:fill="auto"/>
            <w:vAlign w:val="center"/>
            <w:hideMark/>
          </w:tcPr>
          <w:p w14:paraId="72CAA371" w14:textId="77777777" w:rsidR="00814194" w:rsidRPr="00487834" w:rsidRDefault="00814194" w:rsidP="00F36A29">
            <w:pPr>
              <w:pStyle w:val="NoSpacing"/>
            </w:pPr>
            <w:r w:rsidRPr="00487834">
              <w:t>0.579</w:t>
            </w:r>
          </w:p>
        </w:tc>
        <w:tc>
          <w:tcPr>
            <w:tcW w:w="1300" w:type="dxa"/>
            <w:tcBorders>
              <w:top w:val="nil"/>
              <w:left w:val="nil"/>
              <w:bottom w:val="nil"/>
              <w:right w:val="nil"/>
            </w:tcBorders>
            <w:shd w:val="clear" w:color="auto" w:fill="auto"/>
            <w:noWrap/>
            <w:vAlign w:val="center"/>
            <w:hideMark/>
          </w:tcPr>
          <w:p w14:paraId="62ED0D26" w14:textId="77777777" w:rsidR="00814194" w:rsidRPr="00487834" w:rsidRDefault="00814194" w:rsidP="00F36A29">
            <w:pPr>
              <w:pStyle w:val="NoSpacing"/>
            </w:pPr>
            <w:r w:rsidRPr="00487834">
              <w:t>0.599</w:t>
            </w:r>
          </w:p>
        </w:tc>
        <w:tc>
          <w:tcPr>
            <w:tcW w:w="1300" w:type="dxa"/>
            <w:tcBorders>
              <w:top w:val="nil"/>
              <w:left w:val="nil"/>
              <w:bottom w:val="nil"/>
              <w:right w:val="nil"/>
            </w:tcBorders>
            <w:shd w:val="clear" w:color="auto" w:fill="auto"/>
            <w:vAlign w:val="center"/>
            <w:hideMark/>
          </w:tcPr>
          <w:p w14:paraId="3B1E689C" w14:textId="77777777" w:rsidR="00814194" w:rsidRPr="00487834" w:rsidRDefault="00814194" w:rsidP="00F36A29">
            <w:pPr>
              <w:pStyle w:val="NoSpacing"/>
            </w:pPr>
            <w:r w:rsidRPr="00487834">
              <w:t>0.905</w:t>
            </w:r>
          </w:p>
        </w:tc>
      </w:tr>
      <w:tr w:rsidR="00814194" w:rsidRPr="00487834" w14:paraId="762F167F" w14:textId="77777777" w:rsidTr="00A83D58">
        <w:trPr>
          <w:trHeight w:val="600"/>
          <w:jc w:val="center"/>
        </w:trPr>
        <w:tc>
          <w:tcPr>
            <w:tcW w:w="2127" w:type="dxa"/>
            <w:tcBorders>
              <w:top w:val="nil"/>
              <w:left w:val="nil"/>
              <w:bottom w:val="nil"/>
              <w:right w:val="nil"/>
            </w:tcBorders>
            <w:shd w:val="clear" w:color="auto" w:fill="auto"/>
            <w:noWrap/>
            <w:vAlign w:val="center"/>
            <w:hideMark/>
          </w:tcPr>
          <w:p w14:paraId="4D67CEF1" w14:textId="77777777" w:rsidR="00814194" w:rsidRPr="00487834" w:rsidRDefault="00814194" w:rsidP="00F36A29">
            <w:pPr>
              <w:pStyle w:val="NoSpacing"/>
            </w:pPr>
            <w:proofErr w:type="spellStart"/>
            <w:r w:rsidRPr="00487834">
              <w:t>Adj</w:t>
            </w:r>
            <w:proofErr w:type="spellEnd"/>
            <w:r w:rsidRPr="00487834">
              <w:t>. R-</w:t>
            </w:r>
            <w:proofErr w:type="spellStart"/>
            <w:r w:rsidRPr="00487834">
              <w:t>sq</w:t>
            </w:r>
            <w:proofErr w:type="spellEnd"/>
            <w:r w:rsidRPr="00487834">
              <w:t>.</w:t>
            </w:r>
          </w:p>
        </w:tc>
        <w:tc>
          <w:tcPr>
            <w:tcW w:w="1193" w:type="dxa"/>
            <w:tcBorders>
              <w:top w:val="nil"/>
              <w:left w:val="nil"/>
              <w:bottom w:val="nil"/>
              <w:right w:val="nil"/>
            </w:tcBorders>
            <w:shd w:val="clear" w:color="auto" w:fill="auto"/>
            <w:vAlign w:val="center"/>
            <w:hideMark/>
          </w:tcPr>
          <w:p w14:paraId="227ADC27" w14:textId="77777777" w:rsidR="00814194" w:rsidRPr="00487834" w:rsidRDefault="00814194" w:rsidP="00F36A29">
            <w:pPr>
              <w:pStyle w:val="NoSpacing"/>
            </w:pPr>
            <w:r w:rsidRPr="00487834">
              <w:t>-</w:t>
            </w:r>
          </w:p>
        </w:tc>
        <w:tc>
          <w:tcPr>
            <w:tcW w:w="1300" w:type="dxa"/>
            <w:tcBorders>
              <w:top w:val="nil"/>
              <w:left w:val="nil"/>
              <w:bottom w:val="nil"/>
              <w:right w:val="nil"/>
            </w:tcBorders>
            <w:shd w:val="clear" w:color="auto" w:fill="auto"/>
            <w:noWrap/>
            <w:vAlign w:val="center"/>
            <w:hideMark/>
          </w:tcPr>
          <w:p w14:paraId="5E5C8D85" w14:textId="77777777" w:rsidR="00814194" w:rsidRPr="00487834" w:rsidRDefault="00814194" w:rsidP="00F36A29">
            <w:pPr>
              <w:pStyle w:val="NoSpacing"/>
            </w:pPr>
            <w:r w:rsidRPr="00487834">
              <w:t>0.48</w:t>
            </w:r>
          </w:p>
        </w:tc>
        <w:tc>
          <w:tcPr>
            <w:tcW w:w="1300" w:type="dxa"/>
            <w:tcBorders>
              <w:top w:val="nil"/>
              <w:left w:val="nil"/>
              <w:bottom w:val="nil"/>
              <w:right w:val="nil"/>
            </w:tcBorders>
            <w:shd w:val="clear" w:color="auto" w:fill="auto"/>
            <w:noWrap/>
            <w:vAlign w:val="center"/>
            <w:hideMark/>
          </w:tcPr>
          <w:p w14:paraId="1FAE20DA" w14:textId="77777777" w:rsidR="00814194" w:rsidRPr="00487834" w:rsidRDefault="00814194" w:rsidP="00F36A29">
            <w:pPr>
              <w:pStyle w:val="NoSpacing"/>
            </w:pPr>
            <w:r w:rsidRPr="00487834">
              <w:t>0.883</w:t>
            </w:r>
          </w:p>
        </w:tc>
      </w:tr>
      <w:tr w:rsidR="00814194" w:rsidRPr="00487834" w14:paraId="7DD3268F" w14:textId="77777777" w:rsidTr="00A83D58">
        <w:trPr>
          <w:trHeight w:val="560"/>
          <w:jc w:val="center"/>
        </w:trPr>
        <w:tc>
          <w:tcPr>
            <w:tcW w:w="2127" w:type="dxa"/>
            <w:tcBorders>
              <w:top w:val="nil"/>
              <w:left w:val="nil"/>
              <w:bottom w:val="nil"/>
              <w:right w:val="nil"/>
            </w:tcBorders>
            <w:shd w:val="clear" w:color="auto" w:fill="auto"/>
            <w:noWrap/>
            <w:vAlign w:val="center"/>
            <w:hideMark/>
          </w:tcPr>
          <w:p w14:paraId="077EF509" w14:textId="77777777" w:rsidR="00814194" w:rsidRPr="00487834" w:rsidRDefault="00814194" w:rsidP="00F36A29">
            <w:pPr>
              <w:pStyle w:val="NoSpacing"/>
            </w:pPr>
            <w:r w:rsidRPr="00487834">
              <w:t xml:space="preserve">Year </w:t>
            </w:r>
            <w:proofErr w:type="spellStart"/>
            <w:r w:rsidRPr="00487834">
              <w:t>effects</w:t>
            </w:r>
            <w:proofErr w:type="spellEnd"/>
          </w:p>
        </w:tc>
        <w:tc>
          <w:tcPr>
            <w:tcW w:w="1193" w:type="dxa"/>
            <w:tcBorders>
              <w:top w:val="nil"/>
              <w:left w:val="nil"/>
              <w:bottom w:val="nil"/>
              <w:right w:val="nil"/>
            </w:tcBorders>
            <w:shd w:val="clear" w:color="auto" w:fill="auto"/>
            <w:vAlign w:val="center"/>
            <w:hideMark/>
          </w:tcPr>
          <w:p w14:paraId="2C8B0727" w14:textId="77777777" w:rsidR="00814194" w:rsidRPr="00487834" w:rsidRDefault="00814194" w:rsidP="00F36A29">
            <w:pPr>
              <w:pStyle w:val="NoSpacing"/>
            </w:pPr>
            <w:r w:rsidRPr="00487834">
              <w:t>Yes</w:t>
            </w:r>
          </w:p>
        </w:tc>
        <w:tc>
          <w:tcPr>
            <w:tcW w:w="1300" w:type="dxa"/>
            <w:tcBorders>
              <w:top w:val="nil"/>
              <w:left w:val="nil"/>
              <w:bottom w:val="nil"/>
              <w:right w:val="nil"/>
            </w:tcBorders>
            <w:shd w:val="clear" w:color="auto" w:fill="auto"/>
            <w:noWrap/>
            <w:vAlign w:val="center"/>
            <w:hideMark/>
          </w:tcPr>
          <w:p w14:paraId="6C9E3570" w14:textId="77777777" w:rsidR="00814194" w:rsidRPr="00487834" w:rsidRDefault="00814194" w:rsidP="00F36A29">
            <w:pPr>
              <w:pStyle w:val="NoSpacing"/>
            </w:pPr>
            <w:r w:rsidRPr="00487834">
              <w:t>Yes</w:t>
            </w:r>
          </w:p>
        </w:tc>
        <w:tc>
          <w:tcPr>
            <w:tcW w:w="1300" w:type="dxa"/>
            <w:tcBorders>
              <w:top w:val="nil"/>
              <w:left w:val="nil"/>
              <w:bottom w:val="nil"/>
              <w:right w:val="nil"/>
            </w:tcBorders>
            <w:shd w:val="clear" w:color="auto" w:fill="auto"/>
            <w:noWrap/>
            <w:vAlign w:val="center"/>
            <w:hideMark/>
          </w:tcPr>
          <w:p w14:paraId="0C74F477" w14:textId="77777777" w:rsidR="00814194" w:rsidRPr="00487834" w:rsidRDefault="00814194" w:rsidP="00F36A29">
            <w:pPr>
              <w:pStyle w:val="NoSpacing"/>
            </w:pPr>
            <w:r w:rsidRPr="00487834">
              <w:t>Yes</w:t>
            </w:r>
          </w:p>
        </w:tc>
      </w:tr>
      <w:tr w:rsidR="00814194" w:rsidRPr="00487834" w14:paraId="15F5D63F" w14:textId="77777777" w:rsidTr="00A83D58">
        <w:trPr>
          <w:trHeight w:val="560"/>
          <w:jc w:val="center"/>
        </w:trPr>
        <w:tc>
          <w:tcPr>
            <w:tcW w:w="2127" w:type="dxa"/>
            <w:tcBorders>
              <w:top w:val="nil"/>
              <w:left w:val="nil"/>
              <w:bottom w:val="nil"/>
              <w:right w:val="nil"/>
            </w:tcBorders>
            <w:shd w:val="clear" w:color="auto" w:fill="auto"/>
            <w:noWrap/>
            <w:vAlign w:val="center"/>
            <w:hideMark/>
          </w:tcPr>
          <w:p w14:paraId="287B3808" w14:textId="77777777" w:rsidR="00814194" w:rsidRPr="00487834" w:rsidRDefault="00814194" w:rsidP="00F36A29">
            <w:pPr>
              <w:pStyle w:val="NoSpacing"/>
            </w:pPr>
            <w:proofErr w:type="spellStart"/>
            <w:r w:rsidRPr="00487834">
              <w:t>Firm</w:t>
            </w:r>
            <w:proofErr w:type="spellEnd"/>
            <w:r w:rsidRPr="00487834">
              <w:t xml:space="preserve"> </w:t>
            </w:r>
            <w:proofErr w:type="spellStart"/>
            <w:r w:rsidRPr="00487834">
              <w:t>effects</w:t>
            </w:r>
            <w:proofErr w:type="spellEnd"/>
          </w:p>
        </w:tc>
        <w:tc>
          <w:tcPr>
            <w:tcW w:w="1193" w:type="dxa"/>
            <w:tcBorders>
              <w:top w:val="nil"/>
              <w:left w:val="nil"/>
              <w:bottom w:val="nil"/>
              <w:right w:val="nil"/>
            </w:tcBorders>
            <w:shd w:val="clear" w:color="auto" w:fill="auto"/>
            <w:vAlign w:val="center"/>
            <w:hideMark/>
          </w:tcPr>
          <w:p w14:paraId="1A215CF5" w14:textId="77777777" w:rsidR="00814194" w:rsidRPr="00487834" w:rsidRDefault="00814194" w:rsidP="00F36A29">
            <w:pPr>
              <w:pStyle w:val="NoSpacing"/>
            </w:pPr>
            <w:r w:rsidRPr="00487834">
              <w:t>Yes</w:t>
            </w:r>
          </w:p>
        </w:tc>
        <w:tc>
          <w:tcPr>
            <w:tcW w:w="1300" w:type="dxa"/>
            <w:tcBorders>
              <w:top w:val="nil"/>
              <w:left w:val="nil"/>
              <w:bottom w:val="nil"/>
              <w:right w:val="nil"/>
            </w:tcBorders>
            <w:shd w:val="clear" w:color="auto" w:fill="auto"/>
            <w:noWrap/>
            <w:vAlign w:val="center"/>
            <w:hideMark/>
          </w:tcPr>
          <w:p w14:paraId="0CF7D283" w14:textId="77777777" w:rsidR="00814194" w:rsidRPr="00487834" w:rsidRDefault="00814194" w:rsidP="00F36A29">
            <w:pPr>
              <w:pStyle w:val="NoSpacing"/>
            </w:pPr>
            <w:r w:rsidRPr="00487834">
              <w:t>Yes</w:t>
            </w:r>
          </w:p>
        </w:tc>
        <w:tc>
          <w:tcPr>
            <w:tcW w:w="1300" w:type="dxa"/>
            <w:tcBorders>
              <w:top w:val="nil"/>
              <w:left w:val="nil"/>
              <w:bottom w:val="nil"/>
              <w:right w:val="nil"/>
            </w:tcBorders>
            <w:shd w:val="clear" w:color="auto" w:fill="auto"/>
            <w:noWrap/>
            <w:vAlign w:val="center"/>
            <w:hideMark/>
          </w:tcPr>
          <w:p w14:paraId="1A53A536" w14:textId="77777777" w:rsidR="00814194" w:rsidRPr="00487834" w:rsidRDefault="00814194" w:rsidP="00F36A29">
            <w:pPr>
              <w:pStyle w:val="NoSpacing"/>
            </w:pPr>
            <w:r w:rsidRPr="00487834">
              <w:t>Yes</w:t>
            </w:r>
          </w:p>
        </w:tc>
      </w:tr>
      <w:tr w:rsidR="00814194" w:rsidRPr="00487834" w14:paraId="4BB5ED92" w14:textId="77777777" w:rsidTr="00A83D58">
        <w:trPr>
          <w:trHeight w:val="1220"/>
          <w:jc w:val="center"/>
        </w:trPr>
        <w:tc>
          <w:tcPr>
            <w:tcW w:w="2127" w:type="dxa"/>
            <w:tcBorders>
              <w:top w:val="nil"/>
              <w:left w:val="nil"/>
              <w:bottom w:val="single" w:sz="4" w:space="0" w:color="auto"/>
              <w:right w:val="nil"/>
            </w:tcBorders>
            <w:shd w:val="clear" w:color="auto" w:fill="auto"/>
            <w:vAlign w:val="center"/>
            <w:hideMark/>
          </w:tcPr>
          <w:p w14:paraId="1328E942" w14:textId="77777777" w:rsidR="00814194" w:rsidRPr="00487834" w:rsidRDefault="00814194" w:rsidP="00F36A29">
            <w:pPr>
              <w:pStyle w:val="NoSpacing"/>
            </w:pPr>
            <w:proofErr w:type="spellStart"/>
            <w:r w:rsidRPr="00487834">
              <w:t>Robust</w:t>
            </w:r>
            <w:proofErr w:type="spellEnd"/>
            <w:r w:rsidRPr="00487834">
              <w:t xml:space="preserve"> </w:t>
            </w:r>
            <w:proofErr w:type="spellStart"/>
            <w:r w:rsidRPr="00487834">
              <w:t>standard</w:t>
            </w:r>
            <w:proofErr w:type="spellEnd"/>
            <w:r w:rsidRPr="00487834">
              <w:t xml:space="preserve"> </w:t>
            </w:r>
            <w:proofErr w:type="spellStart"/>
            <w:r w:rsidRPr="00487834">
              <w:t>errors</w:t>
            </w:r>
            <w:proofErr w:type="spellEnd"/>
          </w:p>
        </w:tc>
        <w:tc>
          <w:tcPr>
            <w:tcW w:w="1193" w:type="dxa"/>
            <w:tcBorders>
              <w:top w:val="nil"/>
              <w:left w:val="nil"/>
              <w:bottom w:val="single" w:sz="4" w:space="0" w:color="auto"/>
              <w:right w:val="nil"/>
            </w:tcBorders>
            <w:shd w:val="clear" w:color="auto" w:fill="auto"/>
            <w:vAlign w:val="center"/>
            <w:hideMark/>
          </w:tcPr>
          <w:p w14:paraId="23894F90" w14:textId="77777777" w:rsidR="00814194" w:rsidRPr="00487834" w:rsidRDefault="00814194" w:rsidP="00F36A29">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300" w:type="dxa"/>
            <w:tcBorders>
              <w:top w:val="nil"/>
              <w:left w:val="nil"/>
              <w:bottom w:val="single" w:sz="4" w:space="0" w:color="auto"/>
              <w:right w:val="nil"/>
            </w:tcBorders>
            <w:shd w:val="clear" w:color="auto" w:fill="auto"/>
            <w:vAlign w:val="center"/>
            <w:hideMark/>
          </w:tcPr>
          <w:p w14:paraId="65BDFED5" w14:textId="77777777" w:rsidR="00814194" w:rsidRPr="00487834" w:rsidRDefault="00814194" w:rsidP="00F36A29">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300" w:type="dxa"/>
            <w:tcBorders>
              <w:top w:val="nil"/>
              <w:left w:val="nil"/>
              <w:bottom w:val="single" w:sz="4" w:space="0" w:color="auto"/>
              <w:right w:val="nil"/>
            </w:tcBorders>
            <w:shd w:val="clear" w:color="auto" w:fill="auto"/>
            <w:vAlign w:val="center"/>
            <w:hideMark/>
          </w:tcPr>
          <w:p w14:paraId="44E62212" w14:textId="77777777" w:rsidR="00814194" w:rsidRPr="00487834" w:rsidRDefault="00814194" w:rsidP="00F36A29">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r>
    </w:tbl>
    <w:p w14:paraId="174796F7" w14:textId="77777777" w:rsidR="000C502F" w:rsidRPr="00487834" w:rsidRDefault="000C502F" w:rsidP="000C502F">
      <w:pPr>
        <w:autoSpaceDE w:val="0"/>
        <w:autoSpaceDN w:val="0"/>
        <w:adjustRightInd w:val="0"/>
        <w:spacing w:line="300" w:lineRule="auto"/>
        <w:rPr>
          <w:rFonts w:eastAsiaTheme="minorHAnsi"/>
          <w:lang w:val="en-US" w:eastAsia="en-US"/>
        </w:rPr>
      </w:pPr>
    </w:p>
    <w:p w14:paraId="7F61AC04" w14:textId="0E5760CF" w:rsidR="000C502F" w:rsidRPr="00487834" w:rsidRDefault="00B374B4" w:rsidP="00B530E7">
      <w:pPr>
        <w:autoSpaceDE w:val="0"/>
        <w:autoSpaceDN w:val="0"/>
        <w:adjustRightInd w:val="0"/>
        <w:spacing w:line="300" w:lineRule="auto"/>
        <w:rPr>
          <w:rFonts w:eastAsiaTheme="minorHAnsi"/>
          <w:lang w:val="en-US" w:eastAsia="en-US"/>
        </w:rPr>
      </w:pPr>
      <w:r>
        <w:rPr>
          <w:rFonts w:eastAsiaTheme="minorHAnsi"/>
          <w:lang w:val="en-US" w:eastAsia="en-US"/>
        </w:rPr>
        <w:t xml:space="preserve">The model </w:t>
      </w:r>
      <w:r w:rsidR="000C502F" w:rsidRPr="00487834">
        <w:rPr>
          <w:rFonts w:eastAsiaTheme="minorHAnsi"/>
          <w:lang w:val="en-US" w:eastAsia="en-US"/>
        </w:rPr>
        <w:t xml:space="preserve">results for the cost of equity segmented by country </w:t>
      </w:r>
      <w:r>
        <w:rPr>
          <w:rFonts w:eastAsiaTheme="minorHAnsi"/>
          <w:lang w:val="en-US" w:eastAsia="en-US"/>
        </w:rPr>
        <w:t xml:space="preserve">yield similarly unexpected implications </w:t>
      </w:r>
      <w:r w:rsidR="000C502F" w:rsidRPr="00487834">
        <w:rPr>
          <w:rFonts w:eastAsiaTheme="minorHAnsi"/>
          <w:lang w:val="en-US" w:eastAsia="en-US"/>
        </w:rPr>
        <w:t xml:space="preserve">In Russia, </w:t>
      </w:r>
      <w:r>
        <w:rPr>
          <w:rFonts w:eastAsiaTheme="minorHAnsi"/>
          <w:lang w:val="en-US" w:eastAsia="en-US"/>
        </w:rPr>
        <w:t xml:space="preserve">similarly to non-lag cost of debt </w:t>
      </w:r>
      <w:r w:rsidR="000C502F" w:rsidRPr="00487834">
        <w:rPr>
          <w:rFonts w:eastAsiaTheme="minorHAnsi"/>
          <w:lang w:val="en-US" w:eastAsia="en-US"/>
        </w:rPr>
        <w:t xml:space="preserve">the ESG score does not show a significant relationship with the cost of equity (0.0035), indicating that ESG performance does not markedly influence equity costs in this market. This result suggests that Russian investors may not yet place substantial emphasis on ESG factors when evaluating equity investments, potentially due to the relatively lower focus on sustainability within the Russian market context. This finding </w:t>
      </w:r>
      <w:r w:rsidR="00B530E7">
        <w:rPr>
          <w:rFonts w:eastAsiaTheme="minorHAnsi"/>
          <w:lang w:val="en-US" w:eastAsia="en-US"/>
        </w:rPr>
        <w:t xml:space="preserve">refutes </w:t>
      </w:r>
      <w:r w:rsidR="000C502F" w:rsidRPr="00487834">
        <w:rPr>
          <w:rFonts w:eastAsiaTheme="minorHAnsi"/>
          <w:lang w:val="en-US" w:eastAsia="en-US"/>
        </w:rPr>
        <w:t xml:space="preserve">Hypothesis 4, which anticipated stronger effects in Russia due to its </w:t>
      </w:r>
      <w:r w:rsidR="00B530E7">
        <w:rPr>
          <w:rFonts w:eastAsiaTheme="minorHAnsi"/>
          <w:lang w:val="en-US" w:eastAsia="en-US"/>
        </w:rPr>
        <w:t xml:space="preserve">economic </w:t>
      </w:r>
      <w:proofErr w:type="spellStart"/>
      <w:r w:rsidR="00B530E7">
        <w:rPr>
          <w:rFonts w:eastAsiaTheme="minorHAnsi"/>
          <w:lang w:val="en-US" w:eastAsia="en-US"/>
        </w:rPr>
        <w:t>structure</w:t>
      </w:r>
      <w:r w:rsidR="000C502F" w:rsidRPr="00487834">
        <w:rPr>
          <w:rFonts w:eastAsiaTheme="minorHAnsi"/>
          <w:lang w:val="en-US" w:eastAsia="en-US"/>
        </w:rPr>
        <w:t>In</w:t>
      </w:r>
      <w:proofErr w:type="spellEnd"/>
      <w:r w:rsidR="000C502F" w:rsidRPr="00487834">
        <w:rPr>
          <w:rFonts w:eastAsiaTheme="minorHAnsi"/>
          <w:lang w:val="en-US" w:eastAsia="en-US"/>
        </w:rPr>
        <w:t xml:space="preserve"> Brazil, the ESG score demonstrates a significant positive relationship with the cost of equity (0.0231, p &lt; 0.01). This outcome indicates that higher ESG scores are associated with increased equity costs, likely reflecting the substantial investments and perceived risks involved in achieving high ESG standards. This aligns with findings by Nga &amp;</w:t>
      </w:r>
      <w:proofErr w:type="spellStart"/>
      <w:r w:rsidR="000C502F" w:rsidRPr="00487834">
        <w:rPr>
          <w:rFonts w:eastAsiaTheme="minorHAnsi"/>
          <w:lang w:val="en-US" w:eastAsia="en-US"/>
        </w:rPr>
        <w:t>Rezaee</w:t>
      </w:r>
      <w:proofErr w:type="spellEnd"/>
      <w:r w:rsidR="000C502F" w:rsidRPr="00487834">
        <w:rPr>
          <w:rFonts w:eastAsiaTheme="minorHAnsi"/>
          <w:lang w:val="en-US" w:eastAsia="en-US"/>
        </w:rPr>
        <w:t xml:space="preserve"> (2015) and Giese et al. (2019), who noted that while better ESG performance can enhance corporate reputation and long-term stability, it can also result in higher short-term </w:t>
      </w:r>
      <w:r w:rsidR="005324E6">
        <w:rPr>
          <w:rFonts w:eastAsiaTheme="minorHAnsi"/>
          <w:lang w:val="en-US" w:eastAsia="en-US"/>
        </w:rPr>
        <w:t>premium required by investors. Both cases refute H1 at a principal level</w:t>
      </w:r>
    </w:p>
    <w:p w14:paraId="67C63C36" w14:textId="0CD91C8D" w:rsidR="000C502F" w:rsidRPr="00487834" w:rsidRDefault="005324E6" w:rsidP="005324E6">
      <w:pPr>
        <w:autoSpaceDE w:val="0"/>
        <w:autoSpaceDN w:val="0"/>
        <w:adjustRightInd w:val="0"/>
        <w:spacing w:line="300" w:lineRule="auto"/>
        <w:ind w:firstLine="720"/>
        <w:rPr>
          <w:rFonts w:eastAsiaTheme="minorHAnsi"/>
          <w:lang w:val="en-US" w:eastAsia="en-US"/>
        </w:rPr>
      </w:pPr>
      <w:r>
        <w:rPr>
          <w:rFonts w:eastAsiaTheme="minorHAnsi"/>
          <w:lang w:val="en-US" w:eastAsia="en-US"/>
        </w:rPr>
        <w:t xml:space="preserve">The case of </w:t>
      </w:r>
      <w:r w:rsidR="000C502F" w:rsidRPr="00487834">
        <w:rPr>
          <w:rFonts w:eastAsiaTheme="minorHAnsi"/>
          <w:lang w:val="en-US" w:eastAsia="en-US"/>
        </w:rPr>
        <w:t xml:space="preserve">South Africa also shows a significant positive relationship between ESG scores and the cost of equity (0.0043, p &lt; 0.01). This suggests that </w:t>
      </w:r>
      <w:proofErr w:type="gramStart"/>
      <w:r w:rsidR="000C502F" w:rsidRPr="00487834">
        <w:rPr>
          <w:rFonts w:eastAsiaTheme="minorHAnsi"/>
          <w:lang w:val="en-US" w:eastAsia="en-US"/>
        </w:rPr>
        <w:t>similar to</w:t>
      </w:r>
      <w:proofErr w:type="gramEnd"/>
      <w:r w:rsidR="000C502F" w:rsidRPr="00487834">
        <w:rPr>
          <w:rFonts w:eastAsiaTheme="minorHAnsi"/>
          <w:lang w:val="en-US" w:eastAsia="en-US"/>
        </w:rPr>
        <w:t xml:space="preserve"> Brazil, South African firms with higher ESG scores face higher equity costs, potentially due to the perceived risks and costs associated with maintaining high ESG standards. This reinforces the idea that </w:t>
      </w:r>
      <w:r w:rsidR="000C502F" w:rsidRPr="00487834">
        <w:rPr>
          <w:rFonts w:eastAsiaTheme="minorHAnsi"/>
          <w:lang w:val="en-US" w:eastAsia="en-US"/>
        </w:rPr>
        <w:lastRenderedPageBreak/>
        <w:t>while ESG improvements are valuable, they may come with increased costs that are reflected in investor-required returns.</w:t>
      </w:r>
    </w:p>
    <w:p w14:paraId="490D7002" w14:textId="1C2E4539" w:rsidR="000C502F" w:rsidRPr="00487834" w:rsidRDefault="000C502F" w:rsidP="005B7A87">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Control variables</w:t>
      </w:r>
      <w:r w:rsidR="005B7A87">
        <w:rPr>
          <w:rFonts w:eastAsiaTheme="minorHAnsi"/>
          <w:lang w:val="en-US" w:eastAsia="en-US"/>
        </w:rPr>
        <w:t xml:space="preserve">’ </w:t>
      </w:r>
      <w:proofErr w:type="spellStart"/>
      <w:proofErr w:type="gramStart"/>
      <w:r w:rsidR="005B7A87">
        <w:rPr>
          <w:rFonts w:eastAsiaTheme="minorHAnsi"/>
          <w:lang w:val="en-US" w:eastAsia="en-US"/>
        </w:rPr>
        <w:t>resu;ts</w:t>
      </w:r>
      <w:proofErr w:type="spellEnd"/>
      <w:proofErr w:type="gramEnd"/>
      <w:r w:rsidR="005B7A87">
        <w:rPr>
          <w:rFonts w:eastAsiaTheme="minorHAnsi"/>
          <w:lang w:val="en-US" w:eastAsia="en-US"/>
        </w:rPr>
        <w:t xml:space="preserve"> in this case are also unexpected and uneven</w:t>
      </w:r>
      <w:r w:rsidRPr="00487834">
        <w:rPr>
          <w:rFonts w:eastAsiaTheme="minorHAnsi"/>
          <w:lang w:val="en-US" w:eastAsia="en-US"/>
        </w:rPr>
        <w:t xml:space="preserve">. In Russia, market capitalization (MCAP) does not significantly impact the cost of equity, while in Brazil, MCAP shows a non-significant negative relationship (-0.0097). In South Africa, MCAP has a positive but insignificant relationship (0.0042), indicating mixed effects of firm size on equity costs across these </w:t>
      </w:r>
      <w:proofErr w:type="spellStart"/>
      <w:proofErr w:type="gramStart"/>
      <w:r w:rsidRPr="00487834">
        <w:rPr>
          <w:rFonts w:eastAsiaTheme="minorHAnsi"/>
          <w:lang w:val="en-US" w:eastAsia="en-US"/>
        </w:rPr>
        <w:t>countries.The</w:t>
      </w:r>
      <w:proofErr w:type="spellEnd"/>
      <w:proofErr w:type="gramEnd"/>
      <w:r w:rsidRPr="00487834">
        <w:rPr>
          <w:rFonts w:eastAsiaTheme="minorHAnsi"/>
          <w:lang w:val="en-US" w:eastAsia="en-US"/>
        </w:rPr>
        <w:t xml:space="preserve"> price-to-earnings ratio (PE) generally shows a negative relationship with the cost of equity, although it is only marginally significant in Brazil (-0.0122, p &lt; 0.10). The market-to-book ratio (MTB) consistently demonstrates a significant negative impact on equity costs across all countries, underscoring the importance of valuation metrics in investor decision-making.</w:t>
      </w:r>
      <w:r w:rsidR="00FA5873">
        <w:rPr>
          <w:rFonts w:eastAsiaTheme="minorHAnsi"/>
          <w:lang w:val="en-US" w:eastAsia="en-US"/>
        </w:rPr>
        <w:t xml:space="preserve"> On the contrary EV/EBITDA multiple is once again consistently insignificant.</w:t>
      </w:r>
    </w:p>
    <w:p w14:paraId="3CAD091D" w14:textId="35A0F84F" w:rsidR="000C502F" w:rsidRPr="00487834" w:rsidRDefault="000C502F" w:rsidP="005B7A87">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Beta (BETA) consistently shows a significant positive relationship with the cost of equity in all three countries, highlighting the role of systematic risk in equity cost determina</w:t>
      </w:r>
      <w:r w:rsidR="005B7A87">
        <w:rPr>
          <w:rFonts w:eastAsiaTheme="minorHAnsi"/>
          <w:lang w:val="en-US" w:eastAsia="en-US"/>
        </w:rPr>
        <w:t xml:space="preserve">tion. The effect is especially strong in Russia, signaling the cruciality of systematic risk </w:t>
      </w:r>
      <w:r w:rsidR="00EB20EE">
        <w:rPr>
          <w:rFonts w:eastAsiaTheme="minorHAnsi"/>
          <w:lang w:val="en-US" w:eastAsia="en-US"/>
        </w:rPr>
        <w:t xml:space="preserve">for the </w:t>
      </w:r>
      <w:proofErr w:type="gramStart"/>
      <w:r w:rsidR="00EB20EE">
        <w:rPr>
          <w:rFonts w:eastAsiaTheme="minorHAnsi"/>
          <w:lang w:val="en-US" w:eastAsia="en-US"/>
        </w:rPr>
        <w:t>highly-sanctioned</w:t>
      </w:r>
      <w:proofErr w:type="gramEnd"/>
      <w:r w:rsidR="00EB20EE">
        <w:rPr>
          <w:rFonts w:eastAsiaTheme="minorHAnsi"/>
          <w:lang w:val="en-US" w:eastAsia="en-US"/>
        </w:rPr>
        <w:t xml:space="preserve"> market.</w:t>
      </w:r>
    </w:p>
    <w:p w14:paraId="14B8388C" w14:textId="1BAE32C2" w:rsidR="00EF4BE4" w:rsidRPr="00487834" w:rsidRDefault="000C502F" w:rsidP="00EB20EE">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 xml:space="preserve">Overall, these results </w:t>
      </w:r>
      <w:r w:rsidR="00EB20EE">
        <w:rPr>
          <w:rFonts w:eastAsiaTheme="minorHAnsi"/>
          <w:lang w:val="en-US" w:eastAsia="en-US"/>
        </w:rPr>
        <w:t xml:space="preserve">again </w:t>
      </w:r>
      <w:r w:rsidRPr="00487834">
        <w:rPr>
          <w:rFonts w:eastAsiaTheme="minorHAnsi"/>
          <w:lang w:val="en-US" w:eastAsia="en-US"/>
        </w:rPr>
        <w:t xml:space="preserve">provide </w:t>
      </w:r>
      <w:r w:rsidR="00EB20EE">
        <w:rPr>
          <w:rFonts w:eastAsiaTheme="minorHAnsi"/>
          <w:lang w:val="en-US" w:eastAsia="en-US"/>
        </w:rPr>
        <w:t xml:space="preserve">no </w:t>
      </w:r>
      <w:r w:rsidRPr="00487834">
        <w:rPr>
          <w:rFonts w:eastAsiaTheme="minorHAnsi"/>
          <w:lang w:val="en-US" w:eastAsia="en-US"/>
        </w:rPr>
        <w:t>support for H</w:t>
      </w:r>
      <w:r w:rsidR="00EB20EE">
        <w:rPr>
          <w:rFonts w:eastAsiaTheme="minorHAnsi"/>
          <w:lang w:val="en-US" w:eastAsia="en-US"/>
        </w:rPr>
        <w:t xml:space="preserve">1 </w:t>
      </w:r>
      <w:r w:rsidRPr="00487834">
        <w:rPr>
          <w:rFonts w:eastAsiaTheme="minorHAnsi"/>
          <w:lang w:val="en-US" w:eastAsia="en-US"/>
        </w:rPr>
        <w:t xml:space="preserve">and </w:t>
      </w:r>
      <w:r w:rsidR="00EB20EE">
        <w:rPr>
          <w:rFonts w:eastAsiaTheme="minorHAnsi"/>
          <w:lang w:val="en-US" w:eastAsia="en-US"/>
        </w:rPr>
        <w:t>H</w:t>
      </w:r>
      <w:r w:rsidRPr="00487834">
        <w:rPr>
          <w:rFonts w:eastAsiaTheme="minorHAnsi"/>
          <w:lang w:val="en-US" w:eastAsia="en-US"/>
        </w:rPr>
        <w:t xml:space="preserve">4, </w:t>
      </w:r>
      <w:r w:rsidR="000E06FB">
        <w:rPr>
          <w:rFonts w:eastAsiaTheme="minorHAnsi"/>
          <w:lang w:val="en-US" w:eastAsia="en-US"/>
        </w:rPr>
        <w:t>while giving some substantiation for H3, as effects on cost of equity are more pronounced than effects on cost of debt</w:t>
      </w:r>
    </w:p>
    <w:p w14:paraId="7A5E07E8" w14:textId="77777777" w:rsidR="00EF4BE4" w:rsidRPr="00487834" w:rsidRDefault="00EF4BE4" w:rsidP="003128F6">
      <w:pPr>
        <w:autoSpaceDE w:val="0"/>
        <w:autoSpaceDN w:val="0"/>
        <w:adjustRightInd w:val="0"/>
        <w:spacing w:line="300" w:lineRule="auto"/>
        <w:rPr>
          <w:rFonts w:eastAsiaTheme="minorHAnsi"/>
          <w:b/>
          <w:bCs/>
          <w:lang w:val="en-US" w:eastAsia="en-US"/>
        </w:rPr>
      </w:pPr>
    </w:p>
    <w:p w14:paraId="4845B42D" w14:textId="50B89BE8" w:rsidR="00185A1F" w:rsidRPr="00487834" w:rsidRDefault="00170D3D" w:rsidP="000E06FB">
      <w:pPr>
        <w:autoSpaceDE w:val="0"/>
        <w:autoSpaceDN w:val="0"/>
        <w:adjustRightInd w:val="0"/>
        <w:spacing w:line="300" w:lineRule="auto"/>
        <w:rPr>
          <w:rFonts w:eastAsiaTheme="minorHAnsi"/>
          <w:lang w:val="en-US" w:eastAsia="en-US"/>
        </w:rPr>
      </w:pPr>
      <w:r w:rsidRPr="00487834">
        <w:rPr>
          <w:rFonts w:eastAsiaTheme="minorHAnsi"/>
          <w:b/>
          <w:bCs/>
          <w:lang w:val="en-US" w:eastAsia="en-US"/>
        </w:rPr>
        <w:t xml:space="preserve">Table </w:t>
      </w:r>
      <w:r w:rsidR="00BF355C" w:rsidRPr="00487834">
        <w:rPr>
          <w:rFonts w:eastAsiaTheme="minorHAnsi"/>
          <w:b/>
          <w:bCs/>
          <w:lang w:val="en-US" w:eastAsia="en-US"/>
        </w:rPr>
        <w:t>32</w:t>
      </w:r>
      <w:r w:rsidR="00286F41" w:rsidRPr="00487834">
        <w:rPr>
          <w:rFonts w:eastAsiaTheme="minorHAnsi"/>
          <w:b/>
          <w:bCs/>
          <w:lang w:val="en-US" w:eastAsia="en-US"/>
        </w:rPr>
        <w:t xml:space="preserve"> </w:t>
      </w:r>
      <w:r w:rsidRPr="00487834">
        <w:rPr>
          <w:rFonts w:eastAsiaTheme="minorHAnsi"/>
          <w:b/>
          <w:bCs/>
          <w:lang w:val="en-GB" w:eastAsia="en-US"/>
        </w:rPr>
        <w:t xml:space="preserve">– </w:t>
      </w:r>
      <w:r w:rsidR="00185A1F" w:rsidRPr="00487834">
        <w:rPr>
          <w:rFonts w:eastAsiaTheme="minorHAnsi"/>
          <w:lang w:val="en-US" w:eastAsia="en-US"/>
        </w:rPr>
        <w:t>Cost of equity regression results with lagged predictor for the full dataset and the subsamples (Top vs</w:t>
      </w:r>
      <w:r w:rsidR="00BF355C" w:rsidRPr="00487834">
        <w:rPr>
          <w:rFonts w:eastAsiaTheme="minorHAnsi"/>
          <w:lang w:val="en-US" w:eastAsia="en-US"/>
        </w:rPr>
        <w:t xml:space="preserve"> </w:t>
      </w:r>
      <w:r w:rsidR="00185A1F" w:rsidRPr="00487834">
        <w:rPr>
          <w:rFonts w:eastAsiaTheme="minorHAnsi"/>
          <w:lang w:val="en-US" w:eastAsia="en-US"/>
        </w:rPr>
        <w:t>medium vs underperforming ESG scores)</w:t>
      </w:r>
    </w:p>
    <w:p w14:paraId="351DFF69" w14:textId="77777777" w:rsidR="00F36A29" w:rsidRPr="00487834" w:rsidRDefault="00F36A29" w:rsidP="003128F6">
      <w:pPr>
        <w:autoSpaceDE w:val="0"/>
        <w:autoSpaceDN w:val="0"/>
        <w:adjustRightInd w:val="0"/>
        <w:spacing w:line="300" w:lineRule="auto"/>
        <w:rPr>
          <w:rFonts w:eastAsiaTheme="minorHAnsi"/>
          <w:lang w:val="en-US" w:eastAsia="en-US"/>
        </w:rPr>
      </w:pPr>
    </w:p>
    <w:tbl>
      <w:tblPr>
        <w:tblW w:w="10348" w:type="dxa"/>
        <w:jc w:val="center"/>
        <w:tblLook w:val="04A0" w:firstRow="1" w:lastRow="0" w:firstColumn="1" w:lastColumn="0" w:noHBand="0" w:noVBand="1"/>
      </w:tblPr>
      <w:tblGrid>
        <w:gridCol w:w="2000"/>
        <w:gridCol w:w="1402"/>
        <w:gridCol w:w="1276"/>
        <w:gridCol w:w="1418"/>
        <w:gridCol w:w="1417"/>
        <w:gridCol w:w="1418"/>
        <w:gridCol w:w="1417"/>
      </w:tblGrid>
      <w:tr w:rsidR="00AE1163" w:rsidRPr="00487834" w14:paraId="36F977EB" w14:textId="77777777" w:rsidTr="00654423">
        <w:trPr>
          <w:trHeight w:val="300"/>
          <w:jc w:val="center"/>
        </w:trPr>
        <w:tc>
          <w:tcPr>
            <w:tcW w:w="2000" w:type="dxa"/>
            <w:tcBorders>
              <w:top w:val="single" w:sz="4" w:space="0" w:color="auto"/>
              <w:left w:val="nil"/>
              <w:bottom w:val="single" w:sz="4" w:space="0" w:color="auto"/>
              <w:right w:val="nil"/>
            </w:tcBorders>
            <w:shd w:val="clear" w:color="auto" w:fill="auto"/>
            <w:noWrap/>
            <w:vAlign w:val="center"/>
            <w:hideMark/>
          </w:tcPr>
          <w:p w14:paraId="5ADC298C" w14:textId="77777777" w:rsidR="00185A1F" w:rsidRPr="00487834" w:rsidRDefault="00185A1F" w:rsidP="00F36A29">
            <w:pPr>
              <w:pStyle w:val="NoSpacing"/>
            </w:pPr>
            <w:proofErr w:type="spellStart"/>
            <w:r w:rsidRPr="00487834">
              <w:t>Parameter</w:t>
            </w:r>
            <w:proofErr w:type="spellEnd"/>
          </w:p>
        </w:tc>
        <w:tc>
          <w:tcPr>
            <w:tcW w:w="1402" w:type="dxa"/>
            <w:tcBorders>
              <w:top w:val="single" w:sz="4" w:space="0" w:color="auto"/>
              <w:left w:val="nil"/>
              <w:bottom w:val="single" w:sz="4" w:space="0" w:color="auto"/>
              <w:right w:val="nil"/>
            </w:tcBorders>
            <w:shd w:val="clear" w:color="auto" w:fill="auto"/>
            <w:noWrap/>
            <w:vAlign w:val="bottom"/>
            <w:hideMark/>
          </w:tcPr>
          <w:p w14:paraId="4B32C7DC" w14:textId="77777777" w:rsidR="00185A1F" w:rsidRPr="00487834" w:rsidRDefault="00185A1F" w:rsidP="00F36A29">
            <w:pPr>
              <w:pStyle w:val="NoSpacing"/>
            </w:pPr>
            <w:proofErr w:type="spellStart"/>
            <w:r w:rsidRPr="00487834">
              <w:t>Entire</w:t>
            </w:r>
            <w:proofErr w:type="spellEnd"/>
            <w:r w:rsidRPr="00487834">
              <w:t xml:space="preserve"> </w:t>
            </w:r>
            <w:proofErr w:type="spellStart"/>
            <w:r w:rsidRPr="00487834">
              <w:t>dataset</w:t>
            </w:r>
            <w:proofErr w:type="spellEnd"/>
          </w:p>
        </w:tc>
        <w:tc>
          <w:tcPr>
            <w:tcW w:w="1276" w:type="dxa"/>
            <w:tcBorders>
              <w:top w:val="single" w:sz="4" w:space="0" w:color="auto"/>
              <w:left w:val="nil"/>
              <w:bottom w:val="single" w:sz="4" w:space="0" w:color="auto"/>
              <w:right w:val="nil"/>
            </w:tcBorders>
            <w:shd w:val="clear" w:color="auto" w:fill="auto"/>
            <w:noWrap/>
            <w:vAlign w:val="bottom"/>
            <w:hideMark/>
          </w:tcPr>
          <w:p w14:paraId="762A2141" w14:textId="77777777" w:rsidR="00185A1F" w:rsidRPr="00487834" w:rsidRDefault="00185A1F" w:rsidP="00F36A29">
            <w:pPr>
              <w:pStyle w:val="NoSpacing"/>
            </w:pPr>
            <w:r w:rsidRPr="00487834">
              <w:t>Top 25% FE</w:t>
            </w:r>
          </w:p>
        </w:tc>
        <w:tc>
          <w:tcPr>
            <w:tcW w:w="1418" w:type="dxa"/>
            <w:tcBorders>
              <w:top w:val="single" w:sz="4" w:space="0" w:color="auto"/>
              <w:left w:val="nil"/>
              <w:bottom w:val="single" w:sz="4" w:space="0" w:color="auto"/>
              <w:right w:val="nil"/>
            </w:tcBorders>
            <w:shd w:val="clear" w:color="auto" w:fill="auto"/>
            <w:noWrap/>
            <w:vAlign w:val="bottom"/>
            <w:hideMark/>
          </w:tcPr>
          <w:p w14:paraId="494AAEC0" w14:textId="77777777" w:rsidR="00185A1F" w:rsidRPr="00487834" w:rsidRDefault="00185A1F" w:rsidP="00F36A29">
            <w:pPr>
              <w:pStyle w:val="NoSpacing"/>
            </w:pPr>
            <w:r w:rsidRPr="00487834">
              <w:t>Top 25% RE</w:t>
            </w:r>
          </w:p>
        </w:tc>
        <w:tc>
          <w:tcPr>
            <w:tcW w:w="1417" w:type="dxa"/>
            <w:tcBorders>
              <w:top w:val="single" w:sz="4" w:space="0" w:color="auto"/>
              <w:left w:val="nil"/>
              <w:bottom w:val="single" w:sz="4" w:space="0" w:color="auto"/>
              <w:right w:val="nil"/>
            </w:tcBorders>
            <w:shd w:val="clear" w:color="auto" w:fill="auto"/>
            <w:noWrap/>
            <w:vAlign w:val="bottom"/>
            <w:hideMark/>
          </w:tcPr>
          <w:p w14:paraId="511EEA6B" w14:textId="77777777" w:rsidR="00185A1F" w:rsidRPr="00487834" w:rsidRDefault="00185A1F" w:rsidP="00F36A29">
            <w:pPr>
              <w:pStyle w:val="NoSpacing"/>
            </w:pPr>
            <w:proofErr w:type="spellStart"/>
            <w:r w:rsidRPr="00487834">
              <w:t>Med</w:t>
            </w:r>
            <w:proofErr w:type="spellEnd"/>
            <w:r w:rsidRPr="00487834">
              <w:t>. 50% FE</w:t>
            </w:r>
          </w:p>
        </w:tc>
        <w:tc>
          <w:tcPr>
            <w:tcW w:w="1418" w:type="dxa"/>
            <w:tcBorders>
              <w:top w:val="single" w:sz="4" w:space="0" w:color="auto"/>
              <w:left w:val="nil"/>
              <w:bottom w:val="single" w:sz="4" w:space="0" w:color="auto"/>
              <w:right w:val="nil"/>
            </w:tcBorders>
            <w:shd w:val="clear" w:color="auto" w:fill="auto"/>
            <w:noWrap/>
            <w:vAlign w:val="bottom"/>
            <w:hideMark/>
          </w:tcPr>
          <w:p w14:paraId="2A13EF94" w14:textId="77777777" w:rsidR="00185A1F" w:rsidRPr="00487834" w:rsidRDefault="00185A1F" w:rsidP="00F36A29">
            <w:pPr>
              <w:pStyle w:val="NoSpacing"/>
            </w:pPr>
            <w:proofErr w:type="spellStart"/>
            <w:r w:rsidRPr="00487834">
              <w:t>Med</w:t>
            </w:r>
            <w:proofErr w:type="spellEnd"/>
            <w:r w:rsidRPr="00487834">
              <w:t>. 50% RE</w:t>
            </w:r>
          </w:p>
        </w:tc>
        <w:tc>
          <w:tcPr>
            <w:tcW w:w="1417" w:type="dxa"/>
            <w:tcBorders>
              <w:top w:val="single" w:sz="4" w:space="0" w:color="auto"/>
              <w:left w:val="nil"/>
              <w:bottom w:val="single" w:sz="4" w:space="0" w:color="auto"/>
              <w:right w:val="nil"/>
            </w:tcBorders>
            <w:shd w:val="clear" w:color="auto" w:fill="auto"/>
            <w:noWrap/>
            <w:vAlign w:val="bottom"/>
            <w:hideMark/>
          </w:tcPr>
          <w:p w14:paraId="59DAB909" w14:textId="77777777" w:rsidR="00185A1F" w:rsidRPr="00487834" w:rsidRDefault="00185A1F" w:rsidP="00F36A29">
            <w:pPr>
              <w:pStyle w:val="NoSpacing"/>
            </w:pPr>
            <w:proofErr w:type="spellStart"/>
            <w:r w:rsidRPr="00487834">
              <w:t>Low</w:t>
            </w:r>
            <w:proofErr w:type="spellEnd"/>
            <w:r w:rsidRPr="00487834">
              <w:t xml:space="preserve"> 25% FE</w:t>
            </w:r>
          </w:p>
        </w:tc>
      </w:tr>
      <w:tr w:rsidR="00AE1163" w:rsidRPr="00487834" w14:paraId="1E79DDCE" w14:textId="77777777" w:rsidTr="00654423">
        <w:trPr>
          <w:trHeight w:val="560"/>
          <w:jc w:val="center"/>
        </w:trPr>
        <w:tc>
          <w:tcPr>
            <w:tcW w:w="2000" w:type="dxa"/>
            <w:tcBorders>
              <w:top w:val="nil"/>
              <w:left w:val="nil"/>
              <w:bottom w:val="nil"/>
              <w:right w:val="nil"/>
            </w:tcBorders>
            <w:shd w:val="clear" w:color="auto" w:fill="auto"/>
            <w:noWrap/>
            <w:vAlign w:val="center"/>
            <w:hideMark/>
          </w:tcPr>
          <w:p w14:paraId="1B7A508F" w14:textId="77777777" w:rsidR="00185A1F" w:rsidRPr="00487834" w:rsidRDefault="00185A1F" w:rsidP="00F36A29">
            <w:pPr>
              <w:pStyle w:val="NoSpacing"/>
              <w:rPr>
                <w:i/>
                <w:iCs/>
              </w:rPr>
            </w:pPr>
            <w:r w:rsidRPr="00487834">
              <w:rPr>
                <w:i/>
                <w:iCs/>
              </w:rPr>
              <w:t>C</w:t>
            </w:r>
          </w:p>
        </w:tc>
        <w:tc>
          <w:tcPr>
            <w:tcW w:w="1402" w:type="dxa"/>
            <w:tcBorders>
              <w:top w:val="nil"/>
              <w:left w:val="nil"/>
              <w:bottom w:val="nil"/>
              <w:right w:val="nil"/>
            </w:tcBorders>
            <w:shd w:val="clear" w:color="auto" w:fill="auto"/>
            <w:vAlign w:val="center"/>
            <w:hideMark/>
          </w:tcPr>
          <w:p w14:paraId="3E713DCA" w14:textId="77777777" w:rsidR="00185A1F" w:rsidRPr="00487834" w:rsidRDefault="00185A1F" w:rsidP="00F36A29">
            <w:pPr>
              <w:pStyle w:val="NoSpacing"/>
            </w:pPr>
            <w:r w:rsidRPr="00487834">
              <w:t>0.107*** (0.001)</w:t>
            </w:r>
          </w:p>
        </w:tc>
        <w:tc>
          <w:tcPr>
            <w:tcW w:w="1276" w:type="dxa"/>
            <w:tcBorders>
              <w:top w:val="nil"/>
              <w:left w:val="nil"/>
              <w:bottom w:val="nil"/>
              <w:right w:val="nil"/>
            </w:tcBorders>
            <w:shd w:val="clear" w:color="auto" w:fill="auto"/>
            <w:vAlign w:val="center"/>
            <w:hideMark/>
          </w:tcPr>
          <w:p w14:paraId="195C3EEF" w14:textId="77777777" w:rsidR="00185A1F" w:rsidRPr="00487834" w:rsidRDefault="00185A1F" w:rsidP="00F36A29">
            <w:pPr>
              <w:pStyle w:val="NoSpacing"/>
            </w:pPr>
            <w:r w:rsidRPr="00487834">
              <w:t>0.011*** (0.01)</w:t>
            </w:r>
          </w:p>
        </w:tc>
        <w:tc>
          <w:tcPr>
            <w:tcW w:w="1418" w:type="dxa"/>
            <w:tcBorders>
              <w:top w:val="nil"/>
              <w:left w:val="nil"/>
              <w:bottom w:val="nil"/>
              <w:right w:val="nil"/>
            </w:tcBorders>
            <w:shd w:val="clear" w:color="auto" w:fill="auto"/>
            <w:vAlign w:val="center"/>
            <w:hideMark/>
          </w:tcPr>
          <w:p w14:paraId="02E7146B" w14:textId="77777777" w:rsidR="00185A1F" w:rsidRPr="00487834" w:rsidRDefault="00185A1F" w:rsidP="00F36A29">
            <w:pPr>
              <w:pStyle w:val="NoSpacing"/>
            </w:pPr>
            <w:r w:rsidRPr="00487834">
              <w:t>0.101*** (0.001)</w:t>
            </w:r>
          </w:p>
        </w:tc>
        <w:tc>
          <w:tcPr>
            <w:tcW w:w="1417" w:type="dxa"/>
            <w:tcBorders>
              <w:top w:val="nil"/>
              <w:left w:val="nil"/>
              <w:bottom w:val="nil"/>
              <w:right w:val="nil"/>
            </w:tcBorders>
            <w:shd w:val="clear" w:color="auto" w:fill="auto"/>
            <w:vAlign w:val="center"/>
            <w:hideMark/>
          </w:tcPr>
          <w:p w14:paraId="76070C2F" w14:textId="77777777" w:rsidR="00185A1F" w:rsidRPr="00487834" w:rsidRDefault="00185A1F" w:rsidP="00F36A29">
            <w:pPr>
              <w:pStyle w:val="NoSpacing"/>
            </w:pPr>
            <w:r w:rsidRPr="00487834">
              <w:t>0.11**</w:t>
            </w:r>
            <w:proofErr w:type="gramStart"/>
            <w:r w:rsidRPr="00487834">
              <w:t>*  (</w:t>
            </w:r>
            <w:proofErr w:type="gramEnd"/>
            <w:r w:rsidRPr="00487834">
              <w:t>0.002)</w:t>
            </w:r>
          </w:p>
        </w:tc>
        <w:tc>
          <w:tcPr>
            <w:tcW w:w="1418" w:type="dxa"/>
            <w:tcBorders>
              <w:top w:val="nil"/>
              <w:left w:val="nil"/>
              <w:bottom w:val="nil"/>
              <w:right w:val="nil"/>
            </w:tcBorders>
            <w:shd w:val="clear" w:color="auto" w:fill="auto"/>
            <w:vAlign w:val="center"/>
            <w:hideMark/>
          </w:tcPr>
          <w:p w14:paraId="076B5394" w14:textId="77777777" w:rsidR="00185A1F" w:rsidRPr="00487834" w:rsidRDefault="00185A1F" w:rsidP="00F36A29">
            <w:pPr>
              <w:pStyle w:val="NoSpacing"/>
            </w:pPr>
            <w:r w:rsidRPr="00487834">
              <w:t>0.0412*** (0.006)</w:t>
            </w:r>
          </w:p>
        </w:tc>
        <w:tc>
          <w:tcPr>
            <w:tcW w:w="1417" w:type="dxa"/>
            <w:tcBorders>
              <w:top w:val="nil"/>
              <w:left w:val="nil"/>
              <w:bottom w:val="nil"/>
              <w:right w:val="nil"/>
            </w:tcBorders>
            <w:shd w:val="clear" w:color="auto" w:fill="auto"/>
            <w:vAlign w:val="center"/>
            <w:hideMark/>
          </w:tcPr>
          <w:p w14:paraId="3B71F968" w14:textId="77777777" w:rsidR="00185A1F" w:rsidRPr="00487834" w:rsidRDefault="00185A1F" w:rsidP="00F36A29">
            <w:pPr>
              <w:pStyle w:val="NoSpacing"/>
            </w:pPr>
            <w:r w:rsidRPr="00487834">
              <w:t>0.129*** (0.011)</w:t>
            </w:r>
          </w:p>
        </w:tc>
      </w:tr>
      <w:tr w:rsidR="00AE1163" w:rsidRPr="00487834" w14:paraId="73216EB5" w14:textId="77777777" w:rsidTr="00654423">
        <w:trPr>
          <w:trHeight w:val="560"/>
          <w:jc w:val="center"/>
        </w:trPr>
        <w:tc>
          <w:tcPr>
            <w:tcW w:w="2000" w:type="dxa"/>
            <w:tcBorders>
              <w:top w:val="nil"/>
              <w:left w:val="nil"/>
              <w:bottom w:val="nil"/>
              <w:right w:val="nil"/>
            </w:tcBorders>
            <w:shd w:val="clear" w:color="auto" w:fill="auto"/>
            <w:noWrap/>
            <w:vAlign w:val="center"/>
            <w:hideMark/>
          </w:tcPr>
          <w:p w14:paraId="443EE534" w14:textId="77777777" w:rsidR="00185A1F" w:rsidRPr="00487834" w:rsidRDefault="00185A1F" w:rsidP="00F36A29">
            <w:pPr>
              <w:pStyle w:val="NoSpacing"/>
              <w:rPr>
                <w:i/>
                <w:iCs/>
              </w:rPr>
            </w:pPr>
            <w:r w:rsidRPr="00487834">
              <w:rPr>
                <w:i/>
                <w:iCs/>
              </w:rPr>
              <w:t>ESG</w:t>
            </w:r>
          </w:p>
        </w:tc>
        <w:tc>
          <w:tcPr>
            <w:tcW w:w="1402" w:type="dxa"/>
            <w:tcBorders>
              <w:top w:val="nil"/>
              <w:left w:val="nil"/>
              <w:bottom w:val="nil"/>
              <w:right w:val="nil"/>
            </w:tcBorders>
            <w:shd w:val="clear" w:color="auto" w:fill="auto"/>
            <w:vAlign w:val="center"/>
            <w:hideMark/>
          </w:tcPr>
          <w:p w14:paraId="3BEBCCAA" w14:textId="77777777" w:rsidR="00185A1F" w:rsidRPr="00487834" w:rsidRDefault="00185A1F" w:rsidP="00F36A29">
            <w:pPr>
              <w:pStyle w:val="NoSpacing"/>
            </w:pPr>
            <w:r w:rsidRPr="00487834">
              <w:t>0.0105*** (0.003)</w:t>
            </w:r>
          </w:p>
        </w:tc>
        <w:tc>
          <w:tcPr>
            <w:tcW w:w="1276" w:type="dxa"/>
            <w:tcBorders>
              <w:top w:val="nil"/>
              <w:left w:val="nil"/>
              <w:bottom w:val="nil"/>
              <w:right w:val="nil"/>
            </w:tcBorders>
            <w:shd w:val="clear" w:color="auto" w:fill="auto"/>
            <w:vAlign w:val="center"/>
            <w:hideMark/>
          </w:tcPr>
          <w:p w14:paraId="60176841" w14:textId="77777777" w:rsidR="00185A1F" w:rsidRPr="00487834" w:rsidRDefault="00185A1F" w:rsidP="00F36A29">
            <w:pPr>
              <w:pStyle w:val="NoSpacing"/>
            </w:pPr>
            <w:r w:rsidRPr="00487834">
              <w:t xml:space="preserve">0.004 </w:t>
            </w:r>
            <w:proofErr w:type="gramStart"/>
            <w:r w:rsidRPr="00487834">
              <w:t xml:space="preserve">   (</w:t>
            </w:r>
            <w:proofErr w:type="gramEnd"/>
            <w:r w:rsidRPr="00487834">
              <w:t>0.008)</w:t>
            </w:r>
          </w:p>
        </w:tc>
        <w:tc>
          <w:tcPr>
            <w:tcW w:w="1418" w:type="dxa"/>
            <w:tcBorders>
              <w:top w:val="nil"/>
              <w:left w:val="nil"/>
              <w:bottom w:val="nil"/>
              <w:right w:val="nil"/>
            </w:tcBorders>
            <w:shd w:val="clear" w:color="auto" w:fill="auto"/>
            <w:vAlign w:val="center"/>
            <w:hideMark/>
          </w:tcPr>
          <w:p w14:paraId="7D075EED" w14:textId="77777777" w:rsidR="00185A1F" w:rsidRPr="00487834" w:rsidRDefault="00185A1F" w:rsidP="00F36A29">
            <w:pPr>
              <w:pStyle w:val="NoSpacing"/>
            </w:pPr>
            <w:r w:rsidRPr="00487834">
              <w:t>0.0004</w:t>
            </w:r>
            <w:proofErr w:type="gramStart"/>
            <w:r w:rsidRPr="00487834">
              <w:t xml:space="preserve">   (</w:t>
            </w:r>
            <w:proofErr w:type="gramEnd"/>
            <w:r w:rsidRPr="00487834">
              <w:t>0.008)</w:t>
            </w:r>
          </w:p>
        </w:tc>
        <w:tc>
          <w:tcPr>
            <w:tcW w:w="1417" w:type="dxa"/>
            <w:tcBorders>
              <w:top w:val="nil"/>
              <w:left w:val="nil"/>
              <w:bottom w:val="nil"/>
              <w:right w:val="nil"/>
            </w:tcBorders>
            <w:shd w:val="clear" w:color="auto" w:fill="auto"/>
            <w:vAlign w:val="center"/>
            <w:hideMark/>
          </w:tcPr>
          <w:p w14:paraId="1ED197B8" w14:textId="77777777" w:rsidR="00185A1F" w:rsidRPr="00487834" w:rsidRDefault="00185A1F" w:rsidP="00F36A29">
            <w:pPr>
              <w:pStyle w:val="NoSpacing"/>
            </w:pPr>
            <w:proofErr w:type="gramStart"/>
            <w:r w:rsidRPr="00487834">
              <w:t>0.0022  (</w:t>
            </w:r>
            <w:proofErr w:type="gramEnd"/>
            <w:r w:rsidRPr="00487834">
              <w:t>0.012)</w:t>
            </w:r>
          </w:p>
        </w:tc>
        <w:tc>
          <w:tcPr>
            <w:tcW w:w="1418" w:type="dxa"/>
            <w:tcBorders>
              <w:top w:val="nil"/>
              <w:left w:val="nil"/>
              <w:bottom w:val="nil"/>
              <w:right w:val="nil"/>
            </w:tcBorders>
            <w:shd w:val="clear" w:color="auto" w:fill="auto"/>
            <w:vAlign w:val="center"/>
            <w:hideMark/>
          </w:tcPr>
          <w:p w14:paraId="69B63DCA" w14:textId="77777777" w:rsidR="00185A1F" w:rsidRPr="00487834" w:rsidRDefault="00185A1F" w:rsidP="00F36A29">
            <w:pPr>
              <w:pStyle w:val="NoSpacing"/>
            </w:pPr>
            <w:r w:rsidRPr="00487834">
              <w:t xml:space="preserve">-0.0007  </w:t>
            </w:r>
            <w:proofErr w:type="gramStart"/>
            <w:r w:rsidRPr="00487834">
              <w:t xml:space="preserve">   (</w:t>
            </w:r>
            <w:proofErr w:type="gramEnd"/>
            <w:r w:rsidRPr="00487834">
              <w:t>0.004)</w:t>
            </w:r>
          </w:p>
        </w:tc>
        <w:tc>
          <w:tcPr>
            <w:tcW w:w="1417" w:type="dxa"/>
            <w:tcBorders>
              <w:top w:val="nil"/>
              <w:left w:val="nil"/>
              <w:bottom w:val="nil"/>
              <w:right w:val="nil"/>
            </w:tcBorders>
            <w:shd w:val="clear" w:color="auto" w:fill="auto"/>
            <w:vAlign w:val="center"/>
            <w:hideMark/>
          </w:tcPr>
          <w:p w14:paraId="0F6D6752" w14:textId="77777777" w:rsidR="00185A1F" w:rsidRPr="00487834" w:rsidRDefault="00185A1F" w:rsidP="00F36A29">
            <w:pPr>
              <w:pStyle w:val="NoSpacing"/>
            </w:pPr>
            <w:r w:rsidRPr="00487834">
              <w:t>0.0132* (0.007)</w:t>
            </w:r>
          </w:p>
        </w:tc>
      </w:tr>
      <w:tr w:rsidR="00AE1163" w:rsidRPr="00487834" w14:paraId="342C3A02" w14:textId="77777777" w:rsidTr="00654423">
        <w:trPr>
          <w:trHeight w:val="560"/>
          <w:jc w:val="center"/>
        </w:trPr>
        <w:tc>
          <w:tcPr>
            <w:tcW w:w="2000" w:type="dxa"/>
            <w:tcBorders>
              <w:top w:val="nil"/>
              <w:left w:val="nil"/>
              <w:bottom w:val="nil"/>
              <w:right w:val="nil"/>
            </w:tcBorders>
            <w:shd w:val="clear" w:color="auto" w:fill="auto"/>
            <w:noWrap/>
            <w:vAlign w:val="center"/>
            <w:hideMark/>
          </w:tcPr>
          <w:p w14:paraId="64A0FF40" w14:textId="77777777" w:rsidR="00185A1F" w:rsidRPr="00487834" w:rsidRDefault="00185A1F" w:rsidP="00F36A29">
            <w:pPr>
              <w:pStyle w:val="NoSpacing"/>
              <w:rPr>
                <w:i/>
                <w:iCs/>
              </w:rPr>
            </w:pPr>
            <w:r w:rsidRPr="00487834">
              <w:rPr>
                <w:i/>
                <w:iCs/>
              </w:rPr>
              <w:t>MCAP</w:t>
            </w:r>
          </w:p>
        </w:tc>
        <w:tc>
          <w:tcPr>
            <w:tcW w:w="1402" w:type="dxa"/>
            <w:tcBorders>
              <w:top w:val="nil"/>
              <w:left w:val="nil"/>
              <w:bottom w:val="nil"/>
              <w:right w:val="nil"/>
            </w:tcBorders>
            <w:shd w:val="clear" w:color="auto" w:fill="auto"/>
            <w:vAlign w:val="center"/>
            <w:hideMark/>
          </w:tcPr>
          <w:p w14:paraId="0F6D30DD" w14:textId="77777777" w:rsidR="00185A1F" w:rsidRPr="00487834" w:rsidRDefault="00185A1F" w:rsidP="00F36A29">
            <w:pPr>
              <w:pStyle w:val="NoSpacing"/>
            </w:pPr>
            <w:r w:rsidRPr="00487834">
              <w:t>0.026*** (0.008)</w:t>
            </w:r>
          </w:p>
        </w:tc>
        <w:tc>
          <w:tcPr>
            <w:tcW w:w="1276" w:type="dxa"/>
            <w:tcBorders>
              <w:top w:val="nil"/>
              <w:left w:val="nil"/>
              <w:bottom w:val="nil"/>
              <w:right w:val="nil"/>
            </w:tcBorders>
            <w:shd w:val="clear" w:color="auto" w:fill="auto"/>
            <w:vAlign w:val="center"/>
            <w:hideMark/>
          </w:tcPr>
          <w:p w14:paraId="6AF8565D" w14:textId="77777777" w:rsidR="00185A1F" w:rsidRPr="00487834" w:rsidRDefault="00185A1F" w:rsidP="00F36A29">
            <w:pPr>
              <w:pStyle w:val="NoSpacing"/>
            </w:pPr>
            <w:r w:rsidRPr="00487834">
              <w:t>0.009</w:t>
            </w:r>
            <w:proofErr w:type="gramStart"/>
            <w:r w:rsidRPr="00487834">
              <w:t>*  (</w:t>
            </w:r>
            <w:proofErr w:type="gramEnd"/>
            <w:r w:rsidRPr="00487834">
              <w:t>0.005)</w:t>
            </w:r>
          </w:p>
        </w:tc>
        <w:tc>
          <w:tcPr>
            <w:tcW w:w="1418" w:type="dxa"/>
            <w:tcBorders>
              <w:top w:val="nil"/>
              <w:left w:val="nil"/>
              <w:bottom w:val="nil"/>
              <w:right w:val="nil"/>
            </w:tcBorders>
            <w:shd w:val="clear" w:color="auto" w:fill="auto"/>
            <w:vAlign w:val="center"/>
            <w:hideMark/>
          </w:tcPr>
          <w:p w14:paraId="541623F2" w14:textId="77777777" w:rsidR="00185A1F" w:rsidRPr="00487834" w:rsidRDefault="00185A1F" w:rsidP="00F36A29">
            <w:pPr>
              <w:pStyle w:val="NoSpacing"/>
            </w:pPr>
            <w:r w:rsidRPr="00487834">
              <w:t>0.009*</w:t>
            </w:r>
            <w:proofErr w:type="gramStart"/>
            <w:r w:rsidRPr="00487834">
              <w:t xml:space="preserve">   (</w:t>
            </w:r>
            <w:proofErr w:type="gramEnd"/>
            <w:r w:rsidRPr="00487834">
              <w:t>0.002)</w:t>
            </w:r>
          </w:p>
        </w:tc>
        <w:tc>
          <w:tcPr>
            <w:tcW w:w="1417" w:type="dxa"/>
            <w:tcBorders>
              <w:top w:val="nil"/>
              <w:left w:val="nil"/>
              <w:bottom w:val="nil"/>
              <w:right w:val="nil"/>
            </w:tcBorders>
            <w:shd w:val="clear" w:color="auto" w:fill="auto"/>
            <w:vAlign w:val="center"/>
            <w:hideMark/>
          </w:tcPr>
          <w:p w14:paraId="706DE5FC" w14:textId="77777777" w:rsidR="00185A1F" w:rsidRPr="00487834" w:rsidRDefault="00185A1F" w:rsidP="00F36A29">
            <w:pPr>
              <w:pStyle w:val="NoSpacing"/>
            </w:pPr>
            <w:r w:rsidRPr="00487834">
              <w:t>0.0214</w:t>
            </w:r>
            <w:proofErr w:type="gramStart"/>
            <w:r w:rsidRPr="00487834">
              <w:t>*  (</w:t>
            </w:r>
            <w:proofErr w:type="gramEnd"/>
            <w:r w:rsidRPr="00487834">
              <w:t>0.012)</w:t>
            </w:r>
          </w:p>
        </w:tc>
        <w:tc>
          <w:tcPr>
            <w:tcW w:w="1418" w:type="dxa"/>
            <w:tcBorders>
              <w:top w:val="nil"/>
              <w:left w:val="nil"/>
              <w:bottom w:val="nil"/>
              <w:right w:val="nil"/>
            </w:tcBorders>
            <w:shd w:val="clear" w:color="auto" w:fill="auto"/>
            <w:vAlign w:val="center"/>
            <w:hideMark/>
          </w:tcPr>
          <w:p w14:paraId="431CE40A" w14:textId="77777777" w:rsidR="00185A1F" w:rsidRPr="00487834" w:rsidRDefault="00185A1F" w:rsidP="00F36A29">
            <w:pPr>
              <w:pStyle w:val="NoSpacing"/>
            </w:pPr>
            <w:r w:rsidRPr="00487834">
              <w:t xml:space="preserve">-0.004  </w:t>
            </w:r>
            <w:proofErr w:type="gramStart"/>
            <w:r w:rsidRPr="00487834">
              <w:t xml:space="preserve">   (</w:t>
            </w:r>
            <w:proofErr w:type="gramEnd"/>
            <w:r w:rsidRPr="00487834">
              <w:t>0.003)</w:t>
            </w:r>
          </w:p>
        </w:tc>
        <w:tc>
          <w:tcPr>
            <w:tcW w:w="1417" w:type="dxa"/>
            <w:tcBorders>
              <w:top w:val="nil"/>
              <w:left w:val="nil"/>
              <w:bottom w:val="nil"/>
              <w:right w:val="nil"/>
            </w:tcBorders>
            <w:shd w:val="clear" w:color="auto" w:fill="auto"/>
            <w:vAlign w:val="center"/>
            <w:hideMark/>
          </w:tcPr>
          <w:p w14:paraId="46653843" w14:textId="77777777" w:rsidR="00185A1F" w:rsidRPr="00487834" w:rsidRDefault="00185A1F" w:rsidP="00F36A29">
            <w:pPr>
              <w:pStyle w:val="NoSpacing"/>
            </w:pPr>
            <w:r w:rsidRPr="00487834">
              <w:t>0.0306* (0.017)</w:t>
            </w:r>
          </w:p>
        </w:tc>
      </w:tr>
      <w:tr w:rsidR="00AE1163" w:rsidRPr="00487834" w14:paraId="4C1B6537" w14:textId="77777777" w:rsidTr="00654423">
        <w:trPr>
          <w:trHeight w:val="560"/>
          <w:jc w:val="center"/>
        </w:trPr>
        <w:tc>
          <w:tcPr>
            <w:tcW w:w="2000" w:type="dxa"/>
            <w:tcBorders>
              <w:top w:val="nil"/>
              <w:left w:val="nil"/>
              <w:bottom w:val="nil"/>
              <w:right w:val="nil"/>
            </w:tcBorders>
            <w:shd w:val="clear" w:color="auto" w:fill="auto"/>
            <w:noWrap/>
            <w:vAlign w:val="center"/>
            <w:hideMark/>
          </w:tcPr>
          <w:p w14:paraId="1FBA2623" w14:textId="77777777" w:rsidR="00185A1F" w:rsidRPr="00487834" w:rsidRDefault="00185A1F" w:rsidP="00F36A29">
            <w:pPr>
              <w:pStyle w:val="NoSpacing"/>
              <w:rPr>
                <w:i/>
                <w:iCs/>
              </w:rPr>
            </w:pPr>
            <w:r w:rsidRPr="00487834">
              <w:rPr>
                <w:i/>
                <w:iCs/>
              </w:rPr>
              <w:t>PE</w:t>
            </w:r>
          </w:p>
        </w:tc>
        <w:tc>
          <w:tcPr>
            <w:tcW w:w="1402" w:type="dxa"/>
            <w:tcBorders>
              <w:top w:val="nil"/>
              <w:left w:val="nil"/>
              <w:bottom w:val="nil"/>
              <w:right w:val="nil"/>
            </w:tcBorders>
            <w:shd w:val="clear" w:color="auto" w:fill="auto"/>
            <w:vAlign w:val="center"/>
            <w:hideMark/>
          </w:tcPr>
          <w:p w14:paraId="4355C429" w14:textId="77777777" w:rsidR="00185A1F" w:rsidRPr="00487834" w:rsidRDefault="00185A1F" w:rsidP="00F36A29">
            <w:pPr>
              <w:pStyle w:val="NoSpacing"/>
            </w:pPr>
            <w:r w:rsidRPr="00487834">
              <w:t xml:space="preserve">-0.0027 </w:t>
            </w:r>
            <w:proofErr w:type="gramStart"/>
            <w:r w:rsidRPr="00487834">
              <w:t xml:space="preserve">   (</w:t>
            </w:r>
            <w:proofErr w:type="gramEnd"/>
            <w:r w:rsidRPr="00487834">
              <w:t>0.002)</w:t>
            </w:r>
          </w:p>
        </w:tc>
        <w:tc>
          <w:tcPr>
            <w:tcW w:w="1276" w:type="dxa"/>
            <w:tcBorders>
              <w:top w:val="nil"/>
              <w:left w:val="nil"/>
              <w:bottom w:val="nil"/>
              <w:right w:val="nil"/>
            </w:tcBorders>
            <w:shd w:val="clear" w:color="auto" w:fill="auto"/>
            <w:vAlign w:val="center"/>
            <w:hideMark/>
          </w:tcPr>
          <w:p w14:paraId="4C53429E" w14:textId="77777777" w:rsidR="00185A1F" w:rsidRPr="00487834" w:rsidRDefault="00185A1F" w:rsidP="00F36A29">
            <w:pPr>
              <w:pStyle w:val="NoSpacing"/>
            </w:pPr>
            <w:r w:rsidRPr="00487834">
              <w:t xml:space="preserve">-0.0004 </w:t>
            </w:r>
            <w:proofErr w:type="gramStart"/>
            <w:r w:rsidRPr="00487834">
              <w:t xml:space="preserve">   (</w:t>
            </w:r>
            <w:proofErr w:type="gramEnd"/>
            <w:r w:rsidRPr="00487834">
              <w:t>0.002)</w:t>
            </w:r>
          </w:p>
        </w:tc>
        <w:tc>
          <w:tcPr>
            <w:tcW w:w="1418" w:type="dxa"/>
            <w:tcBorders>
              <w:top w:val="nil"/>
              <w:left w:val="nil"/>
              <w:bottom w:val="nil"/>
              <w:right w:val="nil"/>
            </w:tcBorders>
            <w:shd w:val="clear" w:color="auto" w:fill="auto"/>
            <w:vAlign w:val="center"/>
            <w:hideMark/>
          </w:tcPr>
          <w:p w14:paraId="312F8C8E" w14:textId="77777777" w:rsidR="00185A1F" w:rsidRPr="00487834" w:rsidRDefault="00185A1F" w:rsidP="00F36A29">
            <w:pPr>
              <w:pStyle w:val="NoSpacing"/>
            </w:pPr>
            <w:r w:rsidRPr="00487834">
              <w:t xml:space="preserve">-0.004 </w:t>
            </w:r>
            <w:proofErr w:type="gramStart"/>
            <w:r w:rsidRPr="00487834">
              <w:t xml:space="preserve">   (</w:t>
            </w:r>
            <w:proofErr w:type="gramEnd"/>
            <w:r w:rsidRPr="00487834">
              <w:t>0.002)</w:t>
            </w:r>
          </w:p>
        </w:tc>
        <w:tc>
          <w:tcPr>
            <w:tcW w:w="1417" w:type="dxa"/>
            <w:tcBorders>
              <w:top w:val="nil"/>
              <w:left w:val="nil"/>
              <w:bottom w:val="nil"/>
              <w:right w:val="nil"/>
            </w:tcBorders>
            <w:shd w:val="clear" w:color="auto" w:fill="auto"/>
            <w:vAlign w:val="center"/>
            <w:hideMark/>
          </w:tcPr>
          <w:p w14:paraId="082FDF4F" w14:textId="77777777" w:rsidR="00185A1F" w:rsidRPr="00487834" w:rsidRDefault="00185A1F" w:rsidP="00F36A29">
            <w:pPr>
              <w:pStyle w:val="NoSpacing"/>
            </w:pPr>
            <w:r w:rsidRPr="00487834">
              <w:t>-0.005</w:t>
            </w:r>
            <w:proofErr w:type="gramStart"/>
            <w:r w:rsidRPr="00487834">
              <w:t>*  (</w:t>
            </w:r>
            <w:proofErr w:type="gramEnd"/>
            <w:r w:rsidRPr="00487834">
              <w:t>0.003)</w:t>
            </w:r>
          </w:p>
        </w:tc>
        <w:tc>
          <w:tcPr>
            <w:tcW w:w="1418" w:type="dxa"/>
            <w:tcBorders>
              <w:top w:val="nil"/>
              <w:left w:val="nil"/>
              <w:bottom w:val="nil"/>
              <w:right w:val="nil"/>
            </w:tcBorders>
            <w:shd w:val="clear" w:color="auto" w:fill="auto"/>
            <w:vAlign w:val="center"/>
            <w:hideMark/>
          </w:tcPr>
          <w:p w14:paraId="2F968443" w14:textId="77777777" w:rsidR="00185A1F" w:rsidRPr="00487834" w:rsidRDefault="00185A1F" w:rsidP="00F36A29">
            <w:pPr>
              <w:pStyle w:val="NoSpacing"/>
            </w:pPr>
            <w:r w:rsidRPr="00487834">
              <w:t xml:space="preserve">-0.0054**  </w:t>
            </w:r>
            <w:proofErr w:type="gramStart"/>
            <w:r w:rsidRPr="00487834">
              <w:t xml:space="preserve">   (</w:t>
            </w:r>
            <w:proofErr w:type="gramEnd"/>
            <w:r w:rsidRPr="00487834">
              <w:t>0.003)</w:t>
            </w:r>
          </w:p>
        </w:tc>
        <w:tc>
          <w:tcPr>
            <w:tcW w:w="1417" w:type="dxa"/>
            <w:tcBorders>
              <w:top w:val="nil"/>
              <w:left w:val="nil"/>
              <w:bottom w:val="nil"/>
              <w:right w:val="nil"/>
            </w:tcBorders>
            <w:shd w:val="clear" w:color="auto" w:fill="auto"/>
            <w:vAlign w:val="center"/>
            <w:hideMark/>
          </w:tcPr>
          <w:p w14:paraId="3C5CB869" w14:textId="77777777" w:rsidR="00185A1F" w:rsidRPr="00487834" w:rsidRDefault="00185A1F" w:rsidP="00F36A29">
            <w:pPr>
              <w:pStyle w:val="NoSpacing"/>
            </w:pPr>
            <w:r w:rsidRPr="00487834">
              <w:t>-0.0111</w:t>
            </w:r>
            <w:proofErr w:type="gramStart"/>
            <w:r w:rsidRPr="00487834">
              <w:t xml:space="preserve">   (</w:t>
            </w:r>
            <w:proofErr w:type="gramEnd"/>
            <w:r w:rsidRPr="00487834">
              <w:t>0.01)</w:t>
            </w:r>
          </w:p>
        </w:tc>
      </w:tr>
      <w:tr w:rsidR="00AE1163" w:rsidRPr="00487834" w14:paraId="14DF60EF" w14:textId="77777777" w:rsidTr="00654423">
        <w:trPr>
          <w:trHeight w:val="560"/>
          <w:jc w:val="center"/>
        </w:trPr>
        <w:tc>
          <w:tcPr>
            <w:tcW w:w="2000" w:type="dxa"/>
            <w:tcBorders>
              <w:top w:val="nil"/>
              <w:left w:val="nil"/>
              <w:bottom w:val="nil"/>
              <w:right w:val="nil"/>
            </w:tcBorders>
            <w:shd w:val="clear" w:color="auto" w:fill="auto"/>
            <w:noWrap/>
            <w:vAlign w:val="center"/>
            <w:hideMark/>
          </w:tcPr>
          <w:p w14:paraId="5206DD59" w14:textId="77777777" w:rsidR="00185A1F" w:rsidRPr="00487834" w:rsidRDefault="00185A1F" w:rsidP="00F36A29">
            <w:pPr>
              <w:pStyle w:val="NoSpacing"/>
              <w:rPr>
                <w:i/>
                <w:iCs/>
              </w:rPr>
            </w:pPr>
            <w:r w:rsidRPr="00487834">
              <w:rPr>
                <w:i/>
                <w:iCs/>
              </w:rPr>
              <w:t>MTB</w:t>
            </w:r>
          </w:p>
        </w:tc>
        <w:tc>
          <w:tcPr>
            <w:tcW w:w="1402" w:type="dxa"/>
            <w:tcBorders>
              <w:top w:val="nil"/>
              <w:left w:val="nil"/>
              <w:bottom w:val="nil"/>
              <w:right w:val="nil"/>
            </w:tcBorders>
            <w:shd w:val="clear" w:color="auto" w:fill="auto"/>
            <w:vAlign w:val="center"/>
            <w:hideMark/>
          </w:tcPr>
          <w:p w14:paraId="6C668E86" w14:textId="77777777" w:rsidR="00185A1F" w:rsidRPr="00487834" w:rsidRDefault="00185A1F" w:rsidP="00F36A29">
            <w:pPr>
              <w:pStyle w:val="NoSpacing"/>
            </w:pPr>
            <w:r w:rsidRPr="00487834">
              <w:t>-0.0127*** (0.004)</w:t>
            </w:r>
          </w:p>
        </w:tc>
        <w:tc>
          <w:tcPr>
            <w:tcW w:w="1276" w:type="dxa"/>
            <w:tcBorders>
              <w:top w:val="nil"/>
              <w:left w:val="nil"/>
              <w:bottom w:val="nil"/>
              <w:right w:val="nil"/>
            </w:tcBorders>
            <w:shd w:val="clear" w:color="auto" w:fill="auto"/>
            <w:vAlign w:val="center"/>
            <w:hideMark/>
          </w:tcPr>
          <w:p w14:paraId="357699CD" w14:textId="77777777" w:rsidR="00185A1F" w:rsidRPr="00487834" w:rsidRDefault="00185A1F" w:rsidP="00F36A29">
            <w:pPr>
              <w:pStyle w:val="NoSpacing"/>
            </w:pPr>
            <w:r w:rsidRPr="00487834">
              <w:t xml:space="preserve">-0.008 </w:t>
            </w:r>
            <w:proofErr w:type="gramStart"/>
            <w:r w:rsidRPr="00487834">
              <w:t xml:space="preserve">   (</w:t>
            </w:r>
            <w:proofErr w:type="gramEnd"/>
            <w:r w:rsidRPr="00487834">
              <w:t>0.008)</w:t>
            </w:r>
          </w:p>
        </w:tc>
        <w:tc>
          <w:tcPr>
            <w:tcW w:w="1418" w:type="dxa"/>
            <w:tcBorders>
              <w:top w:val="nil"/>
              <w:left w:val="nil"/>
              <w:bottom w:val="nil"/>
              <w:right w:val="nil"/>
            </w:tcBorders>
            <w:shd w:val="clear" w:color="auto" w:fill="auto"/>
            <w:vAlign w:val="center"/>
            <w:hideMark/>
          </w:tcPr>
          <w:p w14:paraId="21F70F56" w14:textId="77777777" w:rsidR="00185A1F" w:rsidRPr="00487834" w:rsidRDefault="00185A1F" w:rsidP="00F36A29">
            <w:pPr>
              <w:pStyle w:val="NoSpacing"/>
            </w:pPr>
            <w:r w:rsidRPr="00487834">
              <w:t xml:space="preserve">-0.008   </w:t>
            </w:r>
            <w:proofErr w:type="gramStart"/>
            <w:r w:rsidRPr="00487834">
              <w:t xml:space="preserve">   (</w:t>
            </w:r>
            <w:proofErr w:type="gramEnd"/>
            <w:r w:rsidRPr="00487834">
              <w:t>0.008)</w:t>
            </w:r>
          </w:p>
        </w:tc>
        <w:tc>
          <w:tcPr>
            <w:tcW w:w="1417" w:type="dxa"/>
            <w:tcBorders>
              <w:top w:val="nil"/>
              <w:left w:val="nil"/>
              <w:bottom w:val="nil"/>
              <w:right w:val="nil"/>
            </w:tcBorders>
            <w:shd w:val="clear" w:color="auto" w:fill="auto"/>
            <w:vAlign w:val="center"/>
            <w:hideMark/>
          </w:tcPr>
          <w:p w14:paraId="1E14231F" w14:textId="77777777" w:rsidR="00185A1F" w:rsidRPr="00487834" w:rsidRDefault="00185A1F" w:rsidP="00F36A29">
            <w:pPr>
              <w:pStyle w:val="NoSpacing"/>
            </w:pPr>
            <w:r w:rsidRPr="00487834">
              <w:t xml:space="preserve">-0.0186*** </w:t>
            </w:r>
            <w:proofErr w:type="gramStart"/>
            <w:r w:rsidRPr="00487834">
              <w:t xml:space="preserve">   (</w:t>
            </w:r>
            <w:proofErr w:type="gramEnd"/>
            <w:r w:rsidRPr="00487834">
              <w:t>0.006)</w:t>
            </w:r>
          </w:p>
        </w:tc>
        <w:tc>
          <w:tcPr>
            <w:tcW w:w="1418" w:type="dxa"/>
            <w:tcBorders>
              <w:top w:val="nil"/>
              <w:left w:val="nil"/>
              <w:bottom w:val="nil"/>
              <w:right w:val="nil"/>
            </w:tcBorders>
            <w:shd w:val="clear" w:color="auto" w:fill="auto"/>
            <w:vAlign w:val="center"/>
            <w:hideMark/>
          </w:tcPr>
          <w:p w14:paraId="05941DAE" w14:textId="77777777" w:rsidR="00185A1F" w:rsidRPr="00487834" w:rsidRDefault="00185A1F" w:rsidP="00F36A29">
            <w:pPr>
              <w:pStyle w:val="NoSpacing"/>
            </w:pPr>
            <w:r w:rsidRPr="00487834">
              <w:t xml:space="preserve">-0.0044 </w:t>
            </w:r>
            <w:proofErr w:type="gramStart"/>
            <w:r w:rsidRPr="00487834">
              <w:t xml:space="preserve">   (</w:t>
            </w:r>
            <w:proofErr w:type="gramEnd"/>
            <w:r w:rsidRPr="00487834">
              <w:t>0.003)</w:t>
            </w:r>
          </w:p>
        </w:tc>
        <w:tc>
          <w:tcPr>
            <w:tcW w:w="1417" w:type="dxa"/>
            <w:tcBorders>
              <w:top w:val="nil"/>
              <w:left w:val="nil"/>
              <w:bottom w:val="nil"/>
              <w:right w:val="nil"/>
            </w:tcBorders>
            <w:shd w:val="clear" w:color="auto" w:fill="auto"/>
            <w:vAlign w:val="center"/>
            <w:hideMark/>
          </w:tcPr>
          <w:p w14:paraId="1E433F48" w14:textId="77777777" w:rsidR="00185A1F" w:rsidRPr="00487834" w:rsidRDefault="00185A1F" w:rsidP="00F36A29">
            <w:pPr>
              <w:pStyle w:val="NoSpacing"/>
            </w:pPr>
            <w:r w:rsidRPr="00487834">
              <w:t>-0.0018</w:t>
            </w:r>
            <w:proofErr w:type="gramStart"/>
            <w:r w:rsidRPr="00487834">
              <w:t xml:space="preserve">   (</w:t>
            </w:r>
            <w:proofErr w:type="gramEnd"/>
            <w:r w:rsidRPr="00487834">
              <w:t>0.01)</w:t>
            </w:r>
          </w:p>
        </w:tc>
      </w:tr>
      <w:tr w:rsidR="00AE1163" w:rsidRPr="00487834" w14:paraId="1FD4D180" w14:textId="77777777" w:rsidTr="00654423">
        <w:trPr>
          <w:trHeight w:val="560"/>
          <w:jc w:val="center"/>
        </w:trPr>
        <w:tc>
          <w:tcPr>
            <w:tcW w:w="2000" w:type="dxa"/>
            <w:tcBorders>
              <w:top w:val="nil"/>
              <w:left w:val="nil"/>
              <w:bottom w:val="nil"/>
              <w:right w:val="nil"/>
            </w:tcBorders>
            <w:shd w:val="clear" w:color="auto" w:fill="auto"/>
            <w:noWrap/>
            <w:vAlign w:val="center"/>
            <w:hideMark/>
          </w:tcPr>
          <w:p w14:paraId="58967801" w14:textId="77777777" w:rsidR="00185A1F" w:rsidRPr="00487834" w:rsidRDefault="00185A1F" w:rsidP="00F36A29">
            <w:pPr>
              <w:pStyle w:val="NoSpacing"/>
              <w:rPr>
                <w:i/>
                <w:iCs/>
              </w:rPr>
            </w:pPr>
            <w:r w:rsidRPr="00487834">
              <w:rPr>
                <w:i/>
                <w:iCs/>
              </w:rPr>
              <w:t>BETA</w:t>
            </w:r>
          </w:p>
        </w:tc>
        <w:tc>
          <w:tcPr>
            <w:tcW w:w="1402" w:type="dxa"/>
            <w:tcBorders>
              <w:top w:val="nil"/>
              <w:left w:val="nil"/>
              <w:bottom w:val="nil"/>
              <w:right w:val="nil"/>
            </w:tcBorders>
            <w:shd w:val="clear" w:color="auto" w:fill="auto"/>
            <w:vAlign w:val="center"/>
            <w:hideMark/>
          </w:tcPr>
          <w:p w14:paraId="1F86ADA2" w14:textId="77777777" w:rsidR="00185A1F" w:rsidRPr="00487834" w:rsidRDefault="00185A1F" w:rsidP="00F36A29">
            <w:pPr>
              <w:pStyle w:val="NoSpacing"/>
            </w:pPr>
            <w:r w:rsidRPr="00487834">
              <w:t>0.026*** (0.003)</w:t>
            </w:r>
          </w:p>
        </w:tc>
        <w:tc>
          <w:tcPr>
            <w:tcW w:w="1276" w:type="dxa"/>
            <w:tcBorders>
              <w:top w:val="nil"/>
              <w:left w:val="nil"/>
              <w:bottom w:val="nil"/>
              <w:right w:val="nil"/>
            </w:tcBorders>
            <w:shd w:val="clear" w:color="auto" w:fill="auto"/>
            <w:vAlign w:val="center"/>
            <w:hideMark/>
          </w:tcPr>
          <w:p w14:paraId="0CBFEF94" w14:textId="77777777" w:rsidR="00185A1F" w:rsidRPr="00487834" w:rsidRDefault="00185A1F" w:rsidP="00F36A29">
            <w:pPr>
              <w:pStyle w:val="NoSpacing"/>
            </w:pPr>
            <w:r w:rsidRPr="00487834">
              <w:t>0.0253*** (0.004)</w:t>
            </w:r>
          </w:p>
        </w:tc>
        <w:tc>
          <w:tcPr>
            <w:tcW w:w="1418" w:type="dxa"/>
            <w:tcBorders>
              <w:top w:val="nil"/>
              <w:left w:val="nil"/>
              <w:bottom w:val="nil"/>
              <w:right w:val="nil"/>
            </w:tcBorders>
            <w:shd w:val="clear" w:color="auto" w:fill="auto"/>
            <w:vAlign w:val="center"/>
            <w:hideMark/>
          </w:tcPr>
          <w:p w14:paraId="3A56BE6F" w14:textId="77777777" w:rsidR="00185A1F" w:rsidRPr="00487834" w:rsidRDefault="00185A1F" w:rsidP="00F36A29">
            <w:pPr>
              <w:pStyle w:val="NoSpacing"/>
            </w:pPr>
            <w:r w:rsidRPr="00487834">
              <w:t xml:space="preserve">0.253***     </w:t>
            </w:r>
            <w:proofErr w:type="gramStart"/>
            <w:r w:rsidRPr="00487834">
              <w:t xml:space="preserve">   (</w:t>
            </w:r>
            <w:proofErr w:type="gramEnd"/>
            <w:r w:rsidRPr="00487834">
              <w:t>0.004)</w:t>
            </w:r>
          </w:p>
        </w:tc>
        <w:tc>
          <w:tcPr>
            <w:tcW w:w="1417" w:type="dxa"/>
            <w:tcBorders>
              <w:top w:val="nil"/>
              <w:left w:val="nil"/>
              <w:bottom w:val="nil"/>
              <w:right w:val="nil"/>
            </w:tcBorders>
            <w:shd w:val="clear" w:color="auto" w:fill="auto"/>
            <w:vAlign w:val="center"/>
            <w:hideMark/>
          </w:tcPr>
          <w:p w14:paraId="2CD46E9C" w14:textId="77777777" w:rsidR="00185A1F" w:rsidRPr="00487834" w:rsidRDefault="00185A1F" w:rsidP="00F36A29">
            <w:pPr>
              <w:pStyle w:val="NoSpacing"/>
            </w:pPr>
            <w:r w:rsidRPr="00487834">
              <w:t>0.0351**</w:t>
            </w:r>
            <w:proofErr w:type="gramStart"/>
            <w:r w:rsidRPr="00487834">
              <w:t>*  (</w:t>
            </w:r>
            <w:proofErr w:type="gramEnd"/>
            <w:r w:rsidRPr="00487834">
              <w:t>0.004)</w:t>
            </w:r>
          </w:p>
        </w:tc>
        <w:tc>
          <w:tcPr>
            <w:tcW w:w="1418" w:type="dxa"/>
            <w:tcBorders>
              <w:top w:val="nil"/>
              <w:left w:val="nil"/>
              <w:bottom w:val="nil"/>
              <w:right w:val="nil"/>
            </w:tcBorders>
            <w:shd w:val="clear" w:color="auto" w:fill="auto"/>
            <w:vAlign w:val="center"/>
            <w:hideMark/>
          </w:tcPr>
          <w:p w14:paraId="6CA418AE" w14:textId="77777777" w:rsidR="00185A1F" w:rsidRPr="00487834" w:rsidRDefault="00185A1F" w:rsidP="00F36A29">
            <w:pPr>
              <w:pStyle w:val="NoSpacing"/>
            </w:pPr>
            <w:r w:rsidRPr="00487834">
              <w:t xml:space="preserve">0.0347***   </w:t>
            </w:r>
            <w:proofErr w:type="gramStart"/>
            <w:r w:rsidRPr="00487834">
              <w:t xml:space="preserve">   (</w:t>
            </w:r>
            <w:proofErr w:type="gramEnd"/>
            <w:r w:rsidRPr="00487834">
              <w:t>0.003)</w:t>
            </w:r>
          </w:p>
        </w:tc>
        <w:tc>
          <w:tcPr>
            <w:tcW w:w="1417" w:type="dxa"/>
            <w:tcBorders>
              <w:top w:val="nil"/>
              <w:left w:val="nil"/>
              <w:bottom w:val="nil"/>
              <w:right w:val="nil"/>
            </w:tcBorders>
            <w:shd w:val="clear" w:color="auto" w:fill="auto"/>
            <w:vAlign w:val="center"/>
            <w:hideMark/>
          </w:tcPr>
          <w:p w14:paraId="6E53CC63" w14:textId="77777777" w:rsidR="00185A1F" w:rsidRPr="00487834" w:rsidRDefault="00185A1F" w:rsidP="00F36A29">
            <w:pPr>
              <w:pStyle w:val="NoSpacing"/>
            </w:pPr>
            <w:r w:rsidRPr="00487834">
              <w:t>0.0066</w:t>
            </w:r>
            <w:proofErr w:type="gramStart"/>
            <w:r w:rsidRPr="00487834">
              <w:t xml:space="preserve">   (</w:t>
            </w:r>
            <w:proofErr w:type="gramEnd"/>
            <w:r w:rsidRPr="00487834">
              <w:t>0.007)</w:t>
            </w:r>
          </w:p>
        </w:tc>
      </w:tr>
      <w:tr w:rsidR="00AE1163" w:rsidRPr="00487834" w14:paraId="5216A689" w14:textId="77777777" w:rsidTr="00654423">
        <w:trPr>
          <w:trHeight w:val="560"/>
          <w:jc w:val="center"/>
        </w:trPr>
        <w:tc>
          <w:tcPr>
            <w:tcW w:w="2000" w:type="dxa"/>
            <w:tcBorders>
              <w:top w:val="nil"/>
              <w:left w:val="nil"/>
              <w:bottom w:val="nil"/>
              <w:right w:val="nil"/>
            </w:tcBorders>
            <w:shd w:val="clear" w:color="auto" w:fill="auto"/>
            <w:noWrap/>
            <w:vAlign w:val="center"/>
            <w:hideMark/>
          </w:tcPr>
          <w:p w14:paraId="4275E5C1" w14:textId="77777777" w:rsidR="00185A1F" w:rsidRPr="00487834" w:rsidRDefault="00185A1F" w:rsidP="00F36A29">
            <w:pPr>
              <w:pStyle w:val="NoSpacing"/>
              <w:rPr>
                <w:i/>
                <w:iCs/>
              </w:rPr>
            </w:pPr>
            <w:r w:rsidRPr="00487834">
              <w:rPr>
                <w:i/>
                <w:iCs/>
              </w:rPr>
              <w:t>ROE</w:t>
            </w:r>
          </w:p>
        </w:tc>
        <w:tc>
          <w:tcPr>
            <w:tcW w:w="1402" w:type="dxa"/>
            <w:tcBorders>
              <w:top w:val="nil"/>
              <w:left w:val="nil"/>
              <w:bottom w:val="nil"/>
              <w:right w:val="nil"/>
            </w:tcBorders>
            <w:shd w:val="clear" w:color="auto" w:fill="auto"/>
            <w:vAlign w:val="center"/>
            <w:hideMark/>
          </w:tcPr>
          <w:p w14:paraId="3FFBF72D" w14:textId="77777777" w:rsidR="00185A1F" w:rsidRPr="00487834" w:rsidRDefault="00185A1F" w:rsidP="00F36A29">
            <w:pPr>
              <w:pStyle w:val="NoSpacing"/>
            </w:pPr>
            <w:proofErr w:type="gramStart"/>
            <w:r w:rsidRPr="00487834">
              <w:t>0.0004  (</w:t>
            </w:r>
            <w:proofErr w:type="gramEnd"/>
            <w:r w:rsidRPr="00487834">
              <w:t>0.011)</w:t>
            </w:r>
          </w:p>
        </w:tc>
        <w:tc>
          <w:tcPr>
            <w:tcW w:w="1276" w:type="dxa"/>
            <w:tcBorders>
              <w:top w:val="nil"/>
              <w:left w:val="nil"/>
              <w:bottom w:val="nil"/>
              <w:right w:val="nil"/>
            </w:tcBorders>
            <w:shd w:val="clear" w:color="auto" w:fill="auto"/>
            <w:vAlign w:val="center"/>
            <w:hideMark/>
          </w:tcPr>
          <w:p w14:paraId="40465FED" w14:textId="77777777" w:rsidR="00185A1F" w:rsidRPr="00487834" w:rsidRDefault="00185A1F" w:rsidP="00F36A29">
            <w:pPr>
              <w:pStyle w:val="NoSpacing"/>
            </w:pPr>
            <w:r w:rsidRPr="00487834">
              <w:t>0.0056</w:t>
            </w:r>
            <w:proofErr w:type="gramStart"/>
            <w:r w:rsidRPr="00487834">
              <w:t xml:space="preserve">   (</w:t>
            </w:r>
            <w:proofErr w:type="gramEnd"/>
            <w:r w:rsidRPr="00487834">
              <w:t>0.0015)</w:t>
            </w:r>
          </w:p>
        </w:tc>
        <w:tc>
          <w:tcPr>
            <w:tcW w:w="1418" w:type="dxa"/>
            <w:tcBorders>
              <w:top w:val="nil"/>
              <w:left w:val="nil"/>
              <w:bottom w:val="nil"/>
              <w:right w:val="nil"/>
            </w:tcBorders>
            <w:shd w:val="clear" w:color="auto" w:fill="auto"/>
            <w:vAlign w:val="center"/>
            <w:hideMark/>
          </w:tcPr>
          <w:p w14:paraId="66DAD41F" w14:textId="77777777" w:rsidR="00185A1F" w:rsidRPr="00487834" w:rsidRDefault="00185A1F" w:rsidP="00F36A29">
            <w:pPr>
              <w:pStyle w:val="NoSpacing"/>
            </w:pPr>
            <w:r w:rsidRPr="00487834">
              <w:t xml:space="preserve">0.006    </w:t>
            </w:r>
            <w:proofErr w:type="gramStart"/>
            <w:r w:rsidRPr="00487834">
              <w:t xml:space="preserve">   (</w:t>
            </w:r>
            <w:proofErr w:type="gramEnd"/>
            <w:r w:rsidRPr="00487834">
              <w:t>0.015)</w:t>
            </w:r>
          </w:p>
        </w:tc>
        <w:tc>
          <w:tcPr>
            <w:tcW w:w="1417" w:type="dxa"/>
            <w:tcBorders>
              <w:top w:val="nil"/>
              <w:left w:val="nil"/>
              <w:bottom w:val="nil"/>
              <w:right w:val="nil"/>
            </w:tcBorders>
            <w:shd w:val="clear" w:color="auto" w:fill="auto"/>
            <w:vAlign w:val="center"/>
            <w:hideMark/>
          </w:tcPr>
          <w:p w14:paraId="74089EF9" w14:textId="77777777" w:rsidR="00185A1F" w:rsidRPr="00487834" w:rsidRDefault="00185A1F" w:rsidP="00F36A29">
            <w:pPr>
              <w:pStyle w:val="NoSpacing"/>
            </w:pPr>
            <w:r w:rsidRPr="00487834">
              <w:t xml:space="preserve">-0.104***   </w:t>
            </w:r>
            <w:proofErr w:type="gramStart"/>
            <w:r w:rsidRPr="00487834">
              <w:t xml:space="preserve">   (</w:t>
            </w:r>
            <w:proofErr w:type="gramEnd"/>
            <w:r w:rsidRPr="00487834">
              <w:t>0.028)</w:t>
            </w:r>
          </w:p>
        </w:tc>
        <w:tc>
          <w:tcPr>
            <w:tcW w:w="1418" w:type="dxa"/>
            <w:tcBorders>
              <w:top w:val="nil"/>
              <w:left w:val="nil"/>
              <w:bottom w:val="nil"/>
              <w:right w:val="nil"/>
            </w:tcBorders>
            <w:shd w:val="clear" w:color="auto" w:fill="auto"/>
            <w:vAlign w:val="center"/>
            <w:hideMark/>
          </w:tcPr>
          <w:p w14:paraId="09C79E03" w14:textId="77777777" w:rsidR="00185A1F" w:rsidRPr="00487834" w:rsidRDefault="00185A1F" w:rsidP="00F36A29">
            <w:pPr>
              <w:pStyle w:val="NoSpacing"/>
            </w:pPr>
            <w:r w:rsidRPr="00487834">
              <w:t>-0.058***</w:t>
            </w:r>
            <w:proofErr w:type="gramStart"/>
            <w:r w:rsidRPr="00487834">
              <w:t xml:space="preserve">   (</w:t>
            </w:r>
            <w:proofErr w:type="gramEnd"/>
            <w:r w:rsidRPr="00487834">
              <w:t>0.021)</w:t>
            </w:r>
          </w:p>
        </w:tc>
        <w:tc>
          <w:tcPr>
            <w:tcW w:w="1417" w:type="dxa"/>
            <w:tcBorders>
              <w:top w:val="nil"/>
              <w:left w:val="nil"/>
              <w:bottom w:val="nil"/>
              <w:right w:val="nil"/>
            </w:tcBorders>
            <w:shd w:val="clear" w:color="auto" w:fill="auto"/>
            <w:vAlign w:val="center"/>
            <w:hideMark/>
          </w:tcPr>
          <w:p w14:paraId="4A058D9D" w14:textId="77777777" w:rsidR="00185A1F" w:rsidRPr="00487834" w:rsidRDefault="00185A1F" w:rsidP="00F36A29">
            <w:pPr>
              <w:pStyle w:val="NoSpacing"/>
            </w:pPr>
            <w:r w:rsidRPr="00487834">
              <w:t xml:space="preserve">0.007 </w:t>
            </w:r>
            <w:proofErr w:type="gramStart"/>
            <w:r w:rsidRPr="00487834">
              <w:t xml:space="preserve">   (</w:t>
            </w:r>
            <w:proofErr w:type="gramEnd"/>
            <w:r w:rsidRPr="00487834">
              <w:t>0.001)</w:t>
            </w:r>
          </w:p>
        </w:tc>
      </w:tr>
      <w:tr w:rsidR="00AE1163" w:rsidRPr="00487834" w14:paraId="5AEB1580" w14:textId="77777777" w:rsidTr="00654423">
        <w:trPr>
          <w:trHeight w:val="560"/>
          <w:jc w:val="center"/>
        </w:trPr>
        <w:tc>
          <w:tcPr>
            <w:tcW w:w="2000" w:type="dxa"/>
            <w:tcBorders>
              <w:top w:val="nil"/>
              <w:left w:val="nil"/>
              <w:bottom w:val="single" w:sz="4" w:space="0" w:color="auto"/>
              <w:right w:val="nil"/>
            </w:tcBorders>
            <w:shd w:val="clear" w:color="auto" w:fill="auto"/>
            <w:noWrap/>
            <w:vAlign w:val="center"/>
            <w:hideMark/>
          </w:tcPr>
          <w:p w14:paraId="49FFC231" w14:textId="77777777" w:rsidR="00185A1F" w:rsidRPr="00487834" w:rsidRDefault="00185A1F" w:rsidP="00F36A29">
            <w:pPr>
              <w:pStyle w:val="NoSpacing"/>
              <w:rPr>
                <w:i/>
                <w:iCs/>
              </w:rPr>
            </w:pPr>
            <w:r w:rsidRPr="00487834">
              <w:rPr>
                <w:i/>
                <w:iCs/>
              </w:rPr>
              <w:t>EV/EBITDA</w:t>
            </w:r>
          </w:p>
        </w:tc>
        <w:tc>
          <w:tcPr>
            <w:tcW w:w="1402" w:type="dxa"/>
            <w:tcBorders>
              <w:top w:val="nil"/>
              <w:left w:val="nil"/>
              <w:bottom w:val="single" w:sz="4" w:space="0" w:color="auto"/>
              <w:right w:val="nil"/>
            </w:tcBorders>
            <w:shd w:val="clear" w:color="auto" w:fill="auto"/>
            <w:vAlign w:val="center"/>
            <w:hideMark/>
          </w:tcPr>
          <w:p w14:paraId="73C9A545" w14:textId="77777777" w:rsidR="00185A1F" w:rsidRPr="00487834" w:rsidRDefault="00185A1F" w:rsidP="00F36A29">
            <w:pPr>
              <w:pStyle w:val="NoSpacing"/>
            </w:pPr>
            <w:r w:rsidRPr="00487834">
              <w:t>-0.0027</w:t>
            </w:r>
            <w:proofErr w:type="gramStart"/>
            <w:r w:rsidRPr="00487834">
              <w:t xml:space="preserve">   (</w:t>
            </w:r>
            <w:proofErr w:type="gramEnd"/>
            <w:r w:rsidRPr="00487834">
              <w:t>0.005)</w:t>
            </w:r>
          </w:p>
        </w:tc>
        <w:tc>
          <w:tcPr>
            <w:tcW w:w="1276" w:type="dxa"/>
            <w:tcBorders>
              <w:top w:val="nil"/>
              <w:left w:val="nil"/>
              <w:bottom w:val="single" w:sz="4" w:space="0" w:color="auto"/>
              <w:right w:val="nil"/>
            </w:tcBorders>
            <w:shd w:val="clear" w:color="auto" w:fill="auto"/>
            <w:vAlign w:val="center"/>
            <w:hideMark/>
          </w:tcPr>
          <w:p w14:paraId="19D62F3F" w14:textId="77777777" w:rsidR="00185A1F" w:rsidRPr="00487834" w:rsidRDefault="00185A1F" w:rsidP="00F36A29">
            <w:pPr>
              <w:pStyle w:val="NoSpacing"/>
            </w:pPr>
            <w:proofErr w:type="gramStart"/>
            <w:r w:rsidRPr="00487834">
              <w:t>0.0406  (</w:t>
            </w:r>
            <w:proofErr w:type="gramEnd"/>
            <w:r w:rsidRPr="00487834">
              <w:t>0.042)</w:t>
            </w:r>
          </w:p>
        </w:tc>
        <w:tc>
          <w:tcPr>
            <w:tcW w:w="1418" w:type="dxa"/>
            <w:tcBorders>
              <w:top w:val="nil"/>
              <w:left w:val="nil"/>
              <w:bottom w:val="single" w:sz="4" w:space="0" w:color="auto"/>
              <w:right w:val="nil"/>
            </w:tcBorders>
            <w:shd w:val="clear" w:color="auto" w:fill="auto"/>
            <w:vAlign w:val="center"/>
            <w:hideMark/>
          </w:tcPr>
          <w:p w14:paraId="48DF3C02" w14:textId="77777777" w:rsidR="00185A1F" w:rsidRPr="00487834" w:rsidRDefault="00185A1F" w:rsidP="00F36A29">
            <w:pPr>
              <w:pStyle w:val="NoSpacing"/>
            </w:pPr>
            <w:r w:rsidRPr="00487834">
              <w:t xml:space="preserve">0.041    </w:t>
            </w:r>
            <w:proofErr w:type="gramStart"/>
            <w:r w:rsidRPr="00487834">
              <w:t xml:space="preserve">   (</w:t>
            </w:r>
            <w:proofErr w:type="gramEnd"/>
            <w:r w:rsidRPr="00487834">
              <w:t>0.041)</w:t>
            </w:r>
          </w:p>
        </w:tc>
        <w:tc>
          <w:tcPr>
            <w:tcW w:w="1417" w:type="dxa"/>
            <w:tcBorders>
              <w:top w:val="nil"/>
              <w:left w:val="nil"/>
              <w:bottom w:val="single" w:sz="4" w:space="0" w:color="auto"/>
              <w:right w:val="nil"/>
            </w:tcBorders>
            <w:shd w:val="clear" w:color="auto" w:fill="auto"/>
            <w:vAlign w:val="center"/>
            <w:hideMark/>
          </w:tcPr>
          <w:p w14:paraId="370DF471" w14:textId="77777777" w:rsidR="00185A1F" w:rsidRPr="00487834" w:rsidRDefault="00185A1F" w:rsidP="00F36A29">
            <w:pPr>
              <w:pStyle w:val="NoSpacing"/>
            </w:pPr>
            <w:r w:rsidRPr="00487834">
              <w:t>0.0194**</w:t>
            </w:r>
            <w:proofErr w:type="gramStart"/>
            <w:r w:rsidRPr="00487834">
              <w:t>*  (</w:t>
            </w:r>
            <w:proofErr w:type="gramEnd"/>
            <w:r w:rsidRPr="00487834">
              <w:t>0.007)</w:t>
            </w:r>
          </w:p>
        </w:tc>
        <w:tc>
          <w:tcPr>
            <w:tcW w:w="1418" w:type="dxa"/>
            <w:tcBorders>
              <w:top w:val="nil"/>
              <w:left w:val="nil"/>
              <w:bottom w:val="single" w:sz="4" w:space="0" w:color="auto"/>
              <w:right w:val="nil"/>
            </w:tcBorders>
            <w:shd w:val="clear" w:color="auto" w:fill="auto"/>
            <w:vAlign w:val="center"/>
            <w:hideMark/>
          </w:tcPr>
          <w:p w14:paraId="2D67531E" w14:textId="77777777" w:rsidR="00185A1F" w:rsidRPr="00487834" w:rsidRDefault="00185A1F" w:rsidP="00F36A29">
            <w:pPr>
              <w:pStyle w:val="NoSpacing"/>
            </w:pPr>
            <w:r w:rsidRPr="00487834">
              <w:t>0.019**</w:t>
            </w:r>
            <w:proofErr w:type="gramStart"/>
            <w:r w:rsidRPr="00487834">
              <w:t>*  (</w:t>
            </w:r>
            <w:proofErr w:type="gramEnd"/>
            <w:r w:rsidRPr="00487834">
              <w:t>0.007)</w:t>
            </w:r>
          </w:p>
        </w:tc>
        <w:tc>
          <w:tcPr>
            <w:tcW w:w="1417" w:type="dxa"/>
            <w:tcBorders>
              <w:top w:val="nil"/>
              <w:left w:val="nil"/>
              <w:bottom w:val="single" w:sz="4" w:space="0" w:color="auto"/>
              <w:right w:val="nil"/>
            </w:tcBorders>
            <w:shd w:val="clear" w:color="auto" w:fill="auto"/>
            <w:vAlign w:val="center"/>
            <w:hideMark/>
          </w:tcPr>
          <w:p w14:paraId="6FEC64FC" w14:textId="77777777" w:rsidR="00185A1F" w:rsidRPr="00487834" w:rsidRDefault="00185A1F" w:rsidP="00F36A29">
            <w:pPr>
              <w:pStyle w:val="NoSpacing"/>
            </w:pPr>
            <w:r w:rsidRPr="00487834">
              <w:t>-0.0125*</w:t>
            </w:r>
            <w:proofErr w:type="gramStart"/>
            <w:r w:rsidRPr="00487834">
              <w:t>*  (</w:t>
            </w:r>
            <w:proofErr w:type="gramEnd"/>
            <w:r w:rsidRPr="00487834">
              <w:t>0.006)</w:t>
            </w:r>
          </w:p>
        </w:tc>
      </w:tr>
    </w:tbl>
    <w:p w14:paraId="07A4B661" w14:textId="77777777" w:rsidR="00185A1F" w:rsidRPr="00487834" w:rsidRDefault="00050324" w:rsidP="003128F6">
      <w:pPr>
        <w:autoSpaceDE w:val="0"/>
        <w:autoSpaceDN w:val="0"/>
        <w:adjustRightInd w:val="0"/>
        <w:spacing w:line="300" w:lineRule="auto"/>
        <w:rPr>
          <w:rFonts w:eastAsiaTheme="minorHAnsi"/>
          <w:sz w:val="20"/>
          <w:szCs w:val="20"/>
          <w:lang w:val="en-US" w:eastAsia="en-US"/>
        </w:rPr>
      </w:pPr>
      <w:r>
        <w:rPr>
          <w:rFonts w:eastAsiaTheme="minorHAnsi"/>
          <w:noProof/>
          <w:sz w:val="20"/>
          <w:szCs w:val="20"/>
          <w:lang w:val="en-US" w:eastAsia="en-US"/>
        </w:rPr>
        <w:pict w14:anchorId="52470E10">
          <v:shape id="_x0000_s1027" type="#_x0000_t202" alt="" style="position:absolute;left:0;text-align:left;margin-left:23.7pt;margin-top:13.5pt;width:420.75pt;height:41.1pt;z-index:251677696;visibility:visible;mso-wrap-style:square;mso-wrap-edited:f;mso-width-percent:0;mso-height-percent:0;mso-position-horizontal-relative:text;mso-position-vertical-relative:text;mso-width-percent:0;mso-height-percent:0;mso-width-relative:margin;mso-height-relative:margin;v-text-anchor:top" fillcolor="white [3201]">
            <v:textbox>
              <w:txbxContent>
                <w:p w14:paraId="68CF2932" w14:textId="77777777" w:rsidR="00F36A29" w:rsidRPr="00E5055A" w:rsidRDefault="00F36A29" w:rsidP="00826641">
                  <w:pPr>
                    <w:spacing w:before="240"/>
                    <w:rPr>
                      <w:sz w:val="20"/>
                      <w:szCs w:val="20"/>
                      <w:lang w:val="en-US"/>
                    </w:rPr>
                  </w:pPr>
                  <w:r w:rsidRPr="00E5055A">
                    <w:rPr>
                      <w:sz w:val="20"/>
                      <w:szCs w:val="20"/>
                      <w:lang w:val="en-US"/>
                    </w:rPr>
                    <w:t>*** - significant at a 1% level, ** - significant at a 5% level, * - significant at a 10% level</w:t>
                  </w:r>
                </w:p>
              </w:txbxContent>
            </v:textbox>
          </v:shape>
        </w:pict>
      </w:r>
    </w:p>
    <w:p w14:paraId="54F569C6" w14:textId="77777777" w:rsidR="00185A1F" w:rsidRPr="00487834" w:rsidRDefault="00185A1F" w:rsidP="003128F6">
      <w:pPr>
        <w:autoSpaceDE w:val="0"/>
        <w:autoSpaceDN w:val="0"/>
        <w:adjustRightInd w:val="0"/>
        <w:spacing w:line="300" w:lineRule="auto"/>
        <w:rPr>
          <w:rFonts w:eastAsiaTheme="minorHAnsi"/>
          <w:sz w:val="20"/>
          <w:szCs w:val="20"/>
          <w:lang w:val="en-US" w:eastAsia="en-US"/>
        </w:rPr>
      </w:pPr>
    </w:p>
    <w:p w14:paraId="65E7B628" w14:textId="77777777" w:rsidR="00A27CB9" w:rsidRPr="00487834" w:rsidRDefault="00A27CB9" w:rsidP="003128F6">
      <w:pPr>
        <w:autoSpaceDE w:val="0"/>
        <w:autoSpaceDN w:val="0"/>
        <w:adjustRightInd w:val="0"/>
        <w:spacing w:line="300" w:lineRule="auto"/>
        <w:rPr>
          <w:rFonts w:eastAsiaTheme="minorHAnsi"/>
          <w:sz w:val="20"/>
          <w:szCs w:val="20"/>
          <w:lang w:val="en-US" w:eastAsia="en-US"/>
        </w:rPr>
      </w:pPr>
    </w:p>
    <w:p w14:paraId="05440596" w14:textId="77777777" w:rsidR="00A27CB9" w:rsidRPr="00487834" w:rsidRDefault="00A27CB9" w:rsidP="003128F6">
      <w:pPr>
        <w:autoSpaceDE w:val="0"/>
        <w:autoSpaceDN w:val="0"/>
        <w:adjustRightInd w:val="0"/>
        <w:spacing w:line="300" w:lineRule="auto"/>
        <w:rPr>
          <w:rFonts w:eastAsiaTheme="minorHAnsi"/>
          <w:sz w:val="20"/>
          <w:szCs w:val="20"/>
          <w:lang w:val="en-US" w:eastAsia="en-US"/>
        </w:rPr>
      </w:pPr>
    </w:p>
    <w:tbl>
      <w:tblPr>
        <w:tblW w:w="9800" w:type="dxa"/>
        <w:jc w:val="center"/>
        <w:tblLook w:val="04A0" w:firstRow="1" w:lastRow="0" w:firstColumn="1" w:lastColumn="0" w:noHBand="0" w:noVBand="1"/>
      </w:tblPr>
      <w:tblGrid>
        <w:gridCol w:w="2000"/>
        <w:gridCol w:w="127"/>
        <w:gridCol w:w="1173"/>
        <w:gridCol w:w="1300"/>
        <w:gridCol w:w="1300"/>
        <w:gridCol w:w="1300"/>
        <w:gridCol w:w="1300"/>
        <w:gridCol w:w="1300"/>
      </w:tblGrid>
      <w:tr w:rsidR="00654423" w:rsidRPr="00487834" w14:paraId="0F5A1722" w14:textId="77777777" w:rsidTr="00654423">
        <w:trPr>
          <w:trHeight w:val="540"/>
          <w:jc w:val="center"/>
        </w:trPr>
        <w:tc>
          <w:tcPr>
            <w:tcW w:w="2000" w:type="dxa"/>
            <w:tcBorders>
              <w:top w:val="single" w:sz="4" w:space="0" w:color="auto"/>
              <w:left w:val="nil"/>
              <w:bottom w:val="nil"/>
              <w:right w:val="nil"/>
            </w:tcBorders>
            <w:shd w:val="clear" w:color="auto" w:fill="auto"/>
            <w:noWrap/>
            <w:vAlign w:val="center"/>
            <w:hideMark/>
          </w:tcPr>
          <w:p w14:paraId="1D96F1EF" w14:textId="77777777" w:rsidR="00654423" w:rsidRPr="00487834" w:rsidRDefault="00654423" w:rsidP="00BA7F83">
            <w:pPr>
              <w:pStyle w:val="NoSpacing"/>
              <w:jc w:val="left"/>
            </w:pPr>
            <w:r w:rsidRPr="00487834">
              <w:lastRenderedPageBreak/>
              <w:t xml:space="preserve">Type </w:t>
            </w:r>
            <w:proofErr w:type="spellStart"/>
            <w:r w:rsidRPr="00487834">
              <w:t>of</w:t>
            </w:r>
            <w:proofErr w:type="spellEnd"/>
            <w:r w:rsidRPr="00487834">
              <w:t xml:space="preserve"> </w:t>
            </w:r>
            <w:proofErr w:type="spellStart"/>
            <w:r w:rsidRPr="00487834">
              <w:t>model</w:t>
            </w:r>
            <w:proofErr w:type="spellEnd"/>
          </w:p>
        </w:tc>
        <w:tc>
          <w:tcPr>
            <w:tcW w:w="1300" w:type="dxa"/>
            <w:gridSpan w:val="2"/>
            <w:tcBorders>
              <w:top w:val="single" w:sz="4" w:space="0" w:color="auto"/>
              <w:left w:val="nil"/>
              <w:bottom w:val="nil"/>
              <w:right w:val="nil"/>
            </w:tcBorders>
            <w:shd w:val="clear" w:color="auto" w:fill="auto"/>
            <w:vAlign w:val="center"/>
            <w:hideMark/>
          </w:tcPr>
          <w:p w14:paraId="42CC1845" w14:textId="77777777" w:rsidR="00654423" w:rsidRPr="00487834" w:rsidRDefault="00654423" w:rsidP="00F36A29">
            <w:pPr>
              <w:pStyle w:val="NoSpacing"/>
            </w:pPr>
            <w:proofErr w:type="spellStart"/>
            <w:r w:rsidRPr="00487834">
              <w:t>Fixed</w:t>
            </w:r>
            <w:proofErr w:type="spellEnd"/>
          </w:p>
        </w:tc>
        <w:tc>
          <w:tcPr>
            <w:tcW w:w="1300" w:type="dxa"/>
            <w:tcBorders>
              <w:top w:val="single" w:sz="4" w:space="0" w:color="auto"/>
              <w:left w:val="nil"/>
              <w:bottom w:val="nil"/>
              <w:right w:val="nil"/>
            </w:tcBorders>
            <w:shd w:val="clear" w:color="auto" w:fill="auto"/>
            <w:vAlign w:val="center"/>
            <w:hideMark/>
          </w:tcPr>
          <w:p w14:paraId="2ACBDC9E" w14:textId="77777777" w:rsidR="00654423" w:rsidRPr="00487834" w:rsidRDefault="00654423" w:rsidP="00F36A29">
            <w:pPr>
              <w:pStyle w:val="NoSpacing"/>
            </w:pPr>
            <w:proofErr w:type="spellStart"/>
            <w:r w:rsidRPr="00487834">
              <w:t>Fixed</w:t>
            </w:r>
            <w:proofErr w:type="spellEnd"/>
          </w:p>
        </w:tc>
        <w:tc>
          <w:tcPr>
            <w:tcW w:w="1300" w:type="dxa"/>
            <w:tcBorders>
              <w:top w:val="single" w:sz="4" w:space="0" w:color="auto"/>
              <w:left w:val="nil"/>
              <w:bottom w:val="nil"/>
              <w:right w:val="nil"/>
            </w:tcBorders>
            <w:shd w:val="clear" w:color="auto" w:fill="auto"/>
            <w:vAlign w:val="center"/>
            <w:hideMark/>
          </w:tcPr>
          <w:p w14:paraId="69DB7329" w14:textId="77777777" w:rsidR="00654423" w:rsidRPr="00487834" w:rsidRDefault="00654423" w:rsidP="00F36A29">
            <w:pPr>
              <w:pStyle w:val="NoSpacing"/>
            </w:pPr>
            <w:proofErr w:type="spellStart"/>
            <w:r w:rsidRPr="00487834">
              <w:t>Random</w:t>
            </w:r>
            <w:proofErr w:type="spellEnd"/>
          </w:p>
        </w:tc>
        <w:tc>
          <w:tcPr>
            <w:tcW w:w="1300" w:type="dxa"/>
            <w:tcBorders>
              <w:top w:val="single" w:sz="4" w:space="0" w:color="auto"/>
              <w:left w:val="nil"/>
              <w:bottom w:val="nil"/>
              <w:right w:val="nil"/>
            </w:tcBorders>
            <w:shd w:val="clear" w:color="auto" w:fill="auto"/>
            <w:vAlign w:val="center"/>
            <w:hideMark/>
          </w:tcPr>
          <w:p w14:paraId="22DDDCF7" w14:textId="77777777" w:rsidR="00654423" w:rsidRPr="00487834" w:rsidRDefault="00654423" w:rsidP="00F36A29">
            <w:pPr>
              <w:pStyle w:val="NoSpacing"/>
            </w:pPr>
            <w:proofErr w:type="spellStart"/>
            <w:r w:rsidRPr="00487834">
              <w:t>Fixed</w:t>
            </w:r>
            <w:proofErr w:type="spellEnd"/>
          </w:p>
        </w:tc>
        <w:tc>
          <w:tcPr>
            <w:tcW w:w="1300" w:type="dxa"/>
            <w:tcBorders>
              <w:top w:val="single" w:sz="4" w:space="0" w:color="auto"/>
              <w:left w:val="nil"/>
              <w:bottom w:val="nil"/>
              <w:right w:val="nil"/>
            </w:tcBorders>
            <w:shd w:val="clear" w:color="auto" w:fill="auto"/>
            <w:vAlign w:val="center"/>
            <w:hideMark/>
          </w:tcPr>
          <w:p w14:paraId="3472A6E1" w14:textId="77777777" w:rsidR="00654423" w:rsidRPr="00487834" w:rsidRDefault="00654423" w:rsidP="00F36A29">
            <w:pPr>
              <w:pStyle w:val="NoSpacing"/>
            </w:pPr>
            <w:proofErr w:type="spellStart"/>
            <w:r w:rsidRPr="00487834">
              <w:t>Random</w:t>
            </w:r>
            <w:proofErr w:type="spellEnd"/>
          </w:p>
        </w:tc>
        <w:tc>
          <w:tcPr>
            <w:tcW w:w="1300" w:type="dxa"/>
            <w:tcBorders>
              <w:top w:val="single" w:sz="4" w:space="0" w:color="auto"/>
              <w:left w:val="nil"/>
              <w:bottom w:val="nil"/>
              <w:right w:val="nil"/>
            </w:tcBorders>
            <w:shd w:val="clear" w:color="auto" w:fill="auto"/>
            <w:vAlign w:val="center"/>
            <w:hideMark/>
          </w:tcPr>
          <w:p w14:paraId="2D78D397" w14:textId="77777777" w:rsidR="00654423" w:rsidRPr="00487834" w:rsidRDefault="00654423" w:rsidP="00F36A29">
            <w:pPr>
              <w:pStyle w:val="NoSpacing"/>
            </w:pPr>
            <w:proofErr w:type="spellStart"/>
            <w:r w:rsidRPr="00487834">
              <w:t>Fixed</w:t>
            </w:r>
            <w:proofErr w:type="spellEnd"/>
          </w:p>
        </w:tc>
      </w:tr>
      <w:tr w:rsidR="00654423" w:rsidRPr="00487834" w14:paraId="7BDF93F3" w14:textId="77777777" w:rsidTr="00654423">
        <w:trPr>
          <w:trHeight w:val="540"/>
          <w:jc w:val="center"/>
        </w:trPr>
        <w:tc>
          <w:tcPr>
            <w:tcW w:w="2000" w:type="dxa"/>
            <w:tcBorders>
              <w:top w:val="nil"/>
              <w:left w:val="nil"/>
              <w:bottom w:val="nil"/>
              <w:right w:val="nil"/>
            </w:tcBorders>
            <w:shd w:val="clear" w:color="auto" w:fill="auto"/>
            <w:noWrap/>
            <w:vAlign w:val="center"/>
            <w:hideMark/>
          </w:tcPr>
          <w:p w14:paraId="0E362D93" w14:textId="77777777" w:rsidR="00654423" w:rsidRPr="00487834" w:rsidRDefault="00654423" w:rsidP="00BA7F83">
            <w:pPr>
              <w:pStyle w:val="NoSpacing"/>
              <w:jc w:val="left"/>
            </w:pPr>
            <w:r w:rsidRPr="00487834">
              <w:t xml:space="preserve">N </w:t>
            </w:r>
            <w:proofErr w:type="spellStart"/>
            <w:r w:rsidRPr="00487834">
              <w:t>of</w:t>
            </w:r>
            <w:proofErr w:type="spellEnd"/>
            <w:r w:rsidRPr="00487834">
              <w:t xml:space="preserve"> </w:t>
            </w:r>
            <w:proofErr w:type="spellStart"/>
            <w:r w:rsidRPr="00487834">
              <w:t>obs</w:t>
            </w:r>
            <w:proofErr w:type="spellEnd"/>
            <w:r w:rsidRPr="00487834">
              <w:t>.</w:t>
            </w:r>
          </w:p>
        </w:tc>
        <w:tc>
          <w:tcPr>
            <w:tcW w:w="1300" w:type="dxa"/>
            <w:gridSpan w:val="2"/>
            <w:tcBorders>
              <w:top w:val="nil"/>
              <w:left w:val="nil"/>
              <w:bottom w:val="nil"/>
              <w:right w:val="nil"/>
            </w:tcBorders>
            <w:shd w:val="clear" w:color="auto" w:fill="auto"/>
            <w:noWrap/>
            <w:vAlign w:val="center"/>
            <w:hideMark/>
          </w:tcPr>
          <w:p w14:paraId="4F7F190C" w14:textId="77777777" w:rsidR="00654423" w:rsidRPr="00487834" w:rsidRDefault="00654423" w:rsidP="00F36A29">
            <w:pPr>
              <w:pStyle w:val="NoSpacing"/>
            </w:pPr>
            <w:r w:rsidRPr="00487834">
              <w:t>925</w:t>
            </w:r>
          </w:p>
        </w:tc>
        <w:tc>
          <w:tcPr>
            <w:tcW w:w="1300" w:type="dxa"/>
            <w:tcBorders>
              <w:top w:val="nil"/>
              <w:left w:val="nil"/>
              <w:bottom w:val="nil"/>
              <w:right w:val="nil"/>
            </w:tcBorders>
            <w:shd w:val="clear" w:color="auto" w:fill="auto"/>
            <w:noWrap/>
            <w:vAlign w:val="center"/>
            <w:hideMark/>
          </w:tcPr>
          <w:p w14:paraId="59F0C77C" w14:textId="77777777" w:rsidR="00654423" w:rsidRPr="00487834" w:rsidRDefault="00654423" w:rsidP="00F36A29">
            <w:pPr>
              <w:pStyle w:val="NoSpacing"/>
            </w:pPr>
            <w:r w:rsidRPr="00487834">
              <w:t>230</w:t>
            </w:r>
          </w:p>
        </w:tc>
        <w:tc>
          <w:tcPr>
            <w:tcW w:w="1300" w:type="dxa"/>
            <w:tcBorders>
              <w:top w:val="nil"/>
              <w:left w:val="nil"/>
              <w:bottom w:val="nil"/>
              <w:right w:val="nil"/>
            </w:tcBorders>
            <w:shd w:val="clear" w:color="auto" w:fill="auto"/>
            <w:noWrap/>
            <w:vAlign w:val="center"/>
            <w:hideMark/>
          </w:tcPr>
          <w:p w14:paraId="0521CFFE" w14:textId="77777777" w:rsidR="00654423" w:rsidRPr="00487834" w:rsidRDefault="00654423" w:rsidP="00F36A29">
            <w:pPr>
              <w:pStyle w:val="NoSpacing"/>
            </w:pPr>
            <w:r w:rsidRPr="00487834">
              <w:t>230</w:t>
            </w:r>
          </w:p>
        </w:tc>
        <w:tc>
          <w:tcPr>
            <w:tcW w:w="1300" w:type="dxa"/>
            <w:tcBorders>
              <w:top w:val="nil"/>
              <w:left w:val="nil"/>
              <w:bottom w:val="nil"/>
              <w:right w:val="nil"/>
            </w:tcBorders>
            <w:shd w:val="clear" w:color="auto" w:fill="auto"/>
            <w:noWrap/>
            <w:vAlign w:val="center"/>
            <w:hideMark/>
          </w:tcPr>
          <w:p w14:paraId="7D3504FB" w14:textId="77777777" w:rsidR="00654423" w:rsidRPr="00487834" w:rsidRDefault="00654423" w:rsidP="00F36A29">
            <w:pPr>
              <w:pStyle w:val="NoSpacing"/>
            </w:pPr>
            <w:r w:rsidRPr="00487834">
              <w:t>456</w:t>
            </w:r>
          </w:p>
        </w:tc>
        <w:tc>
          <w:tcPr>
            <w:tcW w:w="1300" w:type="dxa"/>
            <w:tcBorders>
              <w:top w:val="nil"/>
              <w:left w:val="nil"/>
              <w:bottom w:val="nil"/>
              <w:right w:val="nil"/>
            </w:tcBorders>
            <w:shd w:val="clear" w:color="auto" w:fill="auto"/>
            <w:noWrap/>
            <w:vAlign w:val="center"/>
            <w:hideMark/>
          </w:tcPr>
          <w:p w14:paraId="760D1CD9" w14:textId="77777777" w:rsidR="00654423" w:rsidRPr="00487834" w:rsidRDefault="00654423" w:rsidP="00F36A29">
            <w:pPr>
              <w:pStyle w:val="NoSpacing"/>
            </w:pPr>
            <w:r w:rsidRPr="00487834">
              <w:t>456</w:t>
            </w:r>
          </w:p>
        </w:tc>
        <w:tc>
          <w:tcPr>
            <w:tcW w:w="1300" w:type="dxa"/>
            <w:tcBorders>
              <w:top w:val="nil"/>
              <w:left w:val="nil"/>
              <w:bottom w:val="nil"/>
              <w:right w:val="nil"/>
            </w:tcBorders>
            <w:shd w:val="clear" w:color="auto" w:fill="auto"/>
            <w:noWrap/>
            <w:vAlign w:val="center"/>
            <w:hideMark/>
          </w:tcPr>
          <w:p w14:paraId="7018A0D9" w14:textId="77777777" w:rsidR="00654423" w:rsidRPr="00487834" w:rsidRDefault="00654423" w:rsidP="00F36A29">
            <w:pPr>
              <w:pStyle w:val="NoSpacing"/>
            </w:pPr>
            <w:r w:rsidRPr="00487834">
              <w:t>238</w:t>
            </w:r>
          </w:p>
        </w:tc>
      </w:tr>
      <w:tr w:rsidR="00654423" w:rsidRPr="00487834" w14:paraId="16C63A76" w14:textId="77777777" w:rsidTr="00654423">
        <w:trPr>
          <w:trHeight w:val="560"/>
          <w:jc w:val="center"/>
        </w:trPr>
        <w:tc>
          <w:tcPr>
            <w:tcW w:w="2000" w:type="dxa"/>
            <w:tcBorders>
              <w:top w:val="nil"/>
              <w:left w:val="nil"/>
              <w:bottom w:val="nil"/>
              <w:right w:val="nil"/>
            </w:tcBorders>
            <w:shd w:val="clear" w:color="auto" w:fill="auto"/>
            <w:noWrap/>
            <w:vAlign w:val="center"/>
            <w:hideMark/>
          </w:tcPr>
          <w:p w14:paraId="4B3BB981" w14:textId="77777777" w:rsidR="00654423" w:rsidRPr="00487834" w:rsidRDefault="00654423" w:rsidP="00BA7F83">
            <w:pPr>
              <w:pStyle w:val="NoSpacing"/>
              <w:jc w:val="left"/>
            </w:pPr>
            <w:r w:rsidRPr="00487834">
              <w:t>R-</w:t>
            </w:r>
            <w:proofErr w:type="spellStart"/>
            <w:r w:rsidRPr="00487834">
              <w:t>sq</w:t>
            </w:r>
            <w:proofErr w:type="spellEnd"/>
            <w:r w:rsidRPr="00487834">
              <w:t>.</w:t>
            </w:r>
          </w:p>
        </w:tc>
        <w:tc>
          <w:tcPr>
            <w:tcW w:w="1300" w:type="dxa"/>
            <w:gridSpan w:val="2"/>
            <w:tcBorders>
              <w:top w:val="nil"/>
              <w:left w:val="nil"/>
              <w:bottom w:val="nil"/>
              <w:right w:val="nil"/>
            </w:tcBorders>
            <w:shd w:val="clear" w:color="auto" w:fill="auto"/>
            <w:vAlign w:val="center"/>
            <w:hideMark/>
          </w:tcPr>
          <w:p w14:paraId="4D4856D0" w14:textId="77777777" w:rsidR="00654423" w:rsidRPr="00487834" w:rsidRDefault="00654423" w:rsidP="00F36A29">
            <w:pPr>
              <w:pStyle w:val="NoSpacing"/>
            </w:pPr>
            <w:r w:rsidRPr="00487834">
              <w:t>0.565</w:t>
            </w:r>
          </w:p>
        </w:tc>
        <w:tc>
          <w:tcPr>
            <w:tcW w:w="1300" w:type="dxa"/>
            <w:tcBorders>
              <w:top w:val="nil"/>
              <w:left w:val="nil"/>
              <w:bottom w:val="nil"/>
              <w:right w:val="nil"/>
            </w:tcBorders>
            <w:shd w:val="clear" w:color="auto" w:fill="auto"/>
            <w:vAlign w:val="center"/>
            <w:hideMark/>
          </w:tcPr>
          <w:p w14:paraId="6B37584E" w14:textId="77777777" w:rsidR="00654423" w:rsidRPr="00487834" w:rsidRDefault="00654423" w:rsidP="00F36A29">
            <w:pPr>
              <w:pStyle w:val="NoSpacing"/>
            </w:pPr>
            <w:r w:rsidRPr="00487834">
              <w:t>0.556</w:t>
            </w:r>
          </w:p>
        </w:tc>
        <w:tc>
          <w:tcPr>
            <w:tcW w:w="1300" w:type="dxa"/>
            <w:tcBorders>
              <w:top w:val="nil"/>
              <w:left w:val="nil"/>
              <w:bottom w:val="nil"/>
              <w:right w:val="nil"/>
            </w:tcBorders>
            <w:shd w:val="clear" w:color="auto" w:fill="auto"/>
            <w:vAlign w:val="center"/>
            <w:hideMark/>
          </w:tcPr>
          <w:p w14:paraId="45439402" w14:textId="77777777" w:rsidR="00654423" w:rsidRPr="00487834" w:rsidRDefault="00654423" w:rsidP="00F36A29">
            <w:pPr>
              <w:pStyle w:val="NoSpacing"/>
            </w:pPr>
            <w:r w:rsidRPr="00487834">
              <w:t>0.318</w:t>
            </w:r>
          </w:p>
        </w:tc>
        <w:tc>
          <w:tcPr>
            <w:tcW w:w="1300" w:type="dxa"/>
            <w:tcBorders>
              <w:top w:val="nil"/>
              <w:left w:val="nil"/>
              <w:bottom w:val="nil"/>
              <w:right w:val="nil"/>
            </w:tcBorders>
            <w:shd w:val="clear" w:color="auto" w:fill="auto"/>
            <w:vAlign w:val="center"/>
            <w:hideMark/>
          </w:tcPr>
          <w:p w14:paraId="4C91EB50" w14:textId="77777777" w:rsidR="00654423" w:rsidRPr="00487834" w:rsidRDefault="00654423" w:rsidP="00F36A29">
            <w:pPr>
              <w:pStyle w:val="NoSpacing"/>
            </w:pPr>
            <w:r w:rsidRPr="00487834">
              <w:t>0.691</w:t>
            </w:r>
          </w:p>
        </w:tc>
        <w:tc>
          <w:tcPr>
            <w:tcW w:w="1300" w:type="dxa"/>
            <w:tcBorders>
              <w:top w:val="nil"/>
              <w:left w:val="nil"/>
              <w:bottom w:val="nil"/>
              <w:right w:val="nil"/>
            </w:tcBorders>
            <w:shd w:val="clear" w:color="auto" w:fill="auto"/>
            <w:vAlign w:val="center"/>
            <w:hideMark/>
          </w:tcPr>
          <w:p w14:paraId="14FD4D0F" w14:textId="77777777" w:rsidR="00654423" w:rsidRPr="00487834" w:rsidRDefault="00654423" w:rsidP="00F36A29">
            <w:pPr>
              <w:pStyle w:val="NoSpacing"/>
            </w:pPr>
            <w:r w:rsidRPr="00487834">
              <w:t>0.429</w:t>
            </w:r>
          </w:p>
        </w:tc>
        <w:tc>
          <w:tcPr>
            <w:tcW w:w="1300" w:type="dxa"/>
            <w:tcBorders>
              <w:top w:val="nil"/>
              <w:left w:val="nil"/>
              <w:bottom w:val="nil"/>
              <w:right w:val="nil"/>
            </w:tcBorders>
            <w:shd w:val="clear" w:color="auto" w:fill="auto"/>
            <w:vAlign w:val="center"/>
            <w:hideMark/>
          </w:tcPr>
          <w:p w14:paraId="5481E8A1" w14:textId="77777777" w:rsidR="00654423" w:rsidRPr="00487834" w:rsidRDefault="00654423" w:rsidP="00F36A29">
            <w:pPr>
              <w:pStyle w:val="NoSpacing"/>
            </w:pPr>
            <w:r w:rsidRPr="00487834">
              <w:t>0.714</w:t>
            </w:r>
          </w:p>
        </w:tc>
      </w:tr>
      <w:tr w:rsidR="00654423" w:rsidRPr="00487834" w14:paraId="4FB8420D" w14:textId="77777777" w:rsidTr="00654423">
        <w:trPr>
          <w:trHeight w:val="600"/>
          <w:jc w:val="center"/>
        </w:trPr>
        <w:tc>
          <w:tcPr>
            <w:tcW w:w="2000" w:type="dxa"/>
            <w:tcBorders>
              <w:top w:val="nil"/>
              <w:left w:val="nil"/>
              <w:bottom w:val="nil"/>
              <w:right w:val="nil"/>
            </w:tcBorders>
            <w:shd w:val="clear" w:color="auto" w:fill="auto"/>
            <w:noWrap/>
            <w:vAlign w:val="center"/>
            <w:hideMark/>
          </w:tcPr>
          <w:p w14:paraId="4DBD8FC4" w14:textId="77777777" w:rsidR="00654423" w:rsidRPr="00487834" w:rsidRDefault="00654423" w:rsidP="00BA7F83">
            <w:pPr>
              <w:pStyle w:val="NoSpacing"/>
              <w:jc w:val="left"/>
            </w:pPr>
            <w:proofErr w:type="spellStart"/>
            <w:r w:rsidRPr="00487834">
              <w:t>Adj</w:t>
            </w:r>
            <w:proofErr w:type="spellEnd"/>
            <w:r w:rsidRPr="00487834">
              <w:t>. R-</w:t>
            </w:r>
            <w:proofErr w:type="spellStart"/>
            <w:r w:rsidRPr="00487834">
              <w:t>sq</w:t>
            </w:r>
            <w:proofErr w:type="spellEnd"/>
            <w:r w:rsidRPr="00487834">
              <w:t>.</w:t>
            </w:r>
          </w:p>
        </w:tc>
        <w:tc>
          <w:tcPr>
            <w:tcW w:w="1300" w:type="dxa"/>
            <w:gridSpan w:val="2"/>
            <w:tcBorders>
              <w:top w:val="nil"/>
              <w:left w:val="nil"/>
              <w:bottom w:val="nil"/>
              <w:right w:val="nil"/>
            </w:tcBorders>
            <w:shd w:val="clear" w:color="auto" w:fill="auto"/>
            <w:vAlign w:val="center"/>
            <w:hideMark/>
          </w:tcPr>
          <w:p w14:paraId="7C41364E" w14:textId="77777777" w:rsidR="00654423" w:rsidRPr="00487834" w:rsidRDefault="00654423" w:rsidP="00F36A29">
            <w:pPr>
              <w:pStyle w:val="NoSpacing"/>
            </w:pPr>
            <w:r w:rsidRPr="00487834">
              <w:t>0.438</w:t>
            </w:r>
          </w:p>
        </w:tc>
        <w:tc>
          <w:tcPr>
            <w:tcW w:w="1300" w:type="dxa"/>
            <w:tcBorders>
              <w:top w:val="nil"/>
              <w:left w:val="nil"/>
              <w:bottom w:val="nil"/>
              <w:right w:val="nil"/>
            </w:tcBorders>
            <w:shd w:val="clear" w:color="auto" w:fill="auto"/>
            <w:vAlign w:val="center"/>
            <w:hideMark/>
          </w:tcPr>
          <w:p w14:paraId="6CCD41F3" w14:textId="77777777" w:rsidR="00654423" w:rsidRPr="00487834" w:rsidRDefault="00654423" w:rsidP="00F36A29">
            <w:pPr>
              <w:pStyle w:val="NoSpacing"/>
            </w:pPr>
            <w:r w:rsidRPr="00487834">
              <w:t>0.357</w:t>
            </w:r>
          </w:p>
        </w:tc>
        <w:tc>
          <w:tcPr>
            <w:tcW w:w="1300" w:type="dxa"/>
            <w:tcBorders>
              <w:top w:val="nil"/>
              <w:left w:val="nil"/>
              <w:bottom w:val="nil"/>
              <w:right w:val="nil"/>
            </w:tcBorders>
            <w:shd w:val="clear" w:color="auto" w:fill="auto"/>
            <w:vAlign w:val="center"/>
            <w:hideMark/>
          </w:tcPr>
          <w:p w14:paraId="1967EB9C" w14:textId="77777777" w:rsidR="00654423" w:rsidRPr="00487834" w:rsidRDefault="00654423" w:rsidP="00F36A29">
            <w:pPr>
              <w:pStyle w:val="NoSpacing"/>
            </w:pPr>
            <w:r w:rsidRPr="00487834">
              <w:t>-</w:t>
            </w:r>
          </w:p>
        </w:tc>
        <w:tc>
          <w:tcPr>
            <w:tcW w:w="1300" w:type="dxa"/>
            <w:tcBorders>
              <w:top w:val="nil"/>
              <w:left w:val="nil"/>
              <w:bottom w:val="nil"/>
              <w:right w:val="nil"/>
            </w:tcBorders>
            <w:shd w:val="clear" w:color="auto" w:fill="auto"/>
            <w:vAlign w:val="center"/>
            <w:hideMark/>
          </w:tcPr>
          <w:p w14:paraId="42C67B8A" w14:textId="77777777" w:rsidR="00654423" w:rsidRPr="00487834" w:rsidRDefault="00654423" w:rsidP="00F36A29">
            <w:pPr>
              <w:pStyle w:val="NoSpacing"/>
            </w:pPr>
            <w:r w:rsidRPr="00487834">
              <w:t>0.545</w:t>
            </w:r>
          </w:p>
        </w:tc>
        <w:tc>
          <w:tcPr>
            <w:tcW w:w="1300" w:type="dxa"/>
            <w:tcBorders>
              <w:top w:val="nil"/>
              <w:left w:val="nil"/>
              <w:bottom w:val="nil"/>
              <w:right w:val="nil"/>
            </w:tcBorders>
            <w:shd w:val="clear" w:color="auto" w:fill="auto"/>
            <w:vAlign w:val="center"/>
            <w:hideMark/>
          </w:tcPr>
          <w:p w14:paraId="537E3BFE" w14:textId="77777777" w:rsidR="00654423" w:rsidRPr="00487834" w:rsidRDefault="00654423" w:rsidP="00F36A29">
            <w:pPr>
              <w:pStyle w:val="NoSpacing"/>
            </w:pPr>
            <w:r w:rsidRPr="00487834">
              <w:t>-</w:t>
            </w:r>
          </w:p>
        </w:tc>
        <w:tc>
          <w:tcPr>
            <w:tcW w:w="1300" w:type="dxa"/>
            <w:tcBorders>
              <w:top w:val="nil"/>
              <w:left w:val="nil"/>
              <w:bottom w:val="nil"/>
              <w:right w:val="nil"/>
            </w:tcBorders>
            <w:shd w:val="clear" w:color="auto" w:fill="auto"/>
            <w:vAlign w:val="center"/>
            <w:hideMark/>
          </w:tcPr>
          <w:p w14:paraId="2CD05777" w14:textId="77777777" w:rsidR="00654423" w:rsidRPr="00487834" w:rsidRDefault="00654423" w:rsidP="00F36A29">
            <w:pPr>
              <w:pStyle w:val="NoSpacing"/>
            </w:pPr>
            <w:r w:rsidRPr="00487834">
              <w:t>0.543</w:t>
            </w:r>
          </w:p>
        </w:tc>
      </w:tr>
      <w:tr w:rsidR="00654423" w:rsidRPr="00487834" w14:paraId="4362ABA0" w14:textId="77777777" w:rsidTr="00654423">
        <w:trPr>
          <w:trHeight w:val="560"/>
          <w:jc w:val="center"/>
        </w:trPr>
        <w:tc>
          <w:tcPr>
            <w:tcW w:w="2000" w:type="dxa"/>
            <w:tcBorders>
              <w:top w:val="nil"/>
              <w:left w:val="nil"/>
              <w:bottom w:val="nil"/>
              <w:right w:val="nil"/>
            </w:tcBorders>
            <w:shd w:val="clear" w:color="auto" w:fill="auto"/>
            <w:noWrap/>
            <w:vAlign w:val="center"/>
            <w:hideMark/>
          </w:tcPr>
          <w:p w14:paraId="6ACAD40C" w14:textId="77777777" w:rsidR="00654423" w:rsidRPr="00487834" w:rsidRDefault="00654423" w:rsidP="00BA7F83">
            <w:pPr>
              <w:pStyle w:val="NoSpacing"/>
              <w:jc w:val="left"/>
            </w:pPr>
            <w:r w:rsidRPr="00487834">
              <w:t xml:space="preserve">Year </w:t>
            </w:r>
            <w:proofErr w:type="spellStart"/>
            <w:r w:rsidRPr="00487834">
              <w:t>effects</w:t>
            </w:r>
            <w:proofErr w:type="spellEnd"/>
          </w:p>
        </w:tc>
        <w:tc>
          <w:tcPr>
            <w:tcW w:w="1300" w:type="dxa"/>
            <w:gridSpan w:val="2"/>
            <w:tcBorders>
              <w:top w:val="nil"/>
              <w:left w:val="nil"/>
              <w:bottom w:val="nil"/>
              <w:right w:val="nil"/>
            </w:tcBorders>
            <w:shd w:val="clear" w:color="auto" w:fill="auto"/>
            <w:vAlign w:val="center"/>
            <w:hideMark/>
          </w:tcPr>
          <w:p w14:paraId="0235BCB6" w14:textId="77777777" w:rsidR="00654423" w:rsidRPr="00487834" w:rsidRDefault="00654423" w:rsidP="00F36A29">
            <w:pPr>
              <w:pStyle w:val="NoSpacing"/>
            </w:pPr>
            <w:r w:rsidRPr="00487834">
              <w:t>Yes</w:t>
            </w:r>
          </w:p>
        </w:tc>
        <w:tc>
          <w:tcPr>
            <w:tcW w:w="1300" w:type="dxa"/>
            <w:tcBorders>
              <w:top w:val="nil"/>
              <w:left w:val="nil"/>
              <w:bottom w:val="nil"/>
              <w:right w:val="nil"/>
            </w:tcBorders>
            <w:shd w:val="clear" w:color="auto" w:fill="auto"/>
            <w:vAlign w:val="center"/>
            <w:hideMark/>
          </w:tcPr>
          <w:p w14:paraId="62953841" w14:textId="77777777" w:rsidR="00654423" w:rsidRPr="00487834" w:rsidRDefault="00654423" w:rsidP="00F36A29">
            <w:pPr>
              <w:pStyle w:val="NoSpacing"/>
            </w:pPr>
            <w:r w:rsidRPr="00487834">
              <w:t>Yes</w:t>
            </w:r>
          </w:p>
        </w:tc>
        <w:tc>
          <w:tcPr>
            <w:tcW w:w="1300" w:type="dxa"/>
            <w:tcBorders>
              <w:top w:val="nil"/>
              <w:left w:val="nil"/>
              <w:bottom w:val="nil"/>
              <w:right w:val="nil"/>
            </w:tcBorders>
            <w:shd w:val="clear" w:color="auto" w:fill="auto"/>
            <w:vAlign w:val="center"/>
            <w:hideMark/>
          </w:tcPr>
          <w:p w14:paraId="119C00EB" w14:textId="77777777" w:rsidR="00654423" w:rsidRPr="00487834" w:rsidRDefault="00654423" w:rsidP="00F36A29">
            <w:pPr>
              <w:pStyle w:val="NoSpacing"/>
            </w:pPr>
            <w:r w:rsidRPr="00487834">
              <w:t>Yes</w:t>
            </w:r>
          </w:p>
        </w:tc>
        <w:tc>
          <w:tcPr>
            <w:tcW w:w="1300" w:type="dxa"/>
            <w:tcBorders>
              <w:top w:val="nil"/>
              <w:left w:val="nil"/>
              <w:bottom w:val="nil"/>
              <w:right w:val="nil"/>
            </w:tcBorders>
            <w:shd w:val="clear" w:color="auto" w:fill="auto"/>
            <w:vAlign w:val="center"/>
            <w:hideMark/>
          </w:tcPr>
          <w:p w14:paraId="28DBDFAF" w14:textId="77777777" w:rsidR="00654423" w:rsidRPr="00487834" w:rsidRDefault="00654423" w:rsidP="00F36A29">
            <w:pPr>
              <w:pStyle w:val="NoSpacing"/>
            </w:pPr>
            <w:r w:rsidRPr="00487834">
              <w:t>Yes</w:t>
            </w:r>
          </w:p>
        </w:tc>
        <w:tc>
          <w:tcPr>
            <w:tcW w:w="1300" w:type="dxa"/>
            <w:tcBorders>
              <w:top w:val="nil"/>
              <w:left w:val="nil"/>
              <w:bottom w:val="nil"/>
              <w:right w:val="nil"/>
            </w:tcBorders>
            <w:shd w:val="clear" w:color="auto" w:fill="auto"/>
            <w:vAlign w:val="center"/>
            <w:hideMark/>
          </w:tcPr>
          <w:p w14:paraId="16210BC7" w14:textId="77777777" w:rsidR="00654423" w:rsidRPr="00487834" w:rsidRDefault="00654423" w:rsidP="00F36A29">
            <w:pPr>
              <w:pStyle w:val="NoSpacing"/>
            </w:pPr>
            <w:r w:rsidRPr="00487834">
              <w:t>Yes</w:t>
            </w:r>
          </w:p>
        </w:tc>
        <w:tc>
          <w:tcPr>
            <w:tcW w:w="1300" w:type="dxa"/>
            <w:tcBorders>
              <w:top w:val="nil"/>
              <w:left w:val="nil"/>
              <w:bottom w:val="nil"/>
              <w:right w:val="nil"/>
            </w:tcBorders>
            <w:shd w:val="clear" w:color="auto" w:fill="auto"/>
            <w:vAlign w:val="center"/>
            <w:hideMark/>
          </w:tcPr>
          <w:p w14:paraId="0CCD848C" w14:textId="77777777" w:rsidR="00654423" w:rsidRPr="00487834" w:rsidRDefault="00654423" w:rsidP="00F36A29">
            <w:pPr>
              <w:pStyle w:val="NoSpacing"/>
            </w:pPr>
            <w:r w:rsidRPr="00487834">
              <w:t>Yes</w:t>
            </w:r>
          </w:p>
        </w:tc>
      </w:tr>
      <w:tr w:rsidR="00654423" w:rsidRPr="00487834" w14:paraId="2EF39B50" w14:textId="77777777" w:rsidTr="00654423">
        <w:trPr>
          <w:trHeight w:val="560"/>
          <w:jc w:val="center"/>
        </w:trPr>
        <w:tc>
          <w:tcPr>
            <w:tcW w:w="2000" w:type="dxa"/>
            <w:tcBorders>
              <w:top w:val="nil"/>
              <w:left w:val="nil"/>
              <w:bottom w:val="nil"/>
              <w:right w:val="nil"/>
            </w:tcBorders>
            <w:shd w:val="clear" w:color="auto" w:fill="auto"/>
            <w:noWrap/>
            <w:vAlign w:val="center"/>
            <w:hideMark/>
          </w:tcPr>
          <w:p w14:paraId="3B5EFEE1" w14:textId="77777777" w:rsidR="00654423" w:rsidRPr="00487834" w:rsidRDefault="00654423" w:rsidP="00BA7F83">
            <w:pPr>
              <w:pStyle w:val="NoSpacing"/>
              <w:jc w:val="left"/>
            </w:pPr>
            <w:proofErr w:type="spellStart"/>
            <w:r w:rsidRPr="00487834">
              <w:t>Firm</w:t>
            </w:r>
            <w:proofErr w:type="spellEnd"/>
            <w:r w:rsidRPr="00487834">
              <w:t xml:space="preserve"> </w:t>
            </w:r>
            <w:proofErr w:type="spellStart"/>
            <w:r w:rsidRPr="00487834">
              <w:t>effects</w:t>
            </w:r>
            <w:proofErr w:type="spellEnd"/>
          </w:p>
        </w:tc>
        <w:tc>
          <w:tcPr>
            <w:tcW w:w="1300" w:type="dxa"/>
            <w:gridSpan w:val="2"/>
            <w:tcBorders>
              <w:top w:val="nil"/>
              <w:left w:val="nil"/>
              <w:bottom w:val="nil"/>
              <w:right w:val="nil"/>
            </w:tcBorders>
            <w:shd w:val="clear" w:color="auto" w:fill="auto"/>
            <w:vAlign w:val="center"/>
            <w:hideMark/>
          </w:tcPr>
          <w:p w14:paraId="4664CAD7" w14:textId="77777777" w:rsidR="00654423" w:rsidRPr="00487834" w:rsidRDefault="00654423" w:rsidP="00F36A29">
            <w:pPr>
              <w:pStyle w:val="NoSpacing"/>
            </w:pPr>
            <w:r w:rsidRPr="00487834">
              <w:t>Yes</w:t>
            </w:r>
          </w:p>
        </w:tc>
        <w:tc>
          <w:tcPr>
            <w:tcW w:w="1300" w:type="dxa"/>
            <w:tcBorders>
              <w:top w:val="nil"/>
              <w:left w:val="nil"/>
              <w:bottom w:val="nil"/>
              <w:right w:val="nil"/>
            </w:tcBorders>
            <w:shd w:val="clear" w:color="auto" w:fill="auto"/>
            <w:vAlign w:val="center"/>
            <w:hideMark/>
          </w:tcPr>
          <w:p w14:paraId="23C6706D" w14:textId="77777777" w:rsidR="00654423" w:rsidRPr="00487834" w:rsidRDefault="00654423" w:rsidP="00F36A29">
            <w:pPr>
              <w:pStyle w:val="NoSpacing"/>
            </w:pPr>
            <w:r w:rsidRPr="00487834">
              <w:t>Yes</w:t>
            </w:r>
          </w:p>
        </w:tc>
        <w:tc>
          <w:tcPr>
            <w:tcW w:w="1300" w:type="dxa"/>
            <w:tcBorders>
              <w:top w:val="nil"/>
              <w:left w:val="nil"/>
              <w:bottom w:val="nil"/>
              <w:right w:val="nil"/>
            </w:tcBorders>
            <w:shd w:val="clear" w:color="auto" w:fill="auto"/>
            <w:vAlign w:val="center"/>
            <w:hideMark/>
          </w:tcPr>
          <w:p w14:paraId="0ED3C2AB" w14:textId="77777777" w:rsidR="00654423" w:rsidRPr="00487834" w:rsidRDefault="00654423" w:rsidP="00F36A29">
            <w:pPr>
              <w:pStyle w:val="NoSpacing"/>
            </w:pPr>
            <w:r w:rsidRPr="00487834">
              <w:t>Yes</w:t>
            </w:r>
          </w:p>
        </w:tc>
        <w:tc>
          <w:tcPr>
            <w:tcW w:w="1300" w:type="dxa"/>
            <w:tcBorders>
              <w:top w:val="nil"/>
              <w:left w:val="nil"/>
              <w:bottom w:val="nil"/>
              <w:right w:val="nil"/>
            </w:tcBorders>
            <w:shd w:val="clear" w:color="auto" w:fill="auto"/>
            <w:vAlign w:val="center"/>
            <w:hideMark/>
          </w:tcPr>
          <w:p w14:paraId="6CDFCF05" w14:textId="77777777" w:rsidR="00654423" w:rsidRPr="00487834" w:rsidRDefault="00654423" w:rsidP="00F36A29">
            <w:pPr>
              <w:pStyle w:val="NoSpacing"/>
            </w:pPr>
            <w:r w:rsidRPr="00487834">
              <w:t>Yes</w:t>
            </w:r>
          </w:p>
        </w:tc>
        <w:tc>
          <w:tcPr>
            <w:tcW w:w="1300" w:type="dxa"/>
            <w:tcBorders>
              <w:top w:val="nil"/>
              <w:left w:val="nil"/>
              <w:bottom w:val="nil"/>
              <w:right w:val="nil"/>
            </w:tcBorders>
            <w:shd w:val="clear" w:color="auto" w:fill="auto"/>
            <w:vAlign w:val="center"/>
            <w:hideMark/>
          </w:tcPr>
          <w:p w14:paraId="6115D5CC" w14:textId="77777777" w:rsidR="00654423" w:rsidRPr="00487834" w:rsidRDefault="00654423" w:rsidP="00F36A29">
            <w:pPr>
              <w:pStyle w:val="NoSpacing"/>
            </w:pPr>
            <w:r w:rsidRPr="00487834">
              <w:t>Yes</w:t>
            </w:r>
          </w:p>
        </w:tc>
        <w:tc>
          <w:tcPr>
            <w:tcW w:w="1300" w:type="dxa"/>
            <w:tcBorders>
              <w:top w:val="nil"/>
              <w:left w:val="nil"/>
              <w:bottom w:val="nil"/>
              <w:right w:val="nil"/>
            </w:tcBorders>
            <w:shd w:val="clear" w:color="auto" w:fill="auto"/>
            <w:vAlign w:val="center"/>
            <w:hideMark/>
          </w:tcPr>
          <w:p w14:paraId="1DB7CB01" w14:textId="77777777" w:rsidR="00654423" w:rsidRPr="00487834" w:rsidRDefault="00654423" w:rsidP="00F36A29">
            <w:pPr>
              <w:pStyle w:val="NoSpacing"/>
            </w:pPr>
            <w:r w:rsidRPr="00487834">
              <w:t>Yes</w:t>
            </w:r>
          </w:p>
        </w:tc>
      </w:tr>
      <w:tr w:rsidR="00654423" w:rsidRPr="00487834" w14:paraId="5645FE85" w14:textId="77777777" w:rsidTr="00FA7AEF">
        <w:trPr>
          <w:trHeight w:val="1220"/>
          <w:jc w:val="center"/>
        </w:trPr>
        <w:tc>
          <w:tcPr>
            <w:tcW w:w="2127" w:type="dxa"/>
            <w:gridSpan w:val="2"/>
            <w:tcBorders>
              <w:top w:val="nil"/>
              <w:left w:val="nil"/>
              <w:bottom w:val="single" w:sz="4" w:space="0" w:color="auto"/>
              <w:right w:val="nil"/>
            </w:tcBorders>
            <w:shd w:val="clear" w:color="auto" w:fill="auto"/>
            <w:vAlign w:val="center"/>
            <w:hideMark/>
          </w:tcPr>
          <w:p w14:paraId="529A1D82" w14:textId="77777777" w:rsidR="00654423" w:rsidRPr="00487834" w:rsidRDefault="00654423" w:rsidP="00BA7F83">
            <w:pPr>
              <w:pStyle w:val="NoSpacing"/>
              <w:jc w:val="left"/>
            </w:pPr>
            <w:proofErr w:type="spellStart"/>
            <w:r w:rsidRPr="00487834">
              <w:t>Robust</w:t>
            </w:r>
            <w:proofErr w:type="spellEnd"/>
            <w:r w:rsidRPr="00487834">
              <w:t xml:space="preserve"> </w:t>
            </w:r>
            <w:proofErr w:type="spellStart"/>
            <w:r w:rsidRPr="00487834">
              <w:t>standard</w:t>
            </w:r>
            <w:proofErr w:type="spellEnd"/>
            <w:r w:rsidRPr="00487834">
              <w:t xml:space="preserve"> </w:t>
            </w:r>
            <w:proofErr w:type="spellStart"/>
            <w:r w:rsidRPr="00487834">
              <w:t>errors</w:t>
            </w:r>
            <w:proofErr w:type="spellEnd"/>
          </w:p>
        </w:tc>
        <w:tc>
          <w:tcPr>
            <w:tcW w:w="1173" w:type="dxa"/>
            <w:tcBorders>
              <w:top w:val="nil"/>
              <w:left w:val="nil"/>
              <w:bottom w:val="single" w:sz="4" w:space="0" w:color="auto"/>
              <w:right w:val="nil"/>
            </w:tcBorders>
            <w:shd w:val="clear" w:color="auto" w:fill="auto"/>
            <w:vAlign w:val="center"/>
            <w:hideMark/>
          </w:tcPr>
          <w:p w14:paraId="7D6AEF12" w14:textId="77777777" w:rsidR="00654423" w:rsidRPr="00487834" w:rsidRDefault="00654423" w:rsidP="00F36A29">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300" w:type="dxa"/>
            <w:tcBorders>
              <w:top w:val="nil"/>
              <w:left w:val="nil"/>
              <w:bottom w:val="single" w:sz="4" w:space="0" w:color="auto"/>
              <w:right w:val="nil"/>
            </w:tcBorders>
            <w:shd w:val="clear" w:color="auto" w:fill="auto"/>
            <w:vAlign w:val="center"/>
            <w:hideMark/>
          </w:tcPr>
          <w:p w14:paraId="0A62867F" w14:textId="77777777" w:rsidR="00654423" w:rsidRPr="00487834" w:rsidRDefault="00654423" w:rsidP="00F36A29">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300" w:type="dxa"/>
            <w:tcBorders>
              <w:top w:val="nil"/>
              <w:left w:val="nil"/>
              <w:bottom w:val="single" w:sz="4" w:space="0" w:color="auto"/>
              <w:right w:val="nil"/>
            </w:tcBorders>
            <w:shd w:val="clear" w:color="auto" w:fill="auto"/>
            <w:vAlign w:val="center"/>
            <w:hideMark/>
          </w:tcPr>
          <w:p w14:paraId="00CE5A7B" w14:textId="77777777" w:rsidR="00654423" w:rsidRPr="00487834" w:rsidRDefault="00654423" w:rsidP="00F36A29">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300" w:type="dxa"/>
            <w:tcBorders>
              <w:top w:val="nil"/>
              <w:left w:val="nil"/>
              <w:bottom w:val="single" w:sz="4" w:space="0" w:color="auto"/>
              <w:right w:val="nil"/>
            </w:tcBorders>
            <w:shd w:val="clear" w:color="auto" w:fill="auto"/>
            <w:vAlign w:val="center"/>
            <w:hideMark/>
          </w:tcPr>
          <w:p w14:paraId="0771D7D6" w14:textId="77777777" w:rsidR="00654423" w:rsidRPr="00487834" w:rsidRDefault="00654423" w:rsidP="00F36A29">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300" w:type="dxa"/>
            <w:tcBorders>
              <w:top w:val="nil"/>
              <w:left w:val="nil"/>
              <w:bottom w:val="single" w:sz="4" w:space="0" w:color="auto"/>
              <w:right w:val="nil"/>
            </w:tcBorders>
            <w:shd w:val="clear" w:color="auto" w:fill="auto"/>
            <w:vAlign w:val="center"/>
            <w:hideMark/>
          </w:tcPr>
          <w:p w14:paraId="3571D43B" w14:textId="77777777" w:rsidR="00654423" w:rsidRPr="00487834" w:rsidRDefault="00654423" w:rsidP="00F36A29">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300" w:type="dxa"/>
            <w:tcBorders>
              <w:top w:val="nil"/>
              <w:left w:val="nil"/>
              <w:bottom w:val="single" w:sz="4" w:space="0" w:color="auto"/>
              <w:right w:val="nil"/>
            </w:tcBorders>
            <w:shd w:val="clear" w:color="auto" w:fill="auto"/>
            <w:vAlign w:val="center"/>
            <w:hideMark/>
          </w:tcPr>
          <w:p w14:paraId="6AE7B635" w14:textId="77777777" w:rsidR="00654423" w:rsidRPr="00487834" w:rsidRDefault="00654423" w:rsidP="00F36A29">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r>
    </w:tbl>
    <w:p w14:paraId="56422A7A" w14:textId="77777777" w:rsidR="00A27CB9" w:rsidRPr="00487834" w:rsidRDefault="00A27CB9" w:rsidP="003128F6">
      <w:pPr>
        <w:autoSpaceDE w:val="0"/>
        <w:autoSpaceDN w:val="0"/>
        <w:adjustRightInd w:val="0"/>
        <w:spacing w:line="300" w:lineRule="auto"/>
        <w:rPr>
          <w:rFonts w:eastAsiaTheme="minorHAnsi"/>
          <w:sz w:val="20"/>
          <w:szCs w:val="20"/>
          <w:lang w:val="en-US" w:eastAsia="en-US"/>
        </w:rPr>
      </w:pPr>
    </w:p>
    <w:p w14:paraId="43647551" w14:textId="77777777" w:rsidR="00B81424" w:rsidRPr="00487834" w:rsidRDefault="00B81424" w:rsidP="00B81424">
      <w:pPr>
        <w:autoSpaceDE w:val="0"/>
        <w:autoSpaceDN w:val="0"/>
        <w:adjustRightInd w:val="0"/>
        <w:spacing w:line="300" w:lineRule="auto"/>
        <w:rPr>
          <w:rFonts w:eastAsiaTheme="minorHAnsi"/>
          <w:lang w:val="en-US" w:eastAsia="en-US"/>
        </w:rPr>
      </w:pPr>
    </w:p>
    <w:p w14:paraId="4740ABD0" w14:textId="5ACEF06A" w:rsidR="00B81424" w:rsidRPr="00487834" w:rsidRDefault="00737EB8" w:rsidP="00FE0AB8">
      <w:pPr>
        <w:autoSpaceDE w:val="0"/>
        <w:autoSpaceDN w:val="0"/>
        <w:adjustRightInd w:val="0"/>
        <w:spacing w:line="300" w:lineRule="auto"/>
        <w:rPr>
          <w:rFonts w:eastAsiaTheme="minorHAnsi"/>
          <w:lang w:val="en-US" w:eastAsia="en-US"/>
        </w:rPr>
      </w:pPr>
      <w:r>
        <w:rPr>
          <w:rFonts w:eastAsiaTheme="minorHAnsi"/>
          <w:lang w:val="en-US" w:eastAsia="en-US"/>
        </w:rPr>
        <w:t xml:space="preserve">In case of lagged model of cost of equity, in </w:t>
      </w:r>
      <w:r w:rsidR="00B81424" w:rsidRPr="00487834">
        <w:rPr>
          <w:rFonts w:eastAsiaTheme="minorHAnsi"/>
          <w:lang w:val="en-US" w:eastAsia="en-US"/>
        </w:rPr>
        <w:t xml:space="preserve">the entire dataset, the ESG score </w:t>
      </w:r>
      <w:r>
        <w:rPr>
          <w:rFonts w:eastAsiaTheme="minorHAnsi"/>
          <w:lang w:val="en-US" w:eastAsia="en-US"/>
        </w:rPr>
        <w:t xml:space="preserve">once again </w:t>
      </w:r>
      <w:r w:rsidR="00B81424" w:rsidRPr="00487834">
        <w:rPr>
          <w:rFonts w:eastAsiaTheme="minorHAnsi"/>
          <w:lang w:val="en-US" w:eastAsia="en-US"/>
        </w:rPr>
        <w:t xml:space="preserve">shows a significant positive relationship with the cost of equity (0.0105, p &lt; 0.01). </w:t>
      </w:r>
      <w:proofErr w:type="gramStart"/>
      <w:r>
        <w:rPr>
          <w:rFonts w:eastAsiaTheme="minorHAnsi"/>
          <w:lang w:val="en-US" w:eastAsia="en-US"/>
        </w:rPr>
        <w:t>Again</w:t>
      </w:r>
      <w:proofErr w:type="gramEnd"/>
      <w:r>
        <w:rPr>
          <w:rFonts w:eastAsiaTheme="minorHAnsi"/>
          <w:lang w:val="en-US" w:eastAsia="en-US"/>
        </w:rPr>
        <w:t xml:space="preserve"> refuting our H1</w:t>
      </w:r>
      <w:r w:rsidR="00FE0AB8">
        <w:rPr>
          <w:rFonts w:eastAsiaTheme="minorHAnsi"/>
          <w:lang w:val="en-US" w:eastAsia="en-US"/>
        </w:rPr>
        <w:t>. In the meantime, the results for all quartiles except for the lowest one are insignificant. The bottom quartile once again shows positive relationship, and in fact a more pronounced one, rather than the aggregate dataset.</w:t>
      </w:r>
    </w:p>
    <w:p w14:paraId="78F1BCB9" w14:textId="48D1B51F" w:rsidR="00B81424" w:rsidRPr="00487834" w:rsidRDefault="00B81424" w:rsidP="007D10A3">
      <w:pPr>
        <w:autoSpaceDE w:val="0"/>
        <w:autoSpaceDN w:val="0"/>
        <w:adjustRightInd w:val="0"/>
        <w:spacing w:line="300" w:lineRule="auto"/>
        <w:ind w:firstLine="720"/>
        <w:rPr>
          <w:rFonts w:eastAsiaTheme="minorHAnsi"/>
          <w:lang w:val="en-US" w:eastAsia="en-US"/>
        </w:rPr>
      </w:pPr>
      <w:r w:rsidRPr="00487834">
        <w:rPr>
          <w:rFonts w:eastAsiaTheme="minorHAnsi"/>
          <w:lang w:val="en-US" w:eastAsia="en-US"/>
        </w:rPr>
        <w:t>Control variables</w:t>
      </w:r>
      <w:r w:rsidR="00FE0AB8">
        <w:rPr>
          <w:rFonts w:eastAsiaTheme="minorHAnsi"/>
          <w:lang w:val="en-US" w:eastAsia="en-US"/>
        </w:rPr>
        <w:t xml:space="preserve"> showed </w:t>
      </w:r>
      <w:proofErr w:type="spellStart"/>
      <w:r w:rsidR="00FE0AB8">
        <w:rPr>
          <w:rFonts w:eastAsiaTheme="minorHAnsi"/>
          <w:lang w:val="en-US" w:eastAsia="en-US"/>
        </w:rPr>
        <w:t>unexepected</w:t>
      </w:r>
      <w:proofErr w:type="spellEnd"/>
      <w:r w:rsidR="00FE0AB8">
        <w:rPr>
          <w:rFonts w:eastAsiaTheme="minorHAnsi"/>
          <w:lang w:val="en-US" w:eastAsia="en-US"/>
        </w:rPr>
        <w:t xml:space="preserve"> outcomes again</w:t>
      </w:r>
      <w:r w:rsidRPr="00487834">
        <w:rPr>
          <w:rFonts w:eastAsiaTheme="minorHAnsi"/>
          <w:lang w:val="en-US" w:eastAsia="en-US"/>
        </w:rPr>
        <w:t>. Market capitalization (MCAP) generally shows a significant positive relationship with the cost of equity across most subsamples, indicating that larger firms face higher equity costs. This contrasts with typical expectations. The price-to-earnings ratio (PE) and market-to-book ratio (MTB) generally exhibit negative relationships with the cost of equity, consistent with traditional valuation metrics' importance.</w:t>
      </w:r>
      <w:r w:rsidR="00F27672">
        <w:rPr>
          <w:rFonts w:eastAsiaTheme="minorHAnsi"/>
          <w:lang w:val="en-US" w:eastAsia="en-US"/>
        </w:rPr>
        <w:t xml:space="preserve"> </w:t>
      </w:r>
      <w:r w:rsidRPr="00487834">
        <w:rPr>
          <w:rFonts w:eastAsiaTheme="minorHAnsi"/>
          <w:lang w:val="en-US" w:eastAsia="en-US"/>
        </w:rPr>
        <w:t xml:space="preserve">Beta (BETA) consistently shows a significant positive relationship with the cost of equity across all subsamples, highlighting the role of systematic risk in determining equity costs. </w:t>
      </w:r>
      <w:r w:rsidR="00F27672">
        <w:rPr>
          <w:rFonts w:eastAsiaTheme="minorHAnsi"/>
          <w:lang w:val="en-US" w:eastAsia="en-US"/>
        </w:rPr>
        <w:t xml:space="preserve">With most pronounced effects of the systemic risk </w:t>
      </w:r>
      <w:r w:rsidRPr="00487834">
        <w:rPr>
          <w:rFonts w:eastAsiaTheme="minorHAnsi"/>
          <w:lang w:val="en-US" w:eastAsia="en-US"/>
        </w:rPr>
        <w:t xml:space="preserve">in the middle 50% subsample </w:t>
      </w:r>
    </w:p>
    <w:p w14:paraId="6CE1FB84" w14:textId="4C74CDEB" w:rsidR="00B81424" w:rsidRPr="00487834" w:rsidRDefault="00B81424" w:rsidP="00B81424">
      <w:pPr>
        <w:autoSpaceDE w:val="0"/>
        <w:autoSpaceDN w:val="0"/>
        <w:adjustRightInd w:val="0"/>
        <w:spacing w:line="300" w:lineRule="auto"/>
        <w:rPr>
          <w:rFonts w:eastAsiaTheme="minorHAnsi"/>
          <w:lang w:val="en-US" w:eastAsia="en-US"/>
        </w:rPr>
      </w:pPr>
      <w:r w:rsidRPr="00487834">
        <w:rPr>
          <w:rFonts w:eastAsiaTheme="minorHAnsi"/>
          <w:lang w:val="en-US" w:eastAsia="en-US"/>
        </w:rPr>
        <w:t>Overall, these results reveal complex relationships between ESG scores and the cost of equity, varying significantly across different performance tiers. The findings underscore the importance of considering firm-specific contexts and performance levels when assessing the financial impacts of ESG performance. While higher ESG scores can increase equity costs in the short term, especially for underperformers, the benefits of ESG improvements may become more evident over the long term as firms stabilize and investors recognize the reduced risks associated with high ESG standards.</w:t>
      </w:r>
      <w:r w:rsidR="007D10A3">
        <w:rPr>
          <w:rFonts w:eastAsiaTheme="minorHAnsi"/>
          <w:lang w:val="en-US" w:eastAsia="en-US"/>
        </w:rPr>
        <w:t xml:space="preserve"> This provides ground for future research.</w:t>
      </w:r>
    </w:p>
    <w:p w14:paraId="347AEFF7" w14:textId="77777777" w:rsidR="00A83D58" w:rsidRDefault="00A83D58" w:rsidP="003128F6">
      <w:pPr>
        <w:autoSpaceDE w:val="0"/>
        <w:autoSpaceDN w:val="0"/>
        <w:adjustRightInd w:val="0"/>
        <w:spacing w:line="300" w:lineRule="auto"/>
        <w:rPr>
          <w:rFonts w:eastAsiaTheme="minorHAnsi"/>
          <w:lang w:val="en-US" w:eastAsia="en-US"/>
        </w:rPr>
      </w:pPr>
    </w:p>
    <w:p w14:paraId="55A8D992" w14:textId="77777777" w:rsidR="007D10A3" w:rsidRDefault="007D10A3" w:rsidP="003128F6">
      <w:pPr>
        <w:autoSpaceDE w:val="0"/>
        <w:autoSpaceDN w:val="0"/>
        <w:adjustRightInd w:val="0"/>
        <w:spacing w:line="300" w:lineRule="auto"/>
        <w:rPr>
          <w:rFonts w:eastAsiaTheme="minorHAnsi"/>
          <w:lang w:val="en-US" w:eastAsia="en-US"/>
        </w:rPr>
      </w:pPr>
    </w:p>
    <w:p w14:paraId="70BF0A6E" w14:textId="77777777" w:rsidR="007D10A3" w:rsidRDefault="007D10A3" w:rsidP="003128F6">
      <w:pPr>
        <w:autoSpaceDE w:val="0"/>
        <w:autoSpaceDN w:val="0"/>
        <w:adjustRightInd w:val="0"/>
        <w:spacing w:line="300" w:lineRule="auto"/>
        <w:rPr>
          <w:rFonts w:eastAsiaTheme="minorHAnsi"/>
          <w:lang w:val="en-US" w:eastAsia="en-US"/>
        </w:rPr>
      </w:pPr>
    </w:p>
    <w:p w14:paraId="5BE55F2E" w14:textId="77777777" w:rsidR="007D10A3" w:rsidRDefault="007D10A3" w:rsidP="003128F6">
      <w:pPr>
        <w:autoSpaceDE w:val="0"/>
        <w:autoSpaceDN w:val="0"/>
        <w:adjustRightInd w:val="0"/>
        <w:spacing w:line="300" w:lineRule="auto"/>
        <w:rPr>
          <w:rFonts w:eastAsiaTheme="minorHAnsi"/>
          <w:lang w:val="en-US" w:eastAsia="en-US"/>
        </w:rPr>
      </w:pPr>
    </w:p>
    <w:p w14:paraId="3E04982C" w14:textId="77777777" w:rsidR="007D10A3" w:rsidRPr="00487834" w:rsidRDefault="007D10A3" w:rsidP="003128F6">
      <w:pPr>
        <w:autoSpaceDE w:val="0"/>
        <w:autoSpaceDN w:val="0"/>
        <w:adjustRightInd w:val="0"/>
        <w:spacing w:line="300" w:lineRule="auto"/>
        <w:rPr>
          <w:rFonts w:eastAsiaTheme="minorHAnsi"/>
          <w:lang w:val="en-US" w:eastAsia="en-US"/>
        </w:rPr>
      </w:pPr>
    </w:p>
    <w:p w14:paraId="274C4DA6" w14:textId="453E3F3C" w:rsidR="00A83D58" w:rsidRPr="00487834" w:rsidRDefault="00170D3D" w:rsidP="007D10A3">
      <w:pPr>
        <w:autoSpaceDE w:val="0"/>
        <w:autoSpaceDN w:val="0"/>
        <w:adjustRightInd w:val="0"/>
        <w:spacing w:line="300" w:lineRule="auto"/>
        <w:rPr>
          <w:rFonts w:eastAsiaTheme="minorHAnsi"/>
          <w:lang w:val="en-US" w:eastAsia="en-US"/>
        </w:rPr>
      </w:pPr>
      <w:r w:rsidRPr="00487834">
        <w:rPr>
          <w:rFonts w:eastAsiaTheme="minorHAnsi"/>
          <w:b/>
          <w:bCs/>
          <w:lang w:val="en-US" w:eastAsia="en-US"/>
        </w:rPr>
        <w:lastRenderedPageBreak/>
        <w:t>Table 3</w:t>
      </w:r>
      <w:r w:rsidR="00BF355C" w:rsidRPr="00487834">
        <w:rPr>
          <w:rFonts w:eastAsiaTheme="minorHAnsi"/>
          <w:b/>
          <w:bCs/>
          <w:lang w:val="en-US" w:eastAsia="en-US"/>
        </w:rPr>
        <w:t>3</w:t>
      </w:r>
      <w:r w:rsidR="00286F41" w:rsidRPr="00487834">
        <w:rPr>
          <w:rFonts w:eastAsiaTheme="minorHAnsi"/>
          <w:b/>
          <w:bCs/>
          <w:lang w:val="en-US" w:eastAsia="en-US"/>
        </w:rPr>
        <w:t xml:space="preserve"> </w:t>
      </w:r>
      <w:r w:rsidRPr="00487834">
        <w:rPr>
          <w:rFonts w:eastAsiaTheme="minorHAnsi"/>
          <w:b/>
          <w:bCs/>
          <w:lang w:val="en-GB" w:eastAsia="en-US"/>
        </w:rPr>
        <w:t>–</w:t>
      </w:r>
      <w:r w:rsidR="00286F41" w:rsidRPr="00487834">
        <w:rPr>
          <w:rFonts w:eastAsiaTheme="minorHAnsi"/>
          <w:b/>
          <w:bCs/>
          <w:lang w:val="en-GB" w:eastAsia="en-US"/>
        </w:rPr>
        <w:t xml:space="preserve"> </w:t>
      </w:r>
      <w:r w:rsidR="00A83D58" w:rsidRPr="00487834">
        <w:rPr>
          <w:rFonts w:eastAsiaTheme="minorHAnsi"/>
          <w:lang w:val="en-US" w:eastAsia="en-US"/>
        </w:rPr>
        <w:t xml:space="preserve">Cost of equity regression results with lagged predictor for country subsamples </w:t>
      </w:r>
    </w:p>
    <w:p w14:paraId="354BA5CF" w14:textId="77777777" w:rsidR="00A83D58" w:rsidRPr="00487834" w:rsidRDefault="00A83D58" w:rsidP="003128F6">
      <w:pPr>
        <w:autoSpaceDE w:val="0"/>
        <w:autoSpaceDN w:val="0"/>
        <w:adjustRightInd w:val="0"/>
        <w:spacing w:line="300" w:lineRule="auto"/>
        <w:rPr>
          <w:rFonts w:eastAsiaTheme="minorHAnsi"/>
          <w:lang w:val="en-US" w:eastAsia="en-US"/>
        </w:rPr>
      </w:pPr>
    </w:p>
    <w:tbl>
      <w:tblPr>
        <w:tblW w:w="5860" w:type="dxa"/>
        <w:jc w:val="center"/>
        <w:tblLook w:val="04A0" w:firstRow="1" w:lastRow="0" w:firstColumn="1" w:lastColumn="0" w:noHBand="0" w:noVBand="1"/>
      </w:tblPr>
      <w:tblGrid>
        <w:gridCol w:w="1960"/>
        <w:gridCol w:w="1300"/>
        <w:gridCol w:w="1300"/>
        <w:gridCol w:w="1300"/>
      </w:tblGrid>
      <w:tr w:rsidR="00A83D58" w:rsidRPr="00487834" w14:paraId="1D0B74EA" w14:textId="77777777" w:rsidTr="00A83D58">
        <w:trPr>
          <w:trHeight w:val="300"/>
          <w:jc w:val="center"/>
        </w:trPr>
        <w:tc>
          <w:tcPr>
            <w:tcW w:w="1960" w:type="dxa"/>
            <w:tcBorders>
              <w:top w:val="single" w:sz="4" w:space="0" w:color="auto"/>
              <w:left w:val="nil"/>
              <w:bottom w:val="single" w:sz="4" w:space="0" w:color="auto"/>
              <w:right w:val="nil"/>
            </w:tcBorders>
            <w:shd w:val="clear" w:color="auto" w:fill="auto"/>
            <w:noWrap/>
            <w:vAlign w:val="center"/>
            <w:hideMark/>
          </w:tcPr>
          <w:p w14:paraId="3224BB22" w14:textId="77777777" w:rsidR="00A83D58" w:rsidRPr="00487834" w:rsidRDefault="00A83D58" w:rsidP="00F36A29">
            <w:pPr>
              <w:pStyle w:val="NoSpacing"/>
            </w:pPr>
            <w:proofErr w:type="spellStart"/>
            <w:r w:rsidRPr="00487834">
              <w:t>Parameter</w:t>
            </w:r>
            <w:proofErr w:type="spellEnd"/>
          </w:p>
        </w:tc>
        <w:tc>
          <w:tcPr>
            <w:tcW w:w="1300" w:type="dxa"/>
            <w:tcBorders>
              <w:top w:val="single" w:sz="4" w:space="0" w:color="auto"/>
              <w:left w:val="nil"/>
              <w:bottom w:val="single" w:sz="4" w:space="0" w:color="auto"/>
              <w:right w:val="nil"/>
            </w:tcBorders>
            <w:shd w:val="clear" w:color="auto" w:fill="auto"/>
            <w:noWrap/>
            <w:vAlign w:val="bottom"/>
            <w:hideMark/>
          </w:tcPr>
          <w:p w14:paraId="462BE563" w14:textId="77777777" w:rsidR="00A83D58" w:rsidRPr="00487834" w:rsidRDefault="00A83D58" w:rsidP="00F36A29">
            <w:pPr>
              <w:pStyle w:val="NoSpacing"/>
            </w:pPr>
            <w:r w:rsidRPr="00487834">
              <w:t>Russia</w:t>
            </w:r>
          </w:p>
        </w:tc>
        <w:tc>
          <w:tcPr>
            <w:tcW w:w="1300" w:type="dxa"/>
            <w:tcBorders>
              <w:top w:val="single" w:sz="4" w:space="0" w:color="auto"/>
              <w:left w:val="nil"/>
              <w:bottom w:val="single" w:sz="4" w:space="0" w:color="auto"/>
              <w:right w:val="nil"/>
            </w:tcBorders>
            <w:shd w:val="clear" w:color="auto" w:fill="auto"/>
            <w:noWrap/>
            <w:vAlign w:val="bottom"/>
            <w:hideMark/>
          </w:tcPr>
          <w:p w14:paraId="1D0BDF3C" w14:textId="77777777" w:rsidR="00A83D58" w:rsidRPr="00487834" w:rsidRDefault="00A83D58" w:rsidP="00F36A29">
            <w:pPr>
              <w:pStyle w:val="NoSpacing"/>
            </w:pPr>
            <w:proofErr w:type="spellStart"/>
            <w:r w:rsidRPr="00487834">
              <w:t>Brazil</w:t>
            </w:r>
            <w:proofErr w:type="spellEnd"/>
          </w:p>
        </w:tc>
        <w:tc>
          <w:tcPr>
            <w:tcW w:w="1300" w:type="dxa"/>
            <w:tcBorders>
              <w:top w:val="single" w:sz="4" w:space="0" w:color="auto"/>
              <w:left w:val="nil"/>
              <w:bottom w:val="single" w:sz="4" w:space="0" w:color="auto"/>
              <w:right w:val="nil"/>
            </w:tcBorders>
            <w:shd w:val="clear" w:color="auto" w:fill="auto"/>
            <w:noWrap/>
            <w:vAlign w:val="bottom"/>
            <w:hideMark/>
          </w:tcPr>
          <w:p w14:paraId="6B7FB339" w14:textId="77777777" w:rsidR="00A83D58" w:rsidRPr="00487834" w:rsidRDefault="00A83D58" w:rsidP="00F36A29">
            <w:pPr>
              <w:pStyle w:val="NoSpacing"/>
            </w:pPr>
            <w:r w:rsidRPr="00487834">
              <w:t>South Africa</w:t>
            </w:r>
          </w:p>
        </w:tc>
      </w:tr>
      <w:tr w:rsidR="00A83D58" w:rsidRPr="00487834" w14:paraId="230000EC" w14:textId="77777777" w:rsidTr="00A83D58">
        <w:trPr>
          <w:trHeight w:val="560"/>
          <w:jc w:val="center"/>
        </w:trPr>
        <w:tc>
          <w:tcPr>
            <w:tcW w:w="1960" w:type="dxa"/>
            <w:tcBorders>
              <w:top w:val="nil"/>
              <w:left w:val="nil"/>
              <w:bottom w:val="nil"/>
              <w:right w:val="nil"/>
            </w:tcBorders>
            <w:shd w:val="clear" w:color="auto" w:fill="auto"/>
            <w:noWrap/>
            <w:vAlign w:val="center"/>
            <w:hideMark/>
          </w:tcPr>
          <w:p w14:paraId="5B90FB5D" w14:textId="77777777" w:rsidR="00A83D58" w:rsidRPr="00487834" w:rsidRDefault="00A83D58" w:rsidP="00F36A29">
            <w:pPr>
              <w:pStyle w:val="NoSpacing"/>
              <w:rPr>
                <w:i/>
                <w:iCs/>
              </w:rPr>
            </w:pPr>
            <w:r w:rsidRPr="00487834">
              <w:rPr>
                <w:i/>
                <w:iCs/>
              </w:rPr>
              <w:t>C</w:t>
            </w:r>
          </w:p>
        </w:tc>
        <w:tc>
          <w:tcPr>
            <w:tcW w:w="1300" w:type="dxa"/>
            <w:tcBorders>
              <w:top w:val="nil"/>
              <w:left w:val="nil"/>
              <w:bottom w:val="nil"/>
              <w:right w:val="nil"/>
            </w:tcBorders>
            <w:shd w:val="clear" w:color="auto" w:fill="auto"/>
            <w:vAlign w:val="center"/>
            <w:hideMark/>
          </w:tcPr>
          <w:p w14:paraId="64080E20" w14:textId="77777777" w:rsidR="00A83D58" w:rsidRPr="00487834" w:rsidRDefault="00A83D58" w:rsidP="00F36A29">
            <w:pPr>
              <w:pStyle w:val="NoSpacing"/>
            </w:pPr>
            <w:r w:rsidRPr="00487834">
              <w:t>0.1253*** (0.005)</w:t>
            </w:r>
          </w:p>
        </w:tc>
        <w:tc>
          <w:tcPr>
            <w:tcW w:w="1300" w:type="dxa"/>
            <w:tcBorders>
              <w:top w:val="nil"/>
              <w:left w:val="nil"/>
              <w:bottom w:val="nil"/>
              <w:right w:val="nil"/>
            </w:tcBorders>
            <w:shd w:val="clear" w:color="auto" w:fill="auto"/>
            <w:vAlign w:val="center"/>
            <w:hideMark/>
          </w:tcPr>
          <w:p w14:paraId="2412DEAF" w14:textId="77777777" w:rsidR="00A83D58" w:rsidRPr="00487834" w:rsidRDefault="00A83D58" w:rsidP="00F36A29">
            <w:pPr>
              <w:pStyle w:val="NoSpacing"/>
            </w:pPr>
            <w:r w:rsidRPr="00487834">
              <w:t>0.1073*** (0.003)</w:t>
            </w:r>
          </w:p>
        </w:tc>
        <w:tc>
          <w:tcPr>
            <w:tcW w:w="1300" w:type="dxa"/>
            <w:tcBorders>
              <w:top w:val="nil"/>
              <w:left w:val="nil"/>
              <w:bottom w:val="nil"/>
              <w:right w:val="nil"/>
            </w:tcBorders>
            <w:shd w:val="clear" w:color="auto" w:fill="auto"/>
            <w:vAlign w:val="center"/>
            <w:hideMark/>
          </w:tcPr>
          <w:p w14:paraId="02F59920" w14:textId="77777777" w:rsidR="00A83D58" w:rsidRPr="00487834" w:rsidRDefault="00A83D58" w:rsidP="00F36A29">
            <w:pPr>
              <w:pStyle w:val="NoSpacing"/>
            </w:pPr>
            <w:r w:rsidRPr="00487834">
              <w:t>0.1016***</w:t>
            </w:r>
            <w:proofErr w:type="gramStart"/>
            <w:r w:rsidRPr="00487834">
              <w:t xml:space="preserve">   (</w:t>
            </w:r>
            <w:proofErr w:type="gramEnd"/>
            <w:r w:rsidRPr="00487834">
              <w:t>0.005)</w:t>
            </w:r>
          </w:p>
        </w:tc>
      </w:tr>
      <w:tr w:rsidR="00A83D58" w:rsidRPr="00487834" w14:paraId="251EEF47" w14:textId="77777777" w:rsidTr="00A83D58">
        <w:trPr>
          <w:trHeight w:val="560"/>
          <w:jc w:val="center"/>
        </w:trPr>
        <w:tc>
          <w:tcPr>
            <w:tcW w:w="1960" w:type="dxa"/>
            <w:tcBorders>
              <w:top w:val="nil"/>
              <w:left w:val="nil"/>
              <w:bottom w:val="nil"/>
              <w:right w:val="nil"/>
            </w:tcBorders>
            <w:shd w:val="clear" w:color="auto" w:fill="auto"/>
            <w:noWrap/>
            <w:vAlign w:val="center"/>
            <w:hideMark/>
          </w:tcPr>
          <w:p w14:paraId="52301C3A" w14:textId="77777777" w:rsidR="00A83D58" w:rsidRPr="00487834" w:rsidRDefault="00A83D58" w:rsidP="00F36A29">
            <w:pPr>
              <w:pStyle w:val="NoSpacing"/>
              <w:rPr>
                <w:i/>
                <w:iCs/>
              </w:rPr>
            </w:pPr>
            <w:r w:rsidRPr="00487834">
              <w:rPr>
                <w:i/>
                <w:iCs/>
              </w:rPr>
              <w:t>ESG</w:t>
            </w:r>
          </w:p>
        </w:tc>
        <w:tc>
          <w:tcPr>
            <w:tcW w:w="1300" w:type="dxa"/>
            <w:tcBorders>
              <w:top w:val="nil"/>
              <w:left w:val="nil"/>
              <w:bottom w:val="nil"/>
              <w:right w:val="nil"/>
            </w:tcBorders>
            <w:shd w:val="clear" w:color="auto" w:fill="auto"/>
            <w:vAlign w:val="center"/>
            <w:hideMark/>
          </w:tcPr>
          <w:p w14:paraId="1AB7BA49" w14:textId="77777777" w:rsidR="00A83D58" w:rsidRPr="00487834" w:rsidRDefault="00A83D58" w:rsidP="00F36A29">
            <w:pPr>
              <w:pStyle w:val="NoSpacing"/>
            </w:pPr>
            <w:proofErr w:type="gramStart"/>
            <w:r w:rsidRPr="00487834">
              <w:t>0.0006  (</w:t>
            </w:r>
            <w:proofErr w:type="gramEnd"/>
            <w:r w:rsidRPr="00487834">
              <w:t>0.004)</w:t>
            </w:r>
          </w:p>
        </w:tc>
        <w:tc>
          <w:tcPr>
            <w:tcW w:w="1300" w:type="dxa"/>
            <w:tcBorders>
              <w:top w:val="nil"/>
              <w:left w:val="nil"/>
              <w:bottom w:val="nil"/>
              <w:right w:val="nil"/>
            </w:tcBorders>
            <w:shd w:val="clear" w:color="auto" w:fill="auto"/>
            <w:vAlign w:val="center"/>
            <w:hideMark/>
          </w:tcPr>
          <w:p w14:paraId="15723480" w14:textId="77777777" w:rsidR="00A83D58" w:rsidRPr="00487834" w:rsidRDefault="00A83D58" w:rsidP="00F36A29">
            <w:pPr>
              <w:pStyle w:val="NoSpacing"/>
            </w:pPr>
            <w:r w:rsidRPr="00487834">
              <w:t>0.0202*** (0.005)</w:t>
            </w:r>
          </w:p>
        </w:tc>
        <w:tc>
          <w:tcPr>
            <w:tcW w:w="1300" w:type="dxa"/>
            <w:tcBorders>
              <w:top w:val="nil"/>
              <w:left w:val="nil"/>
              <w:bottom w:val="nil"/>
              <w:right w:val="nil"/>
            </w:tcBorders>
            <w:shd w:val="clear" w:color="auto" w:fill="auto"/>
            <w:vAlign w:val="center"/>
            <w:hideMark/>
          </w:tcPr>
          <w:p w14:paraId="5954CBE5" w14:textId="77777777" w:rsidR="00A83D58" w:rsidRPr="00487834" w:rsidRDefault="00A83D58" w:rsidP="00F36A29">
            <w:pPr>
              <w:pStyle w:val="NoSpacing"/>
            </w:pPr>
            <w:r w:rsidRPr="00487834">
              <w:t>0.0036</w:t>
            </w:r>
            <w:proofErr w:type="gramStart"/>
            <w:r w:rsidRPr="00487834">
              <w:t xml:space="preserve">   (</w:t>
            </w:r>
            <w:proofErr w:type="gramEnd"/>
            <w:r w:rsidRPr="00487834">
              <w:t>0.003)</w:t>
            </w:r>
          </w:p>
        </w:tc>
      </w:tr>
      <w:tr w:rsidR="00A83D58" w:rsidRPr="00487834" w14:paraId="543EC9DC" w14:textId="77777777" w:rsidTr="00A83D58">
        <w:trPr>
          <w:trHeight w:val="560"/>
          <w:jc w:val="center"/>
        </w:trPr>
        <w:tc>
          <w:tcPr>
            <w:tcW w:w="1960" w:type="dxa"/>
            <w:tcBorders>
              <w:top w:val="nil"/>
              <w:left w:val="nil"/>
              <w:bottom w:val="nil"/>
              <w:right w:val="nil"/>
            </w:tcBorders>
            <w:shd w:val="clear" w:color="auto" w:fill="auto"/>
            <w:noWrap/>
            <w:vAlign w:val="center"/>
            <w:hideMark/>
          </w:tcPr>
          <w:p w14:paraId="2ECE3D87" w14:textId="77777777" w:rsidR="00A83D58" w:rsidRPr="00487834" w:rsidRDefault="00A83D58" w:rsidP="00F36A29">
            <w:pPr>
              <w:pStyle w:val="NoSpacing"/>
              <w:rPr>
                <w:i/>
                <w:iCs/>
              </w:rPr>
            </w:pPr>
            <w:r w:rsidRPr="00487834">
              <w:rPr>
                <w:i/>
                <w:iCs/>
              </w:rPr>
              <w:t>MCAP</w:t>
            </w:r>
          </w:p>
        </w:tc>
        <w:tc>
          <w:tcPr>
            <w:tcW w:w="1300" w:type="dxa"/>
            <w:tcBorders>
              <w:top w:val="nil"/>
              <w:left w:val="nil"/>
              <w:bottom w:val="nil"/>
              <w:right w:val="nil"/>
            </w:tcBorders>
            <w:shd w:val="clear" w:color="auto" w:fill="auto"/>
            <w:vAlign w:val="center"/>
            <w:hideMark/>
          </w:tcPr>
          <w:p w14:paraId="391B2981" w14:textId="77777777" w:rsidR="00A83D58" w:rsidRPr="00487834" w:rsidRDefault="00A83D58" w:rsidP="00F36A29">
            <w:pPr>
              <w:pStyle w:val="NoSpacing"/>
            </w:pPr>
            <w:r w:rsidRPr="00487834">
              <w:t xml:space="preserve">0.009 </w:t>
            </w:r>
            <w:proofErr w:type="gramStart"/>
            <w:r w:rsidRPr="00487834">
              <w:t xml:space="preserve">   (</w:t>
            </w:r>
            <w:proofErr w:type="gramEnd"/>
            <w:r w:rsidRPr="00487834">
              <w:t>0.06)</w:t>
            </w:r>
          </w:p>
        </w:tc>
        <w:tc>
          <w:tcPr>
            <w:tcW w:w="1300" w:type="dxa"/>
            <w:tcBorders>
              <w:top w:val="nil"/>
              <w:left w:val="nil"/>
              <w:bottom w:val="nil"/>
              <w:right w:val="nil"/>
            </w:tcBorders>
            <w:shd w:val="clear" w:color="auto" w:fill="auto"/>
            <w:vAlign w:val="center"/>
            <w:hideMark/>
          </w:tcPr>
          <w:p w14:paraId="6213FBF3" w14:textId="77777777" w:rsidR="00A83D58" w:rsidRPr="00487834" w:rsidRDefault="00A83D58" w:rsidP="00F36A29">
            <w:pPr>
              <w:pStyle w:val="NoSpacing"/>
            </w:pPr>
            <w:r w:rsidRPr="00487834">
              <w:t xml:space="preserve">0.0407*** </w:t>
            </w:r>
            <w:proofErr w:type="gramStart"/>
            <w:r w:rsidRPr="00487834">
              <w:t xml:space="preserve">   (</w:t>
            </w:r>
            <w:proofErr w:type="gramEnd"/>
            <w:r w:rsidRPr="00487834">
              <w:t>0.013)</w:t>
            </w:r>
          </w:p>
        </w:tc>
        <w:tc>
          <w:tcPr>
            <w:tcW w:w="1300" w:type="dxa"/>
            <w:tcBorders>
              <w:top w:val="nil"/>
              <w:left w:val="nil"/>
              <w:bottom w:val="nil"/>
              <w:right w:val="nil"/>
            </w:tcBorders>
            <w:shd w:val="clear" w:color="auto" w:fill="auto"/>
            <w:vAlign w:val="center"/>
            <w:hideMark/>
          </w:tcPr>
          <w:p w14:paraId="33B57B0F" w14:textId="77777777" w:rsidR="00A83D58" w:rsidRPr="00487834" w:rsidRDefault="00A83D58" w:rsidP="00F36A29">
            <w:pPr>
              <w:pStyle w:val="NoSpacing"/>
            </w:pPr>
            <w:r w:rsidRPr="00487834">
              <w:t xml:space="preserve">-0.0076 </w:t>
            </w:r>
            <w:proofErr w:type="gramStart"/>
            <w:r w:rsidRPr="00487834">
              <w:t xml:space="preserve">   (</w:t>
            </w:r>
            <w:proofErr w:type="gramEnd"/>
            <w:r w:rsidRPr="00487834">
              <w:t>0.007)</w:t>
            </w:r>
          </w:p>
        </w:tc>
      </w:tr>
      <w:tr w:rsidR="00A83D58" w:rsidRPr="00487834" w14:paraId="5341368C" w14:textId="77777777" w:rsidTr="00A83D58">
        <w:trPr>
          <w:trHeight w:val="560"/>
          <w:jc w:val="center"/>
        </w:trPr>
        <w:tc>
          <w:tcPr>
            <w:tcW w:w="1960" w:type="dxa"/>
            <w:tcBorders>
              <w:top w:val="nil"/>
              <w:left w:val="nil"/>
              <w:bottom w:val="nil"/>
              <w:right w:val="nil"/>
            </w:tcBorders>
            <w:shd w:val="clear" w:color="auto" w:fill="auto"/>
            <w:noWrap/>
            <w:vAlign w:val="center"/>
            <w:hideMark/>
          </w:tcPr>
          <w:p w14:paraId="07D2EDD8" w14:textId="77777777" w:rsidR="00A83D58" w:rsidRPr="00487834" w:rsidRDefault="00A83D58" w:rsidP="00F36A29">
            <w:pPr>
              <w:pStyle w:val="NoSpacing"/>
              <w:rPr>
                <w:i/>
                <w:iCs/>
              </w:rPr>
            </w:pPr>
            <w:r w:rsidRPr="00487834">
              <w:rPr>
                <w:i/>
                <w:iCs/>
              </w:rPr>
              <w:t>PE</w:t>
            </w:r>
          </w:p>
        </w:tc>
        <w:tc>
          <w:tcPr>
            <w:tcW w:w="1300" w:type="dxa"/>
            <w:tcBorders>
              <w:top w:val="nil"/>
              <w:left w:val="nil"/>
              <w:bottom w:val="nil"/>
              <w:right w:val="nil"/>
            </w:tcBorders>
            <w:shd w:val="clear" w:color="auto" w:fill="auto"/>
            <w:vAlign w:val="center"/>
            <w:hideMark/>
          </w:tcPr>
          <w:p w14:paraId="41FB20AE" w14:textId="77777777" w:rsidR="00A83D58" w:rsidRPr="00487834" w:rsidRDefault="00A83D58" w:rsidP="00F36A29">
            <w:pPr>
              <w:pStyle w:val="NoSpacing"/>
            </w:pPr>
            <w:r w:rsidRPr="00487834">
              <w:t xml:space="preserve">0.005 </w:t>
            </w:r>
            <w:proofErr w:type="gramStart"/>
            <w:r w:rsidRPr="00487834">
              <w:t xml:space="preserve">   (</w:t>
            </w:r>
            <w:proofErr w:type="gramEnd"/>
            <w:r w:rsidRPr="00487834">
              <w:t>0.005)</w:t>
            </w:r>
          </w:p>
        </w:tc>
        <w:tc>
          <w:tcPr>
            <w:tcW w:w="1300" w:type="dxa"/>
            <w:tcBorders>
              <w:top w:val="nil"/>
              <w:left w:val="nil"/>
              <w:bottom w:val="nil"/>
              <w:right w:val="nil"/>
            </w:tcBorders>
            <w:shd w:val="clear" w:color="auto" w:fill="auto"/>
            <w:vAlign w:val="center"/>
            <w:hideMark/>
          </w:tcPr>
          <w:p w14:paraId="5A21894D" w14:textId="77777777" w:rsidR="00A83D58" w:rsidRPr="00487834" w:rsidRDefault="00A83D58" w:rsidP="00F36A29">
            <w:pPr>
              <w:pStyle w:val="NoSpacing"/>
            </w:pPr>
            <w:r w:rsidRPr="00487834">
              <w:t>-0.0026</w:t>
            </w:r>
            <w:proofErr w:type="gramStart"/>
            <w:r w:rsidRPr="00487834">
              <w:t xml:space="preserve">   (</w:t>
            </w:r>
            <w:proofErr w:type="gramEnd"/>
            <w:r w:rsidRPr="00487834">
              <w:t>0.0028)</w:t>
            </w:r>
          </w:p>
        </w:tc>
        <w:tc>
          <w:tcPr>
            <w:tcW w:w="1300" w:type="dxa"/>
            <w:tcBorders>
              <w:top w:val="nil"/>
              <w:left w:val="nil"/>
              <w:bottom w:val="nil"/>
              <w:right w:val="nil"/>
            </w:tcBorders>
            <w:shd w:val="clear" w:color="auto" w:fill="auto"/>
            <w:vAlign w:val="center"/>
            <w:hideMark/>
          </w:tcPr>
          <w:p w14:paraId="539D43DC" w14:textId="77777777" w:rsidR="00A83D58" w:rsidRPr="00487834" w:rsidRDefault="00A83D58" w:rsidP="00F36A29">
            <w:pPr>
              <w:pStyle w:val="NoSpacing"/>
            </w:pPr>
            <w:r w:rsidRPr="00487834">
              <w:t>-0.039** (0.002)</w:t>
            </w:r>
          </w:p>
        </w:tc>
      </w:tr>
      <w:tr w:rsidR="00A83D58" w:rsidRPr="00487834" w14:paraId="0BA7FC65" w14:textId="77777777" w:rsidTr="00A83D58">
        <w:trPr>
          <w:trHeight w:val="560"/>
          <w:jc w:val="center"/>
        </w:trPr>
        <w:tc>
          <w:tcPr>
            <w:tcW w:w="1960" w:type="dxa"/>
            <w:tcBorders>
              <w:top w:val="nil"/>
              <w:left w:val="nil"/>
              <w:bottom w:val="nil"/>
              <w:right w:val="nil"/>
            </w:tcBorders>
            <w:shd w:val="clear" w:color="auto" w:fill="auto"/>
            <w:noWrap/>
            <w:vAlign w:val="center"/>
            <w:hideMark/>
          </w:tcPr>
          <w:p w14:paraId="07D67AB8" w14:textId="77777777" w:rsidR="00A83D58" w:rsidRPr="00487834" w:rsidRDefault="00A83D58" w:rsidP="00F36A29">
            <w:pPr>
              <w:pStyle w:val="NoSpacing"/>
              <w:rPr>
                <w:i/>
                <w:iCs/>
              </w:rPr>
            </w:pPr>
            <w:r w:rsidRPr="00487834">
              <w:rPr>
                <w:i/>
                <w:iCs/>
              </w:rPr>
              <w:t>MTB</w:t>
            </w:r>
          </w:p>
        </w:tc>
        <w:tc>
          <w:tcPr>
            <w:tcW w:w="1300" w:type="dxa"/>
            <w:tcBorders>
              <w:top w:val="nil"/>
              <w:left w:val="nil"/>
              <w:bottom w:val="nil"/>
              <w:right w:val="nil"/>
            </w:tcBorders>
            <w:shd w:val="clear" w:color="auto" w:fill="auto"/>
            <w:vAlign w:val="center"/>
            <w:hideMark/>
          </w:tcPr>
          <w:p w14:paraId="4A2EA0DC" w14:textId="77777777" w:rsidR="00A83D58" w:rsidRPr="00487834" w:rsidRDefault="00A83D58" w:rsidP="00F36A29">
            <w:pPr>
              <w:pStyle w:val="NoSpacing"/>
            </w:pPr>
            <w:r w:rsidRPr="00487834">
              <w:t>0.0015</w:t>
            </w:r>
            <w:proofErr w:type="gramStart"/>
            <w:r w:rsidRPr="00487834">
              <w:t xml:space="preserve">   (</w:t>
            </w:r>
            <w:proofErr w:type="gramEnd"/>
            <w:r w:rsidRPr="00487834">
              <w:t>0.007)</w:t>
            </w:r>
          </w:p>
        </w:tc>
        <w:tc>
          <w:tcPr>
            <w:tcW w:w="1300" w:type="dxa"/>
            <w:tcBorders>
              <w:top w:val="nil"/>
              <w:left w:val="nil"/>
              <w:bottom w:val="nil"/>
              <w:right w:val="nil"/>
            </w:tcBorders>
            <w:shd w:val="clear" w:color="auto" w:fill="auto"/>
            <w:vAlign w:val="center"/>
            <w:hideMark/>
          </w:tcPr>
          <w:p w14:paraId="79DE04B7" w14:textId="77777777" w:rsidR="00A83D58" w:rsidRPr="00487834" w:rsidRDefault="00A83D58" w:rsidP="00F36A29">
            <w:pPr>
              <w:pStyle w:val="NoSpacing"/>
            </w:pPr>
            <w:r w:rsidRPr="00487834">
              <w:t>-0.0201**</w:t>
            </w:r>
            <w:proofErr w:type="gramStart"/>
            <w:r w:rsidRPr="00487834">
              <w:t>*  (</w:t>
            </w:r>
            <w:proofErr w:type="gramEnd"/>
            <w:r w:rsidRPr="00487834">
              <w:t>0.008)</w:t>
            </w:r>
          </w:p>
        </w:tc>
        <w:tc>
          <w:tcPr>
            <w:tcW w:w="1300" w:type="dxa"/>
            <w:tcBorders>
              <w:top w:val="nil"/>
              <w:left w:val="nil"/>
              <w:bottom w:val="nil"/>
              <w:right w:val="nil"/>
            </w:tcBorders>
            <w:shd w:val="clear" w:color="auto" w:fill="auto"/>
            <w:vAlign w:val="center"/>
            <w:hideMark/>
          </w:tcPr>
          <w:p w14:paraId="5567D6CB" w14:textId="77777777" w:rsidR="00A83D58" w:rsidRPr="00487834" w:rsidRDefault="00A83D58" w:rsidP="00F36A29">
            <w:pPr>
              <w:pStyle w:val="NoSpacing"/>
            </w:pPr>
            <w:r w:rsidRPr="00487834">
              <w:t xml:space="preserve">-0.0011 </w:t>
            </w:r>
            <w:proofErr w:type="gramStart"/>
            <w:r w:rsidRPr="00487834">
              <w:t xml:space="preserve">   (</w:t>
            </w:r>
            <w:proofErr w:type="gramEnd"/>
            <w:r w:rsidRPr="00487834">
              <w:t>0.004)</w:t>
            </w:r>
          </w:p>
        </w:tc>
      </w:tr>
      <w:tr w:rsidR="00A83D58" w:rsidRPr="00487834" w14:paraId="6A2457DA" w14:textId="77777777" w:rsidTr="00A83D58">
        <w:trPr>
          <w:trHeight w:val="560"/>
          <w:jc w:val="center"/>
        </w:trPr>
        <w:tc>
          <w:tcPr>
            <w:tcW w:w="1960" w:type="dxa"/>
            <w:tcBorders>
              <w:top w:val="nil"/>
              <w:left w:val="nil"/>
              <w:bottom w:val="nil"/>
              <w:right w:val="nil"/>
            </w:tcBorders>
            <w:shd w:val="clear" w:color="auto" w:fill="auto"/>
            <w:noWrap/>
            <w:vAlign w:val="center"/>
            <w:hideMark/>
          </w:tcPr>
          <w:p w14:paraId="468A6F94" w14:textId="77777777" w:rsidR="00A83D58" w:rsidRPr="00487834" w:rsidRDefault="00A83D58" w:rsidP="00F36A29">
            <w:pPr>
              <w:pStyle w:val="NoSpacing"/>
              <w:rPr>
                <w:i/>
                <w:iCs/>
              </w:rPr>
            </w:pPr>
            <w:r w:rsidRPr="00487834">
              <w:rPr>
                <w:i/>
                <w:iCs/>
              </w:rPr>
              <w:t>BETA</w:t>
            </w:r>
          </w:p>
        </w:tc>
        <w:tc>
          <w:tcPr>
            <w:tcW w:w="1300" w:type="dxa"/>
            <w:tcBorders>
              <w:top w:val="nil"/>
              <w:left w:val="nil"/>
              <w:bottom w:val="nil"/>
              <w:right w:val="nil"/>
            </w:tcBorders>
            <w:shd w:val="clear" w:color="auto" w:fill="auto"/>
            <w:vAlign w:val="center"/>
            <w:hideMark/>
          </w:tcPr>
          <w:p w14:paraId="47E76625" w14:textId="77777777" w:rsidR="00A83D58" w:rsidRPr="00487834" w:rsidRDefault="00A83D58" w:rsidP="00F36A29">
            <w:pPr>
              <w:pStyle w:val="NoSpacing"/>
            </w:pPr>
            <w:r w:rsidRPr="00487834">
              <w:t>0.0333*** (0.005)</w:t>
            </w:r>
          </w:p>
        </w:tc>
        <w:tc>
          <w:tcPr>
            <w:tcW w:w="1300" w:type="dxa"/>
            <w:tcBorders>
              <w:top w:val="nil"/>
              <w:left w:val="nil"/>
              <w:bottom w:val="nil"/>
              <w:right w:val="nil"/>
            </w:tcBorders>
            <w:shd w:val="clear" w:color="auto" w:fill="auto"/>
            <w:vAlign w:val="center"/>
            <w:hideMark/>
          </w:tcPr>
          <w:p w14:paraId="13466A11" w14:textId="77777777" w:rsidR="00A83D58" w:rsidRPr="00487834" w:rsidRDefault="00A83D58" w:rsidP="00F36A29">
            <w:pPr>
              <w:pStyle w:val="NoSpacing"/>
            </w:pPr>
            <w:r w:rsidRPr="00487834">
              <w:t>-0.0292**</w:t>
            </w:r>
            <w:proofErr w:type="gramStart"/>
            <w:r w:rsidRPr="00487834">
              <w:t>*  (</w:t>
            </w:r>
            <w:proofErr w:type="gramEnd"/>
            <w:r w:rsidRPr="00487834">
              <w:t>0.006)</w:t>
            </w:r>
          </w:p>
        </w:tc>
        <w:tc>
          <w:tcPr>
            <w:tcW w:w="1300" w:type="dxa"/>
            <w:tcBorders>
              <w:top w:val="nil"/>
              <w:left w:val="nil"/>
              <w:bottom w:val="nil"/>
              <w:right w:val="nil"/>
            </w:tcBorders>
            <w:shd w:val="clear" w:color="auto" w:fill="auto"/>
            <w:vAlign w:val="center"/>
            <w:hideMark/>
          </w:tcPr>
          <w:p w14:paraId="0F5FD2BD" w14:textId="77777777" w:rsidR="00A83D58" w:rsidRPr="00487834" w:rsidRDefault="00A83D58" w:rsidP="00F36A29">
            <w:pPr>
              <w:pStyle w:val="NoSpacing"/>
            </w:pPr>
            <w:r w:rsidRPr="00487834">
              <w:t xml:space="preserve">0.243***    </w:t>
            </w:r>
            <w:proofErr w:type="gramStart"/>
            <w:r w:rsidRPr="00487834">
              <w:t xml:space="preserve">   (</w:t>
            </w:r>
            <w:proofErr w:type="gramEnd"/>
            <w:r w:rsidRPr="00487834">
              <w:t>0.002)</w:t>
            </w:r>
          </w:p>
        </w:tc>
      </w:tr>
      <w:tr w:rsidR="00A83D58" w:rsidRPr="00487834" w14:paraId="47C2C4C5" w14:textId="77777777" w:rsidTr="00A83D58">
        <w:trPr>
          <w:trHeight w:val="560"/>
          <w:jc w:val="center"/>
        </w:trPr>
        <w:tc>
          <w:tcPr>
            <w:tcW w:w="1960" w:type="dxa"/>
            <w:tcBorders>
              <w:top w:val="nil"/>
              <w:left w:val="nil"/>
              <w:bottom w:val="nil"/>
              <w:right w:val="nil"/>
            </w:tcBorders>
            <w:shd w:val="clear" w:color="auto" w:fill="auto"/>
            <w:noWrap/>
            <w:vAlign w:val="center"/>
            <w:hideMark/>
          </w:tcPr>
          <w:p w14:paraId="0F4B3312" w14:textId="77777777" w:rsidR="00A83D58" w:rsidRPr="00487834" w:rsidRDefault="00A83D58" w:rsidP="00F36A29">
            <w:pPr>
              <w:pStyle w:val="NoSpacing"/>
              <w:rPr>
                <w:i/>
                <w:iCs/>
              </w:rPr>
            </w:pPr>
            <w:r w:rsidRPr="00487834">
              <w:rPr>
                <w:i/>
                <w:iCs/>
              </w:rPr>
              <w:t>ROE</w:t>
            </w:r>
          </w:p>
        </w:tc>
        <w:tc>
          <w:tcPr>
            <w:tcW w:w="1300" w:type="dxa"/>
            <w:tcBorders>
              <w:top w:val="nil"/>
              <w:left w:val="nil"/>
              <w:bottom w:val="nil"/>
              <w:right w:val="nil"/>
            </w:tcBorders>
            <w:shd w:val="clear" w:color="auto" w:fill="auto"/>
            <w:vAlign w:val="center"/>
            <w:hideMark/>
          </w:tcPr>
          <w:p w14:paraId="52F2EA17" w14:textId="77777777" w:rsidR="00A83D58" w:rsidRPr="00487834" w:rsidRDefault="00A83D58" w:rsidP="00F36A29">
            <w:pPr>
              <w:pStyle w:val="NoSpacing"/>
            </w:pPr>
            <w:r w:rsidRPr="00487834">
              <w:t>-0.0001 (0.0001)</w:t>
            </w:r>
          </w:p>
        </w:tc>
        <w:tc>
          <w:tcPr>
            <w:tcW w:w="1300" w:type="dxa"/>
            <w:tcBorders>
              <w:top w:val="nil"/>
              <w:left w:val="nil"/>
              <w:bottom w:val="nil"/>
              <w:right w:val="nil"/>
            </w:tcBorders>
            <w:shd w:val="clear" w:color="auto" w:fill="auto"/>
            <w:vAlign w:val="center"/>
            <w:hideMark/>
          </w:tcPr>
          <w:p w14:paraId="4C0B692B" w14:textId="77777777" w:rsidR="00A83D58" w:rsidRPr="00487834" w:rsidRDefault="00A83D58" w:rsidP="00F36A29">
            <w:pPr>
              <w:pStyle w:val="NoSpacing"/>
            </w:pPr>
            <w:r w:rsidRPr="00487834">
              <w:t>-0.0224 (0.018)</w:t>
            </w:r>
          </w:p>
        </w:tc>
        <w:tc>
          <w:tcPr>
            <w:tcW w:w="1300" w:type="dxa"/>
            <w:tcBorders>
              <w:top w:val="nil"/>
              <w:left w:val="nil"/>
              <w:bottom w:val="nil"/>
              <w:right w:val="nil"/>
            </w:tcBorders>
            <w:shd w:val="clear" w:color="auto" w:fill="auto"/>
            <w:vAlign w:val="center"/>
            <w:hideMark/>
          </w:tcPr>
          <w:p w14:paraId="6CCE7747" w14:textId="77777777" w:rsidR="00A83D58" w:rsidRPr="00487834" w:rsidRDefault="00A83D58" w:rsidP="00F36A29">
            <w:pPr>
              <w:pStyle w:val="NoSpacing"/>
            </w:pPr>
            <w:r w:rsidRPr="00487834">
              <w:t xml:space="preserve">0.0196   </w:t>
            </w:r>
            <w:proofErr w:type="gramStart"/>
            <w:r w:rsidRPr="00487834">
              <w:t xml:space="preserve">   (</w:t>
            </w:r>
            <w:proofErr w:type="gramEnd"/>
            <w:r w:rsidRPr="00487834">
              <w:t>0.019)</w:t>
            </w:r>
          </w:p>
        </w:tc>
      </w:tr>
      <w:tr w:rsidR="00A83D58" w:rsidRPr="00487834" w14:paraId="43AB0932" w14:textId="77777777" w:rsidTr="00A83D58">
        <w:trPr>
          <w:trHeight w:val="560"/>
          <w:jc w:val="center"/>
        </w:trPr>
        <w:tc>
          <w:tcPr>
            <w:tcW w:w="1960" w:type="dxa"/>
            <w:tcBorders>
              <w:top w:val="nil"/>
              <w:left w:val="nil"/>
              <w:bottom w:val="single" w:sz="4" w:space="0" w:color="auto"/>
              <w:right w:val="nil"/>
            </w:tcBorders>
            <w:shd w:val="clear" w:color="auto" w:fill="auto"/>
            <w:noWrap/>
            <w:vAlign w:val="center"/>
            <w:hideMark/>
          </w:tcPr>
          <w:p w14:paraId="16039BA7" w14:textId="77777777" w:rsidR="00A83D58" w:rsidRPr="00487834" w:rsidRDefault="00A83D58" w:rsidP="00F36A29">
            <w:pPr>
              <w:pStyle w:val="NoSpacing"/>
              <w:rPr>
                <w:i/>
                <w:iCs/>
              </w:rPr>
            </w:pPr>
            <w:r w:rsidRPr="00487834">
              <w:rPr>
                <w:i/>
                <w:iCs/>
              </w:rPr>
              <w:t>EV/EBITDA</w:t>
            </w:r>
          </w:p>
        </w:tc>
        <w:tc>
          <w:tcPr>
            <w:tcW w:w="1300" w:type="dxa"/>
            <w:tcBorders>
              <w:top w:val="nil"/>
              <w:left w:val="nil"/>
              <w:bottom w:val="single" w:sz="4" w:space="0" w:color="auto"/>
              <w:right w:val="nil"/>
            </w:tcBorders>
            <w:shd w:val="clear" w:color="auto" w:fill="auto"/>
            <w:vAlign w:val="center"/>
            <w:hideMark/>
          </w:tcPr>
          <w:p w14:paraId="2377003B" w14:textId="77777777" w:rsidR="00A83D58" w:rsidRPr="00487834" w:rsidRDefault="00A83D58" w:rsidP="00F36A29">
            <w:pPr>
              <w:pStyle w:val="NoSpacing"/>
            </w:pPr>
            <w:r w:rsidRPr="00487834">
              <w:t>-0.05</w:t>
            </w:r>
            <w:proofErr w:type="gramStart"/>
            <w:r w:rsidRPr="00487834">
              <w:t xml:space="preserve">   (</w:t>
            </w:r>
            <w:proofErr w:type="gramEnd"/>
            <w:r w:rsidRPr="00487834">
              <w:t>0.004)</w:t>
            </w:r>
          </w:p>
        </w:tc>
        <w:tc>
          <w:tcPr>
            <w:tcW w:w="1300" w:type="dxa"/>
            <w:tcBorders>
              <w:top w:val="nil"/>
              <w:left w:val="nil"/>
              <w:bottom w:val="single" w:sz="4" w:space="0" w:color="auto"/>
              <w:right w:val="nil"/>
            </w:tcBorders>
            <w:shd w:val="clear" w:color="auto" w:fill="auto"/>
            <w:vAlign w:val="center"/>
            <w:hideMark/>
          </w:tcPr>
          <w:p w14:paraId="27509181" w14:textId="77777777" w:rsidR="00A83D58" w:rsidRPr="00487834" w:rsidRDefault="00A83D58" w:rsidP="00F36A29">
            <w:pPr>
              <w:pStyle w:val="NoSpacing"/>
            </w:pPr>
            <w:r w:rsidRPr="00487834">
              <w:t>0.0203</w:t>
            </w:r>
            <w:proofErr w:type="gramStart"/>
            <w:r w:rsidRPr="00487834">
              <w:t>*  (</w:t>
            </w:r>
            <w:proofErr w:type="gramEnd"/>
            <w:r w:rsidRPr="00487834">
              <w:t>0.011)</w:t>
            </w:r>
          </w:p>
        </w:tc>
        <w:tc>
          <w:tcPr>
            <w:tcW w:w="1300" w:type="dxa"/>
            <w:tcBorders>
              <w:top w:val="nil"/>
              <w:left w:val="nil"/>
              <w:bottom w:val="single" w:sz="4" w:space="0" w:color="auto"/>
              <w:right w:val="nil"/>
            </w:tcBorders>
            <w:shd w:val="clear" w:color="auto" w:fill="auto"/>
            <w:vAlign w:val="center"/>
            <w:hideMark/>
          </w:tcPr>
          <w:p w14:paraId="58EAD2EF" w14:textId="77777777" w:rsidR="00A83D58" w:rsidRPr="00487834" w:rsidRDefault="00A83D58" w:rsidP="00F36A29">
            <w:pPr>
              <w:pStyle w:val="NoSpacing"/>
            </w:pPr>
            <w:r w:rsidRPr="00487834">
              <w:t xml:space="preserve">0.0235      </w:t>
            </w:r>
            <w:proofErr w:type="gramStart"/>
            <w:r w:rsidRPr="00487834">
              <w:t xml:space="preserve">   (</w:t>
            </w:r>
            <w:proofErr w:type="gramEnd"/>
            <w:r w:rsidRPr="00487834">
              <w:t>0.058)</w:t>
            </w:r>
          </w:p>
        </w:tc>
      </w:tr>
    </w:tbl>
    <w:p w14:paraId="138C8BFF" w14:textId="77777777" w:rsidR="00A27CB9" w:rsidRPr="00487834" w:rsidRDefault="00050324" w:rsidP="003128F6">
      <w:pPr>
        <w:autoSpaceDE w:val="0"/>
        <w:autoSpaceDN w:val="0"/>
        <w:adjustRightInd w:val="0"/>
        <w:spacing w:line="300" w:lineRule="auto"/>
        <w:rPr>
          <w:rFonts w:eastAsiaTheme="minorHAnsi"/>
          <w:lang w:val="en-US" w:eastAsia="en-US"/>
        </w:rPr>
      </w:pPr>
      <w:r>
        <w:rPr>
          <w:rFonts w:eastAsiaTheme="minorHAnsi"/>
          <w:noProof/>
          <w:lang w:val="en-US" w:eastAsia="en-US"/>
        </w:rPr>
        <w:pict w14:anchorId="209AB315">
          <v:shape id="_x0000_s1026" type="#_x0000_t202" alt="" style="position:absolute;left:0;text-align:left;margin-left:8.05pt;margin-top:12.65pt;width:422.85pt;height:41.1pt;z-index:251679744;visibility:visible;mso-wrap-style:square;mso-wrap-edited:f;mso-width-percent:0;mso-height-percent:0;mso-position-horizontal-relative:text;mso-position-vertical-relative:text;mso-width-percent:0;mso-height-percent:0;mso-width-relative:margin;mso-height-relative:margin;v-text-anchor:top" fillcolor="white [3201]">
            <v:textbox>
              <w:txbxContent>
                <w:p w14:paraId="4B0B0E69" w14:textId="77777777" w:rsidR="00F36A29" w:rsidRPr="00E5055A" w:rsidRDefault="00F36A29" w:rsidP="00A83D58">
                  <w:pPr>
                    <w:spacing w:before="240"/>
                    <w:jc w:val="center"/>
                    <w:rPr>
                      <w:sz w:val="20"/>
                      <w:szCs w:val="20"/>
                      <w:lang w:val="en-US"/>
                    </w:rPr>
                  </w:pPr>
                  <w:r w:rsidRPr="00E5055A">
                    <w:rPr>
                      <w:sz w:val="20"/>
                      <w:szCs w:val="20"/>
                      <w:lang w:val="en-US"/>
                    </w:rPr>
                    <w:t>*** - significant at a 1% level, ** - significant at a 5% level, * - significant at a 10% level</w:t>
                  </w:r>
                </w:p>
              </w:txbxContent>
            </v:textbox>
          </v:shape>
        </w:pict>
      </w:r>
    </w:p>
    <w:p w14:paraId="11E37E65" w14:textId="77777777" w:rsidR="00A27CB9" w:rsidRPr="00487834" w:rsidRDefault="00A27CB9" w:rsidP="003128F6">
      <w:pPr>
        <w:autoSpaceDE w:val="0"/>
        <w:autoSpaceDN w:val="0"/>
        <w:adjustRightInd w:val="0"/>
        <w:spacing w:line="300" w:lineRule="auto"/>
        <w:rPr>
          <w:rFonts w:eastAsiaTheme="minorHAnsi"/>
          <w:lang w:val="en-US" w:eastAsia="en-US"/>
        </w:rPr>
      </w:pPr>
    </w:p>
    <w:p w14:paraId="5F74AA7A" w14:textId="77777777" w:rsidR="00A27CB9" w:rsidRPr="00487834" w:rsidRDefault="00A27CB9" w:rsidP="003128F6">
      <w:pPr>
        <w:autoSpaceDE w:val="0"/>
        <w:autoSpaceDN w:val="0"/>
        <w:adjustRightInd w:val="0"/>
        <w:spacing w:line="300" w:lineRule="auto"/>
        <w:rPr>
          <w:rFonts w:eastAsiaTheme="minorHAnsi"/>
          <w:lang w:val="en-US" w:eastAsia="en-US"/>
        </w:rPr>
      </w:pPr>
    </w:p>
    <w:p w14:paraId="19BCF698" w14:textId="77777777" w:rsidR="00A27CB9" w:rsidRPr="00487834" w:rsidRDefault="00A27CB9" w:rsidP="003128F6">
      <w:pPr>
        <w:autoSpaceDE w:val="0"/>
        <w:autoSpaceDN w:val="0"/>
        <w:adjustRightInd w:val="0"/>
        <w:spacing w:line="300" w:lineRule="auto"/>
        <w:rPr>
          <w:rFonts w:eastAsiaTheme="minorHAnsi"/>
          <w:lang w:val="en-US" w:eastAsia="en-US"/>
        </w:rPr>
      </w:pPr>
    </w:p>
    <w:tbl>
      <w:tblPr>
        <w:tblW w:w="5860" w:type="dxa"/>
        <w:jc w:val="center"/>
        <w:tblLook w:val="04A0" w:firstRow="1" w:lastRow="0" w:firstColumn="1" w:lastColumn="0" w:noHBand="0" w:noVBand="1"/>
      </w:tblPr>
      <w:tblGrid>
        <w:gridCol w:w="2127"/>
        <w:gridCol w:w="1133"/>
        <w:gridCol w:w="1300"/>
        <w:gridCol w:w="1300"/>
      </w:tblGrid>
      <w:tr w:rsidR="00FA7AEF" w:rsidRPr="00487834" w14:paraId="79A64207" w14:textId="77777777" w:rsidTr="00FA7AEF">
        <w:trPr>
          <w:trHeight w:val="540"/>
          <w:jc w:val="center"/>
        </w:trPr>
        <w:tc>
          <w:tcPr>
            <w:tcW w:w="2127" w:type="dxa"/>
            <w:tcBorders>
              <w:top w:val="single" w:sz="4" w:space="0" w:color="auto"/>
              <w:left w:val="nil"/>
              <w:bottom w:val="nil"/>
              <w:right w:val="nil"/>
            </w:tcBorders>
            <w:shd w:val="clear" w:color="auto" w:fill="auto"/>
            <w:noWrap/>
            <w:vAlign w:val="center"/>
            <w:hideMark/>
          </w:tcPr>
          <w:p w14:paraId="014CEAC2" w14:textId="77777777" w:rsidR="00FA7AEF" w:rsidRPr="00487834" w:rsidRDefault="00FA7AEF" w:rsidP="00F36A29">
            <w:pPr>
              <w:pStyle w:val="NoSpacing"/>
            </w:pPr>
            <w:r w:rsidRPr="00487834">
              <w:t xml:space="preserve">Type </w:t>
            </w:r>
            <w:proofErr w:type="spellStart"/>
            <w:r w:rsidRPr="00487834">
              <w:t>of</w:t>
            </w:r>
            <w:proofErr w:type="spellEnd"/>
            <w:r w:rsidRPr="00487834">
              <w:t xml:space="preserve"> </w:t>
            </w:r>
            <w:proofErr w:type="spellStart"/>
            <w:r w:rsidRPr="00487834">
              <w:t>model</w:t>
            </w:r>
            <w:proofErr w:type="spellEnd"/>
          </w:p>
        </w:tc>
        <w:tc>
          <w:tcPr>
            <w:tcW w:w="1133" w:type="dxa"/>
            <w:tcBorders>
              <w:top w:val="single" w:sz="4" w:space="0" w:color="auto"/>
              <w:left w:val="nil"/>
              <w:bottom w:val="nil"/>
              <w:right w:val="nil"/>
            </w:tcBorders>
            <w:shd w:val="clear" w:color="auto" w:fill="auto"/>
            <w:vAlign w:val="center"/>
            <w:hideMark/>
          </w:tcPr>
          <w:p w14:paraId="7ED6B72A" w14:textId="77777777" w:rsidR="00FA7AEF" w:rsidRPr="00487834" w:rsidRDefault="00FA7AEF" w:rsidP="00F36A29">
            <w:pPr>
              <w:pStyle w:val="NoSpacing"/>
            </w:pPr>
            <w:proofErr w:type="spellStart"/>
            <w:r w:rsidRPr="00487834">
              <w:t>Random</w:t>
            </w:r>
            <w:proofErr w:type="spellEnd"/>
          </w:p>
        </w:tc>
        <w:tc>
          <w:tcPr>
            <w:tcW w:w="1300" w:type="dxa"/>
            <w:tcBorders>
              <w:top w:val="single" w:sz="4" w:space="0" w:color="auto"/>
              <w:left w:val="nil"/>
              <w:bottom w:val="nil"/>
              <w:right w:val="nil"/>
            </w:tcBorders>
            <w:shd w:val="clear" w:color="auto" w:fill="auto"/>
            <w:vAlign w:val="center"/>
            <w:hideMark/>
          </w:tcPr>
          <w:p w14:paraId="0E3DCA49" w14:textId="77777777" w:rsidR="00FA7AEF" w:rsidRPr="00487834" w:rsidRDefault="00FA7AEF" w:rsidP="00F36A29">
            <w:pPr>
              <w:pStyle w:val="NoSpacing"/>
            </w:pPr>
            <w:proofErr w:type="spellStart"/>
            <w:r w:rsidRPr="00487834">
              <w:t>Fixed</w:t>
            </w:r>
            <w:proofErr w:type="spellEnd"/>
          </w:p>
        </w:tc>
        <w:tc>
          <w:tcPr>
            <w:tcW w:w="1300" w:type="dxa"/>
            <w:tcBorders>
              <w:top w:val="single" w:sz="4" w:space="0" w:color="auto"/>
              <w:left w:val="nil"/>
              <w:bottom w:val="nil"/>
              <w:right w:val="nil"/>
            </w:tcBorders>
            <w:shd w:val="clear" w:color="auto" w:fill="auto"/>
            <w:noWrap/>
            <w:vAlign w:val="center"/>
            <w:hideMark/>
          </w:tcPr>
          <w:p w14:paraId="7386137B" w14:textId="77777777" w:rsidR="00FA7AEF" w:rsidRPr="00487834" w:rsidRDefault="00FA7AEF" w:rsidP="00F36A29">
            <w:pPr>
              <w:pStyle w:val="NoSpacing"/>
            </w:pPr>
            <w:proofErr w:type="spellStart"/>
            <w:r w:rsidRPr="00487834">
              <w:t>Fixed</w:t>
            </w:r>
            <w:proofErr w:type="spellEnd"/>
          </w:p>
        </w:tc>
      </w:tr>
      <w:tr w:rsidR="00FA7AEF" w:rsidRPr="00487834" w14:paraId="266DBB0C" w14:textId="77777777" w:rsidTr="00FA7AEF">
        <w:trPr>
          <w:trHeight w:val="540"/>
          <w:jc w:val="center"/>
        </w:trPr>
        <w:tc>
          <w:tcPr>
            <w:tcW w:w="2127" w:type="dxa"/>
            <w:tcBorders>
              <w:top w:val="nil"/>
              <w:left w:val="nil"/>
              <w:bottom w:val="nil"/>
              <w:right w:val="nil"/>
            </w:tcBorders>
            <w:shd w:val="clear" w:color="auto" w:fill="auto"/>
            <w:noWrap/>
            <w:vAlign w:val="center"/>
            <w:hideMark/>
          </w:tcPr>
          <w:p w14:paraId="7A3FF968" w14:textId="77777777" w:rsidR="00FA7AEF" w:rsidRPr="00487834" w:rsidRDefault="00FA7AEF" w:rsidP="00F36A29">
            <w:pPr>
              <w:pStyle w:val="NoSpacing"/>
            </w:pPr>
            <w:r w:rsidRPr="00487834">
              <w:t xml:space="preserve">N </w:t>
            </w:r>
            <w:proofErr w:type="spellStart"/>
            <w:r w:rsidRPr="00487834">
              <w:t>of</w:t>
            </w:r>
            <w:proofErr w:type="spellEnd"/>
            <w:r w:rsidRPr="00487834">
              <w:t xml:space="preserve"> </w:t>
            </w:r>
            <w:proofErr w:type="spellStart"/>
            <w:r w:rsidRPr="00487834">
              <w:t>obs</w:t>
            </w:r>
            <w:proofErr w:type="spellEnd"/>
            <w:r w:rsidRPr="00487834">
              <w:t>.</w:t>
            </w:r>
          </w:p>
        </w:tc>
        <w:tc>
          <w:tcPr>
            <w:tcW w:w="1133" w:type="dxa"/>
            <w:tcBorders>
              <w:top w:val="nil"/>
              <w:left w:val="nil"/>
              <w:bottom w:val="nil"/>
              <w:right w:val="nil"/>
            </w:tcBorders>
            <w:shd w:val="clear" w:color="auto" w:fill="auto"/>
            <w:noWrap/>
            <w:vAlign w:val="center"/>
            <w:hideMark/>
          </w:tcPr>
          <w:p w14:paraId="034FF628" w14:textId="77777777" w:rsidR="00FA7AEF" w:rsidRPr="00487834" w:rsidRDefault="00FA7AEF" w:rsidP="00F36A29">
            <w:pPr>
              <w:pStyle w:val="NoSpacing"/>
            </w:pPr>
            <w:r w:rsidRPr="00487834">
              <w:t>123</w:t>
            </w:r>
          </w:p>
        </w:tc>
        <w:tc>
          <w:tcPr>
            <w:tcW w:w="1300" w:type="dxa"/>
            <w:tcBorders>
              <w:top w:val="nil"/>
              <w:left w:val="nil"/>
              <w:bottom w:val="nil"/>
              <w:right w:val="nil"/>
            </w:tcBorders>
            <w:shd w:val="clear" w:color="auto" w:fill="auto"/>
            <w:noWrap/>
            <w:vAlign w:val="center"/>
            <w:hideMark/>
          </w:tcPr>
          <w:p w14:paraId="2DA31B3F" w14:textId="77777777" w:rsidR="00FA7AEF" w:rsidRPr="00487834" w:rsidRDefault="00FA7AEF" w:rsidP="00F36A29">
            <w:pPr>
              <w:pStyle w:val="NoSpacing"/>
            </w:pPr>
            <w:r w:rsidRPr="00487834">
              <w:t>413</w:t>
            </w:r>
          </w:p>
        </w:tc>
        <w:tc>
          <w:tcPr>
            <w:tcW w:w="1300" w:type="dxa"/>
            <w:tcBorders>
              <w:top w:val="nil"/>
              <w:left w:val="nil"/>
              <w:bottom w:val="nil"/>
              <w:right w:val="nil"/>
            </w:tcBorders>
            <w:shd w:val="clear" w:color="auto" w:fill="auto"/>
            <w:noWrap/>
            <w:vAlign w:val="center"/>
            <w:hideMark/>
          </w:tcPr>
          <w:p w14:paraId="65591B00" w14:textId="77777777" w:rsidR="00FA7AEF" w:rsidRPr="00487834" w:rsidRDefault="00FA7AEF" w:rsidP="00F36A29">
            <w:pPr>
              <w:pStyle w:val="NoSpacing"/>
            </w:pPr>
            <w:r w:rsidRPr="00487834">
              <w:t>389</w:t>
            </w:r>
          </w:p>
        </w:tc>
      </w:tr>
      <w:tr w:rsidR="00FA7AEF" w:rsidRPr="00487834" w14:paraId="0B12AA51" w14:textId="77777777" w:rsidTr="00FA7AEF">
        <w:trPr>
          <w:trHeight w:val="560"/>
          <w:jc w:val="center"/>
        </w:trPr>
        <w:tc>
          <w:tcPr>
            <w:tcW w:w="2127" w:type="dxa"/>
            <w:tcBorders>
              <w:top w:val="nil"/>
              <w:left w:val="nil"/>
              <w:bottom w:val="nil"/>
              <w:right w:val="nil"/>
            </w:tcBorders>
            <w:shd w:val="clear" w:color="auto" w:fill="auto"/>
            <w:noWrap/>
            <w:vAlign w:val="center"/>
            <w:hideMark/>
          </w:tcPr>
          <w:p w14:paraId="5AAD925A" w14:textId="77777777" w:rsidR="00FA7AEF" w:rsidRPr="00487834" w:rsidRDefault="00FA7AEF" w:rsidP="00F36A29">
            <w:pPr>
              <w:pStyle w:val="NoSpacing"/>
            </w:pPr>
            <w:r w:rsidRPr="00487834">
              <w:t>R-</w:t>
            </w:r>
            <w:proofErr w:type="spellStart"/>
            <w:r w:rsidRPr="00487834">
              <w:t>sq</w:t>
            </w:r>
            <w:proofErr w:type="spellEnd"/>
            <w:r w:rsidRPr="00487834">
              <w:t>.</w:t>
            </w:r>
          </w:p>
        </w:tc>
        <w:tc>
          <w:tcPr>
            <w:tcW w:w="1133" w:type="dxa"/>
            <w:tcBorders>
              <w:top w:val="nil"/>
              <w:left w:val="nil"/>
              <w:bottom w:val="nil"/>
              <w:right w:val="nil"/>
            </w:tcBorders>
            <w:shd w:val="clear" w:color="auto" w:fill="auto"/>
            <w:vAlign w:val="center"/>
            <w:hideMark/>
          </w:tcPr>
          <w:p w14:paraId="4FD45C1D" w14:textId="77777777" w:rsidR="00FA7AEF" w:rsidRPr="00487834" w:rsidRDefault="00FA7AEF" w:rsidP="00F36A29">
            <w:pPr>
              <w:pStyle w:val="NoSpacing"/>
            </w:pPr>
            <w:r w:rsidRPr="00487834">
              <w:t>0.378</w:t>
            </w:r>
          </w:p>
        </w:tc>
        <w:tc>
          <w:tcPr>
            <w:tcW w:w="1300" w:type="dxa"/>
            <w:tcBorders>
              <w:top w:val="nil"/>
              <w:left w:val="nil"/>
              <w:bottom w:val="nil"/>
              <w:right w:val="nil"/>
            </w:tcBorders>
            <w:shd w:val="clear" w:color="auto" w:fill="auto"/>
            <w:noWrap/>
            <w:vAlign w:val="center"/>
            <w:hideMark/>
          </w:tcPr>
          <w:p w14:paraId="20DEA113" w14:textId="77777777" w:rsidR="00FA7AEF" w:rsidRPr="00487834" w:rsidRDefault="00FA7AEF" w:rsidP="00F36A29">
            <w:pPr>
              <w:pStyle w:val="NoSpacing"/>
            </w:pPr>
            <w:r w:rsidRPr="00487834">
              <w:t>0.526</w:t>
            </w:r>
          </w:p>
        </w:tc>
        <w:tc>
          <w:tcPr>
            <w:tcW w:w="1300" w:type="dxa"/>
            <w:tcBorders>
              <w:top w:val="nil"/>
              <w:left w:val="nil"/>
              <w:bottom w:val="nil"/>
              <w:right w:val="nil"/>
            </w:tcBorders>
            <w:shd w:val="clear" w:color="auto" w:fill="auto"/>
            <w:vAlign w:val="center"/>
            <w:hideMark/>
          </w:tcPr>
          <w:p w14:paraId="17D615E5" w14:textId="77777777" w:rsidR="00FA7AEF" w:rsidRPr="00487834" w:rsidRDefault="00FA7AEF" w:rsidP="00F36A29">
            <w:pPr>
              <w:pStyle w:val="NoSpacing"/>
            </w:pPr>
            <w:r w:rsidRPr="00487834">
              <w:t>0.745</w:t>
            </w:r>
          </w:p>
        </w:tc>
      </w:tr>
      <w:tr w:rsidR="00FA7AEF" w:rsidRPr="00487834" w14:paraId="5D471C96" w14:textId="77777777" w:rsidTr="00FA7AEF">
        <w:trPr>
          <w:trHeight w:val="600"/>
          <w:jc w:val="center"/>
        </w:trPr>
        <w:tc>
          <w:tcPr>
            <w:tcW w:w="2127" w:type="dxa"/>
            <w:tcBorders>
              <w:top w:val="nil"/>
              <w:left w:val="nil"/>
              <w:bottom w:val="nil"/>
              <w:right w:val="nil"/>
            </w:tcBorders>
            <w:shd w:val="clear" w:color="auto" w:fill="auto"/>
            <w:noWrap/>
            <w:vAlign w:val="center"/>
            <w:hideMark/>
          </w:tcPr>
          <w:p w14:paraId="661C9AC6" w14:textId="77777777" w:rsidR="00FA7AEF" w:rsidRPr="00487834" w:rsidRDefault="00FA7AEF" w:rsidP="00F36A29">
            <w:pPr>
              <w:pStyle w:val="NoSpacing"/>
            </w:pPr>
            <w:proofErr w:type="spellStart"/>
            <w:r w:rsidRPr="00487834">
              <w:t>Adj</w:t>
            </w:r>
            <w:proofErr w:type="spellEnd"/>
            <w:r w:rsidRPr="00487834">
              <w:t>. R-</w:t>
            </w:r>
            <w:proofErr w:type="spellStart"/>
            <w:r w:rsidRPr="00487834">
              <w:t>sq</w:t>
            </w:r>
            <w:proofErr w:type="spellEnd"/>
            <w:r w:rsidRPr="00487834">
              <w:t>.</w:t>
            </w:r>
          </w:p>
        </w:tc>
        <w:tc>
          <w:tcPr>
            <w:tcW w:w="1133" w:type="dxa"/>
            <w:tcBorders>
              <w:top w:val="nil"/>
              <w:left w:val="nil"/>
              <w:bottom w:val="nil"/>
              <w:right w:val="nil"/>
            </w:tcBorders>
            <w:shd w:val="clear" w:color="auto" w:fill="auto"/>
            <w:vAlign w:val="center"/>
            <w:hideMark/>
          </w:tcPr>
          <w:p w14:paraId="726A845B" w14:textId="77777777" w:rsidR="00FA7AEF" w:rsidRPr="00487834" w:rsidRDefault="00FA7AEF" w:rsidP="00F36A29">
            <w:pPr>
              <w:pStyle w:val="NoSpacing"/>
            </w:pPr>
            <w:r w:rsidRPr="00487834">
              <w:t>-</w:t>
            </w:r>
          </w:p>
        </w:tc>
        <w:tc>
          <w:tcPr>
            <w:tcW w:w="1300" w:type="dxa"/>
            <w:tcBorders>
              <w:top w:val="nil"/>
              <w:left w:val="nil"/>
              <w:bottom w:val="nil"/>
              <w:right w:val="nil"/>
            </w:tcBorders>
            <w:shd w:val="clear" w:color="auto" w:fill="auto"/>
            <w:noWrap/>
            <w:vAlign w:val="center"/>
            <w:hideMark/>
          </w:tcPr>
          <w:p w14:paraId="7B647C82" w14:textId="77777777" w:rsidR="00FA7AEF" w:rsidRPr="00487834" w:rsidRDefault="00FA7AEF" w:rsidP="00F36A29">
            <w:pPr>
              <w:pStyle w:val="NoSpacing"/>
            </w:pPr>
            <w:r w:rsidRPr="00487834">
              <w:t>0.371</w:t>
            </w:r>
          </w:p>
        </w:tc>
        <w:tc>
          <w:tcPr>
            <w:tcW w:w="1300" w:type="dxa"/>
            <w:tcBorders>
              <w:top w:val="nil"/>
              <w:left w:val="nil"/>
              <w:bottom w:val="nil"/>
              <w:right w:val="nil"/>
            </w:tcBorders>
            <w:shd w:val="clear" w:color="auto" w:fill="auto"/>
            <w:noWrap/>
            <w:vAlign w:val="center"/>
            <w:hideMark/>
          </w:tcPr>
          <w:p w14:paraId="5909852E" w14:textId="77777777" w:rsidR="00FA7AEF" w:rsidRPr="00487834" w:rsidRDefault="00FA7AEF" w:rsidP="00F36A29">
            <w:pPr>
              <w:pStyle w:val="NoSpacing"/>
            </w:pPr>
            <w:r w:rsidRPr="00487834">
              <w:t>0.669</w:t>
            </w:r>
          </w:p>
        </w:tc>
      </w:tr>
      <w:tr w:rsidR="00FA7AEF" w:rsidRPr="00487834" w14:paraId="7BE86042" w14:textId="77777777" w:rsidTr="00FA7AEF">
        <w:trPr>
          <w:trHeight w:val="560"/>
          <w:jc w:val="center"/>
        </w:trPr>
        <w:tc>
          <w:tcPr>
            <w:tcW w:w="2127" w:type="dxa"/>
            <w:tcBorders>
              <w:top w:val="nil"/>
              <w:left w:val="nil"/>
              <w:bottom w:val="nil"/>
              <w:right w:val="nil"/>
            </w:tcBorders>
            <w:shd w:val="clear" w:color="auto" w:fill="auto"/>
            <w:noWrap/>
            <w:vAlign w:val="center"/>
            <w:hideMark/>
          </w:tcPr>
          <w:p w14:paraId="0C208F65" w14:textId="77777777" w:rsidR="00FA7AEF" w:rsidRPr="00487834" w:rsidRDefault="00FA7AEF" w:rsidP="00F36A29">
            <w:pPr>
              <w:pStyle w:val="NoSpacing"/>
            </w:pPr>
            <w:r w:rsidRPr="00487834">
              <w:t xml:space="preserve">Year </w:t>
            </w:r>
            <w:proofErr w:type="spellStart"/>
            <w:r w:rsidRPr="00487834">
              <w:t>effects</w:t>
            </w:r>
            <w:proofErr w:type="spellEnd"/>
          </w:p>
        </w:tc>
        <w:tc>
          <w:tcPr>
            <w:tcW w:w="1133" w:type="dxa"/>
            <w:tcBorders>
              <w:top w:val="nil"/>
              <w:left w:val="nil"/>
              <w:bottom w:val="nil"/>
              <w:right w:val="nil"/>
            </w:tcBorders>
            <w:shd w:val="clear" w:color="auto" w:fill="auto"/>
            <w:vAlign w:val="center"/>
            <w:hideMark/>
          </w:tcPr>
          <w:p w14:paraId="5829D48E" w14:textId="77777777" w:rsidR="00FA7AEF" w:rsidRPr="00487834" w:rsidRDefault="00FA7AEF" w:rsidP="00F36A29">
            <w:pPr>
              <w:pStyle w:val="NoSpacing"/>
            </w:pPr>
            <w:r w:rsidRPr="00487834">
              <w:t>Yes</w:t>
            </w:r>
          </w:p>
        </w:tc>
        <w:tc>
          <w:tcPr>
            <w:tcW w:w="1300" w:type="dxa"/>
            <w:tcBorders>
              <w:top w:val="nil"/>
              <w:left w:val="nil"/>
              <w:bottom w:val="nil"/>
              <w:right w:val="nil"/>
            </w:tcBorders>
            <w:shd w:val="clear" w:color="auto" w:fill="auto"/>
            <w:vAlign w:val="center"/>
            <w:hideMark/>
          </w:tcPr>
          <w:p w14:paraId="57CC34A2" w14:textId="77777777" w:rsidR="00FA7AEF" w:rsidRPr="00487834" w:rsidRDefault="00FA7AEF" w:rsidP="00F36A29">
            <w:pPr>
              <w:pStyle w:val="NoSpacing"/>
            </w:pPr>
            <w:r w:rsidRPr="00487834">
              <w:t>Yes</w:t>
            </w:r>
          </w:p>
        </w:tc>
        <w:tc>
          <w:tcPr>
            <w:tcW w:w="1300" w:type="dxa"/>
            <w:tcBorders>
              <w:top w:val="nil"/>
              <w:left w:val="nil"/>
              <w:bottom w:val="nil"/>
              <w:right w:val="nil"/>
            </w:tcBorders>
            <w:shd w:val="clear" w:color="auto" w:fill="auto"/>
            <w:noWrap/>
            <w:vAlign w:val="center"/>
            <w:hideMark/>
          </w:tcPr>
          <w:p w14:paraId="500C1E04" w14:textId="77777777" w:rsidR="00FA7AEF" w:rsidRPr="00487834" w:rsidRDefault="00FA7AEF" w:rsidP="00F36A29">
            <w:pPr>
              <w:pStyle w:val="NoSpacing"/>
            </w:pPr>
            <w:r w:rsidRPr="00487834">
              <w:t>Yes</w:t>
            </w:r>
          </w:p>
        </w:tc>
      </w:tr>
      <w:tr w:rsidR="00FA7AEF" w:rsidRPr="00487834" w14:paraId="417651F1" w14:textId="77777777" w:rsidTr="00FA7AEF">
        <w:trPr>
          <w:trHeight w:val="560"/>
          <w:jc w:val="center"/>
        </w:trPr>
        <w:tc>
          <w:tcPr>
            <w:tcW w:w="2127" w:type="dxa"/>
            <w:tcBorders>
              <w:top w:val="nil"/>
              <w:left w:val="nil"/>
              <w:bottom w:val="nil"/>
              <w:right w:val="nil"/>
            </w:tcBorders>
            <w:shd w:val="clear" w:color="auto" w:fill="auto"/>
            <w:noWrap/>
            <w:vAlign w:val="center"/>
            <w:hideMark/>
          </w:tcPr>
          <w:p w14:paraId="1CC1B7E5" w14:textId="77777777" w:rsidR="00FA7AEF" w:rsidRPr="00487834" w:rsidRDefault="00FA7AEF" w:rsidP="00F36A29">
            <w:pPr>
              <w:pStyle w:val="NoSpacing"/>
            </w:pPr>
            <w:proofErr w:type="spellStart"/>
            <w:r w:rsidRPr="00487834">
              <w:t>Firm</w:t>
            </w:r>
            <w:proofErr w:type="spellEnd"/>
            <w:r w:rsidRPr="00487834">
              <w:t xml:space="preserve"> </w:t>
            </w:r>
            <w:proofErr w:type="spellStart"/>
            <w:r w:rsidRPr="00487834">
              <w:t>effects</w:t>
            </w:r>
            <w:proofErr w:type="spellEnd"/>
          </w:p>
        </w:tc>
        <w:tc>
          <w:tcPr>
            <w:tcW w:w="1133" w:type="dxa"/>
            <w:tcBorders>
              <w:top w:val="nil"/>
              <w:left w:val="nil"/>
              <w:bottom w:val="nil"/>
              <w:right w:val="nil"/>
            </w:tcBorders>
            <w:shd w:val="clear" w:color="auto" w:fill="auto"/>
            <w:vAlign w:val="center"/>
            <w:hideMark/>
          </w:tcPr>
          <w:p w14:paraId="4EB87FAB" w14:textId="77777777" w:rsidR="00FA7AEF" w:rsidRPr="00487834" w:rsidRDefault="00FA7AEF" w:rsidP="00F36A29">
            <w:pPr>
              <w:pStyle w:val="NoSpacing"/>
            </w:pPr>
            <w:r w:rsidRPr="00487834">
              <w:t>Yes</w:t>
            </w:r>
          </w:p>
        </w:tc>
        <w:tc>
          <w:tcPr>
            <w:tcW w:w="1300" w:type="dxa"/>
            <w:tcBorders>
              <w:top w:val="nil"/>
              <w:left w:val="nil"/>
              <w:bottom w:val="nil"/>
              <w:right w:val="nil"/>
            </w:tcBorders>
            <w:shd w:val="clear" w:color="auto" w:fill="auto"/>
            <w:vAlign w:val="center"/>
            <w:hideMark/>
          </w:tcPr>
          <w:p w14:paraId="170694CC" w14:textId="77777777" w:rsidR="00FA7AEF" w:rsidRPr="00487834" w:rsidRDefault="00FA7AEF" w:rsidP="00F36A29">
            <w:pPr>
              <w:pStyle w:val="NoSpacing"/>
            </w:pPr>
            <w:r w:rsidRPr="00487834">
              <w:t>Yes</w:t>
            </w:r>
          </w:p>
        </w:tc>
        <w:tc>
          <w:tcPr>
            <w:tcW w:w="1300" w:type="dxa"/>
            <w:tcBorders>
              <w:top w:val="nil"/>
              <w:left w:val="nil"/>
              <w:bottom w:val="nil"/>
              <w:right w:val="nil"/>
            </w:tcBorders>
            <w:shd w:val="clear" w:color="auto" w:fill="auto"/>
            <w:noWrap/>
            <w:vAlign w:val="center"/>
            <w:hideMark/>
          </w:tcPr>
          <w:p w14:paraId="72870922" w14:textId="77777777" w:rsidR="00FA7AEF" w:rsidRPr="00487834" w:rsidRDefault="00FA7AEF" w:rsidP="00F36A29">
            <w:pPr>
              <w:pStyle w:val="NoSpacing"/>
            </w:pPr>
            <w:r w:rsidRPr="00487834">
              <w:t>Yes</w:t>
            </w:r>
          </w:p>
        </w:tc>
      </w:tr>
      <w:tr w:rsidR="00FA7AEF" w:rsidRPr="00487834" w14:paraId="334136D7" w14:textId="77777777" w:rsidTr="00FA7AEF">
        <w:trPr>
          <w:trHeight w:val="1220"/>
          <w:jc w:val="center"/>
        </w:trPr>
        <w:tc>
          <w:tcPr>
            <w:tcW w:w="2127" w:type="dxa"/>
            <w:tcBorders>
              <w:top w:val="nil"/>
              <w:left w:val="nil"/>
              <w:bottom w:val="single" w:sz="4" w:space="0" w:color="auto"/>
              <w:right w:val="nil"/>
            </w:tcBorders>
            <w:shd w:val="clear" w:color="auto" w:fill="auto"/>
            <w:vAlign w:val="center"/>
            <w:hideMark/>
          </w:tcPr>
          <w:p w14:paraId="7332564D" w14:textId="77777777" w:rsidR="00FA7AEF" w:rsidRPr="00487834" w:rsidRDefault="00FA7AEF" w:rsidP="00F36A29">
            <w:pPr>
              <w:pStyle w:val="NoSpacing"/>
            </w:pPr>
            <w:proofErr w:type="spellStart"/>
            <w:r w:rsidRPr="00487834">
              <w:t>Robust</w:t>
            </w:r>
            <w:proofErr w:type="spellEnd"/>
            <w:r w:rsidRPr="00487834">
              <w:t xml:space="preserve"> </w:t>
            </w:r>
            <w:proofErr w:type="spellStart"/>
            <w:r w:rsidRPr="00487834">
              <w:t>standard</w:t>
            </w:r>
            <w:proofErr w:type="spellEnd"/>
            <w:r w:rsidRPr="00487834">
              <w:t xml:space="preserve"> </w:t>
            </w:r>
            <w:proofErr w:type="spellStart"/>
            <w:r w:rsidRPr="00487834">
              <w:t>errors</w:t>
            </w:r>
            <w:proofErr w:type="spellEnd"/>
          </w:p>
        </w:tc>
        <w:tc>
          <w:tcPr>
            <w:tcW w:w="1133" w:type="dxa"/>
            <w:tcBorders>
              <w:top w:val="nil"/>
              <w:left w:val="nil"/>
              <w:bottom w:val="single" w:sz="4" w:space="0" w:color="auto"/>
              <w:right w:val="nil"/>
            </w:tcBorders>
            <w:shd w:val="clear" w:color="auto" w:fill="auto"/>
            <w:vAlign w:val="center"/>
            <w:hideMark/>
          </w:tcPr>
          <w:p w14:paraId="6D25BA50" w14:textId="77777777" w:rsidR="00FA7AEF" w:rsidRPr="00487834" w:rsidRDefault="00FA7AEF" w:rsidP="00F36A29">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300" w:type="dxa"/>
            <w:tcBorders>
              <w:top w:val="nil"/>
              <w:left w:val="nil"/>
              <w:bottom w:val="single" w:sz="4" w:space="0" w:color="auto"/>
              <w:right w:val="nil"/>
            </w:tcBorders>
            <w:shd w:val="clear" w:color="auto" w:fill="auto"/>
            <w:vAlign w:val="center"/>
            <w:hideMark/>
          </w:tcPr>
          <w:p w14:paraId="5B696FF2" w14:textId="77777777" w:rsidR="00FA7AEF" w:rsidRPr="00487834" w:rsidRDefault="00FA7AEF" w:rsidP="00F36A29">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c>
          <w:tcPr>
            <w:tcW w:w="1300" w:type="dxa"/>
            <w:tcBorders>
              <w:top w:val="nil"/>
              <w:left w:val="nil"/>
              <w:bottom w:val="single" w:sz="4" w:space="0" w:color="auto"/>
              <w:right w:val="nil"/>
            </w:tcBorders>
            <w:shd w:val="clear" w:color="auto" w:fill="auto"/>
            <w:vAlign w:val="center"/>
            <w:hideMark/>
          </w:tcPr>
          <w:p w14:paraId="76F86B81" w14:textId="77777777" w:rsidR="00FA7AEF" w:rsidRPr="00487834" w:rsidRDefault="00FA7AEF" w:rsidP="00F36A29">
            <w:pPr>
              <w:pStyle w:val="NoSpacing"/>
            </w:pPr>
            <w:r w:rsidRPr="00487834">
              <w:t>Cluster-</w:t>
            </w:r>
            <w:proofErr w:type="spellStart"/>
            <w:r w:rsidRPr="00487834">
              <w:t>Robust</w:t>
            </w:r>
            <w:proofErr w:type="spellEnd"/>
            <w:r w:rsidRPr="00487834">
              <w:t xml:space="preserve"> Standard </w:t>
            </w:r>
            <w:proofErr w:type="spellStart"/>
            <w:r w:rsidRPr="00487834">
              <w:t>Errors</w:t>
            </w:r>
            <w:proofErr w:type="spellEnd"/>
          </w:p>
        </w:tc>
      </w:tr>
    </w:tbl>
    <w:p w14:paraId="67E19D0F" w14:textId="77777777" w:rsidR="00A27CB9" w:rsidRPr="00487834" w:rsidRDefault="00A27CB9" w:rsidP="003128F6">
      <w:pPr>
        <w:autoSpaceDE w:val="0"/>
        <w:autoSpaceDN w:val="0"/>
        <w:adjustRightInd w:val="0"/>
        <w:spacing w:line="300" w:lineRule="auto"/>
        <w:rPr>
          <w:rFonts w:eastAsiaTheme="minorHAnsi"/>
          <w:lang w:val="en-US" w:eastAsia="en-US"/>
        </w:rPr>
      </w:pPr>
    </w:p>
    <w:p w14:paraId="5E4B5048" w14:textId="77777777" w:rsidR="00A30819" w:rsidRPr="00487834" w:rsidRDefault="00A30819" w:rsidP="007D10A3">
      <w:pPr>
        <w:spacing w:line="300" w:lineRule="auto"/>
        <w:ind w:firstLine="0"/>
        <w:rPr>
          <w:lang w:val="en-US"/>
        </w:rPr>
      </w:pPr>
    </w:p>
    <w:p w14:paraId="0251A60A" w14:textId="4FA5CE10" w:rsidR="00A30819" w:rsidRPr="00487834" w:rsidRDefault="00A30819" w:rsidP="007A6789">
      <w:pPr>
        <w:spacing w:line="300" w:lineRule="auto"/>
        <w:rPr>
          <w:lang w:val="en-US"/>
        </w:rPr>
      </w:pPr>
      <w:r w:rsidRPr="00487834">
        <w:rPr>
          <w:lang w:val="en-US"/>
        </w:rPr>
        <w:t xml:space="preserve">In Russia, the relationship between ESG scores and the cost of equity is not statistically significant (0.0006). </w:t>
      </w:r>
      <w:r w:rsidR="007D10A3">
        <w:rPr>
          <w:lang w:val="en-US"/>
        </w:rPr>
        <w:t xml:space="preserve">And here comes </w:t>
      </w:r>
      <w:r w:rsidR="007A6789">
        <w:rPr>
          <w:lang w:val="en-US"/>
        </w:rPr>
        <w:t xml:space="preserve">just another argument against our </w:t>
      </w:r>
      <w:r w:rsidRPr="00487834">
        <w:rPr>
          <w:lang w:val="en-US"/>
        </w:rPr>
        <w:t>not Hypothesis 4, which predicted a stronger effect due to the prevalent emission-intensive industries.</w:t>
      </w:r>
      <w:r w:rsidR="007A6789">
        <w:rPr>
          <w:lang w:val="en-US"/>
        </w:rPr>
        <w:t xml:space="preserve"> </w:t>
      </w:r>
      <w:r w:rsidRPr="00487834">
        <w:rPr>
          <w:lang w:val="en-US"/>
        </w:rPr>
        <w:t xml:space="preserve">Conversely, in Brazil, ESG scores exhibit a significant positive relationship with the cost of equity (0.0202, p &lt; </w:t>
      </w:r>
      <w:r w:rsidRPr="00487834">
        <w:rPr>
          <w:lang w:val="en-US"/>
        </w:rPr>
        <w:lastRenderedPageBreak/>
        <w:t>0.01).</w:t>
      </w:r>
      <w:r w:rsidR="007A6789">
        <w:rPr>
          <w:lang w:val="en-US"/>
        </w:rPr>
        <w:t xml:space="preserve"> Furthermore, </w:t>
      </w:r>
      <w:r w:rsidRPr="00487834">
        <w:rPr>
          <w:lang w:val="en-US"/>
        </w:rPr>
        <w:t xml:space="preserve">In South Africa, the ESG score also does not show a significant relationship with the cost of equity (0.0036). This indicates that, </w:t>
      </w:r>
      <w:proofErr w:type="gramStart"/>
      <w:r w:rsidRPr="00487834">
        <w:rPr>
          <w:lang w:val="en-US"/>
        </w:rPr>
        <w:t>similar to</w:t>
      </w:r>
      <w:proofErr w:type="gramEnd"/>
      <w:r w:rsidRPr="00487834">
        <w:rPr>
          <w:lang w:val="en-US"/>
        </w:rPr>
        <w:t xml:space="preserve"> Russia, ESG performance does not have a substantial impact on equity costs in the South African context. This might be due to market-specific factors or differing investor priorities in assessing ESG improvements.</w:t>
      </w:r>
    </w:p>
    <w:p w14:paraId="0554CD05" w14:textId="60817ECA" w:rsidR="00D1584D" w:rsidRPr="00487834" w:rsidRDefault="00A30819" w:rsidP="00DE4C2A">
      <w:pPr>
        <w:spacing w:line="300" w:lineRule="auto"/>
        <w:ind w:firstLine="720"/>
        <w:rPr>
          <w:lang w:val="en-US"/>
        </w:rPr>
      </w:pPr>
      <w:r w:rsidRPr="00487834">
        <w:rPr>
          <w:lang w:val="en-US"/>
        </w:rPr>
        <w:t xml:space="preserve">These findings highlight the complex and varied impacts of ESG scores on equity costs across BRICS nations. While ESG improvements significantly influence equity costs in Brazil, their impact is </w:t>
      </w:r>
      <w:r w:rsidR="007A6789">
        <w:rPr>
          <w:lang w:val="en-US"/>
        </w:rPr>
        <w:t>insignificant</w:t>
      </w:r>
      <w:r w:rsidRPr="00487834">
        <w:rPr>
          <w:lang w:val="en-US"/>
        </w:rPr>
        <w:t xml:space="preserve"> in Russia and South Africa. This underscores the necessity of contextual understanding and market-specific strategies when evaluating the financial benefits of ESG performance.</w:t>
      </w:r>
    </w:p>
    <w:p w14:paraId="2149F9A2" w14:textId="77777777" w:rsidR="00D1584D" w:rsidRPr="00487834" w:rsidRDefault="00D1584D" w:rsidP="003128F6">
      <w:pPr>
        <w:spacing w:line="300" w:lineRule="auto"/>
        <w:rPr>
          <w:lang w:val="en-US"/>
        </w:rPr>
      </w:pPr>
    </w:p>
    <w:p w14:paraId="2DFA73E6" w14:textId="77777777" w:rsidR="00C87E2D" w:rsidRPr="00487834" w:rsidRDefault="00C87E2D" w:rsidP="003128F6">
      <w:pPr>
        <w:spacing w:line="300" w:lineRule="auto"/>
        <w:rPr>
          <w:lang w:val="en-US"/>
        </w:rPr>
      </w:pPr>
    </w:p>
    <w:p w14:paraId="7C3D134C" w14:textId="4743F88C" w:rsidR="007D0E8E" w:rsidRPr="00487834" w:rsidRDefault="00901EBC" w:rsidP="00286F41">
      <w:pPr>
        <w:pStyle w:val="Heading2"/>
        <w:jc w:val="center"/>
        <w:rPr>
          <w:rFonts w:cs="Times New Roman"/>
          <w:lang w:val="en-GB"/>
        </w:rPr>
      </w:pPr>
      <w:bookmarkStart w:id="23" w:name="_Toc167918994"/>
      <w:r w:rsidRPr="00487834">
        <w:rPr>
          <w:rFonts w:cs="Times New Roman"/>
          <w:lang w:val="en-GB"/>
        </w:rPr>
        <w:t>5.</w:t>
      </w:r>
      <w:r w:rsidRPr="00487834">
        <w:rPr>
          <w:rFonts w:cs="Times New Roman"/>
          <w:lang w:val="en-US"/>
        </w:rPr>
        <w:t>1</w:t>
      </w:r>
      <w:r w:rsidR="00286F41" w:rsidRPr="00487834">
        <w:rPr>
          <w:rFonts w:cs="Times New Roman"/>
          <w:lang w:val="en-GB"/>
        </w:rPr>
        <w:t xml:space="preserve">. </w:t>
      </w:r>
      <w:r w:rsidR="00DE4C2A">
        <w:rPr>
          <w:rFonts w:cs="Times New Roman"/>
          <w:lang w:val="en-GB"/>
        </w:rPr>
        <w:t>Managerial implications</w:t>
      </w:r>
      <w:bookmarkEnd w:id="23"/>
    </w:p>
    <w:p w14:paraId="61D0CFC1" w14:textId="77777777" w:rsidR="00C51ECA" w:rsidRDefault="00C51ECA" w:rsidP="00E942DD">
      <w:pPr>
        <w:autoSpaceDE w:val="0"/>
        <w:autoSpaceDN w:val="0"/>
        <w:adjustRightInd w:val="0"/>
        <w:spacing w:line="300" w:lineRule="auto"/>
        <w:jc w:val="left"/>
        <w:rPr>
          <w:lang w:val="en-GB"/>
        </w:rPr>
      </w:pPr>
    </w:p>
    <w:p w14:paraId="403C1AE4" w14:textId="2FD0CDAA" w:rsidR="00E942DD" w:rsidRPr="00E942DD" w:rsidRDefault="00E942DD" w:rsidP="00AD365D">
      <w:pPr>
        <w:autoSpaceDE w:val="0"/>
        <w:autoSpaceDN w:val="0"/>
        <w:adjustRightInd w:val="0"/>
        <w:spacing w:line="300" w:lineRule="auto"/>
        <w:jc w:val="left"/>
        <w:rPr>
          <w:lang w:val="en-GB"/>
        </w:rPr>
      </w:pPr>
      <w:r w:rsidRPr="00E942DD">
        <w:rPr>
          <w:lang w:val="en-GB"/>
        </w:rPr>
        <w:t xml:space="preserve">Companies already leading in ESG performance, particularly in markets like Brazil, should continue to invest in sustainability initiatives. Although initial investments might increase the cost of equity due to perceived risks and costs, these firms can leverage long-term benefits such as enhanced reputation, better stakeholder relationships, and potentially lower future capital costs. For example, studies by Nga &amp; </w:t>
      </w:r>
      <w:proofErr w:type="spellStart"/>
      <w:r w:rsidRPr="00E942DD">
        <w:rPr>
          <w:lang w:val="en-GB"/>
        </w:rPr>
        <w:t>Rezaee</w:t>
      </w:r>
      <w:proofErr w:type="spellEnd"/>
      <w:r w:rsidRPr="00E942DD">
        <w:rPr>
          <w:lang w:val="en-GB"/>
        </w:rPr>
        <w:t xml:space="preserve"> (2015) and Giese et al. (2019) highlight that top ESG performers can recover faster from market shocks, suggesting that high ESG standards offer resilience against systematic risks.</w:t>
      </w:r>
      <w:r w:rsidR="00AD365D">
        <w:rPr>
          <w:lang w:val="en-GB"/>
        </w:rPr>
        <w:t xml:space="preserve"> Underperformers </w:t>
      </w:r>
      <w:r w:rsidR="00923633">
        <w:rPr>
          <w:lang w:val="en-GB"/>
        </w:rPr>
        <w:t>on the contrary should carefully consider cost versus benefit stemming from costly ESG transformations.</w:t>
      </w:r>
    </w:p>
    <w:p w14:paraId="43896550" w14:textId="18E21745" w:rsidR="00E942DD" w:rsidRPr="00E942DD" w:rsidRDefault="008C7BD9" w:rsidP="008C7BD9">
      <w:pPr>
        <w:autoSpaceDE w:val="0"/>
        <w:autoSpaceDN w:val="0"/>
        <w:adjustRightInd w:val="0"/>
        <w:spacing w:line="300" w:lineRule="auto"/>
        <w:ind w:firstLine="720"/>
        <w:jc w:val="left"/>
        <w:rPr>
          <w:lang w:val="en-GB"/>
        </w:rPr>
      </w:pPr>
      <w:proofErr w:type="spellStart"/>
      <w:r>
        <w:rPr>
          <w:lang w:val="en-GB"/>
        </w:rPr>
        <w:t>Countrywise</w:t>
      </w:r>
      <w:proofErr w:type="spellEnd"/>
      <w:r>
        <w:rPr>
          <w:lang w:val="en-GB"/>
        </w:rPr>
        <w:t>,</w:t>
      </w:r>
      <w:r w:rsidR="00E942DD" w:rsidRPr="00E942DD">
        <w:rPr>
          <w:lang w:val="en-GB"/>
        </w:rPr>
        <w:t xml:space="preserve"> significant positive relationship between ESG scores and the cost of equity in Brazil implies that investors are sensitive to ESG factors. Firms should therefore ensure comprehensive ESG reporting and transparent communication of their sustainability efforts to attract and retain investors. This aligns with </w:t>
      </w:r>
      <w:proofErr w:type="spellStart"/>
      <w:r w:rsidR="00E942DD" w:rsidRPr="00E942DD">
        <w:rPr>
          <w:lang w:val="en-GB"/>
        </w:rPr>
        <w:t>Apergis</w:t>
      </w:r>
      <w:proofErr w:type="spellEnd"/>
      <w:r w:rsidR="00E942DD" w:rsidRPr="00E942DD">
        <w:rPr>
          <w:lang w:val="en-GB"/>
        </w:rPr>
        <w:t xml:space="preserve"> et al. (2022), who found that better ESG performance reduces borrowing costs, emphasizing the importance of robust ESG practices in the Brazilian market.</w:t>
      </w:r>
      <w:r>
        <w:rPr>
          <w:lang w:val="en-GB"/>
        </w:rPr>
        <w:t xml:space="preserve"> On the other hand, the</w:t>
      </w:r>
      <w:r w:rsidR="00E942DD" w:rsidRPr="00E942DD">
        <w:rPr>
          <w:lang w:val="en-GB"/>
        </w:rPr>
        <w:t xml:space="preserve"> minimal impact of ESG scores on the cost of capital in Russia suggests a need for heightened awareness and integration of ESG principles. Managers should focus on educating investors and stakeholders about the long-term financial and non-financial benefits of ESG improvements. Additionally, as Russia is heavily reliant on emission-intensive industries, significant ESG advancements can provide a competitive edge in the global market, despite the current lack of immediate financial </w:t>
      </w:r>
      <w:proofErr w:type="spellStart"/>
      <w:proofErr w:type="gramStart"/>
      <w:r w:rsidR="00E942DD" w:rsidRPr="00E942DD">
        <w:rPr>
          <w:lang w:val="en-GB"/>
        </w:rPr>
        <w:t>benefits.</w:t>
      </w:r>
      <w:r>
        <w:rPr>
          <w:lang w:val="en-GB"/>
        </w:rPr>
        <w:t>Lastly</w:t>
      </w:r>
      <w:proofErr w:type="spellEnd"/>
      <w:proofErr w:type="gramEnd"/>
      <w:r>
        <w:rPr>
          <w:lang w:val="en-GB"/>
        </w:rPr>
        <w:t>, w</w:t>
      </w:r>
      <w:r w:rsidR="00E942DD" w:rsidRPr="00E942DD">
        <w:rPr>
          <w:lang w:val="en-GB"/>
        </w:rPr>
        <w:t>ith mixed results in the relationship between ESG scores and capital costs, South African firms should adopt a balanced approach. While significant ESG improvements might not immediately lower capital costs, they can enhance the company's long-term sustainability and market reputation, eventually leading to financial benefits. Managers should emphasize the strategic importance of ESG initiatives beyond immediate cost considerations.</w:t>
      </w:r>
    </w:p>
    <w:p w14:paraId="02CEF0DE" w14:textId="2AFDFDA2" w:rsidR="00E942DD" w:rsidRPr="00E942DD" w:rsidRDefault="008C7BD9" w:rsidP="00C778BB">
      <w:pPr>
        <w:autoSpaceDE w:val="0"/>
        <w:autoSpaceDN w:val="0"/>
        <w:adjustRightInd w:val="0"/>
        <w:spacing w:line="300" w:lineRule="auto"/>
        <w:ind w:firstLine="720"/>
        <w:jc w:val="left"/>
        <w:rPr>
          <w:lang w:val="en-GB"/>
        </w:rPr>
      </w:pPr>
      <w:proofErr w:type="gramStart"/>
      <w:r>
        <w:rPr>
          <w:lang w:val="en-GB"/>
        </w:rPr>
        <w:t>Furthermore</w:t>
      </w:r>
      <w:proofErr w:type="gramEnd"/>
      <w:r>
        <w:rPr>
          <w:lang w:val="en-GB"/>
        </w:rPr>
        <w:t xml:space="preserve"> it is crucial for </w:t>
      </w:r>
      <w:r w:rsidR="002331E2">
        <w:rPr>
          <w:lang w:val="en-GB"/>
        </w:rPr>
        <w:t xml:space="preserve">management to consider different approaches for equity holders and debtholders. </w:t>
      </w:r>
      <w:r w:rsidR="00E942DD" w:rsidRPr="00E942DD">
        <w:rPr>
          <w:lang w:val="en-GB"/>
        </w:rPr>
        <w:t xml:space="preserve">The generally positive relationship between ESG scores and the cost of equity suggests that investors may perceive higher ESG scores as indicative of increased costs </w:t>
      </w:r>
      <w:r w:rsidR="00E942DD" w:rsidRPr="00E942DD">
        <w:rPr>
          <w:lang w:val="en-GB"/>
        </w:rPr>
        <w:lastRenderedPageBreak/>
        <w:t>and risks associated with implementing and maintaining these standards. Managers should therefore focus on transparent and effective communication of their ESG strategies, demonstrating how these initiatives contribute to long-term value creation and risk mitigation. Educating investors about the strategic benefits of ESG can help align perceptions with the firm's sustainability goals.</w:t>
      </w:r>
      <w:r w:rsidR="00EE009E">
        <w:rPr>
          <w:lang w:val="en-GB"/>
        </w:rPr>
        <w:t xml:space="preserve"> But at the same time, the benefits should be rationally assessed to avoid falling in the trap of blind following the ‘green’ trends. Still, </w:t>
      </w:r>
      <w:r w:rsidR="00E942DD" w:rsidRPr="00E942DD">
        <w:rPr>
          <w:lang w:val="en-GB"/>
        </w:rPr>
        <w:t>ESG investments might increase short-term equity costs, the long-term benefits such as enhanced corporate reputation, better stakeholder relationships, and resilience against market shocks can offset these initial costs. Managers should adopt a balanced approach, prioritizing ESG initiatives that offer clear strategic advantages and communicating their long-term value proposition to investors.</w:t>
      </w:r>
      <w:r w:rsidR="00C778BB">
        <w:rPr>
          <w:lang w:val="en-GB"/>
        </w:rPr>
        <w:t xml:space="preserve"> When it comes to the</w:t>
      </w:r>
      <w:r w:rsidR="00E942DD" w:rsidRPr="00E942DD">
        <w:rPr>
          <w:lang w:val="en-GB"/>
        </w:rPr>
        <w:t xml:space="preserve"> mixed </w:t>
      </w:r>
      <w:r w:rsidR="00C778BB">
        <w:rPr>
          <w:lang w:val="en-GB"/>
        </w:rPr>
        <w:t xml:space="preserve">effect </w:t>
      </w:r>
      <w:r w:rsidR="00E942DD" w:rsidRPr="00E942DD">
        <w:rPr>
          <w:lang w:val="en-GB"/>
        </w:rPr>
        <w:t xml:space="preserve">of </w:t>
      </w:r>
      <w:r w:rsidR="00C778BB">
        <w:rPr>
          <w:lang w:val="en-GB"/>
        </w:rPr>
        <w:t xml:space="preserve">the </w:t>
      </w:r>
      <w:r w:rsidR="00E942DD" w:rsidRPr="00E942DD">
        <w:rPr>
          <w:lang w:val="en-GB"/>
        </w:rPr>
        <w:t xml:space="preserve">ESG scores on the cost of debt across different performance tiers suggests that significant ESG improvements </w:t>
      </w:r>
      <w:r w:rsidR="00C778BB">
        <w:rPr>
          <w:lang w:val="en-GB"/>
        </w:rPr>
        <w:t xml:space="preserve">should be conducted carefully to improve </w:t>
      </w:r>
      <w:r w:rsidR="00E942DD" w:rsidRPr="00E942DD">
        <w:rPr>
          <w:lang w:val="en-GB"/>
        </w:rPr>
        <w:t xml:space="preserve">a firm's creditworthiness, especially for underperforming firms. Managers should focus on substantial and visible ESG initiatives that address key risk factors and demonstrate a commitment to sustainability. This can help reduce perceived risks among debtholders and lower borrowing </w:t>
      </w:r>
      <w:proofErr w:type="spellStart"/>
      <w:proofErr w:type="gramStart"/>
      <w:r w:rsidR="00E942DD" w:rsidRPr="00E942DD">
        <w:rPr>
          <w:lang w:val="en-GB"/>
        </w:rPr>
        <w:t>costs.For</w:t>
      </w:r>
      <w:proofErr w:type="spellEnd"/>
      <w:proofErr w:type="gramEnd"/>
      <w:r w:rsidR="00E942DD" w:rsidRPr="00E942DD">
        <w:rPr>
          <w:lang w:val="en-GB"/>
        </w:rPr>
        <w:t xml:space="preserve"> firms in markets like Brazil, where ESG improvements have shown to reduce borrowing costs, managers should actively leverage their ESG performance to negotiate better financing terms. This involves not only implementing robust ESG practices but also ensuring comprehensive reporting and communication with lenders to highlight the firm's commitment to sustainability and risk management.</w:t>
      </w:r>
    </w:p>
    <w:p w14:paraId="57FB2414" w14:textId="77777777" w:rsidR="00E942DD" w:rsidRPr="00E942DD" w:rsidRDefault="00E942DD" w:rsidP="00E942DD">
      <w:pPr>
        <w:autoSpaceDE w:val="0"/>
        <w:autoSpaceDN w:val="0"/>
        <w:adjustRightInd w:val="0"/>
        <w:spacing w:line="300" w:lineRule="auto"/>
        <w:jc w:val="left"/>
        <w:rPr>
          <w:lang w:val="en-GB"/>
        </w:rPr>
      </w:pPr>
    </w:p>
    <w:p w14:paraId="5E76249C" w14:textId="77777777" w:rsidR="008125C4" w:rsidRPr="00DE4C2A" w:rsidRDefault="008125C4" w:rsidP="003128F6">
      <w:pPr>
        <w:autoSpaceDE w:val="0"/>
        <w:autoSpaceDN w:val="0"/>
        <w:adjustRightInd w:val="0"/>
        <w:spacing w:line="300" w:lineRule="auto"/>
        <w:jc w:val="center"/>
        <w:rPr>
          <w:b/>
          <w:bCs/>
          <w:lang w:val="en-GB"/>
        </w:rPr>
      </w:pPr>
    </w:p>
    <w:p w14:paraId="0C98F8AA" w14:textId="77777777" w:rsidR="00487834" w:rsidRPr="00DE4C2A" w:rsidRDefault="00487834" w:rsidP="00DE4C2A">
      <w:pPr>
        <w:autoSpaceDE w:val="0"/>
        <w:autoSpaceDN w:val="0"/>
        <w:adjustRightInd w:val="0"/>
        <w:spacing w:line="300" w:lineRule="auto"/>
        <w:jc w:val="center"/>
        <w:rPr>
          <w:lang w:val="en-GB"/>
        </w:rPr>
      </w:pPr>
    </w:p>
    <w:p w14:paraId="09AEB1A9" w14:textId="6CF7F0AA" w:rsidR="00487834" w:rsidRPr="00DE4C2A" w:rsidRDefault="00C778BB" w:rsidP="00DE4C2A">
      <w:pPr>
        <w:pStyle w:val="ListParagraph"/>
        <w:numPr>
          <w:ilvl w:val="1"/>
          <w:numId w:val="6"/>
        </w:numPr>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 </w:t>
      </w:r>
      <w:proofErr w:type="spellStart"/>
      <w:r w:rsidR="00487834" w:rsidRPr="00DE4C2A">
        <w:rPr>
          <w:rFonts w:ascii="Times New Roman" w:hAnsi="Times New Roman" w:cs="Times New Roman"/>
          <w:b/>
          <w:bCs/>
          <w:sz w:val="24"/>
          <w:szCs w:val="24"/>
        </w:rPr>
        <w:t>Limitations</w:t>
      </w:r>
      <w:proofErr w:type="spellEnd"/>
      <w:r w:rsidR="00487834" w:rsidRPr="00DE4C2A">
        <w:rPr>
          <w:rFonts w:ascii="Times New Roman" w:hAnsi="Times New Roman" w:cs="Times New Roman"/>
          <w:b/>
          <w:bCs/>
          <w:sz w:val="24"/>
          <w:szCs w:val="24"/>
        </w:rPr>
        <w:t>:</w:t>
      </w:r>
    </w:p>
    <w:p w14:paraId="0DE26602" w14:textId="77777777" w:rsidR="00487834" w:rsidRPr="00D229B8" w:rsidRDefault="00487834" w:rsidP="00487834">
      <w:pPr>
        <w:ind w:firstLine="720"/>
        <w:rPr>
          <w:lang w:val="en-US"/>
        </w:rPr>
      </w:pPr>
      <w:r w:rsidRPr="00DE4C2A">
        <w:rPr>
          <w:lang w:val="en-US"/>
        </w:rPr>
        <w:t>One of the limitations</w:t>
      </w:r>
      <w:r w:rsidRPr="00487834">
        <w:rPr>
          <w:lang w:val="en-US"/>
        </w:rPr>
        <w:t xml:space="preserve"> of this study lies in the absence of focus on time effects within the model and limited time frame of data. While some companies provide detailed and transparent ESG reports, others might have incomplete or inconsistent disclosures. This inconsistency can lead to potential biases in the analysis, as the ESG scores used might not fully capture the actual ESG performance of all firms. Moreover, the study relies on ESG data from specific time periods. the temporal scope might limit the ability to observe long-term effects and trends, particularly as firms' ESG practices and market perceptions evolve, and most importantly how market participants, firms, and rating agencies behave at times of crisis. Such as COVID Pandemic or immense </w:t>
      </w:r>
      <w:proofErr w:type="spellStart"/>
      <w:r w:rsidRPr="00487834">
        <w:rPr>
          <w:lang w:val="en-US"/>
        </w:rPr>
        <w:t>sanctionary</w:t>
      </w:r>
      <w:proofErr w:type="spellEnd"/>
      <w:r w:rsidRPr="00487834">
        <w:rPr>
          <w:lang w:val="en-US"/>
        </w:rPr>
        <w:t xml:space="preserve"> pressure on Russia since 2022. </w:t>
      </w:r>
      <w:r w:rsidRPr="00D229B8">
        <w:rPr>
          <w:lang w:val="en-US"/>
        </w:rPr>
        <w:t>The COVID-19 pandemic has significantly impacted global markets and corporate behaviors. The study period may include pandemic-related anomalies that affect both ESG practices and financial performance. These extraordinary circumstances might skew the results, necessitating caution in interpreting the findings as representative of typical market conditions.</w:t>
      </w:r>
    </w:p>
    <w:p w14:paraId="41700463" w14:textId="77777777" w:rsidR="00487834" w:rsidRPr="00D229B8" w:rsidRDefault="00487834" w:rsidP="00487834">
      <w:pPr>
        <w:ind w:firstLine="720"/>
        <w:rPr>
          <w:lang w:val="en-US"/>
        </w:rPr>
      </w:pPr>
      <w:r w:rsidRPr="00D229B8">
        <w:rPr>
          <w:lang w:val="en-US"/>
        </w:rPr>
        <w:lastRenderedPageBreak/>
        <w:t>Economic and market conditions during the study period also present limitations. The prevailing economic and market conditions, such as interest rates, economic growth, and market volatility, can affect the cost of capital independently of ESG performance. These macroeconomic conditions might confound the relationship between ESG scores and capital costs, limiting the ability to attribute changes solely to ESG factors. Thus, a range of macroeconomic controls like inflation, GDP growth rate, fixed capital accumulation, and key rate should be considered</w:t>
      </w:r>
    </w:p>
    <w:p w14:paraId="200FE807" w14:textId="77777777" w:rsidR="00487834" w:rsidRPr="00D229B8" w:rsidRDefault="00487834" w:rsidP="00D229B8">
      <w:pPr>
        <w:ind w:firstLine="720"/>
        <w:rPr>
          <w:lang w:val="en-US"/>
        </w:rPr>
      </w:pPr>
      <w:r w:rsidRPr="00D229B8">
        <w:rPr>
          <w:lang w:val="en-US"/>
        </w:rPr>
        <w:t xml:space="preserve">Methodologically, the study employs regression analysis, a robust statistical tool, but one with inherent limitations. The models used may not capture all relevant variables influencing the cost of capital, potentially leading to endogeneity. Although Ramsey RESET tests for OVB were conducted, additional robustness checks for endogeneity might be useful, such as implementing 2SLS instrument variable regression. The choice between fixed effects and random effects models can also influence the findings. Although the Hausman test is typically used to determine the appropriate model, the inherent assumptions of each model type might affect the results. For instance, fixed effects models control for time-invariant characteristics but can eliminate useful variation, while random effects models assume that individual-specific effects are uncorrelated with the explanatory variables, which might not always be the case. For this </w:t>
      </w:r>
      <w:proofErr w:type="gramStart"/>
      <w:r w:rsidRPr="00D229B8">
        <w:rPr>
          <w:lang w:val="en-US"/>
        </w:rPr>
        <w:t>reason</w:t>
      </w:r>
      <w:proofErr w:type="gramEnd"/>
      <w:r w:rsidRPr="00D229B8">
        <w:rPr>
          <w:lang w:val="en-US"/>
        </w:rPr>
        <w:t xml:space="preserve"> in borderline cases both FE and RE models were displayed.</w:t>
      </w:r>
    </w:p>
    <w:p w14:paraId="1D45180F" w14:textId="77777777" w:rsidR="00487834" w:rsidRPr="00D229B8" w:rsidRDefault="00487834" w:rsidP="00487834">
      <w:pPr>
        <w:ind w:firstLine="720"/>
        <w:rPr>
          <w:lang w:val="en-US"/>
        </w:rPr>
      </w:pPr>
      <w:r w:rsidRPr="00D229B8">
        <w:rPr>
          <w:lang w:val="en-US"/>
        </w:rPr>
        <w:t xml:space="preserve">Geographical and cultural differences present another significant limitation. The BRICS countries have diverse economic, regulatory, and cultural environments, which can influence the relationship between ESG performance and the cost of capital. These differences might affect the generalizability of the findings. For example, regulatory frameworks for ESG reporting and investor priorities can vary widely, making it challenging to draw uniform conclusions across all BRICS nations. Additionally, the level of market maturity and investor sophistication differs across BRICS countries. Markets with more mature ESG practices and greater investor awareness may show different patterns compared to emerging markets where ESG considerations are still gaining traction. This disparity can affect the observed impact of ESG performance on the cost of equity and debt. In future </w:t>
      </w:r>
      <w:proofErr w:type="gramStart"/>
      <w:r w:rsidRPr="00D229B8">
        <w:rPr>
          <w:lang w:val="en-US"/>
        </w:rPr>
        <w:t>researches</w:t>
      </w:r>
      <w:proofErr w:type="gramEnd"/>
      <w:r w:rsidRPr="00D229B8">
        <w:rPr>
          <w:lang w:val="en-US"/>
        </w:rPr>
        <w:t xml:space="preserve"> both endogenous and exogenous factors like existence of clearly pronounced ESG strategy within firm and ESG regulatory framework in the market should be considered within fixed effects.</w:t>
      </w:r>
    </w:p>
    <w:p w14:paraId="0D444A8E" w14:textId="77777777" w:rsidR="00487834" w:rsidRPr="00D229B8" w:rsidRDefault="00487834" w:rsidP="00D229B8">
      <w:pPr>
        <w:ind w:firstLine="720"/>
        <w:rPr>
          <w:lang w:val="en-US"/>
        </w:rPr>
      </w:pPr>
      <w:r w:rsidRPr="00D229B8">
        <w:rPr>
          <w:lang w:val="en-US"/>
        </w:rPr>
        <w:t xml:space="preserve">Sectoral differences also play a crucial role. Different industries face varying levels of scrutiny and regulatory pressure regarding ESG practices. For instance, emission-intensive industries such as energy and manufacturing may experience more significant impacts from ESG performance compared to less scrutinized sectors. The study's findings might be influenced by </w:t>
      </w:r>
      <w:r w:rsidRPr="00D229B8">
        <w:rPr>
          <w:lang w:val="en-US"/>
        </w:rPr>
        <w:lastRenderedPageBreak/>
        <w:t>the industry composition of the sample, potentially limiting the ability to generalize across all sectors. Additionally, the materiality of ESG issues varies by industry. Certain ESG factors might be more relevant for some sectors than others, affecting the overall impact on the cost of capital. The study might not fully account for these industry-specific materiality differences, which could influence the results. The inability to include industry effects in the fixed effects model suggests that further research should employ a wider range of models that would be able to capture those industry specific effects that could possible moderate and mediate the effects of the ESG performance</w:t>
      </w:r>
    </w:p>
    <w:p w14:paraId="0FECD546" w14:textId="77777777" w:rsidR="00487834" w:rsidRPr="00D229B8" w:rsidRDefault="00487834" w:rsidP="00487834">
      <w:pPr>
        <w:ind w:firstLine="720"/>
        <w:rPr>
          <w:lang w:val="en-US"/>
        </w:rPr>
      </w:pPr>
      <w:r w:rsidRPr="00D229B8">
        <w:rPr>
          <w:lang w:val="en-US"/>
        </w:rPr>
        <w:t xml:space="preserve">The measurement of ESG performance itself is fraught with challenges. Different rating agencies and institutions use varying methodologies to assess ESG performance. These differences can lead to discrepancies in ESG scores for the same firm, depending on the source of the data. The study's reliance on a particular ESG rating agency might not capture all dimensions of ESG performance equally, potentially affecting the robustness of the findings.  While the research on the effects of so-called ESG disagreement (scoring </w:t>
      </w:r>
      <w:proofErr w:type="spellStart"/>
      <w:r w:rsidRPr="00D229B8">
        <w:rPr>
          <w:lang w:val="en-US"/>
        </w:rPr>
        <w:t>varaiations</w:t>
      </w:r>
      <w:proofErr w:type="spellEnd"/>
      <w:r w:rsidRPr="00D229B8">
        <w:rPr>
          <w:lang w:val="en-US"/>
        </w:rPr>
        <w:t xml:space="preserve"> between ratings agencies) on the cost of capital is nascent, some fresh insights are already given by scholars like Mio et. al. (2024) that suggest the positive effect of ESG disagreement on cost of equity.  The effect of ESG disagreement on stock returns has been found earlier by Gibson et. al. (2021). Furthermore, the study primarily uses composite ESG scores, which aggregate environmental, social, and governance factors. While this provides an overall measure of ESG performance, it might hide crucial nuances within each pillar. Future research could benefit from disaggregating these components to understand their individual impacts on the cost of capital.</w:t>
      </w:r>
    </w:p>
    <w:p w14:paraId="0BBE8DF0" w14:textId="77777777" w:rsidR="00487834" w:rsidRPr="00D229B8" w:rsidRDefault="00487834" w:rsidP="00487834">
      <w:pPr>
        <w:ind w:firstLine="720"/>
        <w:rPr>
          <w:lang w:val="en-US"/>
        </w:rPr>
      </w:pPr>
      <w:r w:rsidRPr="00D229B8">
        <w:rPr>
          <w:lang w:val="en-US"/>
        </w:rPr>
        <w:t>In conclusion, while this research provides meaningful insights into the relationship between ESG performance and the cost of capital in BRICS countries, acknowledging these limitations is crucial for a comprehensive understanding of the findings. Future research could address these limitations by using more specific data breakdown, exploring industry-specific impacts, and considering additional contextual factors. By doing so, it would be possible to build a more detailed and nuanced understanding of how ESG performance influences financial outcomes in diverse economic and regulatory environments.</w:t>
      </w:r>
    </w:p>
    <w:p w14:paraId="7FF707E5" w14:textId="2857E9CF" w:rsidR="00487834" w:rsidRPr="00487834" w:rsidRDefault="00487834" w:rsidP="00487834">
      <w:pPr>
        <w:autoSpaceDE w:val="0"/>
        <w:autoSpaceDN w:val="0"/>
        <w:adjustRightInd w:val="0"/>
        <w:spacing w:line="300" w:lineRule="auto"/>
        <w:ind w:firstLine="0"/>
        <w:rPr>
          <w:lang w:val="en-GB"/>
        </w:rPr>
      </w:pPr>
    </w:p>
    <w:p w14:paraId="155B9F02" w14:textId="77777777" w:rsidR="007D0E8E" w:rsidRPr="00487834" w:rsidRDefault="007D0E8E" w:rsidP="003128F6">
      <w:pPr>
        <w:autoSpaceDE w:val="0"/>
        <w:autoSpaceDN w:val="0"/>
        <w:adjustRightInd w:val="0"/>
        <w:spacing w:line="300" w:lineRule="auto"/>
        <w:rPr>
          <w:lang w:val="en-GB"/>
        </w:rPr>
      </w:pPr>
    </w:p>
    <w:p w14:paraId="76EFD9FA" w14:textId="591B62D6" w:rsidR="007D0E8E" w:rsidRDefault="007D0E8E" w:rsidP="004A5290">
      <w:pPr>
        <w:pStyle w:val="Heading1"/>
        <w:numPr>
          <w:ilvl w:val="0"/>
          <w:numId w:val="6"/>
        </w:numPr>
        <w:rPr>
          <w:lang w:val="en-GB"/>
        </w:rPr>
      </w:pPr>
      <w:bookmarkStart w:id="24" w:name="_Toc167918995"/>
      <w:r w:rsidRPr="00487834">
        <w:rPr>
          <w:lang w:val="en-GB"/>
        </w:rPr>
        <w:t>Conclusion</w:t>
      </w:r>
      <w:bookmarkEnd w:id="24"/>
    </w:p>
    <w:p w14:paraId="4878389C" w14:textId="77777777" w:rsidR="007C398C" w:rsidRPr="007C398C" w:rsidRDefault="007C398C" w:rsidP="007C398C">
      <w:pPr>
        <w:ind w:firstLine="720"/>
        <w:rPr>
          <w:lang w:val="en-US"/>
        </w:rPr>
      </w:pPr>
      <w:r w:rsidRPr="007C398C">
        <w:rPr>
          <w:lang w:val="en-US"/>
        </w:rPr>
        <w:t xml:space="preserve">This thesis set out to explore the complex relationship between Environmental, Social, and Governance (ESG) performance and the cost of capital within the BRICS markets, </w:t>
      </w:r>
      <w:r w:rsidRPr="007C398C">
        <w:rPr>
          <w:lang w:val="en-US"/>
        </w:rPr>
        <w:lastRenderedPageBreak/>
        <w:t xml:space="preserve">specifically focusing on Russia, Brazil, and South Africa. By employing a robust dataset and sophisticated panel regression models, this study aimed to </w:t>
      </w:r>
      <w:r w:rsidRPr="007C398C">
        <w:rPr>
          <w:lang w:val="en-US"/>
        </w:rPr>
        <w:t>show</w:t>
      </w:r>
      <w:r w:rsidRPr="007C398C">
        <w:rPr>
          <w:lang w:val="en-US"/>
        </w:rPr>
        <w:t xml:space="preserve"> how ESG scores impact the cost of equity and debt, and how these effects vary across different market environments and performance </w:t>
      </w:r>
      <w:proofErr w:type="spellStart"/>
      <w:proofErr w:type="gramStart"/>
      <w:r w:rsidRPr="007C398C">
        <w:rPr>
          <w:lang w:val="en-US"/>
        </w:rPr>
        <w:t>percentiles.The</w:t>
      </w:r>
      <w:proofErr w:type="spellEnd"/>
      <w:proofErr w:type="gramEnd"/>
      <w:r w:rsidRPr="007C398C">
        <w:rPr>
          <w:lang w:val="en-US"/>
        </w:rPr>
        <w:t xml:space="preserve"> findings of this research reveal a</w:t>
      </w:r>
      <w:r w:rsidRPr="007C398C">
        <w:rPr>
          <w:lang w:val="en-US"/>
        </w:rPr>
        <w:t xml:space="preserve">n uneven and quite unexpected </w:t>
      </w:r>
      <w:r w:rsidRPr="007C398C">
        <w:rPr>
          <w:lang w:val="en-US"/>
        </w:rPr>
        <w:t xml:space="preserve">interaction between ESG performance and corporate financing costs. Contrary to the expectations set forth in Hypothesis 1, the analysis shows that higher ESG scores are generally associated with an increased cost of equity across the board. This counterintuitive result suggests that while ESG improvements are valued, they may also be perceived as involving higher initial costs and risks, thereby increasing the required returns from equity </w:t>
      </w:r>
      <w:proofErr w:type="spellStart"/>
      <w:proofErr w:type="gramStart"/>
      <w:r w:rsidRPr="007C398C">
        <w:rPr>
          <w:lang w:val="en-US"/>
        </w:rPr>
        <w:t>investors.In</w:t>
      </w:r>
      <w:proofErr w:type="spellEnd"/>
      <w:proofErr w:type="gramEnd"/>
      <w:r w:rsidRPr="007C398C">
        <w:rPr>
          <w:lang w:val="en-US"/>
        </w:rPr>
        <w:t xml:space="preserve"> the case of Russia, the results show that ESG scores do not significantly impact the cost of capital. This finding contrasts with the expectations and highlights the relatively lower emphasis on ESG factors within the Russian investment landscape. In Brazil, the analysis demonstrates a notable positive relationship between ESG scores and the cost of equity, suggesting that higher ESG scores lead to higher equity costs. This aligns with the notion that while better ESG performance might enhance corporate governance and investor protection, the associated costs and perceived risks could elevate equity returns. This finding corroborates insights from Nga &amp; </w:t>
      </w:r>
      <w:proofErr w:type="spellStart"/>
      <w:r w:rsidRPr="007C398C">
        <w:rPr>
          <w:lang w:val="en-US"/>
        </w:rPr>
        <w:t>Rezaee</w:t>
      </w:r>
      <w:proofErr w:type="spellEnd"/>
      <w:r w:rsidRPr="007C398C">
        <w:rPr>
          <w:lang w:val="en-US"/>
        </w:rPr>
        <w:t xml:space="preserve"> (2015) and Giese et al. (2019), emphasizing the complex trade-offs in the Brazilian </w:t>
      </w:r>
      <w:proofErr w:type="spellStart"/>
      <w:proofErr w:type="gramStart"/>
      <w:r w:rsidRPr="007C398C">
        <w:rPr>
          <w:lang w:val="en-US"/>
        </w:rPr>
        <w:t>market.Conversely</w:t>
      </w:r>
      <w:proofErr w:type="spellEnd"/>
      <w:proofErr w:type="gramEnd"/>
      <w:r w:rsidRPr="007C398C">
        <w:rPr>
          <w:lang w:val="en-US"/>
        </w:rPr>
        <w:t>, the results for South Africa indicate a modest positive impact of ESG scores on the cost of equity. Although higher ESG performance correlates with increased equity costs, the effects are less pronounced compared to Brazil. This may be attributable to the varying levels of market maturity and regulatory frameworks within the BRICS countries, as well as differences in industry composition and corporate governance standards.</w:t>
      </w:r>
    </w:p>
    <w:p w14:paraId="6B8314B9" w14:textId="03CBE92D" w:rsidR="007C398C" w:rsidRPr="007C398C" w:rsidRDefault="007C398C" w:rsidP="0038287F">
      <w:pPr>
        <w:ind w:firstLine="720"/>
        <w:rPr>
          <w:lang w:val="en-US"/>
        </w:rPr>
      </w:pPr>
      <w:r w:rsidRPr="007C398C">
        <w:rPr>
          <w:lang w:val="en-US"/>
        </w:rPr>
        <w:t xml:space="preserve">Importantly, the study also uncovers that the relationship between ESG performance and cost of capital is stronger for top performers (top 25%) than for underperformers (bottom 25%). This finding, supported by Cardoso (2020) and Fatemi et al. (2018), suggests that the benefits of high ESG performance are more pronounced for firms already excelling in ESG metrics. These firms experience more significant reductions in financing costs, highlighting the importance of achieving and maintaining high ESG </w:t>
      </w:r>
      <w:r w:rsidR="0038287F" w:rsidRPr="007C398C">
        <w:rPr>
          <w:lang w:val="en-US"/>
        </w:rPr>
        <w:t>standards. These</w:t>
      </w:r>
      <w:r w:rsidRPr="007C398C">
        <w:rPr>
          <w:lang w:val="en-US"/>
        </w:rPr>
        <w:t xml:space="preserve"> insights carry </w:t>
      </w:r>
      <w:r w:rsidR="0038287F">
        <w:rPr>
          <w:lang w:val="en-US"/>
        </w:rPr>
        <w:t xml:space="preserve">some </w:t>
      </w:r>
      <w:r w:rsidRPr="007C398C">
        <w:rPr>
          <w:lang w:val="en-US"/>
        </w:rPr>
        <w:t xml:space="preserve">implications for corporate managers and investors. For equity investors, particularly in emerging markets like Brazil, prioritizing ESG factors can significantly mitigate risks and enhance portfolio performance. Debt holders, while benefiting to a lesser extent, still gain from improved creditworthiness and reduced borrowing costs associated with better ESG scores. For corporate managers, the findings advocate for a strategic focus on ESG improvements, especially for firms </w:t>
      </w:r>
      <w:r w:rsidRPr="007C398C">
        <w:rPr>
          <w:lang w:val="en-US"/>
        </w:rPr>
        <w:lastRenderedPageBreak/>
        <w:t>lagging in ESG performance, to leverage the financial benefits of enhanced sustainability practices.</w:t>
      </w:r>
    </w:p>
    <w:p w14:paraId="56A6D3E2" w14:textId="1E464B54" w:rsidR="007C398C" w:rsidRPr="007C398C" w:rsidRDefault="007C398C" w:rsidP="0038287F">
      <w:pPr>
        <w:ind w:firstLine="720"/>
        <w:rPr>
          <w:lang w:val="en-US"/>
        </w:rPr>
      </w:pPr>
      <w:r w:rsidRPr="007C398C">
        <w:rPr>
          <w:lang w:val="en-US"/>
        </w:rPr>
        <w:t>Overall, this thesis contributes to the growing body of literature on ESG and corporate finance by providing a detailed comparative analysis of the BRICS markets. It highlights the importance of context-specific strategies and the potential for significant financial gains through improved ESG performance. Future research should continue to explore these dynamics, considering additional variables and broader datasets to further refine our understanding of ESG impacts on financial outcomes in diverse economic and regulatory environments.</w:t>
      </w:r>
    </w:p>
    <w:p w14:paraId="711C5853" w14:textId="77777777" w:rsidR="007D0E8E" w:rsidRPr="00487834" w:rsidRDefault="007D0E8E" w:rsidP="003128F6">
      <w:pPr>
        <w:spacing w:line="300" w:lineRule="auto"/>
        <w:jc w:val="center"/>
        <w:rPr>
          <w:b/>
          <w:bCs/>
          <w:lang w:val="en-GB"/>
        </w:rPr>
      </w:pPr>
    </w:p>
    <w:p w14:paraId="799DB230" w14:textId="77777777" w:rsidR="003413A4" w:rsidRPr="00487834" w:rsidRDefault="003413A4" w:rsidP="003128F6">
      <w:pPr>
        <w:spacing w:line="300" w:lineRule="auto"/>
        <w:jc w:val="center"/>
        <w:rPr>
          <w:b/>
          <w:bCs/>
          <w:lang w:val="en-GB"/>
        </w:rPr>
      </w:pPr>
    </w:p>
    <w:p w14:paraId="67754FB3" w14:textId="77777777" w:rsidR="007D0E8E" w:rsidRDefault="007D0E8E" w:rsidP="003128F6">
      <w:pPr>
        <w:spacing w:line="300" w:lineRule="auto"/>
        <w:jc w:val="center"/>
        <w:rPr>
          <w:b/>
          <w:bCs/>
          <w:lang w:val="en-US"/>
        </w:rPr>
      </w:pPr>
    </w:p>
    <w:p w14:paraId="77414505" w14:textId="77777777" w:rsidR="0038287F" w:rsidRDefault="0038287F" w:rsidP="003128F6">
      <w:pPr>
        <w:spacing w:line="300" w:lineRule="auto"/>
        <w:jc w:val="center"/>
        <w:rPr>
          <w:b/>
          <w:bCs/>
          <w:lang w:val="en-US"/>
        </w:rPr>
      </w:pPr>
    </w:p>
    <w:p w14:paraId="46B6BED2" w14:textId="77777777" w:rsidR="0038287F" w:rsidRDefault="0038287F" w:rsidP="003128F6">
      <w:pPr>
        <w:spacing w:line="300" w:lineRule="auto"/>
        <w:jc w:val="center"/>
        <w:rPr>
          <w:b/>
          <w:bCs/>
          <w:lang w:val="en-US"/>
        </w:rPr>
      </w:pPr>
    </w:p>
    <w:p w14:paraId="424F022F" w14:textId="77777777" w:rsidR="0038287F" w:rsidRDefault="0038287F" w:rsidP="003128F6">
      <w:pPr>
        <w:spacing w:line="300" w:lineRule="auto"/>
        <w:jc w:val="center"/>
        <w:rPr>
          <w:b/>
          <w:bCs/>
          <w:lang w:val="en-US"/>
        </w:rPr>
      </w:pPr>
    </w:p>
    <w:p w14:paraId="46C7540F" w14:textId="77777777" w:rsidR="0038287F" w:rsidRDefault="0038287F" w:rsidP="003128F6">
      <w:pPr>
        <w:spacing w:line="300" w:lineRule="auto"/>
        <w:jc w:val="center"/>
        <w:rPr>
          <w:b/>
          <w:bCs/>
          <w:lang w:val="en-US"/>
        </w:rPr>
      </w:pPr>
    </w:p>
    <w:p w14:paraId="17589454" w14:textId="77777777" w:rsidR="0038287F" w:rsidRDefault="0038287F" w:rsidP="003128F6">
      <w:pPr>
        <w:spacing w:line="300" w:lineRule="auto"/>
        <w:jc w:val="center"/>
        <w:rPr>
          <w:b/>
          <w:bCs/>
          <w:lang w:val="en-US"/>
        </w:rPr>
      </w:pPr>
    </w:p>
    <w:p w14:paraId="5E1EEBDF" w14:textId="77777777" w:rsidR="0038287F" w:rsidRDefault="0038287F" w:rsidP="003128F6">
      <w:pPr>
        <w:spacing w:line="300" w:lineRule="auto"/>
        <w:jc w:val="center"/>
        <w:rPr>
          <w:b/>
          <w:bCs/>
          <w:lang w:val="en-US"/>
        </w:rPr>
      </w:pPr>
    </w:p>
    <w:p w14:paraId="6732FB5E" w14:textId="77777777" w:rsidR="0038287F" w:rsidRDefault="0038287F" w:rsidP="003128F6">
      <w:pPr>
        <w:spacing w:line="300" w:lineRule="auto"/>
        <w:jc w:val="center"/>
        <w:rPr>
          <w:b/>
          <w:bCs/>
          <w:lang w:val="en-US"/>
        </w:rPr>
      </w:pPr>
    </w:p>
    <w:p w14:paraId="640D9318" w14:textId="77777777" w:rsidR="0038287F" w:rsidRDefault="0038287F" w:rsidP="003128F6">
      <w:pPr>
        <w:spacing w:line="300" w:lineRule="auto"/>
        <w:jc w:val="center"/>
        <w:rPr>
          <w:b/>
          <w:bCs/>
          <w:lang w:val="en-US"/>
        </w:rPr>
      </w:pPr>
    </w:p>
    <w:p w14:paraId="27B79541" w14:textId="77777777" w:rsidR="0038287F" w:rsidRDefault="0038287F" w:rsidP="003128F6">
      <w:pPr>
        <w:spacing w:line="300" w:lineRule="auto"/>
        <w:jc w:val="center"/>
        <w:rPr>
          <w:b/>
          <w:bCs/>
          <w:lang w:val="en-US"/>
        </w:rPr>
      </w:pPr>
    </w:p>
    <w:p w14:paraId="2C27B6C0" w14:textId="77777777" w:rsidR="0038287F" w:rsidRDefault="0038287F" w:rsidP="003128F6">
      <w:pPr>
        <w:spacing w:line="300" w:lineRule="auto"/>
        <w:jc w:val="center"/>
        <w:rPr>
          <w:b/>
          <w:bCs/>
          <w:lang w:val="en-US"/>
        </w:rPr>
      </w:pPr>
    </w:p>
    <w:p w14:paraId="6B68728C" w14:textId="77777777" w:rsidR="0038287F" w:rsidRDefault="0038287F" w:rsidP="003128F6">
      <w:pPr>
        <w:spacing w:line="300" w:lineRule="auto"/>
        <w:jc w:val="center"/>
        <w:rPr>
          <w:b/>
          <w:bCs/>
          <w:lang w:val="en-US"/>
        </w:rPr>
      </w:pPr>
    </w:p>
    <w:p w14:paraId="7BB62387" w14:textId="77777777" w:rsidR="0038287F" w:rsidRDefault="0038287F" w:rsidP="003128F6">
      <w:pPr>
        <w:spacing w:line="300" w:lineRule="auto"/>
        <w:jc w:val="center"/>
        <w:rPr>
          <w:b/>
          <w:bCs/>
          <w:lang w:val="en-US"/>
        </w:rPr>
      </w:pPr>
    </w:p>
    <w:p w14:paraId="1CA64258" w14:textId="77777777" w:rsidR="0038287F" w:rsidRDefault="0038287F" w:rsidP="003128F6">
      <w:pPr>
        <w:spacing w:line="300" w:lineRule="auto"/>
        <w:jc w:val="center"/>
        <w:rPr>
          <w:b/>
          <w:bCs/>
          <w:lang w:val="en-US"/>
        </w:rPr>
      </w:pPr>
    </w:p>
    <w:p w14:paraId="495DEED9" w14:textId="77777777" w:rsidR="0038287F" w:rsidRDefault="0038287F" w:rsidP="003128F6">
      <w:pPr>
        <w:spacing w:line="300" w:lineRule="auto"/>
        <w:jc w:val="center"/>
        <w:rPr>
          <w:b/>
          <w:bCs/>
          <w:lang w:val="en-US"/>
        </w:rPr>
      </w:pPr>
    </w:p>
    <w:p w14:paraId="3E3C22F0" w14:textId="77777777" w:rsidR="0038287F" w:rsidRDefault="0038287F" w:rsidP="003128F6">
      <w:pPr>
        <w:spacing w:line="300" w:lineRule="auto"/>
        <w:jc w:val="center"/>
        <w:rPr>
          <w:b/>
          <w:bCs/>
          <w:lang w:val="en-US"/>
        </w:rPr>
      </w:pPr>
    </w:p>
    <w:p w14:paraId="5B5CDA7F" w14:textId="77777777" w:rsidR="0038287F" w:rsidRDefault="0038287F" w:rsidP="003128F6">
      <w:pPr>
        <w:spacing w:line="300" w:lineRule="auto"/>
        <w:jc w:val="center"/>
        <w:rPr>
          <w:b/>
          <w:bCs/>
          <w:lang w:val="en-US"/>
        </w:rPr>
      </w:pPr>
    </w:p>
    <w:p w14:paraId="243C1EFF" w14:textId="77777777" w:rsidR="0038287F" w:rsidRDefault="0038287F" w:rsidP="003128F6">
      <w:pPr>
        <w:spacing w:line="300" w:lineRule="auto"/>
        <w:jc w:val="center"/>
        <w:rPr>
          <w:b/>
          <w:bCs/>
          <w:lang w:val="en-US"/>
        </w:rPr>
      </w:pPr>
    </w:p>
    <w:p w14:paraId="46B36B85" w14:textId="77777777" w:rsidR="0038287F" w:rsidRDefault="0038287F" w:rsidP="003128F6">
      <w:pPr>
        <w:spacing w:line="300" w:lineRule="auto"/>
        <w:jc w:val="center"/>
        <w:rPr>
          <w:b/>
          <w:bCs/>
          <w:lang w:val="en-US"/>
        </w:rPr>
      </w:pPr>
    </w:p>
    <w:p w14:paraId="22BD0D5E" w14:textId="77777777" w:rsidR="0038287F" w:rsidRDefault="0038287F" w:rsidP="003128F6">
      <w:pPr>
        <w:spacing w:line="300" w:lineRule="auto"/>
        <w:jc w:val="center"/>
        <w:rPr>
          <w:b/>
          <w:bCs/>
          <w:lang w:val="en-US"/>
        </w:rPr>
      </w:pPr>
    </w:p>
    <w:p w14:paraId="7C9824F2" w14:textId="77777777" w:rsidR="0038287F" w:rsidRDefault="0038287F" w:rsidP="003128F6">
      <w:pPr>
        <w:spacing w:line="300" w:lineRule="auto"/>
        <w:jc w:val="center"/>
        <w:rPr>
          <w:b/>
          <w:bCs/>
          <w:lang w:val="en-US"/>
        </w:rPr>
      </w:pPr>
    </w:p>
    <w:p w14:paraId="4C625C4D" w14:textId="77777777" w:rsidR="0038287F" w:rsidRDefault="0038287F" w:rsidP="003128F6">
      <w:pPr>
        <w:spacing w:line="300" w:lineRule="auto"/>
        <w:jc w:val="center"/>
        <w:rPr>
          <w:b/>
          <w:bCs/>
          <w:lang w:val="en-US"/>
        </w:rPr>
      </w:pPr>
    </w:p>
    <w:p w14:paraId="4FC00F20" w14:textId="77777777" w:rsidR="0038287F" w:rsidRDefault="0038287F" w:rsidP="003128F6">
      <w:pPr>
        <w:spacing w:line="300" w:lineRule="auto"/>
        <w:jc w:val="center"/>
        <w:rPr>
          <w:b/>
          <w:bCs/>
          <w:lang w:val="en-US"/>
        </w:rPr>
      </w:pPr>
    </w:p>
    <w:p w14:paraId="2BB2FE93" w14:textId="77777777" w:rsidR="0038287F" w:rsidRDefault="0038287F" w:rsidP="003128F6">
      <w:pPr>
        <w:spacing w:line="300" w:lineRule="auto"/>
        <w:jc w:val="center"/>
        <w:rPr>
          <w:b/>
          <w:bCs/>
          <w:lang w:val="en-US"/>
        </w:rPr>
      </w:pPr>
    </w:p>
    <w:p w14:paraId="163B009E" w14:textId="77777777" w:rsidR="0038287F" w:rsidRDefault="0038287F" w:rsidP="003128F6">
      <w:pPr>
        <w:spacing w:line="300" w:lineRule="auto"/>
        <w:jc w:val="center"/>
        <w:rPr>
          <w:b/>
          <w:bCs/>
          <w:lang w:val="en-US"/>
        </w:rPr>
      </w:pPr>
    </w:p>
    <w:p w14:paraId="64E655C8" w14:textId="77777777" w:rsidR="0038287F" w:rsidRPr="00487834" w:rsidRDefault="0038287F" w:rsidP="003128F6">
      <w:pPr>
        <w:spacing w:line="300" w:lineRule="auto"/>
        <w:jc w:val="center"/>
        <w:rPr>
          <w:b/>
          <w:bCs/>
          <w:lang w:val="en-US"/>
        </w:rPr>
      </w:pPr>
    </w:p>
    <w:p w14:paraId="1A7F8748" w14:textId="77777777" w:rsidR="007D0E8E" w:rsidRPr="00487834" w:rsidRDefault="007D0E8E" w:rsidP="003128F6">
      <w:pPr>
        <w:spacing w:line="300" w:lineRule="auto"/>
        <w:jc w:val="center"/>
        <w:rPr>
          <w:b/>
          <w:bCs/>
          <w:lang w:val="en-US"/>
        </w:rPr>
      </w:pPr>
    </w:p>
    <w:p w14:paraId="2975954C" w14:textId="77777777" w:rsidR="007D0E8E" w:rsidRPr="00487834" w:rsidRDefault="007D0E8E" w:rsidP="003128F6">
      <w:pPr>
        <w:spacing w:line="300" w:lineRule="auto"/>
        <w:jc w:val="center"/>
        <w:rPr>
          <w:b/>
          <w:bCs/>
          <w:lang w:val="en-US"/>
        </w:rPr>
      </w:pPr>
    </w:p>
    <w:p w14:paraId="1EED4AAB" w14:textId="77777777" w:rsidR="007D0E8E" w:rsidRDefault="00286F41" w:rsidP="004A5290">
      <w:pPr>
        <w:pStyle w:val="Heading1"/>
        <w:rPr>
          <w:lang w:val="en-US"/>
        </w:rPr>
      </w:pPr>
      <w:bookmarkStart w:id="25" w:name="_Toc167918996"/>
      <w:r w:rsidRPr="00487834">
        <w:rPr>
          <w:lang w:val="en-US"/>
        </w:rPr>
        <w:lastRenderedPageBreak/>
        <w:t xml:space="preserve">7. </w:t>
      </w:r>
      <w:r w:rsidR="00EF64C5" w:rsidRPr="00487834">
        <w:rPr>
          <w:lang w:val="en-US"/>
        </w:rPr>
        <w:t>Appendix</w:t>
      </w:r>
      <w:bookmarkEnd w:id="25"/>
    </w:p>
    <w:p w14:paraId="7B8BE5F2" w14:textId="057B64D3" w:rsidR="0035628B" w:rsidRDefault="0035628B" w:rsidP="004A5290">
      <w:pPr>
        <w:pStyle w:val="Heading1"/>
        <w:rPr>
          <w:lang w:val="en-US"/>
        </w:rPr>
      </w:pPr>
      <w:bookmarkStart w:id="26" w:name="_Toc167918997"/>
      <w:r>
        <w:rPr>
          <w:lang w:val="en-US"/>
        </w:rPr>
        <w:t>7.1. Descriptive statistics for country breakdown</w:t>
      </w:r>
      <w:bookmarkEnd w:id="26"/>
    </w:p>
    <w:p w14:paraId="1A7F92BF" w14:textId="77777777" w:rsidR="00AD365D" w:rsidRPr="00487834" w:rsidRDefault="00AD365D" w:rsidP="00AD365D">
      <w:pPr>
        <w:autoSpaceDE w:val="0"/>
        <w:autoSpaceDN w:val="0"/>
        <w:adjustRightInd w:val="0"/>
        <w:spacing w:line="300" w:lineRule="auto"/>
        <w:rPr>
          <w:rFonts w:eastAsiaTheme="minorHAnsi"/>
          <w:lang w:val="en-GB" w:eastAsia="en-US"/>
        </w:rPr>
      </w:pPr>
      <w:r w:rsidRPr="00487834">
        <w:rPr>
          <w:rFonts w:eastAsiaTheme="minorHAnsi"/>
          <w:b/>
          <w:bCs/>
          <w:lang w:val="en-GB" w:eastAsia="en-US"/>
        </w:rPr>
        <w:t xml:space="preserve">Table 5 – </w:t>
      </w:r>
      <w:r w:rsidRPr="00487834">
        <w:rPr>
          <w:color w:val="0D0D0D"/>
          <w:shd w:val="clear" w:color="auto" w:fill="FFFFFF"/>
          <w:lang w:val="en-US"/>
        </w:rPr>
        <w:t>Descriptive statistics for the cost of equity model, including respective control variables, for the Russian subsample</w:t>
      </w:r>
    </w:p>
    <w:p w14:paraId="2B2D5C7D" w14:textId="77777777" w:rsidR="00AD365D" w:rsidRPr="00487834" w:rsidRDefault="00AD365D" w:rsidP="00AD365D">
      <w:pPr>
        <w:autoSpaceDE w:val="0"/>
        <w:autoSpaceDN w:val="0"/>
        <w:adjustRightInd w:val="0"/>
        <w:spacing w:line="300" w:lineRule="auto"/>
        <w:rPr>
          <w:rFonts w:eastAsiaTheme="minorHAnsi"/>
          <w:lang w:val="en-GB" w:eastAsia="en-US"/>
        </w:rPr>
      </w:pPr>
    </w:p>
    <w:tbl>
      <w:tblPr>
        <w:tblW w:w="9680" w:type="dxa"/>
        <w:jc w:val="center"/>
        <w:tblLook w:val="04A0" w:firstRow="1" w:lastRow="0" w:firstColumn="1" w:lastColumn="0" w:noHBand="0" w:noVBand="1"/>
      </w:tblPr>
      <w:tblGrid>
        <w:gridCol w:w="1304"/>
        <w:gridCol w:w="1080"/>
        <w:gridCol w:w="1060"/>
        <w:gridCol w:w="1060"/>
        <w:gridCol w:w="1060"/>
        <w:gridCol w:w="1060"/>
        <w:gridCol w:w="1060"/>
        <w:gridCol w:w="1060"/>
        <w:gridCol w:w="1060"/>
      </w:tblGrid>
      <w:tr w:rsidR="00AD365D" w:rsidRPr="00487834" w14:paraId="7B9B6B86" w14:textId="77777777" w:rsidTr="001747B1">
        <w:trPr>
          <w:trHeight w:val="260"/>
          <w:jc w:val="center"/>
        </w:trPr>
        <w:tc>
          <w:tcPr>
            <w:tcW w:w="1180" w:type="dxa"/>
            <w:tcBorders>
              <w:top w:val="single" w:sz="4" w:space="0" w:color="auto"/>
              <w:left w:val="nil"/>
              <w:bottom w:val="single" w:sz="4" w:space="0" w:color="auto"/>
              <w:right w:val="nil"/>
            </w:tcBorders>
            <w:shd w:val="clear" w:color="auto" w:fill="auto"/>
            <w:noWrap/>
            <w:hideMark/>
          </w:tcPr>
          <w:p w14:paraId="0641FC9C" w14:textId="77777777" w:rsidR="00AD365D" w:rsidRPr="00487834" w:rsidRDefault="00AD365D" w:rsidP="001747B1">
            <w:pPr>
              <w:pStyle w:val="NoSpacing"/>
            </w:pPr>
            <w:proofErr w:type="spellStart"/>
            <w:r w:rsidRPr="00487834">
              <w:t>Variable</w:t>
            </w:r>
            <w:proofErr w:type="spellEnd"/>
          </w:p>
        </w:tc>
        <w:tc>
          <w:tcPr>
            <w:tcW w:w="1080" w:type="dxa"/>
            <w:tcBorders>
              <w:top w:val="single" w:sz="4" w:space="0" w:color="auto"/>
              <w:left w:val="nil"/>
              <w:bottom w:val="single" w:sz="4" w:space="0" w:color="auto"/>
              <w:right w:val="nil"/>
            </w:tcBorders>
            <w:shd w:val="clear" w:color="auto" w:fill="auto"/>
            <w:noWrap/>
            <w:hideMark/>
          </w:tcPr>
          <w:p w14:paraId="2C848DF1" w14:textId="77777777" w:rsidR="00AD365D" w:rsidRPr="00487834" w:rsidRDefault="00AD365D" w:rsidP="001747B1">
            <w:pPr>
              <w:pStyle w:val="NoSpacing"/>
            </w:pPr>
            <w:proofErr w:type="spellStart"/>
            <w:r w:rsidRPr="00487834">
              <w:t>Mean</w:t>
            </w:r>
            <w:proofErr w:type="spellEnd"/>
          </w:p>
        </w:tc>
        <w:tc>
          <w:tcPr>
            <w:tcW w:w="1060" w:type="dxa"/>
            <w:tcBorders>
              <w:top w:val="single" w:sz="4" w:space="0" w:color="auto"/>
              <w:left w:val="nil"/>
              <w:bottom w:val="single" w:sz="4" w:space="0" w:color="auto"/>
              <w:right w:val="nil"/>
            </w:tcBorders>
            <w:shd w:val="clear" w:color="auto" w:fill="auto"/>
            <w:noWrap/>
            <w:hideMark/>
          </w:tcPr>
          <w:p w14:paraId="744622E6" w14:textId="77777777" w:rsidR="00AD365D" w:rsidRPr="00487834" w:rsidRDefault="00AD365D" w:rsidP="001747B1">
            <w:pPr>
              <w:pStyle w:val="NoSpacing"/>
            </w:pPr>
            <w:proofErr w:type="spellStart"/>
            <w:r w:rsidRPr="00487834">
              <w:t>Std.Dev</w:t>
            </w:r>
            <w:proofErr w:type="spellEnd"/>
            <w:r w:rsidRPr="00487834">
              <w:t>.</w:t>
            </w:r>
          </w:p>
        </w:tc>
        <w:tc>
          <w:tcPr>
            <w:tcW w:w="1060" w:type="dxa"/>
            <w:tcBorders>
              <w:top w:val="single" w:sz="4" w:space="0" w:color="auto"/>
              <w:left w:val="nil"/>
              <w:bottom w:val="single" w:sz="4" w:space="0" w:color="auto"/>
              <w:right w:val="nil"/>
            </w:tcBorders>
            <w:shd w:val="clear" w:color="auto" w:fill="auto"/>
            <w:noWrap/>
            <w:hideMark/>
          </w:tcPr>
          <w:p w14:paraId="41B5D547" w14:textId="77777777" w:rsidR="00AD365D" w:rsidRPr="00487834" w:rsidRDefault="00AD365D" w:rsidP="001747B1">
            <w:pPr>
              <w:pStyle w:val="NoSpacing"/>
            </w:pPr>
            <w:r w:rsidRPr="00487834">
              <w:t>N</w:t>
            </w:r>
          </w:p>
        </w:tc>
        <w:tc>
          <w:tcPr>
            <w:tcW w:w="1060" w:type="dxa"/>
            <w:tcBorders>
              <w:top w:val="single" w:sz="4" w:space="0" w:color="auto"/>
              <w:left w:val="nil"/>
              <w:bottom w:val="single" w:sz="4" w:space="0" w:color="auto"/>
              <w:right w:val="nil"/>
            </w:tcBorders>
            <w:shd w:val="clear" w:color="auto" w:fill="auto"/>
            <w:noWrap/>
            <w:hideMark/>
          </w:tcPr>
          <w:p w14:paraId="77C3EB11" w14:textId="77777777" w:rsidR="00AD365D" w:rsidRPr="00487834" w:rsidRDefault="00AD365D" w:rsidP="001747B1">
            <w:pPr>
              <w:pStyle w:val="NoSpacing"/>
            </w:pPr>
            <w:proofErr w:type="spellStart"/>
            <w:r w:rsidRPr="00487834">
              <w:t>Min</w:t>
            </w:r>
            <w:proofErr w:type="spellEnd"/>
          </w:p>
        </w:tc>
        <w:tc>
          <w:tcPr>
            <w:tcW w:w="1060" w:type="dxa"/>
            <w:tcBorders>
              <w:top w:val="single" w:sz="4" w:space="0" w:color="auto"/>
              <w:left w:val="nil"/>
              <w:bottom w:val="single" w:sz="4" w:space="0" w:color="auto"/>
              <w:right w:val="nil"/>
            </w:tcBorders>
            <w:shd w:val="clear" w:color="auto" w:fill="auto"/>
            <w:noWrap/>
            <w:hideMark/>
          </w:tcPr>
          <w:p w14:paraId="321DE90E" w14:textId="77777777" w:rsidR="00AD365D" w:rsidRPr="00487834" w:rsidRDefault="00AD365D" w:rsidP="001747B1">
            <w:pPr>
              <w:pStyle w:val="NoSpacing"/>
            </w:pPr>
            <w:r w:rsidRPr="00487834">
              <w:t>Q1</w:t>
            </w:r>
          </w:p>
        </w:tc>
        <w:tc>
          <w:tcPr>
            <w:tcW w:w="1060" w:type="dxa"/>
            <w:tcBorders>
              <w:top w:val="single" w:sz="4" w:space="0" w:color="auto"/>
              <w:left w:val="nil"/>
              <w:bottom w:val="single" w:sz="4" w:space="0" w:color="auto"/>
              <w:right w:val="nil"/>
            </w:tcBorders>
            <w:shd w:val="clear" w:color="auto" w:fill="auto"/>
            <w:noWrap/>
            <w:hideMark/>
          </w:tcPr>
          <w:p w14:paraId="40829DEB" w14:textId="77777777" w:rsidR="00AD365D" w:rsidRPr="00487834" w:rsidRDefault="00AD365D" w:rsidP="001747B1">
            <w:pPr>
              <w:pStyle w:val="NoSpacing"/>
            </w:pPr>
            <w:proofErr w:type="spellStart"/>
            <w:r w:rsidRPr="00487834">
              <w:t>Median</w:t>
            </w:r>
            <w:proofErr w:type="spellEnd"/>
          </w:p>
        </w:tc>
        <w:tc>
          <w:tcPr>
            <w:tcW w:w="1060" w:type="dxa"/>
            <w:tcBorders>
              <w:top w:val="single" w:sz="4" w:space="0" w:color="auto"/>
              <w:left w:val="nil"/>
              <w:bottom w:val="single" w:sz="4" w:space="0" w:color="auto"/>
              <w:right w:val="nil"/>
            </w:tcBorders>
            <w:shd w:val="clear" w:color="auto" w:fill="auto"/>
            <w:noWrap/>
            <w:hideMark/>
          </w:tcPr>
          <w:p w14:paraId="6DF1266C" w14:textId="77777777" w:rsidR="00AD365D" w:rsidRPr="00487834" w:rsidRDefault="00AD365D" w:rsidP="001747B1">
            <w:pPr>
              <w:pStyle w:val="NoSpacing"/>
            </w:pPr>
            <w:r w:rsidRPr="00487834">
              <w:t>Q3</w:t>
            </w:r>
          </w:p>
        </w:tc>
        <w:tc>
          <w:tcPr>
            <w:tcW w:w="1060" w:type="dxa"/>
            <w:tcBorders>
              <w:top w:val="single" w:sz="4" w:space="0" w:color="auto"/>
              <w:left w:val="nil"/>
              <w:bottom w:val="single" w:sz="4" w:space="0" w:color="auto"/>
              <w:right w:val="nil"/>
            </w:tcBorders>
            <w:shd w:val="clear" w:color="auto" w:fill="auto"/>
            <w:noWrap/>
            <w:hideMark/>
          </w:tcPr>
          <w:p w14:paraId="575BE635" w14:textId="77777777" w:rsidR="00AD365D" w:rsidRPr="00487834" w:rsidRDefault="00AD365D" w:rsidP="001747B1">
            <w:pPr>
              <w:pStyle w:val="NoSpacing"/>
            </w:pPr>
            <w:r w:rsidRPr="00487834">
              <w:t>Max</w:t>
            </w:r>
          </w:p>
        </w:tc>
      </w:tr>
      <w:tr w:rsidR="00AD365D" w:rsidRPr="00487834" w14:paraId="3E870510" w14:textId="77777777" w:rsidTr="001747B1">
        <w:trPr>
          <w:trHeight w:val="580"/>
          <w:jc w:val="center"/>
        </w:trPr>
        <w:tc>
          <w:tcPr>
            <w:tcW w:w="1180" w:type="dxa"/>
            <w:tcBorders>
              <w:top w:val="nil"/>
              <w:left w:val="nil"/>
              <w:bottom w:val="nil"/>
              <w:right w:val="nil"/>
            </w:tcBorders>
            <w:shd w:val="clear" w:color="auto" w:fill="auto"/>
            <w:noWrap/>
            <w:vAlign w:val="center"/>
            <w:hideMark/>
          </w:tcPr>
          <w:p w14:paraId="1478DF94" w14:textId="77777777" w:rsidR="00AD365D" w:rsidRPr="00487834" w:rsidRDefault="00AD365D" w:rsidP="001747B1">
            <w:pPr>
              <w:pStyle w:val="NoSpacing"/>
              <w:rPr>
                <w:i/>
                <w:iCs/>
                <w:color w:val="000000"/>
              </w:rPr>
            </w:pPr>
            <w:r w:rsidRPr="00487834">
              <w:rPr>
                <w:i/>
                <w:iCs/>
                <w:color w:val="000000"/>
              </w:rPr>
              <w:t>ESG</w:t>
            </w:r>
          </w:p>
        </w:tc>
        <w:tc>
          <w:tcPr>
            <w:tcW w:w="1080" w:type="dxa"/>
            <w:tcBorders>
              <w:top w:val="nil"/>
              <w:left w:val="nil"/>
              <w:bottom w:val="nil"/>
              <w:right w:val="nil"/>
            </w:tcBorders>
            <w:shd w:val="clear" w:color="auto" w:fill="auto"/>
            <w:noWrap/>
            <w:vAlign w:val="center"/>
            <w:hideMark/>
          </w:tcPr>
          <w:p w14:paraId="7C25F9D1" w14:textId="77777777" w:rsidR="00AD365D" w:rsidRPr="00487834" w:rsidRDefault="00AD365D" w:rsidP="001747B1">
            <w:pPr>
              <w:pStyle w:val="NoSpacing"/>
              <w:rPr>
                <w:color w:val="000000"/>
              </w:rPr>
            </w:pPr>
            <w:r w:rsidRPr="00487834">
              <w:rPr>
                <w:color w:val="000000"/>
              </w:rPr>
              <w:t>47.022</w:t>
            </w:r>
          </w:p>
        </w:tc>
        <w:tc>
          <w:tcPr>
            <w:tcW w:w="1060" w:type="dxa"/>
            <w:tcBorders>
              <w:top w:val="nil"/>
              <w:left w:val="nil"/>
              <w:bottom w:val="nil"/>
              <w:right w:val="nil"/>
            </w:tcBorders>
            <w:shd w:val="clear" w:color="auto" w:fill="auto"/>
            <w:noWrap/>
            <w:vAlign w:val="center"/>
            <w:hideMark/>
          </w:tcPr>
          <w:p w14:paraId="57EDCAF3" w14:textId="77777777" w:rsidR="00AD365D" w:rsidRPr="00487834" w:rsidRDefault="00AD365D" w:rsidP="001747B1">
            <w:pPr>
              <w:pStyle w:val="NoSpacing"/>
              <w:rPr>
                <w:color w:val="000000"/>
              </w:rPr>
            </w:pPr>
            <w:r w:rsidRPr="00487834">
              <w:rPr>
                <w:color w:val="000000"/>
              </w:rPr>
              <w:t>17.669</w:t>
            </w:r>
          </w:p>
        </w:tc>
        <w:tc>
          <w:tcPr>
            <w:tcW w:w="1060" w:type="dxa"/>
            <w:tcBorders>
              <w:top w:val="nil"/>
              <w:left w:val="nil"/>
              <w:bottom w:val="nil"/>
              <w:right w:val="nil"/>
            </w:tcBorders>
            <w:shd w:val="clear" w:color="auto" w:fill="auto"/>
            <w:noWrap/>
            <w:vAlign w:val="center"/>
            <w:hideMark/>
          </w:tcPr>
          <w:p w14:paraId="588FA810" w14:textId="77777777" w:rsidR="00AD365D" w:rsidRPr="00487834" w:rsidRDefault="00AD365D" w:rsidP="001747B1">
            <w:pPr>
              <w:pStyle w:val="NoSpacing"/>
              <w:rPr>
                <w:color w:val="000000"/>
              </w:rPr>
            </w:pPr>
            <w:r w:rsidRPr="00487834">
              <w:rPr>
                <w:color w:val="000000"/>
              </w:rPr>
              <w:t>164</w:t>
            </w:r>
          </w:p>
        </w:tc>
        <w:tc>
          <w:tcPr>
            <w:tcW w:w="1060" w:type="dxa"/>
            <w:tcBorders>
              <w:top w:val="nil"/>
              <w:left w:val="nil"/>
              <w:bottom w:val="nil"/>
              <w:right w:val="nil"/>
            </w:tcBorders>
            <w:shd w:val="clear" w:color="auto" w:fill="auto"/>
            <w:noWrap/>
            <w:vAlign w:val="center"/>
            <w:hideMark/>
          </w:tcPr>
          <w:p w14:paraId="1A2F5B36" w14:textId="77777777" w:rsidR="00AD365D" w:rsidRPr="00487834" w:rsidRDefault="00AD365D" w:rsidP="001747B1">
            <w:pPr>
              <w:pStyle w:val="NoSpacing"/>
              <w:rPr>
                <w:color w:val="000000"/>
              </w:rPr>
            </w:pPr>
            <w:r w:rsidRPr="00487834">
              <w:rPr>
                <w:color w:val="000000"/>
              </w:rPr>
              <w:t>8.916</w:t>
            </w:r>
          </w:p>
        </w:tc>
        <w:tc>
          <w:tcPr>
            <w:tcW w:w="1060" w:type="dxa"/>
            <w:tcBorders>
              <w:top w:val="nil"/>
              <w:left w:val="nil"/>
              <w:bottom w:val="nil"/>
              <w:right w:val="nil"/>
            </w:tcBorders>
            <w:shd w:val="clear" w:color="auto" w:fill="auto"/>
            <w:noWrap/>
            <w:vAlign w:val="center"/>
            <w:hideMark/>
          </w:tcPr>
          <w:p w14:paraId="25CAE196" w14:textId="77777777" w:rsidR="00AD365D" w:rsidRPr="00487834" w:rsidRDefault="00AD365D" w:rsidP="001747B1">
            <w:pPr>
              <w:pStyle w:val="NoSpacing"/>
              <w:rPr>
                <w:color w:val="000000"/>
              </w:rPr>
            </w:pPr>
            <w:r w:rsidRPr="00487834">
              <w:rPr>
                <w:color w:val="000000"/>
              </w:rPr>
              <w:t>37.934</w:t>
            </w:r>
          </w:p>
        </w:tc>
        <w:tc>
          <w:tcPr>
            <w:tcW w:w="1060" w:type="dxa"/>
            <w:tcBorders>
              <w:top w:val="nil"/>
              <w:left w:val="nil"/>
              <w:bottom w:val="nil"/>
              <w:right w:val="nil"/>
            </w:tcBorders>
            <w:shd w:val="clear" w:color="auto" w:fill="auto"/>
            <w:noWrap/>
            <w:vAlign w:val="center"/>
            <w:hideMark/>
          </w:tcPr>
          <w:p w14:paraId="733D0F75" w14:textId="77777777" w:rsidR="00AD365D" w:rsidRPr="00487834" w:rsidRDefault="00AD365D" w:rsidP="001747B1">
            <w:pPr>
              <w:pStyle w:val="NoSpacing"/>
              <w:rPr>
                <w:color w:val="000000"/>
              </w:rPr>
            </w:pPr>
            <w:r w:rsidRPr="00487834">
              <w:rPr>
                <w:color w:val="000000"/>
              </w:rPr>
              <w:t>46.937</w:t>
            </w:r>
          </w:p>
        </w:tc>
        <w:tc>
          <w:tcPr>
            <w:tcW w:w="1060" w:type="dxa"/>
            <w:tcBorders>
              <w:top w:val="nil"/>
              <w:left w:val="nil"/>
              <w:bottom w:val="nil"/>
              <w:right w:val="nil"/>
            </w:tcBorders>
            <w:shd w:val="clear" w:color="auto" w:fill="auto"/>
            <w:noWrap/>
            <w:vAlign w:val="center"/>
            <w:hideMark/>
          </w:tcPr>
          <w:p w14:paraId="0886DECA" w14:textId="77777777" w:rsidR="00AD365D" w:rsidRPr="00487834" w:rsidRDefault="00AD365D" w:rsidP="001747B1">
            <w:pPr>
              <w:pStyle w:val="NoSpacing"/>
              <w:rPr>
                <w:color w:val="000000"/>
              </w:rPr>
            </w:pPr>
            <w:r w:rsidRPr="00487834">
              <w:rPr>
                <w:color w:val="000000"/>
              </w:rPr>
              <w:t>60.105</w:t>
            </w:r>
          </w:p>
        </w:tc>
        <w:tc>
          <w:tcPr>
            <w:tcW w:w="1060" w:type="dxa"/>
            <w:tcBorders>
              <w:top w:val="nil"/>
              <w:left w:val="nil"/>
              <w:bottom w:val="nil"/>
              <w:right w:val="nil"/>
            </w:tcBorders>
            <w:shd w:val="clear" w:color="auto" w:fill="auto"/>
            <w:noWrap/>
            <w:vAlign w:val="center"/>
            <w:hideMark/>
          </w:tcPr>
          <w:p w14:paraId="391D926C" w14:textId="77777777" w:rsidR="00AD365D" w:rsidRPr="00487834" w:rsidRDefault="00AD365D" w:rsidP="001747B1">
            <w:pPr>
              <w:pStyle w:val="NoSpacing"/>
              <w:rPr>
                <w:color w:val="000000"/>
              </w:rPr>
            </w:pPr>
            <w:r w:rsidRPr="00487834">
              <w:rPr>
                <w:color w:val="000000"/>
              </w:rPr>
              <w:t>81.498</w:t>
            </w:r>
          </w:p>
        </w:tc>
      </w:tr>
      <w:tr w:rsidR="00AD365D" w:rsidRPr="00487834" w14:paraId="7EEB227A" w14:textId="77777777" w:rsidTr="001747B1">
        <w:trPr>
          <w:trHeight w:val="560"/>
          <w:jc w:val="center"/>
        </w:trPr>
        <w:tc>
          <w:tcPr>
            <w:tcW w:w="1180" w:type="dxa"/>
            <w:tcBorders>
              <w:top w:val="nil"/>
              <w:left w:val="nil"/>
              <w:bottom w:val="nil"/>
              <w:right w:val="nil"/>
            </w:tcBorders>
            <w:shd w:val="clear" w:color="auto" w:fill="auto"/>
            <w:noWrap/>
            <w:vAlign w:val="center"/>
            <w:hideMark/>
          </w:tcPr>
          <w:p w14:paraId="5CDA09C2" w14:textId="77777777" w:rsidR="00AD365D" w:rsidRPr="00487834" w:rsidRDefault="00AD365D" w:rsidP="001747B1">
            <w:pPr>
              <w:pStyle w:val="NoSpacing"/>
              <w:rPr>
                <w:i/>
                <w:iCs/>
                <w:color w:val="000000"/>
              </w:rPr>
            </w:pPr>
            <w:r w:rsidRPr="00487834">
              <w:rPr>
                <w:i/>
                <w:iCs/>
                <w:color w:val="000000"/>
              </w:rPr>
              <w:t>MCAP</w:t>
            </w:r>
          </w:p>
        </w:tc>
        <w:tc>
          <w:tcPr>
            <w:tcW w:w="1080" w:type="dxa"/>
            <w:tcBorders>
              <w:top w:val="nil"/>
              <w:left w:val="nil"/>
              <w:bottom w:val="nil"/>
              <w:right w:val="nil"/>
            </w:tcBorders>
            <w:shd w:val="clear" w:color="auto" w:fill="auto"/>
            <w:noWrap/>
            <w:vAlign w:val="center"/>
            <w:hideMark/>
          </w:tcPr>
          <w:p w14:paraId="33B5343D" w14:textId="77777777" w:rsidR="00AD365D" w:rsidRPr="00487834" w:rsidRDefault="00AD365D" w:rsidP="001747B1">
            <w:pPr>
              <w:pStyle w:val="NoSpacing"/>
              <w:rPr>
                <w:color w:val="000000"/>
              </w:rPr>
            </w:pPr>
            <w:r w:rsidRPr="00487834">
              <w:rPr>
                <w:color w:val="000000"/>
              </w:rPr>
              <w:t>22.906</w:t>
            </w:r>
          </w:p>
        </w:tc>
        <w:tc>
          <w:tcPr>
            <w:tcW w:w="1060" w:type="dxa"/>
            <w:tcBorders>
              <w:top w:val="nil"/>
              <w:left w:val="nil"/>
              <w:bottom w:val="nil"/>
              <w:right w:val="nil"/>
            </w:tcBorders>
            <w:shd w:val="clear" w:color="auto" w:fill="auto"/>
            <w:noWrap/>
            <w:vAlign w:val="center"/>
            <w:hideMark/>
          </w:tcPr>
          <w:p w14:paraId="49A1DD0E" w14:textId="77777777" w:rsidR="00AD365D" w:rsidRPr="00487834" w:rsidRDefault="00AD365D" w:rsidP="001747B1">
            <w:pPr>
              <w:pStyle w:val="NoSpacing"/>
              <w:rPr>
                <w:color w:val="000000"/>
              </w:rPr>
            </w:pPr>
            <w:r w:rsidRPr="00487834">
              <w:rPr>
                <w:color w:val="000000"/>
              </w:rPr>
              <w:t>1.348</w:t>
            </w:r>
          </w:p>
        </w:tc>
        <w:tc>
          <w:tcPr>
            <w:tcW w:w="1060" w:type="dxa"/>
            <w:tcBorders>
              <w:top w:val="nil"/>
              <w:left w:val="nil"/>
              <w:bottom w:val="nil"/>
              <w:right w:val="nil"/>
            </w:tcBorders>
            <w:shd w:val="clear" w:color="auto" w:fill="auto"/>
            <w:noWrap/>
            <w:vAlign w:val="center"/>
            <w:hideMark/>
          </w:tcPr>
          <w:p w14:paraId="61AA3435" w14:textId="77777777" w:rsidR="00AD365D" w:rsidRPr="00487834" w:rsidRDefault="00AD365D" w:rsidP="001747B1">
            <w:pPr>
              <w:pStyle w:val="NoSpacing"/>
              <w:rPr>
                <w:color w:val="000000"/>
              </w:rPr>
            </w:pPr>
            <w:r w:rsidRPr="00487834">
              <w:rPr>
                <w:color w:val="000000"/>
              </w:rPr>
              <w:t>164</w:t>
            </w:r>
          </w:p>
        </w:tc>
        <w:tc>
          <w:tcPr>
            <w:tcW w:w="1060" w:type="dxa"/>
            <w:tcBorders>
              <w:top w:val="nil"/>
              <w:left w:val="nil"/>
              <w:bottom w:val="nil"/>
              <w:right w:val="nil"/>
            </w:tcBorders>
            <w:shd w:val="clear" w:color="auto" w:fill="auto"/>
            <w:noWrap/>
            <w:vAlign w:val="center"/>
            <w:hideMark/>
          </w:tcPr>
          <w:p w14:paraId="59A1B217" w14:textId="77777777" w:rsidR="00AD365D" w:rsidRPr="00487834" w:rsidRDefault="00AD365D" w:rsidP="001747B1">
            <w:pPr>
              <w:pStyle w:val="NoSpacing"/>
              <w:rPr>
                <w:color w:val="000000"/>
              </w:rPr>
            </w:pPr>
            <w:r w:rsidRPr="00487834">
              <w:rPr>
                <w:color w:val="000000"/>
              </w:rPr>
              <w:t>20</w:t>
            </w:r>
          </w:p>
        </w:tc>
        <w:tc>
          <w:tcPr>
            <w:tcW w:w="1060" w:type="dxa"/>
            <w:tcBorders>
              <w:top w:val="nil"/>
              <w:left w:val="nil"/>
              <w:bottom w:val="nil"/>
              <w:right w:val="nil"/>
            </w:tcBorders>
            <w:shd w:val="clear" w:color="auto" w:fill="auto"/>
            <w:noWrap/>
            <w:vAlign w:val="center"/>
            <w:hideMark/>
          </w:tcPr>
          <w:p w14:paraId="2B39F838" w14:textId="77777777" w:rsidR="00AD365D" w:rsidRPr="00487834" w:rsidRDefault="00AD365D" w:rsidP="001747B1">
            <w:pPr>
              <w:pStyle w:val="NoSpacing"/>
              <w:rPr>
                <w:color w:val="000000"/>
              </w:rPr>
            </w:pPr>
            <w:r w:rsidRPr="00487834">
              <w:rPr>
                <w:color w:val="000000"/>
              </w:rPr>
              <w:t>22.046</w:t>
            </w:r>
          </w:p>
        </w:tc>
        <w:tc>
          <w:tcPr>
            <w:tcW w:w="1060" w:type="dxa"/>
            <w:tcBorders>
              <w:top w:val="nil"/>
              <w:left w:val="nil"/>
              <w:bottom w:val="nil"/>
              <w:right w:val="nil"/>
            </w:tcBorders>
            <w:shd w:val="clear" w:color="auto" w:fill="auto"/>
            <w:noWrap/>
            <w:vAlign w:val="center"/>
            <w:hideMark/>
          </w:tcPr>
          <w:p w14:paraId="69F44A58" w14:textId="77777777" w:rsidR="00AD365D" w:rsidRPr="00487834" w:rsidRDefault="00AD365D" w:rsidP="001747B1">
            <w:pPr>
              <w:pStyle w:val="NoSpacing"/>
              <w:rPr>
                <w:color w:val="000000"/>
              </w:rPr>
            </w:pPr>
            <w:r w:rsidRPr="00487834">
              <w:rPr>
                <w:color w:val="000000"/>
              </w:rPr>
              <w:t>23.067</w:t>
            </w:r>
          </w:p>
        </w:tc>
        <w:tc>
          <w:tcPr>
            <w:tcW w:w="1060" w:type="dxa"/>
            <w:tcBorders>
              <w:top w:val="nil"/>
              <w:left w:val="nil"/>
              <w:bottom w:val="nil"/>
              <w:right w:val="nil"/>
            </w:tcBorders>
            <w:shd w:val="clear" w:color="auto" w:fill="auto"/>
            <w:noWrap/>
            <w:vAlign w:val="center"/>
            <w:hideMark/>
          </w:tcPr>
          <w:p w14:paraId="5BD4EF2E" w14:textId="77777777" w:rsidR="00AD365D" w:rsidRPr="00487834" w:rsidRDefault="00AD365D" w:rsidP="001747B1">
            <w:pPr>
              <w:pStyle w:val="NoSpacing"/>
              <w:rPr>
                <w:color w:val="000000"/>
              </w:rPr>
            </w:pPr>
            <w:r w:rsidRPr="00487834">
              <w:rPr>
                <w:color w:val="000000"/>
              </w:rPr>
              <w:t>23.774</w:t>
            </w:r>
          </w:p>
        </w:tc>
        <w:tc>
          <w:tcPr>
            <w:tcW w:w="1060" w:type="dxa"/>
            <w:tcBorders>
              <w:top w:val="nil"/>
              <w:left w:val="nil"/>
              <w:bottom w:val="nil"/>
              <w:right w:val="nil"/>
            </w:tcBorders>
            <w:shd w:val="clear" w:color="auto" w:fill="auto"/>
            <w:noWrap/>
            <w:vAlign w:val="center"/>
            <w:hideMark/>
          </w:tcPr>
          <w:p w14:paraId="12E8900E" w14:textId="77777777" w:rsidR="00AD365D" w:rsidRPr="00487834" w:rsidRDefault="00AD365D" w:rsidP="001747B1">
            <w:pPr>
              <w:pStyle w:val="NoSpacing"/>
              <w:rPr>
                <w:color w:val="000000"/>
              </w:rPr>
            </w:pPr>
            <w:r w:rsidRPr="00487834">
              <w:rPr>
                <w:color w:val="000000"/>
              </w:rPr>
              <w:t>25.416</w:t>
            </w:r>
          </w:p>
        </w:tc>
      </w:tr>
      <w:tr w:rsidR="00AD365D" w:rsidRPr="00487834" w14:paraId="2DE40F2F" w14:textId="77777777" w:rsidTr="001747B1">
        <w:trPr>
          <w:trHeight w:val="560"/>
          <w:jc w:val="center"/>
        </w:trPr>
        <w:tc>
          <w:tcPr>
            <w:tcW w:w="1180" w:type="dxa"/>
            <w:tcBorders>
              <w:top w:val="nil"/>
              <w:left w:val="nil"/>
              <w:bottom w:val="nil"/>
              <w:right w:val="nil"/>
            </w:tcBorders>
            <w:shd w:val="clear" w:color="auto" w:fill="auto"/>
            <w:noWrap/>
            <w:vAlign w:val="center"/>
            <w:hideMark/>
          </w:tcPr>
          <w:p w14:paraId="1D96A7C5" w14:textId="77777777" w:rsidR="00AD365D" w:rsidRPr="00487834" w:rsidRDefault="00AD365D" w:rsidP="001747B1">
            <w:pPr>
              <w:pStyle w:val="NoSpacing"/>
              <w:rPr>
                <w:i/>
                <w:iCs/>
                <w:color w:val="000000"/>
              </w:rPr>
            </w:pPr>
            <w:r w:rsidRPr="00487834">
              <w:rPr>
                <w:i/>
                <w:iCs/>
                <w:color w:val="000000"/>
              </w:rPr>
              <w:t>PE</w:t>
            </w:r>
          </w:p>
        </w:tc>
        <w:tc>
          <w:tcPr>
            <w:tcW w:w="1080" w:type="dxa"/>
            <w:tcBorders>
              <w:top w:val="nil"/>
              <w:left w:val="nil"/>
              <w:bottom w:val="nil"/>
              <w:right w:val="nil"/>
            </w:tcBorders>
            <w:shd w:val="clear" w:color="auto" w:fill="auto"/>
            <w:noWrap/>
            <w:vAlign w:val="center"/>
            <w:hideMark/>
          </w:tcPr>
          <w:p w14:paraId="37AEF760" w14:textId="77777777" w:rsidR="00AD365D" w:rsidRPr="00487834" w:rsidRDefault="00AD365D" w:rsidP="001747B1">
            <w:pPr>
              <w:pStyle w:val="NoSpacing"/>
              <w:rPr>
                <w:color w:val="000000"/>
              </w:rPr>
            </w:pPr>
            <w:r w:rsidRPr="00487834">
              <w:rPr>
                <w:color w:val="000000"/>
              </w:rPr>
              <w:t>9.693</w:t>
            </w:r>
          </w:p>
        </w:tc>
        <w:tc>
          <w:tcPr>
            <w:tcW w:w="1060" w:type="dxa"/>
            <w:tcBorders>
              <w:top w:val="nil"/>
              <w:left w:val="nil"/>
              <w:bottom w:val="nil"/>
              <w:right w:val="nil"/>
            </w:tcBorders>
            <w:shd w:val="clear" w:color="auto" w:fill="auto"/>
            <w:noWrap/>
            <w:vAlign w:val="center"/>
            <w:hideMark/>
          </w:tcPr>
          <w:p w14:paraId="4E54EA4D" w14:textId="77777777" w:rsidR="00AD365D" w:rsidRPr="00487834" w:rsidRDefault="00AD365D" w:rsidP="001747B1">
            <w:pPr>
              <w:pStyle w:val="NoSpacing"/>
              <w:rPr>
                <w:color w:val="000000"/>
              </w:rPr>
            </w:pPr>
            <w:r w:rsidRPr="00487834">
              <w:rPr>
                <w:color w:val="000000"/>
              </w:rPr>
              <w:t>9.975</w:t>
            </w:r>
          </w:p>
        </w:tc>
        <w:tc>
          <w:tcPr>
            <w:tcW w:w="1060" w:type="dxa"/>
            <w:tcBorders>
              <w:top w:val="nil"/>
              <w:left w:val="nil"/>
              <w:bottom w:val="nil"/>
              <w:right w:val="nil"/>
            </w:tcBorders>
            <w:shd w:val="clear" w:color="auto" w:fill="auto"/>
            <w:noWrap/>
            <w:vAlign w:val="center"/>
            <w:hideMark/>
          </w:tcPr>
          <w:p w14:paraId="2AAD704E" w14:textId="77777777" w:rsidR="00AD365D" w:rsidRPr="00487834" w:rsidRDefault="00AD365D" w:rsidP="001747B1">
            <w:pPr>
              <w:pStyle w:val="NoSpacing"/>
              <w:rPr>
                <w:color w:val="000000"/>
              </w:rPr>
            </w:pPr>
            <w:r w:rsidRPr="00487834">
              <w:rPr>
                <w:color w:val="000000"/>
              </w:rPr>
              <w:t>164</w:t>
            </w:r>
          </w:p>
        </w:tc>
        <w:tc>
          <w:tcPr>
            <w:tcW w:w="1060" w:type="dxa"/>
            <w:tcBorders>
              <w:top w:val="nil"/>
              <w:left w:val="nil"/>
              <w:bottom w:val="nil"/>
              <w:right w:val="nil"/>
            </w:tcBorders>
            <w:shd w:val="clear" w:color="auto" w:fill="auto"/>
            <w:noWrap/>
            <w:vAlign w:val="center"/>
            <w:hideMark/>
          </w:tcPr>
          <w:p w14:paraId="5ABA1C21" w14:textId="77777777" w:rsidR="00AD365D" w:rsidRPr="00487834" w:rsidRDefault="00AD365D" w:rsidP="001747B1">
            <w:pPr>
              <w:pStyle w:val="NoSpacing"/>
              <w:rPr>
                <w:color w:val="000000"/>
              </w:rPr>
            </w:pPr>
            <w:r w:rsidRPr="00487834">
              <w:rPr>
                <w:color w:val="000000"/>
              </w:rPr>
              <w:t>1.023</w:t>
            </w:r>
          </w:p>
        </w:tc>
        <w:tc>
          <w:tcPr>
            <w:tcW w:w="1060" w:type="dxa"/>
            <w:tcBorders>
              <w:top w:val="nil"/>
              <w:left w:val="nil"/>
              <w:bottom w:val="nil"/>
              <w:right w:val="nil"/>
            </w:tcBorders>
            <w:shd w:val="clear" w:color="auto" w:fill="auto"/>
            <w:noWrap/>
            <w:vAlign w:val="center"/>
            <w:hideMark/>
          </w:tcPr>
          <w:p w14:paraId="30D5F5E1" w14:textId="77777777" w:rsidR="00AD365D" w:rsidRPr="00487834" w:rsidRDefault="00AD365D" w:rsidP="001747B1">
            <w:pPr>
              <w:pStyle w:val="NoSpacing"/>
              <w:rPr>
                <w:color w:val="000000"/>
              </w:rPr>
            </w:pPr>
            <w:r w:rsidRPr="00487834">
              <w:rPr>
                <w:color w:val="000000"/>
              </w:rPr>
              <w:t>4.998</w:t>
            </w:r>
          </w:p>
        </w:tc>
        <w:tc>
          <w:tcPr>
            <w:tcW w:w="1060" w:type="dxa"/>
            <w:tcBorders>
              <w:top w:val="nil"/>
              <w:left w:val="nil"/>
              <w:bottom w:val="nil"/>
              <w:right w:val="nil"/>
            </w:tcBorders>
            <w:shd w:val="clear" w:color="auto" w:fill="auto"/>
            <w:noWrap/>
            <w:vAlign w:val="center"/>
            <w:hideMark/>
          </w:tcPr>
          <w:p w14:paraId="1B46950D" w14:textId="77777777" w:rsidR="00AD365D" w:rsidRPr="00487834" w:rsidRDefault="00AD365D" w:rsidP="001747B1">
            <w:pPr>
              <w:pStyle w:val="NoSpacing"/>
              <w:rPr>
                <w:color w:val="000000"/>
              </w:rPr>
            </w:pPr>
            <w:r w:rsidRPr="00487834">
              <w:rPr>
                <w:color w:val="000000"/>
              </w:rPr>
              <w:t>6.713</w:t>
            </w:r>
          </w:p>
        </w:tc>
        <w:tc>
          <w:tcPr>
            <w:tcW w:w="1060" w:type="dxa"/>
            <w:tcBorders>
              <w:top w:val="nil"/>
              <w:left w:val="nil"/>
              <w:bottom w:val="nil"/>
              <w:right w:val="nil"/>
            </w:tcBorders>
            <w:shd w:val="clear" w:color="auto" w:fill="auto"/>
            <w:noWrap/>
            <w:vAlign w:val="center"/>
            <w:hideMark/>
          </w:tcPr>
          <w:p w14:paraId="7DD0E52B" w14:textId="77777777" w:rsidR="00AD365D" w:rsidRPr="00487834" w:rsidRDefault="00AD365D" w:rsidP="001747B1">
            <w:pPr>
              <w:pStyle w:val="NoSpacing"/>
              <w:rPr>
                <w:color w:val="000000"/>
              </w:rPr>
            </w:pPr>
            <w:r w:rsidRPr="00487834">
              <w:rPr>
                <w:color w:val="000000"/>
              </w:rPr>
              <w:t>9.907</w:t>
            </w:r>
          </w:p>
        </w:tc>
        <w:tc>
          <w:tcPr>
            <w:tcW w:w="1060" w:type="dxa"/>
            <w:tcBorders>
              <w:top w:val="nil"/>
              <w:left w:val="nil"/>
              <w:bottom w:val="nil"/>
              <w:right w:val="nil"/>
            </w:tcBorders>
            <w:shd w:val="clear" w:color="auto" w:fill="auto"/>
            <w:noWrap/>
            <w:vAlign w:val="center"/>
            <w:hideMark/>
          </w:tcPr>
          <w:p w14:paraId="51F48D78" w14:textId="77777777" w:rsidR="00AD365D" w:rsidRPr="00487834" w:rsidRDefault="00AD365D" w:rsidP="001747B1">
            <w:pPr>
              <w:pStyle w:val="NoSpacing"/>
              <w:rPr>
                <w:color w:val="000000"/>
              </w:rPr>
            </w:pPr>
            <w:r w:rsidRPr="00487834">
              <w:rPr>
                <w:color w:val="000000"/>
              </w:rPr>
              <w:t>57.013</w:t>
            </w:r>
          </w:p>
        </w:tc>
      </w:tr>
      <w:tr w:rsidR="00AD365D" w:rsidRPr="00487834" w14:paraId="1BCCED4C" w14:textId="77777777" w:rsidTr="001747B1">
        <w:trPr>
          <w:trHeight w:val="560"/>
          <w:jc w:val="center"/>
        </w:trPr>
        <w:tc>
          <w:tcPr>
            <w:tcW w:w="1180" w:type="dxa"/>
            <w:tcBorders>
              <w:top w:val="nil"/>
              <w:left w:val="nil"/>
              <w:bottom w:val="nil"/>
              <w:right w:val="nil"/>
            </w:tcBorders>
            <w:shd w:val="clear" w:color="auto" w:fill="auto"/>
            <w:noWrap/>
            <w:vAlign w:val="center"/>
            <w:hideMark/>
          </w:tcPr>
          <w:p w14:paraId="212748B4" w14:textId="77777777" w:rsidR="00AD365D" w:rsidRPr="00487834" w:rsidRDefault="00AD365D" w:rsidP="001747B1">
            <w:pPr>
              <w:pStyle w:val="NoSpacing"/>
              <w:rPr>
                <w:i/>
                <w:iCs/>
                <w:color w:val="000000"/>
              </w:rPr>
            </w:pPr>
            <w:r w:rsidRPr="00487834">
              <w:rPr>
                <w:i/>
                <w:iCs/>
                <w:color w:val="000000"/>
              </w:rPr>
              <w:t>MTB</w:t>
            </w:r>
          </w:p>
        </w:tc>
        <w:tc>
          <w:tcPr>
            <w:tcW w:w="1080" w:type="dxa"/>
            <w:tcBorders>
              <w:top w:val="nil"/>
              <w:left w:val="nil"/>
              <w:bottom w:val="nil"/>
              <w:right w:val="nil"/>
            </w:tcBorders>
            <w:shd w:val="clear" w:color="auto" w:fill="auto"/>
            <w:noWrap/>
            <w:vAlign w:val="center"/>
            <w:hideMark/>
          </w:tcPr>
          <w:p w14:paraId="7B1CF7EE" w14:textId="77777777" w:rsidR="00AD365D" w:rsidRPr="00487834" w:rsidRDefault="00AD365D" w:rsidP="001747B1">
            <w:pPr>
              <w:pStyle w:val="NoSpacing"/>
              <w:rPr>
                <w:color w:val="000000"/>
              </w:rPr>
            </w:pPr>
            <w:r w:rsidRPr="00487834">
              <w:rPr>
                <w:color w:val="000000"/>
              </w:rPr>
              <w:t>1.386</w:t>
            </w:r>
          </w:p>
        </w:tc>
        <w:tc>
          <w:tcPr>
            <w:tcW w:w="1060" w:type="dxa"/>
            <w:tcBorders>
              <w:top w:val="nil"/>
              <w:left w:val="nil"/>
              <w:bottom w:val="nil"/>
              <w:right w:val="nil"/>
            </w:tcBorders>
            <w:shd w:val="clear" w:color="auto" w:fill="auto"/>
            <w:noWrap/>
            <w:vAlign w:val="center"/>
            <w:hideMark/>
          </w:tcPr>
          <w:p w14:paraId="21605DCC" w14:textId="77777777" w:rsidR="00AD365D" w:rsidRPr="00487834" w:rsidRDefault="00AD365D" w:rsidP="001747B1">
            <w:pPr>
              <w:pStyle w:val="NoSpacing"/>
              <w:rPr>
                <w:color w:val="000000"/>
              </w:rPr>
            </w:pPr>
            <w:r w:rsidRPr="00487834">
              <w:rPr>
                <w:color w:val="000000"/>
              </w:rPr>
              <w:t>1.132</w:t>
            </w:r>
          </w:p>
        </w:tc>
        <w:tc>
          <w:tcPr>
            <w:tcW w:w="1060" w:type="dxa"/>
            <w:tcBorders>
              <w:top w:val="nil"/>
              <w:left w:val="nil"/>
              <w:bottom w:val="nil"/>
              <w:right w:val="nil"/>
            </w:tcBorders>
            <w:shd w:val="clear" w:color="auto" w:fill="auto"/>
            <w:noWrap/>
            <w:vAlign w:val="center"/>
            <w:hideMark/>
          </w:tcPr>
          <w:p w14:paraId="08FB2A03" w14:textId="77777777" w:rsidR="00AD365D" w:rsidRPr="00487834" w:rsidRDefault="00AD365D" w:rsidP="001747B1">
            <w:pPr>
              <w:pStyle w:val="NoSpacing"/>
              <w:rPr>
                <w:color w:val="000000"/>
              </w:rPr>
            </w:pPr>
            <w:r w:rsidRPr="00487834">
              <w:rPr>
                <w:color w:val="000000"/>
              </w:rPr>
              <w:t>164</w:t>
            </w:r>
          </w:p>
        </w:tc>
        <w:tc>
          <w:tcPr>
            <w:tcW w:w="1060" w:type="dxa"/>
            <w:tcBorders>
              <w:top w:val="nil"/>
              <w:left w:val="nil"/>
              <w:bottom w:val="nil"/>
              <w:right w:val="nil"/>
            </w:tcBorders>
            <w:shd w:val="clear" w:color="auto" w:fill="auto"/>
            <w:noWrap/>
            <w:vAlign w:val="center"/>
            <w:hideMark/>
          </w:tcPr>
          <w:p w14:paraId="268772D5" w14:textId="77777777" w:rsidR="00AD365D" w:rsidRPr="00487834" w:rsidRDefault="00AD365D" w:rsidP="001747B1">
            <w:pPr>
              <w:pStyle w:val="NoSpacing"/>
              <w:rPr>
                <w:color w:val="000000"/>
              </w:rPr>
            </w:pPr>
            <w:r w:rsidRPr="00487834">
              <w:rPr>
                <w:color w:val="000000"/>
              </w:rPr>
              <w:t>0.147</w:t>
            </w:r>
          </w:p>
        </w:tc>
        <w:tc>
          <w:tcPr>
            <w:tcW w:w="1060" w:type="dxa"/>
            <w:tcBorders>
              <w:top w:val="nil"/>
              <w:left w:val="nil"/>
              <w:bottom w:val="nil"/>
              <w:right w:val="nil"/>
            </w:tcBorders>
            <w:shd w:val="clear" w:color="auto" w:fill="auto"/>
            <w:noWrap/>
            <w:vAlign w:val="center"/>
            <w:hideMark/>
          </w:tcPr>
          <w:p w14:paraId="354D22A2" w14:textId="77777777" w:rsidR="00AD365D" w:rsidRPr="00487834" w:rsidRDefault="00AD365D" w:rsidP="001747B1">
            <w:pPr>
              <w:pStyle w:val="NoSpacing"/>
              <w:rPr>
                <w:color w:val="000000"/>
              </w:rPr>
            </w:pPr>
            <w:r w:rsidRPr="00487834">
              <w:rPr>
                <w:color w:val="000000"/>
              </w:rPr>
              <w:t>0.539</w:t>
            </w:r>
          </w:p>
        </w:tc>
        <w:tc>
          <w:tcPr>
            <w:tcW w:w="1060" w:type="dxa"/>
            <w:tcBorders>
              <w:top w:val="nil"/>
              <w:left w:val="nil"/>
              <w:bottom w:val="nil"/>
              <w:right w:val="nil"/>
            </w:tcBorders>
            <w:shd w:val="clear" w:color="auto" w:fill="auto"/>
            <w:noWrap/>
            <w:vAlign w:val="center"/>
            <w:hideMark/>
          </w:tcPr>
          <w:p w14:paraId="6B365EBD" w14:textId="77777777" w:rsidR="00AD365D" w:rsidRPr="00487834" w:rsidRDefault="00AD365D" w:rsidP="001747B1">
            <w:pPr>
              <w:pStyle w:val="NoSpacing"/>
              <w:rPr>
                <w:color w:val="000000"/>
              </w:rPr>
            </w:pPr>
            <w:r w:rsidRPr="00487834">
              <w:rPr>
                <w:color w:val="000000"/>
              </w:rPr>
              <w:t>1.039</w:t>
            </w:r>
          </w:p>
        </w:tc>
        <w:tc>
          <w:tcPr>
            <w:tcW w:w="1060" w:type="dxa"/>
            <w:tcBorders>
              <w:top w:val="nil"/>
              <w:left w:val="nil"/>
              <w:bottom w:val="nil"/>
              <w:right w:val="nil"/>
            </w:tcBorders>
            <w:shd w:val="clear" w:color="auto" w:fill="auto"/>
            <w:noWrap/>
            <w:vAlign w:val="center"/>
            <w:hideMark/>
          </w:tcPr>
          <w:p w14:paraId="1FDD7A37" w14:textId="77777777" w:rsidR="00AD365D" w:rsidRPr="00487834" w:rsidRDefault="00AD365D" w:rsidP="001747B1">
            <w:pPr>
              <w:pStyle w:val="NoSpacing"/>
              <w:rPr>
                <w:color w:val="000000"/>
              </w:rPr>
            </w:pPr>
            <w:r w:rsidRPr="00487834">
              <w:rPr>
                <w:color w:val="000000"/>
              </w:rPr>
              <w:t>1.762</w:t>
            </w:r>
          </w:p>
        </w:tc>
        <w:tc>
          <w:tcPr>
            <w:tcW w:w="1060" w:type="dxa"/>
            <w:tcBorders>
              <w:top w:val="nil"/>
              <w:left w:val="nil"/>
              <w:bottom w:val="nil"/>
              <w:right w:val="nil"/>
            </w:tcBorders>
            <w:shd w:val="clear" w:color="auto" w:fill="auto"/>
            <w:noWrap/>
            <w:vAlign w:val="center"/>
            <w:hideMark/>
          </w:tcPr>
          <w:p w14:paraId="0EA645B5" w14:textId="77777777" w:rsidR="00AD365D" w:rsidRPr="00487834" w:rsidRDefault="00AD365D" w:rsidP="001747B1">
            <w:pPr>
              <w:pStyle w:val="NoSpacing"/>
              <w:rPr>
                <w:color w:val="000000"/>
              </w:rPr>
            </w:pPr>
            <w:r w:rsidRPr="00487834">
              <w:rPr>
                <w:color w:val="000000"/>
              </w:rPr>
              <w:t>5.026</w:t>
            </w:r>
          </w:p>
        </w:tc>
      </w:tr>
      <w:tr w:rsidR="00AD365D" w:rsidRPr="00487834" w14:paraId="72B2B9EE" w14:textId="77777777" w:rsidTr="001747B1">
        <w:trPr>
          <w:trHeight w:val="560"/>
          <w:jc w:val="center"/>
        </w:trPr>
        <w:tc>
          <w:tcPr>
            <w:tcW w:w="1180" w:type="dxa"/>
            <w:tcBorders>
              <w:top w:val="nil"/>
              <w:left w:val="nil"/>
              <w:bottom w:val="nil"/>
              <w:right w:val="nil"/>
            </w:tcBorders>
            <w:shd w:val="clear" w:color="auto" w:fill="auto"/>
            <w:noWrap/>
            <w:vAlign w:val="center"/>
            <w:hideMark/>
          </w:tcPr>
          <w:p w14:paraId="1FB84D76" w14:textId="77777777" w:rsidR="00AD365D" w:rsidRPr="00487834" w:rsidRDefault="00AD365D" w:rsidP="001747B1">
            <w:pPr>
              <w:pStyle w:val="NoSpacing"/>
              <w:rPr>
                <w:i/>
                <w:iCs/>
                <w:color w:val="000000"/>
              </w:rPr>
            </w:pPr>
            <w:r w:rsidRPr="00487834">
              <w:rPr>
                <w:i/>
                <w:iCs/>
                <w:color w:val="000000"/>
              </w:rPr>
              <w:t>BETA</w:t>
            </w:r>
          </w:p>
        </w:tc>
        <w:tc>
          <w:tcPr>
            <w:tcW w:w="1080" w:type="dxa"/>
            <w:tcBorders>
              <w:top w:val="nil"/>
              <w:left w:val="nil"/>
              <w:bottom w:val="nil"/>
              <w:right w:val="nil"/>
            </w:tcBorders>
            <w:shd w:val="clear" w:color="auto" w:fill="auto"/>
            <w:noWrap/>
            <w:vAlign w:val="center"/>
            <w:hideMark/>
          </w:tcPr>
          <w:p w14:paraId="7C805AF7" w14:textId="77777777" w:rsidR="00AD365D" w:rsidRPr="00487834" w:rsidRDefault="00AD365D" w:rsidP="001747B1">
            <w:pPr>
              <w:pStyle w:val="NoSpacing"/>
              <w:rPr>
                <w:color w:val="000000"/>
              </w:rPr>
            </w:pPr>
            <w:r w:rsidRPr="00487834">
              <w:rPr>
                <w:color w:val="000000"/>
              </w:rPr>
              <w:t>0.901</w:t>
            </w:r>
          </w:p>
        </w:tc>
        <w:tc>
          <w:tcPr>
            <w:tcW w:w="1060" w:type="dxa"/>
            <w:tcBorders>
              <w:top w:val="nil"/>
              <w:left w:val="nil"/>
              <w:bottom w:val="nil"/>
              <w:right w:val="nil"/>
            </w:tcBorders>
            <w:shd w:val="clear" w:color="auto" w:fill="auto"/>
            <w:noWrap/>
            <w:vAlign w:val="center"/>
            <w:hideMark/>
          </w:tcPr>
          <w:p w14:paraId="632EB149" w14:textId="77777777" w:rsidR="00AD365D" w:rsidRPr="00487834" w:rsidRDefault="00AD365D" w:rsidP="001747B1">
            <w:pPr>
              <w:pStyle w:val="NoSpacing"/>
              <w:rPr>
                <w:color w:val="000000"/>
              </w:rPr>
            </w:pPr>
            <w:r w:rsidRPr="00487834">
              <w:rPr>
                <w:color w:val="000000"/>
              </w:rPr>
              <w:t>0.299</w:t>
            </w:r>
          </w:p>
        </w:tc>
        <w:tc>
          <w:tcPr>
            <w:tcW w:w="1060" w:type="dxa"/>
            <w:tcBorders>
              <w:top w:val="nil"/>
              <w:left w:val="nil"/>
              <w:bottom w:val="nil"/>
              <w:right w:val="nil"/>
            </w:tcBorders>
            <w:shd w:val="clear" w:color="auto" w:fill="auto"/>
            <w:noWrap/>
            <w:vAlign w:val="center"/>
            <w:hideMark/>
          </w:tcPr>
          <w:p w14:paraId="11542B98" w14:textId="77777777" w:rsidR="00AD365D" w:rsidRPr="00487834" w:rsidRDefault="00AD365D" w:rsidP="001747B1">
            <w:pPr>
              <w:pStyle w:val="NoSpacing"/>
              <w:rPr>
                <w:color w:val="000000"/>
              </w:rPr>
            </w:pPr>
            <w:r w:rsidRPr="00487834">
              <w:rPr>
                <w:color w:val="000000"/>
              </w:rPr>
              <w:t>164</w:t>
            </w:r>
          </w:p>
        </w:tc>
        <w:tc>
          <w:tcPr>
            <w:tcW w:w="1060" w:type="dxa"/>
            <w:tcBorders>
              <w:top w:val="nil"/>
              <w:left w:val="nil"/>
              <w:bottom w:val="nil"/>
              <w:right w:val="nil"/>
            </w:tcBorders>
            <w:shd w:val="clear" w:color="auto" w:fill="auto"/>
            <w:noWrap/>
            <w:vAlign w:val="center"/>
            <w:hideMark/>
          </w:tcPr>
          <w:p w14:paraId="6519132C" w14:textId="77777777" w:rsidR="00AD365D" w:rsidRPr="00487834" w:rsidRDefault="00AD365D" w:rsidP="001747B1">
            <w:pPr>
              <w:pStyle w:val="NoSpacing"/>
              <w:rPr>
                <w:color w:val="000000"/>
              </w:rPr>
            </w:pPr>
            <w:r w:rsidRPr="00487834">
              <w:rPr>
                <w:color w:val="000000"/>
              </w:rPr>
              <w:t>0.147</w:t>
            </w:r>
          </w:p>
        </w:tc>
        <w:tc>
          <w:tcPr>
            <w:tcW w:w="1060" w:type="dxa"/>
            <w:tcBorders>
              <w:top w:val="nil"/>
              <w:left w:val="nil"/>
              <w:bottom w:val="nil"/>
              <w:right w:val="nil"/>
            </w:tcBorders>
            <w:shd w:val="clear" w:color="auto" w:fill="auto"/>
            <w:noWrap/>
            <w:vAlign w:val="center"/>
            <w:hideMark/>
          </w:tcPr>
          <w:p w14:paraId="0E017E97" w14:textId="77777777" w:rsidR="00AD365D" w:rsidRPr="00487834" w:rsidRDefault="00AD365D" w:rsidP="001747B1">
            <w:pPr>
              <w:pStyle w:val="NoSpacing"/>
              <w:rPr>
                <w:color w:val="000000"/>
              </w:rPr>
            </w:pPr>
            <w:r w:rsidRPr="00487834">
              <w:rPr>
                <w:color w:val="000000"/>
              </w:rPr>
              <w:t>0.725</w:t>
            </w:r>
          </w:p>
        </w:tc>
        <w:tc>
          <w:tcPr>
            <w:tcW w:w="1060" w:type="dxa"/>
            <w:tcBorders>
              <w:top w:val="nil"/>
              <w:left w:val="nil"/>
              <w:bottom w:val="nil"/>
              <w:right w:val="nil"/>
            </w:tcBorders>
            <w:shd w:val="clear" w:color="auto" w:fill="auto"/>
            <w:noWrap/>
            <w:vAlign w:val="center"/>
            <w:hideMark/>
          </w:tcPr>
          <w:p w14:paraId="6A622724" w14:textId="77777777" w:rsidR="00AD365D" w:rsidRPr="00487834" w:rsidRDefault="00AD365D" w:rsidP="001747B1">
            <w:pPr>
              <w:pStyle w:val="NoSpacing"/>
              <w:rPr>
                <w:color w:val="000000"/>
              </w:rPr>
            </w:pPr>
            <w:r w:rsidRPr="00487834">
              <w:rPr>
                <w:color w:val="000000"/>
              </w:rPr>
              <w:t>0.935</w:t>
            </w:r>
          </w:p>
        </w:tc>
        <w:tc>
          <w:tcPr>
            <w:tcW w:w="1060" w:type="dxa"/>
            <w:tcBorders>
              <w:top w:val="nil"/>
              <w:left w:val="nil"/>
              <w:bottom w:val="nil"/>
              <w:right w:val="nil"/>
            </w:tcBorders>
            <w:shd w:val="clear" w:color="auto" w:fill="auto"/>
            <w:noWrap/>
            <w:vAlign w:val="center"/>
            <w:hideMark/>
          </w:tcPr>
          <w:p w14:paraId="52848A6F" w14:textId="77777777" w:rsidR="00AD365D" w:rsidRPr="00487834" w:rsidRDefault="00AD365D" w:rsidP="001747B1">
            <w:pPr>
              <w:pStyle w:val="NoSpacing"/>
              <w:rPr>
                <w:color w:val="000000"/>
              </w:rPr>
            </w:pPr>
            <w:r w:rsidRPr="00487834">
              <w:rPr>
                <w:color w:val="000000"/>
              </w:rPr>
              <w:t>1.066</w:t>
            </w:r>
          </w:p>
        </w:tc>
        <w:tc>
          <w:tcPr>
            <w:tcW w:w="1060" w:type="dxa"/>
            <w:tcBorders>
              <w:top w:val="nil"/>
              <w:left w:val="nil"/>
              <w:bottom w:val="nil"/>
              <w:right w:val="nil"/>
            </w:tcBorders>
            <w:shd w:val="clear" w:color="auto" w:fill="auto"/>
            <w:noWrap/>
            <w:vAlign w:val="center"/>
            <w:hideMark/>
          </w:tcPr>
          <w:p w14:paraId="41BFB5EA" w14:textId="77777777" w:rsidR="00AD365D" w:rsidRPr="00487834" w:rsidRDefault="00AD365D" w:rsidP="001747B1">
            <w:pPr>
              <w:pStyle w:val="NoSpacing"/>
              <w:rPr>
                <w:color w:val="000000"/>
              </w:rPr>
            </w:pPr>
            <w:r w:rsidRPr="00487834">
              <w:rPr>
                <w:color w:val="000000"/>
              </w:rPr>
              <w:t>1.892</w:t>
            </w:r>
          </w:p>
        </w:tc>
      </w:tr>
      <w:tr w:rsidR="00AD365D" w:rsidRPr="00487834" w14:paraId="72981EFE" w14:textId="77777777" w:rsidTr="001747B1">
        <w:trPr>
          <w:trHeight w:val="560"/>
          <w:jc w:val="center"/>
        </w:trPr>
        <w:tc>
          <w:tcPr>
            <w:tcW w:w="1180" w:type="dxa"/>
            <w:tcBorders>
              <w:top w:val="nil"/>
              <w:left w:val="nil"/>
              <w:bottom w:val="nil"/>
              <w:right w:val="nil"/>
            </w:tcBorders>
            <w:shd w:val="clear" w:color="auto" w:fill="auto"/>
            <w:noWrap/>
            <w:vAlign w:val="center"/>
            <w:hideMark/>
          </w:tcPr>
          <w:p w14:paraId="4D93DD31" w14:textId="77777777" w:rsidR="00AD365D" w:rsidRPr="00487834" w:rsidRDefault="00AD365D" w:rsidP="001747B1">
            <w:pPr>
              <w:pStyle w:val="NoSpacing"/>
              <w:rPr>
                <w:i/>
                <w:iCs/>
                <w:color w:val="000000"/>
              </w:rPr>
            </w:pPr>
            <w:r w:rsidRPr="00487834">
              <w:rPr>
                <w:i/>
                <w:iCs/>
                <w:color w:val="000000"/>
              </w:rPr>
              <w:t>ROE</w:t>
            </w:r>
          </w:p>
        </w:tc>
        <w:tc>
          <w:tcPr>
            <w:tcW w:w="1080" w:type="dxa"/>
            <w:tcBorders>
              <w:top w:val="nil"/>
              <w:left w:val="nil"/>
              <w:bottom w:val="nil"/>
              <w:right w:val="nil"/>
            </w:tcBorders>
            <w:shd w:val="clear" w:color="auto" w:fill="auto"/>
            <w:noWrap/>
            <w:vAlign w:val="center"/>
            <w:hideMark/>
          </w:tcPr>
          <w:p w14:paraId="3C9972B3" w14:textId="77777777" w:rsidR="00AD365D" w:rsidRPr="00487834" w:rsidRDefault="00AD365D" w:rsidP="001747B1">
            <w:pPr>
              <w:pStyle w:val="NoSpacing"/>
              <w:rPr>
                <w:color w:val="000000"/>
              </w:rPr>
            </w:pPr>
            <w:r w:rsidRPr="00487834">
              <w:rPr>
                <w:color w:val="000000"/>
              </w:rPr>
              <w:t>0.176</w:t>
            </w:r>
          </w:p>
        </w:tc>
        <w:tc>
          <w:tcPr>
            <w:tcW w:w="1060" w:type="dxa"/>
            <w:tcBorders>
              <w:top w:val="nil"/>
              <w:left w:val="nil"/>
              <w:bottom w:val="nil"/>
              <w:right w:val="nil"/>
            </w:tcBorders>
            <w:shd w:val="clear" w:color="auto" w:fill="auto"/>
            <w:noWrap/>
            <w:vAlign w:val="center"/>
            <w:hideMark/>
          </w:tcPr>
          <w:p w14:paraId="65D204F5" w14:textId="77777777" w:rsidR="00AD365D" w:rsidRPr="00487834" w:rsidRDefault="00AD365D" w:rsidP="001747B1">
            <w:pPr>
              <w:pStyle w:val="NoSpacing"/>
              <w:rPr>
                <w:color w:val="000000"/>
              </w:rPr>
            </w:pPr>
            <w:r w:rsidRPr="00487834">
              <w:rPr>
                <w:color w:val="000000"/>
              </w:rPr>
              <w:t>0.289</w:t>
            </w:r>
          </w:p>
        </w:tc>
        <w:tc>
          <w:tcPr>
            <w:tcW w:w="1060" w:type="dxa"/>
            <w:tcBorders>
              <w:top w:val="nil"/>
              <w:left w:val="nil"/>
              <w:bottom w:val="nil"/>
              <w:right w:val="nil"/>
            </w:tcBorders>
            <w:shd w:val="clear" w:color="auto" w:fill="auto"/>
            <w:noWrap/>
            <w:vAlign w:val="center"/>
            <w:hideMark/>
          </w:tcPr>
          <w:p w14:paraId="4515133B" w14:textId="77777777" w:rsidR="00AD365D" w:rsidRPr="00487834" w:rsidRDefault="00AD365D" w:rsidP="001747B1">
            <w:pPr>
              <w:pStyle w:val="NoSpacing"/>
              <w:rPr>
                <w:color w:val="000000"/>
              </w:rPr>
            </w:pPr>
            <w:r w:rsidRPr="00487834">
              <w:rPr>
                <w:color w:val="000000"/>
              </w:rPr>
              <w:t>164</w:t>
            </w:r>
          </w:p>
        </w:tc>
        <w:tc>
          <w:tcPr>
            <w:tcW w:w="1060" w:type="dxa"/>
            <w:tcBorders>
              <w:top w:val="nil"/>
              <w:left w:val="nil"/>
              <w:bottom w:val="nil"/>
              <w:right w:val="nil"/>
            </w:tcBorders>
            <w:shd w:val="clear" w:color="auto" w:fill="auto"/>
            <w:noWrap/>
            <w:vAlign w:val="center"/>
            <w:hideMark/>
          </w:tcPr>
          <w:p w14:paraId="548F8B4F" w14:textId="77777777" w:rsidR="00AD365D" w:rsidRPr="00487834" w:rsidRDefault="00AD365D" w:rsidP="001747B1">
            <w:pPr>
              <w:pStyle w:val="NoSpacing"/>
              <w:rPr>
                <w:color w:val="000000"/>
              </w:rPr>
            </w:pPr>
            <w:r w:rsidRPr="00487834">
              <w:rPr>
                <w:color w:val="000000"/>
              </w:rPr>
              <w:t>-1.266</w:t>
            </w:r>
          </w:p>
        </w:tc>
        <w:tc>
          <w:tcPr>
            <w:tcW w:w="1060" w:type="dxa"/>
            <w:tcBorders>
              <w:top w:val="nil"/>
              <w:left w:val="nil"/>
              <w:bottom w:val="nil"/>
              <w:right w:val="nil"/>
            </w:tcBorders>
            <w:shd w:val="clear" w:color="auto" w:fill="auto"/>
            <w:noWrap/>
            <w:vAlign w:val="center"/>
            <w:hideMark/>
          </w:tcPr>
          <w:p w14:paraId="21E03D7A" w14:textId="77777777" w:rsidR="00AD365D" w:rsidRPr="00487834" w:rsidRDefault="00AD365D" w:rsidP="001747B1">
            <w:pPr>
              <w:pStyle w:val="NoSpacing"/>
              <w:rPr>
                <w:color w:val="000000"/>
              </w:rPr>
            </w:pPr>
            <w:r w:rsidRPr="00487834">
              <w:rPr>
                <w:color w:val="000000"/>
                <w:lang w:val="en-US"/>
              </w:rPr>
              <w:t xml:space="preserve">     </w:t>
            </w:r>
            <w:r w:rsidRPr="00487834">
              <w:rPr>
                <w:color w:val="000000"/>
              </w:rPr>
              <w:t>0</w:t>
            </w:r>
          </w:p>
        </w:tc>
        <w:tc>
          <w:tcPr>
            <w:tcW w:w="1060" w:type="dxa"/>
            <w:tcBorders>
              <w:top w:val="nil"/>
              <w:left w:val="nil"/>
              <w:bottom w:val="nil"/>
              <w:right w:val="nil"/>
            </w:tcBorders>
            <w:shd w:val="clear" w:color="auto" w:fill="auto"/>
            <w:noWrap/>
            <w:vAlign w:val="center"/>
            <w:hideMark/>
          </w:tcPr>
          <w:p w14:paraId="32A33AC0" w14:textId="77777777" w:rsidR="00AD365D" w:rsidRPr="00487834" w:rsidRDefault="00AD365D" w:rsidP="001747B1">
            <w:pPr>
              <w:pStyle w:val="NoSpacing"/>
              <w:rPr>
                <w:color w:val="000000"/>
              </w:rPr>
            </w:pPr>
            <w:r w:rsidRPr="00487834">
              <w:rPr>
                <w:color w:val="000000"/>
              </w:rPr>
              <w:t>0.108</w:t>
            </w:r>
          </w:p>
        </w:tc>
        <w:tc>
          <w:tcPr>
            <w:tcW w:w="1060" w:type="dxa"/>
            <w:tcBorders>
              <w:top w:val="nil"/>
              <w:left w:val="nil"/>
              <w:bottom w:val="nil"/>
              <w:right w:val="nil"/>
            </w:tcBorders>
            <w:shd w:val="clear" w:color="auto" w:fill="auto"/>
            <w:noWrap/>
            <w:vAlign w:val="center"/>
            <w:hideMark/>
          </w:tcPr>
          <w:p w14:paraId="3B11B1E4" w14:textId="77777777" w:rsidR="00AD365D" w:rsidRPr="00487834" w:rsidRDefault="00AD365D" w:rsidP="001747B1">
            <w:pPr>
              <w:pStyle w:val="NoSpacing"/>
              <w:rPr>
                <w:color w:val="000000"/>
              </w:rPr>
            </w:pPr>
            <w:r w:rsidRPr="00487834">
              <w:rPr>
                <w:color w:val="000000"/>
              </w:rPr>
              <w:t>0.283</w:t>
            </w:r>
          </w:p>
        </w:tc>
        <w:tc>
          <w:tcPr>
            <w:tcW w:w="1060" w:type="dxa"/>
            <w:tcBorders>
              <w:top w:val="nil"/>
              <w:left w:val="nil"/>
              <w:bottom w:val="nil"/>
              <w:right w:val="nil"/>
            </w:tcBorders>
            <w:shd w:val="clear" w:color="auto" w:fill="auto"/>
            <w:noWrap/>
            <w:vAlign w:val="center"/>
            <w:hideMark/>
          </w:tcPr>
          <w:p w14:paraId="30E23F03" w14:textId="77777777" w:rsidR="00AD365D" w:rsidRPr="00487834" w:rsidRDefault="00AD365D" w:rsidP="001747B1">
            <w:pPr>
              <w:pStyle w:val="NoSpacing"/>
              <w:rPr>
                <w:color w:val="000000"/>
              </w:rPr>
            </w:pPr>
            <w:r w:rsidRPr="00487834">
              <w:rPr>
                <w:color w:val="000000"/>
              </w:rPr>
              <w:t>1.573</w:t>
            </w:r>
          </w:p>
        </w:tc>
      </w:tr>
      <w:tr w:rsidR="00AD365D" w:rsidRPr="00487834" w14:paraId="4E894A11" w14:textId="77777777" w:rsidTr="001747B1">
        <w:trPr>
          <w:trHeight w:val="520"/>
          <w:jc w:val="center"/>
        </w:trPr>
        <w:tc>
          <w:tcPr>
            <w:tcW w:w="1180" w:type="dxa"/>
            <w:tcBorders>
              <w:top w:val="nil"/>
              <w:left w:val="nil"/>
              <w:bottom w:val="single" w:sz="4" w:space="0" w:color="auto"/>
              <w:right w:val="nil"/>
            </w:tcBorders>
            <w:shd w:val="clear" w:color="auto" w:fill="auto"/>
            <w:noWrap/>
            <w:vAlign w:val="center"/>
            <w:hideMark/>
          </w:tcPr>
          <w:p w14:paraId="50E9EC5C" w14:textId="77777777" w:rsidR="00AD365D" w:rsidRPr="00487834" w:rsidRDefault="00AD365D" w:rsidP="001747B1">
            <w:pPr>
              <w:pStyle w:val="NoSpacing"/>
              <w:rPr>
                <w:i/>
                <w:iCs/>
                <w:color w:val="000000"/>
              </w:rPr>
            </w:pPr>
            <w:r w:rsidRPr="00487834">
              <w:rPr>
                <w:i/>
                <w:iCs/>
                <w:color w:val="000000"/>
              </w:rPr>
              <w:t>EV/EBITDA</w:t>
            </w:r>
          </w:p>
        </w:tc>
        <w:tc>
          <w:tcPr>
            <w:tcW w:w="1080" w:type="dxa"/>
            <w:tcBorders>
              <w:top w:val="nil"/>
              <w:left w:val="nil"/>
              <w:bottom w:val="single" w:sz="4" w:space="0" w:color="auto"/>
              <w:right w:val="nil"/>
            </w:tcBorders>
            <w:shd w:val="clear" w:color="auto" w:fill="auto"/>
            <w:noWrap/>
            <w:vAlign w:val="center"/>
            <w:hideMark/>
          </w:tcPr>
          <w:p w14:paraId="391D6974" w14:textId="77777777" w:rsidR="00AD365D" w:rsidRPr="00487834" w:rsidRDefault="00AD365D" w:rsidP="001747B1">
            <w:pPr>
              <w:pStyle w:val="NoSpacing"/>
              <w:rPr>
                <w:color w:val="000000"/>
              </w:rPr>
            </w:pPr>
            <w:r w:rsidRPr="00487834">
              <w:rPr>
                <w:color w:val="000000"/>
              </w:rPr>
              <w:t>5.216</w:t>
            </w:r>
          </w:p>
        </w:tc>
        <w:tc>
          <w:tcPr>
            <w:tcW w:w="1060" w:type="dxa"/>
            <w:tcBorders>
              <w:top w:val="nil"/>
              <w:left w:val="nil"/>
              <w:bottom w:val="single" w:sz="4" w:space="0" w:color="auto"/>
              <w:right w:val="nil"/>
            </w:tcBorders>
            <w:shd w:val="clear" w:color="auto" w:fill="auto"/>
            <w:noWrap/>
            <w:vAlign w:val="center"/>
            <w:hideMark/>
          </w:tcPr>
          <w:p w14:paraId="38634D6D" w14:textId="77777777" w:rsidR="00AD365D" w:rsidRPr="00487834" w:rsidRDefault="00AD365D" w:rsidP="001747B1">
            <w:pPr>
              <w:pStyle w:val="NoSpacing"/>
              <w:rPr>
                <w:color w:val="000000"/>
              </w:rPr>
            </w:pPr>
            <w:r w:rsidRPr="00487834">
              <w:rPr>
                <w:color w:val="000000"/>
              </w:rPr>
              <w:t>3.395</w:t>
            </w:r>
          </w:p>
        </w:tc>
        <w:tc>
          <w:tcPr>
            <w:tcW w:w="1060" w:type="dxa"/>
            <w:tcBorders>
              <w:top w:val="nil"/>
              <w:left w:val="nil"/>
              <w:bottom w:val="single" w:sz="4" w:space="0" w:color="auto"/>
              <w:right w:val="nil"/>
            </w:tcBorders>
            <w:shd w:val="clear" w:color="auto" w:fill="auto"/>
            <w:noWrap/>
            <w:vAlign w:val="center"/>
            <w:hideMark/>
          </w:tcPr>
          <w:p w14:paraId="549E109C" w14:textId="77777777" w:rsidR="00AD365D" w:rsidRPr="00487834" w:rsidRDefault="00AD365D" w:rsidP="001747B1">
            <w:pPr>
              <w:pStyle w:val="NoSpacing"/>
              <w:rPr>
                <w:color w:val="000000"/>
              </w:rPr>
            </w:pPr>
            <w:r w:rsidRPr="00487834">
              <w:rPr>
                <w:color w:val="000000"/>
              </w:rPr>
              <w:t>164</w:t>
            </w:r>
          </w:p>
        </w:tc>
        <w:tc>
          <w:tcPr>
            <w:tcW w:w="1060" w:type="dxa"/>
            <w:tcBorders>
              <w:top w:val="nil"/>
              <w:left w:val="nil"/>
              <w:bottom w:val="single" w:sz="4" w:space="0" w:color="auto"/>
              <w:right w:val="nil"/>
            </w:tcBorders>
            <w:shd w:val="clear" w:color="auto" w:fill="auto"/>
            <w:noWrap/>
            <w:vAlign w:val="center"/>
            <w:hideMark/>
          </w:tcPr>
          <w:p w14:paraId="4EF00B7C" w14:textId="77777777" w:rsidR="00AD365D" w:rsidRPr="00487834" w:rsidRDefault="00AD365D" w:rsidP="001747B1">
            <w:pPr>
              <w:pStyle w:val="NoSpacing"/>
              <w:rPr>
                <w:color w:val="000000"/>
              </w:rPr>
            </w:pPr>
            <w:r w:rsidRPr="00487834">
              <w:rPr>
                <w:color w:val="000000"/>
              </w:rPr>
              <w:t>0.494</w:t>
            </w:r>
          </w:p>
        </w:tc>
        <w:tc>
          <w:tcPr>
            <w:tcW w:w="1060" w:type="dxa"/>
            <w:tcBorders>
              <w:top w:val="nil"/>
              <w:left w:val="nil"/>
              <w:bottom w:val="single" w:sz="4" w:space="0" w:color="auto"/>
              <w:right w:val="nil"/>
            </w:tcBorders>
            <w:shd w:val="clear" w:color="auto" w:fill="auto"/>
            <w:noWrap/>
            <w:vAlign w:val="center"/>
            <w:hideMark/>
          </w:tcPr>
          <w:p w14:paraId="69F57394" w14:textId="77777777" w:rsidR="00AD365D" w:rsidRPr="00487834" w:rsidRDefault="00AD365D" w:rsidP="001747B1">
            <w:pPr>
              <w:pStyle w:val="NoSpacing"/>
              <w:rPr>
                <w:color w:val="000000"/>
              </w:rPr>
            </w:pPr>
            <w:r w:rsidRPr="00487834">
              <w:rPr>
                <w:color w:val="000000"/>
              </w:rPr>
              <w:t>3.196</w:t>
            </w:r>
          </w:p>
        </w:tc>
        <w:tc>
          <w:tcPr>
            <w:tcW w:w="1060" w:type="dxa"/>
            <w:tcBorders>
              <w:top w:val="nil"/>
              <w:left w:val="nil"/>
              <w:bottom w:val="single" w:sz="4" w:space="0" w:color="auto"/>
              <w:right w:val="nil"/>
            </w:tcBorders>
            <w:shd w:val="clear" w:color="auto" w:fill="auto"/>
            <w:noWrap/>
            <w:vAlign w:val="center"/>
            <w:hideMark/>
          </w:tcPr>
          <w:p w14:paraId="085FE550" w14:textId="77777777" w:rsidR="00AD365D" w:rsidRPr="00487834" w:rsidRDefault="00AD365D" w:rsidP="001747B1">
            <w:pPr>
              <w:pStyle w:val="NoSpacing"/>
              <w:rPr>
                <w:color w:val="000000"/>
              </w:rPr>
            </w:pPr>
            <w:r w:rsidRPr="00487834">
              <w:rPr>
                <w:color w:val="000000"/>
              </w:rPr>
              <w:t>4.485</w:t>
            </w:r>
          </w:p>
        </w:tc>
        <w:tc>
          <w:tcPr>
            <w:tcW w:w="1060" w:type="dxa"/>
            <w:tcBorders>
              <w:top w:val="nil"/>
              <w:left w:val="nil"/>
              <w:bottom w:val="single" w:sz="4" w:space="0" w:color="auto"/>
              <w:right w:val="nil"/>
            </w:tcBorders>
            <w:shd w:val="clear" w:color="auto" w:fill="auto"/>
            <w:noWrap/>
            <w:vAlign w:val="center"/>
            <w:hideMark/>
          </w:tcPr>
          <w:p w14:paraId="61ECDACB" w14:textId="77777777" w:rsidR="00AD365D" w:rsidRPr="00487834" w:rsidRDefault="00AD365D" w:rsidP="001747B1">
            <w:pPr>
              <w:pStyle w:val="NoSpacing"/>
              <w:rPr>
                <w:color w:val="000000"/>
              </w:rPr>
            </w:pPr>
            <w:r w:rsidRPr="00487834">
              <w:rPr>
                <w:color w:val="000000"/>
              </w:rPr>
              <w:t>6.117</w:t>
            </w:r>
          </w:p>
        </w:tc>
        <w:tc>
          <w:tcPr>
            <w:tcW w:w="1060" w:type="dxa"/>
            <w:tcBorders>
              <w:top w:val="nil"/>
              <w:left w:val="nil"/>
              <w:bottom w:val="single" w:sz="4" w:space="0" w:color="auto"/>
              <w:right w:val="nil"/>
            </w:tcBorders>
            <w:shd w:val="clear" w:color="auto" w:fill="auto"/>
            <w:noWrap/>
            <w:vAlign w:val="center"/>
            <w:hideMark/>
          </w:tcPr>
          <w:p w14:paraId="56928871" w14:textId="77777777" w:rsidR="00AD365D" w:rsidRPr="00487834" w:rsidRDefault="00AD365D" w:rsidP="001747B1">
            <w:pPr>
              <w:pStyle w:val="NoSpacing"/>
              <w:rPr>
                <w:color w:val="000000"/>
              </w:rPr>
            </w:pPr>
            <w:r w:rsidRPr="00487834">
              <w:rPr>
                <w:color w:val="000000"/>
              </w:rPr>
              <w:t>17.652</w:t>
            </w:r>
          </w:p>
        </w:tc>
      </w:tr>
    </w:tbl>
    <w:p w14:paraId="03EB410D" w14:textId="77777777" w:rsidR="00AD365D" w:rsidRPr="00487834" w:rsidRDefault="00AD365D" w:rsidP="00AD365D">
      <w:pPr>
        <w:autoSpaceDE w:val="0"/>
        <w:autoSpaceDN w:val="0"/>
        <w:adjustRightInd w:val="0"/>
        <w:spacing w:line="300" w:lineRule="auto"/>
        <w:rPr>
          <w:rFonts w:eastAsiaTheme="minorHAnsi"/>
          <w:b/>
          <w:bCs/>
          <w:lang w:val="en-GB" w:eastAsia="en-US"/>
        </w:rPr>
      </w:pPr>
    </w:p>
    <w:p w14:paraId="732B3F26" w14:textId="77777777" w:rsidR="00AD365D" w:rsidRPr="00487834" w:rsidRDefault="00AD365D" w:rsidP="00AD365D">
      <w:pPr>
        <w:autoSpaceDE w:val="0"/>
        <w:autoSpaceDN w:val="0"/>
        <w:adjustRightInd w:val="0"/>
        <w:spacing w:line="300" w:lineRule="auto"/>
        <w:rPr>
          <w:rFonts w:eastAsiaTheme="minorHAnsi"/>
          <w:lang w:val="en-GB" w:eastAsia="en-US"/>
        </w:rPr>
      </w:pPr>
      <w:r w:rsidRPr="00487834">
        <w:rPr>
          <w:rFonts w:eastAsiaTheme="minorHAnsi"/>
          <w:b/>
          <w:bCs/>
          <w:lang w:val="en-GB" w:eastAsia="en-US"/>
        </w:rPr>
        <w:t xml:space="preserve">Table 6 – </w:t>
      </w:r>
      <w:r w:rsidRPr="00487834">
        <w:rPr>
          <w:color w:val="0D0D0D"/>
          <w:shd w:val="clear" w:color="auto" w:fill="FFFFFF"/>
          <w:lang w:val="en-US"/>
        </w:rPr>
        <w:t>Descriptive statistics for the cost of debt model, including respective control variables, for the Russian subsample</w:t>
      </w:r>
    </w:p>
    <w:p w14:paraId="5D22942E" w14:textId="77777777" w:rsidR="00AD365D" w:rsidRPr="00487834" w:rsidRDefault="00AD365D" w:rsidP="00AD365D">
      <w:pPr>
        <w:autoSpaceDE w:val="0"/>
        <w:autoSpaceDN w:val="0"/>
        <w:adjustRightInd w:val="0"/>
        <w:spacing w:line="300" w:lineRule="auto"/>
        <w:rPr>
          <w:rFonts w:eastAsiaTheme="minorHAnsi"/>
          <w:lang w:val="en-US" w:eastAsia="en-US"/>
        </w:rPr>
      </w:pPr>
    </w:p>
    <w:p w14:paraId="129BA0D3" w14:textId="77777777" w:rsidR="00AD365D" w:rsidRPr="00487834" w:rsidRDefault="00AD365D" w:rsidP="00AD365D">
      <w:pPr>
        <w:autoSpaceDE w:val="0"/>
        <w:autoSpaceDN w:val="0"/>
        <w:adjustRightInd w:val="0"/>
        <w:spacing w:line="300" w:lineRule="auto"/>
        <w:rPr>
          <w:rFonts w:eastAsiaTheme="minorHAnsi"/>
          <w:lang w:val="en-US" w:eastAsia="en-US"/>
        </w:rPr>
      </w:pPr>
    </w:p>
    <w:tbl>
      <w:tblPr>
        <w:tblW w:w="9680" w:type="dxa"/>
        <w:jc w:val="center"/>
        <w:tblLook w:val="04A0" w:firstRow="1" w:lastRow="0" w:firstColumn="1" w:lastColumn="0" w:noHBand="0" w:noVBand="1"/>
      </w:tblPr>
      <w:tblGrid>
        <w:gridCol w:w="1341"/>
        <w:gridCol w:w="1080"/>
        <w:gridCol w:w="1060"/>
        <w:gridCol w:w="1060"/>
        <w:gridCol w:w="1060"/>
        <w:gridCol w:w="1060"/>
        <w:gridCol w:w="1060"/>
        <w:gridCol w:w="1060"/>
        <w:gridCol w:w="1060"/>
      </w:tblGrid>
      <w:tr w:rsidR="00AD365D" w:rsidRPr="00487834" w14:paraId="0D3C913B" w14:textId="77777777" w:rsidTr="001747B1">
        <w:trPr>
          <w:trHeight w:val="280"/>
          <w:jc w:val="center"/>
        </w:trPr>
        <w:tc>
          <w:tcPr>
            <w:tcW w:w="1180" w:type="dxa"/>
            <w:tcBorders>
              <w:top w:val="single" w:sz="4" w:space="0" w:color="auto"/>
              <w:left w:val="nil"/>
              <w:bottom w:val="single" w:sz="4" w:space="0" w:color="auto"/>
              <w:right w:val="nil"/>
            </w:tcBorders>
            <w:shd w:val="clear" w:color="auto" w:fill="auto"/>
            <w:noWrap/>
            <w:hideMark/>
          </w:tcPr>
          <w:p w14:paraId="777578A5" w14:textId="77777777" w:rsidR="00AD365D" w:rsidRPr="00487834" w:rsidRDefault="00AD365D" w:rsidP="001747B1">
            <w:pPr>
              <w:pStyle w:val="NoSpacing"/>
            </w:pPr>
            <w:proofErr w:type="spellStart"/>
            <w:r w:rsidRPr="00487834">
              <w:t>Variable</w:t>
            </w:r>
            <w:proofErr w:type="spellEnd"/>
          </w:p>
        </w:tc>
        <w:tc>
          <w:tcPr>
            <w:tcW w:w="1080" w:type="dxa"/>
            <w:tcBorders>
              <w:top w:val="single" w:sz="4" w:space="0" w:color="auto"/>
              <w:left w:val="nil"/>
              <w:bottom w:val="single" w:sz="4" w:space="0" w:color="auto"/>
              <w:right w:val="nil"/>
            </w:tcBorders>
            <w:shd w:val="clear" w:color="auto" w:fill="auto"/>
            <w:noWrap/>
            <w:hideMark/>
          </w:tcPr>
          <w:p w14:paraId="70A24268" w14:textId="77777777" w:rsidR="00AD365D" w:rsidRPr="00487834" w:rsidRDefault="00AD365D" w:rsidP="001747B1">
            <w:pPr>
              <w:pStyle w:val="NoSpacing"/>
            </w:pPr>
            <w:proofErr w:type="spellStart"/>
            <w:r w:rsidRPr="00487834">
              <w:t>Mean</w:t>
            </w:r>
            <w:proofErr w:type="spellEnd"/>
          </w:p>
        </w:tc>
        <w:tc>
          <w:tcPr>
            <w:tcW w:w="1060" w:type="dxa"/>
            <w:tcBorders>
              <w:top w:val="single" w:sz="4" w:space="0" w:color="auto"/>
              <w:left w:val="nil"/>
              <w:bottom w:val="single" w:sz="4" w:space="0" w:color="auto"/>
              <w:right w:val="nil"/>
            </w:tcBorders>
            <w:shd w:val="clear" w:color="auto" w:fill="auto"/>
            <w:noWrap/>
            <w:hideMark/>
          </w:tcPr>
          <w:p w14:paraId="1BDA8259" w14:textId="77777777" w:rsidR="00AD365D" w:rsidRPr="00487834" w:rsidRDefault="00AD365D" w:rsidP="001747B1">
            <w:pPr>
              <w:pStyle w:val="NoSpacing"/>
            </w:pPr>
            <w:proofErr w:type="spellStart"/>
            <w:r w:rsidRPr="00487834">
              <w:t>Std.Dev</w:t>
            </w:r>
            <w:proofErr w:type="spellEnd"/>
            <w:r w:rsidRPr="00487834">
              <w:t>.</w:t>
            </w:r>
          </w:p>
        </w:tc>
        <w:tc>
          <w:tcPr>
            <w:tcW w:w="1060" w:type="dxa"/>
            <w:tcBorders>
              <w:top w:val="single" w:sz="4" w:space="0" w:color="auto"/>
              <w:left w:val="nil"/>
              <w:bottom w:val="single" w:sz="4" w:space="0" w:color="auto"/>
              <w:right w:val="nil"/>
            </w:tcBorders>
            <w:shd w:val="clear" w:color="auto" w:fill="auto"/>
            <w:noWrap/>
            <w:hideMark/>
          </w:tcPr>
          <w:p w14:paraId="28C75FD5" w14:textId="77777777" w:rsidR="00AD365D" w:rsidRPr="00487834" w:rsidRDefault="00AD365D" w:rsidP="001747B1">
            <w:pPr>
              <w:pStyle w:val="NoSpacing"/>
            </w:pPr>
            <w:r w:rsidRPr="00487834">
              <w:t>N</w:t>
            </w:r>
          </w:p>
        </w:tc>
        <w:tc>
          <w:tcPr>
            <w:tcW w:w="1060" w:type="dxa"/>
            <w:tcBorders>
              <w:top w:val="single" w:sz="4" w:space="0" w:color="auto"/>
              <w:left w:val="nil"/>
              <w:bottom w:val="single" w:sz="4" w:space="0" w:color="auto"/>
              <w:right w:val="nil"/>
            </w:tcBorders>
            <w:shd w:val="clear" w:color="auto" w:fill="auto"/>
            <w:noWrap/>
            <w:hideMark/>
          </w:tcPr>
          <w:p w14:paraId="03B43D82" w14:textId="77777777" w:rsidR="00AD365D" w:rsidRPr="00487834" w:rsidRDefault="00AD365D" w:rsidP="001747B1">
            <w:pPr>
              <w:pStyle w:val="NoSpacing"/>
            </w:pPr>
            <w:proofErr w:type="spellStart"/>
            <w:r w:rsidRPr="00487834">
              <w:t>Min</w:t>
            </w:r>
            <w:proofErr w:type="spellEnd"/>
          </w:p>
        </w:tc>
        <w:tc>
          <w:tcPr>
            <w:tcW w:w="1060" w:type="dxa"/>
            <w:tcBorders>
              <w:top w:val="single" w:sz="4" w:space="0" w:color="auto"/>
              <w:left w:val="nil"/>
              <w:bottom w:val="single" w:sz="4" w:space="0" w:color="auto"/>
              <w:right w:val="nil"/>
            </w:tcBorders>
            <w:shd w:val="clear" w:color="auto" w:fill="auto"/>
            <w:noWrap/>
            <w:hideMark/>
          </w:tcPr>
          <w:p w14:paraId="34A85083" w14:textId="77777777" w:rsidR="00AD365D" w:rsidRPr="00487834" w:rsidRDefault="00AD365D" w:rsidP="001747B1">
            <w:pPr>
              <w:pStyle w:val="NoSpacing"/>
            </w:pPr>
            <w:r w:rsidRPr="00487834">
              <w:t>Q1</w:t>
            </w:r>
          </w:p>
        </w:tc>
        <w:tc>
          <w:tcPr>
            <w:tcW w:w="1060" w:type="dxa"/>
            <w:tcBorders>
              <w:top w:val="single" w:sz="4" w:space="0" w:color="auto"/>
              <w:left w:val="nil"/>
              <w:bottom w:val="single" w:sz="4" w:space="0" w:color="auto"/>
              <w:right w:val="nil"/>
            </w:tcBorders>
            <w:shd w:val="clear" w:color="auto" w:fill="auto"/>
            <w:noWrap/>
            <w:hideMark/>
          </w:tcPr>
          <w:p w14:paraId="3825727B" w14:textId="77777777" w:rsidR="00AD365D" w:rsidRPr="00487834" w:rsidRDefault="00AD365D" w:rsidP="001747B1">
            <w:pPr>
              <w:pStyle w:val="NoSpacing"/>
            </w:pPr>
            <w:proofErr w:type="spellStart"/>
            <w:r w:rsidRPr="00487834">
              <w:t>Median</w:t>
            </w:r>
            <w:proofErr w:type="spellEnd"/>
          </w:p>
        </w:tc>
        <w:tc>
          <w:tcPr>
            <w:tcW w:w="1060" w:type="dxa"/>
            <w:tcBorders>
              <w:top w:val="single" w:sz="4" w:space="0" w:color="auto"/>
              <w:left w:val="nil"/>
              <w:bottom w:val="single" w:sz="4" w:space="0" w:color="auto"/>
              <w:right w:val="nil"/>
            </w:tcBorders>
            <w:shd w:val="clear" w:color="auto" w:fill="auto"/>
            <w:noWrap/>
            <w:hideMark/>
          </w:tcPr>
          <w:p w14:paraId="0FA597B4" w14:textId="77777777" w:rsidR="00AD365D" w:rsidRPr="00487834" w:rsidRDefault="00AD365D" w:rsidP="001747B1">
            <w:pPr>
              <w:pStyle w:val="NoSpacing"/>
            </w:pPr>
            <w:r w:rsidRPr="00487834">
              <w:t>Q3</w:t>
            </w:r>
          </w:p>
        </w:tc>
        <w:tc>
          <w:tcPr>
            <w:tcW w:w="1060" w:type="dxa"/>
            <w:tcBorders>
              <w:top w:val="single" w:sz="4" w:space="0" w:color="auto"/>
              <w:left w:val="nil"/>
              <w:bottom w:val="single" w:sz="4" w:space="0" w:color="auto"/>
              <w:right w:val="nil"/>
            </w:tcBorders>
            <w:shd w:val="clear" w:color="auto" w:fill="auto"/>
            <w:noWrap/>
            <w:hideMark/>
          </w:tcPr>
          <w:p w14:paraId="5EB97EA6" w14:textId="77777777" w:rsidR="00AD365D" w:rsidRPr="00487834" w:rsidRDefault="00AD365D" w:rsidP="001747B1">
            <w:pPr>
              <w:pStyle w:val="NoSpacing"/>
            </w:pPr>
            <w:r w:rsidRPr="00487834">
              <w:t>Max</w:t>
            </w:r>
          </w:p>
        </w:tc>
      </w:tr>
      <w:tr w:rsidR="00AD365D" w:rsidRPr="00487834" w14:paraId="2ACD1E49" w14:textId="77777777" w:rsidTr="001747B1">
        <w:trPr>
          <w:trHeight w:val="560"/>
          <w:jc w:val="center"/>
        </w:trPr>
        <w:tc>
          <w:tcPr>
            <w:tcW w:w="1180" w:type="dxa"/>
            <w:tcBorders>
              <w:top w:val="nil"/>
              <w:left w:val="nil"/>
              <w:bottom w:val="nil"/>
              <w:right w:val="nil"/>
            </w:tcBorders>
            <w:shd w:val="clear" w:color="auto" w:fill="auto"/>
            <w:noWrap/>
            <w:vAlign w:val="center"/>
            <w:hideMark/>
          </w:tcPr>
          <w:p w14:paraId="679C3FA0" w14:textId="77777777" w:rsidR="00AD365D" w:rsidRPr="00487834" w:rsidRDefault="00AD365D" w:rsidP="001747B1">
            <w:pPr>
              <w:pStyle w:val="NoSpacing"/>
              <w:rPr>
                <w:i/>
                <w:iCs/>
                <w:color w:val="000000"/>
              </w:rPr>
            </w:pPr>
            <w:r w:rsidRPr="00487834">
              <w:rPr>
                <w:i/>
                <w:iCs/>
                <w:color w:val="000000"/>
              </w:rPr>
              <w:t>ESG</w:t>
            </w:r>
          </w:p>
        </w:tc>
        <w:tc>
          <w:tcPr>
            <w:tcW w:w="1080" w:type="dxa"/>
            <w:tcBorders>
              <w:top w:val="nil"/>
              <w:left w:val="nil"/>
              <w:bottom w:val="nil"/>
              <w:right w:val="nil"/>
            </w:tcBorders>
            <w:shd w:val="clear" w:color="auto" w:fill="auto"/>
            <w:noWrap/>
            <w:vAlign w:val="center"/>
            <w:hideMark/>
          </w:tcPr>
          <w:p w14:paraId="7041C9FE" w14:textId="77777777" w:rsidR="00AD365D" w:rsidRPr="00487834" w:rsidRDefault="00AD365D" w:rsidP="001747B1">
            <w:pPr>
              <w:pStyle w:val="NoSpacing"/>
              <w:rPr>
                <w:color w:val="000000"/>
              </w:rPr>
            </w:pPr>
            <w:r w:rsidRPr="00487834">
              <w:rPr>
                <w:color w:val="000000"/>
              </w:rPr>
              <w:t>46.775</w:t>
            </w:r>
          </w:p>
        </w:tc>
        <w:tc>
          <w:tcPr>
            <w:tcW w:w="1060" w:type="dxa"/>
            <w:tcBorders>
              <w:top w:val="nil"/>
              <w:left w:val="nil"/>
              <w:bottom w:val="nil"/>
              <w:right w:val="nil"/>
            </w:tcBorders>
            <w:shd w:val="clear" w:color="auto" w:fill="auto"/>
            <w:noWrap/>
            <w:vAlign w:val="center"/>
            <w:hideMark/>
          </w:tcPr>
          <w:p w14:paraId="26EF128E" w14:textId="77777777" w:rsidR="00AD365D" w:rsidRPr="00487834" w:rsidRDefault="00AD365D" w:rsidP="001747B1">
            <w:pPr>
              <w:pStyle w:val="NoSpacing"/>
              <w:rPr>
                <w:color w:val="000000"/>
              </w:rPr>
            </w:pPr>
            <w:r w:rsidRPr="00487834">
              <w:rPr>
                <w:color w:val="000000"/>
              </w:rPr>
              <w:t>17.645</w:t>
            </w:r>
          </w:p>
        </w:tc>
        <w:tc>
          <w:tcPr>
            <w:tcW w:w="1060" w:type="dxa"/>
            <w:tcBorders>
              <w:top w:val="nil"/>
              <w:left w:val="nil"/>
              <w:bottom w:val="nil"/>
              <w:right w:val="nil"/>
            </w:tcBorders>
            <w:shd w:val="clear" w:color="auto" w:fill="auto"/>
            <w:noWrap/>
            <w:vAlign w:val="center"/>
            <w:hideMark/>
          </w:tcPr>
          <w:p w14:paraId="3CA7A009" w14:textId="77777777" w:rsidR="00AD365D" w:rsidRPr="00487834" w:rsidRDefault="00AD365D" w:rsidP="001747B1">
            <w:pPr>
              <w:pStyle w:val="NoSpacing"/>
              <w:rPr>
                <w:color w:val="000000"/>
              </w:rPr>
            </w:pPr>
            <w:r w:rsidRPr="00487834">
              <w:rPr>
                <w:color w:val="000000"/>
              </w:rPr>
              <w:t>152</w:t>
            </w:r>
          </w:p>
        </w:tc>
        <w:tc>
          <w:tcPr>
            <w:tcW w:w="1060" w:type="dxa"/>
            <w:tcBorders>
              <w:top w:val="nil"/>
              <w:left w:val="nil"/>
              <w:bottom w:val="nil"/>
              <w:right w:val="nil"/>
            </w:tcBorders>
            <w:shd w:val="clear" w:color="auto" w:fill="auto"/>
            <w:noWrap/>
            <w:vAlign w:val="center"/>
            <w:hideMark/>
          </w:tcPr>
          <w:p w14:paraId="05B359EE" w14:textId="77777777" w:rsidR="00AD365D" w:rsidRPr="00487834" w:rsidRDefault="00AD365D" w:rsidP="001747B1">
            <w:pPr>
              <w:pStyle w:val="NoSpacing"/>
              <w:rPr>
                <w:color w:val="000000"/>
              </w:rPr>
            </w:pPr>
            <w:r w:rsidRPr="00487834">
              <w:rPr>
                <w:color w:val="000000"/>
              </w:rPr>
              <w:t>8.916</w:t>
            </w:r>
          </w:p>
        </w:tc>
        <w:tc>
          <w:tcPr>
            <w:tcW w:w="1060" w:type="dxa"/>
            <w:tcBorders>
              <w:top w:val="nil"/>
              <w:left w:val="nil"/>
              <w:bottom w:val="nil"/>
              <w:right w:val="nil"/>
            </w:tcBorders>
            <w:shd w:val="clear" w:color="auto" w:fill="auto"/>
            <w:noWrap/>
            <w:vAlign w:val="center"/>
            <w:hideMark/>
          </w:tcPr>
          <w:p w14:paraId="4C8DBF13" w14:textId="77777777" w:rsidR="00AD365D" w:rsidRPr="00487834" w:rsidRDefault="00AD365D" w:rsidP="001747B1">
            <w:pPr>
              <w:pStyle w:val="NoSpacing"/>
              <w:rPr>
                <w:color w:val="000000"/>
              </w:rPr>
            </w:pPr>
            <w:r w:rsidRPr="00487834">
              <w:rPr>
                <w:color w:val="000000"/>
              </w:rPr>
              <w:t>37.879</w:t>
            </w:r>
          </w:p>
        </w:tc>
        <w:tc>
          <w:tcPr>
            <w:tcW w:w="1060" w:type="dxa"/>
            <w:tcBorders>
              <w:top w:val="nil"/>
              <w:left w:val="nil"/>
              <w:bottom w:val="nil"/>
              <w:right w:val="nil"/>
            </w:tcBorders>
            <w:shd w:val="clear" w:color="auto" w:fill="auto"/>
            <w:noWrap/>
            <w:vAlign w:val="center"/>
            <w:hideMark/>
          </w:tcPr>
          <w:p w14:paraId="74E81DE8" w14:textId="77777777" w:rsidR="00AD365D" w:rsidRPr="00487834" w:rsidRDefault="00AD365D" w:rsidP="001747B1">
            <w:pPr>
              <w:pStyle w:val="NoSpacing"/>
              <w:rPr>
                <w:color w:val="000000"/>
              </w:rPr>
            </w:pPr>
            <w:r w:rsidRPr="00487834">
              <w:rPr>
                <w:color w:val="000000"/>
              </w:rPr>
              <w:t>46.509</w:t>
            </w:r>
          </w:p>
        </w:tc>
        <w:tc>
          <w:tcPr>
            <w:tcW w:w="1060" w:type="dxa"/>
            <w:tcBorders>
              <w:top w:val="nil"/>
              <w:left w:val="nil"/>
              <w:bottom w:val="nil"/>
              <w:right w:val="nil"/>
            </w:tcBorders>
            <w:shd w:val="clear" w:color="auto" w:fill="auto"/>
            <w:noWrap/>
            <w:vAlign w:val="center"/>
            <w:hideMark/>
          </w:tcPr>
          <w:p w14:paraId="07D03D9A" w14:textId="77777777" w:rsidR="00AD365D" w:rsidRPr="00487834" w:rsidRDefault="00AD365D" w:rsidP="001747B1">
            <w:pPr>
              <w:pStyle w:val="NoSpacing"/>
              <w:rPr>
                <w:color w:val="000000"/>
              </w:rPr>
            </w:pPr>
            <w:r w:rsidRPr="00487834">
              <w:rPr>
                <w:color w:val="000000"/>
              </w:rPr>
              <w:t>60.176</w:t>
            </w:r>
          </w:p>
        </w:tc>
        <w:tc>
          <w:tcPr>
            <w:tcW w:w="1060" w:type="dxa"/>
            <w:tcBorders>
              <w:top w:val="nil"/>
              <w:left w:val="nil"/>
              <w:bottom w:val="nil"/>
              <w:right w:val="nil"/>
            </w:tcBorders>
            <w:shd w:val="clear" w:color="auto" w:fill="auto"/>
            <w:noWrap/>
            <w:vAlign w:val="center"/>
            <w:hideMark/>
          </w:tcPr>
          <w:p w14:paraId="5AD7FB36" w14:textId="77777777" w:rsidR="00AD365D" w:rsidRPr="00487834" w:rsidRDefault="00AD365D" w:rsidP="001747B1">
            <w:pPr>
              <w:pStyle w:val="NoSpacing"/>
              <w:rPr>
                <w:color w:val="000000"/>
              </w:rPr>
            </w:pPr>
            <w:r w:rsidRPr="00487834">
              <w:rPr>
                <w:color w:val="000000"/>
              </w:rPr>
              <w:t>81.498</w:t>
            </w:r>
          </w:p>
        </w:tc>
      </w:tr>
      <w:tr w:rsidR="00AD365D" w:rsidRPr="00487834" w14:paraId="183B94A6" w14:textId="77777777" w:rsidTr="001747B1">
        <w:trPr>
          <w:trHeight w:val="580"/>
          <w:jc w:val="center"/>
        </w:trPr>
        <w:tc>
          <w:tcPr>
            <w:tcW w:w="1180" w:type="dxa"/>
            <w:tcBorders>
              <w:top w:val="nil"/>
              <w:left w:val="nil"/>
              <w:bottom w:val="nil"/>
              <w:right w:val="nil"/>
            </w:tcBorders>
            <w:shd w:val="clear" w:color="auto" w:fill="auto"/>
            <w:noWrap/>
            <w:vAlign w:val="center"/>
            <w:hideMark/>
          </w:tcPr>
          <w:p w14:paraId="1A0F9DEE" w14:textId="77777777" w:rsidR="00AD365D" w:rsidRPr="00487834" w:rsidRDefault="00AD365D" w:rsidP="001747B1">
            <w:pPr>
              <w:pStyle w:val="NoSpacing"/>
              <w:rPr>
                <w:i/>
                <w:iCs/>
                <w:color w:val="000000"/>
              </w:rPr>
            </w:pPr>
            <w:r w:rsidRPr="00487834">
              <w:rPr>
                <w:i/>
                <w:iCs/>
                <w:color w:val="000000"/>
              </w:rPr>
              <w:t>MCAP</w:t>
            </w:r>
          </w:p>
        </w:tc>
        <w:tc>
          <w:tcPr>
            <w:tcW w:w="1080" w:type="dxa"/>
            <w:tcBorders>
              <w:top w:val="nil"/>
              <w:left w:val="nil"/>
              <w:bottom w:val="nil"/>
              <w:right w:val="nil"/>
            </w:tcBorders>
            <w:shd w:val="clear" w:color="auto" w:fill="auto"/>
            <w:noWrap/>
            <w:vAlign w:val="center"/>
            <w:hideMark/>
          </w:tcPr>
          <w:p w14:paraId="642A6AE8" w14:textId="77777777" w:rsidR="00AD365D" w:rsidRPr="00487834" w:rsidRDefault="00AD365D" w:rsidP="001747B1">
            <w:pPr>
              <w:pStyle w:val="NoSpacing"/>
              <w:rPr>
                <w:color w:val="000000"/>
              </w:rPr>
            </w:pPr>
            <w:r w:rsidRPr="00487834">
              <w:rPr>
                <w:color w:val="000000"/>
              </w:rPr>
              <w:t>22.807</w:t>
            </w:r>
          </w:p>
        </w:tc>
        <w:tc>
          <w:tcPr>
            <w:tcW w:w="1060" w:type="dxa"/>
            <w:tcBorders>
              <w:top w:val="nil"/>
              <w:left w:val="nil"/>
              <w:bottom w:val="nil"/>
              <w:right w:val="nil"/>
            </w:tcBorders>
            <w:shd w:val="clear" w:color="auto" w:fill="auto"/>
            <w:noWrap/>
            <w:vAlign w:val="center"/>
            <w:hideMark/>
          </w:tcPr>
          <w:p w14:paraId="4A543001" w14:textId="77777777" w:rsidR="00AD365D" w:rsidRPr="00487834" w:rsidRDefault="00AD365D" w:rsidP="001747B1">
            <w:pPr>
              <w:pStyle w:val="NoSpacing"/>
              <w:rPr>
                <w:color w:val="000000"/>
              </w:rPr>
            </w:pPr>
            <w:r w:rsidRPr="00487834">
              <w:rPr>
                <w:color w:val="000000"/>
              </w:rPr>
              <w:t>1.309</w:t>
            </w:r>
          </w:p>
        </w:tc>
        <w:tc>
          <w:tcPr>
            <w:tcW w:w="1060" w:type="dxa"/>
            <w:tcBorders>
              <w:top w:val="nil"/>
              <w:left w:val="nil"/>
              <w:bottom w:val="nil"/>
              <w:right w:val="nil"/>
            </w:tcBorders>
            <w:shd w:val="clear" w:color="auto" w:fill="auto"/>
            <w:noWrap/>
            <w:vAlign w:val="center"/>
            <w:hideMark/>
          </w:tcPr>
          <w:p w14:paraId="1AC27B85" w14:textId="77777777" w:rsidR="00AD365D" w:rsidRPr="00487834" w:rsidRDefault="00AD365D" w:rsidP="001747B1">
            <w:pPr>
              <w:pStyle w:val="NoSpacing"/>
              <w:rPr>
                <w:color w:val="000000"/>
              </w:rPr>
            </w:pPr>
            <w:r w:rsidRPr="00487834">
              <w:rPr>
                <w:color w:val="000000"/>
              </w:rPr>
              <w:t>152</w:t>
            </w:r>
          </w:p>
        </w:tc>
        <w:tc>
          <w:tcPr>
            <w:tcW w:w="1060" w:type="dxa"/>
            <w:tcBorders>
              <w:top w:val="nil"/>
              <w:left w:val="nil"/>
              <w:bottom w:val="nil"/>
              <w:right w:val="nil"/>
            </w:tcBorders>
            <w:shd w:val="clear" w:color="auto" w:fill="auto"/>
            <w:noWrap/>
            <w:vAlign w:val="center"/>
            <w:hideMark/>
          </w:tcPr>
          <w:p w14:paraId="32095909" w14:textId="77777777" w:rsidR="00AD365D" w:rsidRPr="00487834" w:rsidRDefault="00AD365D" w:rsidP="001747B1">
            <w:pPr>
              <w:pStyle w:val="NoSpacing"/>
              <w:rPr>
                <w:color w:val="000000"/>
              </w:rPr>
            </w:pPr>
            <w:r w:rsidRPr="00487834">
              <w:rPr>
                <w:color w:val="000000"/>
              </w:rPr>
              <w:t>20.304</w:t>
            </w:r>
          </w:p>
        </w:tc>
        <w:tc>
          <w:tcPr>
            <w:tcW w:w="1060" w:type="dxa"/>
            <w:tcBorders>
              <w:top w:val="nil"/>
              <w:left w:val="nil"/>
              <w:bottom w:val="nil"/>
              <w:right w:val="nil"/>
            </w:tcBorders>
            <w:shd w:val="clear" w:color="auto" w:fill="auto"/>
            <w:noWrap/>
            <w:vAlign w:val="center"/>
            <w:hideMark/>
          </w:tcPr>
          <w:p w14:paraId="2BA97F32" w14:textId="77777777" w:rsidR="00AD365D" w:rsidRPr="00487834" w:rsidRDefault="00AD365D" w:rsidP="001747B1">
            <w:pPr>
              <w:pStyle w:val="NoSpacing"/>
              <w:rPr>
                <w:color w:val="000000"/>
              </w:rPr>
            </w:pPr>
            <w:r w:rsidRPr="00487834">
              <w:rPr>
                <w:color w:val="000000"/>
              </w:rPr>
              <w:t>21.881</w:t>
            </w:r>
          </w:p>
        </w:tc>
        <w:tc>
          <w:tcPr>
            <w:tcW w:w="1060" w:type="dxa"/>
            <w:tcBorders>
              <w:top w:val="nil"/>
              <w:left w:val="nil"/>
              <w:bottom w:val="nil"/>
              <w:right w:val="nil"/>
            </w:tcBorders>
            <w:shd w:val="clear" w:color="auto" w:fill="auto"/>
            <w:noWrap/>
            <w:vAlign w:val="center"/>
            <w:hideMark/>
          </w:tcPr>
          <w:p w14:paraId="20815B3C" w14:textId="77777777" w:rsidR="00AD365D" w:rsidRPr="00487834" w:rsidRDefault="00AD365D" w:rsidP="001747B1">
            <w:pPr>
              <w:pStyle w:val="NoSpacing"/>
              <w:rPr>
                <w:color w:val="000000"/>
              </w:rPr>
            </w:pPr>
            <w:r w:rsidRPr="00487834">
              <w:rPr>
                <w:color w:val="000000"/>
              </w:rPr>
              <w:t>23.047</w:t>
            </w:r>
          </w:p>
        </w:tc>
        <w:tc>
          <w:tcPr>
            <w:tcW w:w="1060" w:type="dxa"/>
            <w:tcBorders>
              <w:top w:val="nil"/>
              <w:left w:val="nil"/>
              <w:bottom w:val="nil"/>
              <w:right w:val="nil"/>
            </w:tcBorders>
            <w:shd w:val="clear" w:color="auto" w:fill="auto"/>
            <w:noWrap/>
            <w:vAlign w:val="center"/>
            <w:hideMark/>
          </w:tcPr>
          <w:p w14:paraId="1D95DDDF" w14:textId="77777777" w:rsidR="00AD365D" w:rsidRPr="00487834" w:rsidRDefault="00AD365D" w:rsidP="001747B1">
            <w:pPr>
              <w:pStyle w:val="NoSpacing"/>
              <w:rPr>
                <w:color w:val="000000"/>
              </w:rPr>
            </w:pPr>
            <w:r w:rsidRPr="00487834">
              <w:rPr>
                <w:color w:val="000000"/>
              </w:rPr>
              <w:t>23.709</w:t>
            </w:r>
          </w:p>
        </w:tc>
        <w:tc>
          <w:tcPr>
            <w:tcW w:w="1060" w:type="dxa"/>
            <w:tcBorders>
              <w:top w:val="nil"/>
              <w:left w:val="nil"/>
              <w:bottom w:val="nil"/>
              <w:right w:val="nil"/>
            </w:tcBorders>
            <w:shd w:val="clear" w:color="auto" w:fill="auto"/>
            <w:noWrap/>
            <w:vAlign w:val="center"/>
            <w:hideMark/>
          </w:tcPr>
          <w:p w14:paraId="196D7C05" w14:textId="77777777" w:rsidR="00AD365D" w:rsidRPr="00487834" w:rsidRDefault="00AD365D" w:rsidP="001747B1">
            <w:pPr>
              <w:pStyle w:val="NoSpacing"/>
              <w:rPr>
                <w:color w:val="000000"/>
              </w:rPr>
            </w:pPr>
            <w:r w:rsidRPr="00487834">
              <w:rPr>
                <w:color w:val="000000"/>
              </w:rPr>
              <w:t>25.066</w:t>
            </w:r>
          </w:p>
        </w:tc>
      </w:tr>
      <w:tr w:rsidR="00AD365D" w:rsidRPr="00487834" w14:paraId="17A86860" w14:textId="77777777" w:rsidTr="001747B1">
        <w:trPr>
          <w:trHeight w:val="600"/>
          <w:jc w:val="center"/>
        </w:trPr>
        <w:tc>
          <w:tcPr>
            <w:tcW w:w="1180" w:type="dxa"/>
            <w:tcBorders>
              <w:top w:val="nil"/>
              <w:left w:val="nil"/>
              <w:bottom w:val="nil"/>
              <w:right w:val="nil"/>
            </w:tcBorders>
            <w:shd w:val="clear" w:color="auto" w:fill="auto"/>
            <w:noWrap/>
            <w:vAlign w:val="center"/>
            <w:hideMark/>
          </w:tcPr>
          <w:p w14:paraId="40C26D0F" w14:textId="77777777" w:rsidR="00AD365D" w:rsidRPr="00487834" w:rsidRDefault="00AD365D" w:rsidP="001747B1">
            <w:pPr>
              <w:pStyle w:val="NoSpacing"/>
              <w:rPr>
                <w:i/>
                <w:iCs/>
                <w:color w:val="000000"/>
              </w:rPr>
            </w:pPr>
            <w:r w:rsidRPr="00487834">
              <w:rPr>
                <w:i/>
                <w:iCs/>
                <w:color w:val="000000"/>
              </w:rPr>
              <w:t>ICR</w:t>
            </w:r>
          </w:p>
        </w:tc>
        <w:tc>
          <w:tcPr>
            <w:tcW w:w="1080" w:type="dxa"/>
            <w:tcBorders>
              <w:top w:val="nil"/>
              <w:left w:val="nil"/>
              <w:bottom w:val="nil"/>
              <w:right w:val="nil"/>
            </w:tcBorders>
            <w:shd w:val="clear" w:color="auto" w:fill="auto"/>
            <w:noWrap/>
            <w:vAlign w:val="center"/>
            <w:hideMark/>
          </w:tcPr>
          <w:p w14:paraId="7DDEC099" w14:textId="77777777" w:rsidR="00AD365D" w:rsidRPr="00487834" w:rsidRDefault="00AD365D" w:rsidP="001747B1">
            <w:pPr>
              <w:pStyle w:val="NoSpacing"/>
              <w:rPr>
                <w:color w:val="000000"/>
              </w:rPr>
            </w:pPr>
            <w:r w:rsidRPr="00487834">
              <w:rPr>
                <w:color w:val="000000"/>
              </w:rPr>
              <w:t>18.974</w:t>
            </w:r>
          </w:p>
        </w:tc>
        <w:tc>
          <w:tcPr>
            <w:tcW w:w="1060" w:type="dxa"/>
            <w:tcBorders>
              <w:top w:val="nil"/>
              <w:left w:val="nil"/>
              <w:bottom w:val="nil"/>
              <w:right w:val="nil"/>
            </w:tcBorders>
            <w:shd w:val="clear" w:color="auto" w:fill="auto"/>
            <w:noWrap/>
            <w:vAlign w:val="center"/>
            <w:hideMark/>
          </w:tcPr>
          <w:p w14:paraId="658F99DA" w14:textId="77777777" w:rsidR="00AD365D" w:rsidRPr="00487834" w:rsidRDefault="00AD365D" w:rsidP="001747B1">
            <w:pPr>
              <w:pStyle w:val="NoSpacing"/>
              <w:rPr>
                <w:color w:val="000000"/>
              </w:rPr>
            </w:pPr>
            <w:r w:rsidRPr="00487834">
              <w:rPr>
                <w:color w:val="000000"/>
              </w:rPr>
              <w:t>17.299</w:t>
            </w:r>
          </w:p>
        </w:tc>
        <w:tc>
          <w:tcPr>
            <w:tcW w:w="1060" w:type="dxa"/>
            <w:tcBorders>
              <w:top w:val="nil"/>
              <w:left w:val="nil"/>
              <w:bottom w:val="nil"/>
              <w:right w:val="nil"/>
            </w:tcBorders>
            <w:shd w:val="clear" w:color="auto" w:fill="auto"/>
            <w:noWrap/>
            <w:vAlign w:val="center"/>
            <w:hideMark/>
          </w:tcPr>
          <w:p w14:paraId="510E2C2B" w14:textId="77777777" w:rsidR="00AD365D" w:rsidRPr="00487834" w:rsidRDefault="00AD365D" w:rsidP="001747B1">
            <w:pPr>
              <w:pStyle w:val="NoSpacing"/>
              <w:rPr>
                <w:color w:val="000000"/>
              </w:rPr>
            </w:pPr>
            <w:r w:rsidRPr="00487834">
              <w:rPr>
                <w:color w:val="000000"/>
              </w:rPr>
              <w:t>152</w:t>
            </w:r>
          </w:p>
        </w:tc>
        <w:tc>
          <w:tcPr>
            <w:tcW w:w="1060" w:type="dxa"/>
            <w:tcBorders>
              <w:top w:val="nil"/>
              <w:left w:val="nil"/>
              <w:bottom w:val="nil"/>
              <w:right w:val="nil"/>
            </w:tcBorders>
            <w:shd w:val="clear" w:color="auto" w:fill="auto"/>
            <w:noWrap/>
            <w:vAlign w:val="center"/>
            <w:hideMark/>
          </w:tcPr>
          <w:p w14:paraId="27C13DA5" w14:textId="77777777" w:rsidR="00AD365D" w:rsidRPr="00487834" w:rsidRDefault="00AD365D" w:rsidP="001747B1">
            <w:pPr>
              <w:pStyle w:val="NoSpacing"/>
              <w:rPr>
                <w:color w:val="000000"/>
              </w:rPr>
            </w:pPr>
            <w:r w:rsidRPr="00487834">
              <w:rPr>
                <w:color w:val="000000"/>
              </w:rPr>
              <w:t>0</w:t>
            </w:r>
          </w:p>
        </w:tc>
        <w:tc>
          <w:tcPr>
            <w:tcW w:w="1060" w:type="dxa"/>
            <w:tcBorders>
              <w:top w:val="nil"/>
              <w:left w:val="nil"/>
              <w:bottom w:val="nil"/>
              <w:right w:val="nil"/>
            </w:tcBorders>
            <w:shd w:val="clear" w:color="auto" w:fill="auto"/>
            <w:noWrap/>
            <w:vAlign w:val="center"/>
            <w:hideMark/>
          </w:tcPr>
          <w:p w14:paraId="3B66BC7B" w14:textId="77777777" w:rsidR="00AD365D" w:rsidRPr="00487834" w:rsidRDefault="00AD365D" w:rsidP="001747B1">
            <w:pPr>
              <w:pStyle w:val="NoSpacing"/>
              <w:rPr>
                <w:color w:val="000000"/>
              </w:rPr>
            </w:pPr>
            <w:r w:rsidRPr="00487834">
              <w:rPr>
                <w:color w:val="000000"/>
              </w:rPr>
              <w:t>5.522</w:t>
            </w:r>
          </w:p>
        </w:tc>
        <w:tc>
          <w:tcPr>
            <w:tcW w:w="1060" w:type="dxa"/>
            <w:tcBorders>
              <w:top w:val="nil"/>
              <w:left w:val="nil"/>
              <w:bottom w:val="nil"/>
              <w:right w:val="nil"/>
            </w:tcBorders>
            <w:shd w:val="clear" w:color="auto" w:fill="auto"/>
            <w:noWrap/>
            <w:vAlign w:val="center"/>
            <w:hideMark/>
          </w:tcPr>
          <w:p w14:paraId="6F5996D8" w14:textId="77777777" w:rsidR="00AD365D" w:rsidRPr="00487834" w:rsidRDefault="00AD365D" w:rsidP="001747B1">
            <w:pPr>
              <w:pStyle w:val="NoSpacing"/>
              <w:rPr>
                <w:color w:val="000000"/>
              </w:rPr>
            </w:pPr>
            <w:r w:rsidRPr="00487834">
              <w:rPr>
                <w:color w:val="000000"/>
              </w:rPr>
              <w:t>14.914</w:t>
            </w:r>
          </w:p>
        </w:tc>
        <w:tc>
          <w:tcPr>
            <w:tcW w:w="1060" w:type="dxa"/>
            <w:tcBorders>
              <w:top w:val="nil"/>
              <w:left w:val="nil"/>
              <w:bottom w:val="nil"/>
              <w:right w:val="nil"/>
            </w:tcBorders>
            <w:shd w:val="clear" w:color="auto" w:fill="auto"/>
            <w:noWrap/>
            <w:vAlign w:val="center"/>
            <w:hideMark/>
          </w:tcPr>
          <w:p w14:paraId="5AFCC657" w14:textId="77777777" w:rsidR="00AD365D" w:rsidRPr="00487834" w:rsidRDefault="00AD365D" w:rsidP="001747B1">
            <w:pPr>
              <w:pStyle w:val="NoSpacing"/>
              <w:rPr>
                <w:color w:val="000000"/>
              </w:rPr>
            </w:pPr>
            <w:r w:rsidRPr="00487834">
              <w:rPr>
                <w:color w:val="000000"/>
              </w:rPr>
              <w:t>25.796</w:t>
            </w:r>
          </w:p>
        </w:tc>
        <w:tc>
          <w:tcPr>
            <w:tcW w:w="1060" w:type="dxa"/>
            <w:tcBorders>
              <w:top w:val="nil"/>
              <w:left w:val="nil"/>
              <w:bottom w:val="nil"/>
              <w:right w:val="nil"/>
            </w:tcBorders>
            <w:shd w:val="clear" w:color="auto" w:fill="auto"/>
            <w:noWrap/>
            <w:vAlign w:val="center"/>
            <w:hideMark/>
          </w:tcPr>
          <w:p w14:paraId="2E51EAC6" w14:textId="77777777" w:rsidR="00AD365D" w:rsidRPr="00487834" w:rsidRDefault="00AD365D" w:rsidP="001747B1">
            <w:pPr>
              <w:pStyle w:val="NoSpacing"/>
              <w:rPr>
                <w:color w:val="000000"/>
              </w:rPr>
            </w:pPr>
            <w:r w:rsidRPr="00487834">
              <w:rPr>
                <w:color w:val="000000"/>
              </w:rPr>
              <w:t>79.904</w:t>
            </w:r>
          </w:p>
        </w:tc>
      </w:tr>
      <w:tr w:rsidR="00AD365D" w:rsidRPr="00487834" w14:paraId="4BA50C38" w14:textId="77777777" w:rsidTr="001747B1">
        <w:trPr>
          <w:trHeight w:val="560"/>
          <w:jc w:val="center"/>
        </w:trPr>
        <w:tc>
          <w:tcPr>
            <w:tcW w:w="1180" w:type="dxa"/>
            <w:tcBorders>
              <w:top w:val="nil"/>
              <w:left w:val="nil"/>
              <w:bottom w:val="nil"/>
              <w:right w:val="nil"/>
            </w:tcBorders>
            <w:shd w:val="clear" w:color="auto" w:fill="auto"/>
            <w:noWrap/>
            <w:vAlign w:val="center"/>
            <w:hideMark/>
          </w:tcPr>
          <w:p w14:paraId="32B8F86D" w14:textId="77777777" w:rsidR="00AD365D" w:rsidRPr="00487834" w:rsidRDefault="00AD365D" w:rsidP="001747B1">
            <w:pPr>
              <w:pStyle w:val="NoSpacing"/>
              <w:rPr>
                <w:i/>
                <w:iCs/>
                <w:color w:val="000000"/>
              </w:rPr>
            </w:pPr>
            <w:r w:rsidRPr="00487834">
              <w:rPr>
                <w:i/>
                <w:iCs/>
                <w:color w:val="000000"/>
              </w:rPr>
              <w:t>ROA</w:t>
            </w:r>
          </w:p>
        </w:tc>
        <w:tc>
          <w:tcPr>
            <w:tcW w:w="1080" w:type="dxa"/>
            <w:tcBorders>
              <w:top w:val="nil"/>
              <w:left w:val="nil"/>
              <w:bottom w:val="nil"/>
              <w:right w:val="nil"/>
            </w:tcBorders>
            <w:shd w:val="clear" w:color="auto" w:fill="auto"/>
            <w:noWrap/>
            <w:vAlign w:val="center"/>
            <w:hideMark/>
          </w:tcPr>
          <w:p w14:paraId="7D1F475C" w14:textId="77777777" w:rsidR="00AD365D" w:rsidRPr="00487834" w:rsidRDefault="00AD365D" w:rsidP="001747B1">
            <w:pPr>
              <w:pStyle w:val="NoSpacing"/>
              <w:rPr>
                <w:color w:val="000000"/>
              </w:rPr>
            </w:pPr>
            <w:r w:rsidRPr="00487834">
              <w:rPr>
                <w:color w:val="000000"/>
              </w:rPr>
              <w:t>0.053</w:t>
            </w:r>
          </w:p>
        </w:tc>
        <w:tc>
          <w:tcPr>
            <w:tcW w:w="1060" w:type="dxa"/>
            <w:tcBorders>
              <w:top w:val="nil"/>
              <w:left w:val="nil"/>
              <w:bottom w:val="nil"/>
              <w:right w:val="nil"/>
            </w:tcBorders>
            <w:shd w:val="clear" w:color="auto" w:fill="auto"/>
            <w:noWrap/>
            <w:vAlign w:val="center"/>
            <w:hideMark/>
          </w:tcPr>
          <w:p w14:paraId="3401857D" w14:textId="77777777" w:rsidR="00AD365D" w:rsidRPr="00487834" w:rsidRDefault="00AD365D" w:rsidP="001747B1">
            <w:pPr>
              <w:pStyle w:val="NoSpacing"/>
              <w:rPr>
                <w:color w:val="000000"/>
              </w:rPr>
            </w:pPr>
            <w:r w:rsidRPr="00487834">
              <w:rPr>
                <w:color w:val="000000"/>
              </w:rPr>
              <w:t>0.068</w:t>
            </w:r>
          </w:p>
        </w:tc>
        <w:tc>
          <w:tcPr>
            <w:tcW w:w="1060" w:type="dxa"/>
            <w:tcBorders>
              <w:top w:val="nil"/>
              <w:left w:val="nil"/>
              <w:bottom w:val="nil"/>
              <w:right w:val="nil"/>
            </w:tcBorders>
            <w:shd w:val="clear" w:color="auto" w:fill="auto"/>
            <w:noWrap/>
            <w:vAlign w:val="center"/>
            <w:hideMark/>
          </w:tcPr>
          <w:p w14:paraId="396AE9FF" w14:textId="77777777" w:rsidR="00AD365D" w:rsidRPr="00487834" w:rsidRDefault="00AD365D" w:rsidP="001747B1">
            <w:pPr>
              <w:pStyle w:val="NoSpacing"/>
              <w:rPr>
                <w:color w:val="000000"/>
              </w:rPr>
            </w:pPr>
            <w:r w:rsidRPr="00487834">
              <w:rPr>
                <w:color w:val="000000"/>
              </w:rPr>
              <w:t>152</w:t>
            </w:r>
          </w:p>
        </w:tc>
        <w:tc>
          <w:tcPr>
            <w:tcW w:w="1060" w:type="dxa"/>
            <w:tcBorders>
              <w:top w:val="nil"/>
              <w:left w:val="nil"/>
              <w:bottom w:val="nil"/>
              <w:right w:val="nil"/>
            </w:tcBorders>
            <w:shd w:val="clear" w:color="auto" w:fill="auto"/>
            <w:noWrap/>
            <w:vAlign w:val="center"/>
            <w:hideMark/>
          </w:tcPr>
          <w:p w14:paraId="559FB074" w14:textId="77777777" w:rsidR="00AD365D" w:rsidRPr="00487834" w:rsidRDefault="00AD365D" w:rsidP="001747B1">
            <w:pPr>
              <w:pStyle w:val="NoSpacing"/>
              <w:rPr>
                <w:color w:val="000000"/>
              </w:rPr>
            </w:pPr>
            <w:r w:rsidRPr="00487834">
              <w:rPr>
                <w:color w:val="000000"/>
              </w:rPr>
              <w:t>-0.143</w:t>
            </w:r>
          </w:p>
        </w:tc>
        <w:tc>
          <w:tcPr>
            <w:tcW w:w="1060" w:type="dxa"/>
            <w:tcBorders>
              <w:top w:val="nil"/>
              <w:left w:val="nil"/>
              <w:bottom w:val="nil"/>
              <w:right w:val="nil"/>
            </w:tcBorders>
            <w:shd w:val="clear" w:color="auto" w:fill="auto"/>
            <w:noWrap/>
            <w:vAlign w:val="center"/>
            <w:hideMark/>
          </w:tcPr>
          <w:p w14:paraId="6A4143A8" w14:textId="77777777" w:rsidR="00AD365D" w:rsidRPr="00487834" w:rsidRDefault="00AD365D" w:rsidP="001747B1">
            <w:pPr>
              <w:pStyle w:val="NoSpacing"/>
              <w:rPr>
                <w:color w:val="000000"/>
              </w:rPr>
            </w:pPr>
            <w:r w:rsidRPr="00487834">
              <w:rPr>
                <w:color w:val="000000"/>
              </w:rPr>
              <w:t>0.000</w:t>
            </w:r>
          </w:p>
        </w:tc>
        <w:tc>
          <w:tcPr>
            <w:tcW w:w="1060" w:type="dxa"/>
            <w:tcBorders>
              <w:top w:val="nil"/>
              <w:left w:val="nil"/>
              <w:bottom w:val="nil"/>
              <w:right w:val="nil"/>
            </w:tcBorders>
            <w:shd w:val="clear" w:color="auto" w:fill="auto"/>
            <w:noWrap/>
            <w:vAlign w:val="center"/>
            <w:hideMark/>
          </w:tcPr>
          <w:p w14:paraId="64CD64FD" w14:textId="77777777" w:rsidR="00AD365D" w:rsidRPr="00487834" w:rsidRDefault="00AD365D" w:rsidP="001747B1">
            <w:pPr>
              <w:pStyle w:val="NoSpacing"/>
              <w:rPr>
                <w:color w:val="000000"/>
              </w:rPr>
            </w:pPr>
            <w:r w:rsidRPr="00487834">
              <w:rPr>
                <w:color w:val="000000"/>
              </w:rPr>
              <w:t>0.036</w:t>
            </w:r>
          </w:p>
        </w:tc>
        <w:tc>
          <w:tcPr>
            <w:tcW w:w="1060" w:type="dxa"/>
            <w:tcBorders>
              <w:top w:val="nil"/>
              <w:left w:val="nil"/>
              <w:bottom w:val="nil"/>
              <w:right w:val="nil"/>
            </w:tcBorders>
            <w:shd w:val="clear" w:color="auto" w:fill="auto"/>
            <w:noWrap/>
            <w:vAlign w:val="center"/>
            <w:hideMark/>
          </w:tcPr>
          <w:p w14:paraId="36A81966" w14:textId="77777777" w:rsidR="00AD365D" w:rsidRPr="00487834" w:rsidRDefault="00AD365D" w:rsidP="001747B1">
            <w:pPr>
              <w:pStyle w:val="NoSpacing"/>
              <w:rPr>
                <w:color w:val="000000"/>
              </w:rPr>
            </w:pPr>
            <w:r w:rsidRPr="00487834">
              <w:rPr>
                <w:color w:val="000000"/>
              </w:rPr>
              <w:t>0.097</w:t>
            </w:r>
          </w:p>
        </w:tc>
        <w:tc>
          <w:tcPr>
            <w:tcW w:w="1060" w:type="dxa"/>
            <w:tcBorders>
              <w:top w:val="nil"/>
              <w:left w:val="nil"/>
              <w:bottom w:val="nil"/>
              <w:right w:val="nil"/>
            </w:tcBorders>
            <w:shd w:val="clear" w:color="auto" w:fill="auto"/>
            <w:noWrap/>
            <w:vAlign w:val="center"/>
            <w:hideMark/>
          </w:tcPr>
          <w:p w14:paraId="69E32F93" w14:textId="77777777" w:rsidR="00AD365D" w:rsidRPr="00487834" w:rsidRDefault="00AD365D" w:rsidP="001747B1">
            <w:pPr>
              <w:pStyle w:val="NoSpacing"/>
              <w:rPr>
                <w:color w:val="000000"/>
              </w:rPr>
            </w:pPr>
            <w:r w:rsidRPr="00487834">
              <w:rPr>
                <w:color w:val="000000"/>
              </w:rPr>
              <w:t>0.279</w:t>
            </w:r>
          </w:p>
        </w:tc>
      </w:tr>
      <w:tr w:rsidR="00AD365D" w:rsidRPr="00487834" w14:paraId="26629923" w14:textId="77777777" w:rsidTr="001747B1">
        <w:trPr>
          <w:trHeight w:val="560"/>
          <w:jc w:val="center"/>
        </w:trPr>
        <w:tc>
          <w:tcPr>
            <w:tcW w:w="1180" w:type="dxa"/>
            <w:tcBorders>
              <w:top w:val="nil"/>
              <w:left w:val="nil"/>
              <w:bottom w:val="nil"/>
              <w:right w:val="nil"/>
            </w:tcBorders>
            <w:shd w:val="clear" w:color="auto" w:fill="auto"/>
            <w:noWrap/>
            <w:vAlign w:val="center"/>
            <w:hideMark/>
          </w:tcPr>
          <w:p w14:paraId="15D296D0" w14:textId="77777777" w:rsidR="00AD365D" w:rsidRPr="00487834" w:rsidRDefault="00AD365D" w:rsidP="001747B1">
            <w:pPr>
              <w:pStyle w:val="NoSpacing"/>
              <w:rPr>
                <w:i/>
                <w:iCs/>
                <w:color w:val="000000"/>
              </w:rPr>
            </w:pPr>
            <w:r w:rsidRPr="00487834">
              <w:rPr>
                <w:i/>
                <w:iCs/>
                <w:color w:val="000000"/>
              </w:rPr>
              <w:t>Current</w:t>
            </w:r>
          </w:p>
        </w:tc>
        <w:tc>
          <w:tcPr>
            <w:tcW w:w="1080" w:type="dxa"/>
            <w:tcBorders>
              <w:top w:val="nil"/>
              <w:left w:val="nil"/>
              <w:bottom w:val="nil"/>
              <w:right w:val="nil"/>
            </w:tcBorders>
            <w:shd w:val="clear" w:color="auto" w:fill="auto"/>
            <w:noWrap/>
            <w:vAlign w:val="center"/>
            <w:hideMark/>
          </w:tcPr>
          <w:p w14:paraId="4AF07491" w14:textId="77777777" w:rsidR="00AD365D" w:rsidRPr="00487834" w:rsidRDefault="00AD365D" w:rsidP="001747B1">
            <w:pPr>
              <w:pStyle w:val="NoSpacing"/>
              <w:rPr>
                <w:color w:val="000000"/>
              </w:rPr>
            </w:pPr>
            <w:r w:rsidRPr="00487834">
              <w:rPr>
                <w:color w:val="000000"/>
              </w:rPr>
              <w:t>1.338</w:t>
            </w:r>
          </w:p>
        </w:tc>
        <w:tc>
          <w:tcPr>
            <w:tcW w:w="1060" w:type="dxa"/>
            <w:tcBorders>
              <w:top w:val="nil"/>
              <w:left w:val="nil"/>
              <w:bottom w:val="nil"/>
              <w:right w:val="nil"/>
            </w:tcBorders>
            <w:shd w:val="clear" w:color="auto" w:fill="auto"/>
            <w:noWrap/>
            <w:vAlign w:val="center"/>
            <w:hideMark/>
          </w:tcPr>
          <w:p w14:paraId="05B4B1B3" w14:textId="77777777" w:rsidR="00AD365D" w:rsidRPr="00487834" w:rsidRDefault="00AD365D" w:rsidP="001747B1">
            <w:pPr>
              <w:pStyle w:val="NoSpacing"/>
              <w:rPr>
                <w:color w:val="000000"/>
              </w:rPr>
            </w:pPr>
            <w:r w:rsidRPr="00487834">
              <w:rPr>
                <w:color w:val="000000"/>
              </w:rPr>
              <w:t>0.764</w:t>
            </w:r>
          </w:p>
        </w:tc>
        <w:tc>
          <w:tcPr>
            <w:tcW w:w="1060" w:type="dxa"/>
            <w:tcBorders>
              <w:top w:val="nil"/>
              <w:left w:val="nil"/>
              <w:bottom w:val="nil"/>
              <w:right w:val="nil"/>
            </w:tcBorders>
            <w:shd w:val="clear" w:color="auto" w:fill="auto"/>
            <w:noWrap/>
            <w:vAlign w:val="center"/>
            <w:hideMark/>
          </w:tcPr>
          <w:p w14:paraId="0011DD66" w14:textId="77777777" w:rsidR="00AD365D" w:rsidRPr="00487834" w:rsidRDefault="00AD365D" w:rsidP="001747B1">
            <w:pPr>
              <w:pStyle w:val="NoSpacing"/>
              <w:rPr>
                <w:color w:val="000000"/>
              </w:rPr>
            </w:pPr>
            <w:r w:rsidRPr="00487834">
              <w:rPr>
                <w:color w:val="000000"/>
              </w:rPr>
              <w:t>152</w:t>
            </w:r>
          </w:p>
        </w:tc>
        <w:tc>
          <w:tcPr>
            <w:tcW w:w="1060" w:type="dxa"/>
            <w:tcBorders>
              <w:top w:val="nil"/>
              <w:left w:val="nil"/>
              <w:bottom w:val="nil"/>
              <w:right w:val="nil"/>
            </w:tcBorders>
            <w:shd w:val="clear" w:color="auto" w:fill="auto"/>
            <w:noWrap/>
            <w:vAlign w:val="center"/>
            <w:hideMark/>
          </w:tcPr>
          <w:p w14:paraId="48673C77" w14:textId="77777777" w:rsidR="00AD365D" w:rsidRPr="00487834" w:rsidRDefault="00AD365D" w:rsidP="001747B1">
            <w:pPr>
              <w:pStyle w:val="NoSpacing"/>
              <w:rPr>
                <w:color w:val="000000"/>
              </w:rPr>
            </w:pPr>
            <w:r w:rsidRPr="00487834">
              <w:rPr>
                <w:color w:val="000000"/>
              </w:rPr>
              <w:t>0.457</w:t>
            </w:r>
          </w:p>
        </w:tc>
        <w:tc>
          <w:tcPr>
            <w:tcW w:w="1060" w:type="dxa"/>
            <w:tcBorders>
              <w:top w:val="nil"/>
              <w:left w:val="nil"/>
              <w:bottom w:val="nil"/>
              <w:right w:val="nil"/>
            </w:tcBorders>
            <w:shd w:val="clear" w:color="auto" w:fill="auto"/>
            <w:noWrap/>
            <w:vAlign w:val="center"/>
            <w:hideMark/>
          </w:tcPr>
          <w:p w14:paraId="3B8773BA" w14:textId="77777777" w:rsidR="00AD365D" w:rsidRPr="00487834" w:rsidRDefault="00AD365D" w:rsidP="001747B1">
            <w:pPr>
              <w:pStyle w:val="NoSpacing"/>
              <w:rPr>
                <w:color w:val="000000"/>
              </w:rPr>
            </w:pPr>
            <w:r w:rsidRPr="00487834">
              <w:rPr>
                <w:color w:val="000000"/>
              </w:rPr>
              <w:t>0.852</w:t>
            </w:r>
          </w:p>
        </w:tc>
        <w:tc>
          <w:tcPr>
            <w:tcW w:w="1060" w:type="dxa"/>
            <w:tcBorders>
              <w:top w:val="nil"/>
              <w:left w:val="nil"/>
              <w:bottom w:val="nil"/>
              <w:right w:val="nil"/>
            </w:tcBorders>
            <w:shd w:val="clear" w:color="auto" w:fill="auto"/>
            <w:noWrap/>
            <w:vAlign w:val="center"/>
            <w:hideMark/>
          </w:tcPr>
          <w:p w14:paraId="566F8D85" w14:textId="77777777" w:rsidR="00AD365D" w:rsidRPr="00487834" w:rsidRDefault="00AD365D" w:rsidP="001747B1">
            <w:pPr>
              <w:pStyle w:val="NoSpacing"/>
              <w:rPr>
                <w:color w:val="000000"/>
              </w:rPr>
            </w:pPr>
            <w:r w:rsidRPr="00487834">
              <w:rPr>
                <w:color w:val="000000"/>
              </w:rPr>
              <w:t>1.039</w:t>
            </w:r>
          </w:p>
        </w:tc>
        <w:tc>
          <w:tcPr>
            <w:tcW w:w="1060" w:type="dxa"/>
            <w:tcBorders>
              <w:top w:val="nil"/>
              <w:left w:val="nil"/>
              <w:bottom w:val="nil"/>
              <w:right w:val="nil"/>
            </w:tcBorders>
            <w:shd w:val="clear" w:color="auto" w:fill="auto"/>
            <w:noWrap/>
            <w:vAlign w:val="center"/>
            <w:hideMark/>
          </w:tcPr>
          <w:p w14:paraId="10951730" w14:textId="77777777" w:rsidR="00AD365D" w:rsidRPr="00487834" w:rsidRDefault="00AD365D" w:rsidP="001747B1">
            <w:pPr>
              <w:pStyle w:val="NoSpacing"/>
              <w:rPr>
                <w:color w:val="000000"/>
              </w:rPr>
            </w:pPr>
            <w:r w:rsidRPr="00487834">
              <w:rPr>
                <w:color w:val="000000"/>
              </w:rPr>
              <w:t>1.521</w:t>
            </w:r>
          </w:p>
        </w:tc>
        <w:tc>
          <w:tcPr>
            <w:tcW w:w="1060" w:type="dxa"/>
            <w:tcBorders>
              <w:top w:val="nil"/>
              <w:left w:val="nil"/>
              <w:bottom w:val="nil"/>
              <w:right w:val="nil"/>
            </w:tcBorders>
            <w:shd w:val="clear" w:color="auto" w:fill="auto"/>
            <w:noWrap/>
            <w:vAlign w:val="center"/>
            <w:hideMark/>
          </w:tcPr>
          <w:p w14:paraId="42A7472E" w14:textId="77777777" w:rsidR="00AD365D" w:rsidRPr="00487834" w:rsidRDefault="00AD365D" w:rsidP="001747B1">
            <w:pPr>
              <w:pStyle w:val="NoSpacing"/>
              <w:rPr>
                <w:color w:val="000000"/>
              </w:rPr>
            </w:pPr>
            <w:r w:rsidRPr="00487834">
              <w:rPr>
                <w:color w:val="000000"/>
              </w:rPr>
              <w:t>4.027</w:t>
            </w:r>
          </w:p>
        </w:tc>
      </w:tr>
      <w:tr w:rsidR="00AD365D" w:rsidRPr="00487834" w14:paraId="740EDDF1" w14:textId="77777777" w:rsidTr="001747B1">
        <w:trPr>
          <w:trHeight w:val="560"/>
          <w:jc w:val="center"/>
        </w:trPr>
        <w:tc>
          <w:tcPr>
            <w:tcW w:w="1180" w:type="dxa"/>
            <w:tcBorders>
              <w:top w:val="nil"/>
              <w:left w:val="nil"/>
              <w:bottom w:val="nil"/>
              <w:right w:val="nil"/>
            </w:tcBorders>
            <w:shd w:val="clear" w:color="auto" w:fill="auto"/>
            <w:noWrap/>
            <w:vAlign w:val="center"/>
            <w:hideMark/>
          </w:tcPr>
          <w:p w14:paraId="2F999CFF" w14:textId="77777777" w:rsidR="00AD365D" w:rsidRPr="00487834" w:rsidRDefault="00AD365D" w:rsidP="001747B1">
            <w:pPr>
              <w:pStyle w:val="NoSpacing"/>
              <w:rPr>
                <w:i/>
                <w:iCs/>
                <w:color w:val="000000"/>
              </w:rPr>
            </w:pPr>
            <w:r w:rsidRPr="00487834">
              <w:rPr>
                <w:i/>
                <w:iCs/>
                <w:color w:val="000000"/>
              </w:rPr>
              <w:t>LEV</w:t>
            </w:r>
          </w:p>
        </w:tc>
        <w:tc>
          <w:tcPr>
            <w:tcW w:w="1080" w:type="dxa"/>
            <w:tcBorders>
              <w:top w:val="nil"/>
              <w:left w:val="nil"/>
              <w:bottom w:val="nil"/>
              <w:right w:val="nil"/>
            </w:tcBorders>
            <w:shd w:val="clear" w:color="auto" w:fill="auto"/>
            <w:noWrap/>
            <w:vAlign w:val="center"/>
            <w:hideMark/>
          </w:tcPr>
          <w:p w14:paraId="3328AED7" w14:textId="77777777" w:rsidR="00AD365D" w:rsidRPr="00487834" w:rsidRDefault="00AD365D" w:rsidP="001747B1">
            <w:pPr>
              <w:pStyle w:val="NoSpacing"/>
              <w:rPr>
                <w:color w:val="000000"/>
              </w:rPr>
            </w:pPr>
            <w:r w:rsidRPr="00487834">
              <w:rPr>
                <w:color w:val="000000"/>
              </w:rPr>
              <w:t>0.309</w:t>
            </w:r>
          </w:p>
        </w:tc>
        <w:tc>
          <w:tcPr>
            <w:tcW w:w="1060" w:type="dxa"/>
            <w:tcBorders>
              <w:top w:val="nil"/>
              <w:left w:val="nil"/>
              <w:bottom w:val="nil"/>
              <w:right w:val="nil"/>
            </w:tcBorders>
            <w:shd w:val="clear" w:color="auto" w:fill="auto"/>
            <w:noWrap/>
            <w:vAlign w:val="center"/>
            <w:hideMark/>
          </w:tcPr>
          <w:p w14:paraId="3AC83D88" w14:textId="77777777" w:rsidR="00AD365D" w:rsidRPr="00487834" w:rsidRDefault="00AD365D" w:rsidP="001747B1">
            <w:pPr>
              <w:pStyle w:val="NoSpacing"/>
              <w:rPr>
                <w:color w:val="000000"/>
              </w:rPr>
            </w:pPr>
            <w:r w:rsidRPr="00487834">
              <w:rPr>
                <w:color w:val="000000"/>
              </w:rPr>
              <w:t>0.169</w:t>
            </w:r>
          </w:p>
        </w:tc>
        <w:tc>
          <w:tcPr>
            <w:tcW w:w="1060" w:type="dxa"/>
            <w:tcBorders>
              <w:top w:val="nil"/>
              <w:left w:val="nil"/>
              <w:bottom w:val="nil"/>
              <w:right w:val="nil"/>
            </w:tcBorders>
            <w:shd w:val="clear" w:color="auto" w:fill="auto"/>
            <w:noWrap/>
            <w:vAlign w:val="center"/>
            <w:hideMark/>
          </w:tcPr>
          <w:p w14:paraId="2EED5290" w14:textId="77777777" w:rsidR="00AD365D" w:rsidRPr="00487834" w:rsidRDefault="00AD365D" w:rsidP="001747B1">
            <w:pPr>
              <w:pStyle w:val="NoSpacing"/>
              <w:rPr>
                <w:color w:val="000000"/>
              </w:rPr>
            </w:pPr>
            <w:r w:rsidRPr="00487834">
              <w:rPr>
                <w:color w:val="000000"/>
              </w:rPr>
              <w:t>152</w:t>
            </w:r>
          </w:p>
        </w:tc>
        <w:tc>
          <w:tcPr>
            <w:tcW w:w="1060" w:type="dxa"/>
            <w:tcBorders>
              <w:top w:val="nil"/>
              <w:left w:val="nil"/>
              <w:bottom w:val="nil"/>
              <w:right w:val="nil"/>
            </w:tcBorders>
            <w:shd w:val="clear" w:color="auto" w:fill="auto"/>
            <w:noWrap/>
            <w:vAlign w:val="center"/>
            <w:hideMark/>
          </w:tcPr>
          <w:p w14:paraId="61853514" w14:textId="77777777" w:rsidR="00AD365D" w:rsidRPr="00487834" w:rsidRDefault="00AD365D" w:rsidP="001747B1">
            <w:pPr>
              <w:pStyle w:val="NoSpacing"/>
              <w:rPr>
                <w:color w:val="000000"/>
              </w:rPr>
            </w:pPr>
            <w:r w:rsidRPr="00487834">
              <w:rPr>
                <w:color w:val="000000"/>
              </w:rPr>
              <w:t>0.000</w:t>
            </w:r>
          </w:p>
        </w:tc>
        <w:tc>
          <w:tcPr>
            <w:tcW w:w="1060" w:type="dxa"/>
            <w:tcBorders>
              <w:top w:val="nil"/>
              <w:left w:val="nil"/>
              <w:bottom w:val="nil"/>
              <w:right w:val="nil"/>
            </w:tcBorders>
            <w:shd w:val="clear" w:color="auto" w:fill="auto"/>
            <w:noWrap/>
            <w:vAlign w:val="center"/>
            <w:hideMark/>
          </w:tcPr>
          <w:p w14:paraId="4E522724" w14:textId="77777777" w:rsidR="00AD365D" w:rsidRPr="00487834" w:rsidRDefault="00AD365D" w:rsidP="001747B1">
            <w:pPr>
              <w:pStyle w:val="NoSpacing"/>
              <w:rPr>
                <w:color w:val="000000"/>
              </w:rPr>
            </w:pPr>
            <w:r w:rsidRPr="00487834">
              <w:rPr>
                <w:color w:val="000000"/>
              </w:rPr>
              <w:t>0.212</w:t>
            </w:r>
          </w:p>
        </w:tc>
        <w:tc>
          <w:tcPr>
            <w:tcW w:w="1060" w:type="dxa"/>
            <w:tcBorders>
              <w:top w:val="nil"/>
              <w:left w:val="nil"/>
              <w:bottom w:val="nil"/>
              <w:right w:val="nil"/>
            </w:tcBorders>
            <w:shd w:val="clear" w:color="auto" w:fill="auto"/>
            <w:noWrap/>
            <w:vAlign w:val="center"/>
            <w:hideMark/>
          </w:tcPr>
          <w:p w14:paraId="40B478FA" w14:textId="77777777" w:rsidR="00AD365D" w:rsidRPr="00487834" w:rsidRDefault="00AD365D" w:rsidP="001747B1">
            <w:pPr>
              <w:pStyle w:val="NoSpacing"/>
              <w:rPr>
                <w:color w:val="000000"/>
              </w:rPr>
            </w:pPr>
            <w:r w:rsidRPr="00487834">
              <w:rPr>
                <w:color w:val="000000"/>
              </w:rPr>
              <w:t>0.314</w:t>
            </w:r>
          </w:p>
        </w:tc>
        <w:tc>
          <w:tcPr>
            <w:tcW w:w="1060" w:type="dxa"/>
            <w:tcBorders>
              <w:top w:val="nil"/>
              <w:left w:val="nil"/>
              <w:bottom w:val="nil"/>
              <w:right w:val="nil"/>
            </w:tcBorders>
            <w:shd w:val="clear" w:color="auto" w:fill="auto"/>
            <w:noWrap/>
            <w:vAlign w:val="center"/>
            <w:hideMark/>
          </w:tcPr>
          <w:p w14:paraId="6691F40C" w14:textId="77777777" w:rsidR="00AD365D" w:rsidRPr="00487834" w:rsidRDefault="00AD365D" w:rsidP="001747B1">
            <w:pPr>
              <w:pStyle w:val="NoSpacing"/>
              <w:rPr>
                <w:color w:val="000000"/>
              </w:rPr>
            </w:pPr>
            <w:r w:rsidRPr="00487834">
              <w:rPr>
                <w:color w:val="000000"/>
              </w:rPr>
              <w:t>0.448</w:t>
            </w:r>
          </w:p>
        </w:tc>
        <w:tc>
          <w:tcPr>
            <w:tcW w:w="1060" w:type="dxa"/>
            <w:tcBorders>
              <w:top w:val="nil"/>
              <w:left w:val="nil"/>
              <w:bottom w:val="nil"/>
              <w:right w:val="nil"/>
            </w:tcBorders>
            <w:shd w:val="clear" w:color="auto" w:fill="auto"/>
            <w:noWrap/>
            <w:vAlign w:val="center"/>
            <w:hideMark/>
          </w:tcPr>
          <w:p w14:paraId="084C596A" w14:textId="77777777" w:rsidR="00AD365D" w:rsidRPr="00487834" w:rsidRDefault="00AD365D" w:rsidP="001747B1">
            <w:pPr>
              <w:pStyle w:val="NoSpacing"/>
              <w:rPr>
                <w:color w:val="000000"/>
              </w:rPr>
            </w:pPr>
            <w:r w:rsidRPr="00487834">
              <w:rPr>
                <w:color w:val="000000"/>
              </w:rPr>
              <w:t>0.693</w:t>
            </w:r>
          </w:p>
        </w:tc>
      </w:tr>
      <w:tr w:rsidR="00AD365D" w:rsidRPr="00487834" w14:paraId="627A5455" w14:textId="77777777" w:rsidTr="001747B1">
        <w:trPr>
          <w:trHeight w:val="540"/>
          <w:jc w:val="center"/>
        </w:trPr>
        <w:tc>
          <w:tcPr>
            <w:tcW w:w="1180" w:type="dxa"/>
            <w:tcBorders>
              <w:top w:val="nil"/>
              <w:left w:val="nil"/>
              <w:bottom w:val="nil"/>
              <w:right w:val="nil"/>
            </w:tcBorders>
            <w:shd w:val="clear" w:color="auto" w:fill="auto"/>
            <w:noWrap/>
            <w:vAlign w:val="center"/>
            <w:hideMark/>
          </w:tcPr>
          <w:p w14:paraId="79656DB8" w14:textId="77777777" w:rsidR="00AD365D" w:rsidRPr="00487834" w:rsidRDefault="00AD365D" w:rsidP="001747B1">
            <w:pPr>
              <w:pStyle w:val="NoSpacing"/>
              <w:rPr>
                <w:i/>
                <w:iCs/>
                <w:color w:val="000000"/>
              </w:rPr>
            </w:pPr>
            <w:r w:rsidRPr="00487834">
              <w:rPr>
                <w:i/>
                <w:iCs/>
                <w:color w:val="000000"/>
              </w:rPr>
              <w:t>ND/EBITDA</w:t>
            </w:r>
          </w:p>
        </w:tc>
        <w:tc>
          <w:tcPr>
            <w:tcW w:w="1080" w:type="dxa"/>
            <w:tcBorders>
              <w:top w:val="nil"/>
              <w:left w:val="nil"/>
              <w:bottom w:val="nil"/>
              <w:right w:val="nil"/>
            </w:tcBorders>
            <w:shd w:val="clear" w:color="auto" w:fill="auto"/>
            <w:noWrap/>
            <w:vAlign w:val="center"/>
            <w:hideMark/>
          </w:tcPr>
          <w:p w14:paraId="432F1FC2" w14:textId="77777777" w:rsidR="00AD365D" w:rsidRPr="00487834" w:rsidRDefault="00AD365D" w:rsidP="001747B1">
            <w:pPr>
              <w:pStyle w:val="NoSpacing"/>
              <w:rPr>
                <w:color w:val="000000"/>
              </w:rPr>
            </w:pPr>
            <w:r w:rsidRPr="00487834">
              <w:rPr>
                <w:color w:val="000000"/>
              </w:rPr>
              <w:t>0.948</w:t>
            </w:r>
          </w:p>
        </w:tc>
        <w:tc>
          <w:tcPr>
            <w:tcW w:w="1060" w:type="dxa"/>
            <w:tcBorders>
              <w:top w:val="nil"/>
              <w:left w:val="nil"/>
              <w:bottom w:val="nil"/>
              <w:right w:val="nil"/>
            </w:tcBorders>
            <w:shd w:val="clear" w:color="auto" w:fill="auto"/>
            <w:noWrap/>
            <w:vAlign w:val="center"/>
            <w:hideMark/>
          </w:tcPr>
          <w:p w14:paraId="01E22F52" w14:textId="77777777" w:rsidR="00AD365D" w:rsidRPr="00487834" w:rsidRDefault="00AD365D" w:rsidP="001747B1">
            <w:pPr>
              <w:pStyle w:val="NoSpacing"/>
              <w:rPr>
                <w:color w:val="000000"/>
              </w:rPr>
            </w:pPr>
            <w:r w:rsidRPr="00487834">
              <w:rPr>
                <w:color w:val="000000"/>
              </w:rPr>
              <w:t>1.633</w:t>
            </w:r>
          </w:p>
        </w:tc>
        <w:tc>
          <w:tcPr>
            <w:tcW w:w="1060" w:type="dxa"/>
            <w:tcBorders>
              <w:top w:val="nil"/>
              <w:left w:val="nil"/>
              <w:bottom w:val="nil"/>
              <w:right w:val="nil"/>
            </w:tcBorders>
            <w:shd w:val="clear" w:color="auto" w:fill="auto"/>
            <w:noWrap/>
            <w:vAlign w:val="center"/>
            <w:hideMark/>
          </w:tcPr>
          <w:p w14:paraId="5D3E0819" w14:textId="77777777" w:rsidR="00AD365D" w:rsidRPr="00487834" w:rsidRDefault="00AD365D" w:rsidP="001747B1">
            <w:pPr>
              <w:pStyle w:val="NoSpacing"/>
              <w:rPr>
                <w:color w:val="000000"/>
              </w:rPr>
            </w:pPr>
            <w:r w:rsidRPr="00487834">
              <w:rPr>
                <w:color w:val="000000"/>
              </w:rPr>
              <w:t>152</w:t>
            </w:r>
          </w:p>
        </w:tc>
        <w:tc>
          <w:tcPr>
            <w:tcW w:w="1060" w:type="dxa"/>
            <w:tcBorders>
              <w:top w:val="nil"/>
              <w:left w:val="nil"/>
              <w:bottom w:val="nil"/>
              <w:right w:val="nil"/>
            </w:tcBorders>
            <w:shd w:val="clear" w:color="auto" w:fill="auto"/>
            <w:noWrap/>
            <w:vAlign w:val="center"/>
            <w:hideMark/>
          </w:tcPr>
          <w:p w14:paraId="2FC9807A" w14:textId="77777777" w:rsidR="00AD365D" w:rsidRPr="00487834" w:rsidRDefault="00AD365D" w:rsidP="001747B1">
            <w:pPr>
              <w:pStyle w:val="NoSpacing"/>
              <w:rPr>
                <w:color w:val="000000"/>
              </w:rPr>
            </w:pPr>
            <w:r w:rsidRPr="00487834">
              <w:rPr>
                <w:color w:val="000000"/>
              </w:rPr>
              <w:t>-2.354</w:t>
            </w:r>
          </w:p>
        </w:tc>
        <w:tc>
          <w:tcPr>
            <w:tcW w:w="1060" w:type="dxa"/>
            <w:tcBorders>
              <w:top w:val="nil"/>
              <w:left w:val="nil"/>
              <w:bottom w:val="nil"/>
              <w:right w:val="nil"/>
            </w:tcBorders>
            <w:shd w:val="clear" w:color="auto" w:fill="auto"/>
            <w:noWrap/>
            <w:vAlign w:val="center"/>
            <w:hideMark/>
          </w:tcPr>
          <w:p w14:paraId="6052872F" w14:textId="77777777" w:rsidR="00AD365D" w:rsidRPr="00487834" w:rsidRDefault="00AD365D" w:rsidP="001747B1">
            <w:pPr>
              <w:pStyle w:val="NoSpacing"/>
              <w:rPr>
                <w:color w:val="000000"/>
              </w:rPr>
            </w:pPr>
            <w:r w:rsidRPr="00487834">
              <w:rPr>
                <w:color w:val="000000"/>
              </w:rPr>
              <w:t>0</w:t>
            </w:r>
          </w:p>
        </w:tc>
        <w:tc>
          <w:tcPr>
            <w:tcW w:w="1060" w:type="dxa"/>
            <w:tcBorders>
              <w:top w:val="nil"/>
              <w:left w:val="nil"/>
              <w:bottom w:val="nil"/>
              <w:right w:val="nil"/>
            </w:tcBorders>
            <w:shd w:val="clear" w:color="auto" w:fill="auto"/>
            <w:noWrap/>
            <w:vAlign w:val="center"/>
            <w:hideMark/>
          </w:tcPr>
          <w:p w14:paraId="5918FF1F" w14:textId="77777777" w:rsidR="00AD365D" w:rsidRPr="00487834" w:rsidRDefault="00AD365D" w:rsidP="001747B1">
            <w:pPr>
              <w:pStyle w:val="NoSpacing"/>
              <w:rPr>
                <w:color w:val="000000"/>
              </w:rPr>
            </w:pPr>
            <w:r w:rsidRPr="00487834">
              <w:rPr>
                <w:color w:val="000000"/>
              </w:rPr>
              <w:t>0.455</w:t>
            </w:r>
          </w:p>
        </w:tc>
        <w:tc>
          <w:tcPr>
            <w:tcW w:w="1060" w:type="dxa"/>
            <w:tcBorders>
              <w:top w:val="nil"/>
              <w:left w:val="nil"/>
              <w:bottom w:val="nil"/>
              <w:right w:val="nil"/>
            </w:tcBorders>
            <w:shd w:val="clear" w:color="auto" w:fill="auto"/>
            <w:noWrap/>
            <w:vAlign w:val="center"/>
            <w:hideMark/>
          </w:tcPr>
          <w:p w14:paraId="2F003B6E" w14:textId="77777777" w:rsidR="00AD365D" w:rsidRPr="00487834" w:rsidRDefault="00AD365D" w:rsidP="001747B1">
            <w:pPr>
              <w:pStyle w:val="NoSpacing"/>
              <w:rPr>
                <w:color w:val="000000"/>
              </w:rPr>
            </w:pPr>
            <w:r w:rsidRPr="00487834">
              <w:rPr>
                <w:color w:val="000000"/>
              </w:rPr>
              <w:t>1.745</w:t>
            </w:r>
          </w:p>
        </w:tc>
        <w:tc>
          <w:tcPr>
            <w:tcW w:w="1060" w:type="dxa"/>
            <w:tcBorders>
              <w:top w:val="nil"/>
              <w:left w:val="nil"/>
              <w:bottom w:val="nil"/>
              <w:right w:val="nil"/>
            </w:tcBorders>
            <w:shd w:val="clear" w:color="auto" w:fill="auto"/>
            <w:noWrap/>
            <w:vAlign w:val="center"/>
            <w:hideMark/>
          </w:tcPr>
          <w:p w14:paraId="36F4A568" w14:textId="77777777" w:rsidR="00AD365D" w:rsidRPr="00487834" w:rsidRDefault="00AD365D" w:rsidP="001747B1">
            <w:pPr>
              <w:pStyle w:val="NoSpacing"/>
              <w:rPr>
                <w:color w:val="000000"/>
              </w:rPr>
            </w:pPr>
            <w:r w:rsidRPr="00487834">
              <w:rPr>
                <w:color w:val="000000"/>
              </w:rPr>
              <w:t>5.116</w:t>
            </w:r>
          </w:p>
        </w:tc>
      </w:tr>
      <w:tr w:rsidR="00AD365D" w:rsidRPr="00487834" w14:paraId="550ED40B" w14:textId="77777777" w:rsidTr="001747B1">
        <w:trPr>
          <w:trHeight w:val="560"/>
          <w:jc w:val="center"/>
        </w:trPr>
        <w:tc>
          <w:tcPr>
            <w:tcW w:w="1180" w:type="dxa"/>
            <w:tcBorders>
              <w:top w:val="nil"/>
              <w:left w:val="nil"/>
              <w:bottom w:val="single" w:sz="4" w:space="0" w:color="auto"/>
              <w:right w:val="nil"/>
            </w:tcBorders>
            <w:shd w:val="clear" w:color="auto" w:fill="auto"/>
            <w:noWrap/>
            <w:vAlign w:val="center"/>
            <w:hideMark/>
          </w:tcPr>
          <w:p w14:paraId="0A021AA6" w14:textId="77777777" w:rsidR="00AD365D" w:rsidRPr="00487834" w:rsidRDefault="00AD365D" w:rsidP="001747B1">
            <w:pPr>
              <w:pStyle w:val="NoSpacing"/>
              <w:rPr>
                <w:i/>
                <w:iCs/>
              </w:rPr>
            </w:pPr>
            <w:r w:rsidRPr="00487834">
              <w:rPr>
                <w:i/>
                <w:iCs/>
              </w:rPr>
              <w:t>TLPA</w:t>
            </w:r>
          </w:p>
        </w:tc>
        <w:tc>
          <w:tcPr>
            <w:tcW w:w="1080" w:type="dxa"/>
            <w:tcBorders>
              <w:top w:val="nil"/>
              <w:left w:val="nil"/>
              <w:bottom w:val="single" w:sz="4" w:space="0" w:color="auto"/>
              <w:right w:val="nil"/>
            </w:tcBorders>
            <w:shd w:val="clear" w:color="auto" w:fill="auto"/>
            <w:noWrap/>
            <w:vAlign w:val="center"/>
            <w:hideMark/>
          </w:tcPr>
          <w:p w14:paraId="0DC4F6A6" w14:textId="77777777" w:rsidR="00AD365D" w:rsidRPr="00487834" w:rsidRDefault="00AD365D" w:rsidP="001747B1">
            <w:pPr>
              <w:pStyle w:val="NoSpacing"/>
              <w:rPr>
                <w:color w:val="000000"/>
              </w:rPr>
            </w:pPr>
            <w:r w:rsidRPr="00487834">
              <w:rPr>
                <w:color w:val="000000"/>
              </w:rPr>
              <w:t>0.463</w:t>
            </w:r>
          </w:p>
        </w:tc>
        <w:tc>
          <w:tcPr>
            <w:tcW w:w="1060" w:type="dxa"/>
            <w:tcBorders>
              <w:top w:val="nil"/>
              <w:left w:val="nil"/>
              <w:bottom w:val="single" w:sz="4" w:space="0" w:color="auto"/>
              <w:right w:val="nil"/>
            </w:tcBorders>
            <w:shd w:val="clear" w:color="auto" w:fill="auto"/>
            <w:noWrap/>
            <w:vAlign w:val="center"/>
            <w:hideMark/>
          </w:tcPr>
          <w:p w14:paraId="5836F573" w14:textId="77777777" w:rsidR="00AD365D" w:rsidRPr="00487834" w:rsidRDefault="00AD365D" w:rsidP="001747B1">
            <w:pPr>
              <w:pStyle w:val="NoSpacing"/>
              <w:rPr>
                <w:color w:val="000000"/>
              </w:rPr>
            </w:pPr>
            <w:r w:rsidRPr="00487834">
              <w:rPr>
                <w:color w:val="000000"/>
              </w:rPr>
              <w:t>0.210</w:t>
            </w:r>
          </w:p>
        </w:tc>
        <w:tc>
          <w:tcPr>
            <w:tcW w:w="1060" w:type="dxa"/>
            <w:tcBorders>
              <w:top w:val="nil"/>
              <w:left w:val="nil"/>
              <w:bottom w:val="single" w:sz="4" w:space="0" w:color="auto"/>
              <w:right w:val="nil"/>
            </w:tcBorders>
            <w:shd w:val="clear" w:color="auto" w:fill="auto"/>
            <w:noWrap/>
            <w:vAlign w:val="center"/>
            <w:hideMark/>
          </w:tcPr>
          <w:p w14:paraId="4F7330FE" w14:textId="77777777" w:rsidR="00AD365D" w:rsidRPr="00487834" w:rsidRDefault="00AD365D" w:rsidP="001747B1">
            <w:pPr>
              <w:pStyle w:val="NoSpacing"/>
              <w:rPr>
                <w:color w:val="000000"/>
              </w:rPr>
            </w:pPr>
            <w:r w:rsidRPr="00487834">
              <w:rPr>
                <w:color w:val="000000"/>
              </w:rPr>
              <w:t>152</w:t>
            </w:r>
          </w:p>
        </w:tc>
        <w:tc>
          <w:tcPr>
            <w:tcW w:w="1060" w:type="dxa"/>
            <w:tcBorders>
              <w:top w:val="nil"/>
              <w:left w:val="nil"/>
              <w:bottom w:val="single" w:sz="4" w:space="0" w:color="auto"/>
              <w:right w:val="nil"/>
            </w:tcBorders>
            <w:shd w:val="clear" w:color="auto" w:fill="auto"/>
            <w:noWrap/>
            <w:vAlign w:val="center"/>
            <w:hideMark/>
          </w:tcPr>
          <w:p w14:paraId="112B4F8D" w14:textId="77777777" w:rsidR="00AD365D" w:rsidRPr="00487834" w:rsidRDefault="00AD365D" w:rsidP="001747B1">
            <w:pPr>
              <w:pStyle w:val="NoSpacing"/>
              <w:rPr>
                <w:color w:val="000000"/>
              </w:rPr>
            </w:pPr>
            <w:r w:rsidRPr="00487834">
              <w:rPr>
                <w:color w:val="000000"/>
              </w:rPr>
              <w:t>0.116</w:t>
            </w:r>
          </w:p>
        </w:tc>
        <w:tc>
          <w:tcPr>
            <w:tcW w:w="1060" w:type="dxa"/>
            <w:tcBorders>
              <w:top w:val="nil"/>
              <w:left w:val="nil"/>
              <w:bottom w:val="single" w:sz="4" w:space="0" w:color="auto"/>
              <w:right w:val="nil"/>
            </w:tcBorders>
            <w:shd w:val="clear" w:color="auto" w:fill="auto"/>
            <w:noWrap/>
            <w:vAlign w:val="center"/>
            <w:hideMark/>
          </w:tcPr>
          <w:p w14:paraId="45978E71" w14:textId="77777777" w:rsidR="00AD365D" w:rsidRPr="00487834" w:rsidRDefault="00AD365D" w:rsidP="001747B1">
            <w:pPr>
              <w:pStyle w:val="NoSpacing"/>
              <w:rPr>
                <w:color w:val="000000"/>
              </w:rPr>
            </w:pPr>
            <w:r w:rsidRPr="00487834">
              <w:rPr>
                <w:color w:val="000000"/>
              </w:rPr>
              <w:t>0.335</w:t>
            </w:r>
          </w:p>
        </w:tc>
        <w:tc>
          <w:tcPr>
            <w:tcW w:w="1060" w:type="dxa"/>
            <w:tcBorders>
              <w:top w:val="nil"/>
              <w:left w:val="nil"/>
              <w:bottom w:val="single" w:sz="4" w:space="0" w:color="auto"/>
              <w:right w:val="nil"/>
            </w:tcBorders>
            <w:shd w:val="clear" w:color="auto" w:fill="auto"/>
            <w:noWrap/>
            <w:vAlign w:val="center"/>
            <w:hideMark/>
          </w:tcPr>
          <w:p w14:paraId="6240640F" w14:textId="77777777" w:rsidR="00AD365D" w:rsidRPr="00487834" w:rsidRDefault="00AD365D" w:rsidP="001747B1">
            <w:pPr>
              <w:pStyle w:val="NoSpacing"/>
              <w:rPr>
                <w:color w:val="000000"/>
              </w:rPr>
            </w:pPr>
            <w:r w:rsidRPr="00487834">
              <w:rPr>
                <w:color w:val="000000"/>
              </w:rPr>
              <w:t>0.413</w:t>
            </w:r>
          </w:p>
        </w:tc>
        <w:tc>
          <w:tcPr>
            <w:tcW w:w="1060" w:type="dxa"/>
            <w:tcBorders>
              <w:top w:val="nil"/>
              <w:left w:val="nil"/>
              <w:bottom w:val="single" w:sz="4" w:space="0" w:color="auto"/>
              <w:right w:val="nil"/>
            </w:tcBorders>
            <w:shd w:val="clear" w:color="auto" w:fill="auto"/>
            <w:noWrap/>
            <w:vAlign w:val="center"/>
            <w:hideMark/>
          </w:tcPr>
          <w:p w14:paraId="5B4B7993" w14:textId="77777777" w:rsidR="00AD365D" w:rsidRPr="00487834" w:rsidRDefault="00AD365D" w:rsidP="001747B1">
            <w:pPr>
              <w:pStyle w:val="NoSpacing"/>
              <w:rPr>
                <w:color w:val="000000"/>
              </w:rPr>
            </w:pPr>
            <w:r w:rsidRPr="00487834">
              <w:rPr>
                <w:color w:val="000000"/>
              </w:rPr>
              <w:t>0.625</w:t>
            </w:r>
          </w:p>
        </w:tc>
        <w:tc>
          <w:tcPr>
            <w:tcW w:w="1060" w:type="dxa"/>
            <w:tcBorders>
              <w:top w:val="nil"/>
              <w:left w:val="nil"/>
              <w:bottom w:val="single" w:sz="4" w:space="0" w:color="auto"/>
              <w:right w:val="nil"/>
            </w:tcBorders>
            <w:shd w:val="clear" w:color="auto" w:fill="auto"/>
            <w:noWrap/>
            <w:vAlign w:val="center"/>
            <w:hideMark/>
          </w:tcPr>
          <w:p w14:paraId="7983EC58" w14:textId="77777777" w:rsidR="00AD365D" w:rsidRPr="00487834" w:rsidRDefault="00AD365D" w:rsidP="001747B1">
            <w:pPr>
              <w:pStyle w:val="NoSpacing"/>
              <w:rPr>
                <w:color w:val="000000"/>
              </w:rPr>
            </w:pPr>
            <w:r w:rsidRPr="00487834">
              <w:rPr>
                <w:color w:val="000000"/>
              </w:rPr>
              <w:t>0.961</w:t>
            </w:r>
          </w:p>
        </w:tc>
      </w:tr>
    </w:tbl>
    <w:p w14:paraId="34E98F60" w14:textId="77777777" w:rsidR="00AD365D" w:rsidRPr="00487834" w:rsidRDefault="00AD365D" w:rsidP="00AD365D">
      <w:pPr>
        <w:autoSpaceDE w:val="0"/>
        <w:autoSpaceDN w:val="0"/>
        <w:adjustRightInd w:val="0"/>
        <w:spacing w:line="300" w:lineRule="auto"/>
        <w:rPr>
          <w:rFonts w:eastAsiaTheme="minorHAnsi"/>
          <w:lang w:val="en-US" w:eastAsia="en-US"/>
        </w:rPr>
      </w:pPr>
    </w:p>
    <w:p w14:paraId="7F2E267F" w14:textId="77777777" w:rsidR="00AD365D" w:rsidRPr="00487834" w:rsidRDefault="00AD365D" w:rsidP="00AD365D">
      <w:pPr>
        <w:autoSpaceDE w:val="0"/>
        <w:autoSpaceDN w:val="0"/>
        <w:adjustRightInd w:val="0"/>
        <w:spacing w:line="300" w:lineRule="auto"/>
        <w:rPr>
          <w:rFonts w:eastAsiaTheme="minorHAnsi"/>
          <w:b/>
          <w:bCs/>
          <w:lang w:val="en-GB" w:eastAsia="en-US"/>
        </w:rPr>
      </w:pPr>
    </w:p>
    <w:p w14:paraId="2887C110" w14:textId="77777777" w:rsidR="00AD365D" w:rsidRPr="00487834" w:rsidRDefault="00AD365D" w:rsidP="00AD365D">
      <w:pPr>
        <w:autoSpaceDE w:val="0"/>
        <w:autoSpaceDN w:val="0"/>
        <w:adjustRightInd w:val="0"/>
        <w:spacing w:line="300" w:lineRule="auto"/>
        <w:rPr>
          <w:rFonts w:eastAsiaTheme="minorHAnsi"/>
          <w:lang w:val="en-GB" w:eastAsia="en-US"/>
        </w:rPr>
      </w:pPr>
      <w:r w:rsidRPr="00487834">
        <w:rPr>
          <w:rFonts w:eastAsiaTheme="minorHAnsi"/>
          <w:b/>
          <w:bCs/>
          <w:lang w:val="en-GB" w:eastAsia="en-US"/>
        </w:rPr>
        <w:lastRenderedPageBreak/>
        <w:t xml:space="preserve">Table 7 – </w:t>
      </w:r>
      <w:r w:rsidRPr="00487834">
        <w:rPr>
          <w:color w:val="0D0D0D"/>
          <w:shd w:val="clear" w:color="auto" w:fill="FFFFFF"/>
          <w:lang w:val="en-US"/>
        </w:rPr>
        <w:t>Descriptive statistics for the cost of equity model, including respective control variables, for the Brazilian subsample</w:t>
      </w:r>
    </w:p>
    <w:p w14:paraId="7B063E14" w14:textId="77777777" w:rsidR="00AD365D" w:rsidRPr="00487834" w:rsidRDefault="00AD365D" w:rsidP="00AD365D">
      <w:pPr>
        <w:autoSpaceDE w:val="0"/>
        <w:autoSpaceDN w:val="0"/>
        <w:adjustRightInd w:val="0"/>
        <w:spacing w:line="300" w:lineRule="auto"/>
        <w:rPr>
          <w:rFonts w:eastAsiaTheme="minorHAnsi"/>
          <w:lang w:val="en-US" w:eastAsia="en-US"/>
        </w:rPr>
      </w:pPr>
    </w:p>
    <w:tbl>
      <w:tblPr>
        <w:tblW w:w="9680" w:type="dxa"/>
        <w:jc w:val="center"/>
        <w:tblLook w:val="04A0" w:firstRow="1" w:lastRow="0" w:firstColumn="1" w:lastColumn="0" w:noHBand="0" w:noVBand="1"/>
      </w:tblPr>
      <w:tblGrid>
        <w:gridCol w:w="1304"/>
        <w:gridCol w:w="1060"/>
        <w:gridCol w:w="1060"/>
        <w:gridCol w:w="1060"/>
        <w:gridCol w:w="1060"/>
        <w:gridCol w:w="1060"/>
        <w:gridCol w:w="1080"/>
        <w:gridCol w:w="1060"/>
        <w:gridCol w:w="1060"/>
      </w:tblGrid>
      <w:tr w:rsidR="00AD365D" w:rsidRPr="00487834" w14:paraId="49D04608" w14:textId="77777777" w:rsidTr="001747B1">
        <w:trPr>
          <w:trHeight w:val="260"/>
          <w:jc w:val="center"/>
        </w:trPr>
        <w:tc>
          <w:tcPr>
            <w:tcW w:w="1180" w:type="dxa"/>
            <w:tcBorders>
              <w:top w:val="single" w:sz="4" w:space="0" w:color="auto"/>
              <w:left w:val="nil"/>
              <w:bottom w:val="single" w:sz="4" w:space="0" w:color="auto"/>
              <w:right w:val="nil"/>
            </w:tcBorders>
            <w:shd w:val="clear" w:color="auto" w:fill="auto"/>
            <w:noWrap/>
            <w:hideMark/>
          </w:tcPr>
          <w:p w14:paraId="3988791B" w14:textId="77777777" w:rsidR="00AD365D" w:rsidRPr="00487834" w:rsidRDefault="00AD365D" w:rsidP="001747B1">
            <w:pPr>
              <w:pStyle w:val="NoSpacing"/>
            </w:pPr>
            <w:proofErr w:type="spellStart"/>
            <w:r w:rsidRPr="00487834">
              <w:t>Variable</w:t>
            </w:r>
            <w:proofErr w:type="spellEnd"/>
          </w:p>
        </w:tc>
        <w:tc>
          <w:tcPr>
            <w:tcW w:w="1060" w:type="dxa"/>
            <w:tcBorders>
              <w:top w:val="single" w:sz="4" w:space="0" w:color="auto"/>
              <w:left w:val="nil"/>
              <w:bottom w:val="single" w:sz="4" w:space="0" w:color="auto"/>
              <w:right w:val="nil"/>
            </w:tcBorders>
            <w:shd w:val="clear" w:color="auto" w:fill="auto"/>
            <w:noWrap/>
            <w:hideMark/>
          </w:tcPr>
          <w:p w14:paraId="439AD39B" w14:textId="77777777" w:rsidR="00AD365D" w:rsidRPr="00487834" w:rsidRDefault="00AD365D" w:rsidP="001747B1">
            <w:pPr>
              <w:pStyle w:val="NoSpacing"/>
            </w:pPr>
            <w:proofErr w:type="spellStart"/>
            <w:r w:rsidRPr="00487834">
              <w:t>Mean</w:t>
            </w:r>
            <w:proofErr w:type="spellEnd"/>
          </w:p>
        </w:tc>
        <w:tc>
          <w:tcPr>
            <w:tcW w:w="1060" w:type="dxa"/>
            <w:tcBorders>
              <w:top w:val="single" w:sz="4" w:space="0" w:color="auto"/>
              <w:left w:val="nil"/>
              <w:bottom w:val="single" w:sz="4" w:space="0" w:color="auto"/>
              <w:right w:val="nil"/>
            </w:tcBorders>
            <w:shd w:val="clear" w:color="auto" w:fill="auto"/>
            <w:noWrap/>
            <w:hideMark/>
          </w:tcPr>
          <w:p w14:paraId="25B4B023" w14:textId="77777777" w:rsidR="00AD365D" w:rsidRPr="00487834" w:rsidRDefault="00AD365D" w:rsidP="001747B1">
            <w:pPr>
              <w:pStyle w:val="NoSpacing"/>
            </w:pPr>
            <w:proofErr w:type="spellStart"/>
            <w:r w:rsidRPr="00487834">
              <w:t>Std.Dev</w:t>
            </w:r>
            <w:proofErr w:type="spellEnd"/>
            <w:r w:rsidRPr="00487834">
              <w:t>.</w:t>
            </w:r>
          </w:p>
        </w:tc>
        <w:tc>
          <w:tcPr>
            <w:tcW w:w="1060" w:type="dxa"/>
            <w:tcBorders>
              <w:top w:val="single" w:sz="4" w:space="0" w:color="auto"/>
              <w:left w:val="nil"/>
              <w:bottom w:val="single" w:sz="4" w:space="0" w:color="auto"/>
              <w:right w:val="nil"/>
            </w:tcBorders>
            <w:shd w:val="clear" w:color="auto" w:fill="auto"/>
            <w:noWrap/>
            <w:hideMark/>
          </w:tcPr>
          <w:p w14:paraId="1FD5E57D" w14:textId="77777777" w:rsidR="00AD365D" w:rsidRPr="00487834" w:rsidRDefault="00AD365D" w:rsidP="001747B1">
            <w:pPr>
              <w:pStyle w:val="NoSpacing"/>
            </w:pPr>
            <w:r w:rsidRPr="00487834">
              <w:t>N</w:t>
            </w:r>
          </w:p>
        </w:tc>
        <w:tc>
          <w:tcPr>
            <w:tcW w:w="1060" w:type="dxa"/>
            <w:tcBorders>
              <w:top w:val="single" w:sz="4" w:space="0" w:color="auto"/>
              <w:left w:val="nil"/>
              <w:bottom w:val="single" w:sz="4" w:space="0" w:color="auto"/>
              <w:right w:val="nil"/>
            </w:tcBorders>
            <w:shd w:val="clear" w:color="auto" w:fill="auto"/>
            <w:noWrap/>
            <w:hideMark/>
          </w:tcPr>
          <w:p w14:paraId="6BD1BDC8" w14:textId="77777777" w:rsidR="00AD365D" w:rsidRPr="00487834" w:rsidRDefault="00AD365D" w:rsidP="001747B1">
            <w:pPr>
              <w:pStyle w:val="NoSpacing"/>
            </w:pPr>
            <w:proofErr w:type="spellStart"/>
            <w:r w:rsidRPr="00487834">
              <w:t>Min</w:t>
            </w:r>
            <w:proofErr w:type="spellEnd"/>
          </w:p>
        </w:tc>
        <w:tc>
          <w:tcPr>
            <w:tcW w:w="1060" w:type="dxa"/>
            <w:tcBorders>
              <w:top w:val="single" w:sz="4" w:space="0" w:color="auto"/>
              <w:left w:val="nil"/>
              <w:bottom w:val="single" w:sz="4" w:space="0" w:color="auto"/>
              <w:right w:val="nil"/>
            </w:tcBorders>
            <w:shd w:val="clear" w:color="auto" w:fill="auto"/>
            <w:noWrap/>
            <w:hideMark/>
          </w:tcPr>
          <w:p w14:paraId="686A8589" w14:textId="77777777" w:rsidR="00AD365D" w:rsidRPr="00487834" w:rsidRDefault="00AD365D" w:rsidP="001747B1">
            <w:pPr>
              <w:pStyle w:val="NoSpacing"/>
            </w:pPr>
            <w:r w:rsidRPr="00487834">
              <w:t>Q1</w:t>
            </w:r>
          </w:p>
        </w:tc>
        <w:tc>
          <w:tcPr>
            <w:tcW w:w="1080" w:type="dxa"/>
            <w:tcBorders>
              <w:top w:val="single" w:sz="4" w:space="0" w:color="auto"/>
              <w:left w:val="nil"/>
              <w:bottom w:val="single" w:sz="4" w:space="0" w:color="auto"/>
              <w:right w:val="nil"/>
            </w:tcBorders>
            <w:shd w:val="clear" w:color="auto" w:fill="auto"/>
            <w:noWrap/>
            <w:hideMark/>
          </w:tcPr>
          <w:p w14:paraId="5991B78D" w14:textId="77777777" w:rsidR="00AD365D" w:rsidRPr="00487834" w:rsidRDefault="00AD365D" w:rsidP="001747B1">
            <w:pPr>
              <w:pStyle w:val="NoSpacing"/>
            </w:pPr>
            <w:proofErr w:type="spellStart"/>
            <w:r w:rsidRPr="00487834">
              <w:t>Median</w:t>
            </w:r>
            <w:proofErr w:type="spellEnd"/>
          </w:p>
        </w:tc>
        <w:tc>
          <w:tcPr>
            <w:tcW w:w="1060" w:type="dxa"/>
            <w:tcBorders>
              <w:top w:val="single" w:sz="4" w:space="0" w:color="auto"/>
              <w:left w:val="nil"/>
              <w:bottom w:val="single" w:sz="4" w:space="0" w:color="auto"/>
              <w:right w:val="nil"/>
            </w:tcBorders>
            <w:shd w:val="clear" w:color="auto" w:fill="auto"/>
            <w:noWrap/>
            <w:hideMark/>
          </w:tcPr>
          <w:p w14:paraId="463B93CF" w14:textId="77777777" w:rsidR="00AD365D" w:rsidRPr="00487834" w:rsidRDefault="00AD365D" w:rsidP="001747B1">
            <w:pPr>
              <w:pStyle w:val="NoSpacing"/>
            </w:pPr>
            <w:r w:rsidRPr="00487834">
              <w:t>Q3</w:t>
            </w:r>
          </w:p>
        </w:tc>
        <w:tc>
          <w:tcPr>
            <w:tcW w:w="1060" w:type="dxa"/>
            <w:tcBorders>
              <w:top w:val="single" w:sz="4" w:space="0" w:color="auto"/>
              <w:left w:val="nil"/>
              <w:bottom w:val="single" w:sz="4" w:space="0" w:color="auto"/>
              <w:right w:val="nil"/>
            </w:tcBorders>
            <w:shd w:val="clear" w:color="auto" w:fill="auto"/>
            <w:noWrap/>
            <w:hideMark/>
          </w:tcPr>
          <w:p w14:paraId="76A24224" w14:textId="77777777" w:rsidR="00AD365D" w:rsidRPr="00487834" w:rsidRDefault="00AD365D" w:rsidP="001747B1">
            <w:pPr>
              <w:pStyle w:val="NoSpacing"/>
            </w:pPr>
            <w:r w:rsidRPr="00487834">
              <w:t>Max</w:t>
            </w:r>
          </w:p>
        </w:tc>
      </w:tr>
      <w:tr w:rsidR="00AD365D" w:rsidRPr="00487834" w14:paraId="4A5B068C" w14:textId="77777777" w:rsidTr="001747B1">
        <w:trPr>
          <w:trHeight w:val="580"/>
          <w:jc w:val="center"/>
        </w:trPr>
        <w:tc>
          <w:tcPr>
            <w:tcW w:w="1180" w:type="dxa"/>
            <w:tcBorders>
              <w:top w:val="nil"/>
              <w:left w:val="nil"/>
              <w:bottom w:val="nil"/>
              <w:right w:val="nil"/>
            </w:tcBorders>
            <w:shd w:val="clear" w:color="auto" w:fill="auto"/>
            <w:noWrap/>
            <w:vAlign w:val="center"/>
            <w:hideMark/>
          </w:tcPr>
          <w:p w14:paraId="561B6A69" w14:textId="77777777" w:rsidR="00AD365D" w:rsidRPr="00487834" w:rsidRDefault="00AD365D" w:rsidP="001747B1">
            <w:pPr>
              <w:pStyle w:val="NoSpacing"/>
              <w:rPr>
                <w:i/>
                <w:iCs/>
                <w:color w:val="000000"/>
              </w:rPr>
            </w:pPr>
            <w:r w:rsidRPr="00487834">
              <w:rPr>
                <w:i/>
                <w:iCs/>
                <w:color w:val="000000"/>
              </w:rPr>
              <w:t>ESG</w:t>
            </w:r>
          </w:p>
        </w:tc>
        <w:tc>
          <w:tcPr>
            <w:tcW w:w="1060" w:type="dxa"/>
            <w:tcBorders>
              <w:top w:val="nil"/>
              <w:left w:val="nil"/>
              <w:bottom w:val="nil"/>
              <w:right w:val="nil"/>
            </w:tcBorders>
            <w:shd w:val="clear" w:color="auto" w:fill="auto"/>
            <w:noWrap/>
            <w:vAlign w:val="center"/>
            <w:hideMark/>
          </w:tcPr>
          <w:p w14:paraId="74CE1F40" w14:textId="77777777" w:rsidR="00AD365D" w:rsidRPr="00487834" w:rsidRDefault="00AD365D" w:rsidP="001747B1">
            <w:pPr>
              <w:pStyle w:val="NoSpacing"/>
              <w:rPr>
                <w:color w:val="000000"/>
              </w:rPr>
            </w:pPr>
            <w:r w:rsidRPr="00487834">
              <w:rPr>
                <w:color w:val="000000"/>
              </w:rPr>
              <w:t>53.718</w:t>
            </w:r>
          </w:p>
        </w:tc>
        <w:tc>
          <w:tcPr>
            <w:tcW w:w="1060" w:type="dxa"/>
            <w:tcBorders>
              <w:top w:val="nil"/>
              <w:left w:val="nil"/>
              <w:bottom w:val="nil"/>
              <w:right w:val="nil"/>
            </w:tcBorders>
            <w:shd w:val="clear" w:color="auto" w:fill="auto"/>
            <w:noWrap/>
            <w:vAlign w:val="center"/>
            <w:hideMark/>
          </w:tcPr>
          <w:p w14:paraId="2291C3AD" w14:textId="77777777" w:rsidR="00AD365D" w:rsidRPr="00487834" w:rsidRDefault="00AD365D" w:rsidP="001747B1">
            <w:pPr>
              <w:pStyle w:val="NoSpacing"/>
              <w:rPr>
                <w:color w:val="000000"/>
              </w:rPr>
            </w:pPr>
            <w:r w:rsidRPr="00487834">
              <w:rPr>
                <w:color w:val="000000"/>
              </w:rPr>
              <w:t>20.510</w:t>
            </w:r>
          </w:p>
        </w:tc>
        <w:tc>
          <w:tcPr>
            <w:tcW w:w="1060" w:type="dxa"/>
            <w:tcBorders>
              <w:top w:val="nil"/>
              <w:left w:val="nil"/>
              <w:bottom w:val="nil"/>
              <w:right w:val="nil"/>
            </w:tcBorders>
            <w:shd w:val="clear" w:color="auto" w:fill="auto"/>
            <w:noWrap/>
            <w:vAlign w:val="center"/>
            <w:hideMark/>
          </w:tcPr>
          <w:p w14:paraId="4D0C8D34" w14:textId="77777777" w:rsidR="00AD365D" w:rsidRPr="00487834" w:rsidRDefault="00AD365D" w:rsidP="001747B1">
            <w:pPr>
              <w:pStyle w:val="NoSpacing"/>
              <w:rPr>
                <w:color w:val="000000"/>
              </w:rPr>
            </w:pPr>
            <w:r w:rsidRPr="00487834">
              <w:rPr>
                <w:color w:val="000000"/>
              </w:rPr>
              <w:t>551</w:t>
            </w:r>
          </w:p>
        </w:tc>
        <w:tc>
          <w:tcPr>
            <w:tcW w:w="1060" w:type="dxa"/>
            <w:tcBorders>
              <w:top w:val="nil"/>
              <w:left w:val="nil"/>
              <w:bottom w:val="nil"/>
              <w:right w:val="nil"/>
            </w:tcBorders>
            <w:shd w:val="clear" w:color="auto" w:fill="auto"/>
            <w:noWrap/>
            <w:vAlign w:val="center"/>
            <w:hideMark/>
          </w:tcPr>
          <w:p w14:paraId="7591D70F" w14:textId="77777777" w:rsidR="00AD365D" w:rsidRPr="00487834" w:rsidRDefault="00AD365D" w:rsidP="001747B1">
            <w:pPr>
              <w:pStyle w:val="NoSpacing"/>
              <w:rPr>
                <w:color w:val="000000"/>
              </w:rPr>
            </w:pPr>
            <w:r w:rsidRPr="00487834">
              <w:rPr>
                <w:color w:val="000000"/>
              </w:rPr>
              <w:t>1.283</w:t>
            </w:r>
          </w:p>
        </w:tc>
        <w:tc>
          <w:tcPr>
            <w:tcW w:w="1060" w:type="dxa"/>
            <w:tcBorders>
              <w:top w:val="nil"/>
              <w:left w:val="nil"/>
              <w:bottom w:val="nil"/>
              <w:right w:val="nil"/>
            </w:tcBorders>
            <w:shd w:val="clear" w:color="auto" w:fill="auto"/>
            <w:noWrap/>
            <w:vAlign w:val="center"/>
            <w:hideMark/>
          </w:tcPr>
          <w:p w14:paraId="76F44C1D" w14:textId="77777777" w:rsidR="00AD365D" w:rsidRPr="00487834" w:rsidRDefault="00AD365D" w:rsidP="001747B1">
            <w:pPr>
              <w:pStyle w:val="NoSpacing"/>
              <w:rPr>
                <w:color w:val="000000"/>
              </w:rPr>
            </w:pPr>
            <w:r w:rsidRPr="00487834">
              <w:rPr>
                <w:color w:val="000000"/>
              </w:rPr>
              <w:t>40.750</w:t>
            </w:r>
          </w:p>
        </w:tc>
        <w:tc>
          <w:tcPr>
            <w:tcW w:w="1080" w:type="dxa"/>
            <w:tcBorders>
              <w:top w:val="nil"/>
              <w:left w:val="nil"/>
              <w:bottom w:val="nil"/>
              <w:right w:val="nil"/>
            </w:tcBorders>
            <w:shd w:val="clear" w:color="auto" w:fill="auto"/>
            <w:noWrap/>
            <w:vAlign w:val="center"/>
            <w:hideMark/>
          </w:tcPr>
          <w:p w14:paraId="1518E382" w14:textId="77777777" w:rsidR="00AD365D" w:rsidRPr="00487834" w:rsidRDefault="00AD365D" w:rsidP="001747B1">
            <w:pPr>
              <w:pStyle w:val="NoSpacing"/>
              <w:rPr>
                <w:color w:val="000000"/>
              </w:rPr>
            </w:pPr>
            <w:r w:rsidRPr="00487834">
              <w:rPr>
                <w:color w:val="000000"/>
              </w:rPr>
              <w:t>55.903</w:t>
            </w:r>
          </w:p>
        </w:tc>
        <w:tc>
          <w:tcPr>
            <w:tcW w:w="1060" w:type="dxa"/>
            <w:tcBorders>
              <w:top w:val="nil"/>
              <w:left w:val="nil"/>
              <w:bottom w:val="nil"/>
              <w:right w:val="nil"/>
            </w:tcBorders>
            <w:shd w:val="clear" w:color="auto" w:fill="auto"/>
            <w:noWrap/>
            <w:vAlign w:val="center"/>
            <w:hideMark/>
          </w:tcPr>
          <w:p w14:paraId="76DCA626" w14:textId="77777777" w:rsidR="00AD365D" w:rsidRPr="00487834" w:rsidRDefault="00AD365D" w:rsidP="001747B1">
            <w:pPr>
              <w:pStyle w:val="NoSpacing"/>
              <w:rPr>
                <w:color w:val="000000"/>
              </w:rPr>
            </w:pPr>
            <w:r w:rsidRPr="00487834">
              <w:rPr>
                <w:color w:val="000000"/>
              </w:rPr>
              <w:t>69.974</w:t>
            </w:r>
          </w:p>
        </w:tc>
        <w:tc>
          <w:tcPr>
            <w:tcW w:w="1060" w:type="dxa"/>
            <w:tcBorders>
              <w:top w:val="nil"/>
              <w:left w:val="nil"/>
              <w:bottom w:val="nil"/>
              <w:right w:val="nil"/>
            </w:tcBorders>
            <w:shd w:val="clear" w:color="auto" w:fill="auto"/>
            <w:noWrap/>
            <w:vAlign w:val="center"/>
            <w:hideMark/>
          </w:tcPr>
          <w:p w14:paraId="09DEFB4A" w14:textId="77777777" w:rsidR="00AD365D" w:rsidRPr="00487834" w:rsidRDefault="00AD365D" w:rsidP="001747B1">
            <w:pPr>
              <w:pStyle w:val="NoSpacing"/>
              <w:rPr>
                <w:color w:val="000000"/>
              </w:rPr>
            </w:pPr>
            <w:r w:rsidRPr="00487834">
              <w:rPr>
                <w:color w:val="000000"/>
              </w:rPr>
              <w:t>91.316</w:t>
            </w:r>
          </w:p>
        </w:tc>
      </w:tr>
      <w:tr w:rsidR="00AD365D" w:rsidRPr="00487834" w14:paraId="4B9D10DF" w14:textId="77777777" w:rsidTr="001747B1">
        <w:trPr>
          <w:trHeight w:val="560"/>
          <w:jc w:val="center"/>
        </w:trPr>
        <w:tc>
          <w:tcPr>
            <w:tcW w:w="1180" w:type="dxa"/>
            <w:tcBorders>
              <w:top w:val="nil"/>
              <w:left w:val="nil"/>
              <w:bottom w:val="nil"/>
              <w:right w:val="nil"/>
            </w:tcBorders>
            <w:shd w:val="clear" w:color="auto" w:fill="auto"/>
            <w:noWrap/>
            <w:vAlign w:val="center"/>
            <w:hideMark/>
          </w:tcPr>
          <w:p w14:paraId="2116F956" w14:textId="77777777" w:rsidR="00AD365D" w:rsidRPr="00487834" w:rsidRDefault="00AD365D" w:rsidP="001747B1">
            <w:pPr>
              <w:pStyle w:val="NoSpacing"/>
              <w:rPr>
                <w:i/>
                <w:iCs/>
                <w:color w:val="000000"/>
              </w:rPr>
            </w:pPr>
            <w:r w:rsidRPr="00487834">
              <w:rPr>
                <w:i/>
                <w:iCs/>
                <w:color w:val="000000"/>
              </w:rPr>
              <w:t>MCAP</w:t>
            </w:r>
          </w:p>
        </w:tc>
        <w:tc>
          <w:tcPr>
            <w:tcW w:w="1060" w:type="dxa"/>
            <w:tcBorders>
              <w:top w:val="nil"/>
              <w:left w:val="nil"/>
              <w:bottom w:val="nil"/>
              <w:right w:val="nil"/>
            </w:tcBorders>
            <w:shd w:val="clear" w:color="auto" w:fill="auto"/>
            <w:noWrap/>
            <w:vAlign w:val="center"/>
            <w:hideMark/>
          </w:tcPr>
          <w:p w14:paraId="09680EDE" w14:textId="77777777" w:rsidR="00AD365D" w:rsidRPr="00487834" w:rsidRDefault="00AD365D" w:rsidP="001747B1">
            <w:pPr>
              <w:pStyle w:val="NoSpacing"/>
              <w:rPr>
                <w:color w:val="000000"/>
              </w:rPr>
            </w:pPr>
            <w:r w:rsidRPr="00487834">
              <w:rPr>
                <w:color w:val="000000"/>
              </w:rPr>
              <w:t>21.691</w:t>
            </w:r>
          </w:p>
        </w:tc>
        <w:tc>
          <w:tcPr>
            <w:tcW w:w="1060" w:type="dxa"/>
            <w:tcBorders>
              <w:top w:val="nil"/>
              <w:left w:val="nil"/>
              <w:bottom w:val="nil"/>
              <w:right w:val="nil"/>
            </w:tcBorders>
            <w:shd w:val="clear" w:color="auto" w:fill="auto"/>
            <w:noWrap/>
            <w:vAlign w:val="center"/>
            <w:hideMark/>
          </w:tcPr>
          <w:p w14:paraId="780F1E15" w14:textId="77777777" w:rsidR="00AD365D" w:rsidRPr="00487834" w:rsidRDefault="00AD365D" w:rsidP="001747B1">
            <w:pPr>
              <w:pStyle w:val="NoSpacing"/>
              <w:rPr>
                <w:color w:val="000000"/>
              </w:rPr>
            </w:pPr>
            <w:r w:rsidRPr="00487834">
              <w:rPr>
                <w:color w:val="000000"/>
              </w:rPr>
              <w:t>1.201</w:t>
            </w:r>
          </w:p>
        </w:tc>
        <w:tc>
          <w:tcPr>
            <w:tcW w:w="1060" w:type="dxa"/>
            <w:tcBorders>
              <w:top w:val="nil"/>
              <w:left w:val="nil"/>
              <w:bottom w:val="nil"/>
              <w:right w:val="nil"/>
            </w:tcBorders>
            <w:shd w:val="clear" w:color="auto" w:fill="auto"/>
            <w:noWrap/>
            <w:vAlign w:val="center"/>
            <w:hideMark/>
          </w:tcPr>
          <w:p w14:paraId="7701F7BF" w14:textId="77777777" w:rsidR="00AD365D" w:rsidRPr="00487834" w:rsidRDefault="00AD365D" w:rsidP="001747B1">
            <w:pPr>
              <w:pStyle w:val="NoSpacing"/>
              <w:rPr>
                <w:color w:val="000000"/>
              </w:rPr>
            </w:pPr>
            <w:r w:rsidRPr="00487834">
              <w:rPr>
                <w:color w:val="000000"/>
              </w:rPr>
              <w:t>551</w:t>
            </w:r>
          </w:p>
        </w:tc>
        <w:tc>
          <w:tcPr>
            <w:tcW w:w="1060" w:type="dxa"/>
            <w:tcBorders>
              <w:top w:val="nil"/>
              <w:left w:val="nil"/>
              <w:bottom w:val="nil"/>
              <w:right w:val="nil"/>
            </w:tcBorders>
            <w:shd w:val="clear" w:color="auto" w:fill="auto"/>
            <w:noWrap/>
            <w:vAlign w:val="center"/>
            <w:hideMark/>
          </w:tcPr>
          <w:p w14:paraId="218A5ECA" w14:textId="77777777" w:rsidR="00AD365D" w:rsidRPr="00487834" w:rsidRDefault="00AD365D" w:rsidP="001747B1">
            <w:pPr>
              <w:pStyle w:val="NoSpacing"/>
              <w:rPr>
                <w:color w:val="000000"/>
              </w:rPr>
            </w:pPr>
            <w:r w:rsidRPr="00487834">
              <w:rPr>
                <w:color w:val="000000"/>
              </w:rPr>
              <w:t>19</w:t>
            </w:r>
          </w:p>
        </w:tc>
        <w:tc>
          <w:tcPr>
            <w:tcW w:w="1060" w:type="dxa"/>
            <w:tcBorders>
              <w:top w:val="nil"/>
              <w:left w:val="nil"/>
              <w:bottom w:val="nil"/>
              <w:right w:val="nil"/>
            </w:tcBorders>
            <w:shd w:val="clear" w:color="auto" w:fill="auto"/>
            <w:noWrap/>
            <w:vAlign w:val="center"/>
            <w:hideMark/>
          </w:tcPr>
          <w:p w14:paraId="54631D5C" w14:textId="77777777" w:rsidR="00AD365D" w:rsidRPr="00487834" w:rsidRDefault="00AD365D" w:rsidP="001747B1">
            <w:pPr>
              <w:pStyle w:val="NoSpacing"/>
              <w:rPr>
                <w:color w:val="000000"/>
              </w:rPr>
            </w:pPr>
            <w:r w:rsidRPr="00487834">
              <w:rPr>
                <w:color w:val="000000"/>
              </w:rPr>
              <w:t>20.878</w:t>
            </w:r>
          </w:p>
        </w:tc>
        <w:tc>
          <w:tcPr>
            <w:tcW w:w="1080" w:type="dxa"/>
            <w:tcBorders>
              <w:top w:val="nil"/>
              <w:left w:val="nil"/>
              <w:bottom w:val="nil"/>
              <w:right w:val="nil"/>
            </w:tcBorders>
            <w:shd w:val="clear" w:color="auto" w:fill="auto"/>
            <w:noWrap/>
            <w:vAlign w:val="center"/>
            <w:hideMark/>
          </w:tcPr>
          <w:p w14:paraId="796A322D" w14:textId="77777777" w:rsidR="00AD365D" w:rsidRPr="00487834" w:rsidRDefault="00AD365D" w:rsidP="001747B1">
            <w:pPr>
              <w:pStyle w:val="NoSpacing"/>
              <w:rPr>
                <w:color w:val="000000"/>
              </w:rPr>
            </w:pPr>
            <w:r w:rsidRPr="00487834">
              <w:rPr>
                <w:color w:val="000000"/>
              </w:rPr>
              <w:t>21.860</w:t>
            </w:r>
          </w:p>
        </w:tc>
        <w:tc>
          <w:tcPr>
            <w:tcW w:w="1060" w:type="dxa"/>
            <w:tcBorders>
              <w:top w:val="nil"/>
              <w:left w:val="nil"/>
              <w:bottom w:val="nil"/>
              <w:right w:val="nil"/>
            </w:tcBorders>
            <w:shd w:val="clear" w:color="auto" w:fill="auto"/>
            <w:noWrap/>
            <w:vAlign w:val="center"/>
            <w:hideMark/>
          </w:tcPr>
          <w:p w14:paraId="7A13EDCB" w14:textId="77777777" w:rsidR="00AD365D" w:rsidRPr="00487834" w:rsidRDefault="00AD365D" w:rsidP="001747B1">
            <w:pPr>
              <w:pStyle w:val="NoSpacing"/>
              <w:rPr>
                <w:color w:val="000000"/>
              </w:rPr>
            </w:pPr>
            <w:r w:rsidRPr="00487834">
              <w:rPr>
                <w:color w:val="000000"/>
              </w:rPr>
              <w:t>22.476</w:t>
            </w:r>
          </w:p>
        </w:tc>
        <w:tc>
          <w:tcPr>
            <w:tcW w:w="1060" w:type="dxa"/>
            <w:tcBorders>
              <w:top w:val="nil"/>
              <w:left w:val="nil"/>
              <w:bottom w:val="nil"/>
              <w:right w:val="nil"/>
            </w:tcBorders>
            <w:shd w:val="clear" w:color="auto" w:fill="auto"/>
            <w:noWrap/>
            <w:vAlign w:val="center"/>
            <w:hideMark/>
          </w:tcPr>
          <w:p w14:paraId="699671EA" w14:textId="77777777" w:rsidR="00AD365D" w:rsidRPr="00487834" w:rsidRDefault="00AD365D" w:rsidP="001747B1">
            <w:pPr>
              <w:pStyle w:val="NoSpacing"/>
              <w:rPr>
                <w:color w:val="000000"/>
              </w:rPr>
            </w:pPr>
            <w:r w:rsidRPr="00487834">
              <w:rPr>
                <w:color w:val="000000"/>
              </w:rPr>
              <w:t>24.984</w:t>
            </w:r>
          </w:p>
        </w:tc>
      </w:tr>
      <w:tr w:rsidR="00AD365D" w:rsidRPr="00487834" w14:paraId="4C1E0DE4" w14:textId="77777777" w:rsidTr="001747B1">
        <w:trPr>
          <w:trHeight w:val="560"/>
          <w:jc w:val="center"/>
        </w:trPr>
        <w:tc>
          <w:tcPr>
            <w:tcW w:w="1180" w:type="dxa"/>
            <w:tcBorders>
              <w:top w:val="nil"/>
              <w:left w:val="nil"/>
              <w:bottom w:val="nil"/>
              <w:right w:val="nil"/>
            </w:tcBorders>
            <w:shd w:val="clear" w:color="auto" w:fill="auto"/>
            <w:noWrap/>
            <w:vAlign w:val="center"/>
            <w:hideMark/>
          </w:tcPr>
          <w:p w14:paraId="639D264F" w14:textId="77777777" w:rsidR="00AD365D" w:rsidRPr="00487834" w:rsidRDefault="00AD365D" w:rsidP="001747B1">
            <w:pPr>
              <w:pStyle w:val="NoSpacing"/>
              <w:rPr>
                <w:i/>
                <w:iCs/>
                <w:color w:val="000000"/>
              </w:rPr>
            </w:pPr>
            <w:r w:rsidRPr="00487834">
              <w:rPr>
                <w:i/>
                <w:iCs/>
                <w:color w:val="000000"/>
              </w:rPr>
              <w:t>PE</w:t>
            </w:r>
          </w:p>
        </w:tc>
        <w:tc>
          <w:tcPr>
            <w:tcW w:w="1060" w:type="dxa"/>
            <w:tcBorders>
              <w:top w:val="nil"/>
              <w:left w:val="nil"/>
              <w:bottom w:val="nil"/>
              <w:right w:val="nil"/>
            </w:tcBorders>
            <w:shd w:val="clear" w:color="auto" w:fill="auto"/>
            <w:noWrap/>
            <w:vAlign w:val="center"/>
            <w:hideMark/>
          </w:tcPr>
          <w:p w14:paraId="1ED382BD" w14:textId="77777777" w:rsidR="00AD365D" w:rsidRPr="00487834" w:rsidRDefault="00AD365D" w:rsidP="001747B1">
            <w:pPr>
              <w:pStyle w:val="NoSpacing"/>
              <w:rPr>
                <w:color w:val="000000"/>
              </w:rPr>
            </w:pPr>
            <w:r w:rsidRPr="00487834">
              <w:rPr>
                <w:color w:val="000000"/>
              </w:rPr>
              <w:t>16.408</w:t>
            </w:r>
          </w:p>
        </w:tc>
        <w:tc>
          <w:tcPr>
            <w:tcW w:w="1060" w:type="dxa"/>
            <w:tcBorders>
              <w:top w:val="nil"/>
              <w:left w:val="nil"/>
              <w:bottom w:val="nil"/>
              <w:right w:val="nil"/>
            </w:tcBorders>
            <w:shd w:val="clear" w:color="auto" w:fill="auto"/>
            <w:noWrap/>
            <w:vAlign w:val="center"/>
            <w:hideMark/>
          </w:tcPr>
          <w:p w14:paraId="334B3E90" w14:textId="77777777" w:rsidR="00AD365D" w:rsidRPr="00487834" w:rsidRDefault="00AD365D" w:rsidP="001747B1">
            <w:pPr>
              <w:pStyle w:val="NoSpacing"/>
              <w:rPr>
                <w:color w:val="000000"/>
              </w:rPr>
            </w:pPr>
            <w:r w:rsidRPr="00487834">
              <w:rPr>
                <w:color w:val="000000"/>
              </w:rPr>
              <w:t>14.720</w:t>
            </w:r>
          </w:p>
        </w:tc>
        <w:tc>
          <w:tcPr>
            <w:tcW w:w="1060" w:type="dxa"/>
            <w:tcBorders>
              <w:top w:val="nil"/>
              <w:left w:val="nil"/>
              <w:bottom w:val="nil"/>
              <w:right w:val="nil"/>
            </w:tcBorders>
            <w:shd w:val="clear" w:color="auto" w:fill="auto"/>
            <w:noWrap/>
            <w:vAlign w:val="center"/>
            <w:hideMark/>
          </w:tcPr>
          <w:p w14:paraId="68ABF31A" w14:textId="77777777" w:rsidR="00AD365D" w:rsidRPr="00487834" w:rsidRDefault="00AD365D" w:rsidP="001747B1">
            <w:pPr>
              <w:pStyle w:val="NoSpacing"/>
              <w:rPr>
                <w:color w:val="000000"/>
              </w:rPr>
            </w:pPr>
            <w:r w:rsidRPr="00487834">
              <w:rPr>
                <w:color w:val="000000"/>
              </w:rPr>
              <w:t>551</w:t>
            </w:r>
          </w:p>
        </w:tc>
        <w:tc>
          <w:tcPr>
            <w:tcW w:w="1060" w:type="dxa"/>
            <w:tcBorders>
              <w:top w:val="nil"/>
              <w:left w:val="nil"/>
              <w:bottom w:val="nil"/>
              <w:right w:val="nil"/>
            </w:tcBorders>
            <w:shd w:val="clear" w:color="auto" w:fill="auto"/>
            <w:noWrap/>
            <w:vAlign w:val="center"/>
            <w:hideMark/>
          </w:tcPr>
          <w:p w14:paraId="279A0FA7" w14:textId="77777777" w:rsidR="00AD365D" w:rsidRPr="00487834" w:rsidRDefault="00AD365D" w:rsidP="001747B1">
            <w:pPr>
              <w:pStyle w:val="NoSpacing"/>
              <w:rPr>
                <w:color w:val="000000"/>
              </w:rPr>
            </w:pPr>
            <w:r w:rsidRPr="00487834">
              <w:rPr>
                <w:color w:val="000000"/>
              </w:rPr>
              <w:t>0.654</w:t>
            </w:r>
          </w:p>
        </w:tc>
        <w:tc>
          <w:tcPr>
            <w:tcW w:w="1060" w:type="dxa"/>
            <w:tcBorders>
              <w:top w:val="nil"/>
              <w:left w:val="nil"/>
              <w:bottom w:val="nil"/>
              <w:right w:val="nil"/>
            </w:tcBorders>
            <w:shd w:val="clear" w:color="auto" w:fill="auto"/>
            <w:noWrap/>
            <w:vAlign w:val="center"/>
            <w:hideMark/>
          </w:tcPr>
          <w:p w14:paraId="5C574006" w14:textId="77777777" w:rsidR="00AD365D" w:rsidRPr="00487834" w:rsidRDefault="00AD365D" w:rsidP="001747B1">
            <w:pPr>
              <w:pStyle w:val="NoSpacing"/>
              <w:rPr>
                <w:color w:val="000000"/>
              </w:rPr>
            </w:pPr>
            <w:r w:rsidRPr="00487834">
              <w:rPr>
                <w:color w:val="000000"/>
              </w:rPr>
              <w:t>6.190</w:t>
            </w:r>
          </w:p>
        </w:tc>
        <w:tc>
          <w:tcPr>
            <w:tcW w:w="1080" w:type="dxa"/>
            <w:tcBorders>
              <w:top w:val="nil"/>
              <w:left w:val="nil"/>
              <w:bottom w:val="nil"/>
              <w:right w:val="nil"/>
            </w:tcBorders>
            <w:shd w:val="clear" w:color="auto" w:fill="auto"/>
            <w:noWrap/>
            <w:vAlign w:val="center"/>
            <w:hideMark/>
          </w:tcPr>
          <w:p w14:paraId="1A401587" w14:textId="77777777" w:rsidR="00AD365D" w:rsidRPr="00487834" w:rsidRDefault="00AD365D" w:rsidP="001747B1">
            <w:pPr>
              <w:pStyle w:val="NoSpacing"/>
              <w:rPr>
                <w:color w:val="000000"/>
              </w:rPr>
            </w:pPr>
            <w:r w:rsidRPr="00487834">
              <w:rPr>
                <w:color w:val="000000"/>
              </w:rPr>
              <w:t>11.715</w:t>
            </w:r>
          </w:p>
        </w:tc>
        <w:tc>
          <w:tcPr>
            <w:tcW w:w="1060" w:type="dxa"/>
            <w:tcBorders>
              <w:top w:val="nil"/>
              <w:left w:val="nil"/>
              <w:bottom w:val="nil"/>
              <w:right w:val="nil"/>
            </w:tcBorders>
            <w:shd w:val="clear" w:color="auto" w:fill="auto"/>
            <w:noWrap/>
            <w:vAlign w:val="center"/>
            <w:hideMark/>
          </w:tcPr>
          <w:p w14:paraId="27868C60" w14:textId="77777777" w:rsidR="00AD365D" w:rsidRPr="00487834" w:rsidRDefault="00AD365D" w:rsidP="001747B1">
            <w:pPr>
              <w:pStyle w:val="NoSpacing"/>
              <w:rPr>
                <w:color w:val="000000"/>
              </w:rPr>
            </w:pPr>
            <w:r w:rsidRPr="00487834">
              <w:rPr>
                <w:color w:val="000000"/>
              </w:rPr>
              <w:t>20.809</w:t>
            </w:r>
          </w:p>
        </w:tc>
        <w:tc>
          <w:tcPr>
            <w:tcW w:w="1060" w:type="dxa"/>
            <w:tcBorders>
              <w:top w:val="nil"/>
              <w:left w:val="nil"/>
              <w:bottom w:val="nil"/>
              <w:right w:val="nil"/>
            </w:tcBorders>
            <w:shd w:val="clear" w:color="auto" w:fill="auto"/>
            <w:noWrap/>
            <w:vAlign w:val="center"/>
            <w:hideMark/>
          </w:tcPr>
          <w:p w14:paraId="6FC3F86B" w14:textId="77777777" w:rsidR="00AD365D" w:rsidRPr="00487834" w:rsidRDefault="00AD365D" w:rsidP="001747B1">
            <w:pPr>
              <w:pStyle w:val="NoSpacing"/>
              <w:rPr>
                <w:color w:val="000000"/>
              </w:rPr>
            </w:pPr>
            <w:r w:rsidRPr="00487834">
              <w:rPr>
                <w:color w:val="000000"/>
              </w:rPr>
              <w:t>89.039</w:t>
            </w:r>
          </w:p>
        </w:tc>
      </w:tr>
      <w:tr w:rsidR="00AD365D" w:rsidRPr="00487834" w14:paraId="572EAF9B" w14:textId="77777777" w:rsidTr="001747B1">
        <w:trPr>
          <w:trHeight w:val="560"/>
          <w:jc w:val="center"/>
        </w:trPr>
        <w:tc>
          <w:tcPr>
            <w:tcW w:w="1180" w:type="dxa"/>
            <w:tcBorders>
              <w:top w:val="nil"/>
              <w:left w:val="nil"/>
              <w:bottom w:val="nil"/>
              <w:right w:val="nil"/>
            </w:tcBorders>
            <w:shd w:val="clear" w:color="auto" w:fill="auto"/>
            <w:noWrap/>
            <w:vAlign w:val="center"/>
            <w:hideMark/>
          </w:tcPr>
          <w:p w14:paraId="3807C8C2" w14:textId="77777777" w:rsidR="00AD365D" w:rsidRPr="00487834" w:rsidRDefault="00AD365D" w:rsidP="001747B1">
            <w:pPr>
              <w:pStyle w:val="NoSpacing"/>
              <w:rPr>
                <w:i/>
                <w:iCs/>
                <w:color w:val="000000"/>
              </w:rPr>
            </w:pPr>
            <w:r w:rsidRPr="00487834">
              <w:rPr>
                <w:i/>
                <w:iCs/>
                <w:color w:val="000000"/>
              </w:rPr>
              <w:t>MTB</w:t>
            </w:r>
          </w:p>
        </w:tc>
        <w:tc>
          <w:tcPr>
            <w:tcW w:w="1060" w:type="dxa"/>
            <w:tcBorders>
              <w:top w:val="nil"/>
              <w:left w:val="nil"/>
              <w:bottom w:val="nil"/>
              <w:right w:val="nil"/>
            </w:tcBorders>
            <w:shd w:val="clear" w:color="auto" w:fill="auto"/>
            <w:noWrap/>
            <w:vAlign w:val="center"/>
            <w:hideMark/>
          </w:tcPr>
          <w:p w14:paraId="1DAD87A8" w14:textId="77777777" w:rsidR="00AD365D" w:rsidRPr="00487834" w:rsidRDefault="00AD365D" w:rsidP="001747B1">
            <w:pPr>
              <w:pStyle w:val="NoSpacing"/>
              <w:rPr>
                <w:color w:val="000000"/>
              </w:rPr>
            </w:pPr>
            <w:r w:rsidRPr="00487834">
              <w:rPr>
                <w:color w:val="000000"/>
              </w:rPr>
              <w:t>2.029</w:t>
            </w:r>
          </w:p>
        </w:tc>
        <w:tc>
          <w:tcPr>
            <w:tcW w:w="1060" w:type="dxa"/>
            <w:tcBorders>
              <w:top w:val="nil"/>
              <w:left w:val="nil"/>
              <w:bottom w:val="nil"/>
              <w:right w:val="nil"/>
            </w:tcBorders>
            <w:shd w:val="clear" w:color="auto" w:fill="auto"/>
            <w:noWrap/>
            <w:vAlign w:val="center"/>
            <w:hideMark/>
          </w:tcPr>
          <w:p w14:paraId="2539EEF5" w14:textId="77777777" w:rsidR="00AD365D" w:rsidRPr="00487834" w:rsidRDefault="00AD365D" w:rsidP="001747B1">
            <w:pPr>
              <w:pStyle w:val="NoSpacing"/>
              <w:rPr>
                <w:color w:val="000000"/>
              </w:rPr>
            </w:pPr>
            <w:r w:rsidRPr="00487834">
              <w:rPr>
                <w:color w:val="000000"/>
              </w:rPr>
              <w:t>1.568</w:t>
            </w:r>
          </w:p>
        </w:tc>
        <w:tc>
          <w:tcPr>
            <w:tcW w:w="1060" w:type="dxa"/>
            <w:tcBorders>
              <w:top w:val="nil"/>
              <w:left w:val="nil"/>
              <w:bottom w:val="nil"/>
              <w:right w:val="nil"/>
            </w:tcBorders>
            <w:shd w:val="clear" w:color="auto" w:fill="auto"/>
            <w:noWrap/>
            <w:vAlign w:val="center"/>
            <w:hideMark/>
          </w:tcPr>
          <w:p w14:paraId="3A90E5F3" w14:textId="77777777" w:rsidR="00AD365D" w:rsidRPr="00487834" w:rsidRDefault="00AD365D" w:rsidP="001747B1">
            <w:pPr>
              <w:pStyle w:val="NoSpacing"/>
              <w:rPr>
                <w:color w:val="000000"/>
              </w:rPr>
            </w:pPr>
            <w:r w:rsidRPr="00487834">
              <w:rPr>
                <w:color w:val="000000"/>
              </w:rPr>
              <w:t>551</w:t>
            </w:r>
          </w:p>
        </w:tc>
        <w:tc>
          <w:tcPr>
            <w:tcW w:w="1060" w:type="dxa"/>
            <w:tcBorders>
              <w:top w:val="nil"/>
              <w:left w:val="nil"/>
              <w:bottom w:val="nil"/>
              <w:right w:val="nil"/>
            </w:tcBorders>
            <w:shd w:val="clear" w:color="auto" w:fill="auto"/>
            <w:noWrap/>
            <w:vAlign w:val="center"/>
            <w:hideMark/>
          </w:tcPr>
          <w:p w14:paraId="63D276EA" w14:textId="77777777" w:rsidR="00AD365D" w:rsidRPr="00487834" w:rsidRDefault="00AD365D" w:rsidP="001747B1">
            <w:pPr>
              <w:pStyle w:val="NoSpacing"/>
              <w:rPr>
                <w:color w:val="000000"/>
              </w:rPr>
            </w:pPr>
            <w:r w:rsidRPr="00487834">
              <w:rPr>
                <w:color w:val="000000"/>
              </w:rPr>
              <w:t>0.055</w:t>
            </w:r>
          </w:p>
        </w:tc>
        <w:tc>
          <w:tcPr>
            <w:tcW w:w="1060" w:type="dxa"/>
            <w:tcBorders>
              <w:top w:val="nil"/>
              <w:left w:val="nil"/>
              <w:bottom w:val="nil"/>
              <w:right w:val="nil"/>
            </w:tcBorders>
            <w:shd w:val="clear" w:color="auto" w:fill="auto"/>
            <w:noWrap/>
            <w:vAlign w:val="center"/>
            <w:hideMark/>
          </w:tcPr>
          <w:p w14:paraId="1C28CE78" w14:textId="77777777" w:rsidR="00AD365D" w:rsidRPr="00487834" w:rsidRDefault="00AD365D" w:rsidP="001747B1">
            <w:pPr>
              <w:pStyle w:val="NoSpacing"/>
              <w:rPr>
                <w:color w:val="000000"/>
              </w:rPr>
            </w:pPr>
            <w:r w:rsidRPr="00487834">
              <w:rPr>
                <w:color w:val="000000"/>
              </w:rPr>
              <w:t>0.927</w:t>
            </w:r>
          </w:p>
        </w:tc>
        <w:tc>
          <w:tcPr>
            <w:tcW w:w="1080" w:type="dxa"/>
            <w:tcBorders>
              <w:top w:val="nil"/>
              <w:left w:val="nil"/>
              <w:bottom w:val="nil"/>
              <w:right w:val="nil"/>
            </w:tcBorders>
            <w:shd w:val="clear" w:color="auto" w:fill="auto"/>
            <w:noWrap/>
            <w:vAlign w:val="center"/>
            <w:hideMark/>
          </w:tcPr>
          <w:p w14:paraId="648594CD" w14:textId="77777777" w:rsidR="00AD365D" w:rsidRPr="00487834" w:rsidRDefault="00AD365D" w:rsidP="001747B1">
            <w:pPr>
              <w:pStyle w:val="NoSpacing"/>
              <w:rPr>
                <w:color w:val="000000"/>
              </w:rPr>
            </w:pPr>
            <w:r w:rsidRPr="00487834">
              <w:rPr>
                <w:color w:val="000000"/>
              </w:rPr>
              <w:t>1.666</w:t>
            </w:r>
          </w:p>
        </w:tc>
        <w:tc>
          <w:tcPr>
            <w:tcW w:w="1060" w:type="dxa"/>
            <w:tcBorders>
              <w:top w:val="nil"/>
              <w:left w:val="nil"/>
              <w:bottom w:val="nil"/>
              <w:right w:val="nil"/>
            </w:tcBorders>
            <w:shd w:val="clear" w:color="auto" w:fill="auto"/>
            <w:noWrap/>
            <w:vAlign w:val="center"/>
            <w:hideMark/>
          </w:tcPr>
          <w:p w14:paraId="73AA7A0D" w14:textId="77777777" w:rsidR="00AD365D" w:rsidRPr="00487834" w:rsidRDefault="00AD365D" w:rsidP="001747B1">
            <w:pPr>
              <w:pStyle w:val="NoSpacing"/>
              <w:rPr>
                <w:color w:val="000000"/>
              </w:rPr>
            </w:pPr>
            <w:r w:rsidRPr="00487834">
              <w:rPr>
                <w:color w:val="000000"/>
              </w:rPr>
              <w:t>2.557</w:t>
            </w:r>
          </w:p>
        </w:tc>
        <w:tc>
          <w:tcPr>
            <w:tcW w:w="1060" w:type="dxa"/>
            <w:tcBorders>
              <w:top w:val="nil"/>
              <w:left w:val="nil"/>
              <w:bottom w:val="nil"/>
              <w:right w:val="nil"/>
            </w:tcBorders>
            <w:shd w:val="clear" w:color="auto" w:fill="auto"/>
            <w:noWrap/>
            <w:vAlign w:val="center"/>
            <w:hideMark/>
          </w:tcPr>
          <w:p w14:paraId="6E192F0B" w14:textId="77777777" w:rsidR="00AD365D" w:rsidRPr="00487834" w:rsidRDefault="00AD365D" w:rsidP="001747B1">
            <w:pPr>
              <w:pStyle w:val="NoSpacing"/>
              <w:rPr>
                <w:color w:val="000000"/>
              </w:rPr>
            </w:pPr>
            <w:r w:rsidRPr="00487834">
              <w:rPr>
                <w:color w:val="000000"/>
              </w:rPr>
              <w:t>8.068</w:t>
            </w:r>
          </w:p>
        </w:tc>
      </w:tr>
      <w:tr w:rsidR="00AD365D" w:rsidRPr="00487834" w14:paraId="6E0FF571" w14:textId="77777777" w:rsidTr="001747B1">
        <w:trPr>
          <w:trHeight w:val="560"/>
          <w:jc w:val="center"/>
        </w:trPr>
        <w:tc>
          <w:tcPr>
            <w:tcW w:w="1180" w:type="dxa"/>
            <w:tcBorders>
              <w:top w:val="nil"/>
              <w:left w:val="nil"/>
              <w:bottom w:val="nil"/>
              <w:right w:val="nil"/>
            </w:tcBorders>
            <w:shd w:val="clear" w:color="auto" w:fill="auto"/>
            <w:noWrap/>
            <w:vAlign w:val="center"/>
            <w:hideMark/>
          </w:tcPr>
          <w:p w14:paraId="3513BBD4" w14:textId="77777777" w:rsidR="00AD365D" w:rsidRPr="00487834" w:rsidRDefault="00AD365D" w:rsidP="001747B1">
            <w:pPr>
              <w:pStyle w:val="NoSpacing"/>
              <w:rPr>
                <w:i/>
                <w:iCs/>
                <w:color w:val="000000"/>
              </w:rPr>
            </w:pPr>
            <w:r w:rsidRPr="00487834">
              <w:rPr>
                <w:i/>
                <w:iCs/>
                <w:color w:val="000000"/>
              </w:rPr>
              <w:t>BETA</w:t>
            </w:r>
          </w:p>
        </w:tc>
        <w:tc>
          <w:tcPr>
            <w:tcW w:w="1060" w:type="dxa"/>
            <w:tcBorders>
              <w:top w:val="nil"/>
              <w:left w:val="nil"/>
              <w:bottom w:val="nil"/>
              <w:right w:val="nil"/>
            </w:tcBorders>
            <w:shd w:val="clear" w:color="auto" w:fill="auto"/>
            <w:noWrap/>
            <w:vAlign w:val="center"/>
            <w:hideMark/>
          </w:tcPr>
          <w:p w14:paraId="51198AC8" w14:textId="77777777" w:rsidR="00AD365D" w:rsidRPr="00487834" w:rsidRDefault="00AD365D" w:rsidP="001747B1">
            <w:pPr>
              <w:pStyle w:val="NoSpacing"/>
              <w:rPr>
                <w:color w:val="000000"/>
              </w:rPr>
            </w:pPr>
            <w:r w:rsidRPr="00487834">
              <w:rPr>
                <w:color w:val="000000"/>
              </w:rPr>
              <w:t>0.920</w:t>
            </w:r>
          </w:p>
        </w:tc>
        <w:tc>
          <w:tcPr>
            <w:tcW w:w="1060" w:type="dxa"/>
            <w:tcBorders>
              <w:top w:val="nil"/>
              <w:left w:val="nil"/>
              <w:bottom w:val="nil"/>
              <w:right w:val="nil"/>
            </w:tcBorders>
            <w:shd w:val="clear" w:color="auto" w:fill="auto"/>
            <w:noWrap/>
            <w:vAlign w:val="center"/>
            <w:hideMark/>
          </w:tcPr>
          <w:p w14:paraId="5BEE0188" w14:textId="77777777" w:rsidR="00AD365D" w:rsidRPr="00487834" w:rsidRDefault="00AD365D" w:rsidP="001747B1">
            <w:pPr>
              <w:pStyle w:val="NoSpacing"/>
              <w:rPr>
                <w:color w:val="000000"/>
              </w:rPr>
            </w:pPr>
            <w:r w:rsidRPr="00487834">
              <w:rPr>
                <w:color w:val="000000"/>
              </w:rPr>
              <w:t>0.400</w:t>
            </w:r>
          </w:p>
        </w:tc>
        <w:tc>
          <w:tcPr>
            <w:tcW w:w="1060" w:type="dxa"/>
            <w:tcBorders>
              <w:top w:val="nil"/>
              <w:left w:val="nil"/>
              <w:bottom w:val="nil"/>
              <w:right w:val="nil"/>
            </w:tcBorders>
            <w:shd w:val="clear" w:color="auto" w:fill="auto"/>
            <w:noWrap/>
            <w:vAlign w:val="center"/>
            <w:hideMark/>
          </w:tcPr>
          <w:p w14:paraId="54BDA74E" w14:textId="77777777" w:rsidR="00AD365D" w:rsidRPr="00487834" w:rsidRDefault="00AD365D" w:rsidP="001747B1">
            <w:pPr>
              <w:pStyle w:val="NoSpacing"/>
              <w:rPr>
                <w:color w:val="000000"/>
              </w:rPr>
            </w:pPr>
            <w:r w:rsidRPr="00487834">
              <w:rPr>
                <w:color w:val="000000"/>
              </w:rPr>
              <w:t>551</w:t>
            </w:r>
          </w:p>
        </w:tc>
        <w:tc>
          <w:tcPr>
            <w:tcW w:w="1060" w:type="dxa"/>
            <w:tcBorders>
              <w:top w:val="nil"/>
              <w:left w:val="nil"/>
              <w:bottom w:val="nil"/>
              <w:right w:val="nil"/>
            </w:tcBorders>
            <w:shd w:val="clear" w:color="auto" w:fill="auto"/>
            <w:noWrap/>
            <w:vAlign w:val="center"/>
            <w:hideMark/>
          </w:tcPr>
          <w:p w14:paraId="0AC84091" w14:textId="77777777" w:rsidR="00AD365D" w:rsidRPr="00487834" w:rsidRDefault="00AD365D" w:rsidP="001747B1">
            <w:pPr>
              <w:pStyle w:val="NoSpacing"/>
              <w:rPr>
                <w:color w:val="000000"/>
              </w:rPr>
            </w:pPr>
            <w:r w:rsidRPr="00487834">
              <w:rPr>
                <w:color w:val="000000"/>
              </w:rPr>
              <w:t>-0.222</w:t>
            </w:r>
          </w:p>
        </w:tc>
        <w:tc>
          <w:tcPr>
            <w:tcW w:w="1060" w:type="dxa"/>
            <w:tcBorders>
              <w:top w:val="nil"/>
              <w:left w:val="nil"/>
              <w:bottom w:val="nil"/>
              <w:right w:val="nil"/>
            </w:tcBorders>
            <w:shd w:val="clear" w:color="auto" w:fill="auto"/>
            <w:noWrap/>
            <w:vAlign w:val="center"/>
            <w:hideMark/>
          </w:tcPr>
          <w:p w14:paraId="3F61BD5D" w14:textId="77777777" w:rsidR="00AD365D" w:rsidRPr="00487834" w:rsidRDefault="00AD365D" w:rsidP="001747B1">
            <w:pPr>
              <w:pStyle w:val="NoSpacing"/>
              <w:rPr>
                <w:color w:val="000000"/>
              </w:rPr>
            </w:pPr>
            <w:r w:rsidRPr="00487834">
              <w:rPr>
                <w:color w:val="000000"/>
              </w:rPr>
              <w:t>0.642</w:t>
            </w:r>
          </w:p>
        </w:tc>
        <w:tc>
          <w:tcPr>
            <w:tcW w:w="1080" w:type="dxa"/>
            <w:tcBorders>
              <w:top w:val="nil"/>
              <w:left w:val="nil"/>
              <w:bottom w:val="nil"/>
              <w:right w:val="nil"/>
            </w:tcBorders>
            <w:shd w:val="clear" w:color="auto" w:fill="auto"/>
            <w:noWrap/>
            <w:vAlign w:val="center"/>
            <w:hideMark/>
          </w:tcPr>
          <w:p w14:paraId="23AA6597" w14:textId="77777777" w:rsidR="00AD365D" w:rsidRPr="00487834" w:rsidRDefault="00AD365D" w:rsidP="001747B1">
            <w:pPr>
              <w:pStyle w:val="NoSpacing"/>
              <w:rPr>
                <w:color w:val="000000"/>
              </w:rPr>
            </w:pPr>
            <w:r w:rsidRPr="00487834">
              <w:rPr>
                <w:color w:val="000000"/>
              </w:rPr>
              <w:t>0.895</w:t>
            </w:r>
          </w:p>
        </w:tc>
        <w:tc>
          <w:tcPr>
            <w:tcW w:w="1060" w:type="dxa"/>
            <w:tcBorders>
              <w:top w:val="nil"/>
              <w:left w:val="nil"/>
              <w:bottom w:val="nil"/>
              <w:right w:val="nil"/>
            </w:tcBorders>
            <w:shd w:val="clear" w:color="auto" w:fill="auto"/>
            <w:noWrap/>
            <w:vAlign w:val="center"/>
            <w:hideMark/>
          </w:tcPr>
          <w:p w14:paraId="5B080C4C" w14:textId="77777777" w:rsidR="00AD365D" w:rsidRPr="00487834" w:rsidRDefault="00AD365D" w:rsidP="001747B1">
            <w:pPr>
              <w:pStyle w:val="NoSpacing"/>
              <w:rPr>
                <w:color w:val="000000"/>
              </w:rPr>
            </w:pPr>
            <w:r w:rsidRPr="00487834">
              <w:rPr>
                <w:color w:val="000000"/>
              </w:rPr>
              <w:t>1.157</w:t>
            </w:r>
          </w:p>
        </w:tc>
        <w:tc>
          <w:tcPr>
            <w:tcW w:w="1060" w:type="dxa"/>
            <w:tcBorders>
              <w:top w:val="nil"/>
              <w:left w:val="nil"/>
              <w:bottom w:val="nil"/>
              <w:right w:val="nil"/>
            </w:tcBorders>
            <w:shd w:val="clear" w:color="auto" w:fill="auto"/>
            <w:noWrap/>
            <w:vAlign w:val="center"/>
            <w:hideMark/>
          </w:tcPr>
          <w:p w14:paraId="5ECCB386" w14:textId="77777777" w:rsidR="00AD365D" w:rsidRPr="00487834" w:rsidRDefault="00AD365D" w:rsidP="001747B1">
            <w:pPr>
              <w:pStyle w:val="NoSpacing"/>
              <w:rPr>
                <w:color w:val="000000"/>
              </w:rPr>
            </w:pPr>
            <w:r w:rsidRPr="00487834">
              <w:rPr>
                <w:color w:val="000000"/>
              </w:rPr>
              <w:t>2.103</w:t>
            </w:r>
          </w:p>
        </w:tc>
      </w:tr>
      <w:tr w:rsidR="00AD365D" w:rsidRPr="00487834" w14:paraId="2BB3E0FF" w14:textId="77777777" w:rsidTr="001747B1">
        <w:trPr>
          <w:trHeight w:val="560"/>
          <w:jc w:val="center"/>
        </w:trPr>
        <w:tc>
          <w:tcPr>
            <w:tcW w:w="1180" w:type="dxa"/>
            <w:tcBorders>
              <w:top w:val="nil"/>
              <w:left w:val="nil"/>
              <w:bottom w:val="nil"/>
              <w:right w:val="nil"/>
            </w:tcBorders>
            <w:shd w:val="clear" w:color="auto" w:fill="auto"/>
            <w:noWrap/>
            <w:vAlign w:val="center"/>
            <w:hideMark/>
          </w:tcPr>
          <w:p w14:paraId="7547E11D" w14:textId="77777777" w:rsidR="00AD365D" w:rsidRPr="00487834" w:rsidRDefault="00AD365D" w:rsidP="001747B1">
            <w:pPr>
              <w:pStyle w:val="NoSpacing"/>
              <w:rPr>
                <w:i/>
                <w:iCs/>
                <w:color w:val="000000"/>
              </w:rPr>
            </w:pPr>
            <w:r w:rsidRPr="00487834">
              <w:rPr>
                <w:i/>
                <w:iCs/>
                <w:color w:val="000000"/>
              </w:rPr>
              <w:t>ROE</w:t>
            </w:r>
          </w:p>
        </w:tc>
        <w:tc>
          <w:tcPr>
            <w:tcW w:w="1060" w:type="dxa"/>
            <w:tcBorders>
              <w:top w:val="nil"/>
              <w:left w:val="nil"/>
              <w:bottom w:val="nil"/>
              <w:right w:val="nil"/>
            </w:tcBorders>
            <w:shd w:val="clear" w:color="auto" w:fill="auto"/>
            <w:noWrap/>
            <w:vAlign w:val="center"/>
            <w:hideMark/>
          </w:tcPr>
          <w:p w14:paraId="6194197B" w14:textId="77777777" w:rsidR="00AD365D" w:rsidRPr="00487834" w:rsidRDefault="00AD365D" w:rsidP="001747B1">
            <w:pPr>
              <w:pStyle w:val="NoSpacing"/>
              <w:rPr>
                <w:color w:val="000000"/>
              </w:rPr>
            </w:pPr>
            <w:r w:rsidRPr="00487834">
              <w:rPr>
                <w:color w:val="000000"/>
              </w:rPr>
              <w:t>0.107</w:t>
            </w:r>
          </w:p>
        </w:tc>
        <w:tc>
          <w:tcPr>
            <w:tcW w:w="1060" w:type="dxa"/>
            <w:tcBorders>
              <w:top w:val="nil"/>
              <w:left w:val="nil"/>
              <w:bottom w:val="nil"/>
              <w:right w:val="nil"/>
            </w:tcBorders>
            <w:shd w:val="clear" w:color="auto" w:fill="auto"/>
            <w:noWrap/>
            <w:vAlign w:val="center"/>
            <w:hideMark/>
          </w:tcPr>
          <w:p w14:paraId="09A27EF2" w14:textId="77777777" w:rsidR="00AD365D" w:rsidRPr="00487834" w:rsidRDefault="00AD365D" w:rsidP="001747B1">
            <w:pPr>
              <w:pStyle w:val="NoSpacing"/>
              <w:rPr>
                <w:color w:val="000000"/>
              </w:rPr>
            </w:pPr>
            <w:r w:rsidRPr="00487834">
              <w:rPr>
                <w:color w:val="000000"/>
              </w:rPr>
              <w:t>0.178</w:t>
            </w:r>
          </w:p>
        </w:tc>
        <w:tc>
          <w:tcPr>
            <w:tcW w:w="1060" w:type="dxa"/>
            <w:tcBorders>
              <w:top w:val="nil"/>
              <w:left w:val="nil"/>
              <w:bottom w:val="nil"/>
              <w:right w:val="nil"/>
            </w:tcBorders>
            <w:shd w:val="clear" w:color="auto" w:fill="auto"/>
            <w:noWrap/>
            <w:vAlign w:val="center"/>
            <w:hideMark/>
          </w:tcPr>
          <w:p w14:paraId="39ECB5AC" w14:textId="77777777" w:rsidR="00AD365D" w:rsidRPr="00487834" w:rsidRDefault="00AD365D" w:rsidP="001747B1">
            <w:pPr>
              <w:pStyle w:val="NoSpacing"/>
              <w:rPr>
                <w:color w:val="000000"/>
              </w:rPr>
            </w:pPr>
            <w:r w:rsidRPr="00487834">
              <w:rPr>
                <w:color w:val="000000"/>
              </w:rPr>
              <w:t>551</w:t>
            </w:r>
          </w:p>
        </w:tc>
        <w:tc>
          <w:tcPr>
            <w:tcW w:w="1060" w:type="dxa"/>
            <w:tcBorders>
              <w:top w:val="nil"/>
              <w:left w:val="nil"/>
              <w:bottom w:val="nil"/>
              <w:right w:val="nil"/>
            </w:tcBorders>
            <w:shd w:val="clear" w:color="auto" w:fill="auto"/>
            <w:noWrap/>
            <w:vAlign w:val="center"/>
            <w:hideMark/>
          </w:tcPr>
          <w:p w14:paraId="49026452" w14:textId="77777777" w:rsidR="00AD365D" w:rsidRPr="00487834" w:rsidRDefault="00AD365D" w:rsidP="001747B1">
            <w:pPr>
              <w:pStyle w:val="NoSpacing"/>
              <w:rPr>
                <w:color w:val="000000"/>
              </w:rPr>
            </w:pPr>
            <w:r w:rsidRPr="00487834">
              <w:rPr>
                <w:color w:val="000000"/>
              </w:rPr>
              <w:t>-0.898</w:t>
            </w:r>
          </w:p>
        </w:tc>
        <w:tc>
          <w:tcPr>
            <w:tcW w:w="1060" w:type="dxa"/>
            <w:tcBorders>
              <w:top w:val="nil"/>
              <w:left w:val="nil"/>
              <w:bottom w:val="nil"/>
              <w:right w:val="nil"/>
            </w:tcBorders>
            <w:shd w:val="clear" w:color="auto" w:fill="auto"/>
            <w:noWrap/>
            <w:vAlign w:val="center"/>
            <w:hideMark/>
          </w:tcPr>
          <w:p w14:paraId="7BCF79A6" w14:textId="77777777" w:rsidR="00AD365D" w:rsidRPr="00487834" w:rsidRDefault="00AD365D" w:rsidP="001747B1">
            <w:pPr>
              <w:pStyle w:val="NoSpacing"/>
              <w:rPr>
                <w:color w:val="000000"/>
              </w:rPr>
            </w:pPr>
            <w:r w:rsidRPr="00487834">
              <w:rPr>
                <w:color w:val="000000"/>
              </w:rPr>
              <w:t>0</w:t>
            </w:r>
          </w:p>
        </w:tc>
        <w:tc>
          <w:tcPr>
            <w:tcW w:w="1080" w:type="dxa"/>
            <w:tcBorders>
              <w:top w:val="nil"/>
              <w:left w:val="nil"/>
              <w:bottom w:val="nil"/>
              <w:right w:val="nil"/>
            </w:tcBorders>
            <w:shd w:val="clear" w:color="auto" w:fill="auto"/>
            <w:noWrap/>
            <w:vAlign w:val="center"/>
            <w:hideMark/>
          </w:tcPr>
          <w:p w14:paraId="617AC9AB" w14:textId="77777777" w:rsidR="00AD365D" w:rsidRPr="00487834" w:rsidRDefault="00AD365D" w:rsidP="001747B1">
            <w:pPr>
              <w:pStyle w:val="NoSpacing"/>
              <w:rPr>
                <w:color w:val="000000"/>
              </w:rPr>
            </w:pPr>
            <w:r w:rsidRPr="00487834">
              <w:rPr>
                <w:color w:val="000000"/>
              </w:rPr>
              <w:t>0.120</w:t>
            </w:r>
          </w:p>
        </w:tc>
        <w:tc>
          <w:tcPr>
            <w:tcW w:w="1060" w:type="dxa"/>
            <w:tcBorders>
              <w:top w:val="nil"/>
              <w:left w:val="nil"/>
              <w:bottom w:val="nil"/>
              <w:right w:val="nil"/>
            </w:tcBorders>
            <w:shd w:val="clear" w:color="auto" w:fill="auto"/>
            <w:noWrap/>
            <w:vAlign w:val="center"/>
            <w:hideMark/>
          </w:tcPr>
          <w:p w14:paraId="3E978268" w14:textId="77777777" w:rsidR="00AD365D" w:rsidRPr="00487834" w:rsidRDefault="00AD365D" w:rsidP="001747B1">
            <w:pPr>
              <w:pStyle w:val="NoSpacing"/>
              <w:rPr>
                <w:color w:val="000000"/>
              </w:rPr>
            </w:pPr>
            <w:r w:rsidRPr="00487834">
              <w:rPr>
                <w:color w:val="000000"/>
              </w:rPr>
              <w:t>0.184</w:t>
            </w:r>
          </w:p>
        </w:tc>
        <w:tc>
          <w:tcPr>
            <w:tcW w:w="1060" w:type="dxa"/>
            <w:tcBorders>
              <w:top w:val="nil"/>
              <w:left w:val="nil"/>
              <w:bottom w:val="nil"/>
              <w:right w:val="nil"/>
            </w:tcBorders>
            <w:shd w:val="clear" w:color="auto" w:fill="auto"/>
            <w:noWrap/>
            <w:vAlign w:val="center"/>
            <w:hideMark/>
          </w:tcPr>
          <w:p w14:paraId="5572AF17" w14:textId="77777777" w:rsidR="00AD365D" w:rsidRPr="00487834" w:rsidRDefault="00AD365D" w:rsidP="001747B1">
            <w:pPr>
              <w:pStyle w:val="NoSpacing"/>
              <w:rPr>
                <w:color w:val="000000"/>
              </w:rPr>
            </w:pPr>
            <w:r w:rsidRPr="00487834">
              <w:rPr>
                <w:color w:val="000000"/>
              </w:rPr>
              <w:t>1.018</w:t>
            </w:r>
          </w:p>
        </w:tc>
      </w:tr>
      <w:tr w:rsidR="00AD365D" w:rsidRPr="00487834" w14:paraId="76C6A47D" w14:textId="77777777" w:rsidTr="001747B1">
        <w:trPr>
          <w:trHeight w:val="520"/>
          <w:jc w:val="center"/>
        </w:trPr>
        <w:tc>
          <w:tcPr>
            <w:tcW w:w="1180" w:type="dxa"/>
            <w:tcBorders>
              <w:top w:val="nil"/>
              <w:left w:val="nil"/>
              <w:bottom w:val="single" w:sz="4" w:space="0" w:color="auto"/>
              <w:right w:val="nil"/>
            </w:tcBorders>
            <w:shd w:val="clear" w:color="auto" w:fill="auto"/>
            <w:noWrap/>
            <w:vAlign w:val="center"/>
            <w:hideMark/>
          </w:tcPr>
          <w:p w14:paraId="2ECB4FBC" w14:textId="77777777" w:rsidR="00AD365D" w:rsidRPr="00487834" w:rsidRDefault="00AD365D" w:rsidP="001747B1">
            <w:pPr>
              <w:pStyle w:val="NoSpacing"/>
              <w:rPr>
                <w:i/>
                <w:iCs/>
              </w:rPr>
            </w:pPr>
            <w:r w:rsidRPr="00487834">
              <w:rPr>
                <w:i/>
                <w:iCs/>
              </w:rPr>
              <w:t>EV/EBITDA</w:t>
            </w:r>
          </w:p>
        </w:tc>
        <w:tc>
          <w:tcPr>
            <w:tcW w:w="1060" w:type="dxa"/>
            <w:tcBorders>
              <w:top w:val="nil"/>
              <w:left w:val="nil"/>
              <w:bottom w:val="single" w:sz="4" w:space="0" w:color="auto"/>
              <w:right w:val="nil"/>
            </w:tcBorders>
            <w:shd w:val="clear" w:color="auto" w:fill="auto"/>
            <w:noWrap/>
            <w:vAlign w:val="center"/>
            <w:hideMark/>
          </w:tcPr>
          <w:p w14:paraId="48BEA282" w14:textId="77777777" w:rsidR="00AD365D" w:rsidRPr="00487834" w:rsidRDefault="00AD365D" w:rsidP="001747B1">
            <w:pPr>
              <w:pStyle w:val="NoSpacing"/>
              <w:rPr>
                <w:color w:val="000000"/>
              </w:rPr>
            </w:pPr>
            <w:r w:rsidRPr="00487834">
              <w:rPr>
                <w:color w:val="000000"/>
              </w:rPr>
              <w:t>8.337</w:t>
            </w:r>
          </w:p>
        </w:tc>
        <w:tc>
          <w:tcPr>
            <w:tcW w:w="1060" w:type="dxa"/>
            <w:tcBorders>
              <w:top w:val="nil"/>
              <w:left w:val="nil"/>
              <w:bottom w:val="single" w:sz="4" w:space="0" w:color="auto"/>
              <w:right w:val="nil"/>
            </w:tcBorders>
            <w:shd w:val="clear" w:color="auto" w:fill="auto"/>
            <w:noWrap/>
            <w:vAlign w:val="center"/>
            <w:hideMark/>
          </w:tcPr>
          <w:p w14:paraId="546D2C71" w14:textId="77777777" w:rsidR="00AD365D" w:rsidRPr="00487834" w:rsidRDefault="00AD365D" w:rsidP="001747B1">
            <w:pPr>
              <w:pStyle w:val="NoSpacing"/>
              <w:rPr>
                <w:color w:val="000000"/>
              </w:rPr>
            </w:pPr>
            <w:r w:rsidRPr="00487834">
              <w:rPr>
                <w:color w:val="000000"/>
              </w:rPr>
              <w:t>5.389</w:t>
            </w:r>
          </w:p>
        </w:tc>
        <w:tc>
          <w:tcPr>
            <w:tcW w:w="1060" w:type="dxa"/>
            <w:tcBorders>
              <w:top w:val="nil"/>
              <w:left w:val="nil"/>
              <w:bottom w:val="single" w:sz="4" w:space="0" w:color="auto"/>
              <w:right w:val="nil"/>
            </w:tcBorders>
            <w:shd w:val="clear" w:color="auto" w:fill="auto"/>
            <w:noWrap/>
            <w:vAlign w:val="center"/>
            <w:hideMark/>
          </w:tcPr>
          <w:p w14:paraId="7B4ED55F" w14:textId="77777777" w:rsidR="00AD365D" w:rsidRPr="00487834" w:rsidRDefault="00AD365D" w:rsidP="001747B1">
            <w:pPr>
              <w:pStyle w:val="NoSpacing"/>
              <w:rPr>
                <w:color w:val="000000"/>
              </w:rPr>
            </w:pPr>
            <w:r w:rsidRPr="00487834">
              <w:rPr>
                <w:color w:val="000000"/>
              </w:rPr>
              <w:t>551</w:t>
            </w:r>
          </w:p>
        </w:tc>
        <w:tc>
          <w:tcPr>
            <w:tcW w:w="1060" w:type="dxa"/>
            <w:tcBorders>
              <w:top w:val="nil"/>
              <w:left w:val="nil"/>
              <w:bottom w:val="single" w:sz="4" w:space="0" w:color="auto"/>
              <w:right w:val="nil"/>
            </w:tcBorders>
            <w:shd w:val="clear" w:color="auto" w:fill="auto"/>
            <w:noWrap/>
            <w:vAlign w:val="center"/>
            <w:hideMark/>
          </w:tcPr>
          <w:p w14:paraId="1A5C940D" w14:textId="77777777" w:rsidR="00AD365D" w:rsidRPr="00487834" w:rsidRDefault="00AD365D" w:rsidP="001747B1">
            <w:pPr>
              <w:pStyle w:val="NoSpacing"/>
              <w:rPr>
                <w:color w:val="000000"/>
              </w:rPr>
            </w:pPr>
            <w:r w:rsidRPr="00487834">
              <w:rPr>
                <w:color w:val="000000"/>
              </w:rPr>
              <w:t>-7.629</w:t>
            </w:r>
          </w:p>
        </w:tc>
        <w:tc>
          <w:tcPr>
            <w:tcW w:w="1060" w:type="dxa"/>
            <w:tcBorders>
              <w:top w:val="nil"/>
              <w:left w:val="nil"/>
              <w:bottom w:val="single" w:sz="4" w:space="0" w:color="auto"/>
              <w:right w:val="nil"/>
            </w:tcBorders>
            <w:shd w:val="clear" w:color="auto" w:fill="auto"/>
            <w:noWrap/>
            <w:vAlign w:val="center"/>
            <w:hideMark/>
          </w:tcPr>
          <w:p w14:paraId="6CA877D5" w14:textId="77777777" w:rsidR="00AD365D" w:rsidRPr="00487834" w:rsidRDefault="00AD365D" w:rsidP="001747B1">
            <w:pPr>
              <w:pStyle w:val="NoSpacing"/>
              <w:rPr>
                <w:color w:val="000000"/>
              </w:rPr>
            </w:pPr>
            <w:r w:rsidRPr="00487834">
              <w:rPr>
                <w:color w:val="000000"/>
              </w:rPr>
              <w:t>4.986</w:t>
            </w:r>
          </w:p>
        </w:tc>
        <w:tc>
          <w:tcPr>
            <w:tcW w:w="1080" w:type="dxa"/>
            <w:tcBorders>
              <w:top w:val="nil"/>
              <w:left w:val="nil"/>
              <w:bottom w:val="single" w:sz="4" w:space="0" w:color="auto"/>
              <w:right w:val="nil"/>
            </w:tcBorders>
            <w:shd w:val="clear" w:color="auto" w:fill="auto"/>
            <w:noWrap/>
            <w:vAlign w:val="center"/>
            <w:hideMark/>
          </w:tcPr>
          <w:p w14:paraId="160A20AA" w14:textId="77777777" w:rsidR="00AD365D" w:rsidRPr="00487834" w:rsidRDefault="00AD365D" w:rsidP="001747B1">
            <w:pPr>
              <w:pStyle w:val="NoSpacing"/>
              <w:rPr>
                <w:color w:val="000000"/>
              </w:rPr>
            </w:pPr>
            <w:r w:rsidRPr="00487834">
              <w:rPr>
                <w:color w:val="000000"/>
              </w:rPr>
              <w:t>7.080</w:t>
            </w:r>
          </w:p>
        </w:tc>
        <w:tc>
          <w:tcPr>
            <w:tcW w:w="1060" w:type="dxa"/>
            <w:tcBorders>
              <w:top w:val="nil"/>
              <w:left w:val="nil"/>
              <w:bottom w:val="single" w:sz="4" w:space="0" w:color="auto"/>
              <w:right w:val="nil"/>
            </w:tcBorders>
            <w:shd w:val="clear" w:color="auto" w:fill="auto"/>
            <w:noWrap/>
            <w:vAlign w:val="center"/>
            <w:hideMark/>
          </w:tcPr>
          <w:p w14:paraId="1D93DE05" w14:textId="77777777" w:rsidR="00AD365D" w:rsidRPr="00487834" w:rsidRDefault="00AD365D" w:rsidP="001747B1">
            <w:pPr>
              <w:pStyle w:val="NoSpacing"/>
              <w:rPr>
                <w:color w:val="000000"/>
              </w:rPr>
            </w:pPr>
            <w:r w:rsidRPr="00487834">
              <w:rPr>
                <w:color w:val="000000"/>
              </w:rPr>
              <w:t>10.566</w:t>
            </w:r>
          </w:p>
        </w:tc>
        <w:tc>
          <w:tcPr>
            <w:tcW w:w="1060" w:type="dxa"/>
            <w:tcBorders>
              <w:top w:val="nil"/>
              <w:left w:val="nil"/>
              <w:bottom w:val="single" w:sz="4" w:space="0" w:color="auto"/>
              <w:right w:val="nil"/>
            </w:tcBorders>
            <w:shd w:val="clear" w:color="auto" w:fill="auto"/>
            <w:noWrap/>
            <w:vAlign w:val="center"/>
            <w:hideMark/>
          </w:tcPr>
          <w:p w14:paraId="4CB92B80" w14:textId="77777777" w:rsidR="00AD365D" w:rsidRPr="00487834" w:rsidRDefault="00AD365D" w:rsidP="001747B1">
            <w:pPr>
              <w:pStyle w:val="NoSpacing"/>
              <w:rPr>
                <w:color w:val="000000"/>
              </w:rPr>
            </w:pPr>
            <w:r w:rsidRPr="00487834">
              <w:rPr>
                <w:color w:val="000000"/>
              </w:rPr>
              <w:t>32.319</w:t>
            </w:r>
          </w:p>
        </w:tc>
      </w:tr>
    </w:tbl>
    <w:p w14:paraId="3DA14B31" w14:textId="77777777" w:rsidR="00AD365D" w:rsidRPr="00487834" w:rsidRDefault="00AD365D" w:rsidP="00AD365D">
      <w:pPr>
        <w:autoSpaceDE w:val="0"/>
        <w:autoSpaceDN w:val="0"/>
        <w:adjustRightInd w:val="0"/>
        <w:spacing w:line="300" w:lineRule="auto"/>
        <w:rPr>
          <w:rFonts w:eastAsiaTheme="minorHAnsi"/>
          <w:lang w:val="en-US" w:eastAsia="en-US"/>
        </w:rPr>
      </w:pPr>
    </w:p>
    <w:p w14:paraId="6FCE7356" w14:textId="77777777" w:rsidR="00AD365D" w:rsidRPr="00487834" w:rsidRDefault="00AD365D" w:rsidP="00AD365D">
      <w:pPr>
        <w:autoSpaceDE w:val="0"/>
        <w:autoSpaceDN w:val="0"/>
        <w:adjustRightInd w:val="0"/>
        <w:spacing w:line="300" w:lineRule="auto"/>
        <w:rPr>
          <w:rFonts w:eastAsiaTheme="minorHAnsi"/>
          <w:lang w:val="en-US" w:eastAsia="en-US"/>
        </w:rPr>
      </w:pPr>
    </w:p>
    <w:p w14:paraId="4E203493" w14:textId="77777777" w:rsidR="00AD365D" w:rsidRDefault="00AD365D" w:rsidP="00AD365D">
      <w:pPr>
        <w:autoSpaceDE w:val="0"/>
        <w:autoSpaceDN w:val="0"/>
        <w:adjustRightInd w:val="0"/>
        <w:spacing w:line="300" w:lineRule="auto"/>
        <w:rPr>
          <w:rFonts w:eastAsiaTheme="minorHAnsi"/>
          <w:b/>
          <w:bCs/>
          <w:lang w:val="en-GB" w:eastAsia="en-US"/>
        </w:rPr>
      </w:pPr>
    </w:p>
    <w:p w14:paraId="107DEE8C" w14:textId="77777777" w:rsidR="00AD365D" w:rsidRDefault="00AD365D" w:rsidP="00AD365D">
      <w:pPr>
        <w:autoSpaceDE w:val="0"/>
        <w:autoSpaceDN w:val="0"/>
        <w:adjustRightInd w:val="0"/>
        <w:spacing w:line="300" w:lineRule="auto"/>
        <w:rPr>
          <w:rFonts w:eastAsiaTheme="minorHAnsi"/>
          <w:b/>
          <w:bCs/>
          <w:lang w:val="en-GB" w:eastAsia="en-US"/>
        </w:rPr>
      </w:pPr>
    </w:p>
    <w:p w14:paraId="76CAC5DD" w14:textId="77777777" w:rsidR="00AD365D" w:rsidRDefault="00AD365D" w:rsidP="00AD365D">
      <w:pPr>
        <w:autoSpaceDE w:val="0"/>
        <w:autoSpaceDN w:val="0"/>
        <w:adjustRightInd w:val="0"/>
        <w:spacing w:line="300" w:lineRule="auto"/>
        <w:rPr>
          <w:rFonts w:eastAsiaTheme="minorHAnsi"/>
          <w:b/>
          <w:bCs/>
          <w:lang w:val="en-GB" w:eastAsia="en-US"/>
        </w:rPr>
      </w:pPr>
    </w:p>
    <w:p w14:paraId="5E2B9098" w14:textId="4A3538A4" w:rsidR="00AD365D" w:rsidRPr="00487834" w:rsidRDefault="00AD365D" w:rsidP="00AD365D">
      <w:pPr>
        <w:autoSpaceDE w:val="0"/>
        <w:autoSpaceDN w:val="0"/>
        <w:adjustRightInd w:val="0"/>
        <w:spacing w:line="300" w:lineRule="auto"/>
        <w:rPr>
          <w:rFonts w:eastAsiaTheme="minorHAnsi"/>
          <w:lang w:val="en-GB" w:eastAsia="en-US"/>
        </w:rPr>
      </w:pPr>
      <w:r w:rsidRPr="00487834">
        <w:rPr>
          <w:rFonts w:eastAsiaTheme="minorHAnsi"/>
          <w:b/>
          <w:bCs/>
          <w:lang w:val="en-GB" w:eastAsia="en-US"/>
        </w:rPr>
        <w:t>Table 8 –</w:t>
      </w:r>
      <w:r w:rsidRPr="00487834">
        <w:rPr>
          <w:color w:val="0D0D0D"/>
          <w:shd w:val="clear" w:color="auto" w:fill="FFFFFF"/>
          <w:lang w:val="en-US"/>
        </w:rPr>
        <w:t xml:space="preserve"> Descriptive statistics for the cost of debt model, including respective control variables, for the Brazilian subsample</w:t>
      </w:r>
    </w:p>
    <w:p w14:paraId="4856F5B4" w14:textId="77777777" w:rsidR="00AD365D" w:rsidRPr="00487834" w:rsidRDefault="00AD365D" w:rsidP="00AD365D">
      <w:pPr>
        <w:autoSpaceDE w:val="0"/>
        <w:autoSpaceDN w:val="0"/>
        <w:adjustRightInd w:val="0"/>
        <w:spacing w:line="300" w:lineRule="auto"/>
        <w:rPr>
          <w:rFonts w:eastAsiaTheme="minorHAnsi"/>
          <w:lang w:val="en-GB" w:eastAsia="en-US"/>
        </w:rPr>
      </w:pPr>
    </w:p>
    <w:tbl>
      <w:tblPr>
        <w:tblW w:w="9680" w:type="dxa"/>
        <w:jc w:val="center"/>
        <w:tblLook w:val="04A0" w:firstRow="1" w:lastRow="0" w:firstColumn="1" w:lastColumn="0" w:noHBand="0" w:noVBand="1"/>
      </w:tblPr>
      <w:tblGrid>
        <w:gridCol w:w="1341"/>
        <w:gridCol w:w="1060"/>
        <w:gridCol w:w="1060"/>
        <w:gridCol w:w="1060"/>
        <w:gridCol w:w="1060"/>
        <w:gridCol w:w="1060"/>
        <w:gridCol w:w="1080"/>
        <w:gridCol w:w="1060"/>
        <w:gridCol w:w="1060"/>
      </w:tblGrid>
      <w:tr w:rsidR="00AD365D" w:rsidRPr="00487834" w14:paraId="6774F55E" w14:textId="77777777" w:rsidTr="001747B1">
        <w:trPr>
          <w:trHeight w:val="280"/>
          <w:jc w:val="center"/>
        </w:trPr>
        <w:tc>
          <w:tcPr>
            <w:tcW w:w="1180" w:type="dxa"/>
            <w:tcBorders>
              <w:top w:val="single" w:sz="4" w:space="0" w:color="auto"/>
              <w:left w:val="nil"/>
              <w:bottom w:val="single" w:sz="4" w:space="0" w:color="auto"/>
              <w:right w:val="nil"/>
            </w:tcBorders>
            <w:shd w:val="clear" w:color="auto" w:fill="auto"/>
            <w:noWrap/>
            <w:hideMark/>
          </w:tcPr>
          <w:p w14:paraId="4B1CD61A" w14:textId="77777777" w:rsidR="00AD365D" w:rsidRPr="00487834" w:rsidRDefault="00AD365D" w:rsidP="001747B1">
            <w:pPr>
              <w:pStyle w:val="NoSpacing"/>
            </w:pPr>
            <w:proofErr w:type="spellStart"/>
            <w:r w:rsidRPr="00487834">
              <w:t>Variable</w:t>
            </w:r>
            <w:proofErr w:type="spellEnd"/>
          </w:p>
        </w:tc>
        <w:tc>
          <w:tcPr>
            <w:tcW w:w="1060" w:type="dxa"/>
            <w:tcBorders>
              <w:top w:val="single" w:sz="4" w:space="0" w:color="auto"/>
              <w:left w:val="nil"/>
              <w:bottom w:val="single" w:sz="4" w:space="0" w:color="auto"/>
              <w:right w:val="nil"/>
            </w:tcBorders>
            <w:shd w:val="clear" w:color="auto" w:fill="auto"/>
            <w:noWrap/>
            <w:hideMark/>
          </w:tcPr>
          <w:p w14:paraId="2C4E89E0" w14:textId="77777777" w:rsidR="00AD365D" w:rsidRPr="00487834" w:rsidRDefault="00AD365D" w:rsidP="001747B1">
            <w:pPr>
              <w:pStyle w:val="NoSpacing"/>
            </w:pPr>
            <w:proofErr w:type="spellStart"/>
            <w:r w:rsidRPr="00487834">
              <w:t>Mean</w:t>
            </w:r>
            <w:proofErr w:type="spellEnd"/>
          </w:p>
        </w:tc>
        <w:tc>
          <w:tcPr>
            <w:tcW w:w="1060" w:type="dxa"/>
            <w:tcBorders>
              <w:top w:val="single" w:sz="4" w:space="0" w:color="auto"/>
              <w:left w:val="nil"/>
              <w:bottom w:val="single" w:sz="4" w:space="0" w:color="auto"/>
              <w:right w:val="nil"/>
            </w:tcBorders>
            <w:shd w:val="clear" w:color="auto" w:fill="auto"/>
            <w:noWrap/>
            <w:hideMark/>
          </w:tcPr>
          <w:p w14:paraId="5C0C1577" w14:textId="77777777" w:rsidR="00AD365D" w:rsidRPr="00487834" w:rsidRDefault="00AD365D" w:rsidP="001747B1">
            <w:pPr>
              <w:pStyle w:val="NoSpacing"/>
            </w:pPr>
            <w:proofErr w:type="spellStart"/>
            <w:r w:rsidRPr="00487834">
              <w:t>Std.Dev</w:t>
            </w:r>
            <w:proofErr w:type="spellEnd"/>
            <w:r w:rsidRPr="00487834">
              <w:t>.</w:t>
            </w:r>
          </w:p>
        </w:tc>
        <w:tc>
          <w:tcPr>
            <w:tcW w:w="1060" w:type="dxa"/>
            <w:tcBorders>
              <w:top w:val="single" w:sz="4" w:space="0" w:color="auto"/>
              <w:left w:val="nil"/>
              <w:bottom w:val="single" w:sz="4" w:space="0" w:color="auto"/>
              <w:right w:val="nil"/>
            </w:tcBorders>
            <w:shd w:val="clear" w:color="auto" w:fill="auto"/>
            <w:noWrap/>
            <w:hideMark/>
          </w:tcPr>
          <w:p w14:paraId="56A04DD2" w14:textId="77777777" w:rsidR="00AD365D" w:rsidRPr="00487834" w:rsidRDefault="00AD365D" w:rsidP="001747B1">
            <w:pPr>
              <w:pStyle w:val="NoSpacing"/>
            </w:pPr>
            <w:r w:rsidRPr="00487834">
              <w:t>N</w:t>
            </w:r>
          </w:p>
        </w:tc>
        <w:tc>
          <w:tcPr>
            <w:tcW w:w="1060" w:type="dxa"/>
            <w:tcBorders>
              <w:top w:val="single" w:sz="4" w:space="0" w:color="auto"/>
              <w:left w:val="nil"/>
              <w:bottom w:val="single" w:sz="4" w:space="0" w:color="auto"/>
              <w:right w:val="nil"/>
            </w:tcBorders>
            <w:shd w:val="clear" w:color="auto" w:fill="auto"/>
            <w:noWrap/>
            <w:hideMark/>
          </w:tcPr>
          <w:p w14:paraId="5ED65817" w14:textId="77777777" w:rsidR="00AD365D" w:rsidRPr="00487834" w:rsidRDefault="00AD365D" w:rsidP="001747B1">
            <w:pPr>
              <w:pStyle w:val="NoSpacing"/>
            </w:pPr>
            <w:proofErr w:type="spellStart"/>
            <w:r w:rsidRPr="00487834">
              <w:t>Min</w:t>
            </w:r>
            <w:proofErr w:type="spellEnd"/>
          </w:p>
        </w:tc>
        <w:tc>
          <w:tcPr>
            <w:tcW w:w="1060" w:type="dxa"/>
            <w:tcBorders>
              <w:top w:val="single" w:sz="4" w:space="0" w:color="auto"/>
              <w:left w:val="nil"/>
              <w:bottom w:val="single" w:sz="4" w:space="0" w:color="auto"/>
              <w:right w:val="nil"/>
            </w:tcBorders>
            <w:shd w:val="clear" w:color="auto" w:fill="auto"/>
            <w:noWrap/>
            <w:hideMark/>
          </w:tcPr>
          <w:p w14:paraId="5FFE4C49" w14:textId="77777777" w:rsidR="00AD365D" w:rsidRPr="00487834" w:rsidRDefault="00AD365D" w:rsidP="001747B1">
            <w:pPr>
              <w:pStyle w:val="NoSpacing"/>
            </w:pPr>
            <w:r w:rsidRPr="00487834">
              <w:t>Q1</w:t>
            </w:r>
          </w:p>
        </w:tc>
        <w:tc>
          <w:tcPr>
            <w:tcW w:w="1080" w:type="dxa"/>
            <w:tcBorders>
              <w:top w:val="single" w:sz="4" w:space="0" w:color="auto"/>
              <w:left w:val="nil"/>
              <w:bottom w:val="single" w:sz="4" w:space="0" w:color="auto"/>
              <w:right w:val="nil"/>
            </w:tcBorders>
            <w:shd w:val="clear" w:color="auto" w:fill="auto"/>
            <w:noWrap/>
            <w:hideMark/>
          </w:tcPr>
          <w:p w14:paraId="39C175DF" w14:textId="77777777" w:rsidR="00AD365D" w:rsidRPr="00487834" w:rsidRDefault="00AD365D" w:rsidP="001747B1">
            <w:pPr>
              <w:pStyle w:val="NoSpacing"/>
            </w:pPr>
            <w:proofErr w:type="spellStart"/>
            <w:r w:rsidRPr="00487834">
              <w:t>Median</w:t>
            </w:r>
            <w:proofErr w:type="spellEnd"/>
          </w:p>
        </w:tc>
        <w:tc>
          <w:tcPr>
            <w:tcW w:w="1060" w:type="dxa"/>
            <w:tcBorders>
              <w:top w:val="single" w:sz="4" w:space="0" w:color="auto"/>
              <w:left w:val="nil"/>
              <w:bottom w:val="single" w:sz="4" w:space="0" w:color="auto"/>
              <w:right w:val="nil"/>
            </w:tcBorders>
            <w:shd w:val="clear" w:color="auto" w:fill="auto"/>
            <w:noWrap/>
            <w:hideMark/>
          </w:tcPr>
          <w:p w14:paraId="4DD3AE53" w14:textId="77777777" w:rsidR="00AD365D" w:rsidRPr="00487834" w:rsidRDefault="00AD365D" w:rsidP="001747B1">
            <w:pPr>
              <w:pStyle w:val="NoSpacing"/>
            </w:pPr>
            <w:r w:rsidRPr="00487834">
              <w:t>Q3</w:t>
            </w:r>
          </w:p>
        </w:tc>
        <w:tc>
          <w:tcPr>
            <w:tcW w:w="1060" w:type="dxa"/>
            <w:tcBorders>
              <w:top w:val="single" w:sz="4" w:space="0" w:color="auto"/>
              <w:left w:val="nil"/>
              <w:bottom w:val="single" w:sz="4" w:space="0" w:color="auto"/>
              <w:right w:val="nil"/>
            </w:tcBorders>
            <w:shd w:val="clear" w:color="auto" w:fill="auto"/>
            <w:noWrap/>
            <w:hideMark/>
          </w:tcPr>
          <w:p w14:paraId="4CD3767A" w14:textId="77777777" w:rsidR="00AD365D" w:rsidRPr="00487834" w:rsidRDefault="00AD365D" w:rsidP="001747B1">
            <w:pPr>
              <w:pStyle w:val="NoSpacing"/>
            </w:pPr>
            <w:r w:rsidRPr="00487834">
              <w:t>Max</w:t>
            </w:r>
          </w:p>
        </w:tc>
      </w:tr>
      <w:tr w:rsidR="00AD365D" w:rsidRPr="00487834" w14:paraId="7DA378AC" w14:textId="77777777" w:rsidTr="001747B1">
        <w:trPr>
          <w:trHeight w:val="560"/>
          <w:jc w:val="center"/>
        </w:trPr>
        <w:tc>
          <w:tcPr>
            <w:tcW w:w="1180" w:type="dxa"/>
            <w:tcBorders>
              <w:top w:val="nil"/>
              <w:left w:val="nil"/>
              <w:bottom w:val="nil"/>
              <w:right w:val="nil"/>
            </w:tcBorders>
            <w:shd w:val="clear" w:color="auto" w:fill="auto"/>
            <w:noWrap/>
            <w:vAlign w:val="center"/>
            <w:hideMark/>
          </w:tcPr>
          <w:p w14:paraId="0CF60931" w14:textId="77777777" w:rsidR="00AD365D" w:rsidRPr="00487834" w:rsidRDefault="00AD365D" w:rsidP="001747B1">
            <w:pPr>
              <w:pStyle w:val="NoSpacing"/>
              <w:rPr>
                <w:i/>
                <w:iCs/>
                <w:color w:val="000000"/>
              </w:rPr>
            </w:pPr>
            <w:r w:rsidRPr="00487834">
              <w:rPr>
                <w:i/>
                <w:iCs/>
                <w:color w:val="000000"/>
              </w:rPr>
              <w:t>ESG</w:t>
            </w:r>
          </w:p>
        </w:tc>
        <w:tc>
          <w:tcPr>
            <w:tcW w:w="1060" w:type="dxa"/>
            <w:tcBorders>
              <w:top w:val="nil"/>
              <w:left w:val="nil"/>
              <w:bottom w:val="nil"/>
              <w:right w:val="nil"/>
            </w:tcBorders>
            <w:shd w:val="clear" w:color="auto" w:fill="auto"/>
            <w:noWrap/>
            <w:vAlign w:val="center"/>
            <w:hideMark/>
          </w:tcPr>
          <w:p w14:paraId="55CB61CF" w14:textId="77777777" w:rsidR="00AD365D" w:rsidRPr="00487834" w:rsidRDefault="00AD365D" w:rsidP="001747B1">
            <w:pPr>
              <w:pStyle w:val="NoSpacing"/>
              <w:rPr>
                <w:color w:val="000000"/>
              </w:rPr>
            </w:pPr>
            <w:r w:rsidRPr="00487834">
              <w:rPr>
                <w:color w:val="000000"/>
              </w:rPr>
              <w:t>54.034</w:t>
            </w:r>
          </w:p>
        </w:tc>
        <w:tc>
          <w:tcPr>
            <w:tcW w:w="1060" w:type="dxa"/>
            <w:tcBorders>
              <w:top w:val="nil"/>
              <w:left w:val="nil"/>
              <w:bottom w:val="nil"/>
              <w:right w:val="nil"/>
            </w:tcBorders>
            <w:shd w:val="clear" w:color="auto" w:fill="auto"/>
            <w:noWrap/>
            <w:vAlign w:val="center"/>
            <w:hideMark/>
          </w:tcPr>
          <w:p w14:paraId="76742733" w14:textId="77777777" w:rsidR="00AD365D" w:rsidRPr="00487834" w:rsidRDefault="00AD365D" w:rsidP="001747B1">
            <w:pPr>
              <w:pStyle w:val="NoSpacing"/>
              <w:rPr>
                <w:color w:val="000000"/>
              </w:rPr>
            </w:pPr>
            <w:r w:rsidRPr="00487834">
              <w:rPr>
                <w:color w:val="000000"/>
              </w:rPr>
              <w:t>20.104</w:t>
            </w:r>
          </w:p>
        </w:tc>
        <w:tc>
          <w:tcPr>
            <w:tcW w:w="1060" w:type="dxa"/>
            <w:tcBorders>
              <w:top w:val="nil"/>
              <w:left w:val="nil"/>
              <w:bottom w:val="nil"/>
              <w:right w:val="nil"/>
            </w:tcBorders>
            <w:shd w:val="clear" w:color="auto" w:fill="auto"/>
            <w:noWrap/>
            <w:vAlign w:val="center"/>
            <w:hideMark/>
          </w:tcPr>
          <w:p w14:paraId="6110CA09" w14:textId="77777777" w:rsidR="00AD365D" w:rsidRPr="00487834" w:rsidRDefault="00AD365D" w:rsidP="001747B1">
            <w:pPr>
              <w:pStyle w:val="NoSpacing"/>
              <w:rPr>
                <w:color w:val="000000"/>
              </w:rPr>
            </w:pPr>
            <w:r w:rsidRPr="00487834">
              <w:rPr>
                <w:color w:val="000000"/>
              </w:rPr>
              <w:t>547</w:t>
            </w:r>
          </w:p>
        </w:tc>
        <w:tc>
          <w:tcPr>
            <w:tcW w:w="1060" w:type="dxa"/>
            <w:tcBorders>
              <w:top w:val="nil"/>
              <w:left w:val="nil"/>
              <w:bottom w:val="nil"/>
              <w:right w:val="nil"/>
            </w:tcBorders>
            <w:shd w:val="clear" w:color="auto" w:fill="auto"/>
            <w:noWrap/>
            <w:vAlign w:val="center"/>
            <w:hideMark/>
          </w:tcPr>
          <w:p w14:paraId="5C239482" w14:textId="77777777" w:rsidR="00AD365D" w:rsidRPr="00487834" w:rsidRDefault="00AD365D" w:rsidP="001747B1">
            <w:pPr>
              <w:pStyle w:val="NoSpacing"/>
              <w:rPr>
                <w:color w:val="000000"/>
              </w:rPr>
            </w:pPr>
            <w:r w:rsidRPr="00487834">
              <w:rPr>
                <w:color w:val="000000"/>
              </w:rPr>
              <w:t>1.283</w:t>
            </w:r>
          </w:p>
        </w:tc>
        <w:tc>
          <w:tcPr>
            <w:tcW w:w="1060" w:type="dxa"/>
            <w:tcBorders>
              <w:top w:val="nil"/>
              <w:left w:val="nil"/>
              <w:bottom w:val="nil"/>
              <w:right w:val="nil"/>
            </w:tcBorders>
            <w:shd w:val="clear" w:color="auto" w:fill="auto"/>
            <w:noWrap/>
            <w:vAlign w:val="center"/>
            <w:hideMark/>
          </w:tcPr>
          <w:p w14:paraId="5C0525E0" w14:textId="77777777" w:rsidR="00AD365D" w:rsidRPr="00487834" w:rsidRDefault="00AD365D" w:rsidP="001747B1">
            <w:pPr>
              <w:pStyle w:val="NoSpacing"/>
              <w:rPr>
                <w:color w:val="000000"/>
              </w:rPr>
            </w:pPr>
            <w:r w:rsidRPr="00487834">
              <w:rPr>
                <w:color w:val="000000"/>
              </w:rPr>
              <w:t>41.483</w:t>
            </w:r>
          </w:p>
        </w:tc>
        <w:tc>
          <w:tcPr>
            <w:tcW w:w="1080" w:type="dxa"/>
            <w:tcBorders>
              <w:top w:val="nil"/>
              <w:left w:val="nil"/>
              <w:bottom w:val="nil"/>
              <w:right w:val="nil"/>
            </w:tcBorders>
            <w:shd w:val="clear" w:color="auto" w:fill="auto"/>
            <w:noWrap/>
            <w:vAlign w:val="center"/>
            <w:hideMark/>
          </w:tcPr>
          <w:p w14:paraId="4C8AFCBC" w14:textId="77777777" w:rsidR="00AD365D" w:rsidRPr="00487834" w:rsidRDefault="00AD365D" w:rsidP="001747B1">
            <w:pPr>
              <w:pStyle w:val="NoSpacing"/>
              <w:rPr>
                <w:color w:val="000000"/>
              </w:rPr>
            </w:pPr>
            <w:r w:rsidRPr="00487834">
              <w:rPr>
                <w:color w:val="000000"/>
              </w:rPr>
              <w:t>56.559</w:t>
            </w:r>
          </w:p>
        </w:tc>
        <w:tc>
          <w:tcPr>
            <w:tcW w:w="1060" w:type="dxa"/>
            <w:tcBorders>
              <w:top w:val="nil"/>
              <w:left w:val="nil"/>
              <w:bottom w:val="nil"/>
              <w:right w:val="nil"/>
            </w:tcBorders>
            <w:shd w:val="clear" w:color="auto" w:fill="auto"/>
            <w:noWrap/>
            <w:vAlign w:val="center"/>
            <w:hideMark/>
          </w:tcPr>
          <w:p w14:paraId="0B0E8387" w14:textId="77777777" w:rsidR="00AD365D" w:rsidRPr="00487834" w:rsidRDefault="00AD365D" w:rsidP="001747B1">
            <w:pPr>
              <w:pStyle w:val="NoSpacing"/>
              <w:rPr>
                <w:color w:val="000000"/>
              </w:rPr>
            </w:pPr>
            <w:r w:rsidRPr="00487834">
              <w:rPr>
                <w:color w:val="000000"/>
              </w:rPr>
              <w:t>69.666</w:t>
            </w:r>
          </w:p>
        </w:tc>
        <w:tc>
          <w:tcPr>
            <w:tcW w:w="1060" w:type="dxa"/>
            <w:tcBorders>
              <w:top w:val="nil"/>
              <w:left w:val="nil"/>
              <w:bottom w:val="nil"/>
              <w:right w:val="nil"/>
            </w:tcBorders>
            <w:shd w:val="clear" w:color="auto" w:fill="auto"/>
            <w:noWrap/>
            <w:vAlign w:val="center"/>
            <w:hideMark/>
          </w:tcPr>
          <w:p w14:paraId="46D8939B" w14:textId="77777777" w:rsidR="00AD365D" w:rsidRPr="00487834" w:rsidRDefault="00AD365D" w:rsidP="001747B1">
            <w:pPr>
              <w:pStyle w:val="NoSpacing"/>
              <w:rPr>
                <w:color w:val="000000"/>
              </w:rPr>
            </w:pPr>
            <w:r w:rsidRPr="00487834">
              <w:rPr>
                <w:color w:val="000000"/>
              </w:rPr>
              <w:t>91.316</w:t>
            </w:r>
          </w:p>
        </w:tc>
      </w:tr>
      <w:tr w:rsidR="00AD365D" w:rsidRPr="00487834" w14:paraId="65E44C04" w14:textId="77777777" w:rsidTr="001747B1">
        <w:trPr>
          <w:trHeight w:val="580"/>
          <w:jc w:val="center"/>
        </w:trPr>
        <w:tc>
          <w:tcPr>
            <w:tcW w:w="1180" w:type="dxa"/>
            <w:tcBorders>
              <w:top w:val="nil"/>
              <w:left w:val="nil"/>
              <w:bottom w:val="nil"/>
              <w:right w:val="nil"/>
            </w:tcBorders>
            <w:shd w:val="clear" w:color="auto" w:fill="auto"/>
            <w:noWrap/>
            <w:vAlign w:val="center"/>
            <w:hideMark/>
          </w:tcPr>
          <w:p w14:paraId="035956C0" w14:textId="77777777" w:rsidR="00AD365D" w:rsidRPr="00487834" w:rsidRDefault="00AD365D" w:rsidP="001747B1">
            <w:pPr>
              <w:pStyle w:val="NoSpacing"/>
              <w:rPr>
                <w:i/>
                <w:iCs/>
                <w:color w:val="000000"/>
              </w:rPr>
            </w:pPr>
            <w:r w:rsidRPr="00487834">
              <w:rPr>
                <w:i/>
                <w:iCs/>
                <w:color w:val="000000"/>
              </w:rPr>
              <w:t>MCAP</w:t>
            </w:r>
          </w:p>
        </w:tc>
        <w:tc>
          <w:tcPr>
            <w:tcW w:w="1060" w:type="dxa"/>
            <w:tcBorders>
              <w:top w:val="nil"/>
              <w:left w:val="nil"/>
              <w:bottom w:val="nil"/>
              <w:right w:val="nil"/>
            </w:tcBorders>
            <w:shd w:val="clear" w:color="auto" w:fill="auto"/>
            <w:noWrap/>
            <w:vAlign w:val="center"/>
            <w:hideMark/>
          </w:tcPr>
          <w:p w14:paraId="1561A565" w14:textId="77777777" w:rsidR="00AD365D" w:rsidRPr="00487834" w:rsidRDefault="00AD365D" w:rsidP="001747B1">
            <w:pPr>
              <w:pStyle w:val="NoSpacing"/>
              <w:rPr>
                <w:color w:val="000000"/>
              </w:rPr>
            </w:pPr>
            <w:r w:rsidRPr="00487834">
              <w:rPr>
                <w:color w:val="000000"/>
              </w:rPr>
              <w:t>21.773</w:t>
            </w:r>
          </w:p>
        </w:tc>
        <w:tc>
          <w:tcPr>
            <w:tcW w:w="1060" w:type="dxa"/>
            <w:tcBorders>
              <w:top w:val="nil"/>
              <w:left w:val="nil"/>
              <w:bottom w:val="nil"/>
              <w:right w:val="nil"/>
            </w:tcBorders>
            <w:shd w:val="clear" w:color="auto" w:fill="auto"/>
            <w:noWrap/>
            <w:vAlign w:val="center"/>
            <w:hideMark/>
          </w:tcPr>
          <w:p w14:paraId="5E12DC85" w14:textId="77777777" w:rsidR="00AD365D" w:rsidRPr="00487834" w:rsidRDefault="00AD365D" w:rsidP="001747B1">
            <w:pPr>
              <w:pStyle w:val="NoSpacing"/>
              <w:rPr>
                <w:color w:val="000000"/>
              </w:rPr>
            </w:pPr>
            <w:r w:rsidRPr="00487834">
              <w:rPr>
                <w:color w:val="000000"/>
              </w:rPr>
              <w:t>1.220</w:t>
            </w:r>
          </w:p>
        </w:tc>
        <w:tc>
          <w:tcPr>
            <w:tcW w:w="1060" w:type="dxa"/>
            <w:tcBorders>
              <w:top w:val="nil"/>
              <w:left w:val="nil"/>
              <w:bottom w:val="nil"/>
              <w:right w:val="nil"/>
            </w:tcBorders>
            <w:shd w:val="clear" w:color="auto" w:fill="auto"/>
            <w:noWrap/>
            <w:vAlign w:val="center"/>
            <w:hideMark/>
          </w:tcPr>
          <w:p w14:paraId="14A2C970" w14:textId="77777777" w:rsidR="00AD365D" w:rsidRPr="00487834" w:rsidRDefault="00AD365D" w:rsidP="001747B1">
            <w:pPr>
              <w:pStyle w:val="NoSpacing"/>
              <w:rPr>
                <w:color w:val="000000"/>
              </w:rPr>
            </w:pPr>
            <w:r w:rsidRPr="00487834">
              <w:rPr>
                <w:color w:val="000000"/>
              </w:rPr>
              <w:t>547</w:t>
            </w:r>
          </w:p>
        </w:tc>
        <w:tc>
          <w:tcPr>
            <w:tcW w:w="1060" w:type="dxa"/>
            <w:tcBorders>
              <w:top w:val="nil"/>
              <w:left w:val="nil"/>
              <w:bottom w:val="nil"/>
              <w:right w:val="nil"/>
            </w:tcBorders>
            <w:shd w:val="clear" w:color="auto" w:fill="auto"/>
            <w:noWrap/>
            <w:vAlign w:val="center"/>
            <w:hideMark/>
          </w:tcPr>
          <w:p w14:paraId="44168F7A" w14:textId="77777777" w:rsidR="00AD365D" w:rsidRPr="00487834" w:rsidRDefault="00AD365D" w:rsidP="001747B1">
            <w:pPr>
              <w:pStyle w:val="NoSpacing"/>
              <w:rPr>
                <w:color w:val="000000"/>
              </w:rPr>
            </w:pPr>
            <w:r w:rsidRPr="00487834">
              <w:rPr>
                <w:color w:val="000000"/>
              </w:rPr>
              <w:t>18.505</w:t>
            </w:r>
          </w:p>
        </w:tc>
        <w:tc>
          <w:tcPr>
            <w:tcW w:w="1060" w:type="dxa"/>
            <w:tcBorders>
              <w:top w:val="nil"/>
              <w:left w:val="nil"/>
              <w:bottom w:val="nil"/>
              <w:right w:val="nil"/>
            </w:tcBorders>
            <w:shd w:val="clear" w:color="auto" w:fill="auto"/>
            <w:noWrap/>
            <w:vAlign w:val="center"/>
            <w:hideMark/>
          </w:tcPr>
          <w:p w14:paraId="308B013B" w14:textId="77777777" w:rsidR="00AD365D" w:rsidRPr="00487834" w:rsidRDefault="00AD365D" w:rsidP="001747B1">
            <w:pPr>
              <w:pStyle w:val="NoSpacing"/>
              <w:rPr>
                <w:color w:val="000000"/>
              </w:rPr>
            </w:pPr>
            <w:r w:rsidRPr="00487834">
              <w:rPr>
                <w:color w:val="000000"/>
              </w:rPr>
              <w:t>20.912</w:t>
            </w:r>
          </w:p>
        </w:tc>
        <w:tc>
          <w:tcPr>
            <w:tcW w:w="1080" w:type="dxa"/>
            <w:tcBorders>
              <w:top w:val="nil"/>
              <w:left w:val="nil"/>
              <w:bottom w:val="nil"/>
              <w:right w:val="nil"/>
            </w:tcBorders>
            <w:shd w:val="clear" w:color="auto" w:fill="auto"/>
            <w:noWrap/>
            <w:vAlign w:val="center"/>
            <w:hideMark/>
          </w:tcPr>
          <w:p w14:paraId="5FBAF9F7" w14:textId="77777777" w:rsidR="00AD365D" w:rsidRPr="00487834" w:rsidRDefault="00AD365D" w:rsidP="001747B1">
            <w:pPr>
              <w:pStyle w:val="NoSpacing"/>
              <w:rPr>
                <w:color w:val="000000"/>
              </w:rPr>
            </w:pPr>
            <w:r w:rsidRPr="00487834">
              <w:rPr>
                <w:color w:val="000000"/>
              </w:rPr>
              <w:t>21.912</w:t>
            </w:r>
          </w:p>
        </w:tc>
        <w:tc>
          <w:tcPr>
            <w:tcW w:w="1060" w:type="dxa"/>
            <w:tcBorders>
              <w:top w:val="nil"/>
              <w:left w:val="nil"/>
              <w:bottom w:val="nil"/>
              <w:right w:val="nil"/>
            </w:tcBorders>
            <w:shd w:val="clear" w:color="auto" w:fill="auto"/>
            <w:noWrap/>
            <w:vAlign w:val="center"/>
            <w:hideMark/>
          </w:tcPr>
          <w:p w14:paraId="23146827" w14:textId="77777777" w:rsidR="00AD365D" w:rsidRPr="00487834" w:rsidRDefault="00AD365D" w:rsidP="001747B1">
            <w:pPr>
              <w:pStyle w:val="NoSpacing"/>
              <w:rPr>
                <w:color w:val="000000"/>
              </w:rPr>
            </w:pPr>
            <w:r w:rsidRPr="00487834">
              <w:rPr>
                <w:color w:val="000000"/>
              </w:rPr>
              <w:t>22.558</w:t>
            </w:r>
          </w:p>
        </w:tc>
        <w:tc>
          <w:tcPr>
            <w:tcW w:w="1060" w:type="dxa"/>
            <w:tcBorders>
              <w:top w:val="nil"/>
              <w:left w:val="nil"/>
              <w:bottom w:val="nil"/>
              <w:right w:val="nil"/>
            </w:tcBorders>
            <w:shd w:val="clear" w:color="auto" w:fill="auto"/>
            <w:noWrap/>
            <w:vAlign w:val="center"/>
            <w:hideMark/>
          </w:tcPr>
          <w:p w14:paraId="60EC5777" w14:textId="77777777" w:rsidR="00AD365D" w:rsidRPr="00487834" w:rsidRDefault="00AD365D" w:rsidP="001747B1">
            <w:pPr>
              <w:pStyle w:val="NoSpacing"/>
              <w:rPr>
                <w:color w:val="000000"/>
              </w:rPr>
            </w:pPr>
            <w:r w:rsidRPr="00487834">
              <w:rPr>
                <w:color w:val="000000"/>
              </w:rPr>
              <w:t>24.984</w:t>
            </w:r>
          </w:p>
        </w:tc>
      </w:tr>
      <w:tr w:rsidR="00AD365D" w:rsidRPr="00487834" w14:paraId="475E3BDF" w14:textId="77777777" w:rsidTr="001747B1">
        <w:trPr>
          <w:trHeight w:val="600"/>
          <w:jc w:val="center"/>
        </w:trPr>
        <w:tc>
          <w:tcPr>
            <w:tcW w:w="1180" w:type="dxa"/>
            <w:tcBorders>
              <w:top w:val="nil"/>
              <w:left w:val="nil"/>
              <w:bottom w:val="nil"/>
              <w:right w:val="nil"/>
            </w:tcBorders>
            <w:shd w:val="clear" w:color="auto" w:fill="auto"/>
            <w:noWrap/>
            <w:vAlign w:val="center"/>
            <w:hideMark/>
          </w:tcPr>
          <w:p w14:paraId="024522DA" w14:textId="77777777" w:rsidR="00AD365D" w:rsidRPr="00487834" w:rsidRDefault="00AD365D" w:rsidP="001747B1">
            <w:pPr>
              <w:pStyle w:val="NoSpacing"/>
              <w:rPr>
                <w:i/>
                <w:iCs/>
                <w:color w:val="000000"/>
              </w:rPr>
            </w:pPr>
            <w:r w:rsidRPr="00487834">
              <w:rPr>
                <w:i/>
                <w:iCs/>
                <w:color w:val="000000"/>
              </w:rPr>
              <w:t>ICR</w:t>
            </w:r>
          </w:p>
        </w:tc>
        <w:tc>
          <w:tcPr>
            <w:tcW w:w="1060" w:type="dxa"/>
            <w:tcBorders>
              <w:top w:val="nil"/>
              <w:left w:val="nil"/>
              <w:bottom w:val="nil"/>
              <w:right w:val="nil"/>
            </w:tcBorders>
            <w:shd w:val="clear" w:color="auto" w:fill="auto"/>
            <w:noWrap/>
            <w:vAlign w:val="center"/>
            <w:hideMark/>
          </w:tcPr>
          <w:p w14:paraId="3156C02A" w14:textId="77777777" w:rsidR="00AD365D" w:rsidRPr="00487834" w:rsidRDefault="00AD365D" w:rsidP="001747B1">
            <w:pPr>
              <w:pStyle w:val="NoSpacing"/>
              <w:rPr>
                <w:color w:val="000000"/>
              </w:rPr>
            </w:pPr>
            <w:r w:rsidRPr="00487834">
              <w:rPr>
                <w:color w:val="000000"/>
              </w:rPr>
              <w:t>6.659</w:t>
            </w:r>
          </w:p>
        </w:tc>
        <w:tc>
          <w:tcPr>
            <w:tcW w:w="1060" w:type="dxa"/>
            <w:tcBorders>
              <w:top w:val="nil"/>
              <w:left w:val="nil"/>
              <w:bottom w:val="nil"/>
              <w:right w:val="nil"/>
            </w:tcBorders>
            <w:shd w:val="clear" w:color="auto" w:fill="auto"/>
            <w:noWrap/>
            <w:vAlign w:val="center"/>
            <w:hideMark/>
          </w:tcPr>
          <w:p w14:paraId="6816E339" w14:textId="77777777" w:rsidR="00AD365D" w:rsidRPr="00487834" w:rsidRDefault="00AD365D" w:rsidP="001747B1">
            <w:pPr>
              <w:pStyle w:val="NoSpacing"/>
              <w:rPr>
                <w:color w:val="000000"/>
              </w:rPr>
            </w:pPr>
            <w:r w:rsidRPr="00487834">
              <w:rPr>
                <w:color w:val="000000"/>
              </w:rPr>
              <w:t>10.003</w:t>
            </w:r>
          </w:p>
        </w:tc>
        <w:tc>
          <w:tcPr>
            <w:tcW w:w="1060" w:type="dxa"/>
            <w:tcBorders>
              <w:top w:val="nil"/>
              <w:left w:val="nil"/>
              <w:bottom w:val="nil"/>
              <w:right w:val="nil"/>
            </w:tcBorders>
            <w:shd w:val="clear" w:color="auto" w:fill="auto"/>
            <w:noWrap/>
            <w:vAlign w:val="center"/>
            <w:hideMark/>
          </w:tcPr>
          <w:p w14:paraId="5117FBFD" w14:textId="77777777" w:rsidR="00AD365D" w:rsidRPr="00487834" w:rsidRDefault="00AD365D" w:rsidP="001747B1">
            <w:pPr>
              <w:pStyle w:val="NoSpacing"/>
              <w:rPr>
                <w:color w:val="000000"/>
              </w:rPr>
            </w:pPr>
            <w:r w:rsidRPr="00487834">
              <w:rPr>
                <w:color w:val="000000"/>
              </w:rPr>
              <w:t>547</w:t>
            </w:r>
          </w:p>
        </w:tc>
        <w:tc>
          <w:tcPr>
            <w:tcW w:w="1060" w:type="dxa"/>
            <w:tcBorders>
              <w:top w:val="nil"/>
              <w:left w:val="nil"/>
              <w:bottom w:val="nil"/>
              <w:right w:val="nil"/>
            </w:tcBorders>
            <w:shd w:val="clear" w:color="auto" w:fill="auto"/>
            <w:noWrap/>
            <w:vAlign w:val="center"/>
            <w:hideMark/>
          </w:tcPr>
          <w:p w14:paraId="202B0389" w14:textId="77777777" w:rsidR="00AD365D" w:rsidRPr="00487834" w:rsidRDefault="00AD365D" w:rsidP="001747B1">
            <w:pPr>
              <w:pStyle w:val="NoSpacing"/>
              <w:rPr>
                <w:color w:val="000000"/>
              </w:rPr>
            </w:pPr>
            <w:r w:rsidRPr="00487834">
              <w:rPr>
                <w:color w:val="000000"/>
              </w:rPr>
              <w:t>-36</w:t>
            </w:r>
          </w:p>
        </w:tc>
        <w:tc>
          <w:tcPr>
            <w:tcW w:w="1060" w:type="dxa"/>
            <w:tcBorders>
              <w:top w:val="nil"/>
              <w:left w:val="nil"/>
              <w:bottom w:val="nil"/>
              <w:right w:val="nil"/>
            </w:tcBorders>
            <w:shd w:val="clear" w:color="auto" w:fill="auto"/>
            <w:noWrap/>
            <w:vAlign w:val="center"/>
            <w:hideMark/>
          </w:tcPr>
          <w:p w14:paraId="2D336474" w14:textId="77777777" w:rsidR="00AD365D" w:rsidRPr="00487834" w:rsidRDefault="00AD365D" w:rsidP="001747B1">
            <w:pPr>
              <w:pStyle w:val="NoSpacing"/>
              <w:rPr>
                <w:color w:val="000000"/>
              </w:rPr>
            </w:pPr>
            <w:r w:rsidRPr="00487834">
              <w:rPr>
                <w:color w:val="000000"/>
              </w:rPr>
              <w:t>1.925</w:t>
            </w:r>
          </w:p>
        </w:tc>
        <w:tc>
          <w:tcPr>
            <w:tcW w:w="1080" w:type="dxa"/>
            <w:tcBorders>
              <w:top w:val="nil"/>
              <w:left w:val="nil"/>
              <w:bottom w:val="nil"/>
              <w:right w:val="nil"/>
            </w:tcBorders>
            <w:shd w:val="clear" w:color="auto" w:fill="auto"/>
            <w:noWrap/>
            <w:vAlign w:val="center"/>
            <w:hideMark/>
          </w:tcPr>
          <w:p w14:paraId="27A18D22" w14:textId="77777777" w:rsidR="00AD365D" w:rsidRPr="00487834" w:rsidRDefault="00AD365D" w:rsidP="001747B1">
            <w:pPr>
              <w:pStyle w:val="NoSpacing"/>
              <w:rPr>
                <w:color w:val="000000"/>
              </w:rPr>
            </w:pPr>
            <w:r w:rsidRPr="00487834">
              <w:rPr>
                <w:color w:val="000000"/>
              </w:rPr>
              <w:t>3.358</w:t>
            </w:r>
          </w:p>
        </w:tc>
        <w:tc>
          <w:tcPr>
            <w:tcW w:w="1060" w:type="dxa"/>
            <w:tcBorders>
              <w:top w:val="nil"/>
              <w:left w:val="nil"/>
              <w:bottom w:val="nil"/>
              <w:right w:val="nil"/>
            </w:tcBorders>
            <w:shd w:val="clear" w:color="auto" w:fill="auto"/>
            <w:noWrap/>
            <w:vAlign w:val="center"/>
            <w:hideMark/>
          </w:tcPr>
          <w:p w14:paraId="7BB026C4" w14:textId="77777777" w:rsidR="00AD365D" w:rsidRPr="00487834" w:rsidRDefault="00AD365D" w:rsidP="001747B1">
            <w:pPr>
              <w:pStyle w:val="NoSpacing"/>
              <w:rPr>
                <w:color w:val="000000"/>
              </w:rPr>
            </w:pPr>
            <w:r w:rsidRPr="00487834">
              <w:rPr>
                <w:color w:val="000000"/>
              </w:rPr>
              <w:t>6.707</w:t>
            </w:r>
          </w:p>
        </w:tc>
        <w:tc>
          <w:tcPr>
            <w:tcW w:w="1060" w:type="dxa"/>
            <w:tcBorders>
              <w:top w:val="nil"/>
              <w:left w:val="nil"/>
              <w:bottom w:val="nil"/>
              <w:right w:val="nil"/>
            </w:tcBorders>
            <w:shd w:val="clear" w:color="auto" w:fill="auto"/>
            <w:noWrap/>
            <w:vAlign w:val="center"/>
            <w:hideMark/>
          </w:tcPr>
          <w:p w14:paraId="2FCC301B" w14:textId="77777777" w:rsidR="00AD365D" w:rsidRPr="00487834" w:rsidRDefault="00AD365D" w:rsidP="001747B1">
            <w:pPr>
              <w:pStyle w:val="NoSpacing"/>
              <w:rPr>
                <w:color w:val="000000"/>
              </w:rPr>
            </w:pPr>
            <w:r w:rsidRPr="00487834">
              <w:rPr>
                <w:color w:val="000000"/>
              </w:rPr>
              <w:t>54.262</w:t>
            </w:r>
          </w:p>
        </w:tc>
      </w:tr>
      <w:tr w:rsidR="00AD365D" w:rsidRPr="00487834" w14:paraId="053163D0" w14:textId="77777777" w:rsidTr="001747B1">
        <w:trPr>
          <w:trHeight w:val="560"/>
          <w:jc w:val="center"/>
        </w:trPr>
        <w:tc>
          <w:tcPr>
            <w:tcW w:w="1180" w:type="dxa"/>
            <w:tcBorders>
              <w:top w:val="nil"/>
              <w:left w:val="nil"/>
              <w:bottom w:val="nil"/>
              <w:right w:val="nil"/>
            </w:tcBorders>
            <w:shd w:val="clear" w:color="auto" w:fill="auto"/>
            <w:noWrap/>
            <w:vAlign w:val="center"/>
            <w:hideMark/>
          </w:tcPr>
          <w:p w14:paraId="052BBF78" w14:textId="77777777" w:rsidR="00AD365D" w:rsidRPr="00487834" w:rsidRDefault="00AD365D" w:rsidP="001747B1">
            <w:pPr>
              <w:pStyle w:val="NoSpacing"/>
              <w:rPr>
                <w:i/>
                <w:iCs/>
                <w:color w:val="000000"/>
              </w:rPr>
            </w:pPr>
            <w:r w:rsidRPr="00487834">
              <w:rPr>
                <w:i/>
                <w:iCs/>
                <w:color w:val="000000"/>
              </w:rPr>
              <w:t>ROA</w:t>
            </w:r>
          </w:p>
        </w:tc>
        <w:tc>
          <w:tcPr>
            <w:tcW w:w="1060" w:type="dxa"/>
            <w:tcBorders>
              <w:top w:val="nil"/>
              <w:left w:val="nil"/>
              <w:bottom w:val="nil"/>
              <w:right w:val="nil"/>
            </w:tcBorders>
            <w:shd w:val="clear" w:color="auto" w:fill="auto"/>
            <w:noWrap/>
            <w:vAlign w:val="center"/>
            <w:hideMark/>
          </w:tcPr>
          <w:p w14:paraId="7A5D0FD2" w14:textId="77777777" w:rsidR="00AD365D" w:rsidRPr="00487834" w:rsidRDefault="00AD365D" w:rsidP="001747B1">
            <w:pPr>
              <w:pStyle w:val="NoSpacing"/>
              <w:rPr>
                <w:color w:val="000000"/>
              </w:rPr>
            </w:pPr>
            <w:r w:rsidRPr="00487834">
              <w:rPr>
                <w:color w:val="000000"/>
              </w:rPr>
              <w:t>0.044</w:t>
            </w:r>
          </w:p>
        </w:tc>
        <w:tc>
          <w:tcPr>
            <w:tcW w:w="1060" w:type="dxa"/>
            <w:tcBorders>
              <w:top w:val="nil"/>
              <w:left w:val="nil"/>
              <w:bottom w:val="nil"/>
              <w:right w:val="nil"/>
            </w:tcBorders>
            <w:shd w:val="clear" w:color="auto" w:fill="auto"/>
            <w:noWrap/>
            <w:vAlign w:val="center"/>
            <w:hideMark/>
          </w:tcPr>
          <w:p w14:paraId="5F34D217" w14:textId="77777777" w:rsidR="00AD365D" w:rsidRPr="00487834" w:rsidRDefault="00AD365D" w:rsidP="001747B1">
            <w:pPr>
              <w:pStyle w:val="NoSpacing"/>
              <w:rPr>
                <w:color w:val="000000"/>
              </w:rPr>
            </w:pPr>
            <w:r w:rsidRPr="00487834">
              <w:rPr>
                <w:color w:val="000000"/>
              </w:rPr>
              <w:t>0.053</w:t>
            </w:r>
          </w:p>
        </w:tc>
        <w:tc>
          <w:tcPr>
            <w:tcW w:w="1060" w:type="dxa"/>
            <w:tcBorders>
              <w:top w:val="nil"/>
              <w:left w:val="nil"/>
              <w:bottom w:val="nil"/>
              <w:right w:val="nil"/>
            </w:tcBorders>
            <w:shd w:val="clear" w:color="auto" w:fill="auto"/>
            <w:noWrap/>
            <w:vAlign w:val="center"/>
            <w:hideMark/>
          </w:tcPr>
          <w:p w14:paraId="086C9E4A" w14:textId="77777777" w:rsidR="00AD365D" w:rsidRPr="00487834" w:rsidRDefault="00AD365D" w:rsidP="001747B1">
            <w:pPr>
              <w:pStyle w:val="NoSpacing"/>
              <w:rPr>
                <w:color w:val="000000"/>
              </w:rPr>
            </w:pPr>
            <w:r w:rsidRPr="00487834">
              <w:rPr>
                <w:color w:val="000000"/>
              </w:rPr>
              <w:t>547</w:t>
            </w:r>
          </w:p>
        </w:tc>
        <w:tc>
          <w:tcPr>
            <w:tcW w:w="1060" w:type="dxa"/>
            <w:tcBorders>
              <w:top w:val="nil"/>
              <w:left w:val="nil"/>
              <w:bottom w:val="nil"/>
              <w:right w:val="nil"/>
            </w:tcBorders>
            <w:shd w:val="clear" w:color="auto" w:fill="auto"/>
            <w:noWrap/>
            <w:vAlign w:val="center"/>
            <w:hideMark/>
          </w:tcPr>
          <w:p w14:paraId="4A013FDE" w14:textId="77777777" w:rsidR="00AD365D" w:rsidRPr="00487834" w:rsidRDefault="00AD365D" w:rsidP="001747B1">
            <w:pPr>
              <w:pStyle w:val="NoSpacing"/>
              <w:rPr>
                <w:color w:val="000000"/>
              </w:rPr>
            </w:pPr>
            <w:r w:rsidRPr="00487834">
              <w:rPr>
                <w:color w:val="000000"/>
              </w:rPr>
              <w:t>-0.136</w:t>
            </w:r>
          </w:p>
        </w:tc>
        <w:tc>
          <w:tcPr>
            <w:tcW w:w="1060" w:type="dxa"/>
            <w:tcBorders>
              <w:top w:val="nil"/>
              <w:left w:val="nil"/>
              <w:bottom w:val="nil"/>
              <w:right w:val="nil"/>
            </w:tcBorders>
            <w:shd w:val="clear" w:color="auto" w:fill="auto"/>
            <w:noWrap/>
            <w:vAlign w:val="center"/>
            <w:hideMark/>
          </w:tcPr>
          <w:p w14:paraId="2CFC1053" w14:textId="77777777" w:rsidR="00AD365D" w:rsidRPr="00487834" w:rsidRDefault="00AD365D" w:rsidP="001747B1">
            <w:pPr>
              <w:pStyle w:val="NoSpacing"/>
              <w:rPr>
                <w:color w:val="000000"/>
              </w:rPr>
            </w:pPr>
            <w:r w:rsidRPr="00487834">
              <w:rPr>
                <w:color w:val="000000"/>
              </w:rPr>
              <w:t>0.003</w:t>
            </w:r>
          </w:p>
        </w:tc>
        <w:tc>
          <w:tcPr>
            <w:tcW w:w="1080" w:type="dxa"/>
            <w:tcBorders>
              <w:top w:val="nil"/>
              <w:left w:val="nil"/>
              <w:bottom w:val="nil"/>
              <w:right w:val="nil"/>
            </w:tcBorders>
            <w:shd w:val="clear" w:color="auto" w:fill="auto"/>
            <w:noWrap/>
            <w:vAlign w:val="center"/>
            <w:hideMark/>
          </w:tcPr>
          <w:p w14:paraId="5D0B1079" w14:textId="77777777" w:rsidR="00AD365D" w:rsidRPr="00487834" w:rsidRDefault="00AD365D" w:rsidP="001747B1">
            <w:pPr>
              <w:pStyle w:val="NoSpacing"/>
              <w:rPr>
                <w:color w:val="000000"/>
              </w:rPr>
            </w:pPr>
            <w:r w:rsidRPr="00487834">
              <w:rPr>
                <w:color w:val="000000"/>
              </w:rPr>
              <w:t>0.039</w:t>
            </w:r>
          </w:p>
        </w:tc>
        <w:tc>
          <w:tcPr>
            <w:tcW w:w="1060" w:type="dxa"/>
            <w:tcBorders>
              <w:top w:val="nil"/>
              <w:left w:val="nil"/>
              <w:bottom w:val="nil"/>
              <w:right w:val="nil"/>
            </w:tcBorders>
            <w:shd w:val="clear" w:color="auto" w:fill="auto"/>
            <w:noWrap/>
            <w:vAlign w:val="center"/>
            <w:hideMark/>
          </w:tcPr>
          <w:p w14:paraId="0C83E760" w14:textId="77777777" w:rsidR="00AD365D" w:rsidRPr="00487834" w:rsidRDefault="00AD365D" w:rsidP="001747B1">
            <w:pPr>
              <w:pStyle w:val="NoSpacing"/>
              <w:rPr>
                <w:color w:val="000000"/>
              </w:rPr>
            </w:pPr>
            <w:r w:rsidRPr="00487834">
              <w:rPr>
                <w:color w:val="000000"/>
              </w:rPr>
              <w:t>0.072</w:t>
            </w:r>
          </w:p>
        </w:tc>
        <w:tc>
          <w:tcPr>
            <w:tcW w:w="1060" w:type="dxa"/>
            <w:tcBorders>
              <w:top w:val="nil"/>
              <w:left w:val="nil"/>
              <w:bottom w:val="nil"/>
              <w:right w:val="nil"/>
            </w:tcBorders>
            <w:shd w:val="clear" w:color="auto" w:fill="auto"/>
            <w:noWrap/>
            <w:vAlign w:val="center"/>
            <w:hideMark/>
          </w:tcPr>
          <w:p w14:paraId="3B4FF331" w14:textId="77777777" w:rsidR="00AD365D" w:rsidRPr="00487834" w:rsidRDefault="00AD365D" w:rsidP="001747B1">
            <w:pPr>
              <w:pStyle w:val="NoSpacing"/>
              <w:rPr>
                <w:color w:val="000000"/>
              </w:rPr>
            </w:pPr>
            <w:r w:rsidRPr="00487834">
              <w:rPr>
                <w:color w:val="000000"/>
              </w:rPr>
              <w:t>0.219</w:t>
            </w:r>
          </w:p>
        </w:tc>
      </w:tr>
      <w:tr w:rsidR="00AD365D" w:rsidRPr="00487834" w14:paraId="3F0ECA65" w14:textId="77777777" w:rsidTr="001747B1">
        <w:trPr>
          <w:trHeight w:val="560"/>
          <w:jc w:val="center"/>
        </w:trPr>
        <w:tc>
          <w:tcPr>
            <w:tcW w:w="1180" w:type="dxa"/>
            <w:tcBorders>
              <w:top w:val="nil"/>
              <w:left w:val="nil"/>
              <w:bottom w:val="nil"/>
              <w:right w:val="nil"/>
            </w:tcBorders>
            <w:shd w:val="clear" w:color="auto" w:fill="auto"/>
            <w:noWrap/>
            <w:vAlign w:val="center"/>
            <w:hideMark/>
          </w:tcPr>
          <w:p w14:paraId="52CEE134" w14:textId="77777777" w:rsidR="00AD365D" w:rsidRPr="00487834" w:rsidRDefault="00AD365D" w:rsidP="001747B1">
            <w:pPr>
              <w:pStyle w:val="NoSpacing"/>
              <w:rPr>
                <w:i/>
                <w:iCs/>
                <w:color w:val="000000"/>
              </w:rPr>
            </w:pPr>
            <w:r w:rsidRPr="00487834">
              <w:rPr>
                <w:i/>
                <w:iCs/>
                <w:color w:val="000000"/>
              </w:rPr>
              <w:t>Current</w:t>
            </w:r>
          </w:p>
        </w:tc>
        <w:tc>
          <w:tcPr>
            <w:tcW w:w="1060" w:type="dxa"/>
            <w:tcBorders>
              <w:top w:val="nil"/>
              <w:left w:val="nil"/>
              <w:bottom w:val="nil"/>
              <w:right w:val="nil"/>
            </w:tcBorders>
            <w:shd w:val="clear" w:color="auto" w:fill="auto"/>
            <w:noWrap/>
            <w:vAlign w:val="center"/>
            <w:hideMark/>
          </w:tcPr>
          <w:p w14:paraId="65A25C08" w14:textId="77777777" w:rsidR="00AD365D" w:rsidRPr="00487834" w:rsidRDefault="00AD365D" w:rsidP="001747B1">
            <w:pPr>
              <w:pStyle w:val="NoSpacing"/>
              <w:rPr>
                <w:color w:val="000000"/>
              </w:rPr>
            </w:pPr>
            <w:r w:rsidRPr="00487834">
              <w:rPr>
                <w:color w:val="000000"/>
              </w:rPr>
              <w:t>1.971</w:t>
            </w:r>
          </w:p>
        </w:tc>
        <w:tc>
          <w:tcPr>
            <w:tcW w:w="1060" w:type="dxa"/>
            <w:tcBorders>
              <w:top w:val="nil"/>
              <w:left w:val="nil"/>
              <w:bottom w:val="nil"/>
              <w:right w:val="nil"/>
            </w:tcBorders>
            <w:shd w:val="clear" w:color="auto" w:fill="auto"/>
            <w:noWrap/>
            <w:vAlign w:val="center"/>
            <w:hideMark/>
          </w:tcPr>
          <w:p w14:paraId="20B19E70" w14:textId="77777777" w:rsidR="00AD365D" w:rsidRPr="00487834" w:rsidRDefault="00AD365D" w:rsidP="001747B1">
            <w:pPr>
              <w:pStyle w:val="NoSpacing"/>
              <w:rPr>
                <w:color w:val="000000"/>
              </w:rPr>
            </w:pPr>
            <w:r w:rsidRPr="00487834">
              <w:rPr>
                <w:color w:val="000000"/>
              </w:rPr>
              <w:t>1.430</w:t>
            </w:r>
          </w:p>
        </w:tc>
        <w:tc>
          <w:tcPr>
            <w:tcW w:w="1060" w:type="dxa"/>
            <w:tcBorders>
              <w:top w:val="nil"/>
              <w:left w:val="nil"/>
              <w:bottom w:val="nil"/>
              <w:right w:val="nil"/>
            </w:tcBorders>
            <w:shd w:val="clear" w:color="auto" w:fill="auto"/>
            <w:noWrap/>
            <w:vAlign w:val="center"/>
            <w:hideMark/>
          </w:tcPr>
          <w:p w14:paraId="5917E802" w14:textId="77777777" w:rsidR="00AD365D" w:rsidRPr="00487834" w:rsidRDefault="00AD365D" w:rsidP="001747B1">
            <w:pPr>
              <w:pStyle w:val="NoSpacing"/>
              <w:rPr>
                <w:color w:val="000000"/>
              </w:rPr>
            </w:pPr>
            <w:r w:rsidRPr="00487834">
              <w:rPr>
                <w:color w:val="000000"/>
              </w:rPr>
              <w:t>547</w:t>
            </w:r>
          </w:p>
        </w:tc>
        <w:tc>
          <w:tcPr>
            <w:tcW w:w="1060" w:type="dxa"/>
            <w:tcBorders>
              <w:top w:val="nil"/>
              <w:left w:val="nil"/>
              <w:bottom w:val="nil"/>
              <w:right w:val="nil"/>
            </w:tcBorders>
            <w:shd w:val="clear" w:color="auto" w:fill="auto"/>
            <w:noWrap/>
            <w:vAlign w:val="center"/>
            <w:hideMark/>
          </w:tcPr>
          <w:p w14:paraId="052C6CD9" w14:textId="77777777" w:rsidR="00AD365D" w:rsidRPr="00487834" w:rsidRDefault="00AD365D" w:rsidP="001747B1">
            <w:pPr>
              <w:pStyle w:val="NoSpacing"/>
              <w:rPr>
                <w:color w:val="000000"/>
              </w:rPr>
            </w:pPr>
            <w:r w:rsidRPr="00487834">
              <w:rPr>
                <w:color w:val="000000"/>
              </w:rPr>
              <w:t>0.344</w:t>
            </w:r>
          </w:p>
        </w:tc>
        <w:tc>
          <w:tcPr>
            <w:tcW w:w="1060" w:type="dxa"/>
            <w:tcBorders>
              <w:top w:val="nil"/>
              <w:left w:val="nil"/>
              <w:bottom w:val="nil"/>
              <w:right w:val="nil"/>
            </w:tcBorders>
            <w:shd w:val="clear" w:color="auto" w:fill="auto"/>
            <w:noWrap/>
            <w:vAlign w:val="center"/>
            <w:hideMark/>
          </w:tcPr>
          <w:p w14:paraId="14586553" w14:textId="77777777" w:rsidR="00AD365D" w:rsidRPr="00487834" w:rsidRDefault="00AD365D" w:rsidP="001747B1">
            <w:pPr>
              <w:pStyle w:val="NoSpacing"/>
              <w:rPr>
                <w:color w:val="000000"/>
              </w:rPr>
            </w:pPr>
            <w:r w:rsidRPr="00487834">
              <w:rPr>
                <w:color w:val="000000"/>
              </w:rPr>
              <w:t>1.179</w:t>
            </w:r>
          </w:p>
        </w:tc>
        <w:tc>
          <w:tcPr>
            <w:tcW w:w="1080" w:type="dxa"/>
            <w:tcBorders>
              <w:top w:val="nil"/>
              <w:left w:val="nil"/>
              <w:bottom w:val="nil"/>
              <w:right w:val="nil"/>
            </w:tcBorders>
            <w:shd w:val="clear" w:color="auto" w:fill="auto"/>
            <w:noWrap/>
            <w:vAlign w:val="center"/>
            <w:hideMark/>
          </w:tcPr>
          <w:p w14:paraId="1E33E63D" w14:textId="77777777" w:rsidR="00AD365D" w:rsidRPr="00487834" w:rsidRDefault="00AD365D" w:rsidP="001747B1">
            <w:pPr>
              <w:pStyle w:val="NoSpacing"/>
              <w:rPr>
                <w:color w:val="000000"/>
              </w:rPr>
            </w:pPr>
            <w:r w:rsidRPr="00487834">
              <w:rPr>
                <w:color w:val="000000"/>
              </w:rPr>
              <w:t>1.588</w:t>
            </w:r>
          </w:p>
        </w:tc>
        <w:tc>
          <w:tcPr>
            <w:tcW w:w="1060" w:type="dxa"/>
            <w:tcBorders>
              <w:top w:val="nil"/>
              <w:left w:val="nil"/>
              <w:bottom w:val="nil"/>
              <w:right w:val="nil"/>
            </w:tcBorders>
            <w:shd w:val="clear" w:color="auto" w:fill="auto"/>
            <w:noWrap/>
            <w:vAlign w:val="center"/>
            <w:hideMark/>
          </w:tcPr>
          <w:p w14:paraId="481477C5" w14:textId="77777777" w:rsidR="00AD365D" w:rsidRPr="00487834" w:rsidRDefault="00AD365D" w:rsidP="001747B1">
            <w:pPr>
              <w:pStyle w:val="NoSpacing"/>
              <w:rPr>
                <w:color w:val="000000"/>
              </w:rPr>
            </w:pPr>
            <w:r w:rsidRPr="00487834">
              <w:rPr>
                <w:color w:val="000000"/>
              </w:rPr>
              <w:t>2.102</w:t>
            </w:r>
          </w:p>
        </w:tc>
        <w:tc>
          <w:tcPr>
            <w:tcW w:w="1060" w:type="dxa"/>
            <w:tcBorders>
              <w:top w:val="nil"/>
              <w:left w:val="nil"/>
              <w:bottom w:val="nil"/>
              <w:right w:val="nil"/>
            </w:tcBorders>
            <w:shd w:val="clear" w:color="auto" w:fill="auto"/>
            <w:noWrap/>
            <w:vAlign w:val="center"/>
            <w:hideMark/>
          </w:tcPr>
          <w:p w14:paraId="54439097" w14:textId="77777777" w:rsidR="00AD365D" w:rsidRPr="00487834" w:rsidRDefault="00AD365D" w:rsidP="001747B1">
            <w:pPr>
              <w:pStyle w:val="NoSpacing"/>
              <w:rPr>
                <w:color w:val="000000"/>
              </w:rPr>
            </w:pPr>
            <w:r w:rsidRPr="00487834">
              <w:rPr>
                <w:color w:val="000000"/>
              </w:rPr>
              <w:t>9.124</w:t>
            </w:r>
          </w:p>
        </w:tc>
      </w:tr>
      <w:tr w:rsidR="00AD365D" w:rsidRPr="00487834" w14:paraId="076442BB" w14:textId="77777777" w:rsidTr="001747B1">
        <w:trPr>
          <w:trHeight w:val="560"/>
          <w:jc w:val="center"/>
        </w:trPr>
        <w:tc>
          <w:tcPr>
            <w:tcW w:w="1180" w:type="dxa"/>
            <w:tcBorders>
              <w:top w:val="nil"/>
              <w:left w:val="nil"/>
              <w:bottom w:val="nil"/>
              <w:right w:val="nil"/>
            </w:tcBorders>
            <w:shd w:val="clear" w:color="auto" w:fill="auto"/>
            <w:noWrap/>
            <w:vAlign w:val="center"/>
            <w:hideMark/>
          </w:tcPr>
          <w:p w14:paraId="357760DB" w14:textId="77777777" w:rsidR="00AD365D" w:rsidRPr="00487834" w:rsidRDefault="00AD365D" w:rsidP="001747B1">
            <w:pPr>
              <w:pStyle w:val="NoSpacing"/>
              <w:rPr>
                <w:i/>
                <w:iCs/>
                <w:color w:val="000000"/>
              </w:rPr>
            </w:pPr>
            <w:r w:rsidRPr="00487834">
              <w:rPr>
                <w:i/>
                <w:iCs/>
                <w:color w:val="000000"/>
              </w:rPr>
              <w:t>LEV</w:t>
            </w:r>
          </w:p>
        </w:tc>
        <w:tc>
          <w:tcPr>
            <w:tcW w:w="1060" w:type="dxa"/>
            <w:tcBorders>
              <w:top w:val="nil"/>
              <w:left w:val="nil"/>
              <w:bottom w:val="nil"/>
              <w:right w:val="nil"/>
            </w:tcBorders>
            <w:shd w:val="clear" w:color="auto" w:fill="auto"/>
            <w:noWrap/>
            <w:vAlign w:val="center"/>
            <w:hideMark/>
          </w:tcPr>
          <w:p w14:paraId="3FCB7512" w14:textId="77777777" w:rsidR="00AD365D" w:rsidRPr="00487834" w:rsidRDefault="00AD365D" w:rsidP="001747B1">
            <w:pPr>
              <w:pStyle w:val="NoSpacing"/>
              <w:rPr>
                <w:color w:val="000000"/>
              </w:rPr>
            </w:pPr>
            <w:r w:rsidRPr="00487834">
              <w:rPr>
                <w:color w:val="000000"/>
              </w:rPr>
              <w:t>0.317</w:t>
            </w:r>
          </w:p>
        </w:tc>
        <w:tc>
          <w:tcPr>
            <w:tcW w:w="1060" w:type="dxa"/>
            <w:tcBorders>
              <w:top w:val="nil"/>
              <w:left w:val="nil"/>
              <w:bottom w:val="nil"/>
              <w:right w:val="nil"/>
            </w:tcBorders>
            <w:shd w:val="clear" w:color="auto" w:fill="auto"/>
            <w:noWrap/>
            <w:vAlign w:val="center"/>
            <w:hideMark/>
          </w:tcPr>
          <w:p w14:paraId="7B570043" w14:textId="77777777" w:rsidR="00AD365D" w:rsidRPr="00487834" w:rsidRDefault="00AD365D" w:rsidP="001747B1">
            <w:pPr>
              <w:pStyle w:val="NoSpacing"/>
              <w:rPr>
                <w:color w:val="000000"/>
              </w:rPr>
            </w:pPr>
            <w:r w:rsidRPr="00487834">
              <w:rPr>
                <w:color w:val="000000"/>
              </w:rPr>
              <w:t>0.177</w:t>
            </w:r>
          </w:p>
        </w:tc>
        <w:tc>
          <w:tcPr>
            <w:tcW w:w="1060" w:type="dxa"/>
            <w:tcBorders>
              <w:top w:val="nil"/>
              <w:left w:val="nil"/>
              <w:bottom w:val="nil"/>
              <w:right w:val="nil"/>
            </w:tcBorders>
            <w:shd w:val="clear" w:color="auto" w:fill="auto"/>
            <w:noWrap/>
            <w:vAlign w:val="center"/>
            <w:hideMark/>
          </w:tcPr>
          <w:p w14:paraId="53B20A8B" w14:textId="77777777" w:rsidR="00AD365D" w:rsidRPr="00487834" w:rsidRDefault="00AD365D" w:rsidP="001747B1">
            <w:pPr>
              <w:pStyle w:val="NoSpacing"/>
              <w:rPr>
                <w:color w:val="000000"/>
              </w:rPr>
            </w:pPr>
            <w:r w:rsidRPr="00487834">
              <w:rPr>
                <w:color w:val="000000"/>
              </w:rPr>
              <w:t>547</w:t>
            </w:r>
          </w:p>
        </w:tc>
        <w:tc>
          <w:tcPr>
            <w:tcW w:w="1060" w:type="dxa"/>
            <w:tcBorders>
              <w:top w:val="nil"/>
              <w:left w:val="nil"/>
              <w:bottom w:val="nil"/>
              <w:right w:val="nil"/>
            </w:tcBorders>
            <w:shd w:val="clear" w:color="auto" w:fill="auto"/>
            <w:noWrap/>
            <w:vAlign w:val="center"/>
            <w:hideMark/>
          </w:tcPr>
          <w:p w14:paraId="704B483E" w14:textId="77777777" w:rsidR="00AD365D" w:rsidRPr="00487834" w:rsidRDefault="00AD365D" w:rsidP="001747B1">
            <w:pPr>
              <w:pStyle w:val="NoSpacing"/>
              <w:rPr>
                <w:color w:val="000000"/>
              </w:rPr>
            </w:pPr>
            <w:r w:rsidRPr="00487834">
              <w:rPr>
                <w:color w:val="000000"/>
              </w:rPr>
              <w:t>0.000</w:t>
            </w:r>
          </w:p>
        </w:tc>
        <w:tc>
          <w:tcPr>
            <w:tcW w:w="1060" w:type="dxa"/>
            <w:tcBorders>
              <w:top w:val="nil"/>
              <w:left w:val="nil"/>
              <w:bottom w:val="nil"/>
              <w:right w:val="nil"/>
            </w:tcBorders>
            <w:shd w:val="clear" w:color="auto" w:fill="auto"/>
            <w:noWrap/>
            <w:vAlign w:val="center"/>
            <w:hideMark/>
          </w:tcPr>
          <w:p w14:paraId="131F52E2" w14:textId="77777777" w:rsidR="00AD365D" w:rsidRPr="00487834" w:rsidRDefault="00AD365D" w:rsidP="001747B1">
            <w:pPr>
              <w:pStyle w:val="NoSpacing"/>
              <w:rPr>
                <w:color w:val="000000"/>
              </w:rPr>
            </w:pPr>
            <w:r w:rsidRPr="00487834">
              <w:rPr>
                <w:color w:val="000000"/>
              </w:rPr>
              <w:t>0.202</w:t>
            </w:r>
          </w:p>
        </w:tc>
        <w:tc>
          <w:tcPr>
            <w:tcW w:w="1080" w:type="dxa"/>
            <w:tcBorders>
              <w:top w:val="nil"/>
              <w:left w:val="nil"/>
              <w:bottom w:val="nil"/>
              <w:right w:val="nil"/>
            </w:tcBorders>
            <w:shd w:val="clear" w:color="auto" w:fill="auto"/>
            <w:noWrap/>
            <w:vAlign w:val="center"/>
            <w:hideMark/>
          </w:tcPr>
          <w:p w14:paraId="33BB7235" w14:textId="77777777" w:rsidR="00AD365D" w:rsidRPr="00487834" w:rsidRDefault="00AD365D" w:rsidP="001747B1">
            <w:pPr>
              <w:pStyle w:val="NoSpacing"/>
              <w:rPr>
                <w:color w:val="000000"/>
              </w:rPr>
            </w:pPr>
            <w:r w:rsidRPr="00487834">
              <w:rPr>
                <w:color w:val="000000"/>
              </w:rPr>
              <w:t>0.323</w:t>
            </w:r>
          </w:p>
        </w:tc>
        <w:tc>
          <w:tcPr>
            <w:tcW w:w="1060" w:type="dxa"/>
            <w:tcBorders>
              <w:top w:val="nil"/>
              <w:left w:val="nil"/>
              <w:bottom w:val="nil"/>
              <w:right w:val="nil"/>
            </w:tcBorders>
            <w:shd w:val="clear" w:color="auto" w:fill="auto"/>
            <w:noWrap/>
            <w:vAlign w:val="center"/>
            <w:hideMark/>
          </w:tcPr>
          <w:p w14:paraId="39192762" w14:textId="77777777" w:rsidR="00AD365D" w:rsidRPr="00487834" w:rsidRDefault="00AD365D" w:rsidP="001747B1">
            <w:pPr>
              <w:pStyle w:val="NoSpacing"/>
              <w:rPr>
                <w:color w:val="000000"/>
              </w:rPr>
            </w:pPr>
            <w:r w:rsidRPr="00487834">
              <w:rPr>
                <w:color w:val="000000"/>
              </w:rPr>
              <w:t>0.438</w:t>
            </w:r>
          </w:p>
        </w:tc>
        <w:tc>
          <w:tcPr>
            <w:tcW w:w="1060" w:type="dxa"/>
            <w:tcBorders>
              <w:top w:val="nil"/>
              <w:left w:val="nil"/>
              <w:bottom w:val="nil"/>
              <w:right w:val="nil"/>
            </w:tcBorders>
            <w:shd w:val="clear" w:color="auto" w:fill="auto"/>
            <w:noWrap/>
            <w:vAlign w:val="center"/>
            <w:hideMark/>
          </w:tcPr>
          <w:p w14:paraId="1508A30F" w14:textId="77777777" w:rsidR="00AD365D" w:rsidRPr="00487834" w:rsidRDefault="00AD365D" w:rsidP="001747B1">
            <w:pPr>
              <w:pStyle w:val="NoSpacing"/>
              <w:rPr>
                <w:color w:val="000000"/>
              </w:rPr>
            </w:pPr>
            <w:r w:rsidRPr="00487834">
              <w:rPr>
                <w:color w:val="000000"/>
              </w:rPr>
              <w:t>0.795</w:t>
            </w:r>
          </w:p>
        </w:tc>
      </w:tr>
      <w:tr w:rsidR="00AD365D" w:rsidRPr="00487834" w14:paraId="7E416071" w14:textId="77777777" w:rsidTr="001747B1">
        <w:trPr>
          <w:trHeight w:val="540"/>
          <w:jc w:val="center"/>
        </w:trPr>
        <w:tc>
          <w:tcPr>
            <w:tcW w:w="1180" w:type="dxa"/>
            <w:tcBorders>
              <w:top w:val="nil"/>
              <w:left w:val="nil"/>
              <w:bottom w:val="nil"/>
              <w:right w:val="nil"/>
            </w:tcBorders>
            <w:shd w:val="clear" w:color="auto" w:fill="auto"/>
            <w:noWrap/>
            <w:vAlign w:val="center"/>
            <w:hideMark/>
          </w:tcPr>
          <w:p w14:paraId="2C60AFF7" w14:textId="77777777" w:rsidR="00AD365D" w:rsidRPr="00487834" w:rsidRDefault="00AD365D" w:rsidP="001747B1">
            <w:pPr>
              <w:pStyle w:val="NoSpacing"/>
              <w:rPr>
                <w:i/>
                <w:iCs/>
                <w:color w:val="000000"/>
              </w:rPr>
            </w:pPr>
            <w:r w:rsidRPr="00487834">
              <w:rPr>
                <w:i/>
                <w:iCs/>
                <w:color w:val="000000"/>
              </w:rPr>
              <w:t>ND/EBITDA</w:t>
            </w:r>
          </w:p>
        </w:tc>
        <w:tc>
          <w:tcPr>
            <w:tcW w:w="1060" w:type="dxa"/>
            <w:tcBorders>
              <w:top w:val="nil"/>
              <w:left w:val="nil"/>
              <w:bottom w:val="nil"/>
              <w:right w:val="nil"/>
            </w:tcBorders>
            <w:shd w:val="clear" w:color="auto" w:fill="auto"/>
            <w:noWrap/>
            <w:vAlign w:val="center"/>
            <w:hideMark/>
          </w:tcPr>
          <w:p w14:paraId="144B5AC5" w14:textId="77777777" w:rsidR="00AD365D" w:rsidRPr="00487834" w:rsidRDefault="00AD365D" w:rsidP="001747B1">
            <w:pPr>
              <w:pStyle w:val="NoSpacing"/>
              <w:rPr>
                <w:color w:val="000000"/>
              </w:rPr>
            </w:pPr>
            <w:r w:rsidRPr="00487834">
              <w:rPr>
                <w:color w:val="000000"/>
              </w:rPr>
              <w:t>2.070</w:t>
            </w:r>
          </w:p>
        </w:tc>
        <w:tc>
          <w:tcPr>
            <w:tcW w:w="1060" w:type="dxa"/>
            <w:tcBorders>
              <w:top w:val="nil"/>
              <w:left w:val="nil"/>
              <w:bottom w:val="nil"/>
              <w:right w:val="nil"/>
            </w:tcBorders>
            <w:shd w:val="clear" w:color="auto" w:fill="auto"/>
            <w:noWrap/>
            <w:vAlign w:val="center"/>
            <w:hideMark/>
          </w:tcPr>
          <w:p w14:paraId="29E5E859" w14:textId="77777777" w:rsidR="00AD365D" w:rsidRPr="00487834" w:rsidRDefault="00AD365D" w:rsidP="001747B1">
            <w:pPr>
              <w:pStyle w:val="NoSpacing"/>
              <w:rPr>
                <w:color w:val="000000"/>
              </w:rPr>
            </w:pPr>
            <w:r w:rsidRPr="00487834">
              <w:rPr>
                <w:color w:val="000000"/>
              </w:rPr>
              <w:t>2.140</w:t>
            </w:r>
          </w:p>
        </w:tc>
        <w:tc>
          <w:tcPr>
            <w:tcW w:w="1060" w:type="dxa"/>
            <w:tcBorders>
              <w:top w:val="nil"/>
              <w:left w:val="nil"/>
              <w:bottom w:val="nil"/>
              <w:right w:val="nil"/>
            </w:tcBorders>
            <w:shd w:val="clear" w:color="auto" w:fill="auto"/>
            <w:noWrap/>
            <w:vAlign w:val="center"/>
            <w:hideMark/>
          </w:tcPr>
          <w:p w14:paraId="740F5B52" w14:textId="77777777" w:rsidR="00AD365D" w:rsidRPr="00487834" w:rsidRDefault="00AD365D" w:rsidP="001747B1">
            <w:pPr>
              <w:pStyle w:val="NoSpacing"/>
              <w:rPr>
                <w:color w:val="000000"/>
              </w:rPr>
            </w:pPr>
            <w:r w:rsidRPr="00487834">
              <w:rPr>
                <w:color w:val="000000"/>
              </w:rPr>
              <w:t>547</w:t>
            </w:r>
          </w:p>
        </w:tc>
        <w:tc>
          <w:tcPr>
            <w:tcW w:w="1060" w:type="dxa"/>
            <w:tcBorders>
              <w:top w:val="nil"/>
              <w:left w:val="nil"/>
              <w:bottom w:val="nil"/>
              <w:right w:val="nil"/>
            </w:tcBorders>
            <w:shd w:val="clear" w:color="auto" w:fill="auto"/>
            <w:noWrap/>
            <w:vAlign w:val="center"/>
            <w:hideMark/>
          </w:tcPr>
          <w:p w14:paraId="0C2F5373" w14:textId="77777777" w:rsidR="00AD365D" w:rsidRPr="00487834" w:rsidRDefault="00AD365D" w:rsidP="001747B1">
            <w:pPr>
              <w:pStyle w:val="NoSpacing"/>
              <w:rPr>
                <w:color w:val="000000"/>
              </w:rPr>
            </w:pPr>
            <w:r w:rsidRPr="00487834">
              <w:rPr>
                <w:color w:val="000000"/>
              </w:rPr>
              <w:t>-4.339</w:t>
            </w:r>
          </w:p>
        </w:tc>
        <w:tc>
          <w:tcPr>
            <w:tcW w:w="1060" w:type="dxa"/>
            <w:tcBorders>
              <w:top w:val="nil"/>
              <w:left w:val="nil"/>
              <w:bottom w:val="nil"/>
              <w:right w:val="nil"/>
            </w:tcBorders>
            <w:shd w:val="clear" w:color="auto" w:fill="auto"/>
            <w:noWrap/>
            <w:vAlign w:val="center"/>
            <w:hideMark/>
          </w:tcPr>
          <w:p w14:paraId="0EA12398" w14:textId="77777777" w:rsidR="00AD365D" w:rsidRPr="00487834" w:rsidRDefault="00AD365D" w:rsidP="001747B1">
            <w:pPr>
              <w:pStyle w:val="NoSpacing"/>
              <w:rPr>
                <w:color w:val="000000"/>
              </w:rPr>
            </w:pPr>
            <w:r w:rsidRPr="00487834">
              <w:rPr>
                <w:color w:val="000000"/>
              </w:rPr>
              <w:t>1</w:t>
            </w:r>
          </w:p>
        </w:tc>
        <w:tc>
          <w:tcPr>
            <w:tcW w:w="1080" w:type="dxa"/>
            <w:tcBorders>
              <w:top w:val="nil"/>
              <w:left w:val="nil"/>
              <w:bottom w:val="nil"/>
              <w:right w:val="nil"/>
            </w:tcBorders>
            <w:shd w:val="clear" w:color="auto" w:fill="auto"/>
            <w:noWrap/>
            <w:vAlign w:val="center"/>
            <w:hideMark/>
          </w:tcPr>
          <w:p w14:paraId="56DF3644" w14:textId="77777777" w:rsidR="00AD365D" w:rsidRPr="00487834" w:rsidRDefault="00AD365D" w:rsidP="001747B1">
            <w:pPr>
              <w:pStyle w:val="NoSpacing"/>
              <w:rPr>
                <w:color w:val="000000"/>
              </w:rPr>
            </w:pPr>
            <w:r w:rsidRPr="00487834">
              <w:rPr>
                <w:color w:val="000000"/>
              </w:rPr>
              <w:t>2.088</w:t>
            </w:r>
          </w:p>
        </w:tc>
        <w:tc>
          <w:tcPr>
            <w:tcW w:w="1060" w:type="dxa"/>
            <w:tcBorders>
              <w:top w:val="nil"/>
              <w:left w:val="nil"/>
              <w:bottom w:val="nil"/>
              <w:right w:val="nil"/>
            </w:tcBorders>
            <w:shd w:val="clear" w:color="auto" w:fill="auto"/>
            <w:noWrap/>
            <w:vAlign w:val="center"/>
            <w:hideMark/>
          </w:tcPr>
          <w:p w14:paraId="4C31A372" w14:textId="77777777" w:rsidR="00AD365D" w:rsidRPr="00487834" w:rsidRDefault="00AD365D" w:rsidP="001747B1">
            <w:pPr>
              <w:pStyle w:val="NoSpacing"/>
              <w:rPr>
                <w:color w:val="000000"/>
              </w:rPr>
            </w:pPr>
            <w:r w:rsidRPr="00487834">
              <w:rPr>
                <w:color w:val="000000"/>
              </w:rPr>
              <w:t>3.146</w:t>
            </w:r>
          </w:p>
        </w:tc>
        <w:tc>
          <w:tcPr>
            <w:tcW w:w="1060" w:type="dxa"/>
            <w:tcBorders>
              <w:top w:val="nil"/>
              <w:left w:val="nil"/>
              <w:bottom w:val="nil"/>
              <w:right w:val="nil"/>
            </w:tcBorders>
            <w:shd w:val="clear" w:color="auto" w:fill="auto"/>
            <w:noWrap/>
            <w:vAlign w:val="center"/>
            <w:hideMark/>
          </w:tcPr>
          <w:p w14:paraId="275836F7" w14:textId="77777777" w:rsidR="00AD365D" w:rsidRPr="00487834" w:rsidRDefault="00AD365D" w:rsidP="001747B1">
            <w:pPr>
              <w:pStyle w:val="NoSpacing"/>
              <w:rPr>
                <w:color w:val="000000"/>
              </w:rPr>
            </w:pPr>
            <w:r w:rsidRPr="00487834">
              <w:rPr>
                <w:color w:val="000000"/>
              </w:rPr>
              <w:t>8.924</w:t>
            </w:r>
          </w:p>
        </w:tc>
      </w:tr>
      <w:tr w:rsidR="00AD365D" w:rsidRPr="00487834" w14:paraId="6444F667" w14:textId="77777777" w:rsidTr="001747B1">
        <w:trPr>
          <w:trHeight w:val="560"/>
          <w:jc w:val="center"/>
        </w:trPr>
        <w:tc>
          <w:tcPr>
            <w:tcW w:w="1180" w:type="dxa"/>
            <w:tcBorders>
              <w:top w:val="nil"/>
              <w:left w:val="nil"/>
              <w:bottom w:val="single" w:sz="4" w:space="0" w:color="auto"/>
              <w:right w:val="nil"/>
            </w:tcBorders>
            <w:shd w:val="clear" w:color="auto" w:fill="auto"/>
            <w:noWrap/>
            <w:vAlign w:val="center"/>
            <w:hideMark/>
          </w:tcPr>
          <w:p w14:paraId="2D1DD087" w14:textId="77777777" w:rsidR="00AD365D" w:rsidRPr="00487834" w:rsidRDefault="00AD365D" w:rsidP="001747B1">
            <w:pPr>
              <w:pStyle w:val="NoSpacing"/>
              <w:rPr>
                <w:i/>
                <w:iCs/>
              </w:rPr>
            </w:pPr>
            <w:r w:rsidRPr="00487834">
              <w:rPr>
                <w:i/>
                <w:iCs/>
              </w:rPr>
              <w:t>TLPA</w:t>
            </w:r>
          </w:p>
        </w:tc>
        <w:tc>
          <w:tcPr>
            <w:tcW w:w="1060" w:type="dxa"/>
            <w:tcBorders>
              <w:top w:val="nil"/>
              <w:left w:val="nil"/>
              <w:bottom w:val="single" w:sz="4" w:space="0" w:color="auto"/>
              <w:right w:val="nil"/>
            </w:tcBorders>
            <w:shd w:val="clear" w:color="auto" w:fill="auto"/>
            <w:noWrap/>
            <w:vAlign w:val="center"/>
            <w:hideMark/>
          </w:tcPr>
          <w:p w14:paraId="6BD5A016" w14:textId="77777777" w:rsidR="00AD365D" w:rsidRPr="00487834" w:rsidRDefault="00AD365D" w:rsidP="001747B1">
            <w:pPr>
              <w:pStyle w:val="NoSpacing"/>
              <w:rPr>
                <w:color w:val="000000"/>
              </w:rPr>
            </w:pPr>
            <w:r w:rsidRPr="00487834">
              <w:rPr>
                <w:color w:val="000000"/>
              </w:rPr>
              <w:t>0.591</w:t>
            </w:r>
          </w:p>
        </w:tc>
        <w:tc>
          <w:tcPr>
            <w:tcW w:w="1060" w:type="dxa"/>
            <w:tcBorders>
              <w:top w:val="nil"/>
              <w:left w:val="nil"/>
              <w:bottom w:val="single" w:sz="4" w:space="0" w:color="auto"/>
              <w:right w:val="nil"/>
            </w:tcBorders>
            <w:shd w:val="clear" w:color="auto" w:fill="auto"/>
            <w:noWrap/>
            <w:vAlign w:val="center"/>
            <w:hideMark/>
          </w:tcPr>
          <w:p w14:paraId="7D6B4C0C" w14:textId="77777777" w:rsidR="00AD365D" w:rsidRPr="00487834" w:rsidRDefault="00AD365D" w:rsidP="001747B1">
            <w:pPr>
              <w:pStyle w:val="NoSpacing"/>
              <w:rPr>
                <w:color w:val="000000"/>
              </w:rPr>
            </w:pPr>
            <w:r w:rsidRPr="00487834">
              <w:rPr>
                <w:color w:val="000000"/>
              </w:rPr>
              <w:t>0.175</w:t>
            </w:r>
          </w:p>
        </w:tc>
        <w:tc>
          <w:tcPr>
            <w:tcW w:w="1060" w:type="dxa"/>
            <w:tcBorders>
              <w:top w:val="nil"/>
              <w:left w:val="nil"/>
              <w:bottom w:val="single" w:sz="4" w:space="0" w:color="auto"/>
              <w:right w:val="nil"/>
            </w:tcBorders>
            <w:shd w:val="clear" w:color="auto" w:fill="auto"/>
            <w:noWrap/>
            <w:vAlign w:val="center"/>
            <w:hideMark/>
          </w:tcPr>
          <w:p w14:paraId="18516352" w14:textId="77777777" w:rsidR="00AD365D" w:rsidRPr="00487834" w:rsidRDefault="00AD365D" w:rsidP="001747B1">
            <w:pPr>
              <w:pStyle w:val="NoSpacing"/>
              <w:rPr>
                <w:color w:val="000000"/>
              </w:rPr>
            </w:pPr>
            <w:r w:rsidRPr="00487834">
              <w:rPr>
                <w:color w:val="000000"/>
              </w:rPr>
              <w:t>547</w:t>
            </w:r>
          </w:p>
        </w:tc>
        <w:tc>
          <w:tcPr>
            <w:tcW w:w="1060" w:type="dxa"/>
            <w:tcBorders>
              <w:top w:val="nil"/>
              <w:left w:val="nil"/>
              <w:bottom w:val="single" w:sz="4" w:space="0" w:color="auto"/>
              <w:right w:val="nil"/>
            </w:tcBorders>
            <w:shd w:val="clear" w:color="auto" w:fill="auto"/>
            <w:noWrap/>
            <w:vAlign w:val="center"/>
            <w:hideMark/>
          </w:tcPr>
          <w:p w14:paraId="055BF71E" w14:textId="77777777" w:rsidR="00AD365D" w:rsidRPr="00487834" w:rsidRDefault="00AD365D" w:rsidP="001747B1">
            <w:pPr>
              <w:pStyle w:val="NoSpacing"/>
              <w:rPr>
                <w:color w:val="000000"/>
              </w:rPr>
            </w:pPr>
            <w:r w:rsidRPr="00487834">
              <w:rPr>
                <w:color w:val="000000"/>
              </w:rPr>
              <w:t>0.095</w:t>
            </w:r>
          </w:p>
        </w:tc>
        <w:tc>
          <w:tcPr>
            <w:tcW w:w="1060" w:type="dxa"/>
            <w:tcBorders>
              <w:top w:val="nil"/>
              <w:left w:val="nil"/>
              <w:bottom w:val="single" w:sz="4" w:space="0" w:color="auto"/>
              <w:right w:val="nil"/>
            </w:tcBorders>
            <w:shd w:val="clear" w:color="auto" w:fill="auto"/>
            <w:noWrap/>
            <w:vAlign w:val="center"/>
            <w:hideMark/>
          </w:tcPr>
          <w:p w14:paraId="3423E176" w14:textId="77777777" w:rsidR="00AD365D" w:rsidRPr="00487834" w:rsidRDefault="00AD365D" w:rsidP="001747B1">
            <w:pPr>
              <w:pStyle w:val="NoSpacing"/>
              <w:rPr>
                <w:color w:val="000000"/>
              </w:rPr>
            </w:pPr>
            <w:r w:rsidRPr="00487834">
              <w:rPr>
                <w:color w:val="000000"/>
              </w:rPr>
              <w:t>0.492</w:t>
            </w:r>
          </w:p>
        </w:tc>
        <w:tc>
          <w:tcPr>
            <w:tcW w:w="1080" w:type="dxa"/>
            <w:tcBorders>
              <w:top w:val="nil"/>
              <w:left w:val="nil"/>
              <w:bottom w:val="single" w:sz="4" w:space="0" w:color="auto"/>
              <w:right w:val="nil"/>
            </w:tcBorders>
            <w:shd w:val="clear" w:color="auto" w:fill="auto"/>
            <w:noWrap/>
            <w:vAlign w:val="center"/>
            <w:hideMark/>
          </w:tcPr>
          <w:p w14:paraId="5F8D421C" w14:textId="77777777" w:rsidR="00AD365D" w:rsidRPr="00487834" w:rsidRDefault="00AD365D" w:rsidP="001747B1">
            <w:pPr>
              <w:pStyle w:val="NoSpacing"/>
              <w:rPr>
                <w:color w:val="000000"/>
              </w:rPr>
            </w:pPr>
            <w:r w:rsidRPr="00487834">
              <w:rPr>
                <w:color w:val="000000"/>
              </w:rPr>
              <w:t>0.605</w:t>
            </w:r>
          </w:p>
        </w:tc>
        <w:tc>
          <w:tcPr>
            <w:tcW w:w="1060" w:type="dxa"/>
            <w:tcBorders>
              <w:top w:val="nil"/>
              <w:left w:val="nil"/>
              <w:bottom w:val="single" w:sz="4" w:space="0" w:color="auto"/>
              <w:right w:val="nil"/>
            </w:tcBorders>
            <w:shd w:val="clear" w:color="auto" w:fill="auto"/>
            <w:noWrap/>
            <w:vAlign w:val="center"/>
            <w:hideMark/>
          </w:tcPr>
          <w:p w14:paraId="492E08A2" w14:textId="77777777" w:rsidR="00AD365D" w:rsidRPr="00487834" w:rsidRDefault="00AD365D" w:rsidP="001747B1">
            <w:pPr>
              <w:pStyle w:val="NoSpacing"/>
              <w:rPr>
                <w:color w:val="000000"/>
              </w:rPr>
            </w:pPr>
            <w:r w:rsidRPr="00487834">
              <w:rPr>
                <w:color w:val="000000"/>
              </w:rPr>
              <w:t>0.716</w:t>
            </w:r>
          </w:p>
        </w:tc>
        <w:tc>
          <w:tcPr>
            <w:tcW w:w="1060" w:type="dxa"/>
            <w:tcBorders>
              <w:top w:val="nil"/>
              <w:left w:val="nil"/>
              <w:bottom w:val="single" w:sz="4" w:space="0" w:color="auto"/>
              <w:right w:val="nil"/>
            </w:tcBorders>
            <w:shd w:val="clear" w:color="auto" w:fill="auto"/>
            <w:noWrap/>
            <w:vAlign w:val="center"/>
            <w:hideMark/>
          </w:tcPr>
          <w:p w14:paraId="060E0E3D" w14:textId="77777777" w:rsidR="00AD365D" w:rsidRPr="00487834" w:rsidRDefault="00AD365D" w:rsidP="001747B1">
            <w:pPr>
              <w:pStyle w:val="NoSpacing"/>
              <w:rPr>
                <w:color w:val="000000"/>
              </w:rPr>
            </w:pPr>
            <w:r w:rsidRPr="00487834">
              <w:rPr>
                <w:color w:val="000000"/>
              </w:rPr>
              <w:t>0.977</w:t>
            </w:r>
          </w:p>
        </w:tc>
      </w:tr>
    </w:tbl>
    <w:p w14:paraId="44ADA8C1" w14:textId="77777777" w:rsidR="00AD365D" w:rsidRPr="00487834" w:rsidRDefault="00AD365D" w:rsidP="00AD365D">
      <w:pPr>
        <w:autoSpaceDE w:val="0"/>
        <w:autoSpaceDN w:val="0"/>
        <w:adjustRightInd w:val="0"/>
        <w:spacing w:line="300" w:lineRule="auto"/>
        <w:rPr>
          <w:rFonts w:eastAsiaTheme="minorHAnsi"/>
          <w:lang w:val="en-US" w:eastAsia="en-US"/>
        </w:rPr>
      </w:pPr>
    </w:p>
    <w:p w14:paraId="552FDE10" w14:textId="77777777" w:rsidR="00AD365D" w:rsidRPr="00487834" w:rsidRDefault="00AD365D" w:rsidP="00AD365D">
      <w:pPr>
        <w:autoSpaceDE w:val="0"/>
        <w:autoSpaceDN w:val="0"/>
        <w:adjustRightInd w:val="0"/>
        <w:spacing w:line="300" w:lineRule="auto"/>
        <w:rPr>
          <w:rFonts w:eastAsiaTheme="minorHAnsi"/>
          <w:b/>
          <w:bCs/>
          <w:lang w:val="en-GB" w:eastAsia="en-US"/>
        </w:rPr>
      </w:pPr>
    </w:p>
    <w:p w14:paraId="2866DF82" w14:textId="77777777" w:rsidR="00AD365D" w:rsidRPr="00487834" w:rsidRDefault="00AD365D" w:rsidP="00AD365D">
      <w:pPr>
        <w:autoSpaceDE w:val="0"/>
        <w:autoSpaceDN w:val="0"/>
        <w:adjustRightInd w:val="0"/>
        <w:spacing w:line="300" w:lineRule="auto"/>
        <w:rPr>
          <w:rFonts w:eastAsiaTheme="minorHAnsi"/>
          <w:lang w:val="en-US" w:eastAsia="en-US"/>
        </w:rPr>
      </w:pPr>
      <w:r w:rsidRPr="00487834">
        <w:rPr>
          <w:rFonts w:eastAsiaTheme="minorHAnsi"/>
          <w:b/>
          <w:bCs/>
          <w:lang w:val="en-GB" w:eastAsia="en-US"/>
        </w:rPr>
        <w:t xml:space="preserve">Table 9 – </w:t>
      </w:r>
      <w:r w:rsidRPr="00487834">
        <w:rPr>
          <w:color w:val="0D0D0D"/>
          <w:shd w:val="clear" w:color="auto" w:fill="FFFFFF"/>
          <w:lang w:val="en-US"/>
        </w:rPr>
        <w:t>Descriptive statistics for the cost of equity model, including respective control variables, for the South African subsample</w:t>
      </w:r>
    </w:p>
    <w:p w14:paraId="0D9953F3" w14:textId="77777777" w:rsidR="00AD365D" w:rsidRPr="00487834" w:rsidRDefault="00AD365D" w:rsidP="00AD365D">
      <w:pPr>
        <w:autoSpaceDE w:val="0"/>
        <w:autoSpaceDN w:val="0"/>
        <w:adjustRightInd w:val="0"/>
        <w:spacing w:line="300" w:lineRule="auto"/>
        <w:rPr>
          <w:rFonts w:eastAsiaTheme="minorHAnsi"/>
          <w:lang w:val="en-US" w:eastAsia="en-US"/>
        </w:rPr>
      </w:pPr>
    </w:p>
    <w:tbl>
      <w:tblPr>
        <w:tblW w:w="9680" w:type="dxa"/>
        <w:jc w:val="center"/>
        <w:tblLook w:val="04A0" w:firstRow="1" w:lastRow="0" w:firstColumn="1" w:lastColumn="0" w:noHBand="0" w:noVBand="1"/>
      </w:tblPr>
      <w:tblGrid>
        <w:gridCol w:w="1304"/>
        <w:gridCol w:w="1060"/>
        <w:gridCol w:w="1060"/>
        <w:gridCol w:w="1060"/>
        <w:gridCol w:w="1060"/>
        <w:gridCol w:w="1060"/>
        <w:gridCol w:w="1060"/>
        <w:gridCol w:w="1060"/>
        <w:gridCol w:w="1060"/>
      </w:tblGrid>
      <w:tr w:rsidR="00AD365D" w:rsidRPr="00487834" w14:paraId="7279B73B" w14:textId="77777777" w:rsidTr="001747B1">
        <w:trPr>
          <w:trHeight w:val="260"/>
          <w:jc w:val="center"/>
        </w:trPr>
        <w:tc>
          <w:tcPr>
            <w:tcW w:w="1200" w:type="dxa"/>
            <w:tcBorders>
              <w:top w:val="single" w:sz="4" w:space="0" w:color="auto"/>
              <w:left w:val="nil"/>
              <w:bottom w:val="single" w:sz="4" w:space="0" w:color="auto"/>
              <w:right w:val="nil"/>
            </w:tcBorders>
            <w:shd w:val="clear" w:color="auto" w:fill="auto"/>
            <w:noWrap/>
            <w:hideMark/>
          </w:tcPr>
          <w:p w14:paraId="4E363CF6" w14:textId="77777777" w:rsidR="00AD365D" w:rsidRPr="00487834" w:rsidRDefault="00AD365D" w:rsidP="001747B1">
            <w:pPr>
              <w:pStyle w:val="NoSpacing"/>
            </w:pPr>
            <w:proofErr w:type="spellStart"/>
            <w:r w:rsidRPr="00487834">
              <w:t>Variable</w:t>
            </w:r>
            <w:proofErr w:type="spellEnd"/>
          </w:p>
        </w:tc>
        <w:tc>
          <w:tcPr>
            <w:tcW w:w="1060" w:type="dxa"/>
            <w:tcBorders>
              <w:top w:val="single" w:sz="4" w:space="0" w:color="auto"/>
              <w:left w:val="nil"/>
              <w:bottom w:val="single" w:sz="4" w:space="0" w:color="auto"/>
              <w:right w:val="nil"/>
            </w:tcBorders>
            <w:shd w:val="clear" w:color="auto" w:fill="auto"/>
            <w:noWrap/>
            <w:hideMark/>
          </w:tcPr>
          <w:p w14:paraId="11CD7F3D" w14:textId="77777777" w:rsidR="00AD365D" w:rsidRPr="00487834" w:rsidRDefault="00AD365D" w:rsidP="001747B1">
            <w:pPr>
              <w:pStyle w:val="NoSpacing"/>
            </w:pPr>
            <w:proofErr w:type="spellStart"/>
            <w:r w:rsidRPr="00487834">
              <w:t>Mean</w:t>
            </w:r>
            <w:proofErr w:type="spellEnd"/>
          </w:p>
        </w:tc>
        <w:tc>
          <w:tcPr>
            <w:tcW w:w="1060" w:type="dxa"/>
            <w:tcBorders>
              <w:top w:val="single" w:sz="4" w:space="0" w:color="auto"/>
              <w:left w:val="nil"/>
              <w:bottom w:val="single" w:sz="4" w:space="0" w:color="auto"/>
              <w:right w:val="nil"/>
            </w:tcBorders>
            <w:shd w:val="clear" w:color="auto" w:fill="auto"/>
            <w:noWrap/>
            <w:hideMark/>
          </w:tcPr>
          <w:p w14:paraId="139700C8" w14:textId="77777777" w:rsidR="00AD365D" w:rsidRPr="00487834" w:rsidRDefault="00AD365D" w:rsidP="001747B1">
            <w:pPr>
              <w:pStyle w:val="NoSpacing"/>
            </w:pPr>
            <w:proofErr w:type="spellStart"/>
            <w:r w:rsidRPr="00487834">
              <w:t>Std.Dev</w:t>
            </w:r>
            <w:proofErr w:type="spellEnd"/>
            <w:r w:rsidRPr="00487834">
              <w:t>.</w:t>
            </w:r>
          </w:p>
        </w:tc>
        <w:tc>
          <w:tcPr>
            <w:tcW w:w="1060" w:type="dxa"/>
            <w:tcBorders>
              <w:top w:val="single" w:sz="4" w:space="0" w:color="auto"/>
              <w:left w:val="nil"/>
              <w:bottom w:val="single" w:sz="4" w:space="0" w:color="auto"/>
              <w:right w:val="nil"/>
            </w:tcBorders>
            <w:shd w:val="clear" w:color="auto" w:fill="auto"/>
            <w:noWrap/>
            <w:hideMark/>
          </w:tcPr>
          <w:p w14:paraId="2305C649" w14:textId="77777777" w:rsidR="00AD365D" w:rsidRPr="00487834" w:rsidRDefault="00AD365D" w:rsidP="001747B1">
            <w:pPr>
              <w:pStyle w:val="NoSpacing"/>
            </w:pPr>
            <w:r w:rsidRPr="00487834">
              <w:t>N</w:t>
            </w:r>
          </w:p>
        </w:tc>
        <w:tc>
          <w:tcPr>
            <w:tcW w:w="1060" w:type="dxa"/>
            <w:tcBorders>
              <w:top w:val="single" w:sz="4" w:space="0" w:color="auto"/>
              <w:left w:val="nil"/>
              <w:bottom w:val="single" w:sz="4" w:space="0" w:color="auto"/>
              <w:right w:val="nil"/>
            </w:tcBorders>
            <w:shd w:val="clear" w:color="auto" w:fill="auto"/>
            <w:noWrap/>
            <w:hideMark/>
          </w:tcPr>
          <w:p w14:paraId="2F9498E4" w14:textId="77777777" w:rsidR="00AD365D" w:rsidRPr="00487834" w:rsidRDefault="00AD365D" w:rsidP="001747B1">
            <w:pPr>
              <w:pStyle w:val="NoSpacing"/>
            </w:pPr>
            <w:proofErr w:type="spellStart"/>
            <w:r w:rsidRPr="00487834">
              <w:t>Min</w:t>
            </w:r>
            <w:proofErr w:type="spellEnd"/>
          </w:p>
        </w:tc>
        <w:tc>
          <w:tcPr>
            <w:tcW w:w="1060" w:type="dxa"/>
            <w:tcBorders>
              <w:top w:val="single" w:sz="4" w:space="0" w:color="auto"/>
              <w:left w:val="nil"/>
              <w:bottom w:val="single" w:sz="4" w:space="0" w:color="auto"/>
              <w:right w:val="nil"/>
            </w:tcBorders>
            <w:shd w:val="clear" w:color="auto" w:fill="auto"/>
            <w:noWrap/>
            <w:hideMark/>
          </w:tcPr>
          <w:p w14:paraId="72BA2968" w14:textId="77777777" w:rsidR="00AD365D" w:rsidRPr="00487834" w:rsidRDefault="00AD365D" w:rsidP="001747B1">
            <w:pPr>
              <w:pStyle w:val="NoSpacing"/>
            </w:pPr>
            <w:r w:rsidRPr="00487834">
              <w:t>Q1</w:t>
            </w:r>
          </w:p>
        </w:tc>
        <w:tc>
          <w:tcPr>
            <w:tcW w:w="1060" w:type="dxa"/>
            <w:tcBorders>
              <w:top w:val="single" w:sz="4" w:space="0" w:color="auto"/>
              <w:left w:val="nil"/>
              <w:bottom w:val="single" w:sz="4" w:space="0" w:color="auto"/>
              <w:right w:val="nil"/>
            </w:tcBorders>
            <w:shd w:val="clear" w:color="auto" w:fill="auto"/>
            <w:noWrap/>
            <w:hideMark/>
          </w:tcPr>
          <w:p w14:paraId="6AD37F07" w14:textId="77777777" w:rsidR="00AD365D" w:rsidRPr="00487834" w:rsidRDefault="00AD365D" w:rsidP="001747B1">
            <w:pPr>
              <w:pStyle w:val="NoSpacing"/>
            </w:pPr>
            <w:proofErr w:type="spellStart"/>
            <w:r w:rsidRPr="00487834">
              <w:t>Median</w:t>
            </w:r>
            <w:proofErr w:type="spellEnd"/>
          </w:p>
        </w:tc>
        <w:tc>
          <w:tcPr>
            <w:tcW w:w="1060" w:type="dxa"/>
            <w:tcBorders>
              <w:top w:val="single" w:sz="4" w:space="0" w:color="auto"/>
              <w:left w:val="nil"/>
              <w:bottom w:val="single" w:sz="4" w:space="0" w:color="auto"/>
              <w:right w:val="nil"/>
            </w:tcBorders>
            <w:shd w:val="clear" w:color="auto" w:fill="auto"/>
            <w:noWrap/>
            <w:hideMark/>
          </w:tcPr>
          <w:p w14:paraId="4EBD204F" w14:textId="77777777" w:rsidR="00AD365D" w:rsidRPr="00487834" w:rsidRDefault="00AD365D" w:rsidP="001747B1">
            <w:pPr>
              <w:pStyle w:val="NoSpacing"/>
            </w:pPr>
            <w:r w:rsidRPr="00487834">
              <w:t>Q3</w:t>
            </w:r>
          </w:p>
        </w:tc>
        <w:tc>
          <w:tcPr>
            <w:tcW w:w="1060" w:type="dxa"/>
            <w:tcBorders>
              <w:top w:val="single" w:sz="4" w:space="0" w:color="auto"/>
              <w:left w:val="nil"/>
              <w:bottom w:val="single" w:sz="4" w:space="0" w:color="auto"/>
              <w:right w:val="nil"/>
            </w:tcBorders>
            <w:shd w:val="clear" w:color="auto" w:fill="auto"/>
            <w:noWrap/>
            <w:hideMark/>
          </w:tcPr>
          <w:p w14:paraId="488D5EC6" w14:textId="77777777" w:rsidR="00AD365D" w:rsidRPr="00487834" w:rsidRDefault="00AD365D" w:rsidP="001747B1">
            <w:pPr>
              <w:pStyle w:val="NoSpacing"/>
            </w:pPr>
            <w:r w:rsidRPr="00487834">
              <w:t>Max</w:t>
            </w:r>
          </w:p>
        </w:tc>
      </w:tr>
      <w:tr w:rsidR="00AD365D" w:rsidRPr="00487834" w14:paraId="249BD560" w14:textId="77777777" w:rsidTr="001747B1">
        <w:trPr>
          <w:trHeight w:val="580"/>
          <w:jc w:val="center"/>
        </w:trPr>
        <w:tc>
          <w:tcPr>
            <w:tcW w:w="1200" w:type="dxa"/>
            <w:tcBorders>
              <w:top w:val="nil"/>
              <w:left w:val="nil"/>
              <w:bottom w:val="nil"/>
              <w:right w:val="nil"/>
            </w:tcBorders>
            <w:shd w:val="clear" w:color="auto" w:fill="auto"/>
            <w:noWrap/>
            <w:vAlign w:val="center"/>
            <w:hideMark/>
          </w:tcPr>
          <w:p w14:paraId="42774274" w14:textId="77777777" w:rsidR="00AD365D" w:rsidRPr="00487834" w:rsidRDefault="00AD365D" w:rsidP="001747B1">
            <w:pPr>
              <w:pStyle w:val="NoSpacing"/>
              <w:rPr>
                <w:i/>
                <w:iCs/>
                <w:color w:val="000000"/>
              </w:rPr>
            </w:pPr>
            <w:r w:rsidRPr="00487834">
              <w:rPr>
                <w:i/>
                <w:iCs/>
                <w:color w:val="000000"/>
              </w:rPr>
              <w:t>ESG</w:t>
            </w:r>
          </w:p>
        </w:tc>
        <w:tc>
          <w:tcPr>
            <w:tcW w:w="1060" w:type="dxa"/>
            <w:tcBorders>
              <w:top w:val="nil"/>
              <w:left w:val="nil"/>
              <w:bottom w:val="nil"/>
              <w:right w:val="nil"/>
            </w:tcBorders>
            <w:shd w:val="clear" w:color="auto" w:fill="auto"/>
            <w:noWrap/>
            <w:vAlign w:val="center"/>
            <w:hideMark/>
          </w:tcPr>
          <w:p w14:paraId="743D24E5" w14:textId="77777777" w:rsidR="00AD365D" w:rsidRPr="00487834" w:rsidRDefault="00AD365D" w:rsidP="001747B1">
            <w:pPr>
              <w:pStyle w:val="NoSpacing"/>
              <w:rPr>
                <w:color w:val="000000"/>
              </w:rPr>
            </w:pPr>
            <w:r w:rsidRPr="00487834">
              <w:rPr>
                <w:color w:val="000000"/>
              </w:rPr>
              <w:t>55.586</w:t>
            </w:r>
          </w:p>
        </w:tc>
        <w:tc>
          <w:tcPr>
            <w:tcW w:w="1060" w:type="dxa"/>
            <w:tcBorders>
              <w:top w:val="nil"/>
              <w:left w:val="nil"/>
              <w:bottom w:val="nil"/>
              <w:right w:val="nil"/>
            </w:tcBorders>
            <w:shd w:val="clear" w:color="auto" w:fill="auto"/>
            <w:noWrap/>
            <w:vAlign w:val="center"/>
            <w:hideMark/>
          </w:tcPr>
          <w:p w14:paraId="68BD4D57" w14:textId="77777777" w:rsidR="00AD365D" w:rsidRPr="00487834" w:rsidRDefault="00AD365D" w:rsidP="001747B1">
            <w:pPr>
              <w:pStyle w:val="NoSpacing"/>
              <w:rPr>
                <w:color w:val="000000"/>
              </w:rPr>
            </w:pPr>
            <w:r w:rsidRPr="00487834">
              <w:rPr>
                <w:color w:val="000000"/>
              </w:rPr>
              <w:t>15.578</w:t>
            </w:r>
          </w:p>
        </w:tc>
        <w:tc>
          <w:tcPr>
            <w:tcW w:w="1060" w:type="dxa"/>
            <w:tcBorders>
              <w:top w:val="nil"/>
              <w:left w:val="nil"/>
              <w:bottom w:val="nil"/>
              <w:right w:val="nil"/>
            </w:tcBorders>
            <w:shd w:val="clear" w:color="auto" w:fill="auto"/>
            <w:noWrap/>
            <w:vAlign w:val="center"/>
            <w:hideMark/>
          </w:tcPr>
          <w:p w14:paraId="414CEEE1" w14:textId="77777777" w:rsidR="00AD365D" w:rsidRPr="00487834" w:rsidRDefault="00AD365D" w:rsidP="001747B1">
            <w:pPr>
              <w:pStyle w:val="NoSpacing"/>
              <w:rPr>
                <w:color w:val="000000"/>
              </w:rPr>
            </w:pPr>
            <w:r w:rsidRPr="00487834">
              <w:rPr>
                <w:color w:val="000000"/>
              </w:rPr>
              <w:t>523</w:t>
            </w:r>
          </w:p>
        </w:tc>
        <w:tc>
          <w:tcPr>
            <w:tcW w:w="1060" w:type="dxa"/>
            <w:tcBorders>
              <w:top w:val="nil"/>
              <w:left w:val="nil"/>
              <w:bottom w:val="nil"/>
              <w:right w:val="nil"/>
            </w:tcBorders>
            <w:shd w:val="clear" w:color="auto" w:fill="auto"/>
            <w:noWrap/>
            <w:vAlign w:val="center"/>
            <w:hideMark/>
          </w:tcPr>
          <w:p w14:paraId="3F74F346" w14:textId="77777777" w:rsidR="00AD365D" w:rsidRPr="00487834" w:rsidRDefault="00AD365D" w:rsidP="001747B1">
            <w:pPr>
              <w:pStyle w:val="NoSpacing"/>
              <w:rPr>
                <w:color w:val="000000"/>
              </w:rPr>
            </w:pPr>
            <w:r w:rsidRPr="00487834">
              <w:rPr>
                <w:color w:val="000000"/>
              </w:rPr>
              <w:t>8.804</w:t>
            </w:r>
          </w:p>
        </w:tc>
        <w:tc>
          <w:tcPr>
            <w:tcW w:w="1060" w:type="dxa"/>
            <w:tcBorders>
              <w:top w:val="nil"/>
              <w:left w:val="nil"/>
              <w:bottom w:val="nil"/>
              <w:right w:val="nil"/>
            </w:tcBorders>
            <w:shd w:val="clear" w:color="auto" w:fill="auto"/>
            <w:noWrap/>
            <w:vAlign w:val="center"/>
            <w:hideMark/>
          </w:tcPr>
          <w:p w14:paraId="04A58D7D" w14:textId="77777777" w:rsidR="00AD365D" w:rsidRPr="00487834" w:rsidRDefault="00AD365D" w:rsidP="001747B1">
            <w:pPr>
              <w:pStyle w:val="NoSpacing"/>
              <w:rPr>
                <w:color w:val="000000"/>
              </w:rPr>
            </w:pPr>
            <w:r w:rsidRPr="00487834">
              <w:rPr>
                <w:color w:val="000000"/>
              </w:rPr>
              <w:t>44.125</w:t>
            </w:r>
          </w:p>
        </w:tc>
        <w:tc>
          <w:tcPr>
            <w:tcW w:w="1060" w:type="dxa"/>
            <w:tcBorders>
              <w:top w:val="nil"/>
              <w:left w:val="nil"/>
              <w:bottom w:val="nil"/>
              <w:right w:val="nil"/>
            </w:tcBorders>
            <w:shd w:val="clear" w:color="auto" w:fill="auto"/>
            <w:noWrap/>
            <w:vAlign w:val="center"/>
            <w:hideMark/>
          </w:tcPr>
          <w:p w14:paraId="5E31ABB5" w14:textId="77777777" w:rsidR="00AD365D" w:rsidRPr="00487834" w:rsidRDefault="00AD365D" w:rsidP="001747B1">
            <w:pPr>
              <w:pStyle w:val="NoSpacing"/>
              <w:rPr>
                <w:color w:val="000000"/>
              </w:rPr>
            </w:pPr>
            <w:r w:rsidRPr="00487834">
              <w:rPr>
                <w:color w:val="000000"/>
              </w:rPr>
              <w:t>57.771</w:t>
            </w:r>
          </w:p>
        </w:tc>
        <w:tc>
          <w:tcPr>
            <w:tcW w:w="1060" w:type="dxa"/>
            <w:tcBorders>
              <w:top w:val="nil"/>
              <w:left w:val="nil"/>
              <w:bottom w:val="nil"/>
              <w:right w:val="nil"/>
            </w:tcBorders>
            <w:shd w:val="clear" w:color="auto" w:fill="auto"/>
            <w:noWrap/>
            <w:vAlign w:val="center"/>
            <w:hideMark/>
          </w:tcPr>
          <w:p w14:paraId="32951A8B" w14:textId="77777777" w:rsidR="00AD365D" w:rsidRPr="00487834" w:rsidRDefault="00AD365D" w:rsidP="001747B1">
            <w:pPr>
              <w:pStyle w:val="NoSpacing"/>
              <w:rPr>
                <w:color w:val="000000"/>
              </w:rPr>
            </w:pPr>
            <w:r w:rsidRPr="00487834">
              <w:rPr>
                <w:color w:val="000000"/>
              </w:rPr>
              <w:t>66.963</w:t>
            </w:r>
          </w:p>
        </w:tc>
        <w:tc>
          <w:tcPr>
            <w:tcW w:w="1060" w:type="dxa"/>
            <w:tcBorders>
              <w:top w:val="nil"/>
              <w:left w:val="nil"/>
              <w:bottom w:val="nil"/>
              <w:right w:val="nil"/>
            </w:tcBorders>
            <w:shd w:val="clear" w:color="auto" w:fill="auto"/>
            <w:noWrap/>
            <w:vAlign w:val="center"/>
            <w:hideMark/>
          </w:tcPr>
          <w:p w14:paraId="1D280D88" w14:textId="77777777" w:rsidR="00AD365D" w:rsidRPr="00487834" w:rsidRDefault="00AD365D" w:rsidP="001747B1">
            <w:pPr>
              <w:pStyle w:val="NoSpacing"/>
              <w:rPr>
                <w:color w:val="000000"/>
              </w:rPr>
            </w:pPr>
            <w:r w:rsidRPr="00487834">
              <w:rPr>
                <w:color w:val="000000"/>
              </w:rPr>
              <w:t>89.268</w:t>
            </w:r>
          </w:p>
        </w:tc>
      </w:tr>
      <w:tr w:rsidR="00AD365D" w:rsidRPr="00487834" w14:paraId="61370725" w14:textId="77777777" w:rsidTr="001747B1">
        <w:trPr>
          <w:trHeight w:val="560"/>
          <w:jc w:val="center"/>
        </w:trPr>
        <w:tc>
          <w:tcPr>
            <w:tcW w:w="1200" w:type="dxa"/>
            <w:tcBorders>
              <w:top w:val="nil"/>
              <w:left w:val="nil"/>
              <w:bottom w:val="nil"/>
              <w:right w:val="nil"/>
            </w:tcBorders>
            <w:shd w:val="clear" w:color="auto" w:fill="auto"/>
            <w:noWrap/>
            <w:vAlign w:val="center"/>
            <w:hideMark/>
          </w:tcPr>
          <w:p w14:paraId="09559BD8" w14:textId="77777777" w:rsidR="00AD365D" w:rsidRPr="00487834" w:rsidRDefault="00AD365D" w:rsidP="001747B1">
            <w:pPr>
              <w:pStyle w:val="NoSpacing"/>
              <w:rPr>
                <w:i/>
                <w:iCs/>
                <w:color w:val="000000"/>
              </w:rPr>
            </w:pPr>
            <w:r w:rsidRPr="00487834">
              <w:rPr>
                <w:i/>
                <w:iCs/>
                <w:color w:val="000000"/>
              </w:rPr>
              <w:t>MCAP</w:t>
            </w:r>
          </w:p>
        </w:tc>
        <w:tc>
          <w:tcPr>
            <w:tcW w:w="1060" w:type="dxa"/>
            <w:tcBorders>
              <w:top w:val="nil"/>
              <w:left w:val="nil"/>
              <w:bottom w:val="nil"/>
              <w:right w:val="nil"/>
            </w:tcBorders>
            <w:shd w:val="clear" w:color="auto" w:fill="auto"/>
            <w:noWrap/>
            <w:vAlign w:val="center"/>
            <w:hideMark/>
          </w:tcPr>
          <w:p w14:paraId="34486A63" w14:textId="77777777" w:rsidR="00AD365D" w:rsidRPr="00487834" w:rsidRDefault="00AD365D" w:rsidP="001747B1">
            <w:pPr>
              <w:pStyle w:val="NoSpacing"/>
              <w:rPr>
                <w:color w:val="000000"/>
              </w:rPr>
            </w:pPr>
            <w:r w:rsidRPr="00487834">
              <w:rPr>
                <w:color w:val="000000"/>
              </w:rPr>
              <w:t>21.468</w:t>
            </w:r>
          </w:p>
        </w:tc>
        <w:tc>
          <w:tcPr>
            <w:tcW w:w="1060" w:type="dxa"/>
            <w:tcBorders>
              <w:top w:val="nil"/>
              <w:left w:val="nil"/>
              <w:bottom w:val="nil"/>
              <w:right w:val="nil"/>
            </w:tcBorders>
            <w:shd w:val="clear" w:color="auto" w:fill="auto"/>
            <w:noWrap/>
            <w:vAlign w:val="center"/>
            <w:hideMark/>
          </w:tcPr>
          <w:p w14:paraId="5926254A" w14:textId="77777777" w:rsidR="00AD365D" w:rsidRPr="00487834" w:rsidRDefault="00AD365D" w:rsidP="001747B1">
            <w:pPr>
              <w:pStyle w:val="NoSpacing"/>
              <w:rPr>
                <w:color w:val="000000"/>
              </w:rPr>
            </w:pPr>
            <w:r w:rsidRPr="00487834">
              <w:rPr>
                <w:color w:val="000000"/>
              </w:rPr>
              <w:t>1.249</w:t>
            </w:r>
          </w:p>
        </w:tc>
        <w:tc>
          <w:tcPr>
            <w:tcW w:w="1060" w:type="dxa"/>
            <w:tcBorders>
              <w:top w:val="nil"/>
              <w:left w:val="nil"/>
              <w:bottom w:val="nil"/>
              <w:right w:val="nil"/>
            </w:tcBorders>
            <w:shd w:val="clear" w:color="auto" w:fill="auto"/>
            <w:noWrap/>
            <w:vAlign w:val="center"/>
            <w:hideMark/>
          </w:tcPr>
          <w:p w14:paraId="2771731B" w14:textId="77777777" w:rsidR="00AD365D" w:rsidRPr="00487834" w:rsidRDefault="00AD365D" w:rsidP="001747B1">
            <w:pPr>
              <w:pStyle w:val="NoSpacing"/>
              <w:rPr>
                <w:color w:val="000000"/>
              </w:rPr>
            </w:pPr>
            <w:r w:rsidRPr="00487834">
              <w:rPr>
                <w:color w:val="000000"/>
              </w:rPr>
              <w:t>523</w:t>
            </w:r>
          </w:p>
        </w:tc>
        <w:tc>
          <w:tcPr>
            <w:tcW w:w="1060" w:type="dxa"/>
            <w:tcBorders>
              <w:top w:val="nil"/>
              <w:left w:val="nil"/>
              <w:bottom w:val="nil"/>
              <w:right w:val="nil"/>
            </w:tcBorders>
            <w:shd w:val="clear" w:color="auto" w:fill="auto"/>
            <w:noWrap/>
            <w:vAlign w:val="center"/>
            <w:hideMark/>
          </w:tcPr>
          <w:p w14:paraId="4659A9E0" w14:textId="77777777" w:rsidR="00AD365D" w:rsidRPr="00487834" w:rsidRDefault="00AD365D" w:rsidP="001747B1">
            <w:pPr>
              <w:pStyle w:val="NoSpacing"/>
              <w:rPr>
                <w:color w:val="000000"/>
              </w:rPr>
            </w:pPr>
            <w:r w:rsidRPr="00487834">
              <w:rPr>
                <w:color w:val="000000"/>
              </w:rPr>
              <w:t>18</w:t>
            </w:r>
          </w:p>
        </w:tc>
        <w:tc>
          <w:tcPr>
            <w:tcW w:w="1060" w:type="dxa"/>
            <w:tcBorders>
              <w:top w:val="nil"/>
              <w:left w:val="nil"/>
              <w:bottom w:val="nil"/>
              <w:right w:val="nil"/>
            </w:tcBorders>
            <w:shd w:val="clear" w:color="auto" w:fill="auto"/>
            <w:noWrap/>
            <w:vAlign w:val="center"/>
            <w:hideMark/>
          </w:tcPr>
          <w:p w14:paraId="78D6D2C2" w14:textId="77777777" w:rsidR="00AD365D" w:rsidRPr="00487834" w:rsidRDefault="00AD365D" w:rsidP="001747B1">
            <w:pPr>
              <w:pStyle w:val="NoSpacing"/>
              <w:rPr>
                <w:color w:val="000000"/>
              </w:rPr>
            </w:pPr>
            <w:r w:rsidRPr="00487834">
              <w:rPr>
                <w:color w:val="000000"/>
              </w:rPr>
              <w:t>20.483</w:t>
            </w:r>
          </w:p>
        </w:tc>
        <w:tc>
          <w:tcPr>
            <w:tcW w:w="1060" w:type="dxa"/>
            <w:tcBorders>
              <w:top w:val="nil"/>
              <w:left w:val="nil"/>
              <w:bottom w:val="nil"/>
              <w:right w:val="nil"/>
            </w:tcBorders>
            <w:shd w:val="clear" w:color="auto" w:fill="auto"/>
            <w:noWrap/>
            <w:vAlign w:val="center"/>
            <w:hideMark/>
          </w:tcPr>
          <w:p w14:paraId="64605B41" w14:textId="77777777" w:rsidR="00AD365D" w:rsidRPr="00487834" w:rsidRDefault="00AD365D" w:rsidP="001747B1">
            <w:pPr>
              <w:pStyle w:val="NoSpacing"/>
              <w:rPr>
                <w:color w:val="000000"/>
              </w:rPr>
            </w:pPr>
            <w:r w:rsidRPr="00487834">
              <w:rPr>
                <w:color w:val="000000"/>
              </w:rPr>
              <w:t>21.429</w:t>
            </w:r>
          </w:p>
        </w:tc>
        <w:tc>
          <w:tcPr>
            <w:tcW w:w="1060" w:type="dxa"/>
            <w:tcBorders>
              <w:top w:val="nil"/>
              <w:left w:val="nil"/>
              <w:bottom w:val="nil"/>
              <w:right w:val="nil"/>
            </w:tcBorders>
            <w:shd w:val="clear" w:color="auto" w:fill="auto"/>
            <w:noWrap/>
            <w:vAlign w:val="center"/>
            <w:hideMark/>
          </w:tcPr>
          <w:p w14:paraId="5F99B357" w14:textId="77777777" w:rsidR="00AD365D" w:rsidRPr="00487834" w:rsidRDefault="00AD365D" w:rsidP="001747B1">
            <w:pPr>
              <w:pStyle w:val="NoSpacing"/>
              <w:rPr>
                <w:color w:val="000000"/>
              </w:rPr>
            </w:pPr>
            <w:r w:rsidRPr="00487834">
              <w:rPr>
                <w:color w:val="000000"/>
              </w:rPr>
              <w:t>22.274</w:t>
            </w:r>
          </w:p>
        </w:tc>
        <w:tc>
          <w:tcPr>
            <w:tcW w:w="1060" w:type="dxa"/>
            <w:tcBorders>
              <w:top w:val="nil"/>
              <w:left w:val="nil"/>
              <w:bottom w:val="nil"/>
              <w:right w:val="nil"/>
            </w:tcBorders>
            <w:shd w:val="clear" w:color="auto" w:fill="auto"/>
            <w:noWrap/>
            <w:vAlign w:val="center"/>
            <w:hideMark/>
          </w:tcPr>
          <w:p w14:paraId="2681EB92" w14:textId="77777777" w:rsidR="00AD365D" w:rsidRPr="00487834" w:rsidRDefault="00AD365D" w:rsidP="001747B1">
            <w:pPr>
              <w:pStyle w:val="NoSpacing"/>
              <w:rPr>
                <w:color w:val="000000"/>
              </w:rPr>
            </w:pPr>
            <w:r w:rsidRPr="00487834">
              <w:rPr>
                <w:color w:val="000000"/>
              </w:rPr>
              <w:t>25.218</w:t>
            </w:r>
          </w:p>
        </w:tc>
      </w:tr>
      <w:tr w:rsidR="00AD365D" w:rsidRPr="00487834" w14:paraId="454A89CF" w14:textId="77777777" w:rsidTr="001747B1">
        <w:trPr>
          <w:trHeight w:val="560"/>
          <w:jc w:val="center"/>
        </w:trPr>
        <w:tc>
          <w:tcPr>
            <w:tcW w:w="1200" w:type="dxa"/>
            <w:tcBorders>
              <w:top w:val="nil"/>
              <w:left w:val="nil"/>
              <w:bottom w:val="nil"/>
              <w:right w:val="nil"/>
            </w:tcBorders>
            <w:shd w:val="clear" w:color="auto" w:fill="auto"/>
            <w:noWrap/>
            <w:vAlign w:val="center"/>
            <w:hideMark/>
          </w:tcPr>
          <w:p w14:paraId="1719FEBF" w14:textId="77777777" w:rsidR="00AD365D" w:rsidRPr="00487834" w:rsidRDefault="00AD365D" w:rsidP="001747B1">
            <w:pPr>
              <w:pStyle w:val="NoSpacing"/>
              <w:rPr>
                <w:i/>
                <w:iCs/>
                <w:color w:val="000000"/>
              </w:rPr>
            </w:pPr>
            <w:r w:rsidRPr="00487834">
              <w:rPr>
                <w:i/>
                <w:iCs/>
                <w:color w:val="000000"/>
              </w:rPr>
              <w:t>PE</w:t>
            </w:r>
          </w:p>
        </w:tc>
        <w:tc>
          <w:tcPr>
            <w:tcW w:w="1060" w:type="dxa"/>
            <w:tcBorders>
              <w:top w:val="nil"/>
              <w:left w:val="nil"/>
              <w:bottom w:val="nil"/>
              <w:right w:val="nil"/>
            </w:tcBorders>
            <w:shd w:val="clear" w:color="auto" w:fill="auto"/>
            <w:noWrap/>
            <w:vAlign w:val="center"/>
            <w:hideMark/>
          </w:tcPr>
          <w:p w14:paraId="5B4E92DE" w14:textId="77777777" w:rsidR="00AD365D" w:rsidRPr="00487834" w:rsidRDefault="00AD365D" w:rsidP="001747B1">
            <w:pPr>
              <w:pStyle w:val="NoSpacing"/>
              <w:rPr>
                <w:color w:val="000000"/>
              </w:rPr>
            </w:pPr>
            <w:r w:rsidRPr="00487834">
              <w:rPr>
                <w:color w:val="000000"/>
              </w:rPr>
              <w:t>15.487</w:t>
            </w:r>
          </w:p>
        </w:tc>
        <w:tc>
          <w:tcPr>
            <w:tcW w:w="1060" w:type="dxa"/>
            <w:tcBorders>
              <w:top w:val="nil"/>
              <w:left w:val="nil"/>
              <w:bottom w:val="nil"/>
              <w:right w:val="nil"/>
            </w:tcBorders>
            <w:shd w:val="clear" w:color="auto" w:fill="auto"/>
            <w:noWrap/>
            <w:vAlign w:val="center"/>
            <w:hideMark/>
          </w:tcPr>
          <w:p w14:paraId="7065324D" w14:textId="77777777" w:rsidR="00AD365D" w:rsidRPr="00487834" w:rsidRDefault="00AD365D" w:rsidP="001747B1">
            <w:pPr>
              <w:pStyle w:val="NoSpacing"/>
              <w:rPr>
                <w:color w:val="000000"/>
              </w:rPr>
            </w:pPr>
            <w:r w:rsidRPr="00487834">
              <w:rPr>
                <w:color w:val="000000"/>
              </w:rPr>
              <w:t>9.884</w:t>
            </w:r>
          </w:p>
        </w:tc>
        <w:tc>
          <w:tcPr>
            <w:tcW w:w="1060" w:type="dxa"/>
            <w:tcBorders>
              <w:top w:val="nil"/>
              <w:left w:val="nil"/>
              <w:bottom w:val="nil"/>
              <w:right w:val="nil"/>
            </w:tcBorders>
            <w:shd w:val="clear" w:color="auto" w:fill="auto"/>
            <w:noWrap/>
            <w:vAlign w:val="center"/>
            <w:hideMark/>
          </w:tcPr>
          <w:p w14:paraId="7547A423" w14:textId="77777777" w:rsidR="00AD365D" w:rsidRPr="00487834" w:rsidRDefault="00AD365D" w:rsidP="001747B1">
            <w:pPr>
              <w:pStyle w:val="NoSpacing"/>
              <w:rPr>
                <w:color w:val="000000"/>
              </w:rPr>
            </w:pPr>
            <w:r w:rsidRPr="00487834">
              <w:rPr>
                <w:color w:val="000000"/>
              </w:rPr>
              <w:t>523</w:t>
            </w:r>
          </w:p>
        </w:tc>
        <w:tc>
          <w:tcPr>
            <w:tcW w:w="1060" w:type="dxa"/>
            <w:tcBorders>
              <w:top w:val="nil"/>
              <w:left w:val="nil"/>
              <w:bottom w:val="nil"/>
              <w:right w:val="nil"/>
            </w:tcBorders>
            <w:shd w:val="clear" w:color="auto" w:fill="auto"/>
            <w:noWrap/>
            <w:vAlign w:val="center"/>
            <w:hideMark/>
          </w:tcPr>
          <w:p w14:paraId="5870CFC5" w14:textId="77777777" w:rsidR="00AD365D" w:rsidRPr="00487834" w:rsidRDefault="00AD365D" w:rsidP="001747B1">
            <w:pPr>
              <w:pStyle w:val="NoSpacing"/>
              <w:rPr>
                <w:color w:val="000000"/>
              </w:rPr>
            </w:pPr>
            <w:r w:rsidRPr="00487834">
              <w:rPr>
                <w:color w:val="000000"/>
              </w:rPr>
              <w:t>1.670</w:t>
            </w:r>
          </w:p>
        </w:tc>
        <w:tc>
          <w:tcPr>
            <w:tcW w:w="1060" w:type="dxa"/>
            <w:tcBorders>
              <w:top w:val="nil"/>
              <w:left w:val="nil"/>
              <w:bottom w:val="nil"/>
              <w:right w:val="nil"/>
            </w:tcBorders>
            <w:shd w:val="clear" w:color="auto" w:fill="auto"/>
            <w:noWrap/>
            <w:vAlign w:val="center"/>
            <w:hideMark/>
          </w:tcPr>
          <w:p w14:paraId="7ADF988C" w14:textId="77777777" w:rsidR="00AD365D" w:rsidRPr="00487834" w:rsidRDefault="00AD365D" w:rsidP="001747B1">
            <w:pPr>
              <w:pStyle w:val="NoSpacing"/>
              <w:rPr>
                <w:color w:val="000000"/>
              </w:rPr>
            </w:pPr>
            <w:r w:rsidRPr="00487834">
              <w:rPr>
                <w:color w:val="000000"/>
              </w:rPr>
              <w:t>9.587</w:t>
            </w:r>
          </w:p>
        </w:tc>
        <w:tc>
          <w:tcPr>
            <w:tcW w:w="1060" w:type="dxa"/>
            <w:tcBorders>
              <w:top w:val="nil"/>
              <w:left w:val="nil"/>
              <w:bottom w:val="nil"/>
              <w:right w:val="nil"/>
            </w:tcBorders>
            <w:shd w:val="clear" w:color="auto" w:fill="auto"/>
            <w:noWrap/>
            <w:vAlign w:val="center"/>
            <w:hideMark/>
          </w:tcPr>
          <w:p w14:paraId="6EEC26D9" w14:textId="77777777" w:rsidR="00AD365D" w:rsidRPr="00487834" w:rsidRDefault="00AD365D" w:rsidP="001747B1">
            <w:pPr>
              <w:pStyle w:val="NoSpacing"/>
              <w:rPr>
                <w:color w:val="000000"/>
              </w:rPr>
            </w:pPr>
            <w:r w:rsidRPr="00487834">
              <w:rPr>
                <w:color w:val="000000"/>
              </w:rPr>
              <w:t>13.211</w:t>
            </w:r>
          </w:p>
        </w:tc>
        <w:tc>
          <w:tcPr>
            <w:tcW w:w="1060" w:type="dxa"/>
            <w:tcBorders>
              <w:top w:val="nil"/>
              <w:left w:val="nil"/>
              <w:bottom w:val="nil"/>
              <w:right w:val="nil"/>
            </w:tcBorders>
            <w:shd w:val="clear" w:color="auto" w:fill="auto"/>
            <w:noWrap/>
            <w:vAlign w:val="center"/>
            <w:hideMark/>
          </w:tcPr>
          <w:p w14:paraId="749B3390" w14:textId="77777777" w:rsidR="00AD365D" w:rsidRPr="00487834" w:rsidRDefault="00AD365D" w:rsidP="001747B1">
            <w:pPr>
              <w:pStyle w:val="NoSpacing"/>
              <w:rPr>
                <w:color w:val="000000"/>
              </w:rPr>
            </w:pPr>
            <w:r w:rsidRPr="00487834">
              <w:rPr>
                <w:color w:val="000000"/>
              </w:rPr>
              <w:t>18.555</w:t>
            </w:r>
          </w:p>
        </w:tc>
        <w:tc>
          <w:tcPr>
            <w:tcW w:w="1060" w:type="dxa"/>
            <w:tcBorders>
              <w:top w:val="nil"/>
              <w:left w:val="nil"/>
              <w:bottom w:val="nil"/>
              <w:right w:val="nil"/>
            </w:tcBorders>
            <w:shd w:val="clear" w:color="auto" w:fill="auto"/>
            <w:noWrap/>
            <w:vAlign w:val="center"/>
            <w:hideMark/>
          </w:tcPr>
          <w:p w14:paraId="01160856" w14:textId="77777777" w:rsidR="00AD365D" w:rsidRPr="00487834" w:rsidRDefault="00AD365D" w:rsidP="001747B1">
            <w:pPr>
              <w:pStyle w:val="NoSpacing"/>
              <w:rPr>
                <w:color w:val="000000"/>
              </w:rPr>
            </w:pPr>
            <w:r w:rsidRPr="00487834">
              <w:rPr>
                <w:color w:val="000000"/>
              </w:rPr>
              <w:t>65.311</w:t>
            </w:r>
          </w:p>
        </w:tc>
      </w:tr>
      <w:tr w:rsidR="00AD365D" w:rsidRPr="00487834" w14:paraId="7CEEB847" w14:textId="77777777" w:rsidTr="001747B1">
        <w:trPr>
          <w:trHeight w:val="560"/>
          <w:jc w:val="center"/>
        </w:trPr>
        <w:tc>
          <w:tcPr>
            <w:tcW w:w="1200" w:type="dxa"/>
            <w:tcBorders>
              <w:top w:val="nil"/>
              <w:left w:val="nil"/>
              <w:bottom w:val="nil"/>
              <w:right w:val="nil"/>
            </w:tcBorders>
            <w:shd w:val="clear" w:color="auto" w:fill="auto"/>
            <w:noWrap/>
            <w:vAlign w:val="center"/>
            <w:hideMark/>
          </w:tcPr>
          <w:p w14:paraId="57959760" w14:textId="77777777" w:rsidR="00AD365D" w:rsidRPr="00487834" w:rsidRDefault="00AD365D" w:rsidP="001747B1">
            <w:pPr>
              <w:pStyle w:val="NoSpacing"/>
              <w:rPr>
                <w:i/>
                <w:iCs/>
                <w:color w:val="000000"/>
              </w:rPr>
            </w:pPr>
            <w:r w:rsidRPr="00487834">
              <w:rPr>
                <w:i/>
                <w:iCs/>
                <w:color w:val="000000"/>
              </w:rPr>
              <w:t>MTB</w:t>
            </w:r>
          </w:p>
        </w:tc>
        <w:tc>
          <w:tcPr>
            <w:tcW w:w="1060" w:type="dxa"/>
            <w:tcBorders>
              <w:top w:val="nil"/>
              <w:left w:val="nil"/>
              <w:bottom w:val="nil"/>
              <w:right w:val="nil"/>
            </w:tcBorders>
            <w:shd w:val="clear" w:color="auto" w:fill="auto"/>
            <w:noWrap/>
            <w:vAlign w:val="center"/>
            <w:hideMark/>
          </w:tcPr>
          <w:p w14:paraId="20DD26A1" w14:textId="77777777" w:rsidR="00AD365D" w:rsidRPr="00487834" w:rsidRDefault="00AD365D" w:rsidP="001747B1">
            <w:pPr>
              <w:pStyle w:val="NoSpacing"/>
              <w:rPr>
                <w:color w:val="000000"/>
              </w:rPr>
            </w:pPr>
            <w:r w:rsidRPr="00487834">
              <w:rPr>
                <w:color w:val="000000"/>
              </w:rPr>
              <w:t>2.469</w:t>
            </w:r>
          </w:p>
        </w:tc>
        <w:tc>
          <w:tcPr>
            <w:tcW w:w="1060" w:type="dxa"/>
            <w:tcBorders>
              <w:top w:val="nil"/>
              <w:left w:val="nil"/>
              <w:bottom w:val="nil"/>
              <w:right w:val="nil"/>
            </w:tcBorders>
            <w:shd w:val="clear" w:color="auto" w:fill="auto"/>
            <w:noWrap/>
            <w:vAlign w:val="center"/>
            <w:hideMark/>
          </w:tcPr>
          <w:p w14:paraId="5F1F9F6A" w14:textId="77777777" w:rsidR="00AD365D" w:rsidRPr="00487834" w:rsidRDefault="00AD365D" w:rsidP="001747B1">
            <w:pPr>
              <w:pStyle w:val="NoSpacing"/>
              <w:rPr>
                <w:color w:val="000000"/>
              </w:rPr>
            </w:pPr>
            <w:r w:rsidRPr="00487834">
              <w:rPr>
                <w:color w:val="000000"/>
              </w:rPr>
              <w:t>1.930</w:t>
            </w:r>
          </w:p>
        </w:tc>
        <w:tc>
          <w:tcPr>
            <w:tcW w:w="1060" w:type="dxa"/>
            <w:tcBorders>
              <w:top w:val="nil"/>
              <w:left w:val="nil"/>
              <w:bottom w:val="nil"/>
              <w:right w:val="nil"/>
            </w:tcBorders>
            <w:shd w:val="clear" w:color="auto" w:fill="auto"/>
            <w:noWrap/>
            <w:vAlign w:val="center"/>
            <w:hideMark/>
          </w:tcPr>
          <w:p w14:paraId="5B3396CC" w14:textId="77777777" w:rsidR="00AD365D" w:rsidRPr="00487834" w:rsidRDefault="00AD365D" w:rsidP="001747B1">
            <w:pPr>
              <w:pStyle w:val="NoSpacing"/>
              <w:rPr>
                <w:color w:val="000000"/>
              </w:rPr>
            </w:pPr>
            <w:r w:rsidRPr="00487834">
              <w:rPr>
                <w:color w:val="000000"/>
              </w:rPr>
              <w:t>523</w:t>
            </w:r>
          </w:p>
        </w:tc>
        <w:tc>
          <w:tcPr>
            <w:tcW w:w="1060" w:type="dxa"/>
            <w:tcBorders>
              <w:top w:val="nil"/>
              <w:left w:val="nil"/>
              <w:bottom w:val="nil"/>
              <w:right w:val="nil"/>
            </w:tcBorders>
            <w:shd w:val="clear" w:color="auto" w:fill="auto"/>
            <w:noWrap/>
            <w:vAlign w:val="center"/>
            <w:hideMark/>
          </w:tcPr>
          <w:p w14:paraId="652D0286" w14:textId="77777777" w:rsidR="00AD365D" w:rsidRPr="00487834" w:rsidRDefault="00AD365D" w:rsidP="001747B1">
            <w:pPr>
              <w:pStyle w:val="NoSpacing"/>
              <w:rPr>
                <w:color w:val="000000"/>
              </w:rPr>
            </w:pPr>
            <w:r w:rsidRPr="00487834">
              <w:rPr>
                <w:color w:val="000000"/>
              </w:rPr>
              <w:t>0.056</w:t>
            </w:r>
          </w:p>
        </w:tc>
        <w:tc>
          <w:tcPr>
            <w:tcW w:w="1060" w:type="dxa"/>
            <w:tcBorders>
              <w:top w:val="nil"/>
              <w:left w:val="nil"/>
              <w:bottom w:val="nil"/>
              <w:right w:val="nil"/>
            </w:tcBorders>
            <w:shd w:val="clear" w:color="auto" w:fill="auto"/>
            <w:noWrap/>
            <w:vAlign w:val="center"/>
            <w:hideMark/>
          </w:tcPr>
          <w:p w14:paraId="0AC6B689" w14:textId="77777777" w:rsidR="00AD365D" w:rsidRPr="00487834" w:rsidRDefault="00AD365D" w:rsidP="001747B1">
            <w:pPr>
              <w:pStyle w:val="NoSpacing"/>
              <w:rPr>
                <w:color w:val="000000"/>
              </w:rPr>
            </w:pPr>
            <w:r w:rsidRPr="00487834">
              <w:rPr>
                <w:color w:val="000000"/>
              </w:rPr>
              <w:t>1.008</w:t>
            </w:r>
          </w:p>
        </w:tc>
        <w:tc>
          <w:tcPr>
            <w:tcW w:w="1060" w:type="dxa"/>
            <w:tcBorders>
              <w:top w:val="nil"/>
              <w:left w:val="nil"/>
              <w:bottom w:val="nil"/>
              <w:right w:val="nil"/>
            </w:tcBorders>
            <w:shd w:val="clear" w:color="auto" w:fill="auto"/>
            <w:noWrap/>
            <w:vAlign w:val="center"/>
            <w:hideMark/>
          </w:tcPr>
          <w:p w14:paraId="04554FCF" w14:textId="77777777" w:rsidR="00AD365D" w:rsidRPr="00487834" w:rsidRDefault="00AD365D" w:rsidP="001747B1">
            <w:pPr>
              <w:pStyle w:val="NoSpacing"/>
              <w:rPr>
                <w:color w:val="000000"/>
              </w:rPr>
            </w:pPr>
            <w:r w:rsidRPr="00487834">
              <w:rPr>
                <w:color w:val="000000"/>
              </w:rPr>
              <w:t>1.823</w:t>
            </w:r>
          </w:p>
        </w:tc>
        <w:tc>
          <w:tcPr>
            <w:tcW w:w="1060" w:type="dxa"/>
            <w:tcBorders>
              <w:top w:val="nil"/>
              <w:left w:val="nil"/>
              <w:bottom w:val="nil"/>
              <w:right w:val="nil"/>
            </w:tcBorders>
            <w:shd w:val="clear" w:color="auto" w:fill="auto"/>
            <w:noWrap/>
            <w:vAlign w:val="center"/>
            <w:hideMark/>
          </w:tcPr>
          <w:p w14:paraId="57E367DA" w14:textId="77777777" w:rsidR="00AD365D" w:rsidRPr="00487834" w:rsidRDefault="00AD365D" w:rsidP="001747B1">
            <w:pPr>
              <w:pStyle w:val="NoSpacing"/>
              <w:rPr>
                <w:color w:val="000000"/>
              </w:rPr>
            </w:pPr>
            <w:r w:rsidRPr="00487834">
              <w:rPr>
                <w:color w:val="000000"/>
              </w:rPr>
              <w:t>3.380</w:t>
            </w:r>
          </w:p>
        </w:tc>
        <w:tc>
          <w:tcPr>
            <w:tcW w:w="1060" w:type="dxa"/>
            <w:tcBorders>
              <w:top w:val="nil"/>
              <w:left w:val="nil"/>
              <w:bottom w:val="nil"/>
              <w:right w:val="nil"/>
            </w:tcBorders>
            <w:shd w:val="clear" w:color="auto" w:fill="auto"/>
            <w:noWrap/>
            <w:vAlign w:val="center"/>
            <w:hideMark/>
          </w:tcPr>
          <w:p w14:paraId="4A14041D" w14:textId="77777777" w:rsidR="00AD365D" w:rsidRPr="00487834" w:rsidRDefault="00AD365D" w:rsidP="001747B1">
            <w:pPr>
              <w:pStyle w:val="NoSpacing"/>
              <w:rPr>
                <w:color w:val="000000"/>
              </w:rPr>
            </w:pPr>
            <w:r w:rsidRPr="00487834">
              <w:rPr>
                <w:color w:val="000000"/>
              </w:rPr>
              <w:t>9.436</w:t>
            </w:r>
          </w:p>
        </w:tc>
      </w:tr>
      <w:tr w:rsidR="00AD365D" w:rsidRPr="00487834" w14:paraId="07CF5367" w14:textId="77777777" w:rsidTr="001747B1">
        <w:trPr>
          <w:trHeight w:val="560"/>
          <w:jc w:val="center"/>
        </w:trPr>
        <w:tc>
          <w:tcPr>
            <w:tcW w:w="1200" w:type="dxa"/>
            <w:tcBorders>
              <w:top w:val="nil"/>
              <w:left w:val="nil"/>
              <w:bottom w:val="nil"/>
              <w:right w:val="nil"/>
            </w:tcBorders>
            <w:shd w:val="clear" w:color="auto" w:fill="auto"/>
            <w:noWrap/>
            <w:vAlign w:val="center"/>
            <w:hideMark/>
          </w:tcPr>
          <w:p w14:paraId="6D2083A3" w14:textId="77777777" w:rsidR="00AD365D" w:rsidRPr="00487834" w:rsidRDefault="00AD365D" w:rsidP="001747B1">
            <w:pPr>
              <w:pStyle w:val="NoSpacing"/>
              <w:rPr>
                <w:i/>
                <w:iCs/>
                <w:color w:val="000000"/>
              </w:rPr>
            </w:pPr>
            <w:r w:rsidRPr="00487834">
              <w:rPr>
                <w:i/>
                <w:iCs/>
                <w:color w:val="000000"/>
              </w:rPr>
              <w:t>BETA</w:t>
            </w:r>
          </w:p>
        </w:tc>
        <w:tc>
          <w:tcPr>
            <w:tcW w:w="1060" w:type="dxa"/>
            <w:tcBorders>
              <w:top w:val="nil"/>
              <w:left w:val="nil"/>
              <w:bottom w:val="nil"/>
              <w:right w:val="nil"/>
            </w:tcBorders>
            <w:shd w:val="clear" w:color="auto" w:fill="auto"/>
            <w:noWrap/>
            <w:vAlign w:val="center"/>
            <w:hideMark/>
          </w:tcPr>
          <w:p w14:paraId="1366EA32" w14:textId="77777777" w:rsidR="00AD365D" w:rsidRPr="00487834" w:rsidRDefault="00AD365D" w:rsidP="001747B1">
            <w:pPr>
              <w:pStyle w:val="NoSpacing"/>
              <w:rPr>
                <w:color w:val="000000"/>
              </w:rPr>
            </w:pPr>
            <w:r w:rsidRPr="00487834">
              <w:rPr>
                <w:color w:val="000000"/>
              </w:rPr>
              <w:t>0.688</w:t>
            </w:r>
          </w:p>
        </w:tc>
        <w:tc>
          <w:tcPr>
            <w:tcW w:w="1060" w:type="dxa"/>
            <w:tcBorders>
              <w:top w:val="nil"/>
              <w:left w:val="nil"/>
              <w:bottom w:val="nil"/>
              <w:right w:val="nil"/>
            </w:tcBorders>
            <w:shd w:val="clear" w:color="auto" w:fill="auto"/>
            <w:noWrap/>
            <w:vAlign w:val="center"/>
            <w:hideMark/>
          </w:tcPr>
          <w:p w14:paraId="6E333BE1" w14:textId="77777777" w:rsidR="00AD365D" w:rsidRPr="00487834" w:rsidRDefault="00AD365D" w:rsidP="001747B1">
            <w:pPr>
              <w:pStyle w:val="NoSpacing"/>
              <w:rPr>
                <w:color w:val="000000"/>
              </w:rPr>
            </w:pPr>
            <w:r w:rsidRPr="00487834">
              <w:rPr>
                <w:color w:val="000000"/>
              </w:rPr>
              <w:t>0.432</w:t>
            </w:r>
          </w:p>
        </w:tc>
        <w:tc>
          <w:tcPr>
            <w:tcW w:w="1060" w:type="dxa"/>
            <w:tcBorders>
              <w:top w:val="nil"/>
              <w:left w:val="nil"/>
              <w:bottom w:val="nil"/>
              <w:right w:val="nil"/>
            </w:tcBorders>
            <w:shd w:val="clear" w:color="auto" w:fill="auto"/>
            <w:noWrap/>
            <w:vAlign w:val="center"/>
            <w:hideMark/>
          </w:tcPr>
          <w:p w14:paraId="3E8D1E06" w14:textId="77777777" w:rsidR="00AD365D" w:rsidRPr="00487834" w:rsidRDefault="00AD365D" w:rsidP="001747B1">
            <w:pPr>
              <w:pStyle w:val="NoSpacing"/>
              <w:rPr>
                <w:color w:val="000000"/>
              </w:rPr>
            </w:pPr>
            <w:r w:rsidRPr="00487834">
              <w:rPr>
                <w:color w:val="000000"/>
              </w:rPr>
              <w:t>523</w:t>
            </w:r>
          </w:p>
        </w:tc>
        <w:tc>
          <w:tcPr>
            <w:tcW w:w="1060" w:type="dxa"/>
            <w:tcBorders>
              <w:top w:val="nil"/>
              <w:left w:val="nil"/>
              <w:bottom w:val="nil"/>
              <w:right w:val="nil"/>
            </w:tcBorders>
            <w:shd w:val="clear" w:color="auto" w:fill="auto"/>
            <w:noWrap/>
            <w:vAlign w:val="center"/>
            <w:hideMark/>
          </w:tcPr>
          <w:p w14:paraId="46C5AC9D" w14:textId="77777777" w:rsidR="00AD365D" w:rsidRPr="00487834" w:rsidRDefault="00AD365D" w:rsidP="001747B1">
            <w:pPr>
              <w:pStyle w:val="NoSpacing"/>
              <w:rPr>
                <w:color w:val="000000"/>
              </w:rPr>
            </w:pPr>
            <w:r w:rsidRPr="00487834">
              <w:rPr>
                <w:color w:val="000000"/>
              </w:rPr>
              <w:t>-0.223</w:t>
            </w:r>
          </w:p>
        </w:tc>
        <w:tc>
          <w:tcPr>
            <w:tcW w:w="1060" w:type="dxa"/>
            <w:tcBorders>
              <w:top w:val="nil"/>
              <w:left w:val="nil"/>
              <w:bottom w:val="nil"/>
              <w:right w:val="nil"/>
            </w:tcBorders>
            <w:shd w:val="clear" w:color="auto" w:fill="auto"/>
            <w:noWrap/>
            <w:vAlign w:val="center"/>
            <w:hideMark/>
          </w:tcPr>
          <w:p w14:paraId="287BD41C" w14:textId="77777777" w:rsidR="00AD365D" w:rsidRPr="00487834" w:rsidRDefault="00AD365D" w:rsidP="001747B1">
            <w:pPr>
              <w:pStyle w:val="NoSpacing"/>
              <w:rPr>
                <w:color w:val="000000"/>
              </w:rPr>
            </w:pPr>
            <w:r w:rsidRPr="00487834">
              <w:rPr>
                <w:color w:val="000000"/>
              </w:rPr>
              <w:t>0.389</w:t>
            </w:r>
          </w:p>
        </w:tc>
        <w:tc>
          <w:tcPr>
            <w:tcW w:w="1060" w:type="dxa"/>
            <w:tcBorders>
              <w:top w:val="nil"/>
              <w:left w:val="nil"/>
              <w:bottom w:val="nil"/>
              <w:right w:val="nil"/>
            </w:tcBorders>
            <w:shd w:val="clear" w:color="auto" w:fill="auto"/>
            <w:noWrap/>
            <w:vAlign w:val="center"/>
            <w:hideMark/>
          </w:tcPr>
          <w:p w14:paraId="3184FE2E" w14:textId="77777777" w:rsidR="00AD365D" w:rsidRPr="00487834" w:rsidRDefault="00AD365D" w:rsidP="001747B1">
            <w:pPr>
              <w:pStyle w:val="NoSpacing"/>
              <w:rPr>
                <w:color w:val="000000"/>
              </w:rPr>
            </w:pPr>
            <w:r w:rsidRPr="00487834">
              <w:rPr>
                <w:color w:val="000000"/>
              </w:rPr>
              <w:t>0.619</w:t>
            </w:r>
          </w:p>
        </w:tc>
        <w:tc>
          <w:tcPr>
            <w:tcW w:w="1060" w:type="dxa"/>
            <w:tcBorders>
              <w:top w:val="nil"/>
              <w:left w:val="nil"/>
              <w:bottom w:val="nil"/>
              <w:right w:val="nil"/>
            </w:tcBorders>
            <w:shd w:val="clear" w:color="auto" w:fill="auto"/>
            <w:noWrap/>
            <w:vAlign w:val="center"/>
            <w:hideMark/>
          </w:tcPr>
          <w:p w14:paraId="5617F38A" w14:textId="77777777" w:rsidR="00AD365D" w:rsidRPr="00487834" w:rsidRDefault="00AD365D" w:rsidP="001747B1">
            <w:pPr>
              <w:pStyle w:val="NoSpacing"/>
              <w:rPr>
                <w:color w:val="000000"/>
              </w:rPr>
            </w:pPr>
            <w:r w:rsidRPr="00487834">
              <w:rPr>
                <w:color w:val="000000"/>
              </w:rPr>
              <w:t>0.964</w:t>
            </w:r>
          </w:p>
        </w:tc>
        <w:tc>
          <w:tcPr>
            <w:tcW w:w="1060" w:type="dxa"/>
            <w:tcBorders>
              <w:top w:val="nil"/>
              <w:left w:val="nil"/>
              <w:bottom w:val="nil"/>
              <w:right w:val="nil"/>
            </w:tcBorders>
            <w:shd w:val="clear" w:color="auto" w:fill="auto"/>
            <w:noWrap/>
            <w:vAlign w:val="center"/>
            <w:hideMark/>
          </w:tcPr>
          <w:p w14:paraId="6FE6E440" w14:textId="77777777" w:rsidR="00AD365D" w:rsidRPr="00487834" w:rsidRDefault="00AD365D" w:rsidP="001747B1">
            <w:pPr>
              <w:pStyle w:val="NoSpacing"/>
              <w:rPr>
                <w:color w:val="000000"/>
              </w:rPr>
            </w:pPr>
            <w:r w:rsidRPr="00487834">
              <w:rPr>
                <w:color w:val="000000"/>
              </w:rPr>
              <w:t>1.937</w:t>
            </w:r>
          </w:p>
        </w:tc>
      </w:tr>
      <w:tr w:rsidR="00AD365D" w:rsidRPr="00487834" w14:paraId="0532DE72" w14:textId="77777777" w:rsidTr="001747B1">
        <w:trPr>
          <w:trHeight w:val="560"/>
          <w:jc w:val="center"/>
        </w:trPr>
        <w:tc>
          <w:tcPr>
            <w:tcW w:w="1200" w:type="dxa"/>
            <w:tcBorders>
              <w:top w:val="nil"/>
              <w:left w:val="nil"/>
              <w:bottom w:val="nil"/>
              <w:right w:val="nil"/>
            </w:tcBorders>
            <w:shd w:val="clear" w:color="auto" w:fill="auto"/>
            <w:noWrap/>
            <w:vAlign w:val="center"/>
            <w:hideMark/>
          </w:tcPr>
          <w:p w14:paraId="37BF5C54" w14:textId="77777777" w:rsidR="00AD365D" w:rsidRPr="00487834" w:rsidRDefault="00AD365D" w:rsidP="001747B1">
            <w:pPr>
              <w:pStyle w:val="NoSpacing"/>
              <w:rPr>
                <w:i/>
                <w:iCs/>
                <w:color w:val="000000"/>
              </w:rPr>
            </w:pPr>
            <w:r w:rsidRPr="00487834">
              <w:rPr>
                <w:i/>
                <w:iCs/>
                <w:color w:val="000000"/>
              </w:rPr>
              <w:t>ROE</w:t>
            </w:r>
          </w:p>
        </w:tc>
        <w:tc>
          <w:tcPr>
            <w:tcW w:w="1060" w:type="dxa"/>
            <w:tcBorders>
              <w:top w:val="nil"/>
              <w:left w:val="nil"/>
              <w:bottom w:val="nil"/>
              <w:right w:val="nil"/>
            </w:tcBorders>
            <w:shd w:val="clear" w:color="auto" w:fill="auto"/>
            <w:noWrap/>
            <w:vAlign w:val="center"/>
            <w:hideMark/>
          </w:tcPr>
          <w:p w14:paraId="4345C80D" w14:textId="77777777" w:rsidR="00AD365D" w:rsidRPr="00487834" w:rsidRDefault="00AD365D" w:rsidP="001747B1">
            <w:pPr>
              <w:pStyle w:val="NoSpacing"/>
              <w:rPr>
                <w:color w:val="000000"/>
              </w:rPr>
            </w:pPr>
            <w:r w:rsidRPr="00487834">
              <w:rPr>
                <w:color w:val="000000"/>
              </w:rPr>
              <w:t>0.106</w:t>
            </w:r>
          </w:p>
        </w:tc>
        <w:tc>
          <w:tcPr>
            <w:tcW w:w="1060" w:type="dxa"/>
            <w:tcBorders>
              <w:top w:val="nil"/>
              <w:left w:val="nil"/>
              <w:bottom w:val="nil"/>
              <w:right w:val="nil"/>
            </w:tcBorders>
            <w:shd w:val="clear" w:color="auto" w:fill="auto"/>
            <w:noWrap/>
            <w:vAlign w:val="center"/>
            <w:hideMark/>
          </w:tcPr>
          <w:p w14:paraId="671863C7" w14:textId="77777777" w:rsidR="00AD365D" w:rsidRPr="00487834" w:rsidRDefault="00AD365D" w:rsidP="001747B1">
            <w:pPr>
              <w:pStyle w:val="NoSpacing"/>
              <w:rPr>
                <w:color w:val="000000"/>
              </w:rPr>
            </w:pPr>
            <w:r w:rsidRPr="00487834">
              <w:rPr>
                <w:color w:val="000000"/>
              </w:rPr>
              <w:t>0.137</w:t>
            </w:r>
          </w:p>
        </w:tc>
        <w:tc>
          <w:tcPr>
            <w:tcW w:w="1060" w:type="dxa"/>
            <w:tcBorders>
              <w:top w:val="nil"/>
              <w:left w:val="nil"/>
              <w:bottom w:val="nil"/>
              <w:right w:val="nil"/>
            </w:tcBorders>
            <w:shd w:val="clear" w:color="auto" w:fill="auto"/>
            <w:noWrap/>
            <w:vAlign w:val="center"/>
            <w:hideMark/>
          </w:tcPr>
          <w:p w14:paraId="2DB8A6F4" w14:textId="77777777" w:rsidR="00AD365D" w:rsidRPr="00487834" w:rsidRDefault="00AD365D" w:rsidP="001747B1">
            <w:pPr>
              <w:pStyle w:val="NoSpacing"/>
              <w:rPr>
                <w:color w:val="000000"/>
              </w:rPr>
            </w:pPr>
            <w:r w:rsidRPr="00487834">
              <w:rPr>
                <w:color w:val="000000"/>
              </w:rPr>
              <w:t>523</w:t>
            </w:r>
          </w:p>
        </w:tc>
        <w:tc>
          <w:tcPr>
            <w:tcW w:w="1060" w:type="dxa"/>
            <w:tcBorders>
              <w:top w:val="nil"/>
              <w:left w:val="nil"/>
              <w:bottom w:val="nil"/>
              <w:right w:val="nil"/>
            </w:tcBorders>
            <w:shd w:val="clear" w:color="auto" w:fill="auto"/>
            <w:noWrap/>
            <w:vAlign w:val="center"/>
            <w:hideMark/>
          </w:tcPr>
          <w:p w14:paraId="1FE9BA6E" w14:textId="77777777" w:rsidR="00AD365D" w:rsidRPr="00487834" w:rsidRDefault="00AD365D" w:rsidP="001747B1">
            <w:pPr>
              <w:pStyle w:val="NoSpacing"/>
              <w:rPr>
                <w:color w:val="000000"/>
              </w:rPr>
            </w:pPr>
            <w:r w:rsidRPr="00487834">
              <w:rPr>
                <w:color w:val="000000"/>
              </w:rPr>
              <w:t>-0.389</w:t>
            </w:r>
          </w:p>
        </w:tc>
        <w:tc>
          <w:tcPr>
            <w:tcW w:w="1060" w:type="dxa"/>
            <w:tcBorders>
              <w:top w:val="nil"/>
              <w:left w:val="nil"/>
              <w:bottom w:val="nil"/>
              <w:right w:val="nil"/>
            </w:tcBorders>
            <w:shd w:val="clear" w:color="auto" w:fill="auto"/>
            <w:noWrap/>
            <w:vAlign w:val="center"/>
            <w:hideMark/>
          </w:tcPr>
          <w:p w14:paraId="64A1D4FE" w14:textId="77777777" w:rsidR="00AD365D" w:rsidRPr="00487834" w:rsidRDefault="00AD365D" w:rsidP="001747B1">
            <w:pPr>
              <w:pStyle w:val="NoSpacing"/>
              <w:rPr>
                <w:color w:val="000000"/>
              </w:rPr>
            </w:pPr>
            <w:r w:rsidRPr="00487834">
              <w:rPr>
                <w:color w:val="000000"/>
              </w:rPr>
              <w:t>0</w:t>
            </w:r>
          </w:p>
        </w:tc>
        <w:tc>
          <w:tcPr>
            <w:tcW w:w="1060" w:type="dxa"/>
            <w:tcBorders>
              <w:top w:val="nil"/>
              <w:left w:val="nil"/>
              <w:bottom w:val="nil"/>
              <w:right w:val="nil"/>
            </w:tcBorders>
            <w:shd w:val="clear" w:color="auto" w:fill="auto"/>
            <w:noWrap/>
            <w:vAlign w:val="center"/>
            <w:hideMark/>
          </w:tcPr>
          <w:p w14:paraId="2F74F59B" w14:textId="77777777" w:rsidR="00AD365D" w:rsidRPr="00487834" w:rsidRDefault="00AD365D" w:rsidP="001747B1">
            <w:pPr>
              <w:pStyle w:val="NoSpacing"/>
              <w:rPr>
                <w:color w:val="000000"/>
              </w:rPr>
            </w:pPr>
            <w:r w:rsidRPr="00487834">
              <w:rPr>
                <w:color w:val="000000"/>
              </w:rPr>
              <w:t>0.080</w:t>
            </w:r>
          </w:p>
        </w:tc>
        <w:tc>
          <w:tcPr>
            <w:tcW w:w="1060" w:type="dxa"/>
            <w:tcBorders>
              <w:top w:val="nil"/>
              <w:left w:val="nil"/>
              <w:bottom w:val="nil"/>
              <w:right w:val="nil"/>
            </w:tcBorders>
            <w:shd w:val="clear" w:color="auto" w:fill="auto"/>
            <w:noWrap/>
            <w:vAlign w:val="center"/>
            <w:hideMark/>
          </w:tcPr>
          <w:p w14:paraId="34FF1347" w14:textId="77777777" w:rsidR="00AD365D" w:rsidRPr="00487834" w:rsidRDefault="00AD365D" w:rsidP="001747B1">
            <w:pPr>
              <w:pStyle w:val="NoSpacing"/>
              <w:rPr>
                <w:color w:val="000000"/>
              </w:rPr>
            </w:pPr>
            <w:r w:rsidRPr="00487834">
              <w:rPr>
                <w:color w:val="000000"/>
              </w:rPr>
              <w:t>0.166</w:t>
            </w:r>
          </w:p>
        </w:tc>
        <w:tc>
          <w:tcPr>
            <w:tcW w:w="1060" w:type="dxa"/>
            <w:tcBorders>
              <w:top w:val="nil"/>
              <w:left w:val="nil"/>
              <w:bottom w:val="nil"/>
              <w:right w:val="nil"/>
            </w:tcBorders>
            <w:shd w:val="clear" w:color="auto" w:fill="auto"/>
            <w:noWrap/>
            <w:vAlign w:val="center"/>
            <w:hideMark/>
          </w:tcPr>
          <w:p w14:paraId="389347B6" w14:textId="77777777" w:rsidR="00AD365D" w:rsidRPr="00487834" w:rsidRDefault="00AD365D" w:rsidP="001747B1">
            <w:pPr>
              <w:pStyle w:val="NoSpacing"/>
              <w:rPr>
                <w:color w:val="000000"/>
              </w:rPr>
            </w:pPr>
            <w:r w:rsidRPr="00487834">
              <w:rPr>
                <w:color w:val="000000"/>
              </w:rPr>
              <w:t>0.637</w:t>
            </w:r>
          </w:p>
        </w:tc>
      </w:tr>
      <w:tr w:rsidR="00AD365D" w:rsidRPr="00487834" w14:paraId="6585284C" w14:textId="77777777" w:rsidTr="001747B1">
        <w:trPr>
          <w:trHeight w:val="520"/>
          <w:jc w:val="center"/>
        </w:trPr>
        <w:tc>
          <w:tcPr>
            <w:tcW w:w="1200" w:type="dxa"/>
            <w:tcBorders>
              <w:top w:val="nil"/>
              <w:left w:val="nil"/>
              <w:bottom w:val="single" w:sz="4" w:space="0" w:color="auto"/>
              <w:right w:val="nil"/>
            </w:tcBorders>
            <w:shd w:val="clear" w:color="auto" w:fill="auto"/>
            <w:noWrap/>
            <w:vAlign w:val="center"/>
            <w:hideMark/>
          </w:tcPr>
          <w:p w14:paraId="0B8C8047" w14:textId="77777777" w:rsidR="00AD365D" w:rsidRPr="00487834" w:rsidRDefault="00AD365D" w:rsidP="001747B1">
            <w:pPr>
              <w:pStyle w:val="NoSpacing"/>
              <w:rPr>
                <w:i/>
                <w:iCs/>
              </w:rPr>
            </w:pPr>
            <w:r w:rsidRPr="00487834">
              <w:rPr>
                <w:i/>
                <w:iCs/>
              </w:rPr>
              <w:t>EV/EBITDA</w:t>
            </w:r>
          </w:p>
        </w:tc>
        <w:tc>
          <w:tcPr>
            <w:tcW w:w="1060" w:type="dxa"/>
            <w:tcBorders>
              <w:top w:val="nil"/>
              <w:left w:val="nil"/>
              <w:bottom w:val="single" w:sz="4" w:space="0" w:color="auto"/>
              <w:right w:val="nil"/>
            </w:tcBorders>
            <w:shd w:val="clear" w:color="auto" w:fill="auto"/>
            <w:noWrap/>
            <w:vAlign w:val="center"/>
            <w:hideMark/>
          </w:tcPr>
          <w:p w14:paraId="2821D480" w14:textId="77777777" w:rsidR="00AD365D" w:rsidRPr="00487834" w:rsidRDefault="00AD365D" w:rsidP="001747B1">
            <w:pPr>
              <w:pStyle w:val="NoSpacing"/>
              <w:rPr>
                <w:color w:val="000000"/>
              </w:rPr>
            </w:pPr>
            <w:r w:rsidRPr="00487834">
              <w:rPr>
                <w:color w:val="000000"/>
              </w:rPr>
              <w:t>8.707</w:t>
            </w:r>
          </w:p>
        </w:tc>
        <w:tc>
          <w:tcPr>
            <w:tcW w:w="1060" w:type="dxa"/>
            <w:tcBorders>
              <w:top w:val="nil"/>
              <w:left w:val="nil"/>
              <w:bottom w:val="single" w:sz="4" w:space="0" w:color="auto"/>
              <w:right w:val="nil"/>
            </w:tcBorders>
            <w:shd w:val="clear" w:color="auto" w:fill="auto"/>
            <w:noWrap/>
            <w:vAlign w:val="center"/>
            <w:hideMark/>
          </w:tcPr>
          <w:p w14:paraId="34E1E886" w14:textId="77777777" w:rsidR="00AD365D" w:rsidRPr="00487834" w:rsidRDefault="00AD365D" w:rsidP="001747B1">
            <w:pPr>
              <w:pStyle w:val="NoSpacing"/>
              <w:rPr>
                <w:color w:val="000000"/>
              </w:rPr>
            </w:pPr>
            <w:r w:rsidRPr="00487834">
              <w:rPr>
                <w:color w:val="000000"/>
              </w:rPr>
              <w:t>5.092</w:t>
            </w:r>
          </w:p>
        </w:tc>
        <w:tc>
          <w:tcPr>
            <w:tcW w:w="1060" w:type="dxa"/>
            <w:tcBorders>
              <w:top w:val="nil"/>
              <w:left w:val="nil"/>
              <w:bottom w:val="single" w:sz="4" w:space="0" w:color="auto"/>
              <w:right w:val="nil"/>
            </w:tcBorders>
            <w:shd w:val="clear" w:color="auto" w:fill="auto"/>
            <w:noWrap/>
            <w:vAlign w:val="center"/>
            <w:hideMark/>
          </w:tcPr>
          <w:p w14:paraId="59A23518" w14:textId="77777777" w:rsidR="00AD365D" w:rsidRPr="00487834" w:rsidRDefault="00AD365D" w:rsidP="001747B1">
            <w:pPr>
              <w:pStyle w:val="NoSpacing"/>
              <w:rPr>
                <w:color w:val="000000"/>
              </w:rPr>
            </w:pPr>
            <w:r w:rsidRPr="00487834">
              <w:rPr>
                <w:color w:val="000000"/>
              </w:rPr>
              <w:t>523</w:t>
            </w:r>
          </w:p>
        </w:tc>
        <w:tc>
          <w:tcPr>
            <w:tcW w:w="1060" w:type="dxa"/>
            <w:tcBorders>
              <w:top w:val="nil"/>
              <w:left w:val="nil"/>
              <w:bottom w:val="single" w:sz="4" w:space="0" w:color="auto"/>
              <w:right w:val="nil"/>
            </w:tcBorders>
            <w:shd w:val="clear" w:color="auto" w:fill="auto"/>
            <w:noWrap/>
            <w:vAlign w:val="center"/>
            <w:hideMark/>
          </w:tcPr>
          <w:p w14:paraId="3EDBC072" w14:textId="77777777" w:rsidR="00AD365D" w:rsidRPr="00487834" w:rsidRDefault="00AD365D" w:rsidP="001747B1">
            <w:pPr>
              <w:pStyle w:val="NoSpacing"/>
              <w:rPr>
                <w:color w:val="000000"/>
              </w:rPr>
            </w:pPr>
            <w:r w:rsidRPr="00487834">
              <w:rPr>
                <w:color w:val="000000"/>
              </w:rPr>
              <w:t>-3.693</w:t>
            </w:r>
          </w:p>
        </w:tc>
        <w:tc>
          <w:tcPr>
            <w:tcW w:w="1060" w:type="dxa"/>
            <w:tcBorders>
              <w:top w:val="nil"/>
              <w:left w:val="nil"/>
              <w:bottom w:val="single" w:sz="4" w:space="0" w:color="auto"/>
              <w:right w:val="nil"/>
            </w:tcBorders>
            <w:shd w:val="clear" w:color="auto" w:fill="auto"/>
            <w:noWrap/>
            <w:vAlign w:val="center"/>
            <w:hideMark/>
          </w:tcPr>
          <w:p w14:paraId="0F72B061" w14:textId="77777777" w:rsidR="00AD365D" w:rsidRPr="00487834" w:rsidRDefault="00AD365D" w:rsidP="001747B1">
            <w:pPr>
              <w:pStyle w:val="NoSpacing"/>
              <w:rPr>
                <w:color w:val="000000"/>
              </w:rPr>
            </w:pPr>
            <w:r w:rsidRPr="00487834">
              <w:rPr>
                <w:color w:val="000000"/>
              </w:rPr>
              <w:t>4.727</w:t>
            </w:r>
          </w:p>
        </w:tc>
        <w:tc>
          <w:tcPr>
            <w:tcW w:w="1060" w:type="dxa"/>
            <w:tcBorders>
              <w:top w:val="nil"/>
              <w:left w:val="nil"/>
              <w:bottom w:val="single" w:sz="4" w:space="0" w:color="auto"/>
              <w:right w:val="nil"/>
            </w:tcBorders>
            <w:shd w:val="clear" w:color="auto" w:fill="auto"/>
            <w:noWrap/>
            <w:vAlign w:val="center"/>
            <w:hideMark/>
          </w:tcPr>
          <w:p w14:paraId="3DE54058" w14:textId="77777777" w:rsidR="00AD365D" w:rsidRPr="00487834" w:rsidRDefault="00AD365D" w:rsidP="001747B1">
            <w:pPr>
              <w:pStyle w:val="NoSpacing"/>
              <w:rPr>
                <w:color w:val="000000"/>
              </w:rPr>
            </w:pPr>
            <w:r w:rsidRPr="00487834">
              <w:rPr>
                <w:color w:val="000000"/>
              </w:rPr>
              <w:t>7.723</w:t>
            </w:r>
          </w:p>
        </w:tc>
        <w:tc>
          <w:tcPr>
            <w:tcW w:w="1060" w:type="dxa"/>
            <w:tcBorders>
              <w:top w:val="nil"/>
              <w:left w:val="nil"/>
              <w:bottom w:val="single" w:sz="4" w:space="0" w:color="auto"/>
              <w:right w:val="nil"/>
            </w:tcBorders>
            <w:shd w:val="clear" w:color="auto" w:fill="auto"/>
            <w:noWrap/>
            <w:vAlign w:val="center"/>
            <w:hideMark/>
          </w:tcPr>
          <w:p w14:paraId="1EE25845" w14:textId="77777777" w:rsidR="00AD365D" w:rsidRPr="00487834" w:rsidRDefault="00AD365D" w:rsidP="001747B1">
            <w:pPr>
              <w:pStyle w:val="NoSpacing"/>
              <w:rPr>
                <w:color w:val="000000"/>
              </w:rPr>
            </w:pPr>
            <w:r w:rsidRPr="00487834">
              <w:rPr>
                <w:color w:val="000000"/>
              </w:rPr>
              <w:t>12.168</w:t>
            </w:r>
          </w:p>
        </w:tc>
        <w:tc>
          <w:tcPr>
            <w:tcW w:w="1060" w:type="dxa"/>
            <w:tcBorders>
              <w:top w:val="nil"/>
              <w:left w:val="nil"/>
              <w:bottom w:val="single" w:sz="4" w:space="0" w:color="auto"/>
              <w:right w:val="nil"/>
            </w:tcBorders>
            <w:shd w:val="clear" w:color="auto" w:fill="auto"/>
            <w:noWrap/>
            <w:vAlign w:val="center"/>
            <w:hideMark/>
          </w:tcPr>
          <w:p w14:paraId="6C6122E9" w14:textId="77777777" w:rsidR="00AD365D" w:rsidRPr="00487834" w:rsidRDefault="00AD365D" w:rsidP="001747B1">
            <w:pPr>
              <w:pStyle w:val="NoSpacing"/>
              <w:rPr>
                <w:color w:val="000000"/>
              </w:rPr>
            </w:pPr>
            <w:r w:rsidRPr="00487834">
              <w:rPr>
                <w:color w:val="000000"/>
              </w:rPr>
              <w:t>27.115</w:t>
            </w:r>
          </w:p>
        </w:tc>
      </w:tr>
    </w:tbl>
    <w:p w14:paraId="4067DBC7" w14:textId="77777777" w:rsidR="00AD365D" w:rsidRPr="00487834" w:rsidRDefault="00AD365D" w:rsidP="00AD365D">
      <w:pPr>
        <w:autoSpaceDE w:val="0"/>
        <w:autoSpaceDN w:val="0"/>
        <w:adjustRightInd w:val="0"/>
        <w:spacing w:line="300" w:lineRule="auto"/>
        <w:rPr>
          <w:rFonts w:eastAsiaTheme="minorHAnsi"/>
          <w:lang w:val="en-US" w:eastAsia="en-US"/>
        </w:rPr>
      </w:pPr>
    </w:p>
    <w:p w14:paraId="6B6737E8" w14:textId="77777777" w:rsidR="00AD365D" w:rsidRPr="00487834" w:rsidRDefault="00AD365D" w:rsidP="00AD365D">
      <w:pPr>
        <w:autoSpaceDE w:val="0"/>
        <w:autoSpaceDN w:val="0"/>
        <w:adjustRightInd w:val="0"/>
        <w:spacing w:line="300" w:lineRule="auto"/>
        <w:rPr>
          <w:rFonts w:eastAsiaTheme="minorHAnsi"/>
          <w:lang w:val="en-US" w:eastAsia="en-US"/>
        </w:rPr>
      </w:pPr>
    </w:p>
    <w:p w14:paraId="71D8BE95" w14:textId="77777777" w:rsidR="00AD365D" w:rsidRPr="00487834" w:rsidRDefault="00AD365D" w:rsidP="00AD365D">
      <w:pPr>
        <w:rPr>
          <w:rFonts w:eastAsiaTheme="minorHAnsi"/>
          <w:lang w:val="en-US" w:eastAsia="en-US"/>
        </w:rPr>
      </w:pPr>
    </w:p>
    <w:p w14:paraId="4645083B" w14:textId="77777777" w:rsidR="00AD365D" w:rsidRDefault="00AD365D" w:rsidP="00AD365D">
      <w:pPr>
        <w:autoSpaceDE w:val="0"/>
        <w:autoSpaceDN w:val="0"/>
        <w:adjustRightInd w:val="0"/>
        <w:spacing w:line="300" w:lineRule="auto"/>
        <w:rPr>
          <w:rFonts w:eastAsiaTheme="minorHAnsi"/>
          <w:b/>
          <w:bCs/>
          <w:lang w:val="en-GB" w:eastAsia="en-US"/>
        </w:rPr>
      </w:pPr>
    </w:p>
    <w:p w14:paraId="43F29444" w14:textId="77777777" w:rsidR="00AD365D" w:rsidRDefault="00AD365D" w:rsidP="00AD365D">
      <w:pPr>
        <w:autoSpaceDE w:val="0"/>
        <w:autoSpaceDN w:val="0"/>
        <w:adjustRightInd w:val="0"/>
        <w:spacing w:line="300" w:lineRule="auto"/>
        <w:rPr>
          <w:rFonts w:eastAsiaTheme="minorHAnsi"/>
          <w:b/>
          <w:bCs/>
          <w:lang w:val="en-GB" w:eastAsia="en-US"/>
        </w:rPr>
      </w:pPr>
    </w:p>
    <w:p w14:paraId="23144B59" w14:textId="61598FE8" w:rsidR="00AD365D" w:rsidRPr="00487834" w:rsidRDefault="00AD365D" w:rsidP="00AD365D">
      <w:pPr>
        <w:autoSpaceDE w:val="0"/>
        <w:autoSpaceDN w:val="0"/>
        <w:adjustRightInd w:val="0"/>
        <w:spacing w:line="300" w:lineRule="auto"/>
        <w:rPr>
          <w:rFonts w:eastAsiaTheme="minorHAnsi"/>
          <w:lang w:val="en-GB" w:eastAsia="en-US"/>
        </w:rPr>
      </w:pPr>
      <w:r w:rsidRPr="00487834">
        <w:rPr>
          <w:rFonts w:eastAsiaTheme="minorHAnsi"/>
          <w:b/>
          <w:bCs/>
          <w:lang w:val="en-GB" w:eastAsia="en-US"/>
        </w:rPr>
        <w:t xml:space="preserve">Table 10 – </w:t>
      </w:r>
      <w:r w:rsidRPr="00487834">
        <w:rPr>
          <w:color w:val="0D0D0D"/>
          <w:shd w:val="clear" w:color="auto" w:fill="FFFFFF"/>
          <w:lang w:val="en-US"/>
        </w:rPr>
        <w:t>Descriptive statistics for the cost of debt model, including respective control variables, for the South African subsample</w:t>
      </w:r>
    </w:p>
    <w:p w14:paraId="5C9B5A7D" w14:textId="77777777" w:rsidR="00AD365D" w:rsidRPr="00487834" w:rsidRDefault="00AD365D" w:rsidP="00AD365D">
      <w:pPr>
        <w:autoSpaceDE w:val="0"/>
        <w:autoSpaceDN w:val="0"/>
        <w:adjustRightInd w:val="0"/>
        <w:spacing w:line="300" w:lineRule="auto"/>
        <w:rPr>
          <w:rFonts w:eastAsiaTheme="minorHAnsi"/>
          <w:lang w:val="en-US" w:eastAsia="en-US"/>
        </w:rPr>
      </w:pPr>
    </w:p>
    <w:tbl>
      <w:tblPr>
        <w:tblW w:w="9680" w:type="dxa"/>
        <w:jc w:val="center"/>
        <w:tblLook w:val="04A0" w:firstRow="1" w:lastRow="0" w:firstColumn="1" w:lastColumn="0" w:noHBand="0" w:noVBand="1"/>
      </w:tblPr>
      <w:tblGrid>
        <w:gridCol w:w="1341"/>
        <w:gridCol w:w="1060"/>
        <w:gridCol w:w="1060"/>
        <w:gridCol w:w="1060"/>
        <w:gridCol w:w="1060"/>
        <w:gridCol w:w="1060"/>
        <w:gridCol w:w="1060"/>
        <w:gridCol w:w="1060"/>
        <w:gridCol w:w="1060"/>
      </w:tblGrid>
      <w:tr w:rsidR="00AD365D" w:rsidRPr="00487834" w14:paraId="18FB0265" w14:textId="77777777" w:rsidTr="001747B1">
        <w:trPr>
          <w:trHeight w:val="280"/>
          <w:jc w:val="center"/>
        </w:trPr>
        <w:tc>
          <w:tcPr>
            <w:tcW w:w="1200" w:type="dxa"/>
            <w:tcBorders>
              <w:top w:val="single" w:sz="4" w:space="0" w:color="auto"/>
              <w:left w:val="nil"/>
              <w:bottom w:val="single" w:sz="4" w:space="0" w:color="auto"/>
              <w:right w:val="nil"/>
            </w:tcBorders>
            <w:shd w:val="clear" w:color="auto" w:fill="auto"/>
            <w:noWrap/>
            <w:hideMark/>
          </w:tcPr>
          <w:p w14:paraId="4EEB6059" w14:textId="77777777" w:rsidR="00AD365D" w:rsidRPr="00487834" w:rsidRDefault="00AD365D" w:rsidP="001747B1">
            <w:pPr>
              <w:pStyle w:val="NoSpacing"/>
            </w:pPr>
            <w:proofErr w:type="spellStart"/>
            <w:r w:rsidRPr="00487834">
              <w:t>Variable</w:t>
            </w:r>
            <w:proofErr w:type="spellEnd"/>
          </w:p>
        </w:tc>
        <w:tc>
          <w:tcPr>
            <w:tcW w:w="1060" w:type="dxa"/>
            <w:tcBorders>
              <w:top w:val="single" w:sz="4" w:space="0" w:color="auto"/>
              <w:left w:val="nil"/>
              <w:bottom w:val="single" w:sz="4" w:space="0" w:color="auto"/>
              <w:right w:val="nil"/>
            </w:tcBorders>
            <w:shd w:val="clear" w:color="auto" w:fill="auto"/>
            <w:noWrap/>
            <w:hideMark/>
          </w:tcPr>
          <w:p w14:paraId="36DC2899" w14:textId="77777777" w:rsidR="00AD365D" w:rsidRPr="00487834" w:rsidRDefault="00AD365D" w:rsidP="001747B1">
            <w:pPr>
              <w:pStyle w:val="NoSpacing"/>
            </w:pPr>
            <w:proofErr w:type="spellStart"/>
            <w:r w:rsidRPr="00487834">
              <w:t>Mean</w:t>
            </w:r>
            <w:proofErr w:type="spellEnd"/>
          </w:p>
        </w:tc>
        <w:tc>
          <w:tcPr>
            <w:tcW w:w="1060" w:type="dxa"/>
            <w:tcBorders>
              <w:top w:val="single" w:sz="4" w:space="0" w:color="auto"/>
              <w:left w:val="nil"/>
              <w:bottom w:val="single" w:sz="4" w:space="0" w:color="auto"/>
              <w:right w:val="nil"/>
            </w:tcBorders>
            <w:shd w:val="clear" w:color="auto" w:fill="auto"/>
            <w:noWrap/>
            <w:hideMark/>
          </w:tcPr>
          <w:p w14:paraId="370E4F7F" w14:textId="77777777" w:rsidR="00AD365D" w:rsidRPr="00487834" w:rsidRDefault="00AD365D" w:rsidP="001747B1">
            <w:pPr>
              <w:pStyle w:val="NoSpacing"/>
            </w:pPr>
            <w:proofErr w:type="spellStart"/>
            <w:r w:rsidRPr="00487834">
              <w:t>Std.Dev</w:t>
            </w:r>
            <w:proofErr w:type="spellEnd"/>
            <w:r w:rsidRPr="00487834">
              <w:t>.</w:t>
            </w:r>
          </w:p>
        </w:tc>
        <w:tc>
          <w:tcPr>
            <w:tcW w:w="1060" w:type="dxa"/>
            <w:tcBorders>
              <w:top w:val="single" w:sz="4" w:space="0" w:color="auto"/>
              <w:left w:val="nil"/>
              <w:bottom w:val="single" w:sz="4" w:space="0" w:color="auto"/>
              <w:right w:val="nil"/>
            </w:tcBorders>
            <w:shd w:val="clear" w:color="auto" w:fill="auto"/>
            <w:noWrap/>
            <w:hideMark/>
          </w:tcPr>
          <w:p w14:paraId="3B0C93C7" w14:textId="77777777" w:rsidR="00AD365D" w:rsidRPr="00487834" w:rsidRDefault="00AD365D" w:rsidP="001747B1">
            <w:pPr>
              <w:pStyle w:val="NoSpacing"/>
            </w:pPr>
            <w:r w:rsidRPr="00487834">
              <w:t>N</w:t>
            </w:r>
          </w:p>
        </w:tc>
        <w:tc>
          <w:tcPr>
            <w:tcW w:w="1060" w:type="dxa"/>
            <w:tcBorders>
              <w:top w:val="single" w:sz="4" w:space="0" w:color="auto"/>
              <w:left w:val="nil"/>
              <w:bottom w:val="single" w:sz="4" w:space="0" w:color="auto"/>
              <w:right w:val="nil"/>
            </w:tcBorders>
            <w:shd w:val="clear" w:color="auto" w:fill="auto"/>
            <w:noWrap/>
            <w:hideMark/>
          </w:tcPr>
          <w:p w14:paraId="6C8E0E8F" w14:textId="77777777" w:rsidR="00AD365D" w:rsidRPr="00487834" w:rsidRDefault="00AD365D" w:rsidP="001747B1">
            <w:pPr>
              <w:pStyle w:val="NoSpacing"/>
            </w:pPr>
            <w:proofErr w:type="spellStart"/>
            <w:r w:rsidRPr="00487834">
              <w:t>Min</w:t>
            </w:r>
            <w:proofErr w:type="spellEnd"/>
          </w:p>
        </w:tc>
        <w:tc>
          <w:tcPr>
            <w:tcW w:w="1060" w:type="dxa"/>
            <w:tcBorders>
              <w:top w:val="single" w:sz="4" w:space="0" w:color="auto"/>
              <w:left w:val="nil"/>
              <w:bottom w:val="single" w:sz="4" w:space="0" w:color="auto"/>
              <w:right w:val="nil"/>
            </w:tcBorders>
            <w:shd w:val="clear" w:color="auto" w:fill="auto"/>
            <w:noWrap/>
            <w:hideMark/>
          </w:tcPr>
          <w:p w14:paraId="20D178EA" w14:textId="77777777" w:rsidR="00AD365D" w:rsidRPr="00487834" w:rsidRDefault="00AD365D" w:rsidP="001747B1">
            <w:pPr>
              <w:pStyle w:val="NoSpacing"/>
            </w:pPr>
            <w:r w:rsidRPr="00487834">
              <w:t>Q1</w:t>
            </w:r>
          </w:p>
        </w:tc>
        <w:tc>
          <w:tcPr>
            <w:tcW w:w="1060" w:type="dxa"/>
            <w:tcBorders>
              <w:top w:val="single" w:sz="4" w:space="0" w:color="auto"/>
              <w:left w:val="nil"/>
              <w:bottom w:val="single" w:sz="4" w:space="0" w:color="auto"/>
              <w:right w:val="nil"/>
            </w:tcBorders>
            <w:shd w:val="clear" w:color="auto" w:fill="auto"/>
            <w:noWrap/>
            <w:hideMark/>
          </w:tcPr>
          <w:p w14:paraId="1F187151" w14:textId="77777777" w:rsidR="00AD365D" w:rsidRPr="00487834" w:rsidRDefault="00AD365D" w:rsidP="001747B1">
            <w:pPr>
              <w:pStyle w:val="NoSpacing"/>
            </w:pPr>
            <w:proofErr w:type="spellStart"/>
            <w:r w:rsidRPr="00487834">
              <w:t>Median</w:t>
            </w:r>
            <w:proofErr w:type="spellEnd"/>
          </w:p>
        </w:tc>
        <w:tc>
          <w:tcPr>
            <w:tcW w:w="1060" w:type="dxa"/>
            <w:tcBorders>
              <w:top w:val="single" w:sz="4" w:space="0" w:color="auto"/>
              <w:left w:val="nil"/>
              <w:bottom w:val="single" w:sz="4" w:space="0" w:color="auto"/>
              <w:right w:val="nil"/>
            </w:tcBorders>
            <w:shd w:val="clear" w:color="auto" w:fill="auto"/>
            <w:noWrap/>
            <w:hideMark/>
          </w:tcPr>
          <w:p w14:paraId="07BFEEC5" w14:textId="77777777" w:rsidR="00AD365D" w:rsidRPr="00487834" w:rsidRDefault="00AD365D" w:rsidP="001747B1">
            <w:pPr>
              <w:pStyle w:val="NoSpacing"/>
            </w:pPr>
            <w:r w:rsidRPr="00487834">
              <w:t>Q3</w:t>
            </w:r>
          </w:p>
        </w:tc>
        <w:tc>
          <w:tcPr>
            <w:tcW w:w="1060" w:type="dxa"/>
            <w:tcBorders>
              <w:top w:val="single" w:sz="4" w:space="0" w:color="auto"/>
              <w:left w:val="nil"/>
              <w:bottom w:val="single" w:sz="4" w:space="0" w:color="auto"/>
              <w:right w:val="nil"/>
            </w:tcBorders>
            <w:shd w:val="clear" w:color="auto" w:fill="auto"/>
            <w:noWrap/>
            <w:hideMark/>
          </w:tcPr>
          <w:p w14:paraId="6937B3D6" w14:textId="77777777" w:rsidR="00AD365D" w:rsidRPr="00487834" w:rsidRDefault="00AD365D" w:rsidP="001747B1">
            <w:pPr>
              <w:pStyle w:val="NoSpacing"/>
            </w:pPr>
            <w:r w:rsidRPr="00487834">
              <w:t>Max</w:t>
            </w:r>
          </w:p>
        </w:tc>
      </w:tr>
      <w:tr w:rsidR="00AD365D" w:rsidRPr="00487834" w14:paraId="311AC3CD" w14:textId="77777777" w:rsidTr="001747B1">
        <w:trPr>
          <w:trHeight w:val="560"/>
          <w:jc w:val="center"/>
        </w:trPr>
        <w:tc>
          <w:tcPr>
            <w:tcW w:w="1200" w:type="dxa"/>
            <w:tcBorders>
              <w:top w:val="nil"/>
              <w:left w:val="nil"/>
              <w:bottom w:val="nil"/>
              <w:right w:val="nil"/>
            </w:tcBorders>
            <w:shd w:val="clear" w:color="auto" w:fill="auto"/>
            <w:noWrap/>
            <w:vAlign w:val="center"/>
            <w:hideMark/>
          </w:tcPr>
          <w:p w14:paraId="70979483" w14:textId="77777777" w:rsidR="00AD365D" w:rsidRPr="00487834" w:rsidRDefault="00AD365D" w:rsidP="001747B1">
            <w:pPr>
              <w:pStyle w:val="NoSpacing"/>
              <w:rPr>
                <w:i/>
                <w:iCs/>
                <w:color w:val="000000"/>
              </w:rPr>
            </w:pPr>
            <w:r w:rsidRPr="00487834">
              <w:rPr>
                <w:i/>
                <w:iCs/>
                <w:color w:val="000000"/>
              </w:rPr>
              <w:t>ESG</w:t>
            </w:r>
          </w:p>
        </w:tc>
        <w:tc>
          <w:tcPr>
            <w:tcW w:w="1060" w:type="dxa"/>
            <w:tcBorders>
              <w:top w:val="nil"/>
              <w:left w:val="nil"/>
              <w:bottom w:val="nil"/>
              <w:right w:val="nil"/>
            </w:tcBorders>
            <w:shd w:val="clear" w:color="auto" w:fill="auto"/>
            <w:noWrap/>
            <w:vAlign w:val="center"/>
            <w:hideMark/>
          </w:tcPr>
          <w:p w14:paraId="02294BCC" w14:textId="77777777" w:rsidR="00AD365D" w:rsidRPr="00487834" w:rsidRDefault="00AD365D" w:rsidP="001747B1">
            <w:pPr>
              <w:pStyle w:val="NoSpacing"/>
              <w:rPr>
                <w:color w:val="000000"/>
              </w:rPr>
            </w:pPr>
            <w:r w:rsidRPr="00487834">
              <w:rPr>
                <w:color w:val="000000"/>
              </w:rPr>
              <w:t>55.539</w:t>
            </w:r>
          </w:p>
        </w:tc>
        <w:tc>
          <w:tcPr>
            <w:tcW w:w="1060" w:type="dxa"/>
            <w:tcBorders>
              <w:top w:val="nil"/>
              <w:left w:val="nil"/>
              <w:bottom w:val="nil"/>
              <w:right w:val="nil"/>
            </w:tcBorders>
            <w:shd w:val="clear" w:color="auto" w:fill="auto"/>
            <w:noWrap/>
            <w:vAlign w:val="center"/>
            <w:hideMark/>
          </w:tcPr>
          <w:p w14:paraId="054D7B4C" w14:textId="77777777" w:rsidR="00AD365D" w:rsidRPr="00487834" w:rsidRDefault="00AD365D" w:rsidP="001747B1">
            <w:pPr>
              <w:pStyle w:val="NoSpacing"/>
              <w:rPr>
                <w:color w:val="000000"/>
              </w:rPr>
            </w:pPr>
            <w:r w:rsidRPr="00487834">
              <w:rPr>
                <w:color w:val="000000"/>
              </w:rPr>
              <w:t>15.281</w:t>
            </w:r>
          </w:p>
        </w:tc>
        <w:tc>
          <w:tcPr>
            <w:tcW w:w="1060" w:type="dxa"/>
            <w:tcBorders>
              <w:top w:val="nil"/>
              <w:left w:val="nil"/>
              <w:bottom w:val="nil"/>
              <w:right w:val="nil"/>
            </w:tcBorders>
            <w:shd w:val="clear" w:color="auto" w:fill="auto"/>
            <w:noWrap/>
            <w:vAlign w:val="center"/>
            <w:hideMark/>
          </w:tcPr>
          <w:p w14:paraId="087FD035" w14:textId="77777777" w:rsidR="00AD365D" w:rsidRPr="00487834" w:rsidRDefault="00AD365D" w:rsidP="001747B1">
            <w:pPr>
              <w:pStyle w:val="NoSpacing"/>
              <w:rPr>
                <w:color w:val="000000"/>
              </w:rPr>
            </w:pPr>
            <w:r w:rsidRPr="00487834">
              <w:rPr>
                <w:color w:val="000000"/>
              </w:rPr>
              <w:t>493</w:t>
            </w:r>
          </w:p>
        </w:tc>
        <w:tc>
          <w:tcPr>
            <w:tcW w:w="1060" w:type="dxa"/>
            <w:tcBorders>
              <w:top w:val="nil"/>
              <w:left w:val="nil"/>
              <w:bottom w:val="nil"/>
              <w:right w:val="nil"/>
            </w:tcBorders>
            <w:shd w:val="clear" w:color="auto" w:fill="auto"/>
            <w:noWrap/>
            <w:vAlign w:val="center"/>
            <w:hideMark/>
          </w:tcPr>
          <w:p w14:paraId="2A633134" w14:textId="77777777" w:rsidR="00AD365D" w:rsidRPr="00487834" w:rsidRDefault="00AD365D" w:rsidP="001747B1">
            <w:pPr>
              <w:pStyle w:val="NoSpacing"/>
              <w:rPr>
                <w:color w:val="000000"/>
              </w:rPr>
            </w:pPr>
            <w:r w:rsidRPr="00487834">
              <w:rPr>
                <w:color w:val="000000"/>
              </w:rPr>
              <w:t>8.804</w:t>
            </w:r>
          </w:p>
        </w:tc>
        <w:tc>
          <w:tcPr>
            <w:tcW w:w="1060" w:type="dxa"/>
            <w:tcBorders>
              <w:top w:val="nil"/>
              <w:left w:val="nil"/>
              <w:bottom w:val="nil"/>
              <w:right w:val="nil"/>
            </w:tcBorders>
            <w:shd w:val="clear" w:color="auto" w:fill="auto"/>
            <w:noWrap/>
            <w:vAlign w:val="center"/>
            <w:hideMark/>
          </w:tcPr>
          <w:p w14:paraId="3A6373B2" w14:textId="77777777" w:rsidR="00AD365D" w:rsidRPr="00487834" w:rsidRDefault="00AD365D" w:rsidP="001747B1">
            <w:pPr>
              <w:pStyle w:val="NoSpacing"/>
              <w:rPr>
                <w:color w:val="000000"/>
              </w:rPr>
            </w:pPr>
            <w:r w:rsidRPr="00487834">
              <w:rPr>
                <w:color w:val="000000"/>
              </w:rPr>
              <w:t>44.565</w:t>
            </w:r>
          </w:p>
        </w:tc>
        <w:tc>
          <w:tcPr>
            <w:tcW w:w="1060" w:type="dxa"/>
            <w:tcBorders>
              <w:top w:val="nil"/>
              <w:left w:val="nil"/>
              <w:bottom w:val="nil"/>
              <w:right w:val="nil"/>
            </w:tcBorders>
            <w:shd w:val="clear" w:color="auto" w:fill="auto"/>
            <w:noWrap/>
            <w:vAlign w:val="center"/>
            <w:hideMark/>
          </w:tcPr>
          <w:p w14:paraId="145A593B" w14:textId="77777777" w:rsidR="00AD365D" w:rsidRPr="00487834" w:rsidRDefault="00AD365D" w:rsidP="001747B1">
            <w:pPr>
              <w:pStyle w:val="NoSpacing"/>
              <w:rPr>
                <w:color w:val="000000"/>
              </w:rPr>
            </w:pPr>
            <w:r w:rsidRPr="00487834">
              <w:rPr>
                <w:color w:val="000000"/>
              </w:rPr>
              <w:t>58.048</w:t>
            </w:r>
          </w:p>
        </w:tc>
        <w:tc>
          <w:tcPr>
            <w:tcW w:w="1060" w:type="dxa"/>
            <w:tcBorders>
              <w:top w:val="nil"/>
              <w:left w:val="nil"/>
              <w:bottom w:val="nil"/>
              <w:right w:val="nil"/>
            </w:tcBorders>
            <w:shd w:val="clear" w:color="auto" w:fill="auto"/>
            <w:noWrap/>
            <w:vAlign w:val="center"/>
            <w:hideMark/>
          </w:tcPr>
          <w:p w14:paraId="691DFB55" w14:textId="77777777" w:rsidR="00AD365D" w:rsidRPr="00487834" w:rsidRDefault="00AD365D" w:rsidP="001747B1">
            <w:pPr>
              <w:pStyle w:val="NoSpacing"/>
              <w:rPr>
                <w:color w:val="000000"/>
              </w:rPr>
            </w:pPr>
            <w:r w:rsidRPr="00487834">
              <w:rPr>
                <w:color w:val="000000"/>
              </w:rPr>
              <w:t>66.212</w:t>
            </w:r>
          </w:p>
        </w:tc>
        <w:tc>
          <w:tcPr>
            <w:tcW w:w="1060" w:type="dxa"/>
            <w:tcBorders>
              <w:top w:val="nil"/>
              <w:left w:val="nil"/>
              <w:bottom w:val="nil"/>
              <w:right w:val="nil"/>
            </w:tcBorders>
            <w:shd w:val="clear" w:color="auto" w:fill="auto"/>
            <w:noWrap/>
            <w:vAlign w:val="center"/>
            <w:hideMark/>
          </w:tcPr>
          <w:p w14:paraId="3E3FCFFC" w14:textId="77777777" w:rsidR="00AD365D" w:rsidRPr="00487834" w:rsidRDefault="00AD365D" w:rsidP="001747B1">
            <w:pPr>
              <w:pStyle w:val="NoSpacing"/>
              <w:rPr>
                <w:color w:val="000000"/>
              </w:rPr>
            </w:pPr>
            <w:r w:rsidRPr="00487834">
              <w:rPr>
                <w:color w:val="000000"/>
              </w:rPr>
              <w:t>89.268</w:t>
            </w:r>
          </w:p>
        </w:tc>
      </w:tr>
      <w:tr w:rsidR="00AD365D" w:rsidRPr="00487834" w14:paraId="05960056" w14:textId="77777777" w:rsidTr="001747B1">
        <w:trPr>
          <w:trHeight w:val="580"/>
          <w:jc w:val="center"/>
        </w:trPr>
        <w:tc>
          <w:tcPr>
            <w:tcW w:w="1200" w:type="dxa"/>
            <w:tcBorders>
              <w:top w:val="nil"/>
              <w:left w:val="nil"/>
              <w:bottom w:val="nil"/>
              <w:right w:val="nil"/>
            </w:tcBorders>
            <w:shd w:val="clear" w:color="auto" w:fill="auto"/>
            <w:noWrap/>
            <w:vAlign w:val="center"/>
            <w:hideMark/>
          </w:tcPr>
          <w:p w14:paraId="6AD64D5C" w14:textId="77777777" w:rsidR="00AD365D" w:rsidRPr="00487834" w:rsidRDefault="00AD365D" w:rsidP="001747B1">
            <w:pPr>
              <w:pStyle w:val="NoSpacing"/>
              <w:rPr>
                <w:i/>
                <w:iCs/>
                <w:color w:val="000000"/>
              </w:rPr>
            </w:pPr>
            <w:r w:rsidRPr="00487834">
              <w:rPr>
                <w:i/>
                <w:iCs/>
                <w:color w:val="000000"/>
              </w:rPr>
              <w:t>MCAP</w:t>
            </w:r>
          </w:p>
        </w:tc>
        <w:tc>
          <w:tcPr>
            <w:tcW w:w="1060" w:type="dxa"/>
            <w:tcBorders>
              <w:top w:val="nil"/>
              <w:left w:val="nil"/>
              <w:bottom w:val="nil"/>
              <w:right w:val="nil"/>
            </w:tcBorders>
            <w:shd w:val="clear" w:color="auto" w:fill="auto"/>
            <w:noWrap/>
            <w:vAlign w:val="center"/>
            <w:hideMark/>
          </w:tcPr>
          <w:p w14:paraId="3A62C3F9" w14:textId="77777777" w:rsidR="00AD365D" w:rsidRPr="00487834" w:rsidRDefault="00AD365D" w:rsidP="001747B1">
            <w:pPr>
              <w:pStyle w:val="NoSpacing"/>
              <w:rPr>
                <w:color w:val="000000"/>
              </w:rPr>
            </w:pPr>
            <w:r w:rsidRPr="00487834">
              <w:rPr>
                <w:color w:val="000000"/>
              </w:rPr>
              <w:t>21.461</w:t>
            </w:r>
          </w:p>
        </w:tc>
        <w:tc>
          <w:tcPr>
            <w:tcW w:w="1060" w:type="dxa"/>
            <w:tcBorders>
              <w:top w:val="nil"/>
              <w:left w:val="nil"/>
              <w:bottom w:val="nil"/>
              <w:right w:val="nil"/>
            </w:tcBorders>
            <w:shd w:val="clear" w:color="auto" w:fill="auto"/>
            <w:noWrap/>
            <w:vAlign w:val="center"/>
            <w:hideMark/>
          </w:tcPr>
          <w:p w14:paraId="7A05038A" w14:textId="77777777" w:rsidR="00AD365D" w:rsidRPr="00487834" w:rsidRDefault="00AD365D" w:rsidP="001747B1">
            <w:pPr>
              <w:pStyle w:val="NoSpacing"/>
              <w:rPr>
                <w:color w:val="000000"/>
              </w:rPr>
            </w:pPr>
            <w:r w:rsidRPr="00487834">
              <w:rPr>
                <w:color w:val="000000"/>
              </w:rPr>
              <w:t>1.230</w:t>
            </w:r>
          </w:p>
        </w:tc>
        <w:tc>
          <w:tcPr>
            <w:tcW w:w="1060" w:type="dxa"/>
            <w:tcBorders>
              <w:top w:val="nil"/>
              <w:left w:val="nil"/>
              <w:bottom w:val="nil"/>
              <w:right w:val="nil"/>
            </w:tcBorders>
            <w:shd w:val="clear" w:color="auto" w:fill="auto"/>
            <w:noWrap/>
            <w:vAlign w:val="center"/>
            <w:hideMark/>
          </w:tcPr>
          <w:p w14:paraId="2D65CE67" w14:textId="77777777" w:rsidR="00AD365D" w:rsidRPr="00487834" w:rsidRDefault="00AD365D" w:rsidP="001747B1">
            <w:pPr>
              <w:pStyle w:val="NoSpacing"/>
              <w:rPr>
                <w:color w:val="000000"/>
              </w:rPr>
            </w:pPr>
            <w:r w:rsidRPr="00487834">
              <w:rPr>
                <w:color w:val="000000"/>
              </w:rPr>
              <w:t>493</w:t>
            </w:r>
          </w:p>
        </w:tc>
        <w:tc>
          <w:tcPr>
            <w:tcW w:w="1060" w:type="dxa"/>
            <w:tcBorders>
              <w:top w:val="nil"/>
              <w:left w:val="nil"/>
              <w:bottom w:val="nil"/>
              <w:right w:val="nil"/>
            </w:tcBorders>
            <w:shd w:val="clear" w:color="auto" w:fill="auto"/>
            <w:noWrap/>
            <w:vAlign w:val="center"/>
            <w:hideMark/>
          </w:tcPr>
          <w:p w14:paraId="35AC1644" w14:textId="77777777" w:rsidR="00AD365D" w:rsidRPr="00487834" w:rsidRDefault="00AD365D" w:rsidP="001747B1">
            <w:pPr>
              <w:pStyle w:val="NoSpacing"/>
              <w:rPr>
                <w:color w:val="000000"/>
              </w:rPr>
            </w:pPr>
            <w:r w:rsidRPr="00487834">
              <w:rPr>
                <w:color w:val="000000"/>
              </w:rPr>
              <w:t>18.000</w:t>
            </w:r>
          </w:p>
        </w:tc>
        <w:tc>
          <w:tcPr>
            <w:tcW w:w="1060" w:type="dxa"/>
            <w:tcBorders>
              <w:top w:val="nil"/>
              <w:left w:val="nil"/>
              <w:bottom w:val="nil"/>
              <w:right w:val="nil"/>
            </w:tcBorders>
            <w:shd w:val="clear" w:color="auto" w:fill="auto"/>
            <w:noWrap/>
            <w:vAlign w:val="center"/>
            <w:hideMark/>
          </w:tcPr>
          <w:p w14:paraId="25DF082B" w14:textId="77777777" w:rsidR="00AD365D" w:rsidRPr="00487834" w:rsidRDefault="00AD365D" w:rsidP="001747B1">
            <w:pPr>
              <w:pStyle w:val="NoSpacing"/>
              <w:rPr>
                <w:color w:val="000000"/>
              </w:rPr>
            </w:pPr>
            <w:r w:rsidRPr="00487834">
              <w:rPr>
                <w:color w:val="000000"/>
              </w:rPr>
              <w:t>20.488</w:t>
            </w:r>
          </w:p>
        </w:tc>
        <w:tc>
          <w:tcPr>
            <w:tcW w:w="1060" w:type="dxa"/>
            <w:tcBorders>
              <w:top w:val="nil"/>
              <w:left w:val="nil"/>
              <w:bottom w:val="nil"/>
              <w:right w:val="nil"/>
            </w:tcBorders>
            <w:shd w:val="clear" w:color="auto" w:fill="auto"/>
            <w:noWrap/>
            <w:vAlign w:val="center"/>
            <w:hideMark/>
          </w:tcPr>
          <w:p w14:paraId="78492ED0" w14:textId="77777777" w:rsidR="00AD365D" w:rsidRPr="00487834" w:rsidRDefault="00AD365D" w:rsidP="001747B1">
            <w:pPr>
              <w:pStyle w:val="NoSpacing"/>
              <w:rPr>
                <w:color w:val="000000"/>
              </w:rPr>
            </w:pPr>
            <w:r w:rsidRPr="00487834">
              <w:rPr>
                <w:color w:val="000000"/>
              </w:rPr>
              <w:t>21.435</w:t>
            </w:r>
          </w:p>
        </w:tc>
        <w:tc>
          <w:tcPr>
            <w:tcW w:w="1060" w:type="dxa"/>
            <w:tcBorders>
              <w:top w:val="nil"/>
              <w:left w:val="nil"/>
              <w:bottom w:val="nil"/>
              <w:right w:val="nil"/>
            </w:tcBorders>
            <w:shd w:val="clear" w:color="auto" w:fill="auto"/>
            <w:noWrap/>
            <w:vAlign w:val="center"/>
            <w:hideMark/>
          </w:tcPr>
          <w:p w14:paraId="2A95CF8F" w14:textId="77777777" w:rsidR="00AD365D" w:rsidRPr="00487834" w:rsidRDefault="00AD365D" w:rsidP="001747B1">
            <w:pPr>
              <w:pStyle w:val="NoSpacing"/>
              <w:rPr>
                <w:color w:val="000000"/>
              </w:rPr>
            </w:pPr>
            <w:r w:rsidRPr="00487834">
              <w:rPr>
                <w:color w:val="000000"/>
              </w:rPr>
              <w:t>22.270</w:t>
            </w:r>
          </w:p>
        </w:tc>
        <w:tc>
          <w:tcPr>
            <w:tcW w:w="1060" w:type="dxa"/>
            <w:tcBorders>
              <w:top w:val="nil"/>
              <w:left w:val="nil"/>
              <w:bottom w:val="nil"/>
              <w:right w:val="nil"/>
            </w:tcBorders>
            <w:shd w:val="clear" w:color="auto" w:fill="auto"/>
            <w:noWrap/>
            <w:vAlign w:val="center"/>
            <w:hideMark/>
          </w:tcPr>
          <w:p w14:paraId="50486D4D" w14:textId="77777777" w:rsidR="00AD365D" w:rsidRPr="00487834" w:rsidRDefault="00AD365D" w:rsidP="001747B1">
            <w:pPr>
              <w:pStyle w:val="NoSpacing"/>
              <w:rPr>
                <w:color w:val="000000"/>
              </w:rPr>
            </w:pPr>
            <w:r w:rsidRPr="00487834">
              <w:rPr>
                <w:color w:val="000000"/>
              </w:rPr>
              <w:t>25.117</w:t>
            </w:r>
          </w:p>
        </w:tc>
      </w:tr>
      <w:tr w:rsidR="00AD365D" w:rsidRPr="00487834" w14:paraId="040EC371" w14:textId="77777777" w:rsidTr="001747B1">
        <w:trPr>
          <w:trHeight w:val="600"/>
          <w:jc w:val="center"/>
        </w:trPr>
        <w:tc>
          <w:tcPr>
            <w:tcW w:w="1200" w:type="dxa"/>
            <w:tcBorders>
              <w:top w:val="nil"/>
              <w:left w:val="nil"/>
              <w:bottom w:val="nil"/>
              <w:right w:val="nil"/>
            </w:tcBorders>
            <w:shd w:val="clear" w:color="auto" w:fill="auto"/>
            <w:noWrap/>
            <w:vAlign w:val="center"/>
            <w:hideMark/>
          </w:tcPr>
          <w:p w14:paraId="6697A327" w14:textId="77777777" w:rsidR="00AD365D" w:rsidRPr="00487834" w:rsidRDefault="00AD365D" w:rsidP="001747B1">
            <w:pPr>
              <w:pStyle w:val="NoSpacing"/>
              <w:rPr>
                <w:i/>
                <w:iCs/>
                <w:color w:val="000000"/>
              </w:rPr>
            </w:pPr>
            <w:r w:rsidRPr="00487834">
              <w:rPr>
                <w:i/>
                <w:iCs/>
                <w:color w:val="000000"/>
              </w:rPr>
              <w:t>ICR</w:t>
            </w:r>
          </w:p>
        </w:tc>
        <w:tc>
          <w:tcPr>
            <w:tcW w:w="1060" w:type="dxa"/>
            <w:tcBorders>
              <w:top w:val="nil"/>
              <w:left w:val="nil"/>
              <w:bottom w:val="nil"/>
              <w:right w:val="nil"/>
            </w:tcBorders>
            <w:shd w:val="clear" w:color="auto" w:fill="auto"/>
            <w:noWrap/>
            <w:vAlign w:val="center"/>
            <w:hideMark/>
          </w:tcPr>
          <w:p w14:paraId="625B0D0C" w14:textId="77777777" w:rsidR="00AD365D" w:rsidRPr="00487834" w:rsidRDefault="00AD365D" w:rsidP="001747B1">
            <w:pPr>
              <w:pStyle w:val="NoSpacing"/>
              <w:rPr>
                <w:color w:val="000000"/>
              </w:rPr>
            </w:pPr>
            <w:r w:rsidRPr="00487834">
              <w:rPr>
                <w:color w:val="000000"/>
              </w:rPr>
              <w:t>11.968</w:t>
            </w:r>
          </w:p>
        </w:tc>
        <w:tc>
          <w:tcPr>
            <w:tcW w:w="1060" w:type="dxa"/>
            <w:tcBorders>
              <w:top w:val="nil"/>
              <w:left w:val="nil"/>
              <w:bottom w:val="nil"/>
              <w:right w:val="nil"/>
            </w:tcBorders>
            <w:shd w:val="clear" w:color="auto" w:fill="auto"/>
            <w:noWrap/>
            <w:vAlign w:val="center"/>
            <w:hideMark/>
          </w:tcPr>
          <w:p w14:paraId="5A106531" w14:textId="77777777" w:rsidR="00AD365D" w:rsidRPr="00487834" w:rsidRDefault="00AD365D" w:rsidP="001747B1">
            <w:pPr>
              <w:pStyle w:val="NoSpacing"/>
              <w:rPr>
                <w:color w:val="000000"/>
              </w:rPr>
            </w:pPr>
            <w:r w:rsidRPr="00487834">
              <w:rPr>
                <w:color w:val="000000"/>
              </w:rPr>
              <w:t>21.509</w:t>
            </w:r>
          </w:p>
        </w:tc>
        <w:tc>
          <w:tcPr>
            <w:tcW w:w="1060" w:type="dxa"/>
            <w:tcBorders>
              <w:top w:val="nil"/>
              <w:left w:val="nil"/>
              <w:bottom w:val="nil"/>
              <w:right w:val="nil"/>
            </w:tcBorders>
            <w:shd w:val="clear" w:color="auto" w:fill="auto"/>
            <w:noWrap/>
            <w:vAlign w:val="center"/>
            <w:hideMark/>
          </w:tcPr>
          <w:p w14:paraId="4206EEDA" w14:textId="77777777" w:rsidR="00AD365D" w:rsidRPr="00487834" w:rsidRDefault="00AD365D" w:rsidP="001747B1">
            <w:pPr>
              <w:pStyle w:val="NoSpacing"/>
              <w:rPr>
                <w:color w:val="000000"/>
              </w:rPr>
            </w:pPr>
            <w:r w:rsidRPr="00487834">
              <w:rPr>
                <w:color w:val="000000"/>
              </w:rPr>
              <w:t>493</w:t>
            </w:r>
          </w:p>
        </w:tc>
        <w:tc>
          <w:tcPr>
            <w:tcW w:w="1060" w:type="dxa"/>
            <w:tcBorders>
              <w:top w:val="nil"/>
              <w:left w:val="nil"/>
              <w:bottom w:val="nil"/>
              <w:right w:val="nil"/>
            </w:tcBorders>
            <w:shd w:val="clear" w:color="auto" w:fill="auto"/>
            <w:noWrap/>
            <w:vAlign w:val="center"/>
            <w:hideMark/>
          </w:tcPr>
          <w:p w14:paraId="1F060A2C" w14:textId="77777777" w:rsidR="00AD365D" w:rsidRPr="00487834" w:rsidRDefault="00AD365D" w:rsidP="001747B1">
            <w:pPr>
              <w:pStyle w:val="NoSpacing"/>
              <w:rPr>
                <w:color w:val="000000"/>
              </w:rPr>
            </w:pPr>
            <w:r w:rsidRPr="00487834">
              <w:rPr>
                <w:color w:val="000000"/>
              </w:rPr>
              <w:t>-46</w:t>
            </w:r>
          </w:p>
        </w:tc>
        <w:tc>
          <w:tcPr>
            <w:tcW w:w="1060" w:type="dxa"/>
            <w:tcBorders>
              <w:top w:val="nil"/>
              <w:left w:val="nil"/>
              <w:bottom w:val="nil"/>
              <w:right w:val="nil"/>
            </w:tcBorders>
            <w:shd w:val="clear" w:color="auto" w:fill="auto"/>
            <w:noWrap/>
            <w:vAlign w:val="center"/>
            <w:hideMark/>
          </w:tcPr>
          <w:p w14:paraId="45C0FFD1" w14:textId="77777777" w:rsidR="00AD365D" w:rsidRPr="00487834" w:rsidRDefault="00AD365D" w:rsidP="001747B1">
            <w:pPr>
              <w:pStyle w:val="NoSpacing"/>
              <w:rPr>
                <w:color w:val="000000"/>
              </w:rPr>
            </w:pPr>
            <w:r w:rsidRPr="00487834">
              <w:rPr>
                <w:color w:val="000000"/>
              </w:rPr>
              <w:t>2.978</w:t>
            </w:r>
          </w:p>
        </w:tc>
        <w:tc>
          <w:tcPr>
            <w:tcW w:w="1060" w:type="dxa"/>
            <w:tcBorders>
              <w:top w:val="nil"/>
              <w:left w:val="nil"/>
              <w:bottom w:val="nil"/>
              <w:right w:val="nil"/>
            </w:tcBorders>
            <w:shd w:val="clear" w:color="auto" w:fill="auto"/>
            <w:noWrap/>
            <w:vAlign w:val="center"/>
            <w:hideMark/>
          </w:tcPr>
          <w:p w14:paraId="1822D9DB" w14:textId="77777777" w:rsidR="00AD365D" w:rsidRPr="00487834" w:rsidRDefault="00AD365D" w:rsidP="001747B1">
            <w:pPr>
              <w:pStyle w:val="NoSpacing"/>
              <w:rPr>
                <w:color w:val="000000"/>
              </w:rPr>
            </w:pPr>
            <w:r w:rsidRPr="00487834">
              <w:rPr>
                <w:color w:val="000000"/>
              </w:rPr>
              <w:t>5.087</w:t>
            </w:r>
          </w:p>
        </w:tc>
        <w:tc>
          <w:tcPr>
            <w:tcW w:w="1060" w:type="dxa"/>
            <w:tcBorders>
              <w:top w:val="nil"/>
              <w:left w:val="nil"/>
              <w:bottom w:val="nil"/>
              <w:right w:val="nil"/>
            </w:tcBorders>
            <w:shd w:val="clear" w:color="auto" w:fill="auto"/>
            <w:noWrap/>
            <w:vAlign w:val="center"/>
            <w:hideMark/>
          </w:tcPr>
          <w:p w14:paraId="0C0C73BD" w14:textId="77777777" w:rsidR="00AD365D" w:rsidRPr="00487834" w:rsidRDefault="00AD365D" w:rsidP="001747B1">
            <w:pPr>
              <w:pStyle w:val="NoSpacing"/>
              <w:rPr>
                <w:color w:val="000000"/>
              </w:rPr>
            </w:pPr>
            <w:r w:rsidRPr="00487834">
              <w:rPr>
                <w:color w:val="000000"/>
              </w:rPr>
              <w:t>12.886</w:t>
            </w:r>
          </w:p>
        </w:tc>
        <w:tc>
          <w:tcPr>
            <w:tcW w:w="1060" w:type="dxa"/>
            <w:tcBorders>
              <w:top w:val="nil"/>
              <w:left w:val="nil"/>
              <w:bottom w:val="nil"/>
              <w:right w:val="nil"/>
            </w:tcBorders>
            <w:shd w:val="clear" w:color="auto" w:fill="auto"/>
            <w:noWrap/>
            <w:vAlign w:val="center"/>
            <w:hideMark/>
          </w:tcPr>
          <w:p w14:paraId="54C0D095" w14:textId="77777777" w:rsidR="00AD365D" w:rsidRPr="00487834" w:rsidRDefault="00AD365D" w:rsidP="001747B1">
            <w:pPr>
              <w:pStyle w:val="NoSpacing"/>
              <w:rPr>
                <w:color w:val="000000"/>
              </w:rPr>
            </w:pPr>
            <w:r w:rsidRPr="00487834">
              <w:rPr>
                <w:color w:val="000000"/>
              </w:rPr>
              <w:t>180.908</w:t>
            </w:r>
          </w:p>
        </w:tc>
      </w:tr>
      <w:tr w:rsidR="00AD365D" w:rsidRPr="00487834" w14:paraId="40FABF29" w14:textId="77777777" w:rsidTr="001747B1">
        <w:trPr>
          <w:trHeight w:val="560"/>
          <w:jc w:val="center"/>
        </w:trPr>
        <w:tc>
          <w:tcPr>
            <w:tcW w:w="1200" w:type="dxa"/>
            <w:tcBorders>
              <w:top w:val="nil"/>
              <w:left w:val="nil"/>
              <w:bottom w:val="nil"/>
              <w:right w:val="nil"/>
            </w:tcBorders>
            <w:shd w:val="clear" w:color="auto" w:fill="auto"/>
            <w:noWrap/>
            <w:vAlign w:val="center"/>
            <w:hideMark/>
          </w:tcPr>
          <w:p w14:paraId="456C7B53" w14:textId="77777777" w:rsidR="00AD365D" w:rsidRPr="00487834" w:rsidRDefault="00AD365D" w:rsidP="001747B1">
            <w:pPr>
              <w:pStyle w:val="NoSpacing"/>
              <w:rPr>
                <w:i/>
                <w:iCs/>
                <w:color w:val="000000"/>
              </w:rPr>
            </w:pPr>
            <w:r w:rsidRPr="00487834">
              <w:rPr>
                <w:i/>
                <w:iCs/>
                <w:color w:val="000000"/>
              </w:rPr>
              <w:t>ROA</w:t>
            </w:r>
          </w:p>
        </w:tc>
        <w:tc>
          <w:tcPr>
            <w:tcW w:w="1060" w:type="dxa"/>
            <w:tcBorders>
              <w:top w:val="nil"/>
              <w:left w:val="nil"/>
              <w:bottom w:val="nil"/>
              <w:right w:val="nil"/>
            </w:tcBorders>
            <w:shd w:val="clear" w:color="auto" w:fill="auto"/>
            <w:noWrap/>
            <w:vAlign w:val="center"/>
            <w:hideMark/>
          </w:tcPr>
          <w:p w14:paraId="6DC3FE9C" w14:textId="77777777" w:rsidR="00AD365D" w:rsidRPr="00487834" w:rsidRDefault="00AD365D" w:rsidP="001747B1">
            <w:pPr>
              <w:pStyle w:val="NoSpacing"/>
              <w:rPr>
                <w:color w:val="000000"/>
              </w:rPr>
            </w:pPr>
            <w:r w:rsidRPr="00487834">
              <w:rPr>
                <w:color w:val="000000"/>
              </w:rPr>
              <w:t>0.045</w:t>
            </w:r>
          </w:p>
        </w:tc>
        <w:tc>
          <w:tcPr>
            <w:tcW w:w="1060" w:type="dxa"/>
            <w:tcBorders>
              <w:top w:val="nil"/>
              <w:left w:val="nil"/>
              <w:bottom w:val="nil"/>
              <w:right w:val="nil"/>
            </w:tcBorders>
            <w:shd w:val="clear" w:color="auto" w:fill="auto"/>
            <w:noWrap/>
            <w:vAlign w:val="center"/>
            <w:hideMark/>
          </w:tcPr>
          <w:p w14:paraId="130B9040" w14:textId="77777777" w:rsidR="00AD365D" w:rsidRPr="00487834" w:rsidRDefault="00AD365D" w:rsidP="001747B1">
            <w:pPr>
              <w:pStyle w:val="NoSpacing"/>
              <w:rPr>
                <w:color w:val="000000"/>
              </w:rPr>
            </w:pPr>
            <w:r w:rsidRPr="00487834">
              <w:rPr>
                <w:color w:val="000000"/>
              </w:rPr>
              <w:t>0.054</w:t>
            </w:r>
          </w:p>
        </w:tc>
        <w:tc>
          <w:tcPr>
            <w:tcW w:w="1060" w:type="dxa"/>
            <w:tcBorders>
              <w:top w:val="nil"/>
              <w:left w:val="nil"/>
              <w:bottom w:val="nil"/>
              <w:right w:val="nil"/>
            </w:tcBorders>
            <w:shd w:val="clear" w:color="auto" w:fill="auto"/>
            <w:noWrap/>
            <w:vAlign w:val="center"/>
            <w:hideMark/>
          </w:tcPr>
          <w:p w14:paraId="3DA9982E" w14:textId="77777777" w:rsidR="00AD365D" w:rsidRPr="00487834" w:rsidRDefault="00AD365D" w:rsidP="001747B1">
            <w:pPr>
              <w:pStyle w:val="NoSpacing"/>
              <w:rPr>
                <w:color w:val="000000"/>
              </w:rPr>
            </w:pPr>
            <w:r w:rsidRPr="00487834">
              <w:rPr>
                <w:color w:val="000000"/>
              </w:rPr>
              <w:t>493</w:t>
            </w:r>
          </w:p>
        </w:tc>
        <w:tc>
          <w:tcPr>
            <w:tcW w:w="1060" w:type="dxa"/>
            <w:tcBorders>
              <w:top w:val="nil"/>
              <w:left w:val="nil"/>
              <w:bottom w:val="nil"/>
              <w:right w:val="nil"/>
            </w:tcBorders>
            <w:shd w:val="clear" w:color="auto" w:fill="auto"/>
            <w:noWrap/>
            <w:vAlign w:val="center"/>
            <w:hideMark/>
          </w:tcPr>
          <w:p w14:paraId="2E3FE7A4" w14:textId="77777777" w:rsidR="00AD365D" w:rsidRPr="00487834" w:rsidRDefault="00AD365D" w:rsidP="001747B1">
            <w:pPr>
              <w:pStyle w:val="NoSpacing"/>
              <w:rPr>
                <w:color w:val="000000"/>
              </w:rPr>
            </w:pPr>
            <w:r w:rsidRPr="00487834">
              <w:rPr>
                <w:color w:val="000000"/>
              </w:rPr>
              <w:t>-0.107</w:t>
            </w:r>
          </w:p>
        </w:tc>
        <w:tc>
          <w:tcPr>
            <w:tcW w:w="1060" w:type="dxa"/>
            <w:tcBorders>
              <w:top w:val="nil"/>
              <w:left w:val="nil"/>
              <w:bottom w:val="nil"/>
              <w:right w:val="nil"/>
            </w:tcBorders>
            <w:shd w:val="clear" w:color="auto" w:fill="auto"/>
            <w:noWrap/>
            <w:vAlign w:val="center"/>
            <w:hideMark/>
          </w:tcPr>
          <w:p w14:paraId="64A64AA1" w14:textId="77777777" w:rsidR="00AD365D" w:rsidRPr="00487834" w:rsidRDefault="00AD365D" w:rsidP="001747B1">
            <w:pPr>
              <w:pStyle w:val="NoSpacing"/>
              <w:rPr>
                <w:color w:val="000000"/>
              </w:rPr>
            </w:pPr>
            <w:r w:rsidRPr="00487834">
              <w:rPr>
                <w:color w:val="000000"/>
              </w:rPr>
              <w:t>0.000</w:t>
            </w:r>
          </w:p>
        </w:tc>
        <w:tc>
          <w:tcPr>
            <w:tcW w:w="1060" w:type="dxa"/>
            <w:tcBorders>
              <w:top w:val="nil"/>
              <w:left w:val="nil"/>
              <w:bottom w:val="nil"/>
              <w:right w:val="nil"/>
            </w:tcBorders>
            <w:shd w:val="clear" w:color="auto" w:fill="auto"/>
            <w:noWrap/>
            <w:vAlign w:val="center"/>
            <w:hideMark/>
          </w:tcPr>
          <w:p w14:paraId="5A89EA56" w14:textId="77777777" w:rsidR="00AD365D" w:rsidRPr="00487834" w:rsidRDefault="00AD365D" w:rsidP="001747B1">
            <w:pPr>
              <w:pStyle w:val="NoSpacing"/>
              <w:rPr>
                <w:color w:val="000000"/>
              </w:rPr>
            </w:pPr>
            <w:r w:rsidRPr="00487834">
              <w:rPr>
                <w:color w:val="000000"/>
              </w:rPr>
              <w:t>0.039</w:t>
            </w:r>
          </w:p>
        </w:tc>
        <w:tc>
          <w:tcPr>
            <w:tcW w:w="1060" w:type="dxa"/>
            <w:tcBorders>
              <w:top w:val="nil"/>
              <w:left w:val="nil"/>
              <w:bottom w:val="nil"/>
              <w:right w:val="nil"/>
            </w:tcBorders>
            <w:shd w:val="clear" w:color="auto" w:fill="auto"/>
            <w:noWrap/>
            <w:vAlign w:val="center"/>
            <w:hideMark/>
          </w:tcPr>
          <w:p w14:paraId="77EFDC00" w14:textId="77777777" w:rsidR="00AD365D" w:rsidRPr="00487834" w:rsidRDefault="00AD365D" w:rsidP="001747B1">
            <w:pPr>
              <w:pStyle w:val="NoSpacing"/>
              <w:rPr>
                <w:color w:val="000000"/>
              </w:rPr>
            </w:pPr>
            <w:r w:rsidRPr="00487834">
              <w:rPr>
                <w:color w:val="000000"/>
              </w:rPr>
              <w:t>0.068</w:t>
            </w:r>
          </w:p>
        </w:tc>
        <w:tc>
          <w:tcPr>
            <w:tcW w:w="1060" w:type="dxa"/>
            <w:tcBorders>
              <w:top w:val="nil"/>
              <w:left w:val="nil"/>
              <w:bottom w:val="nil"/>
              <w:right w:val="nil"/>
            </w:tcBorders>
            <w:shd w:val="clear" w:color="auto" w:fill="auto"/>
            <w:noWrap/>
            <w:vAlign w:val="center"/>
            <w:hideMark/>
          </w:tcPr>
          <w:p w14:paraId="47D7E861" w14:textId="77777777" w:rsidR="00AD365D" w:rsidRPr="00487834" w:rsidRDefault="00AD365D" w:rsidP="001747B1">
            <w:pPr>
              <w:pStyle w:val="NoSpacing"/>
              <w:rPr>
                <w:color w:val="000000"/>
              </w:rPr>
            </w:pPr>
            <w:r w:rsidRPr="00487834">
              <w:rPr>
                <w:color w:val="000000"/>
              </w:rPr>
              <w:t>0.227</w:t>
            </w:r>
          </w:p>
        </w:tc>
      </w:tr>
      <w:tr w:rsidR="00AD365D" w:rsidRPr="00487834" w14:paraId="28884CAF" w14:textId="77777777" w:rsidTr="001747B1">
        <w:trPr>
          <w:trHeight w:val="560"/>
          <w:jc w:val="center"/>
        </w:trPr>
        <w:tc>
          <w:tcPr>
            <w:tcW w:w="1200" w:type="dxa"/>
            <w:tcBorders>
              <w:top w:val="nil"/>
              <w:left w:val="nil"/>
              <w:bottom w:val="nil"/>
              <w:right w:val="nil"/>
            </w:tcBorders>
            <w:shd w:val="clear" w:color="auto" w:fill="auto"/>
            <w:noWrap/>
            <w:vAlign w:val="center"/>
            <w:hideMark/>
          </w:tcPr>
          <w:p w14:paraId="6E844D47" w14:textId="77777777" w:rsidR="00AD365D" w:rsidRPr="00487834" w:rsidRDefault="00AD365D" w:rsidP="001747B1">
            <w:pPr>
              <w:pStyle w:val="NoSpacing"/>
              <w:rPr>
                <w:i/>
                <w:iCs/>
                <w:color w:val="000000"/>
              </w:rPr>
            </w:pPr>
            <w:r w:rsidRPr="00487834">
              <w:rPr>
                <w:i/>
                <w:iCs/>
                <w:color w:val="000000"/>
              </w:rPr>
              <w:t>Current</w:t>
            </w:r>
          </w:p>
        </w:tc>
        <w:tc>
          <w:tcPr>
            <w:tcW w:w="1060" w:type="dxa"/>
            <w:tcBorders>
              <w:top w:val="nil"/>
              <w:left w:val="nil"/>
              <w:bottom w:val="nil"/>
              <w:right w:val="nil"/>
            </w:tcBorders>
            <w:shd w:val="clear" w:color="auto" w:fill="auto"/>
            <w:noWrap/>
            <w:vAlign w:val="center"/>
            <w:hideMark/>
          </w:tcPr>
          <w:p w14:paraId="64957E46" w14:textId="77777777" w:rsidR="00AD365D" w:rsidRPr="00487834" w:rsidRDefault="00AD365D" w:rsidP="001747B1">
            <w:pPr>
              <w:pStyle w:val="NoSpacing"/>
              <w:rPr>
                <w:color w:val="000000"/>
              </w:rPr>
            </w:pPr>
            <w:r w:rsidRPr="00487834">
              <w:rPr>
                <w:color w:val="000000"/>
              </w:rPr>
              <w:t>1.477</w:t>
            </w:r>
          </w:p>
        </w:tc>
        <w:tc>
          <w:tcPr>
            <w:tcW w:w="1060" w:type="dxa"/>
            <w:tcBorders>
              <w:top w:val="nil"/>
              <w:left w:val="nil"/>
              <w:bottom w:val="nil"/>
              <w:right w:val="nil"/>
            </w:tcBorders>
            <w:shd w:val="clear" w:color="auto" w:fill="auto"/>
            <w:noWrap/>
            <w:vAlign w:val="center"/>
            <w:hideMark/>
          </w:tcPr>
          <w:p w14:paraId="561A2968" w14:textId="77777777" w:rsidR="00AD365D" w:rsidRPr="00487834" w:rsidRDefault="00AD365D" w:rsidP="001747B1">
            <w:pPr>
              <w:pStyle w:val="NoSpacing"/>
              <w:rPr>
                <w:color w:val="000000"/>
              </w:rPr>
            </w:pPr>
            <w:r w:rsidRPr="00487834">
              <w:rPr>
                <w:color w:val="000000"/>
              </w:rPr>
              <w:t>0.881</w:t>
            </w:r>
          </w:p>
        </w:tc>
        <w:tc>
          <w:tcPr>
            <w:tcW w:w="1060" w:type="dxa"/>
            <w:tcBorders>
              <w:top w:val="nil"/>
              <w:left w:val="nil"/>
              <w:bottom w:val="nil"/>
              <w:right w:val="nil"/>
            </w:tcBorders>
            <w:shd w:val="clear" w:color="auto" w:fill="auto"/>
            <w:noWrap/>
            <w:vAlign w:val="center"/>
            <w:hideMark/>
          </w:tcPr>
          <w:p w14:paraId="44B35CCA" w14:textId="77777777" w:rsidR="00AD365D" w:rsidRPr="00487834" w:rsidRDefault="00AD365D" w:rsidP="001747B1">
            <w:pPr>
              <w:pStyle w:val="NoSpacing"/>
              <w:rPr>
                <w:color w:val="000000"/>
              </w:rPr>
            </w:pPr>
            <w:r w:rsidRPr="00487834">
              <w:rPr>
                <w:color w:val="000000"/>
              </w:rPr>
              <w:t>493</w:t>
            </w:r>
          </w:p>
        </w:tc>
        <w:tc>
          <w:tcPr>
            <w:tcW w:w="1060" w:type="dxa"/>
            <w:tcBorders>
              <w:top w:val="nil"/>
              <w:left w:val="nil"/>
              <w:bottom w:val="nil"/>
              <w:right w:val="nil"/>
            </w:tcBorders>
            <w:shd w:val="clear" w:color="auto" w:fill="auto"/>
            <w:noWrap/>
            <w:vAlign w:val="center"/>
            <w:hideMark/>
          </w:tcPr>
          <w:p w14:paraId="2FFB7B57" w14:textId="77777777" w:rsidR="00AD365D" w:rsidRPr="00487834" w:rsidRDefault="00AD365D" w:rsidP="001747B1">
            <w:pPr>
              <w:pStyle w:val="NoSpacing"/>
              <w:rPr>
                <w:color w:val="000000"/>
              </w:rPr>
            </w:pPr>
            <w:r w:rsidRPr="00487834">
              <w:rPr>
                <w:color w:val="000000"/>
              </w:rPr>
              <w:t>0.087</w:t>
            </w:r>
          </w:p>
        </w:tc>
        <w:tc>
          <w:tcPr>
            <w:tcW w:w="1060" w:type="dxa"/>
            <w:tcBorders>
              <w:top w:val="nil"/>
              <w:left w:val="nil"/>
              <w:bottom w:val="nil"/>
              <w:right w:val="nil"/>
            </w:tcBorders>
            <w:shd w:val="clear" w:color="auto" w:fill="auto"/>
            <w:noWrap/>
            <w:vAlign w:val="center"/>
            <w:hideMark/>
          </w:tcPr>
          <w:p w14:paraId="5DB776CB" w14:textId="77777777" w:rsidR="00AD365D" w:rsidRPr="00487834" w:rsidRDefault="00AD365D" w:rsidP="001747B1">
            <w:pPr>
              <w:pStyle w:val="NoSpacing"/>
              <w:rPr>
                <w:color w:val="000000"/>
              </w:rPr>
            </w:pPr>
            <w:r w:rsidRPr="00487834">
              <w:rPr>
                <w:color w:val="000000"/>
              </w:rPr>
              <w:t>1.018</w:t>
            </w:r>
          </w:p>
        </w:tc>
        <w:tc>
          <w:tcPr>
            <w:tcW w:w="1060" w:type="dxa"/>
            <w:tcBorders>
              <w:top w:val="nil"/>
              <w:left w:val="nil"/>
              <w:bottom w:val="nil"/>
              <w:right w:val="nil"/>
            </w:tcBorders>
            <w:shd w:val="clear" w:color="auto" w:fill="auto"/>
            <w:noWrap/>
            <w:vAlign w:val="center"/>
            <w:hideMark/>
          </w:tcPr>
          <w:p w14:paraId="625540CE" w14:textId="77777777" w:rsidR="00AD365D" w:rsidRPr="00487834" w:rsidRDefault="00AD365D" w:rsidP="001747B1">
            <w:pPr>
              <w:pStyle w:val="NoSpacing"/>
              <w:rPr>
                <w:color w:val="000000"/>
              </w:rPr>
            </w:pPr>
            <w:r w:rsidRPr="00487834">
              <w:rPr>
                <w:color w:val="000000"/>
              </w:rPr>
              <w:t>1.261</w:t>
            </w:r>
          </w:p>
        </w:tc>
        <w:tc>
          <w:tcPr>
            <w:tcW w:w="1060" w:type="dxa"/>
            <w:tcBorders>
              <w:top w:val="nil"/>
              <w:left w:val="nil"/>
              <w:bottom w:val="nil"/>
              <w:right w:val="nil"/>
            </w:tcBorders>
            <w:shd w:val="clear" w:color="auto" w:fill="auto"/>
            <w:noWrap/>
            <w:vAlign w:val="center"/>
            <w:hideMark/>
          </w:tcPr>
          <w:p w14:paraId="7BA410B9" w14:textId="77777777" w:rsidR="00AD365D" w:rsidRPr="00487834" w:rsidRDefault="00AD365D" w:rsidP="001747B1">
            <w:pPr>
              <w:pStyle w:val="NoSpacing"/>
              <w:rPr>
                <w:color w:val="000000"/>
              </w:rPr>
            </w:pPr>
            <w:r w:rsidRPr="00487834">
              <w:rPr>
                <w:color w:val="000000"/>
              </w:rPr>
              <w:t>1.766</w:t>
            </w:r>
          </w:p>
        </w:tc>
        <w:tc>
          <w:tcPr>
            <w:tcW w:w="1060" w:type="dxa"/>
            <w:tcBorders>
              <w:top w:val="nil"/>
              <w:left w:val="nil"/>
              <w:bottom w:val="nil"/>
              <w:right w:val="nil"/>
            </w:tcBorders>
            <w:shd w:val="clear" w:color="auto" w:fill="auto"/>
            <w:noWrap/>
            <w:vAlign w:val="center"/>
            <w:hideMark/>
          </w:tcPr>
          <w:p w14:paraId="60228D01" w14:textId="77777777" w:rsidR="00AD365D" w:rsidRPr="00487834" w:rsidRDefault="00AD365D" w:rsidP="001747B1">
            <w:pPr>
              <w:pStyle w:val="NoSpacing"/>
              <w:rPr>
                <w:color w:val="000000"/>
              </w:rPr>
            </w:pPr>
            <w:r w:rsidRPr="00487834">
              <w:rPr>
                <w:color w:val="000000"/>
              </w:rPr>
              <w:t>6.272</w:t>
            </w:r>
          </w:p>
        </w:tc>
      </w:tr>
      <w:tr w:rsidR="00AD365D" w:rsidRPr="00487834" w14:paraId="74822F8E" w14:textId="77777777" w:rsidTr="001747B1">
        <w:trPr>
          <w:trHeight w:val="560"/>
          <w:jc w:val="center"/>
        </w:trPr>
        <w:tc>
          <w:tcPr>
            <w:tcW w:w="1200" w:type="dxa"/>
            <w:tcBorders>
              <w:top w:val="nil"/>
              <w:left w:val="nil"/>
              <w:bottom w:val="nil"/>
              <w:right w:val="nil"/>
            </w:tcBorders>
            <w:shd w:val="clear" w:color="auto" w:fill="auto"/>
            <w:noWrap/>
            <w:vAlign w:val="center"/>
            <w:hideMark/>
          </w:tcPr>
          <w:p w14:paraId="0FF2AFF1" w14:textId="77777777" w:rsidR="00AD365D" w:rsidRPr="00487834" w:rsidRDefault="00AD365D" w:rsidP="001747B1">
            <w:pPr>
              <w:pStyle w:val="NoSpacing"/>
              <w:rPr>
                <w:i/>
                <w:iCs/>
                <w:color w:val="000000"/>
              </w:rPr>
            </w:pPr>
            <w:r w:rsidRPr="00487834">
              <w:rPr>
                <w:i/>
                <w:iCs/>
                <w:color w:val="000000"/>
              </w:rPr>
              <w:t>LEV</w:t>
            </w:r>
          </w:p>
        </w:tc>
        <w:tc>
          <w:tcPr>
            <w:tcW w:w="1060" w:type="dxa"/>
            <w:tcBorders>
              <w:top w:val="nil"/>
              <w:left w:val="nil"/>
              <w:bottom w:val="nil"/>
              <w:right w:val="nil"/>
            </w:tcBorders>
            <w:shd w:val="clear" w:color="auto" w:fill="auto"/>
            <w:noWrap/>
            <w:vAlign w:val="center"/>
            <w:hideMark/>
          </w:tcPr>
          <w:p w14:paraId="6C546646" w14:textId="77777777" w:rsidR="00AD365D" w:rsidRPr="00487834" w:rsidRDefault="00AD365D" w:rsidP="001747B1">
            <w:pPr>
              <w:pStyle w:val="NoSpacing"/>
              <w:rPr>
                <w:color w:val="000000"/>
              </w:rPr>
            </w:pPr>
            <w:r w:rsidRPr="00487834">
              <w:rPr>
                <w:color w:val="000000"/>
              </w:rPr>
              <w:t>0.244</w:t>
            </w:r>
          </w:p>
        </w:tc>
        <w:tc>
          <w:tcPr>
            <w:tcW w:w="1060" w:type="dxa"/>
            <w:tcBorders>
              <w:top w:val="nil"/>
              <w:left w:val="nil"/>
              <w:bottom w:val="nil"/>
              <w:right w:val="nil"/>
            </w:tcBorders>
            <w:shd w:val="clear" w:color="auto" w:fill="auto"/>
            <w:noWrap/>
            <w:vAlign w:val="center"/>
            <w:hideMark/>
          </w:tcPr>
          <w:p w14:paraId="7CE46E55" w14:textId="77777777" w:rsidR="00AD365D" w:rsidRPr="00487834" w:rsidRDefault="00AD365D" w:rsidP="001747B1">
            <w:pPr>
              <w:pStyle w:val="NoSpacing"/>
              <w:rPr>
                <w:color w:val="000000"/>
              </w:rPr>
            </w:pPr>
            <w:r w:rsidRPr="00487834">
              <w:rPr>
                <w:color w:val="000000"/>
              </w:rPr>
              <w:t>0.147</w:t>
            </w:r>
          </w:p>
        </w:tc>
        <w:tc>
          <w:tcPr>
            <w:tcW w:w="1060" w:type="dxa"/>
            <w:tcBorders>
              <w:top w:val="nil"/>
              <w:left w:val="nil"/>
              <w:bottom w:val="nil"/>
              <w:right w:val="nil"/>
            </w:tcBorders>
            <w:shd w:val="clear" w:color="auto" w:fill="auto"/>
            <w:noWrap/>
            <w:vAlign w:val="center"/>
            <w:hideMark/>
          </w:tcPr>
          <w:p w14:paraId="6269AA17" w14:textId="77777777" w:rsidR="00AD365D" w:rsidRPr="00487834" w:rsidRDefault="00AD365D" w:rsidP="001747B1">
            <w:pPr>
              <w:pStyle w:val="NoSpacing"/>
              <w:rPr>
                <w:color w:val="000000"/>
              </w:rPr>
            </w:pPr>
            <w:r w:rsidRPr="00487834">
              <w:rPr>
                <w:color w:val="000000"/>
              </w:rPr>
              <w:t>493</w:t>
            </w:r>
          </w:p>
        </w:tc>
        <w:tc>
          <w:tcPr>
            <w:tcW w:w="1060" w:type="dxa"/>
            <w:tcBorders>
              <w:top w:val="nil"/>
              <w:left w:val="nil"/>
              <w:bottom w:val="nil"/>
              <w:right w:val="nil"/>
            </w:tcBorders>
            <w:shd w:val="clear" w:color="auto" w:fill="auto"/>
            <w:noWrap/>
            <w:vAlign w:val="center"/>
            <w:hideMark/>
          </w:tcPr>
          <w:p w14:paraId="0AAF0DE6" w14:textId="77777777" w:rsidR="00AD365D" w:rsidRPr="00487834" w:rsidRDefault="00AD365D" w:rsidP="001747B1">
            <w:pPr>
              <w:pStyle w:val="NoSpacing"/>
              <w:rPr>
                <w:color w:val="000000"/>
              </w:rPr>
            </w:pPr>
            <w:r w:rsidRPr="00487834">
              <w:rPr>
                <w:color w:val="000000"/>
              </w:rPr>
              <w:t>0.000</w:t>
            </w:r>
          </w:p>
        </w:tc>
        <w:tc>
          <w:tcPr>
            <w:tcW w:w="1060" w:type="dxa"/>
            <w:tcBorders>
              <w:top w:val="nil"/>
              <w:left w:val="nil"/>
              <w:bottom w:val="nil"/>
              <w:right w:val="nil"/>
            </w:tcBorders>
            <w:shd w:val="clear" w:color="auto" w:fill="auto"/>
            <w:noWrap/>
            <w:vAlign w:val="center"/>
            <w:hideMark/>
          </w:tcPr>
          <w:p w14:paraId="78B4E65A" w14:textId="77777777" w:rsidR="00AD365D" w:rsidRPr="00487834" w:rsidRDefault="00AD365D" w:rsidP="001747B1">
            <w:pPr>
              <w:pStyle w:val="NoSpacing"/>
              <w:rPr>
                <w:color w:val="000000"/>
              </w:rPr>
            </w:pPr>
            <w:r w:rsidRPr="00487834">
              <w:rPr>
                <w:color w:val="000000"/>
              </w:rPr>
              <w:t>0.140</w:t>
            </w:r>
          </w:p>
        </w:tc>
        <w:tc>
          <w:tcPr>
            <w:tcW w:w="1060" w:type="dxa"/>
            <w:tcBorders>
              <w:top w:val="nil"/>
              <w:left w:val="nil"/>
              <w:bottom w:val="nil"/>
              <w:right w:val="nil"/>
            </w:tcBorders>
            <w:shd w:val="clear" w:color="auto" w:fill="auto"/>
            <w:noWrap/>
            <w:vAlign w:val="center"/>
            <w:hideMark/>
          </w:tcPr>
          <w:p w14:paraId="4EF5F492" w14:textId="77777777" w:rsidR="00AD365D" w:rsidRPr="00487834" w:rsidRDefault="00AD365D" w:rsidP="001747B1">
            <w:pPr>
              <w:pStyle w:val="NoSpacing"/>
              <w:rPr>
                <w:color w:val="000000"/>
              </w:rPr>
            </w:pPr>
            <w:r w:rsidRPr="00487834">
              <w:rPr>
                <w:color w:val="000000"/>
              </w:rPr>
              <w:t>0.236</w:t>
            </w:r>
          </w:p>
        </w:tc>
        <w:tc>
          <w:tcPr>
            <w:tcW w:w="1060" w:type="dxa"/>
            <w:tcBorders>
              <w:top w:val="nil"/>
              <w:left w:val="nil"/>
              <w:bottom w:val="nil"/>
              <w:right w:val="nil"/>
            </w:tcBorders>
            <w:shd w:val="clear" w:color="auto" w:fill="auto"/>
            <w:noWrap/>
            <w:vAlign w:val="center"/>
            <w:hideMark/>
          </w:tcPr>
          <w:p w14:paraId="4CB451D7" w14:textId="77777777" w:rsidR="00AD365D" w:rsidRPr="00487834" w:rsidRDefault="00AD365D" w:rsidP="001747B1">
            <w:pPr>
              <w:pStyle w:val="NoSpacing"/>
              <w:rPr>
                <w:color w:val="000000"/>
              </w:rPr>
            </w:pPr>
            <w:r w:rsidRPr="00487834">
              <w:rPr>
                <w:color w:val="000000"/>
              </w:rPr>
              <w:t>0.341</w:t>
            </w:r>
          </w:p>
        </w:tc>
        <w:tc>
          <w:tcPr>
            <w:tcW w:w="1060" w:type="dxa"/>
            <w:tcBorders>
              <w:top w:val="nil"/>
              <w:left w:val="nil"/>
              <w:bottom w:val="nil"/>
              <w:right w:val="nil"/>
            </w:tcBorders>
            <w:shd w:val="clear" w:color="auto" w:fill="auto"/>
            <w:noWrap/>
            <w:vAlign w:val="center"/>
            <w:hideMark/>
          </w:tcPr>
          <w:p w14:paraId="3CB485EA" w14:textId="77777777" w:rsidR="00AD365D" w:rsidRPr="00487834" w:rsidRDefault="00AD365D" w:rsidP="001747B1">
            <w:pPr>
              <w:pStyle w:val="NoSpacing"/>
              <w:rPr>
                <w:color w:val="000000"/>
              </w:rPr>
            </w:pPr>
            <w:r w:rsidRPr="00487834">
              <w:rPr>
                <w:color w:val="000000"/>
              </w:rPr>
              <w:t>0.639</w:t>
            </w:r>
          </w:p>
        </w:tc>
      </w:tr>
      <w:tr w:rsidR="00AD365D" w:rsidRPr="00487834" w14:paraId="4FCFCCD5" w14:textId="77777777" w:rsidTr="001747B1">
        <w:trPr>
          <w:trHeight w:val="540"/>
          <w:jc w:val="center"/>
        </w:trPr>
        <w:tc>
          <w:tcPr>
            <w:tcW w:w="1200" w:type="dxa"/>
            <w:tcBorders>
              <w:top w:val="nil"/>
              <w:left w:val="nil"/>
              <w:bottom w:val="nil"/>
              <w:right w:val="nil"/>
            </w:tcBorders>
            <w:shd w:val="clear" w:color="auto" w:fill="auto"/>
            <w:noWrap/>
            <w:vAlign w:val="center"/>
            <w:hideMark/>
          </w:tcPr>
          <w:p w14:paraId="41675AB7" w14:textId="77777777" w:rsidR="00AD365D" w:rsidRPr="00487834" w:rsidRDefault="00AD365D" w:rsidP="001747B1">
            <w:pPr>
              <w:pStyle w:val="NoSpacing"/>
              <w:rPr>
                <w:i/>
                <w:iCs/>
                <w:color w:val="000000"/>
              </w:rPr>
            </w:pPr>
            <w:r w:rsidRPr="00487834">
              <w:rPr>
                <w:i/>
                <w:iCs/>
                <w:color w:val="000000"/>
              </w:rPr>
              <w:t>ND/EBITDA</w:t>
            </w:r>
          </w:p>
        </w:tc>
        <w:tc>
          <w:tcPr>
            <w:tcW w:w="1060" w:type="dxa"/>
            <w:tcBorders>
              <w:top w:val="nil"/>
              <w:left w:val="nil"/>
              <w:bottom w:val="nil"/>
              <w:right w:val="nil"/>
            </w:tcBorders>
            <w:shd w:val="clear" w:color="auto" w:fill="auto"/>
            <w:noWrap/>
            <w:vAlign w:val="center"/>
            <w:hideMark/>
          </w:tcPr>
          <w:p w14:paraId="350FE92F" w14:textId="77777777" w:rsidR="00AD365D" w:rsidRPr="00487834" w:rsidRDefault="00AD365D" w:rsidP="001747B1">
            <w:pPr>
              <w:pStyle w:val="NoSpacing"/>
              <w:rPr>
                <w:color w:val="000000"/>
              </w:rPr>
            </w:pPr>
            <w:r w:rsidRPr="00487834">
              <w:rPr>
                <w:color w:val="000000"/>
              </w:rPr>
              <w:t>1.454</w:t>
            </w:r>
          </w:p>
        </w:tc>
        <w:tc>
          <w:tcPr>
            <w:tcW w:w="1060" w:type="dxa"/>
            <w:tcBorders>
              <w:top w:val="nil"/>
              <w:left w:val="nil"/>
              <w:bottom w:val="nil"/>
              <w:right w:val="nil"/>
            </w:tcBorders>
            <w:shd w:val="clear" w:color="auto" w:fill="auto"/>
            <w:noWrap/>
            <w:vAlign w:val="center"/>
            <w:hideMark/>
          </w:tcPr>
          <w:p w14:paraId="3E718D96" w14:textId="77777777" w:rsidR="00AD365D" w:rsidRPr="00487834" w:rsidRDefault="00AD365D" w:rsidP="001747B1">
            <w:pPr>
              <w:pStyle w:val="NoSpacing"/>
              <w:rPr>
                <w:color w:val="000000"/>
              </w:rPr>
            </w:pPr>
            <w:r w:rsidRPr="00487834">
              <w:rPr>
                <w:color w:val="000000"/>
              </w:rPr>
              <w:t>2.352</w:t>
            </w:r>
          </w:p>
        </w:tc>
        <w:tc>
          <w:tcPr>
            <w:tcW w:w="1060" w:type="dxa"/>
            <w:tcBorders>
              <w:top w:val="nil"/>
              <w:left w:val="nil"/>
              <w:bottom w:val="nil"/>
              <w:right w:val="nil"/>
            </w:tcBorders>
            <w:shd w:val="clear" w:color="auto" w:fill="auto"/>
            <w:noWrap/>
            <w:vAlign w:val="center"/>
            <w:hideMark/>
          </w:tcPr>
          <w:p w14:paraId="25518158" w14:textId="77777777" w:rsidR="00AD365D" w:rsidRPr="00487834" w:rsidRDefault="00AD365D" w:rsidP="001747B1">
            <w:pPr>
              <w:pStyle w:val="NoSpacing"/>
              <w:rPr>
                <w:color w:val="000000"/>
              </w:rPr>
            </w:pPr>
            <w:r w:rsidRPr="00487834">
              <w:rPr>
                <w:color w:val="000000"/>
              </w:rPr>
              <w:t>493</w:t>
            </w:r>
          </w:p>
        </w:tc>
        <w:tc>
          <w:tcPr>
            <w:tcW w:w="1060" w:type="dxa"/>
            <w:tcBorders>
              <w:top w:val="nil"/>
              <w:left w:val="nil"/>
              <w:bottom w:val="nil"/>
              <w:right w:val="nil"/>
            </w:tcBorders>
            <w:shd w:val="clear" w:color="auto" w:fill="auto"/>
            <w:noWrap/>
            <w:vAlign w:val="center"/>
            <w:hideMark/>
          </w:tcPr>
          <w:p w14:paraId="42DBDC3E" w14:textId="77777777" w:rsidR="00AD365D" w:rsidRPr="00487834" w:rsidRDefault="00AD365D" w:rsidP="001747B1">
            <w:pPr>
              <w:pStyle w:val="NoSpacing"/>
              <w:rPr>
                <w:color w:val="000000"/>
              </w:rPr>
            </w:pPr>
            <w:r w:rsidRPr="00487834">
              <w:rPr>
                <w:color w:val="000000"/>
              </w:rPr>
              <w:t>-2.799</w:t>
            </w:r>
          </w:p>
        </w:tc>
        <w:tc>
          <w:tcPr>
            <w:tcW w:w="1060" w:type="dxa"/>
            <w:tcBorders>
              <w:top w:val="nil"/>
              <w:left w:val="nil"/>
              <w:bottom w:val="nil"/>
              <w:right w:val="nil"/>
            </w:tcBorders>
            <w:shd w:val="clear" w:color="auto" w:fill="auto"/>
            <w:noWrap/>
            <w:vAlign w:val="center"/>
            <w:hideMark/>
          </w:tcPr>
          <w:p w14:paraId="079D171C" w14:textId="77777777" w:rsidR="00AD365D" w:rsidRPr="00487834" w:rsidRDefault="00AD365D" w:rsidP="001747B1">
            <w:pPr>
              <w:pStyle w:val="NoSpacing"/>
              <w:rPr>
                <w:color w:val="000000"/>
              </w:rPr>
            </w:pPr>
            <w:r w:rsidRPr="00487834">
              <w:rPr>
                <w:color w:val="000000"/>
              </w:rPr>
              <w:t>0</w:t>
            </w:r>
          </w:p>
        </w:tc>
        <w:tc>
          <w:tcPr>
            <w:tcW w:w="1060" w:type="dxa"/>
            <w:tcBorders>
              <w:top w:val="nil"/>
              <w:left w:val="nil"/>
              <w:bottom w:val="nil"/>
              <w:right w:val="nil"/>
            </w:tcBorders>
            <w:shd w:val="clear" w:color="auto" w:fill="auto"/>
            <w:noWrap/>
            <w:vAlign w:val="center"/>
            <w:hideMark/>
          </w:tcPr>
          <w:p w14:paraId="308C45D2" w14:textId="77777777" w:rsidR="00AD365D" w:rsidRPr="00487834" w:rsidRDefault="00AD365D" w:rsidP="001747B1">
            <w:pPr>
              <w:pStyle w:val="NoSpacing"/>
              <w:rPr>
                <w:color w:val="000000"/>
              </w:rPr>
            </w:pPr>
            <w:r w:rsidRPr="00487834">
              <w:rPr>
                <w:color w:val="000000"/>
              </w:rPr>
              <w:t>0.739</w:t>
            </w:r>
          </w:p>
        </w:tc>
        <w:tc>
          <w:tcPr>
            <w:tcW w:w="1060" w:type="dxa"/>
            <w:tcBorders>
              <w:top w:val="nil"/>
              <w:left w:val="nil"/>
              <w:bottom w:val="nil"/>
              <w:right w:val="nil"/>
            </w:tcBorders>
            <w:shd w:val="clear" w:color="auto" w:fill="auto"/>
            <w:noWrap/>
            <w:vAlign w:val="center"/>
            <w:hideMark/>
          </w:tcPr>
          <w:p w14:paraId="105F490E" w14:textId="77777777" w:rsidR="00AD365D" w:rsidRPr="00487834" w:rsidRDefault="00AD365D" w:rsidP="001747B1">
            <w:pPr>
              <w:pStyle w:val="NoSpacing"/>
              <w:rPr>
                <w:color w:val="000000"/>
              </w:rPr>
            </w:pPr>
            <w:r w:rsidRPr="00487834">
              <w:rPr>
                <w:color w:val="000000"/>
              </w:rPr>
              <w:t>2.286</w:t>
            </w:r>
          </w:p>
        </w:tc>
        <w:tc>
          <w:tcPr>
            <w:tcW w:w="1060" w:type="dxa"/>
            <w:tcBorders>
              <w:top w:val="nil"/>
              <w:left w:val="nil"/>
              <w:bottom w:val="nil"/>
              <w:right w:val="nil"/>
            </w:tcBorders>
            <w:shd w:val="clear" w:color="auto" w:fill="auto"/>
            <w:noWrap/>
            <w:vAlign w:val="center"/>
            <w:hideMark/>
          </w:tcPr>
          <w:p w14:paraId="328267AB" w14:textId="77777777" w:rsidR="00AD365D" w:rsidRPr="00487834" w:rsidRDefault="00AD365D" w:rsidP="001747B1">
            <w:pPr>
              <w:pStyle w:val="NoSpacing"/>
              <w:rPr>
                <w:color w:val="000000"/>
              </w:rPr>
            </w:pPr>
            <w:r w:rsidRPr="00487834">
              <w:rPr>
                <w:color w:val="000000"/>
              </w:rPr>
              <w:t>9.122</w:t>
            </w:r>
          </w:p>
        </w:tc>
      </w:tr>
      <w:tr w:rsidR="00AD365D" w:rsidRPr="00487834" w14:paraId="37C76EAE" w14:textId="77777777" w:rsidTr="001747B1">
        <w:trPr>
          <w:trHeight w:val="560"/>
          <w:jc w:val="center"/>
        </w:trPr>
        <w:tc>
          <w:tcPr>
            <w:tcW w:w="1200" w:type="dxa"/>
            <w:tcBorders>
              <w:top w:val="nil"/>
              <w:left w:val="nil"/>
              <w:bottom w:val="single" w:sz="4" w:space="0" w:color="auto"/>
              <w:right w:val="nil"/>
            </w:tcBorders>
            <w:shd w:val="clear" w:color="auto" w:fill="auto"/>
            <w:noWrap/>
            <w:vAlign w:val="center"/>
            <w:hideMark/>
          </w:tcPr>
          <w:p w14:paraId="71F1ECAE" w14:textId="77777777" w:rsidR="00AD365D" w:rsidRPr="00487834" w:rsidRDefault="00AD365D" w:rsidP="001747B1">
            <w:pPr>
              <w:pStyle w:val="NoSpacing"/>
              <w:rPr>
                <w:i/>
                <w:iCs/>
              </w:rPr>
            </w:pPr>
            <w:r w:rsidRPr="00487834">
              <w:rPr>
                <w:i/>
                <w:iCs/>
              </w:rPr>
              <w:t>TLPA</w:t>
            </w:r>
          </w:p>
        </w:tc>
        <w:tc>
          <w:tcPr>
            <w:tcW w:w="1060" w:type="dxa"/>
            <w:tcBorders>
              <w:top w:val="nil"/>
              <w:left w:val="nil"/>
              <w:bottom w:val="single" w:sz="4" w:space="0" w:color="auto"/>
              <w:right w:val="nil"/>
            </w:tcBorders>
            <w:shd w:val="clear" w:color="auto" w:fill="auto"/>
            <w:noWrap/>
            <w:vAlign w:val="center"/>
            <w:hideMark/>
          </w:tcPr>
          <w:p w14:paraId="6911BF3A" w14:textId="77777777" w:rsidR="00AD365D" w:rsidRPr="00487834" w:rsidRDefault="00AD365D" w:rsidP="001747B1">
            <w:pPr>
              <w:pStyle w:val="NoSpacing"/>
              <w:rPr>
                <w:color w:val="000000"/>
              </w:rPr>
            </w:pPr>
            <w:r w:rsidRPr="00487834">
              <w:rPr>
                <w:color w:val="000000"/>
              </w:rPr>
              <w:t>0.527</w:t>
            </w:r>
          </w:p>
        </w:tc>
        <w:tc>
          <w:tcPr>
            <w:tcW w:w="1060" w:type="dxa"/>
            <w:tcBorders>
              <w:top w:val="nil"/>
              <w:left w:val="nil"/>
              <w:bottom w:val="single" w:sz="4" w:space="0" w:color="auto"/>
              <w:right w:val="nil"/>
            </w:tcBorders>
            <w:shd w:val="clear" w:color="auto" w:fill="auto"/>
            <w:noWrap/>
            <w:vAlign w:val="center"/>
            <w:hideMark/>
          </w:tcPr>
          <w:p w14:paraId="68E20330" w14:textId="77777777" w:rsidR="00AD365D" w:rsidRPr="00487834" w:rsidRDefault="00AD365D" w:rsidP="001747B1">
            <w:pPr>
              <w:pStyle w:val="NoSpacing"/>
              <w:rPr>
                <w:color w:val="000000"/>
              </w:rPr>
            </w:pPr>
            <w:r w:rsidRPr="00487834">
              <w:rPr>
                <w:color w:val="000000"/>
              </w:rPr>
              <w:t>0.170</w:t>
            </w:r>
          </w:p>
        </w:tc>
        <w:tc>
          <w:tcPr>
            <w:tcW w:w="1060" w:type="dxa"/>
            <w:tcBorders>
              <w:top w:val="nil"/>
              <w:left w:val="nil"/>
              <w:bottom w:val="single" w:sz="4" w:space="0" w:color="auto"/>
              <w:right w:val="nil"/>
            </w:tcBorders>
            <w:shd w:val="clear" w:color="auto" w:fill="auto"/>
            <w:noWrap/>
            <w:vAlign w:val="center"/>
            <w:hideMark/>
          </w:tcPr>
          <w:p w14:paraId="41A13097" w14:textId="77777777" w:rsidR="00AD365D" w:rsidRPr="00487834" w:rsidRDefault="00AD365D" w:rsidP="001747B1">
            <w:pPr>
              <w:pStyle w:val="NoSpacing"/>
              <w:rPr>
                <w:color w:val="000000"/>
              </w:rPr>
            </w:pPr>
            <w:r w:rsidRPr="00487834">
              <w:rPr>
                <w:color w:val="000000"/>
              </w:rPr>
              <w:t>493</w:t>
            </w:r>
          </w:p>
        </w:tc>
        <w:tc>
          <w:tcPr>
            <w:tcW w:w="1060" w:type="dxa"/>
            <w:tcBorders>
              <w:top w:val="nil"/>
              <w:left w:val="nil"/>
              <w:bottom w:val="single" w:sz="4" w:space="0" w:color="auto"/>
              <w:right w:val="nil"/>
            </w:tcBorders>
            <w:shd w:val="clear" w:color="auto" w:fill="auto"/>
            <w:noWrap/>
            <w:vAlign w:val="center"/>
            <w:hideMark/>
          </w:tcPr>
          <w:p w14:paraId="5FD1D6C3" w14:textId="77777777" w:rsidR="00AD365D" w:rsidRPr="00487834" w:rsidRDefault="00AD365D" w:rsidP="001747B1">
            <w:pPr>
              <w:pStyle w:val="NoSpacing"/>
              <w:rPr>
                <w:color w:val="000000"/>
              </w:rPr>
            </w:pPr>
            <w:r w:rsidRPr="00487834">
              <w:rPr>
                <w:color w:val="000000"/>
              </w:rPr>
              <w:t>0.149</w:t>
            </w:r>
          </w:p>
        </w:tc>
        <w:tc>
          <w:tcPr>
            <w:tcW w:w="1060" w:type="dxa"/>
            <w:tcBorders>
              <w:top w:val="nil"/>
              <w:left w:val="nil"/>
              <w:bottom w:val="single" w:sz="4" w:space="0" w:color="auto"/>
              <w:right w:val="nil"/>
            </w:tcBorders>
            <w:shd w:val="clear" w:color="auto" w:fill="auto"/>
            <w:noWrap/>
            <w:vAlign w:val="center"/>
            <w:hideMark/>
          </w:tcPr>
          <w:p w14:paraId="1028E2BD" w14:textId="77777777" w:rsidR="00AD365D" w:rsidRPr="00487834" w:rsidRDefault="00AD365D" w:rsidP="001747B1">
            <w:pPr>
              <w:pStyle w:val="NoSpacing"/>
              <w:rPr>
                <w:color w:val="000000"/>
              </w:rPr>
            </w:pPr>
            <w:r w:rsidRPr="00487834">
              <w:rPr>
                <w:color w:val="000000"/>
              </w:rPr>
              <w:t>0.408</w:t>
            </w:r>
          </w:p>
        </w:tc>
        <w:tc>
          <w:tcPr>
            <w:tcW w:w="1060" w:type="dxa"/>
            <w:tcBorders>
              <w:top w:val="nil"/>
              <w:left w:val="nil"/>
              <w:bottom w:val="single" w:sz="4" w:space="0" w:color="auto"/>
              <w:right w:val="nil"/>
            </w:tcBorders>
            <w:shd w:val="clear" w:color="auto" w:fill="auto"/>
            <w:noWrap/>
            <w:vAlign w:val="center"/>
            <w:hideMark/>
          </w:tcPr>
          <w:p w14:paraId="0B8F35B8" w14:textId="77777777" w:rsidR="00AD365D" w:rsidRPr="00487834" w:rsidRDefault="00AD365D" w:rsidP="001747B1">
            <w:pPr>
              <w:pStyle w:val="NoSpacing"/>
              <w:rPr>
                <w:color w:val="000000"/>
              </w:rPr>
            </w:pPr>
            <w:r w:rsidRPr="00487834">
              <w:rPr>
                <w:color w:val="000000"/>
              </w:rPr>
              <w:t>0.516</w:t>
            </w:r>
          </w:p>
        </w:tc>
        <w:tc>
          <w:tcPr>
            <w:tcW w:w="1060" w:type="dxa"/>
            <w:tcBorders>
              <w:top w:val="nil"/>
              <w:left w:val="nil"/>
              <w:bottom w:val="single" w:sz="4" w:space="0" w:color="auto"/>
              <w:right w:val="nil"/>
            </w:tcBorders>
            <w:shd w:val="clear" w:color="auto" w:fill="auto"/>
            <w:noWrap/>
            <w:vAlign w:val="center"/>
            <w:hideMark/>
          </w:tcPr>
          <w:p w14:paraId="100C8B25" w14:textId="77777777" w:rsidR="00AD365D" w:rsidRPr="00487834" w:rsidRDefault="00AD365D" w:rsidP="001747B1">
            <w:pPr>
              <w:pStyle w:val="NoSpacing"/>
              <w:rPr>
                <w:color w:val="000000"/>
              </w:rPr>
            </w:pPr>
            <w:r w:rsidRPr="00487834">
              <w:rPr>
                <w:color w:val="000000"/>
              </w:rPr>
              <w:t>0.634</w:t>
            </w:r>
          </w:p>
        </w:tc>
        <w:tc>
          <w:tcPr>
            <w:tcW w:w="1060" w:type="dxa"/>
            <w:tcBorders>
              <w:top w:val="nil"/>
              <w:left w:val="nil"/>
              <w:bottom w:val="single" w:sz="4" w:space="0" w:color="auto"/>
              <w:right w:val="nil"/>
            </w:tcBorders>
            <w:shd w:val="clear" w:color="auto" w:fill="auto"/>
            <w:noWrap/>
            <w:vAlign w:val="center"/>
            <w:hideMark/>
          </w:tcPr>
          <w:p w14:paraId="4C42BFDD" w14:textId="77777777" w:rsidR="00AD365D" w:rsidRPr="00487834" w:rsidRDefault="00AD365D" w:rsidP="001747B1">
            <w:pPr>
              <w:pStyle w:val="NoSpacing"/>
              <w:rPr>
                <w:color w:val="000000"/>
              </w:rPr>
            </w:pPr>
            <w:r w:rsidRPr="00487834">
              <w:rPr>
                <w:color w:val="000000"/>
              </w:rPr>
              <w:t>0.931</w:t>
            </w:r>
          </w:p>
        </w:tc>
      </w:tr>
    </w:tbl>
    <w:p w14:paraId="78EDEA8A" w14:textId="77777777" w:rsidR="00AD365D" w:rsidRPr="00487834" w:rsidRDefault="00AD365D" w:rsidP="00AD365D">
      <w:pPr>
        <w:autoSpaceDE w:val="0"/>
        <w:autoSpaceDN w:val="0"/>
        <w:adjustRightInd w:val="0"/>
        <w:spacing w:line="300" w:lineRule="auto"/>
        <w:rPr>
          <w:rFonts w:eastAsiaTheme="minorHAnsi"/>
          <w:lang w:val="en-US" w:eastAsia="en-US"/>
        </w:rPr>
      </w:pPr>
    </w:p>
    <w:p w14:paraId="7C315F1C" w14:textId="77777777" w:rsidR="00AD365D" w:rsidRPr="00487834" w:rsidRDefault="00AD365D" w:rsidP="00AD365D">
      <w:pPr>
        <w:autoSpaceDE w:val="0"/>
        <w:autoSpaceDN w:val="0"/>
        <w:adjustRightInd w:val="0"/>
        <w:spacing w:line="300" w:lineRule="auto"/>
        <w:rPr>
          <w:color w:val="0D0D0D"/>
          <w:shd w:val="clear" w:color="auto" w:fill="FFFFFF"/>
          <w:lang w:val="en-US"/>
        </w:rPr>
      </w:pPr>
      <w:r w:rsidRPr="00487834">
        <w:rPr>
          <w:rFonts w:eastAsiaTheme="minorHAnsi"/>
          <w:b/>
          <w:bCs/>
          <w:lang w:val="en-GB" w:eastAsia="en-US"/>
        </w:rPr>
        <w:t xml:space="preserve">Table 18 – </w:t>
      </w:r>
      <w:r w:rsidRPr="00487834">
        <w:rPr>
          <w:color w:val="0D0D0D"/>
          <w:shd w:val="clear" w:color="auto" w:fill="FFFFFF"/>
          <w:lang w:val="en-US"/>
        </w:rPr>
        <w:t>Hausman model specification test for the aggregated cost of debt model and quartile subsamples without lagged predictor</w:t>
      </w:r>
    </w:p>
    <w:p w14:paraId="0D1A9EE6" w14:textId="77777777" w:rsidR="00AD365D" w:rsidRPr="00487834" w:rsidRDefault="00AD365D" w:rsidP="00AD365D">
      <w:pPr>
        <w:autoSpaceDE w:val="0"/>
        <w:autoSpaceDN w:val="0"/>
        <w:adjustRightInd w:val="0"/>
        <w:spacing w:line="300" w:lineRule="auto"/>
        <w:rPr>
          <w:rFonts w:eastAsiaTheme="minorHAnsi"/>
          <w:lang w:val="en-US" w:eastAsia="en-US"/>
        </w:rPr>
      </w:pPr>
    </w:p>
    <w:tbl>
      <w:tblPr>
        <w:tblW w:w="7202" w:type="dxa"/>
        <w:jc w:val="center"/>
        <w:tblLook w:val="04A0" w:firstRow="1" w:lastRow="0" w:firstColumn="1" w:lastColumn="0" w:noHBand="0" w:noVBand="1"/>
      </w:tblPr>
      <w:tblGrid>
        <w:gridCol w:w="1202"/>
        <w:gridCol w:w="1500"/>
        <w:gridCol w:w="1500"/>
        <w:gridCol w:w="1500"/>
        <w:gridCol w:w="1500"/>
      </w:tblGrid>
      <w:tr w:rsidR="00AD365D" w:rsidRPr="00487834" w14:paraId="6DC1D330" w14:textId="77777777" w:rsidTr="001747B1">
        <w:trPr>
          <w:trHeight w:val="300"/>
          <w:jc w:val="center"/>
        </w:trPr>
        <w:tc>
          <w:tcPr>
            <w:tcW w:w="1202" w:type="dxa"/>
            <w:tcBorders>
              <w:top w:val="single" w:sz="4" w:space="0" w:color="auto"/>
              <w:left w:val="nil"/>
              <w:bottom w:val="single" w:sz="4" w:space="0" w:color="auto"/>
              <w:right w:val="nil"/>
            </w:tcBorders>
            <w:shd w:val="clear" w:color="auto" w:fill="auto"/>
            <w:noWrap/>
            <w:vAlign w:val="bottom"/>
            <w:hideMark/>
          </w:tcPr>
          <w:p w14:paraId="514E9C6B" w14:textId="77777777" w:rsidR="00AD365D" w:rsidRPr="00487834" w:rsidRDefault="00AD365D" w:rsidP="001747B1">
            <w:pPr>
              <w:pStyle w:val="NoSpacing"/>
              <w:rPr>
                <w:lang w:val="en-US"/>
              </w:rPr>
            </w:pPr>
            <w:r w:rsidRPr="00487834">
              <w:rPr>
                <w:lang w:val="en-US"/>
              </w:rPr>
              <w:t> </w:t>
            </w:r>
          </w:p>
        </w:tc>
        <w:tc>
          <w:tcPr>
            <w:tcW w:w="1500" w:type="dxa"/>
            <w:tcBorders>
              <w:top w:val="single" w:sz="4" w:space="0" w:color="auto"/>
              <w:left w:val="nil"/>
              <w:bottom w:val="single" w:sz="4" w:space="0" w:color="auto"/>
              <w:right w:val="nil"/>
            </w:tcBorders>
            <w:shd w:val="clear" w:color="auto" w:fill="auto"/>
            <w:noWrap/>
            <w:vAlign w:val="center"/>
            <w:hideMark/>
          </w:tcPr>
          <w:p w14:paraId="4FD39DEB" w14:textId="77777777" w:rsidR="00AD365D" w:rsidRPr="00487834" w:rsidRDefault="00AD365D" w:rsidP="001747B1">
            <w:pPr>
              <w:pStyle w:val="NoSpacing"/>
            </w:pPr>
            <w:proofErr w:type="spellStart"/>
            <w:r w:rsidRPr="00487834">
              <w:t>Entire</w:t>
            </w:r>
            <w:proofErr w:type="spellEnd"/>
            <w:r w:rsidRPr="00487834">
              <w:t xml:space="preserve"> </w:t>
            </w:r>
            <w:proofErr w:type="spellStart"/>
            <w:r w:rsidRPr="00487834">
              <w:t>dataset</w:t>
            </w:r>
            <w:proofErr w:type="spellEnd"/>
          </w:p>
        </w:tc>
        <w:tc>
          <w:tcPr>
            <w:tcW w:w="1500" w:type="dxa"/>
            <w:tcBorders>
              <w:top w:val="single" w:sz="4" w:space="0" w:color="auto"/>
              <w:left w:val="nil"/>
              <w:bottom w:val="single" w:sz="4" w:space="0" w:color="auto"/>
              <w:right w:val="nil"/>
            </w:tcBorders>
            <w:shd w:val="clear" w:color="auto" w:fill="auto"/>
            <w:noWrap/>
            <w:vAlign w:val="center"/>
            <w:hideMark/>
          </w:tcPr>
          <w:p w14:paraId="045E338A" w14:textId="77777777" w:rsidR="00AD365D" w:rsidRPr="00487834" w:rsidRDefault="00AD365D" w:rsidP="001747B1">
            <w:pPr>
              <w:pStyle w:val="NoSpacing"/>
            </w:pPr>
            <w:r w:rsidRPr="00487834">
              <w:t>Top 25%</w:t>
            </w:r>
          </w:p>
        </w:tc>
        <w:tc>
          <w:tcPr>
            <w:tcW w:w="1500" w:type="dxa"/>
            <w:tcBorders>
              <w:top w:val="single" w:sz="4" w:space="0" w:color="auto"/>
              <w:left w:val="nil"/>
              <w:bottom w:val="single" w:sz="4" w:space="0" w:color="auto"/>
              <w:right w:val="nil"/>
            </w:tcBorders>
            <w:shd w:val="clear" w:color="auto" w:fill="auto"/>
            <w:noWrap/>
            <w:vAlign w:val="center"/>
            <w:hideMark/>
          </w:tcPr>
          <w:p w14:paraId="2CEBEF94" w14:textId="77777777" w:rsidR="00AD365D" w:rsidRPr="00487834" w:rsidRDefault="00AD365D" w:rsidP="001747B1">
            <w:pPr>
              <w:pStyle w:val="NoSpacing"/>
            </w:pPr>
            <w:proofErr w:type="spellStart"/>
            <w:r w:rsidRPr="00487834">
              <w:t>Med</w:t>
            </w:r>
            <w:proofErr w:type="spellEnd"/>
            <w:r w:rsidRPr="00487834">
              <w:t>. 50%</w:t>
            </w:r>
          </w:p>
        </w:tc>
        <w:tc>
          <w:tcPr>
            <w:tcW w:w="1500" w:type="dxa"/>
            <w:tcBorders>
              <w:top w:val="single" w:sz="4" w:space="0" w:color="auto"/>
              <w:left w:val="nil"/>
              <w:bottom w:val="single" w:sz="4" w:space="0" w:color="auto"/>
              <w:right w:val="nil"/>
            </w:tcBorders>
            <w:shd w:val="clear" w:color="auto" w:fill="auto"/>
            <w:noWrap/>
            <w:vAlign w:val="center"/>
            <w:hideMark/>
          </w:tcPr>
          <w:p w14:paraId="7252CE50" w14:textId="77777777" w:rsidR="00AD365D" w:rsidRPr="00487834" w:rsidRDefault="00AD365D" w:rsidP="001747B1">
            <w:pPr>
              <w:pStyle w:val="NoSpacing"/>
            </w:pPr>
            <w:proofErr w:type="spellStart"/>
            <w:r w:rsidRPr="00487834">
              <w:t>Low</w:t>
            </w:r>
            <w:proofErr w:type="spellEnd"/>
            <w:r w:rsidRPr="00487834">
              <w:t xml:space="preserve"> 25%</w:t>
            </w:r>
          </w:p>
        </w:tc>
      </w:tr>
      <w:tr w:rsidR="00AD365D" w:rsidRPr="00487834" w14:paraId="5D480119" w14:textId="77777777" w:rsidTr="001747B1">
        <w:trPr>
          <w:trHeight w:val="300"/>
          <w:jc w:val="center"/>
        </w:trPr>
        <w:tc>
          <w:tcPr>
            <w:tcW w:w="1202" w:type="dxa"/>
            <w:tcBorders>
              <w:top w:val="nil"/>
              <w:left w:val="nil"/>
              <w:bottom w:val="nil"/>
              <w:right w:val="nil"/>
            </w:tcBorders>
            <w:shd w:val="clear" w:color="auto" w:fill="auto"/>
            <w:noWrap/>
            <w:hideMark/>
          </w:tcPr>
          <w:p w14:paraId="3FCFC981" w14:textId="77777777" w:rsidR="00AD365D" w:rsidRPr="00487834" w:rsidRDefault="00AD365D" w:rsidP="001747B1">
            <w:pPr>
              <w:pStyle w:val="NoSpacing"/>
            </w:pPr>
            <w:proofErr w:type="spellStart"/>
            <w:r w:rsidRPr="00487834">
              <w:lastRenderedPageBreak/>
              <w:t>Chi</w:t>
            </w:r>
            <w:proofErr w:type="spellEnd"/>
            <w:r w:rsidRPr="00487834">
              <w:t>-Square</w:t>
            </w:r>
          </w:p>
        </w:tc>
        <w:tc>
          <w:tcPr>
            <w:tcW w:w="1500" w:type="dxa"/>
            <w:tcBorders>
              <w:top w:val="nil"/>
              <w:left w:val="nil"/>
              <w:bottom w:val="nil"/>
              <w:right w:val="nil"/>
            </w:tcBorders>
            <w:shd w:val="clear" w:color="auto" w:fill="auto"/>
            <w:noWrap/>
            <w:vAlign w:val="center"/>
            <w:hideMark/>
          </w:tcPr>
          <w:p w14:paraId="21723773" w14:textId="77777777" w:rsidR="00AD365D" w:rsidRPr="00487834" w:rsidRDefault="00AD365D" w:rsidP="001747B1">
            <w:pPr>
              <w:pStyle w:val="NoSpacing"/>
            </w:pPr>
            <w:r w:rsidRPr="00487834">
              <w:t>66.460</w:t>
            </w:r>
          </w:p>
        </w:tc>
        <w:tc>
          <w:tcPr>
            <w:tcW w:w="1500" w:type="dxa"/>
            <w:tcBorders>
              <w:top w:val="nil"/>
              <w:left w:val="nil"/>
              <w:bottom w:val="nil"/>
              <w:right w:val="nil"/>
            </w:tcBorders>
            <w:shd w:val="clear" w:color="auto" w:fill="auto"/>
            <w:noWrap/>
            <w:vAlign w:val="center"/>
            <w:hideMark/>
          </w:tcPr>
          <w:p w14:paraId="35C60B99" w14:textId="77777777" w:rsidR="00AD365D" w:rsidRPr="00487834" w:rsidRDefault="00AD365D" w:rsidP="001747B1">
            <w:pPr>
              <w:pStyle w:val="NoSpacing"/>
            </w:pPr>
            <w:r w:rsidRPr="00487834">
              <w:t>13.010</w:t>
            </w:r>
          </w:p>
        </w:tc>
        <w:tc>
          <w:tcPr>
            <w:tcW w:w="1500" w:type="dxa"/>
            <w:tcBorders>
              <w:top w:val="nil"/>
              <w:left w:val="nil"/>
              <w:bottom w:val="nil"/>
              <w:right w:val="nil"/>
            </w:tcBorders>
            <w:shd w:val="clear" w:color="auto" w:fill="auto"/>
            <w:noWrap/>
            <w:vAlign w:val="center"/>
            <w:hideMark/>
          </w:tcPr>
          <w:p w14:paraId="09B7B7BD" w14:textId="77777777" w:rsidR="00AD365D" w:rsidRPr="00487834" w:rsidRDefault="00AD365D" w:rsidP="001747B1">
            <w:pPr>
              <w:pStyle w:val="NoSpacing"/>
            </w:pPr>
            <w:r w:rsidRPr="00487834">
              <w:t>16.400</w:t>
            </w:r>
          </w:p>
        </w:tc>
        <w:tc>
          <w:tcPr>
            <w:tcW w:w="1500" w:type="dxa"/>
            <w:tcBorders>
              <w:top w:val="nil"/>
              <w:left w:val="nil"/>
              <w:bottom w:val="nil"/>
              <w:right w:val="nil"/>
            </w:tcBorders>
            <w:shd w:val="clear" w:color="auto" w:fill="auto"/>
            <w:noWrap/>
            <w:vAlign w:val="center"/>
            <w:hideMark/>
          </w:tcPr>
          <w:p w14:paraId="68108841" w14:textId="77777777" w:rsidR="00AD365D" w:rsidRPr="00487834" w:rsidRDefault="00AD365D" w:rsidP="001747B1">
            <w:pPr>
              <w:pStyle w:val="NoSpacing"/>
            </w:pPr>
            <w:r w:rsidRPr="00487834">
              <w:t>43.830</w:t>
            </w:r>
          </w:p>
        </w:tc>
      </w:tr>
      <w:tr w:rsidR="00AD365D" w:rsidRPr="00487834" w14:paraId="0275BDFA" w14:textId="77777777" w:rsidTr="001747B1">
        <w:trPr>
          <w:trHeight w:val="300"/>
          <w:jc w:val="center"/>
        </w:trPr>
        <w:tc>
          <w:tcPr>
            <w:tcW w:w="1202" w:type="dxa"/>
            <w:tcBorders>
              <w:top w:val="nil"/>
              <w:left w:val="nil"/>
              <w:bottom w:val="nil"/>
              <w:right w:val="nil"/>
            </w:tcBorders>
            <w:shd w:val="clear" w:color="auto" w:fill="auto"/>
            <w:noWrap/>
            <w:hideMark/>
          </w:tcPr>
          <w:p w14:paraId="2E5F13F8" w14:textId="77777777" w:rsidR="00AD365D" w:rsidRPr="00487834" w:rsidRDefault="00AD365D" w:rsidP="001747B1">
            <w:pPr>
              <w:pStyle w:val="NoSpacing"/>
            </w:pPr>
            <w:r w:rsidRPr="00487834">
              <w:t>p-</w:t>
            </w:r>
            <w:proofErr w:type="spellStart"/>
            <w:r w:rsidRPr="00487834">
              <w:t>value</w:t>
            </w:r>
            <w:proofErr w:type="spellEnd"/>
          </w:p>
        </w:tc>
        <w:tc>
          <w:tcPr>
            <w:tcW w:w="1500" w:type="dxa"/>
            <w:tcBorders>
              <w:top w:val="nil"/>
              <w:left w:val="nil"/>
              <w:bottom w:val="nil"/>
              <w:right w:val="nil"/>
            </w:tcBorders>
            <w:shd w:val="clear" w:color="auto" w:fill="auto"/>
            <w:noWrap/>
            <w:vAlign w:val="center"/>
            <w:hideMark/>
          </w:tcPr>
          <w:p w14:paraId="108DDC8D" w14:textId="77777777" w:rsidR="00AD365D" w:rsidRPr="00487834" w:rsidRDefault="00AD365D" w:rsidP="001747B1">
            <w:pPr>
              <w:pStyle w:val="NoSpacing"/>
            </w:pPr>
            <w:r w:rsidRPr="00487834">
              <w:t>0</w:t>
            </w:r>
          </w:p>
        </w:tc>
        <w:tc>
          <w:tcPr>
            <w:tcW w:w="1500" w:type="dxa"/>
            <w:tcBorders>
              <w:top w:val="nil"/>
              <w:left w:val="nil"/>
              <w:bottom w:val="nil"/>
              <w:right w:val="nil"/>
            </w:tcBorders>
            <w:shd w:val="clear" w:color="auto" w:fill="auto"/>
            <w:noWrap/>
            <w:vAlign w:val="center"/>
            <w:hideMark/>
          </w:tcPr>
          <w:p w14:paraId="2D52BD54" w14:textId="77777777" w:rsidR="00AD365D" w:rsidRPr="00487834" w:rsidRDefault="00AD365D" w:rsidP="001747B1">
            <w:pPr>
              <w:pStyle w:val="NoSpacing"/>
            </w:pPr>
            <w:r w:rsidRPr="00487834">
              <w:t>0.112</w:t>
            </w:r>
          </w:p>
        </w:tc>
        <w:tc>
          <w:tcPr>
            <w:tcW w:w="1500" w:type="dxa"/>
            <w:tcBorders>
              <w:top w:val="nil"/>
              <w:left w:val="nil"/>
              <w:bottom w:val="nil"/>
              <w:right w:val="nil"/>
            </w:tcBorders>
            <w:shd w:val="clear" w:color="auto" w:fill="auto"/>
            <w:noWrap/>
            <w:vAlign w:val="center"/>
            <w:hideMark/>
          </w:tcPr>
          <w:p w14:paraId="5A360A84" w14:textId="77777777" w:rsidR="00AD365D" w:rsidRPr="00487834" w:rsidRDefault="00AD365D" w:rsidP="001747B1">
            <w:pPr>
              <w:pStyle w:val="NoSpacing"/>
            </w:pPr>
            <w:r w:rsidRPr="00487834">
              <w:t>0.037</w:t>
            </w:r>
          </w:p>
        </w:tc>
        <w:tc>
          <w:tcPr>
            <w:tcW w:w="1500" w:type="dxa"/>
            <w:tcBorders>
              <w:top w:val="nil"/>
              <w:left w:val="nil"/>
              <w:bottom w:val="nil"/>
              <w:right w:val="nil"/>
            </w:tcBorders>
            <w:shd w:val="clear" w:color="auto" w:fill="auto"/>
            <w:noWrap/>
            <w:vAlign w:val="center"/>
            <w:hideMark/>
          </w:tcPr>
          <w:p w14:paraId="663E6356" w14:textId="77777777" w:rsidR="00AD365D" w:rsidRPr="00487834" w:rsidRDefault="00AD365D" w:rsidP="001747B1">
            <w:pPr>
              <w:pStyle w:val="NoSpacing"/>
            </w:pPr>
            <w:r w:rsidRPr="00487834">
              <w:t>0</w:t>
            </w:r>
          </w:p>
        </w:tc>
      </w:tr>
      <w:tr w:rsidR="00AD365D" w:rsidRPr="00487834" w14:paraId="41C2F102" w14:textId="77777777" w:rsidTr="001747B1">
        <w:trPr>
          <w:trHeight w:val="300"/>
          <w:jc w:val="center"/>
        </w:trPr>
        <w:tc>
          <w:tcPr>
            <w:tcW w:w="1202" w:type="dxa"/>
            <w:tcBorders>
              <w:top w:val="nil"/>
              <w:left w:val="nil"/>
              <w:bottom w:val="single" w:sz="4" w:space="0" w:color="auto"/>
              <w:right w:val="nil"/>
            </w:tcBorders>
            <w:shd w:val="clear" w:color="auto" w:fill="auto"/>
            <w:noWrap/>
            <w:hideMark/>
          </w:tcPr>
          <w:p w14:paraId="7A05CA3A" w14:textId="77777777" w:rsidR="00AD365D" w:rsidRPr="00487834" w:rsidRDefault="00AD365D" w:rsidP="001747B1">
            <w:pPr>
              <w:pStyle w:val="NoSpacing"/>
            </w:pPr>
            <w:r w:rsidRPr="00487834">
              <w:t>Model</w:t>
            </w:r>
          </w:p>
        </w:tc>
        <w:tc>
          <w:tcPr>
            <w:tcW w:w="1500" w:type="dxa"/>
            <w:tcBorders>
              <w:top w:val="nil"/>
              <w:left w:val="nil"/>
              <w:bottom w:val="single" w:sz="4" w:space="0" w:color="auto"/>
              <w:right w:val="nil"/>
            </w:tcBorders>
            <w:shd w:val="clear" w:color="auto" w:fill="auto"/>
            <w:noWrap/>
            <w:vAlign w:val="center"/>
            <w:hideMark/>
          </w:tcPr>
          <w:p w14:paraId="4B2C0BEE"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p>
        </w:tc>
        <w:tc>
          <w:tcPr>
            <w:tcW w:w="1500" w:type="dxa"/>
            <w:tcBorders>
              <w:top w:val="nil"/>
              <w:left w:val="nil"/>
              <w:bottom w:val="single" w:sz="4" w:space="0" w:color="auto"/>
              <w:right w:val="nil"/>
            </w:tcBorders>
            <w:shd w:val="clear" w:color="auto" w:fill="auto"/>
            <w:noWrap/>
            <w:vAlign w:val="center"/>
            <w:hideMark/>
          </w:tcPr>
          <w:p w14:paraId="73D299C7" w14:textId="77777777" w:rsidR="00AD365D" w:rsidRPr="00487834" w:rsidRDefault="00AD365D" w:rsidP="001747B1">
            <w:pPr>
              <w:pStyle w:val="NoSpacing"/>
            </w:pPr>
            <w:proofErr w:type="spellStart"/>
            <w:r w:rsidRPr="00487834">
              <w:t>Random</w:t>
            </w:r>
            <w:proofErr w:type="spellEnd"/>
            <w:r w:rsidRPr="00487834">
              <w:t xml:space="preserve"> </w:t>
            </w:r>
            <w:proofErr w:type="spellStart"/>
            <w:r w:rsidRPr="00487834">
              <w:t>effects</w:t>
            </w:r>
            <w:proofErr w:type="spellEnd"/>
          </w:p>
        </w:tc>
        <w:tc>
          <w:tcPr>
            <w:tcW w:w="1500" w:type="dxa"/>
            <w:tcBorders>
              <w:top w:val="nil"/>
              <w:left w:val="nil"/>
              <w:bottom w:val="single" w:sz="4" w:space="0" w:color="auto"/>
              <w:right w:val="nil"/>
            </w:tcBorders>
            <w:shd w:val="clear" w:color="auto" w:fill="auto"/>
            <w:noWrap/>
            <w:vAlign w:val="center"/>
            <w:hideMark/>
          </w:tcPr>
          <w:p w14:paraId="71624BD8"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p>
        </w:tc>
        <w:tc>
          <w:tcPr>
            <w:tcW w:w="1500" w:type="dxa"/>
            <w:tcBorders>
              <w:top w:val="nil"/>
              <w:left w:val="nil"/>
              <w:bottom w:val="single" w:sz="4" w:space="0" w:color="auto"/>
              <w:right w:val="nil"/>
            </w:tcBorders>
            <w:shd w:val="clear" w:color="auto" w:fill="auto"/>
            <w:noWrap/>
            <w:vAlign w:val="center"/>
            <w:hideMark/>
          </w:tcPr>
          <w:p w14:paraId="63049487"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p>
        </w:tc>
      </w:tr>
    </w:tbl>
    <w:p w14:paraId="6EA4BE21" w14:textId="77777777" w:rsidR="00AD365D" w:rsidRPr="00487834" w:rsidRDefault="00AD365D" w:rsidP="00AD365D">
      <w:pPr>
        <w:autoSpaceDE w:val="0"/>
        <w:autoSpaceDN w:val="0"/>
        <w:adjustRightInd w:val="0"/>
        <w:spacing w:line="300" w:lineRule="auto"/>
        <w:rPr>
          <w:rFonts w:eastAsiaTheme="minorHAnsi"/>
          <w:lang w:val="en-US" w:eastAsia="en-US"/>
        </w:rPr>
      </w:pPr>
    </w:p>
    <w:p w14:paraId="411EE11D" w14:textId="77777777" w:rsidR="00AD365D" w:rsidRPr="00487834" w:rsidRDefault="00AD365D" w:rsidP="00AD365D">
      <w:pPr>
        <w:autoSpaceDE w:val="0"/>
        <w:autoSpaceDN w:val="0"/>
        <w:adjustRightInd w:val="0"/>
        <w:spacing w:line="300" w:lineRule="auto"/>
        <w:rPr>
          <w:rFonts w:eastAsiaTheme="minorHAnsi"/>
          <w:b/>
          <w:bCs/>
          <w:lang w:val="en-US" w:eastAsia="en-US"/>
        </w:rPr>
      </w:pPr>
    </w:p>
    <w:p w14:paraId="58AEE961" w14:textId="77777777" w:rsidR="00AD365D" w:rsidRPr="00487834" w:rsidRDefault="00AD365D" w:rsidP="00AD365D">
      <w:pPr>
        <w:autoSpaceDE w:val="0"/>
        <w:autoSpaceDN w:val="0"/>
        <w:adjustRightInd w:val="0"/>
        <w:spacing w:line="300" w:lineRule="auto"/>
        <w:rPr>
          <w:color w:val="0D0D0D"/>
          <w:shd w:val="clear" w:color="auto" w:fill="FFFFFF"/>
          <w:lang w:val="en-US"/>
        </w:rPr>
      </w:pPr>
      <w:r w:rsidRPr="00487834">
        <w:rPr>
          <w:rFonts w:eastAsiaTheme="minorHAnsi"/>
          <w:b/>
          <w:bCs/>
          <w:lang w:val="en-GB" w:eastAsia="en-US"/>
        </w:rPr>
        <w:t xml:space="preserve">Table 19 – </w:t>
      </w:r>
      <w:r w:rsidRPr="00487834">
        <w:rPr>
          <w:color w:val="0D0D0D"/>
          <w:shd w:val="clear" w:color="auto" w:fill="FFFFFF"/>
          <w:lang w:val="en-US"/>
        </w:rPr>
        <w:t xml:space="preserve">Hausman model specification test </w:t>
      </w:r>
      <w:proofErr w:type="spellStart"/>
      <w:r w:rsidRPr="00487834">
        <w:rPr>
          <w:color w:val="0D0D0D"/>
          <w:shd w:val="clear" w:color="auto" w:fill="FFFFFF"/>
          <w:lang w:val="en-US"/>
        </w:rPr>
        <w:t>forthe</w:t>
      </w:r>
      <w:proofErr w:type="spellEnd"/>
      <w:r w:rsidRPr="00487834">
        <w:rPr>
          <w:color w:val="0D0D0D"/>
          <w:shd w:val="clear" w:color="auto" w:fill="FFFFFF"/>
          <w:lang w:val="en-US"/>
        </w:rPr>
        <w:t xml:space="preserve"> cost of debt model for country’s subsamples without lagged predictor</w:t>
      </w:r>
    </w:p>
    <w:p w14:paraId="493C11E5" w14:textId="77777777" w:rsidR="00AD365D" w:rsidRPr="00487834" w:rsidRDefault="00AD365D" w:rsidP="00AD365D">
      <w:pPr>
        <w:autoSpaceDE w:val="0"/>
        <w:autoSpaceDN w:val="0"/>
        <w:adjustRightInd w:val="0"/>
        <w:spacing w:line="300" w:lineRule="auto"/>
        <w:rPr>
          <w:rFonts w:eastAsiaTheme="minorHAnsi"/>
          <w:lang w:val="en-US" w:eastAsia="en-US"/>
        </w:rPr>
      </w:pPr>
    </w:p>
    <w:tbl>
      <w:tblPr>
        <w:tblW w:w="5702" w:type="dxa"/>
        <w:jc w:val="center"/>
        <w:tblLook w:val="04A0" w:firstRow="1" w:lastRow="0" w:firstColumn="1" w:lastColumn="0" w:noHBand="0" w:noVBand="1"/>
      </w:tblPr>
      <w:tblGrid>
        <w:gridCol w:w="1202"/>
        <w:gridCol w:w="1500"/>
        <w:gridCol w:w="1500"/>
        <w:gridCol w:w="1500"/>
      </w:tblGrid>
      <w:tr w:rsidR="00AD365D" w:rsidRPr="00487834" w14:paraId="5DCA67CD" w14:textId="77777777" w:rsidTr="001747B1">
        <w:trPr>
          <w:trHeight w:val="300"/>
          <w:jc w:val="center"/>
        </w:trPr>
        <w:tc>
          <w:tcPr>
            <w:tcW w:w="1202" w:type="dxa"/>
            <w:tcBorders>
              <w:top w:val="single" w:sz="4" w:space="0" w:color="auto"/>
              <w:left w:val="nil"/>
              <w:bottom w:val="single" w:sz="4" w:space="0" w:color="auto"/>
              <w:right w:val="nil"/>
            </w:tcBorders>
            <w:shd w:val="clear" w:color="auto" w:fill="auto"/>
            <w:noWrap/>
            <w:vAlign w:val="bottom"/>
            <w:hideMark/>
          </w:tcPr>
          <w:p w14:paraId="208747FF" w14:textId="77777777" w:rsidR="00AD365D" w:rsidRPr="00487834" w:rsidRDefault="00AD365D" w:rsidP="001747B1">
            <w:pPr>
              <w:pStyle w:val="NoSpacing"/>
              <w:rPr>
                <w:lang w:val="en-US"/>
              </w:rPr>
            </w:pPr>
            <w:r w:rsidRPr="00487834">
              <w:rPr>
                <w:lang w:val="en-US"/>
              </w:rPr>
              <w:t> </w:t>
            </w:r>
          </w:p>
        </w:tc>
        <w:tc>
          <w:tcPr>
            <w:tcW w:w="1500" w:type="dxa"/>
            <w:tcBorders>
              <w:top w:val="single" w:sz="4" w:space="0" w:color="auto"/>
              <w:left w:val="nil"/>
              <w:bottom w:val="single" w:sz="4" w:space="0" w:color="auto"/>
              <w:right w:val="nil"/>
            </w:tcBorders>
            <w:shd w:val="clear" w:color="auto" w:fill="auto"/>
            <w:noWrap/>
            <w:vAlign w:val="center"/>
            <w:hideMark/>
          </w:tcPr>
          <w:p w14:paraId="00E1D842" w14:textId="77777777" w:rsidR="00AD365D" w:rsidRPr="00487834" w:rsidRDefault="00AD365D" w:rsidP="001747B1">
            <w:pPr>
              <w:pStyle w:val="NoSpacing"/>
            </w:pPr>
            <w:r w:rsidRPr="00487834">
              <w:t>Russia</w:t>
            </w:r>
          </w:p>
        </w:tc>
        <w:tc>
          <w:tcPr>
            <w:tcW w:w="1500" w:type="dxa"/>
            <w:tcBorders>
              <w:top w:val="single" w:sz="4" w:space="0" w:color="auto"/>
              <w:left w:val="nil"/>
              <w:bottom w:val="single" w:sz="4" w:space="0" w:color="auto"/>
              <w:right w:val="nil"/>
            </w:tcBorders>
            <w:shd w:val="clear" w:color="auto" w:fill="auto"/>
            <w:noWrap/>
            <w:vAlign w:val="center"/>
            <w:hideMark/>
          </w:tcPr>
          <w:p w14:paraId="73320E8D" w14:textId="77777777" w:rsidR="00AD365D" w:rsidRPr="00487834" w:rsidRDefault="00AD365D" w:rsidP="001747B1">
            <w:pPr>
              <w:pStyle w:val="NoSpacing"/>
            </w:pPr>
            <w:proofErr w:type="spellStart"/>
            <w:r w:rsidRPr="00487834">
              <w:t>Brazil</w:t>
            </w:r>
            <w:proofErr w:type="spellEnd"/>
          </w:p>
        </w:tc>
        <w:tc>
          <w:tcPr>
            <w:tcW w:w="1500" w:type="dxa"/>
            <w:tcBorders>
              <w:top w:val="single" w:sz="4" w:space="0" w:color="auto"/>
              <w:left w:val="nil"/>
              <w:bottom w:val="single" w:sz="4" w:space="0" w:color="auto"/>
              <w:right w:val="nil"/>
            </w:tcBorders>
            <w:shd w:val="clear" w:color="auto" w:fill="auto"/>
            <w:noWrap/>
            <w:vAlign w:val="center"/>
            <w:hideMark/>
          </w:tcPr>
          <w:p w14:paraId="6265285D" w14:textId="77777777" w:rsidR="00AD365D" w:rsidRPr="00487834" w:rsidRDefault="00AD365D" w:rsidP="001747B1">
            <w:pPr>
              <w:pStyle w:val="NoSpacing"/>
            </w:pPr>
            <w:r w:rsidRPr="00487834">
              <w:t>South Africa</w:t>
            </w:r>
          </w:p>
        </w:tc>
      </w:tr>
      <w:tr w:rsidR="00AD365D" w:rsidRPr="00487834" w14:paraId="16986270" w14:textId="77777777" w:rsidTr="001747B1">
        <w:trPr>
          <w:trHeight w:val="300"/>
          <w:jc w:val="center"/>
        </w:trPr>
        <w:tc>
          <w:tcPr>
            <w:tcW w:w="1202" w:type="dxa"/>
            <w:tcBorders>
              <w:top w:val="nil"/>
              <w:left w:val="nil"/>
              <w:bottom w:val="nil"/>
              <w:right w:val="nil"/>
            </w:tcBorders>
            <w:shd w:val="clear" w:color="auto" w:fill="auto"/>
            <w:noWrap/>
            <w:hideMark/>
          </w:tcPr>
          <w:p w14:paraId="38FD1284" w14:textId="77777777" w:rsidR="00AD365D" w:rsidRPr="00487834" w:rsidRDefault="00AD365D" w:rsidP="001747B1">
            <w:pPr>
              <w:pStyle w:val="NoSpacing"/>
            </w:pPr>
            <w:proofErr w:type="spellStart"/>
            <w:r w:rsidRPr="00487834">
              <w:t>Chi</w:t>
            </w:r>
            <w:proofErr w:type="spellEnd"/>
            <w:r w:rsidRPr="00487834">
              <w:t>-Square</w:t>
            </w:r>
          </w:p>
        </w:tc>
        <w:tc>
          <w:tcPr>
            <w:tcW w:w="1500" w:type="dxa"/>
            <w:tcBorders>
              <w:top w:val="nil"/>
              <w:left w:val="nil"/>
              <w:bottom w:val="nil"/>
              <w:right w:val="nil"/>
            </w:tcBorders>
            <w:shd w:val="clear" w:color="auto" w:fill="auto"/>
            <w:noWrap/>
            <w:vAlign w:val="center"/>
            <w:hideMark/>
          </w:tcPr>
          <w:p w14:paraId="5FBC3322" w14:textId="77777777" w:rsidR="00AD365D" w:rsidRPr="00487834" w:rsidRDefault="00AD365D" w:rsidP="001747B1">
            <w:pPr>
              <w:pStyle w:val="NoSpacing"/>
            </w:pPr>
            <w:r w:rsidRPr="00487834">
              <w:t>14.400</w:t>
            </w:r>
          </w:p>
        </w:tc>
        <w:tc>
          <w:tcPr>
            <w:tcW w:w="1500" w:type="dxa"/>
            <w:tcBorders>
              <w:top w:val="nil"/>
              <w:left w:val="nil"/>
              <w:bottom w:val="nil"/>
              <w:right w:val="nil"/>
            </w:tcBorders>
            <w:shd w:val="clear" w:color="auto" w:fill="auto"/>
            <w:noWrap/>
            <w:vAlign w:val="center"/>
            <w:hideMark/>
          </w:tcPr>
          <w:p w14:paraId="52028FBE" w14:textId="77777777" w:rsidR="00AD365D" w:rsidRPr="00487834" w:rsidRDefault="00AD365D" w:rsidP="001747B1">
            <w:pPr>
              <w:pStyle w:val="NoSpacing"/>
            </w:pPr>
            <w:r w:rsidRPr="00487834">
              <w:t>55.12</w:t>
            </w:r>
          </w:p>
        </w:tc>
        <w:tc>
          <w:tcPr>
            <w:tcW w:w="1500" w:type="dxa"/>
            <w:tcBorders>
              <w:top w:val="nil"/>
              <w:left w:val="nil"/>
              <w:bottom w:val="nil"/>
              <w:right w:val="nil"/>
            </w:tcBorders>
            <w:shd w:val="clear" w:color="auto" w:fill="auto"/>
            <w:noWrap/>
            <w:vAlign w:val="center"/>
            <w:hideMark/>
          </w:tcPr>
          <w:p w14:paraId="4751578C" w14:textId="77777777" w:rsidR="00AD365D" w:rsidRPr="00487834" w:rsidRDefault="00AD365D" w:rsidP="001747B1">
            <w:pPr>
              <w:pStyle w:val="NoSpacing"/>
            </w:pPr>
            <w:r w:rsidRPr="00487834">
              <w:t>30.300</w:t>
            </w:r>
          </w:p>
        </w:tc>
      </w:tr>
      <w:tr w:rsidR="00AD365D" w:rsidRPr="00487834" w14:paraId="0A788F48" w14:textId="77777777" w:rsidTr="001747B1">
        <w:trPr>
          <w:trHeight w:val="300"/>
          <w:jc w:val="center"/>
        </w:trPr>
        <w:tc>
          <w:tcPr>
            <w:tcW w:w="1202" w:type="dxa"/>
            <w:tcBorders>
              <w:top w:val="nil"/>
              <w:left w:val="nil"/>
              <w:bottom w:val="nil"/>
              <w:right w:val="nil"/>
            </w:tcBorders>
            <w:shd w:val="clear" w:color="auto" w:fill="auto"/>
            <w:noWrap/>
            <w:hideMark/>
          </w:tcPr>
          <w:p w14:paraId="6F052E96" w14:textId="77777777" w:rsidR="00AD365D" w:rsidRPr="00487834" w:rsidRDefault="00AD365D" w:rsidP="001747B1">
            <w:pPr>
              <w:pStyle w:val="NoSpacing"/>
            </w:pPr>
            <w:r w:rsidRPr="00487834">
              <w:t>p-</w:t>
            </w:r>
            <w:proofErr w:type="spellStart"/>
            <w:r w:rsidRPr="00487834">
              <w:t>value</w:t>
            </w:r>
            <w:proofErr w:type="spellEnd"/>
          </w:p>
        </w:tc>
        <w:tc>
          <w:tcPr>
            <w:tcW w:w="1500" w:type="dxa"/>
            <w:tcBorders>
              <w:top w:val="nil"/>
              <w:left w:val="nil"/>
              <w:bottom w:val="nil"/>
              <w:right w:val="nil"/>
            </w:tcBorders>
            <w:shd w:val="clear" w:color="auto" w:fill="auto"/>
            <w:noWrap/>
            <w:vAlign w:val="center"/>
            <w:hideMark/>
          </w:tcPr>
          <w:p w14:paraId="34D930C5" w14:textId="77777777" w:rsidR="00AD365D" w:rsidRPr="00487834" w:rsidRDefault="00AD365D" w:rsidP="001747B1">
            <w:pPr>
              <w:pStyle w:val="NoSpacing"/>
            </w:pPr>
            <w:r w:rsidRPr="00487834">
              <w:t>0.072</w:t>
            </w:r>
          </w:p>
        </w:tc>
        <w:tc>
          <w:tcPr>
            <w:tcW w:w="1500" w:type="dxa"/>
            <w:tcBorders>
              <w:top w:val="nil"/>
              <w:left w:val="nil"/>
              <w:bottom w:val="nil"/>
              <w:right w:val="nil"/>
            </w:tcBorders>
            <w:shd w:val="clear" w:color="auto" w:fill="auto"/>
            <w:noWrap/>
            <w:vAlign w:val="center"/>
            <w:hideMark/>
          </w:tcPr>
          <w:p w14:paraId="0B30CE36" w14:textId="77777777" w:rsidR="00AD365D" w:rsidRPr="00487834" w:rsidRDefault="00AD365D" w:rsidP="001747B1">
            <w:pPr>
              <w:pStyle w:val="NoSpacing"/>
            </w:pPr>
            <w:r w:rsidRPr="00487834">
              <w:t>0</w:t>
            </w:r>
          </w:p>
        </w:tc>
        <w:tc>
          <w:tcPr>
            <w:tcW w:w="1500" w:type="dxa"/>
            <w:tcBorders>
              <w:top w:val="nil"/>
              <w:left w:val="nil"/>
              <w:bottom w:val="nil"/>
              <w:right w:val="nil"/>
            </w:tcBorders>
            <w:shd w:val="clear" w:color="auto" w:fill="auto"/>
            <w:noWrap/>
            <w:vAlign w:val="center"/>
            <w:hideMark/>
          </w:tcPr>
          <w:p w14:paraId="6A639C85" w14:textId="77777777" w:rsidR="00AD365D" w:rsidRPr="00487834" w:rsidRDefault="00AD365D" w:rsidP="001747B1">
            <w:pPr>
              <w:pStyle w:val="NoSpacing"/>
            </w:pPr>
            <w:r w:rsidRPr="00487834">
              <w:t>0.0002</w:t>
            </w:r>
          </w:p>
        </w:tc>
      </w:tr>
      <w:tr w:rsidR="00AD365D" w:rsidRPr="00487834" w14:paraId="7FF77A3D" w14:textId="77777777" w:rsidTr="001747B1">
        <w:trPr>
          <w:trHeight w:val="560"/>
          <w:jc w:val="center"/>
        </w:trPr>
        <w:tc>
          <w:tcPr>
            <w:tcW w:w="1202" w:type="dxa"/>
            <w:tcBorders>
              <w:top w:val="nil"/>
              <w:left w:val="nil"/>
              <w:bottom w:val="single" w:sz="4" w:space="0" w:color="auto"/>
              <w:right w:val="nil"/>
            </w:tcBorders>
            <w:shd w:val="clear" w:color="auto" w:fill="auto"/>
            <w:noWrap/>
            <w:vAlign w:val="center"/>
            <w:hideMark/>
          </w:tcPr>
          <w:p w14:paraId="4E1D8563" w14:textId="77777777" w:rsidR="00AD365D" w:rsidRPr="00487834" w:rsidRDefault="00AD365D" w:rsidP="001747B1">
            <w:pPr>
              <w:pStyle w:val="NoSpacing"/>
            </w:pPr>
            <w:r w:rsidRPr="00487834">
              <w:t>Model</w:t>
            </w:r>
          </w:p>
        </w:tc>
        <w:tc>
          <w:tcPr>
            <w:tcW w:w="1500" w:type="dxa"/>
            <w:tcBorders>
              <w:top w:val="nil"/>
              <w:left w:val="nil"/>
              <w:bottom w:val="single" w:sz="4" w:space="0" w:color="auto"/>
              <w:right w:val="nil"/>
            </w:tcBorders>
            <w:shd w:val="clear" w:color="auto" w:fill="auto"/>
            <w:vAlign w:val="center"/>
            <w:hideMark/>
          </w:tcPr>
          <w:p w14:paraId="5D9304B3"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r w:rsidRPr="00487834">
              <w:t xml:space="preserve">/ </w:t>
            </w:r>
            <w:proofErr w:type="spellStart"/>
            <w:r w:rsidRPr="00487834">
              <w:t>Random</w:t>
            </w:r>
            <w:proofErr w:type="spellEnd"/>
            <w:r w:rsidRPr="00487834">
              <w:t xml:space="preserve"> </w:t>
            </w:r>
            <w:proofErr w:type="spellStart"/>
            <w:r w:rsidRPr="00487834">
              <w:t>effects</w:t>
            </w:r>
            <w:proofErr w:type="spellEnd"/>
          </w:p>
        </w:tc>
        <w:tc>
          <w:tcPr>
            <w:tcW w:w="1500" w:type="dxa"/>
            <w:tcBorders>
              <w:top w:val="nil"/>
              <w:left w:val="nil"/>
              <w:bottom w:val="single" w:sz="4" w:space="0" w:color="auto"/>
              <w:right w:val="nil"/>
            </w:tcBorders>
            <w:shd w:val="clear" w:color="auto" w:fill="auto"/>
            <w:vAlign w:val="center"/>
            <w:hideMark/>
          </w:tcPr>
          <w:p w14:paraId="6C2829C8"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p>
        </w:tc>
        <w:tc>
          <w:tcPr>
            <w:tcW w:w="1500" w:type="dxa"/>
            <w:tcBorders>
              <w:top w:val="nil"/>
              <w:left w:val="nil"/>
              <w:bottom w:val="single" w:sz="4" w:space="0" w:color="auto"/>
              <w:right w:val="nil"/>
            </w:tcBorders>
            <w:shd w:val="clear" w:color="auto" w:fill="auto"/>
            <w:noWrap/>
            <w:vAlign w:val="center"/>
            <w:hideMark/>
          </w:tcPr>
          <w:p w14:paraId="5BD7C6EE"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p>
        </w:tc>
      </w:tr>
    </w:tbl>
    <w:p w14:paraId="541977EF" w14:textId="77777777" w:rsidR="00AD365D" w:rsidRPr="00487834" w:rsidRDefault="00AD365D" w:rsidP="00AD365D">
      <w:pPr>
        <w:autoSpaceDE w:val="0"/>
        <w:autoSpaceDN w:val="0"/>
        <w:adjustRightInd w:val="0"/>
        <w:spacing w:line="300" w:lineRule="auto"/>
        <w:rPr>
          <w:rFonts w:eastAsiaTheme="minorHAnsi"/>
          <w:lang w:val="en-US" w:eastAsia="en-US"/>
        </w:rPr>
      </w:pPr>
    </w:p>
    <w:p w14:paraId="701AFCBD" w14:textId="77777777" w:rsidR="00AD365D" w:rsidRPr="00487834" w:rsidRDefault="00AD365D" w:rsidP="00AD365D">
      <w:pPr>
        <w:autoSpaceDE w:val="0"/>
        <w:autoSpaceDN w:val="0"/>
        <w:adjustRightInd w:val="0"/>
        <w:spacing w:line="300" w:lineRule="auto"/>
        <w:rPr>
          <w:rFonts w:eastAsiaTheme="minorHAnsi"/>
          <w:lang w:val="en-US" w:eastAsia="en-US"/>
        </w:rPr>
      </w:pPr>
    </w:p>
    <w:p w14:paraId="565ED499" w14:textId="77777777" w:rsidR="00AD365D" w:rsidRPr="00487834" w:rsidRDefault="00AD365D" w:rsidP="00AD365D">
      <w:pPr>
        <w:autoSpaceDE w:val="0"/>
        <w:autoSpaceDN w:val="0"/>
        <w:adjustRightInd w:val="0"/>
        <w:spacing w:line="300" w:lineRule="auto"/>
        <w:rPr>
          <w:rFonts w:eastAsiaTheme="minorHAnsi"/>
          <w:b/>
          <w:bCs/>
          <w:lang w:val="en-GB" w:eastAsia="en-US"/>
        </w:rPr>
      </w:pPr>
    </w:p>
    <w:p w14:paraId="0F0EC7AE" w14:textId="77777777" w:rsidR="00AD365D" w:rsidRPr="00487834" w:rsidRDefault="00AD365D" w:rsidP="00AD365D">
      <w:pPr>
        <w:autoSpaceDE w:val="0"/>
        <w:autoSpaceDN w:val="0"/>
        <w:adjustRightInd w:val="0"/>
        <w:spacing w:line="300" w:lineRule="auto"/>
        <w:rPr>
          <w:color w:val="0D0D0D"/>
          <w:shd w:val="clear" w:color="auto" w:fill="FFFFFF"/>
          <w:lang w:val="en-US"/>
        </w:rPr>
      </w:pPr>
      <w:r w:rsidRPr="00487834">
        <w:rPr>
          <w:rFonts w:eastAsiaTheme="minorHAnsi"/>
          <w:b/>
          <w:bCs/>
          <w:lang w:val="en-GB" w:eastAsia="en-US"/>
        </w:rPr>
        <w:t xml:space="preserve">Table 20 – </w:t>
      </w:r>
      <w:r w:rsidRPr="00487834">
        <w:rPr>
          <w:color w:val="0D0D0D"/>
          <w:shd w:val="clear" w:color="auto" w:fill="FFFFFF"/>
          <w:lang w:val="en-US"/>
        </w:rPr>
        <w:t>Hausman model specification test for the aggregated cost of debt model and quartile subsamples with lagged predictor</w:t>
      </w:r>
    </w:p>
    <w:p w14:paraId="450F065F" w14:textId="77777777" w:rsidR="00AD365D" w:rsidRPr="00487834" w:rsidRDefault="00AD365D" w:rsidP="00AD365D">
      <w:pPr>
        <w:autoSpaceDE w:val="0"/>
        <w:autoSpaceDN w:val="0"/>
        <w:adjustRightInd w:val="0"/>
        <w:spacing w:line="300" w:lineRule="auto"/>
        <w:rPr>
          <w:color w:val="0D0D0D"/>
          <w:shd w:val="clear" w:color="auto" w:fill="FFFFFF"/>
          <w:lang w:val="en-US"/>
        </w:rPr>
      </w:pPr>
    </w:p>
    <w:tbl>
      <w:tblPr>
        <w:tblW w:w="7000" w:type="dxa"/>
        <w:jc w:val="center"/>
        <w:tblLook w:val="04A0" w:firstRow="1" w:lastRow="0" w:firstColumn="1" w:lastColumn="0" w:noHBand="0" w:noVBand="1"/>
      </w:tblPr>
      <w:tblGrid>
        <w:gridCol w:w="1134"/>
        <w:gridCol w:w="1386"/>
        <w:gridCol w:w="1500"/>
        <w:gridCol w:w="1500"/>
        <w:gridCol w:w="1480"/>
      </w:tblGrid>
      <w:tr w:rsidR="00AD365D" w:rsidRPr="00487834" w14:paraId="7FDD6B1B" w14:textId="77777777" w:rsidTr="001747B1">
        <w:trPr>
          <w:trHeight w:val="300"/>
          <w:jc w:val="center"/>
        </w:trPr>
        <w:tc>
          <w:tcPr>
            <w:tcW w:w="1134" w:type="dxa"/>
            <w:tcBorders>
              <w:top w:val="single" w:sz="4" w:space="0" w:color="auto"/>
              <w:left w:val="nil"/>
              <w:bottom w:val="single" w:sz="4" w:space="0" w:color="auto"/>
              <w:right w:val="nil"/>
            </w:tcBorders>
            <w:shd w:val="clear" w:color="auto" w:fill="auto"/>
            <w:noWrap/>
            <w:vAlign w:val="bottom"/>
            <w:hideMark/>
          </w:tcPr>
          <w:p w14:paraId="6C745223" w14:textId="77777777" w:rsidR="00AD365D" w:rsidRPr="00487834" w:rsidRDefault="00AD365D" w:rsidP="001747B1">
            <w:pPr>
              <w:pStyle w:val="NoSpacing"/>
              <w:rPr>
                <w:lang w:val="en-US"/>
              </w:rPr>
            </w:pPr>
            <w:r w:rsidRPr="00487834">
              <w:rPr>
                <w:lang w:val="en-US"/>
              </w:rPr>
              <w:t> </w:t>
            </w:r>
          </w:p>
        </w:tc>
        <w:tc>
          <w:tcPr>
            <w:tcW w:w="1386" w:type="dxa"/>
            <w:tcBorders>
              <w:top w:val="single" w:sz="4" w:space="0" w:color="auto"/>
              <w:left w:val="nil"/>
              <w:bottom w:val="single" w:sz="4" w:space="0" w:color="auto"/>
              <w:right w:val="nil"/>
            </w:tcBorders>
            <w:shd w:val="clear" w:color="auto" w:fill="auto"/>
            <w:noWrap/>
            <w:vAlign w:val="center"/>
            <w:hideMark/>
          </w:tcPr>
          <w:p w14:paraId="457FEA92" w14:textId="77777777" w:rsidR="00AD365D" w:rsidRPr="00487834" w:rsidRDefault="00AD365D" w:rsidP="001747B1">
            <w:pPr>
              <w:pStyle w:val="NoSpacing"/>
            </w:pPr>
            <w:proofErr w:type="spellStart"/>
            <w:r w:rsidRPr="00487834">
              <w:t>Entire</w:t>
            </w:r>
            <w:proofErr w:type="spellEnd"/>
            <w:r w:rsidRPr="00487834">
              <w:t xml:space="preserve"> </w:t>
            </w:r>
            <w:proofErr w:type="spellStart"/>
            <w:r w:rsidRPr="00487834">
              <w:t>dataset</w:t>
            </w:r>
            <w:proofErr w:type="spellEnd"/>
          </w:p>
        </w:tc>
        <w:tc>
          <w:tcPr>
            <w:tcW w:w="1500" w:type="dxa"/>
            <w:tcBorders>
              <w:top w:val="single" w:sz="4" w:space="0" w:color="auto"/>
              <w:left w:val="nil"/>
              <w:bottom w:val="single" w:sz="4" w:space="0" w:color="auto"/>
              <w:right w:val="nil"/>
            </w:tcBorders>
            <w:shd w:val="clear" w:color="auto" w:fill="auto"/>
            <w:noWrap/>
            <w:vAlign w:val="center"/>
            <w:hideMark/>
          </w:tcPr>
          <w:p w14:paraId="5756C56B" w14:textId="77777777" w:rsidR="00AD365D" w:rsidRPr="00487834" w:rsidRDefault="00AD365D" w:rsidP="001747B1">
            <w:pPr>
              <w:pStyle w:val="NoSpacing"/>
            </w:pPr>
            <w:r w:rsidRPr="00487834">
              <w:t>Top 25%</w:t>
            </w:r>
          </w:p>
        </w:tc>
        <w:tc>
          <w:tcPr>
            <w:tcW w:w="1500" w:type="dxa"/>
            <w:tcBorders>
              <w:top w:val="single" w:sz="4" w:space="0" w:color="auto"/>
              <w:left w:val="nil"/>
              <w:bottom w:val="single" w:sz="4" w:space="0" w:color="auto"/>
              <w:right w:val="nil"/>
            </w:tcBorders>
            <w:shd w:val="clear" w:color="auto" w:fill="auto"/>
            <w:noWrap/>
            <w:vAlign w:val="center"/>
            <w:hideMark/>
          </w:tcPr>
          <w:p w14:paraId="36E086AB" w14:textId="77777777" w:rsidR="00AD365D" w:rsidRPr="00487834" w:rsidRDefault="00AD365D" w:rsidP="001747B1">
            <w:pPr>
              <w:pStyle w:val="NoSpacing"/>
            </w:pPr>
            <w:proofErr w:type="spellStart"/>
            <w:r w:rsidRPr="00487834">
              <w:t>Med</w:t>
            </w:r>
            <w:proofErr w:type="spellEnd"/>
            <w:r w:rsidRPr="00487834">
              <w:t>. 50%</w:t>
            </w:r>
          </w:p>
        </w:tc>
        <w:tc>
          <w:tcPr>
            <w:tcW w:w="1480" w:type="dxa"/>
            <w:tcBorders>
              <w:top w:val="single" w:sz="4" w:space="0" w:color="auto"/>
              <w:left w:val="nil"/>
              <w:bottom w:val="single" w:sz="4" w:space="0" w:color="auto"/>
              <w:right w:val="nil"/>
            </w:tcBorders>
            <w:shd w:val="clear" w:color="auto" w:fill="auto"/>
            <w:noWrap/>
            <w:vAlign w:val="center"/>
            <w:hideMark/>
          </w:tcPr>
          <w:p w14:paraId="5E9B1E11" w14:textId="77777777" w:rsidR="00AD365D" w:rsidRPr="00487834" w:rsidRDefault="00AD365D" w:rsidP="001747B1">
            <w:pPr>
              <w:pStyle w:val="NoSpacing"/>
            </w:pPr>
            <w:proofErr w:type="spellStart"/>
            <w:r w:rsidRPr="00487834">
              <w:t>Low</w:t>
            </w:r>
            <w:proofErr w:type="spellEnd"/>
            <w:r w:rsidRPr="00487834">
              <w:t xml:space="preserve"> 25%</w:t>
            </w:r>
          </w:p>
        </w:tc>
      </w:tr>
      <w:tr w:rsidR="00AD365D" w:rsidRPr="00487834" w14:paraId="34D75C4F" w14:textId="77777777" w:rsidTr="001747B1">
        <w:trPr>
          <w:trHeight w:val="300"/>
          <w:jc w:val="center"/>
        </w:trPr>
        <w:tc>
          <w:tcPr>
            <w:tcW w:w="1134" w:type="dxa"/>
            <w:tcBorders>
              <w:top w:val="nil"/>
              <w:left w:val="nil"/>
              <w:bottom w:val="nil"/>
              <w:right w:val="nil"/>
            </w:tcBorders>
            <w:shd w:val="clear" w:color="auto" w:fill="auto"/>
            <w:noWrap/>
            <w:hideMark/>
          </w:tcPr>
          <w:p w14:paraId="6C62F174" w14:textId="77777777" w:rsidR="00AD365D" w:rsidRPr="00487834" w:rsidRDefault="00AD365D" w:rsidP="001747B1">
            <w:pPr>
              <w:pStyle w:val="NoSpacing"/>
            </w:pPr>
            <w:proofErr w:type="spellStart"/>
            <w:r w:rsidRPr="00487834">
              <w:t>Chi</w:t>
            </w:r>
            <w:proofErr w:type="spellEnd"/>
            <w:r w:rsidRPr="00487834">
              <w:t>-Square</w:t>
            </w:r>
          </w:p>
        </w:tc>
        <w:tc>
          <w:tcPr>
            <w:tcW w:w="1386" w:type="dxa"/>
            <w:tcBorders>
              <w:top w:val="nil"/>
              <w:left w:val="nil"/>
              <w:bottom w:val="nil"/>
              <w:right w:val="nil"/>
            </w:tcBorders>
            <w:shd w:val="clear" w:color="auto" w:fill="auto"/>
            <w:noWrap/>
            <w:vAlign w:val="center"/>
            <w:hideMark/>
          </w:tcPr>
          <w:p w14:paraId="2AD5D8B7" w14:textId="77777777" w:rsidR="00AD365D" w:rsidRPr="00487834" w:rsidRDefault="00AD365D" w:rsidP="001747B1">
            <w:pPr>
              <w:pStyle w:val="NoSpacing"/>
            </w:pPr>
            <w:r w:rsidRPr="00487834">
              <w:t>39.93</w:t>
            </w:r>
          </w:p>
        </w:tc>
        <w:tc>
          <w:tcPr>
            <w:tcW w:w="1500" w:type="dxa"/>
            <w:tcBorders>
              <w:top w:val="nil"/>
              <w:left w:val="nil"/>
              <w:bottom w:val="nil"/>
              <w:right w:val="nil"/>
            </w:tcBorders>
            <w:shd w:val="clear" w:color="auto" w:fill="auto"/>
            <w:noWrap/>
            <w:vAlign w:val="center"/>
            <w:hideMark/>
          </w:tcPr>
          <w:p w14:paraId="68E7BBC5" w14:textId="77777777" w:rsidR="00AD365D" w:rsidRPr="00487834" w:rsidRDefault="00AD365D" w:rsidP="001747B1">
            <w:pPr>
              <w:pStyle w:val="NoSpacing"/>
            </w:pPr>
            <w:r w:rsidRPr="00487834">
              <w:t>3.29</w:t>
            </w:r>
          </w:p>
        </w:tc>
        <w:tc>
          <w:tcPr>
            <w:tcW w:w="1500" w:type="dxa"/>
            <w:tcBorders>
              <w:top w:val="nil"/>
              <w:left w:val="nil"/>
              <w:bottom w:val="nil"/>
              <w:right w:val="nil"/>
            </w:tcBorders>
            <w:shd w:val="clear" w:color="auto" w:fill="auto"/>
            <w:noWrap/>
            <w:vAlign w:val="center"/>
            <w:hideMark/>
          </w:tcPr>
          <w:p w14:paraId="1D1B65DC" w14:textId="77777777" w:rsidR="00AD365D" w:rsidRPr="00487834" w:rsidRDefault="00AD365D" w:rsidP="001747B1">
            <w:pPr>
              <w:pStyle w:val="NoSpacing"/>
            </w:pPr>
            <w:r w:rsidRPr="00487834">
              <w:t>28.21</w:t>
            </w:r>
          </w:p>
        </w:tc>
        <w:tc>
          <w:tcPr>
            <w:tcW w:w="1480" w:type="dxa"/>
            <w:tcBorders>
              <w:top w:val="nil"/>
              <w:left w:val="nil"/>
              <w:bottom w:val="nil"/>
              <w:right w:val="nil"/>
            </w:tcBorders>
            <w:shd w:val="clear" w:color="auto" w:fill="auto"/>
            <w:noWrap/>
            <w:vAlign w:val="center"/>
            <w:hideMark/>
          </w:tcPr>
          <w:p w14:paraId="3F1F74F9" w14:textId="77777777" w:rsidR="00AD365D" w:rsidRPr="00487834" w:rsidRDefault="00AD365D" w:rsidP="001747B1">
            <w:pPr>
              <w:pStyle w:val="NoSpacing"/>
            </w:pPr>
            <w:r w:rsidRPr="00487834">
              <w:t>13.61</w:t>
            </w:r>
          </w:p>
        </w:tc>
      </w:tr>
      <w:tr w:rsidR="00AD365D" w:rsidRPr="00487834" w14:paraId="6A1BCA8C" w14:textId="77777777" w:rsidTr="001747B1">
        <w:trPr>
          <w:trHeight w:val="300"/>
          <w:jc w:val="center"/>
        </w:trPr>
        <w:tc>
          <w:tcPr>
            <w:tcW w:w="1134" w:type="dxa"/>
            <w:tcBorders>
              <w:top w:val="nil"/>
              <w:left w:val="nil"/>
              <w:bottom w:val="nil"/>
              <w:right w:val="nil"/>
            </w:tcBorders>
            <w:shd w:val="clear" w:color="auto" w:fill="auto"/>
            <w:noWrap/>
            <w:hideMark/>
          </w:tcPr>
          <w:p w14:paraId="44FD1319" w14:textId="77777777" w:rsidR="00AD365D" w:rsidRPr="00487834" w:rsidRDefault="00AD365D" w:rsidP="001747B1">
            <w:pPr>
              <w:pStyle w:val="NoSpacing"/>
            </w:pPr>
            <w:r w:rsidRPr="00487834">
              <w:t>p-</w:t>
            </w:r>
            <w:proofErr w:type="spellStart"/>
            <w:r w:rsidRPr="00487834">
              <w:t>value</w:t>
            </w:r>
            <w:proofErr w:type="spellEnd"/>
          </w:p>
        </w:tc>
        <w:tc>
          <w:tcPr>
            <w:tcW w:w="1386" w:type="dxa"/>
            <w:tcBorders>
              <w:top w:val="nil"/>
              <w:left w:val="nil"/>
              <w:bottom w:val="nil"/>
              <w:right w:val="nil"/>
            </w:tcBorders>
            <w:shd w:val="clear" w:color="auto" w:fill="auto"/>
            <w:noWrap/>
            <w:vAlign w:val="center"/>
            <w:hideMark/>
          </w:tcPr>
          <w:p w14:paraId="3BD27C1A" w14:textId="77777777" w:rsidR="00AD365D" w:rsidRPr="00487834" w:rsidRDefault="00AD365D" w:rsidP="001747B1">
            <w:pPr>
              <w:pStyle w:val="NoSpacing"/>
            </w:pPr>
            <w:r w:rsidRPr="00487834">
              <w:t>0</w:t>
            </w:r>
          </w:p>
        </w:tc>
        <w:tc>
          <w:tcPr>
            <w:tcW w:w="1500" w:type="dxa"/>
            <w:tcBorders>
              <w:top w:val="nil"/>
              <w:left w:val="nil"/>
              <w:bottom w:val="nil"/>
              <w:right w:val="nil"/>
            </w:tcBorders>
            <w:shd w:val="clear" w:color="auto" w:fill="auto"/>
            <w:noWrap/>
            <w:vAlign w:val="center"/>
            <w:hideMark/>
          </w:tcPr>
          <w:p w14:paraId="14EFB901" w14:textId="77777777" w:rsidR="00AD365D" w:rsidRPr="00487834" w:rsidRDefault="00AD365D" w:rsidP="001747B1">
            <w:pPr>
              <w:pStyle w:val="NoSpacing"/>
            </w:pPr>
            <w:r w:rsidRPr="00487834">
              <w:t>0.915</w:t>
            </w:r>
          </w:p>
        </w:tc>
        <w:tc>
          <w:tcPr>
            <w:tcW w:w="1500" w:type="dxa"/>
            <w:tcBorders>
              <w:top w:val="nil"/>
              <w:left w:val="nil"/>
              <w:bottom w:val="nil"/>
              <w:right w:val="nil"/>
            </w:tcBorders>
            <w:shd w:val="clear" w:color="auto" w:fill="auto"/>
            <w:noWrap/>
            <w:vAlign w:val="center"/>
            <w:hideMark/>
          </w:tcPr>
          <w:p w14:paraId="4B9920BF" w14:textId="77777777" w:rsidR="00AD365D" w:rsidRPr="00487834" w:rsidRDefault="00AD365D" w:rsidP="001747B1">
            <w:pPr>
              <w:pStyle w:val="NoSpacing"/>
            </w:pPr>
            <w:r w:rsidRPr="00487834">
              <w:t>0.0004</w:t>
            </w:r>
          </w:p>
        </w:tc>
        <w:tc>
          <w:tcPr>
            <w:tcW w:w="1480" w:type="dxa"/>
            <w:tcBorders>
              <w:top w:val="nil"/>
              <w:left w:val="nil"/>
              <w:bottom w:val="nil"/>
              <w:right w:val="nil"/>
            </w:tcBorders>
            <w:shd w:val="clear" w:color="auto" w:fill="auto"/>
            <w:noWrap/>
            <w:vAlign w:val="center"/>
            <w:hideMark/>
          </w:tcPr>
          <w:p w14:paraId="4C8A20DE" w14:textId="77777777" w:rsidR="00AD365D" w:rsidRPr="00487834" w:rsidRDefault="00AD365D" w:rsidP="001747B1">
            <w:pPr>
              <w:pStyle w:val="NoSpacing"/>
            </w:pPr>
            <w:r w:rsidRPr="00487834">
              <w:t>0.093</w:t>
            </w:r>
          </w:p>
        </w:tc>
      </w:tr>
      <w:tr w:rsidR="00AD365D" w:rsidRPr="00487834" w14:paraId="0E4C0B53" w14:textId="77777777" w:rsidTr="001747B1">
        <w:trPr>
          <w:trHeight w:val="560"/>
          <w:jc w:val="center"/>
        </w:trPr>
        <w:tc>
          <w:tcPr>
            <w:tcW w:w="1134" w:type="dxa"/>
            <w:tcBorders>
              <w:top w:val="nil"/>
              <w:left w:val="nil"/>
              <w:bottom w:val="single" w:sz="4" w:space="0" w:color="auto"/>
              <w:right w:val="nil"/>
            </w:tcBorders>
            <w:shd w:val="clear" w:color="auto" w:fill="auto"/>
            <w:noWrap/>
            <w:vAlign w:val="center"/>
            <w:hideMark/>
          </w:tcPr>
          <w:p w14:paraId="47365E43" w14:textId="77777777" w:rsidR="00AD365D" w:rsidRPr="00487834" w:rsidRDefault="00AD365D" w:rsidP="001747B1">
            <w:pPr>
              <w:pStyle w:val="NoSpacing"/>
            </w:pPr>
            <w:r w:rsidRPr="00487834">
              <w:t>Model</w:t>
            </w:r>
          </w:p>
        </w:tc>
        <w:tc>
          <w:tcPr>
            <w:tcW w:w="1386" w:type="dxa"/>
            <w:tcBorders>
              <w:top w:val="nil"/>
              <w:left w:val="nil"/>
              <w:bottom w:val="single" w:sz="4" w:space="0" w:color="auto"/>
              <w:right w:val="nil"/>
            </w:tcBorders>
            <w:shd w:val="clear" w:color="auto" w:fill="auto"/>
            <w:noWrap/>
            <w:vAlign w:val="center"/>
            <w:hideMark/>
          </w:tcPr>
          <w:p w14:paraId="0BCAFE6B"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p>
        </w:tc>
        <w:tc>
          <w:tcPr>
            <w:tcW w:w="1500" w:type="dxa"/>
            <w:tcBorders>
              <w:top w:val="nil"/>
              <w:left w:val="nil"/>
              <w:bottom w:val="single" w:sz="4" w:space="0" w:color="auto"/>
              <w:right w:val="nil"/>
            </w:tcBorders>
            <w:shd w:val="clear" w:color="auto" w:fill="auto"/>
            <w:noWrap/>
            <w:vAlign w:val="center"/>
            <w:hideMark/>
          </w:tcPr>
          <w:p w14:paraId="058F0CB1" w14:textId="77777777" w:rsidR="00AD365D" w:rsidRPr="00487834" w:rsidRDefault="00AD365D" w:rsidP="001747B1">
            <w:pPr>
              <w:pStyle w:val="NoSpacing"/>
            </w:pPr>
            <w:proofErr w:type="spellStart"/>
            <w:r w:rsidRPr="00487834">
              <w:t>Random</w:t>
            </w:r>
            <w:proofErr w:type="spellEnd"/>
            <w:r w:rsidRPr="00487834">
              <w:t xml:space="preserve"> </w:t>
            </w:r>
            <w:proofErr w:type="spellStart"/>
            <w:r w:rsidRPr="00487834">
              <w:t>effects</w:t>
            </w:r>
            <w:proofErr w:type="spellEnd"/>
          </w:p>
        </w:tc>
        <w:tc>
          <w:tcPr>
            <w:tcW w:w="1500" w:type="dxa"/>
            <w:tcBorders>
              <w:top w:val="nil"/>
              <w:left w:val="nil"/>
              <w:bottom w:val="single" w:sz="4" w:space="0" w:color="auto"/>
              <w:right w:val="nil"/>
            </w:tcBorders>
            <w:shd w:val="clear" w:color="auto" w:fill="auto"/>
            <w:noWrap/>
            <w:vAlign w:val="center"/>
            <w:hideMark/>
          </w:tcPr>
          <w:p w14:paraId="5BE69028"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p>
        </w:tc>
        <w:tc>
          <w:tcPr>
            <w:tcW w:w="1480" w:type="dxa"/>
            <w:tcBorders>
              <w:top w:val="nil"/>
              <w:left w:val="nil"/>
              <w:bottom w:val="single" w:sz="4" w:space="0" w:color="auto"/>
              <w:right w:val="nil"/>
            </w:tcBorders>
            <w:shd w:val="clear" w:color="auto" w:fill="auto"/>
            <w:vAlign w:val="center"/>
            <w:hideMark/>
          </w:tcPr>
          <w:p w14:paraId="37352EAA"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r w:rsidRPr="00487834">
              <w:t xml:space="preserve">/ </w:t>
            </w:r>
            <w:proofErr w:type="spellStart"/>
            <w:r w:rsidRPr="00487834">
              <w:t>Random</w:t>
            </w:r>
            <w:proofErr w:type="spellEnd"/>
            <w:r w:rsidRPr="00487834">
              <w:t xml:space="preserve"> </w:t>
            </w:r>
            <w:proofErr w:type="spellStart"/>
            <w:r w:rsidRPr="00487834">
              <w:t>effects</w:t>
            </w:r>
            <w:proofErr w:type="spellEnd"/>
          </w:p>
        </w:tc>
      </w:tr>
    </w:tbl>
    <w:p w14:paraId="165B2148" w14:textId="77777777" w:rsidR="00AD365D" w:rsidRPr="00487834" w:rsidRDefault="00AD365D" w:rsidP="00AD365D">
      <w:pPr>
        <w:autoSpaceDE w:val="0"/>
        <w:autoSpaceDN w:val="0"/>
        <w:adjustRightInd w:val="0"/>
        <w:spacing w:line="300" w:lineRule="auto"/>
        <w:rPr>
          <w:rFonts w:eastAsiaTheme="minorHAnsi"/>
          <w:lang w:val="en-US" w:eastAsia="en-US"/>
        </w:rPr>
      </w:pPr>
    </w:p>
    <w:p w14:paraId="41188E7D" w14:textId="77777777" w:rsidR="00AD365D" w:rsidRPr="00487834" w:rsidRDefault="00AD365D" w:rsidP="00AD365D">
      <w:pPr>
        <w:autoSpaceDE w:val="0"/>
        <w:autoSpaceDN w:val="0"/>
        <w:adjustRightInd w:val="0"/>
        <w:spacing w:line="300" w:lineRule="auto"/>
        <w:rPr>
          <w:rFonts w:eastAsiaTheme="minorHAnsi"/>
          <w:lang w:val="en-US" w:eastAsia="en-US"/>
        </w:rPr>
      </w:pPr>
    </w:p>
    <w:p w14:paraId="661F2840" w14:textId="77777777" w:rsidR="00AD365D" w:rsidRPr="00487834" w:rsidRDefault="00AD365D" w:rsidP="00AD365D">
      <w:pPr>
        <w:autoSpaceDE w:val="0"/>
        <w:autoSpaceDN w:val="0"/>
        <w:adjustRightInd w:val="0"/>
        <w:spacing w:line="300" w:lineRule="auto"/>
        <w:rPr>
          <w:color w:val="0D0D0D"/>
          <w:shd w:val="clear" w:color="auto" w:fill="FFFFFF"/>
          <w:lang w:val="en-US"/>
        </w:rPr>
      </w:pPr>
      <w:r w:rsidRPr="00487834">
        <w:rPr>
          <w:rFonts w:eastAsiaTheme="minorHAnsi"/>
          <w:b/>
          <w:bCs/>
          <w:lang w:val="en-GB" w:eastAsia="en-US"/>
        </w:rPr>
        <w:t xml:space="preserve">Table 21 – </w:t>
      </w:r>
      <w:r w:rsidRPr="00487834">
        <w:rPr>
          <w:color w:val="0D0D0D"/>
          <w:shd w:val="clear" w:color="auto" w:fill="FFFFFF"/>
          <w:lang w:val="en-US"/>
        </w:rPr>
        <w:t>Hausman model specification test for the cost of debt model for country’s subsamples with lagged predictor</w:t>
      </w:r>
    </w:p>
    <w:p w14:paraId="54580D18" w14:textId="77777777" w:rsidR="00AD365D" w:rsidRPr="00487834" w:rsidRDefault="00AD365D" w:rsidP="00AD365D">
      <w:pPr>
        <w:autoSpaceDE w:val="0"/>
        <w:autoSpaceDN w:val="0"/>
        <w:adjustRightInd w:val="0"/>
        <w:spacing w:line="300" w:lineRule="auto"/>
        <w:rPr>
          <w:rFonts w:eastAsiaTheme="minorHAnsi"/>
          <w:lang w:val="en-US" w:eastAsia="en-US"/>
        </w:rPr>
      </w:pPr>
    </w:p>
    <w:p w14:paraId="50FB367F" w14:textId="77777777" w:rsidR="00AD365D" w:rsidRPr="00487834" w:rsidRDefault="00AD365D" w:rsidP="00AD365D">
      <w:pPr>
        <w:autoSpaceDE w:val="0"/>
        <w:autoSpaceDN w:val="0"/>
        <w:adjustRightInd w:val="0"/>
        <w:spacing w:line="300" w:lineRule="auto"/>
        <w:rPr>
          <w:rFonts w:eastAsiaTheme="minorHAnsi"/>
          <w:lang w:val="en-US" w:eastAsia="en-US"/>
        </w:rPr>
      </w:pPr>
    </w:p>
    <w:tbl>
      <w:tblPr>
        <w:tblW w:w="5670" w:type="dxa"/>
        <w:jc w:val="center"/>
        <w:tblLook w:val="04A0" w:firstRow="1" w:lastRow="0" w:firstColumn="1" w:lastColumn="0" w:noHBand="0" w:noVBand="1"/>
      </w:tblPr>
      <w:tblGrid>
        <w:gridCol w:w="1276"/>
        <w:gridCol w:w="1701"/>
        <w:gridCol w:w="1418"/>
        <w:gridCol w:w="1275"/>
      </w:tblGrid>
      <w:tr w:rsidR="00AD365D" w:rsidRPr="00487834" w14:paraId="7E6474BA" w14:textId="77777777" w:rsidTr="001747B1">
        <w:trPr>
          <w:trHeight w:val="300"/>
          <w:jc w:val="center"/>
        </w:trPr>
        <w:tc>
          <w:tcPr>
            <w:tcW w:w="1276" w:type="dxa"/>
            <w:tcBorders>
              <w:top w:val="single" w:sz="4" w:space="0" w:color="auto"/>
              <w:left w:val="nil"/>
              <w:bottom w:val="single" w:sz="4" w:space="0" w:color="auto"/>
              <w:right w:val="nil"/>
            </w:tcBorders>
            <w:shd w:val="clear" w:color="auto" w:fill="auto"/>
            <w:noWrap/>
            <w:vAlign w:val="bottom"/>
            <w:hideMark/>
          </w:tcPr>
          <w:p w14:paraId="50668BBD" w14:textId="77777777" w:rsidR="00AD365D" w:rsidRPr="00487834" w:rsidRDefault="00AD365D" w:rsidP="001747B1">
            <w:pPr>
              <w:pStyle w:val="NoSpacing"/>
              <w:rPr>
                <w:lang w:val="en-US"/>
              </w:rPr>
            </w:pPr>
            <w:r w:rsidRPr="00487834">
              <w:rPr>
                <w:lang w:val="en-US"/>
              </w:rPr>
              <w:t> </w:t>
            </w:r>
          </w:p>
        </w:tc>
        <w:tc>
          <w:tcPr>
            <w:tcW w:w="1701" w:type="dxa"/>
            <w:tcBorders>
              <w:top w:val="single" w:sz="4" w:space="0" w:color="auto"/>
              <w:left w:val="nil"/>
              <w:bottom w:val="single" w:sz="4" w:space="0" w:color="auto"/>
              <w:right w:val="nil"/>
            </w:tcBorders>
            <w:shd w:val="clear" w:color="auto" w:fill="auto"/>
            <w:noWrap/>
            <w:vAlign w:val="center"/>
            <w:hideMark/>
          </w:tcPr>
          <w:p w14:paraId="090BB731" w14:textId="77777777" w:rsidR="00AD365D" w:rsidRPr="00487834" w:rsidRDefault="00AD365D" w:rsidP="001747B1">
            <w:pPr>
              <w:pStyle w:val="NoSpacing"/>
            </w:pPr>
            <w:r w:rsidRPr="00487834">
              <w:t>Russia</w:t>
            </w:r>
          </w:p>
        </w:tc>
        <w:tc>
          <w:tcPr>
            <w:tcW w:w="1418" w:type="dxa"/>
            <w:tcBorders>
              <w:top w:val="single" w:sz="4" w:space="0" w:color="auto"/>
              <w:left w:val="nil"/>
              <w:bottom w:val="single" w:sz="4" w:space="0" w:color="auto"/>
              <w:right w:val="nil"/>
            </w:tcBorders>
            <w:shd w:val="clear" w:color="auto" w:fill="auto"/>
            <w:noWrap/>
            <w:vAlign w:val="center"/>
            <w:hideMark/>
          </w:tcPr>
          <w:p w14:paraId="217F8B00" w14:textId="77777777" w:rsidR="00AD365D" w:rsidRPr="00487834" w:rsidRDefault="00AD365D" w:rsidP="001747B1">
            <w:pPr>
              <w:pStyle w:val="NoSpacing"/>
            </w:pPr>
            <w:proofErr w:type="spellStart"/>
            <w:r w:rsidRPr="00487834">
              <w:t>Brazil</w:t>
            </w:r>
            <w:proofErr w:type="spellEnd"/>
          </w:p>
        </w:tc>
        <w:tc>
          <w:tcPr>
            <w:tcW w:w="1275" w:type="dxa"/>
            <w:tcBorders>
              <w:top w:val="single" w:sz="4" w:space="0" w:color="auto"/>
              <w:left w:val="nil"/>
              <w:bottom w:val="single" w:sz="4" w:space="0" w:color="auto"/>
              <w:right w:val="nil"/>
            </w:tcBorders>
            <w:shd w:val="clear" w:color="auto" w:fill="auto"/>
            <w:noWrap/>
            <w:vAlign w:val="center"/>
            <w:hideMark/>
          </w:tcPr>
          <w:p w14:paraId="35043B51" w14:textId="77777777" w:rsidR="00AD365D" w:rsidRPr="00487834" w:rsidRDefault="00AD365D" w:rsidP="001747B1">
            <w:pPr>
              <w:pStyle w:val="NoSpacing"/>
            </w:pPr>
            <w:r w:rsidRPr="00487834">
              <w:t>South Africa</w:t>
            </w:r>
          </w:p>
        </w:tc>
      </w:tr>
      <w:tr w:rsidR="00AD365D" w:rsidRPr="00487834" w14:paraId="60C74259" w14:textId="77777777" w:rsidTr="001747B1">
        <w:trPr>
          <w:trHeight w:val="363"/>
          <w:jc w:val="center"/>
        </w:trPr>
        <w:tc>
          <w:tcPr>
            <w:tcW w:w="1276" w:type="dxa"/>
            <w:tcBorders>
              <w:top w:val="nil"/>
              <w:left w:val="nil"/>
              <w:bottom w:val="nil"/>
              <w:right w:val="nil"/>
            </w:tcBorders>
            <w:shd w:val="clear" w:color="auto" w:fill="auto"/>
            <w:noWrap/>
            <w:hideMark/>
          </w:tcPr>
          <w:p w14:paraId="6EDF0FC2" w14:textId="77777777" w:rsidR="00AD365D" w:rsidRPr="00487834" w:rsidRDefault="00AD365D" w:rsidP="001747B1">
            <w:pPr>
              <w:pStyle w:val="NoSpacing"/>
            </w:pPr>
            <w:proofErr w:type="spellStart"/>
            <w:r w:rsidRPr="00487834">
              <w:t>Chi</w:t>
            </w:r>
            <w:proofErr w:type="spellEnd"/>
            <w:r w:rsidRPr="00487834">
              <w:t>-Square</w:t>
            </w:r>
          </w:p>
        </w:tc>
        <w:tc>
          <w:tcPr>
            <w:tcW w:w="1701" w:type="dxa"/>
            <w:tcBorders>
              <w:top w:val="nil"/>
              <w:left w:val="nil"/>
              <w:bottom w:val="nil"/>
              <w:right w:val="nil"/>
            </w:tcBorders>
            <w:shd w:val="clear" w:color="auto" w:fill="auto"/>
            <w:noWrap/>
            <w:vAlign w:val="center"/>
            <w:hideMark/>
          </w:tcPr>
          <w:p w14:paraId="7E6C7FFB" w14:textId="77777777" w:rsidR="00AD365D" w:rsidRPr="00487834" w:rsidRDefault="00AD365D" w:rsidP="001747B1">
            <w:pPr>
              <w:pStyle w:val="NoSpacing"/>
            </w:pPr>
            <w:r w:rsidRPr="00487834">
              <w:t>6.43</w:t>
            </w:r>
          </w:p>
        </w:tc>
        <w:tc>
          <w:tcPr>
            <w:tcW w:w="1418" w:type="dxa"/>
            <w:tcBorders>
              <w:top w:val="nil"/>
              <w:left w:val="nil"/>
              <w:bottom w:val="nil"/>
              <w:right w:val="nil"/>
            </w:tcBorders>
            <w:shd w:val="clear" w:color="auto" w:fill="auto"/>
            <w:noWrap/>
            <w:vAlign w:val="center"/>
            <w:hideMark/>
          </w:tcPr>
          <w:p w14:paraId="2376BFCA" w14:textId="77777777" w:rsidR="00AD365D" w:rsidRPr="00487834" w:rsidRDefault="00AD365D" w:rsidP="001747B1">
            <w:pPr>
              <w:pStyle w:val="NoSpacing"/>
            </w:pPr>
            <w:r w:rsidRPr="00487834">
              <w:t>27.7</w:t>
            </w:r>
          </w:p>
        </w:tc>
        <w:tc>
          <w:tcPr>
            <w:tcW w:w="1275" w:type="dxa"/>
            <w:tcBorders>
              <w:top w:val="nil"/>
              <w:left w:val="nil"/>
              <w:bottom w:val="nil"/>
              <w:right w:val="nil"/>
            </w:tcBorders>
            <w:shd w:val="clear" w:color="auto" w:fill="auto"/>
            <w:noWrap/>
            <w:vAlign w:val="center"/>
            <w:hideMark/>
          </w:tcPr>
          <w:p w14:paraId="1DA868C0" w14:textId="77777777" w:rsidR="00AD365D" w:rsidRPr="00487834" w:rsidRDefault="00AD365D" w:rsidP="001747B1">
            <w:pPr>
              <w:pStyle w:val="NoSpacing"/>
            </w:pPr>
            <w:r w:rsidRPr="00487834">
              <w:t>54.39</w:t>
            </w:r>
          </w:p>
        </w:tc>
      </w:tr>
      <w:tr w:rsidR="00AD365D" w:rsidRPr="00487834" w14:paraId="1723DB4D" w14:textId="77777777" w:rsidTr="001747B1">
        <w:trPr>
          <w:trHeight w:val="300"/>
          <w:jc w:val="center"/>
        </w:trPr>
        <w:tc>
          <w:tcPr>
            <w:tcW w:w="1276" w:type="dxa"/>
            <w:tcBorders>
              <w:top w:val="nil"/>
              <w:left w:val="nil"/>
              <w:bottom w:val="nil"/>
              <w:right w:val="nil"/>
            </w:tcBorders>
            <w:shd w:val="clear" w:color="auto" w:fill="auto"/>
            <w:noWrap/>
            <w:hideMark/>
          </w:tcPr>
          <w:p w14:paraId="57493DCD" w14:textId="77777777" w:rsidR="00AD365D" w:rsidRPr="00487834" w:rsidRDefault="00AD365D" w:rsidP="001747B1">
            <w:pPr>
              <w:pStyle w:val="NoSpacing"/>
            </w:pPr>
            <w:r w:rsidRPr="00487834">
              <w:t>p-</w:t>
            </w:r>
            <w:proofErr w:type="spellStart"/>
            <w:r w:rsidRPr="00487834">
              <w:t>value</w:t>
            </w:r>
            <w:proofErr w:type="spellEnd"/>
          </w:p>
        </w:tc>
        <w:tc>
          <w:tcPr>
            <w:tcW w:w="1701" w:type="dxa"/>
            <w:tcBorders>
              <w:top w:val="nil"/>
              <w:left w:val="nil"/>
              <w:bottom w:val="nil"/>
              <w:right w:val="nil"/>
            </w:tcBorders>
            <w:shd w:val="clear" w:color="auto" w:fill="auto"/>
            <w:noWrap/>
            <w:vAlign w:val="center"/>
            <w:hideMark/>
          </w:tcPr>
          <w:p w14:paraId="2FD4C9C6" w14:textId="77777777" w:rsidR="00AD365D" w:rsidRPr="00487834" w:rsidRDefault="00AD365D" w:rsidP="001747B1">
            <w:pPr>
              <w:pStyle w:val="NoSpacing"/>
            </w:pPr>
            <w:r w:rsidRPr="00487834">
              <w:t>0.599</w:t>
            </w:r>
          </w:p>
        </w:tc>
        <w:tc>
          <w:tcPr>
            <w:tcW w:w="1418" w:type="dxa"/>
            <w:tcBorders>
              <w:top w:val="nil"/>
              <w:left w:val="nil"/>
              <w:bottom w:val="nil"/>
              <w:right w:val="nil"/>
            </w:tcBorders>
            <w:shd w:val="clear" w:color="auto" w:fill="auto"/>
            <w:noWrap/>
            <w:vAlign w:val="center"/>
            <w:hideMark/>
          </w:tcPr>
          <w:p w14:paraId="114D84C7" w14:textId="77777777" w:rsidR="00AD365D" w:rsidRPr="00487834" w:rsidRDefault="00AD365D" w:rsidP="001747B1">
            <w:pPr>
              <w:pStyle w:val="NoSpacing"/>
            </w:pPr>
            <w:r w:rsidRPr="00487834">
              <w:t>0.001</w:t>
            </w:r>
          </w:p>
        </w:tc>
        <w:tc>
          <w:tcPr>
            <w:tcW w:w="1275" w:type="dxa"/>
            <w:tcBorders>
              <w:top w:val="nil"/>
              <w:left w:val="nil"/>
              <w:bottom w:val="nil"/>
              <w:right w:val="nil"/>
            </w:tcBorders>
            <w:shd w:val="clear" w:color="auto" w:fill="auto"/>
            <w:noWrap/>
            <w:vAlign w:val="center"/>
            <w:hideMark/>
          </w:tcPr>
          <w:p w14:paraId="65EB8395" w14:textId="77777777" w:rsidR="00AD365D" w:rsidRPr="00487834" w:rsidRDefault="00AD365D" w:rsidP="001747B1">
            <w:pPr>
              <w:pStyle w:val="NoSpacing"/>
            </w:pPr>
            <w:r w:rsidRPr="00487834">
              <w:t>0</w:t>
            </w:r>
          </w:p>
        </w:tc>
      </w:tr>
      <w:tr w:rsidR="00AD365D" w:rsidRPr="00487834" w14:paraId="2DB950B8" w14:textId="77777777" w:rsidTr="001747B1">
        <w:trPr>
          <w:trHeight w:val="300"/>
          <w:jc w:val="center"/>
        </w:trPr>
        <w:tc>
          <w:tcPr>
            <w:tcW w:w="1276" w:type="dxa"/>
            <w:tcBorders>
              <w:top w:val="nil"/>
              <w:left w:val="nil"/>
              <w:bottom w:val="single" w:sz="4" w:space="0" w:color="auto"/>
              <w:right w:val="nil"/>
            </w:tcBorders>
            <w:shd w:val="clear" w:color="auto" w:fill="auto"/>
            <w:noWrap/>
            <w:vAlign w:val="center"/>
            <w:hideMark/>
          </w:tcPr>
          <w:p w14:paraId="55A0C93A" w14:textId="77777777" w:rsidR="00AD365D" w:rsidRPr="00487834" w:rsidRDefault="00AD365D" w:rsidP="001747B1">
            <w:pPr>
              <w:pStyle w:val="NoSpacing"/>
            </w:pPr>
            <w:r w:rsidRPr="00487834">
              <w:t>Model</w:t>
            </w:r>
          </w:p>
        </w:tc>
        <w:tc>
          <w:tcPr>
            <w:tcW w:w="1701" w:type="dxa"/>
            <w:tcBorders>
              <w:top w:val="nil"/>
              <w:left w:val="nil"/>
              <w:bottom w:val="single" w:sz="4" w:space="0" w:color="auto"/>
              <w:right w:val="nil"/>
            </w:tcBorders>
            <w:shd w:val="clear" w:color="auto" w:fill="auto"/>
            <w:noWrap/>
            <w:vAlign w:val="center"/>
            <w:hideMark/>
          </w:tcPr>
          <w:p w14:paraId="14548F03" w14:textId="77777777" w:rsidR="00AD365D" w:rsidRPr="00487834" w:rsidRDefault="00AD365D" w:rsidP="001747B1">
            <w:pPr>
              <w:pStyle w:val="NoSpacing"/>
            </w:pPr>
            <w:proofErr w:type="spellStart"/>
            <w:r w:rsidRPr="00487834">
              <w:t>Random</w:t>
            </w:r>
            <w:proofErr w:type="spellEnd"/>
            <w:r w:rsidRPr="00487834">
              <w:t xml:space="preserve"> </w:t>
            </w:r>
            <w:proofErr w:type="spellStart"/>
            <w:r w:rsidRPr="00487834">
              <w:t>effects</w:t>
            </w:r>
            <w:proofErr w:type="spellEnd"/>
          </w:p>
        </w:tc>
        <w:tc>
          <w:tcPr>
            <w:tcW w:w="1418" w:type="dxa"/>
            <w:tcBorders>
              <w:top w:val="nil"/>
              <w:left w:val="nil"/>
              <w:bottom w:val="single" w:sz="4" w:space="0" w:color="auto"/>
              <w:right w:val="nil"/>
            </w:tcBorders>
            <w:shd w:val="clear" w:color="auto" w:fill="auto"/>
            <w:noWrap/>
            <w:vAlign w:val="center"/>
            <w:hideMark/>
          </w:tcPr>
          <w:p w14:paraId="0AFF30DF"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p>
        </w:tc>
        <w:tc>
          <w:tcPr>
            <w:tcW w:w="1275" w:type="dxa"/>
            <w:tcBorders>
              <w:top w:val="nil"/>
              <w:left w:val="nil"/>
              <w:bottom w:val="single" w:sz="4" w:space="0" w:color="auto"/>
              <w:right w:val="nil"/>
            </w:tcBorders>
            <w:shd w:val="clear" w:color="auto" w:fill="auto"/>
            <w:noWrap/>
            <w:vAlign w:val="center"/>
            <w:hideMark/>
          </w:tcPr>
          <w:p w14:paraId="7B029920"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p>
        </w:tc>
      </w:tr>
    </w:tbl>
    <w:p w14:paraId="395A727E" w14:textId="77777777" w:rsidR="00AD365D" w:rsidRPr="00487834" w:rsidRDefault="00AD365D" w:rsidP="00AD365D">
      <w:pPr>
        <w:autoSpaceDE w:val="0"/>
        <w:autoSpaceDN w:val="0"/>
        <w:adjustRightInd w:val="0"/>
        <w:spacing w:line="300" w:lineRule="auto"/>
        <w:rPr>
          <w:rFonts w:eastAsiaTheme="minorHAnsi"/>
          <w:lang w:val="en-US" w:eastAsia="en-US"/>
        </w:rPr>
      </w:pPr>
    </w:p>
    <w:p w14:paraId="5DE728D5" w14:textId="77777777" w:rsidR="00AD365D" w:rsidRPr="00487834" w:rsidRDefault="00AD365D" w:rsidP="00AD365D">
      <w:pPr>
        <w:autoSpaceDE w:val="0"/>
        <w:autoSpaceDN w:val="0"/>
        <w:adjustRightInd w:val="0"/>
        <w:spacing w:line="300" w:lineRule="auto"/>
        <w:rPr>
          <w:rFonts w:eastAsiaTheme="minorHAnsi"/>
          <w:lang w:val="en-US" w:eastAsia="en-US"/>
        </w:rPr>
      </w:pPr>
    </w:p>
    <w:p w14:paraId="08166426" w14:textId="77777777" w:rsidR="00AD365D" w:rsidRPr="00487834" w:rsidRDefault="00AD365D" w:rsidP="00AD365D">
      <w:pPr>
        <w:autoSpaceDE w:val="0"/>
        <w:autoSpaceDN w:val="0"/>
        <w:adjustRightInd w:val="0"/>
        <w:spacing w:line="300" w:lineRule="auto"/>
        <w:rPr>
          <w:color w:val="0D0D0D"/>
          <w:shd w:val="clear" w:color="auto" w:fill="FFFFFF"/>
          <w:lang w:val="en-US"/>
        </w:rPr>
      </w:pPr>
      <w:r w:rsidRPr="00487834">
        <w:rPr>
          <w:rFonts w:eastAsiaTheme="minorHAnsi"/>
          <w:b/>
          <w:bCs/>
          <w:lang w:val="en-GB" w:eastAsia="en-US"/>
        </w:rPr>
        <w:lastRenderedPageBreak/>
        <w:t xml:space="preserve">Table 22 – </w:t>
      </w:r>
      <w:r w:rsidRPr="00487834">
        <w:rPr>
          <w:color w:val="0D0D0D"/>
          <w:shd w:val="clear" w:color="auto" w:fill="FFFFFF"/>
          <w:lang w:val="en-US"/>
        </w:rPr>
        <w:t>Hausman model specification test for the aggregated cost of equity model and quartile subsamples without lagged predictor</w:t>
      </w:r>
    </w:p>
    <w:p w14:paraId="5E0CC771" w14:textId="77777777" w:rsidR="00AD365D" w:rsidRPr="00487834" w:rsidRDefault="00AD365D" w:rsidP="00AD365D">
      <w:pPr>
        <w:autoSpaceDE w:val="0"/>
        <w:autoSpaceDN w:val="0"/>
        <w:adjustRightInd w:val="0"/>
        <w:spacing w:line="300" w:lineRule="auto"/>
        <w:ind w:firstLine="0"/>
        <w:rPr>
          <w:rFonts w:eastAsiaTheme="minorHAnsi"/>
          <w:lang w:val="en-US" w:eastAsia="en-US"/>
        </w:rPr>
      </w:pPr>
    </w:p>
    <w:tbl>
      <w:tblPr>
        <w:tblW w:w="7060" w:type="dxa"/>
        <w:jc w:val="center"/>
        <w:tblLook w:val="04A0" w:firstRow="1" w:lastRow="0" w:firstColumn="1" w:lastColumn="0" w:noHBand="0" w:noVBand="1"/>
      </w:tblPr>
      <w:tblGrid>
        <w:gridCol w:w="1020"/>
        <w:gridCol w:w="40"/>
        <w:gridCol w:w="1460"/>
        <w:gridCol w:w="40"/>
        <w:gridCol w:w="1460"/>
        <w:gridCol w:w="40"/>
        <w:gridCol w:w="1460"/>
        <w:gridCol w:w="40"/>
        <w:gridCol w:w="1460"/>
        <w:gridCol w:w="40"/>
      </w:tblGrid>
      <w:tr w:rsidR="00AD365D" w:rsidRPr="00487834" w14:paraId="32557D8C" w14:textId="77777777" w:rsidTr="001747B1">
        <w:trPr>
          <w:trHeight w:val="300"/>
          <w:jc w:val="center"/>
        </w:trPr>
        <w:tc>
          <w:tcPr>
            <w:tcW w:w="1060" w:type="dxa"/>
            <w:gridSpan w:val="2"/>
            <w:tcBorders>
              <w:top w:val="single" w:sz="4" w:space="0" w:color="auto"/>
              <w:left w:val="nil"/>
              <w:bottom w:val="single" w:sz="4" w:space="0" w:color="auto"/>
              <w:right w:val="nil"/>
            </w:tcBorders>
            <w:shd w:val="clear" w:color="auto" w:fill="auto"/>
            <w:noWrap/>
            <w:vAlign w:val="bottom"/>
            <w:hideMark/>
          </w:tcPr>
          <w:p w14:paraId="2B4C1863" w14:textId="77777777" w:rsidR="00AD365D" w:rsidRPr="00487834" w:rsidRDefault="00AD365D" w:rsidP="001747B1">
            <w:pPr>
              <w:pStyle w:val="NoSpacing"/>
              <w:rPr>
                <w:lang w:val="en-US"/>
              </w:rPr>
            </w:pPr>
            <w:r w:rsidRPr="00487834">
              <w:rPr>
                <w:lang w:val="en-US"/>
              </w:rPr>
              <w:t> </w:t>
            </w:r>
          </w:p>
        </w:tc>
        <w:tc>
          <w:tcPr>
            <w:tcW w:w="1500" w:type="dxa"/>
            <w:gridSpan w:val="2"/>
            <w:tcBorders>
              <w:top w:val="single" w:sz="4" w:space="0" w:color="auto"/>
              <w:left w:val="nil"/>
              <w:bottom w:val="single" w:sz="4" w:space="0" w:color="auto"/>
              <w:right w:val="nil"/>
            </w:tcBorders>
            <w:shd w:val="clear" w:color="auto" w:fill="auto"/>
            <w:noWrap/>
            <w:vAlign w:val="center"/>
            <w:hideMark/>
          </w:tcPr>
          <w:p w14:paraId="21505BBE" w14:textId="77777777" w:rsidR="00AD365D" w:rsidRPr="00487834" w:rsidRDefault="00AD365D" w:rsidP="001747B1">
            <w:pPr>
              <w:pStyle w:val="NoSpacing"/>
            </w:pPr>
            <w:proofErr w:type="spellStart"/>
            <w:r w:rsidRPr="00487834">
              <w:t>Entire</w:t>
            </w:r>
            <w:proofErr w:type="spellEnd"/>
            <w:r w:rsidRPr="00487834">
              <w:t xml:space="preserve"> </w:t>
            </w:r>
            <w:proofErr w:type="spellStart"/>
            <w:r w:rsidRPr="00487834">
              <w:t>dataset</w:t>
            </w:r>
            <w:proofErr w:type="spellEnd"/>
          </w:p>
        </w:tc>
        <w:tc>
          <w:tcPr>
            <w:tcW w:w="1500" w:type="dxa"/>
            <w:gridSpan w:val="2"/>
            <w:tcBorders>
              <w:top w:val="single" w:sz="4" w:space="0" w:color="auto"/>
              <w:left w:val="nil"/>
              <w:bottom w:val="single" w:sz="4" w:space="0" w:color="auto"/>
              <w:right w:val="nil"/>
            </w:tcBorders>
            <w:shd w:val="clear" w:color="auto" w:fill="auto"/>
            <w:noWrap/>
            <w:vAlign w:val="center"/>
            <w:hideMark/>
          </w:tcPr>
          <w:p w14:paraId="22DC5055" w14:textId="77777777" w:rsidR="00AD365D" w:rsidRPr="00487834" w:rsidRDefault="00AD365D" w:rsidP="001747B1">
            <w:pPr>
              <w:pStyle w:val="NoSpacing"/>
            </w:pPr>
            <w:r w:rsidRPr="00487834">
              <w:t>Top 25%</w:t>
            </w:r>
          </w:p>
        </w:tc>
        <w:tc>
          <w:tcPr>
            <w:tcW w:w="1500" w:type="dxa"/>
            <w:gridSpan w:val="2"/>
            <w:tcBorders>
              <w:top w:val="single" w:sz="4" w:space="0" w:color="auto"/>
              <w:left w:val="nil"/>
              <w:bottom w:val="single" w:sz="4" w:space="0" w:color="auto"/>
              <w:right w:val="nil"/>
            </w:tcBorders>
            <w:shd w:val="clear" w:color="auto" w:fill="auto"/>
            <w:noWrap/>
            <w:vAlign w:val="center"/>
            <w:hideMark/>
          </w:tcPr>
          <w:p w14:paraId="79028B37" w14:textId="77777777" w:rsidR="00AD365D" w:rsidRPr="00487834" w:rsidRDefault="00AD365D" w:rsidP="001747B1">
            <w:pPr>
              <w:pStyle w:val="NoSpacing"/>
            </w:pPr>
            <w:proofErr w:type="spellStart"/>
            <w:r w:rsidRPr="00487834">
              <w:t>Med</w:t>
            </w:r>
            <w:proofErr w:type="spellEnd"/>
            <w:r w:rsidRPr="00487834">
              <w:t>. 50%</w:t>
            </w:r>
          </w:p>
        </w:tc>
        <w:tc>
          <w:tcPr>
            <w:tcW w:w="1500" w:type="dxa"/>
            <w:gridSpan w:val="2"/>
            <w:tcBorders>
              <w:top w:val="single" w:sz="4" w:space="0" w:color="auto"/>
              <w:left w:val="nil"/>
              <w:bottom w:val="single" w:sz="4" w:space="0" w:color="auto"/>
              <w:right w:val="nil"/>
            </w:tcBorders>
            <w:shd w:val="clear" w:color="auto" w:fill="auto"/>
            <w:noWrap/>
            <w:vAlign w:val="center"/>
            <w:hideMark/>
          </w:tcPr>
          <w:p w14:paraId="71A3C1FA" w14:textId="77777777" w:rsidR="00AD365D" w:rsidRPr="00487834" w:rsidRDefault="00AD365D" w:rsidP="001747B1">
            <w:pPr>
              <w:pStyle w:val="NoSpacing"/>
            </w:pPr>
            <w:proofErr w:type="spellStart"/>
            <w:r w:rsidRPr="00487834">
              <w:t>Low</w:t>
            </w:r>
            <w:proofErr w:type="spellEnd"/>
            <w:r w:rsidRPr="00487834">
              <w:t xml:space="preserve"> 25%</w:t>
            </w:r>
          </w:p>
        </w:tc>
      </w:tr>
      <w:tr w:rsidR="00AD365D" w:rsidRPr="00487834" w14:paraId="59A67179" w14:textId="77777777" w:rsidTr="001747B1">
        <w:trPr>
          <w:gridAfter w:val="1"/>
          <w:wAfter w:w="40" w:type="dxa"/>
          <w:trHeight w:val="300"/>
          <w:jc w:val="center"/>
        </w:trPr>
        <w:tc>
          <w:tcPr>
            <w:tcW w:w="1020" w:type="dxa"/>
            <w:tcBorders>
              <w:top w:val="nil"/>
              <w:left w:val="nil"/>
              <w:bottom w:val="nil"/>
              <w:right w:val="nil"/>
            </w:tcBorders>
            <w:shd w:val="clear" w:color="auto" w:fill="auto"/>
            <w:noWrap/>
            <w:hideMark/>
          </w:tcPr>
          <w:p w14:paraId="14BE22BA" w14:textId="77777777" w:rsidR="00AD365D" w:rsidRPr="00487834" w:rsidRDefault="00AD365D" w:rsidP="001747B1">
            <w:pPr>
              <w:pStyle w:val="NoSpacing"/>
            </w:pPr>
            <w:proofErr w:type="spellStart"/>
            <w:r w:rsidRPr="00487834">
              <w:t>Chi</w:t>
            </w:r>
            <w:proofErr w:type="spellEnd"/>
            <w:r w:rsidRPr="00487834">
              <w:t>-Square</w:t>
            </w:r>
          </w:p>
        </w:tc>
        <w:tc>
          <w:tcPr>
            <w:tcW w:w="1500" w:type="dxa"/>
            <w:gridSpan w:val="2"/>
            <w:tcBorders>
              <w:top w:val="nil"/>
              <w:left w:val="nil"/>
              <w:bottom w:val="nil"/>
              <w:right w:val="nil"/>
            </w:tcBorders>
            <w:shd w:val="clear" w:color="auto" w:fill="auto"/>
            <w:noWrap/>
            <w:vAlign w:val="center"/>
            <w:hideMark/>
          </w:tcPr>
          <w:p w14:paraId="5D46FC41" w14:textId="77777777" w:rsidR="00AD365D" w:rsidRPr="00487834" w:rsidRDefault="00AD365D" w:rsidP="001747B1">
            <w:pPr>
              <w:pStyle w:val="NoSpacing"/>
            </w:pPr>
            <w:r w:rsidRPr="00487834">
              <w:t>69.260</w:t>
            </w:r>
          </w:p>
        </w:tc>
        <w:tc>
          <w:tcPr>
            <w:tcW w:w="1500" w:type="dxa"/>
            <w:gridSpan w:val="2"/>
            <w:tcBorders>
              <w:top w:val="nil"/>
              <w:left w:val="nil"/>
              <w:bottom w:val="nil"/>
              <w:right w:val="nil"/>
            </w:tcBorders>
            <w:shd w:val="clear" w:color="auto" w:fill="auto"/>
            <w:noWrap/>
            <w:vAlign w:val="center"/>
            <w:hideMark/>
          </w:tcPr>
          <w:p w14:paraId="07483CC8" w14:textId="77777777" w:rsidR="00AD365D" w:rsidRPr="00487834" w:rsidRDefault="00AD365D" w:rsidP="001747B1">
            <w:pPr>
              <w:pStyle w:val="NoSpacing"/>
            </w:pPr>
            <w:r w:rsidRPr="00487834">
              <w:t>16.840</w:t>
            </w:r>
          </w:p>
        </w:tc>
        <w:tc>
          <w:tcPr>
            <w:tcW w:w="1500" w:type="dxa"/>
            <w:gridSpan w:val="2"/>
            <w:tcBorders>
              <w:top w:val="nil"/>
              <w:left w:val="nil"/>
              <w:bottom w:val="nil"/>
              <w:right w:val="nil"/>
            </w:tcBorders>
            <w:shd w:val="clear" w:color="auto" w:fill="auto"/>
            <w:noWrap/>
            <w:vAlign w:val="center"/>
            <w:hideMark/>
          </w:tcPr>
          <w:p w14:paraId="79507F19" w14:textId="77777777" w:rsidR="00AD365D" w:rsidRPr="00487834" w:rsidRDefault="00AD365D" w:rsidP="001747B1">
            <w:pPr>
              <w:pStyle w:val="NoSpacing"/>
            </w:pPr>
            <w:r w:rsidRPr="00487834">
              <w:t>17.850</w:t>
            </w:r>
          </w:p>
        </w:tc>
        <w:tc>
          <w:tcPr>
            <w:tcW w:w="1500" w:type="dxa"/>
            <w:gridSpan w:val="2"/>
            <w:tcBorders>
              <w:top w:val="nil"/>
              <w:left w:val="nil"/>
              <w:bottom w:val="nil"/>
              <w:right w:val="nil"/>
            </w:tcBorders>
            <w:shd w:val="clear" w:color="auto" w:fill="auto"/>
            <w:noWrap/>
            <w:vAlign w:val="center"/>
            <w:hideMark/>
          </w:tcPr>
          <w:p w14:paraId="2028D600" w14:textId="77777777" w:rsidR="00AD365D" w:rsidRPr="00487834" w:rsidRDefault="00AD365D" w:rsidP="001747B1">
            <w:pPr>
              <w:pStyle w:val="NoSpacing"/>
            </w:pPr>
            <w:r w:rsidRPr="00487834">
              <w:t>24.380</w:t>
            </w:r>
          </w:p>
        </w:tc>
      </w:tr>
      <w:tr w:rsidR="00AD365D" w:rsidRPr="00487834" w14:paraId="55A93D29" w14:textId="77777777" w:rsidTr="001747B1">
        <w:trPr>
          <w:trHeight w:val="300"/>
          <w:jc w:val="center"/>
        </w:trPr>
        <w:tc>
          <w:tcPr>
            <w:tcW w:w="1060" w:type="dxa"/>
            <w:gridSpan w:val="2"/>
            <w:tcBorders>
              <w:top w:val="nil"/>
              <w:left w:val="nil"/>
              <w:bottom w:val="nil"/>
              <w:right w:val="nil"/>
            </w:tcBorders>
            <w:shd w:val="clear" w:color="auto" w:fill="auto"/>
            <w:noWrap/>
            <w:hideMark/>
          </w:tcPr>
          <w:p w14:paraId="615C26FE" w14:textId="77777777" w:rsidR="00AD365D" w:rsidRPr="00487834" w:rsidRDefault="00AD365D" w:rsidP="001747B1">
            <w:pPr>
              <w:pStyle w:val="NoSpacing"/>
            </w:pPr>
            <w:r w:rsidRPr="00487834">
              <w:t>p-</w:t>
            </w:r>
            <w:proofErr w:type="spellStart"/>
            <w:r w:rsidRPr="00487834">
              <w:t>value</w:t>
            </w:r>
            <w:proofErr w:type="spellEnd"/>
          </w:p>
        </w:tc>
        <w:tc>
          <w:tcPr>
            <w:tcW w:w="1500" w:type="dxa"/>
            <w:gridSpan w:val="2"/>
            <w:tcBorders>
              <w:top w:val="nil"/>
              <w:left w:val="nil"/>
              <w:bottom w:val="nil"/>
              <w:right w:val="nil"/>
            </w:tcBorders>
            <w:shd w:val="clear" w:color="auto" w:fill="auto"/>
            <w:noWrap/>
            <w:vAlign w:val="center"/>
            <w:hideMark/>
          </w:tcPr>
          <w:p w14:paraId="2750B7AA" w14:textId="77777777" w:rsidR="00AD365D" w:rsidRPr="00487834" w:rsidRDefault="00AD365D" w:rsidP="001747B1">
            <w:pPr>
              <w:pStyle w:val="NoSpacing"/>
            </w:pPr>
            <w:r w:rsidRPr="00487834">
              <w:t>0</w:t>
            </w:r>
          </w:p>
        </w:tc>
        <w:tc>
          <w:tcPr>
            <w:tcW w:w="1500" w:type="dxa"/>
            <w:gridSpan w:val="2"/>
            <w:tcBorders>
              <w:top w:val="nil"/>
              <w:left w:val="nil"/>
              <w:bottom w:val="nil"/>
              <w:right w:val="nil"/>
            </w:tcBorders>
            <w:shd w:val="clear" w:color="auto" w:fill="auto"/>
            <w:noWrap/>
            <w:vAlign w:val="center"/>
            <w:hideMark/>
          </w:tcPr>
          <w:p w14:paraId="5EA2C2FB" w14:textId="77777777" w:rsidR="00AD365D" w:rsidRPr="00487834" w:rsidRDefault="00AD365D" w:rsidP="001747B1">
            <w:pPr>
              <w:pStyle w:val="NoSpacing"/>
            </w:pPr>
            <w:r w:rsidRPr="00487834">
              <w:t>0.019</w:t>
            </w:r>
          </w:p>
        </w:tc>
        <w:tc>
          <w:tcPr>
            <w:tcW w:w="1500" w:type="dxa"/>
            <w:gridSpan w:val="2"/>
            <w:tcBorders>
              <w:top w:val="nil"/>
              <w:left w:val="nil"/>
              <w:bottom w:val="nil"/>
              <w:right w:val="nil"/>
            </w:tcBorders>
            <w:shd w:val="clear" w:color="auto" w:fill="auto"/>
            <w:noWrap/>
            <w:vAlign w:val="center"/>
            <w:hideMark/>
          </w:tcPr>
          <w:p w14:paraId="251F094D" w14:textId="77777777" w:rsidR="00AD365D" w:rsidRPr="00487834" w:rsidRDefault="00AD365D" w:rsidP="001747B1">
            <w:pPr>
              <w:pStyle w:val="NoSpacing"/>
            </w:pPr>
            <w:r w:rsidRPr="00487834">
              <w:t>0.013</w:t>
            </w:r>
          </w:p>
        </w:tc>
        <w:tc>
          <w:tcPr>
            <w:tcW w:w="1500" w:type="dxa"/>
            <w:gridSpan w:val="2"/>
            <w:tcBorders>
              <w:top w:val="nil"/>
              <w:left w:val="nil"/>
              <w:bottom w:val="nil"/>
              <w:right w:val="nil"/>
            </w:tcBorders>
            <w:shd w:val="clear" w:color="auto" w:fill="auto"/>
            <w:noWrap/>
            <w:vAlign w:val="center"/>
            <w:hideMark/>
          </w:tcPr>
          <w:p w14:paraId="32B49AF3" w14:textId="77777777" w:rsidR="00AD365D" w:rsidRPr="00487834" w:rsidRDefault="00AD365D" w:rsidP="001747B1">
            <w:pPr>
              <w:pStyle w:val="NoSpacing"/>
            </w:pPr>
            <w:r w:rsidRPr="00487834">
              <w:t>0</w:t>
            </w:r>
          </w:p>
        </w:tc>
      </w:tr>
      <w:tr w:rsidR="00AD365D" w:rsidRPr="00487834" w14:paraId="3C891F91" w14:textId="77777777" w:rsidTr="001747B1">
        <w:trPr>
          <w:trHeight w:val="300"/>
          <w:jc w:val="center"/>
        </w:trPr>
        <w:tc>
          <w:tcPr>
            <w:tcW w:w="1060" w:type="dxa"/>
            <w:gridSpan w:val="2"/>
            <w:tcBorders>
              <w:top w:val="nil"/>
              <w:left w:val="nil"/>
              <w:bottom w:val="single" w:sz="4" w:space="0" w:color="auto"/>
              <w:right w:val="nil"/>
            </w:tcBorders>
            <w:shd w:val="clear" w:color="auto" w:fill="auto"/>
            <w:noWrap/>
            <w:hideMark/>
          </w:tcPr>
          <w:p w14:paraId="589C226A" w14:textId="77777777" w:rsidR="00AD365D" w:rsidRPr="00487834" w:rsidRDefault="00AD365D" w:rsidP="001747B1">
            <w:pPr>
              <w:pStyle w:val="NoSpacing"/>
            </w:pPr>
            <w:r w:rsidRPr="00487834">
              <w:t>Model</w:t>
            </w:r>
          </w:p>
        </w:tc>
        <w:tc>
          <w:tcPr>
            <w:tcW w:w="1500" w:type="dxa"/>
            <w:gridSpan w:val="2"/>
            <w:tcBorders>
              <w:top w:val="nil"/>
              <w:left w:val="nil"/>
              <w:bottom w:val="single" w:sz="4" w:space="0" w:color="auto"/>
              <w:right w:val="nil"/>
            </w:tcBorders>
            <w:shd w:val="clear" w:color="auto" w:fill="auto"/>
            <w:noWrap/>
            <w:vAlign w:val="center"/>
            <w:hideMark/>
          </w:tcPr>
          <w:p w14:paraId="78E11226"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p>
        </w:tc>
        <w:tc>
          <w:tcPr>
            <w:tcW w:w="1500" w:type="dxa"/>
            <w:gridSpan w:val="2"/>
            <w:tcBorders>
              <w:top w:val="nil"/>
              <w:left w:val="nil"/>
              <w:bottom w:val="single" w:sz="4" w:space="0" w:color="auto"/>
              <w:right w:val="nil"/>
            </w:tcBorders>
            <w:shd w:val="clear" w:color="auto" w:fill="auto"/>
            <w:noWrap/>
            <w:vAlign w:val="center"/>
            <w:hideMark/>
          </w:tcPr>
          <w:p w14:paraId="6D822D3E"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p>
        </w:tc>
        <w:tc>
          <w:tcPr>
            <w:tcW w:w="1500" w:type="dxa"/>
            <w:gridSpan w:val="2"/>
            <w:tcBorders>
              <w:top w:val="nil"/>
              <w:left w:val="nil"/>
              <w:bottom w:val="single" w:sz="4" w:space="0" w:color="auto"/>
              <w:right w:val="nil"/>
            </w:tcBorders>
            <w:shd w:val="clear" w:color="auto" w:fill="auto"/>
            <w:noWrap/>
            <w:vAlign w:val="center"/>
            <w:hideMark/>
          </w:tcPr>
          <w:p w14:paraId="360EA3E0"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p>
        </w:tc>
        <w:tc>
          <w:tcPr>
            <w:tcW w:w="1500" w:type="dxa"/>
            <w:gridSpan w:val="2"/>
            <w:tcBorders>
              <w:top w:val="nil"/>
              <w:left w:val="nil"/>
              <w:bottom w:val="single" w:sz="4" w:space="0" w:color="auto"/>
              <w:right w:val="nil"/>
            </w:tcBorders>
            <w:shd w:val="clear" w:color="auto" w:fill="auto"/>
            <w:noWrap/>
            <w:vAlign w:val="center"/>
            <w:hideMark/>
          </w:tcPr>
          <w:p w14:paraId="6AB1A80E"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p>
        </w:tc>
      </w:tr>
    </w:tbl>
    <w:p w14:paraId="738CC887" w14:textId="77777777" w:rsidR="00AD365D" w:rsidRPr="00487834" w:rsidRDefault="00AD365D" w:rsidP="00AD365D">
      <w:pPr>
        <w:autoSpaceDE w:val="0"/>
        <w:autoSpaceDN w:val="0"/>
        <w:adjustRightInd w:val="0"/>
        <w:spacing w:line="300" w:lineRule="auto"/>
        <w:rPr>
          <w:rFonts w:eastAsiaTheme="minorHAnsi"/>
          <w:lang w:val="en-US" w:eastAsia="en-US"/>
        </w:rPr>
      </w:pPr>
    </w:p>
    <w:p w14:paraId="7AF5CE7D" w14:textId="77777777" w:rsidR="00AD365D" w:rsidRPr="00487834" w:rsidRDefault="00AD365D" w:rsidP="00AD365D">
      <w:pPr>
        <w:autoSpaceDE w:val="0"/>
        <w:autoSpaceDN w:val="0"/>
        <w:adjustRightInd w:val="0"/>
        <w:spacing w:line="300" w:lineRule="auto"/>
        <w:rPr>
          <w:rFonts w:eastAsiaTheme="minorHAnsi"/>
          <w:lang w:val="en-US" w:eastAsia="en-US"/>
        </w:rPr>
      </w:pPr>
    </w:p>
    <w:p w14:paraId="42FF7D62" w14:textId="77777777" w:rsidR="00AD365D" w:rsidRPr="00487834" w:rsidRDefault="00AD365D" w:rsidP="00AD365D">
      <w:pPr>
        <w:autoSpaceDE w:val="0"/>
        <w:autoSpaceDN w:val="0"/>
        <w:adjustRightInd w:val="0"/>
        <w:spacing w:line="300" w:lineRule="auto"/>
        <w:rPr>
          <w:color w:val="0D0D0D"/>
          <w:shd w:val="clear" w:color="auto" w:fill="FFFFFF"/>
          <w:lang w:val="en-US"/>
        </w:rPr>
      </w:pPr>
      <w:r w:rsidRPr="00487834">
        <w:rPr>
          <w:rFonts w:eastAsiaTheme="minorHAnsi"/>
          <w:b/>
          <w:bCs/>
          <w:lang w:val="en-GB" w:eastAsia="en-US"/>
        </w:rPr>
        <w:t xml:space="preserve">Table 23 – </w:t>
      </w:r>
      <w:r w:rsidRPr="00487834">
        <w:rPr>
          <w:color w:val="0D0D0D"/>
          <w:shd w:val="clear" w:color="auto" w:fill="FFFFFF"/>
          <w:lang w:val="en-US"/>
        </w:rPr>
        <w:t>Hausman model specification test for the cost of equity model for country’s subsamples without lagged predictor</w:t>
      </w:r>
    </w:p>
    <w:p w14:paraId="5E79E8B3" w14:textId="77777777" w:rsidR="00AD365D" w:rsidRPr="00487834" w:rsidRDefault="00AD365D" w:rsidP="00AD365D">
      <w:pPr>
        <w:autoSpaceDE w:val="0"/>
        <w:autoSpaceDN w:val="0"/>
        <w:adjustRightInd w:val="0"/>
        <w:spacing w:line="300" w:lineRule="auto"/>
        <w:ind w:firstLine="0"/>
        <w:rPr>
          <w:rFonts w:eastAsiaTheme="minorHAnsi"/>
          <w:lang w:val="en-US" w:eastAsia="en-US"/>
        </w:rPr>
      </w:pPr>
    </w:p>
    <w:tbl>
      <w:tblPr>
        <w:tblW w:w="5702" w:type="dxa"/>
        <w:jc w:val="center"/>
        <w:tblLook w:val="04A0" w:firstRow="1" w:lastRow="0" w:firstColumn="1" w:lastColumn="0" w:noHBand="0" w:noVBand="1"/>
      </w:tblPr>
      <w:tblGrid>
        <w:gridCol w:w="1202"/>
        <w:gridCol w:w="1500"/>
        <w:gridCol w:w="1500"/>
        <w:gridCol w:w="1500"/>
      </w:tblGrid>
      <w:tr w:rsidR="00AD365D" w:rsidRPr="00487834" w14:paraId="182C69C9" w14:textId="77777777" w:rsidTr="001747B1">
        <w:trPr>
          <w:trHeight w:val="300"/>
          <w:jc w:val="center"/>
        </w:trPr>
        <w:tc>
          <w:tcPr>
            <w:tcW w:w="1202" w:type="dxa"/>
            <w:tcBorders>
              <w:top w:val="single" w:sz="4" w:space="0" w:color="auto"/>
              <w:left w:val="nil"/>
              <w:bottom w:val="single" w:sz="4" w:space="0" w:color="auto"/>
              <w:right w:val="nil"/>
            </w:tcBorders>
            <w:shd w:val="clear" w:color="auto" w:fill="auto"/>
            <w:noWrap/>
            <w:vAlign w:val="bottom"/>
            <w:hideMark/>
          </w:tcPr>
          <w:p w14:paraId="05E0FB8A" w14:textId="77777777" w:rsidR="00AD365D" w:rsidRPr="00487834" w:rsidRDefault="00AD365D" w:rsidP="001747B1">
            <w:pPr>
              <w:pStyle w:val="NoSpacing"/>
              <w:rPr>
                <w:lang w:val="en-US"/>
              </w:rPr>
            </w:pPr>
            <w:r w:rsidRPr="00487834">
              <w:rPr>
                <w:lang w:val="en-US"/>
              </w:rPr>
              <w:t> </w:t>
            </w:r>
          </w:p>
        </w:tc>
        <w:tc>
          <w:tcPr>
            <w:tcW w:w="1500" w:type="dxa"/>
            <w:tcBorders>
              <w:top w:val="single" w:sz="4" w:space="0" w:color="auto"/>
              <w:left w:val="nil"/>
              <w:bottom w:val="single" w:sz="4" w:space="0" w:color="auto"/>
              <w:right w:val="nil"/>
            </w:tcBorders>
            <w:shd w:val="clear" w:color="auto" w:fill="auto"/>
            <w:noWrap/>
            <w:vAlign w:val="center"/>
            <w:hideMark/>
          </w:tcPr>
          <w:p w14:paraId="231E8ED0" w14:textId="77777777" w:rsidR="00AD365D" w:rsidRPr="00487834" w:rsidRDefault="00AD365D" w:rsidP="001747B1">
            <w:pPr>
              <w:pStyle w:val="NoSpacing"/>
            </w:pPr>
            <w:r w:rsidRPr="00487834">
              <w:t>Russia</w:t>
            </w:r>
          </w:p>
        </w:tc>
        <w:tc>
          <w:tcPr>
            <w:tcW w:w="1500" w:type="dxa"/>
            <w:tcBorders>
              <w:top w:val="single" w:sz="4" w:space="0" w:color="auto"/>
              <w:left w:val="nil"/>
              <w:bottom w:val="single" w:sz="4" w:space="0" w:color="auto"/>
              <w:right w:val="nil"/>
            </w:tcBorders>
            <w:shd w:val="clear" w:color="auto" w:fill="auto"/>
            <w:noWrap/>
            <w:vAlign w:val="center"/>
            <w:hideMark/>
          </w:tcPr>
          <w:p w14:paraId="66598572" w14:textId="77777777" w:rsidR="00AD365D" w:rsidRPr="00487834" w:rsidRDefault="00AD365D" w:rsidP="001747B1">
            <w:pPr>
              <w:pStyle w:val="NoSpacing"/>
            </w:pPr>
            <w:proofErr w:type="spellStart"/>
            <w:r w:rsidRPr="00487834">
              <w:t>Brazil</w:t>
            </w:r>
            <w:proofErr w:type="spellEnd"/>
          </w:p>
        </w:tc>
        <w:tc>
          <w:tcPr>
            <w:tcW w:w="1500" w:type="dxa"/>
            <w:tcBorders>
              <w:top w:val="single" w:sz="4" w:space="0" w:color="auto"/>
              <w:left w:val="nil"/>
              <w:bottom w:val="single" w:sz="4" w:space="0" w:color="auto"/>
              <w:right w:val="nil"/>
            </w:tcBorders>
            <w:shd w:val="clear" w:color="auto" w:fill="auto"/>
            <w:noWrap/>
            <w:vAlign w:val="center"/>
            <w:hideMark/>
          </w:tcPr>
          <w:p w14:paraId="136155FC" w14:textId="77777777" w:rsidR="00AD365D" w:rsidRPr="00487834" w:rsidRDefault="00AD365D" w:rsidP="001747B1">
            <w:pPr>
              <w:pStyle w:val="NoSpacing"/>
            </w:pPr>
            <w:r w:rsidRPr="00487834">
              <w:t>South Africa</w:t>
            </w:r>
          </w:p>
        </w:tc>
      </w:tr>
      <w:tr w:rsidR="00AD365D" w:rsidRPr="00487834" w14:paraId="2FD0AB42" w14:textId="77777777" w:rsidTr="001747B1">
        <w:trPr>
          <w:trHeight w:val="300"/>
          <w:jc w:val="center"/>
        </w:trPr>
        <w:tc>
          <w:tcPr>
            <w:tcW w:w="1202" w:type="dxa"/>
            <w:tcBorders>
              <w:top w:val="nil"/>
              <w:left w:val="nil"/>
              <w:bottom w:val="nil"/>
              <w:right w:val="nil"/>
            </w:tcBorders>
            <w:shd w:val="clear" w:color="auto" w:fill="auto"/>
            <w:noWrap/>
            <w:hideMark/>
          </w:tcPr>
          <w:p w14:paraId="7AE2F133" w14:textId="77777777" w:rsidR="00AD365D" w:rsidRPr="00487834" w:rsidRDefault="00AD365D" w:rsidP="001747B1">
            <w:pPr>
              <w:pStyle w:val="NoSpacing"/>
            </w:pPr>
            <w:proofErr w:type="spellStart"/>
            <w:r w:rsidRPr="00487834">
              <w:t>Chi</w:t>
            </w:r>
            <w:proofErr w:type="spellEnd"/>
            <w:r w:rsidRPr="00487834">
              <w:t>-Square</w:t>
            </w:r>
          </w:p>
        </w:tc>
        <w:tc>
          <w:tcPr>
            <w:tcW w:w="1500" w:type="dxa"/>
            <w:tcBorders>
              <w:top w:val="nil"/>
              <w:left w:val="nil"/>
              <w:bottom w:val="nil"/>
              <w:right w:val="nil"/>
            </w:tcBorders>
            <w:shd w:val="clear" w:color="auto" w:fill="auto"/>
            <w:noWrap/>
            <w:vAlign w:val="center"/>
            <w:hideMark/>
          </w:tcPr>
          <w:p w14:paraId="6F4C1FAB" w14:textId="77777777" w:rsidR="00AD365D" w:rsidRPr="00487834" w:rsidRDefault="00AD365D" w:rsidP="001747B1">
            <w:pPr>
              <w:pStyle w:val="NoSpacing"/>
            </w:pPr>
            <w:r w:rsidRPr="00487834">
              <w:t>3.070</w:t>
            </w:r>
          </w:p>
        </w:tc>
        <w:tc>
          <w:tcPr>
            <w:tcW w:w="1500" w:type="dxa"/>
            <w:tcBorders>
              <w:top w:val="nil"/>
              <w:left w:val="nil"/>
              <w:bottom w:val="nil"/>
              <w:right w:val="nil"/>
            </w:tcBorders>
            <w:shd w:val="clear" w:color="auto" w:fill="auto"/>
            <w:noWrap/>
            <w:vAlign w:val="center"/>
            <w:hideMark/>
          </w:tcPr>
          <w:p w14:paraId="5667E3C6" w14:textId="77777777" w:rsidR="00AD365D" w:rsidRPr="00487834" w:rsidRDefault="00AD365D" w:rsidP="001747B1">
            <w:pPr>
              <w:pStyle w:val="NoSpacing"/>
            </w:pPr>
            <w:r w:rsidRPr="00487834">
              <w:t>51.660</w:t>
            </w:r>
          </w:p>
        </w:tc>
        <w:tc>
          <w:tcPr>
            <w:tcW w:w="1500" w:type="dxa"/>
            <w:tcBorders>
              <w:top w:val="nil"/>
              <w:left w:val="nil"/>
              <w:bottom w:val="nil"/>
              <w:right w:val="nil"/>
            </w:tcBorders>
            <w:shd w:val="clear" w:color="auto" w:fill="auto"/>
            <w:noWrap/>
            <w:vAlign w:val="center"/>
            <w:hideMark/>
          </w:tcPr>
          <w:p w14:paraId="6A99F81F" w14:textId="77777777" w:rsidR="00AD365D" w:rsidRPr="00487834" w:rsidRDefault="00AD365D" w:rsidP="001747B1">
            <w:pPr>
              <w:pStyle w:val="NoSpacing"/>
            </w:pPr>
            <w:r w:rsidRPr="00487834">
              <w:t>19.930</w:t>
            </w:r>
          </w:p>
        </w:tc>
      </w:tr>
      <w:tr w:rsidR="00AD365D" w:rsidRPr="00487834" w14:paraId="31921DDB" w14:textId="77777777" w:rsidTr="001747B1">
        <w:trPr>
          <w:trHeight w:val="300"/>
          <w:jc w:val="center"/>
        </w:trPr>
        <w:tc>
          <w:tcPr>
            <w:tcW w:w="1202" w:type="dxa"/>
            <w:tcBorders>
              <w:top w:val="nil"/>
              <w:left w:val="nil"/>
              <w:bottom w:val="nil"/>
              <w:right w:val="nil"/>
            </w:tcBorders>
            <w:shd w:val="clear" w:color="auto" w:fill="auto"/>
            <w:noWrap/>
            <w:hideMark/>
          </w:tcPr>
          <w:p w14:paraId="7346CF53" w14:textId="77777777" w:rsidR="00AD365D" w:rsidRPr="00487834" w:rsidRDefault="00AD365D" w:rsidP="001747B1">
            <w:pPr>
              <w:pStyle w:val="NoSpacing"/>
            </w:pPr>
            <w:r w:rsidRPr="00487834">
              <w:t>p-</w:t>
            </w:r>
            <w:proofErr w:type="spellStart"/>
            <w:r w:rsidRPr="00487834">
              <w:t>value</w:t>
            </w:r>
            <w:proofErr w:type="spellEnd"/>
          </w:p>
        </w:tc>
        <w:tc>
          <w:tcPr>
            <w:tcW w:w="1500" w:type="dxa"/>
            <w:tcBorders>
              <w:top w:val="nil"/>
              <w:left w:val="nil"/>
              <w:bottom w:val="nil"/>
              <w:right w:val="nil"/>
            </w:tcBorders>
            <w:shd w:val="clear" w:color="auto" w:fill="auto"/>
            <w:noWrap/>
            <w:vAlign w:val="center"/>
            <w:hideMark/>
          </w:tcPr>
          <w:p w14:paraId="7E8CA6DF" w14:textId="77777777" w:rsidR="00AD365D" w:rsidRPr="00487834" w:rsidRDefault="00AD365D" w:rsidP="001747B1">
            <w:pPr>
              <w:pStyle w:val="NoSpacing"/>
            </w:pPr>
            <w:r w:rsidRPr="00487834">
              <w:t>0.879</w:t>
            </w:r>
          </w:p>
        </w:tc>
        <w:tc>
          <w:tcPr>
            <w:tcW w:w="1500" w:type="dxa"/>
            <w:tcBorders>
              <w:top w:val="nil"/>
              <w:left w:val="nil"/>
              <w:bottom w:val="nil"/>
              <w:right w:val="nil"/>
            </w:tcBorders>
            <w:shd w:val="clear" w:color="auto" w:fill="auto"/>
            <w:noWrap/>
            <w:vAlign w:val="center"/>
            <w:hideMark/>
          </w:tcPr>
          <w:p w14:paraId="74EAC5A6" w14:textId="77777777" w:rsidR="00AD365D" w:rsidRPr="00487834" w:rsidRDefault="00AD365D" w:rsidP="001747B1">
            <w:pPr>
              <w:pStyle w:val="NoSpacing"/>
            </w:pPr>
            <w:r w:rsidRPr="00487834">
              <w:t>0</w:t>
            </w:r>
          </w:p>
        </w:tc>
        <w:tc>
          <w:tcPr>
            <w:tcW w:w="1500" w:type="dxa"/>
            <w:tcBorders>
              <w:top w:val="nil"/>
              <w:left w:val="nil"/>
              <w:bottom w:val="nil"/>
              <w:right w:val="nil"/>
            </w:tcBorders>
            <w:shd w:val="clear" w:color="auto" w:fill="auto"/>
            <w:noWrap/>
            <w:vAlign w:val="center"/>
            <w:hideMark/>
          </w:tcPr>
          <w:p w14:paraId="6DAD6F42" w14:textId="77777777" w:rsidR="00AD365D" w:rsidRPr="00487834" w:rsidRDefault="00AD365D" w:rsidP="001747B1">
            <w:pPr>
              <w:pStyle w:val="NoSpacing"/>
            </w:pPr>
            <w:r w:rsidRPr="00487834">
              <w:t>0.006</w:t>
            </w:r>
          </w:p>
        </w:tc>
      </w:tr>
      <w:tr w:rsidR="00AD365D" w:rsidRPr="00487834" w14:paraId="411F5395" w14:textId="77777777" w:rsidTr="001747B1">
        <w:trPr>
          <w:trHeight w:val="300"/>
          <w:jc w:val="center"/>
        </w:trPr>
        <w:tc>
          <w:tcPr>
            <w:tcW w:w="1202" w:type="dxa"/>
            <w:tcBorders>
              <w:top w:val="nil"/>
              <w:left w:val="nil"/>
              <w:bottom w:val="single" w:sz="4" w:space="0" w:color="auto"/>
              <w:right w:val="nil"/>
            </w:tcBorders>
            <w:shd w:val="clear" w:color="auto" w:fill="auto"/>
            <w:noWrap/>
            <w:vAlign w:val="center"/>
            <w:hideMark/>
          </w:tcPr>
          <w:p w14:paraId="4D901D2B" w14:textId="77777777" w:rsidR="00AD365D" w:rsidRPr="00487834" w:rsidRDefault="00AD365D" w:rsidP="001747B1">
            <w:pPr>
              <w:pStyle w:val="NoSpacing"/>
            </w:pPr>
            <w:r w:rsidRPr="00487834">
              <w:t>Model</w:t>
            </w:r>
          </w:p>
        </w:tc>
        <w:tc>
          <w:tcPr>
            <w:tcW w:w="1500" w:type="dxa"/>
            <w:tcBorders>
              <w:top w:val="nil"/>
              <w:left w:val="nil"/>
              <w:bottom w:val="single" w:sz="4" w:space="0" w:color="auto"/>
              <w:right w:val="nil"/>
            </w:tcBorders>
            <w:shd w:val="clear" w:color="auto" w:fill="auto"/>
            <w:vAlign w:val="center"/>
            <w:hideMark/>
          </w:tcPr>
          <w:p w14:paraId="2CBBE6D2" w14:textId="77777777" w:rsidR="00AD365D" w:rsidRPr="00487834" w:rsidRDefault="00AD365D" w:rsidP="001747B1">
            <w:pPr>
              <w:pStyle w:val="NoSpacing"/>
            </w:pPr>
            <w:proofErr w:type="spellStart"/>
            <w:r w:rsidRPr="00487834">
              <w:t>Random</w:t>
            </w:r>
            <w:proofErr w:type="spellEnd"/>
            <w:r w:rsidRPr="00487834">
              <w:t xml:space="preserve"> </w:t>
            </w:r>
            <w:proofErr w:type="spellStart"/>
            <w:r w:rsidRPr="00487834">
              <w:t>effects</w:t>
            </w:r>
            <w:proofErr w:type="spellEnd"/>
          </w:p>
        </w:tc>
        <w:tc>
          <w:tcPr>
            <w:tcW w:w="1500" w:type="dxa"/>
            <w:tcBorders>
              <w:top w:val="nil"/>
              <w:left w:val="nil"/>
              <w:bottom w:val="single" w:sz="4" w:space="0" w:color="auto"/>
              <w:right w:val="nil"/>
            </w:tcBorders>
            <w:shd w:val="clear" w:color="auto" w:fill="auto"/>
            <w:vAlign w:val="center"/>
            <w:hideMark/>
          </w:tcPr>
          <w:p w14:paraId="3F92C4DB"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p>
        </w:tc>
        <w:tc>
          <w:tcPr>
            <w:tcW w:w="1500" w:type="dxa"/>
            <w:tcBorders>
              <w:top w:val="nil"/>
              <w:left w:val="nil"/>
              <w:bottom w:val="single" w:sz="4" w:space="0" w:color="auto"/>
              <w:right w:val="nil"/>
            </w:tcBorders>
            <w:shd w:val="clear" w:color="auto" w:fill="auto"/>
            <w:noWrap/>
            <w:vAlign w:val="center"/>
            <w:hideMark/>
          </w:tcPr>
          <w:p w14:paraId="7C96D2BB"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p>
        </w:tc>
      </w:tr>
    </w:tbl>
    <w:p w14:paraId="69D65A83" w14:textId="77777777" w:rsidR="00AD365D" w:rsidRPr="00487834" w:rsidRDefault="00AD365D" w:rsidP="00AD365D">
      <w:pPr>
        <w:autoSpaceDE w:val="0"/>
        <w:autoSpaceDN w:val="0"/>
        <w:adjustRightInd w:val="0"/>
        <w:spacing w:line="300" w:lineRule="auto"/>
        <w:rPr>
          <w:rFonts w:eastAsiaTheme="minorHAnsi"/>
          <w:lang w:val="en-US" w:eastAsia="en-US"/>
        </w:rPr>
      </w:pPr>
    </w:p>
    <w:p w14:paraId="5F5B3632" w14:textId="77777777" w:rsidR="00AD365D" w:rsidRPr="00487834" w:rsidRDefault="00AD365D" w:rsidP="00AD365D">
      <w:pPr>
        <w:autoSpaceDE w:val="0"/>
        <w:autoSpaceDN w:val="0"/>
        <w:adjustRightInd w:val="0"/>
        <w:spacing w:line="300" w:lineRule="auto"/>
        <w:rPr>
          <w:color w:val="000000"/>
          <w:lang w:val="en-US"/>
        </w:rPr>
      </w:pPr>
    </w:p>
    <w:p w14:paraId="493AF780" w14:textId="77777777" w:rsidR="00AD365D" w:rsidRPr="00487834" w:rsidRDefault="00AD365D" w:rsidP="00AD365D">
      <w:pPr>
        <w:autoSpaceDE w:val="0"/>
        <w:autoSpaceDN w:val="0"/>
        <w:adjustRightInd w:val="0"/>
        <w:spacing w:line="300" w:lineRule="auto"/>
        <w:rPr>
          <w:color w:val="0D0D0D"/>
          <w:shd w:val="clear" w:color="auto" w:fill="FFFFFF"/>
          <w:lang w:val="en-US"/>
        </w:rPr>
      </w:pPr>
      <w:r w:rsidRPr="00487834">
        <w:rPr>
          <w:rFonts w:eastAsiaTheme="minorHAnsi"/>
          <w:b/>
          <w:bCs/>
          <w:lang w:val="en-GB" w:eastAsia="en-US"/>
        </w:rPr>
        <w:t xml:space="preserve">Table 24 – </w:t>
      </w:r>
      <w:r w:rsidRPr="00487834">
        <w:rPr>
          <w:color w:val="0D0D0D"/>
          <w:shd w:val="clear" w:color="auto" w:fill="FFFFFF"/>
          <w:lang w:val="en-US"/>
        </w:rPr>
        <w:t>Hausman model specification test for the aggregated cost of equity model and quartile subsamples with lagged predictor</w:t>
      </w:r>
    </w:p>
    <w:p w14:paraId="7635D372" w14:textId="77777777" w:rsidR="00AD365D" w:rsidRPr="00487834" w:rsidRDefault="00AD365D" w:rsidP="00AD365D">
      <w:pPr>
        <w:autoSpaceDE w:val="0"/>
        <w:autoSpaceDN w:val="0"/>
        <w:adjustRightInd w:val="0"/>
        <w:spacing w:line="300" w:lineRule="auto"/>
        <w:rPr>
          <w:rFonts w:eastAsiaTheme="minorHAnsi"/>
          <w:lang w:val="en-US" w:eastAsia="en-US"/>
        </w:rPr>
      </w:pPr>
    </w:p>
    <w:tbl>
      <w:tblPr>
        <w:tblW w:w="7040" w:type="dxa"/>
        <w:jc w:val="center"/>
        <w:tblLook w:val="04A0" w:firstRow="1" w:lastRow="0" w:firstColumn="1" w:lastColumn="0" w:noHBand="0" w:noVBand="1"/>
      </w:tblPr>
      <w:tblGrid>
        <w:gridCol w:w="1276"/>
        <w:gridCol w:w="1418"/>
        <w:gridCol w:w="1559"/>
        <w:gridCol w:w="1559"/>
        <w:gridCol w:w="1228"/>
      </w:tblGrid>
      <w:tr w:rsidR="00AD365D" w:rsidRPr="00487834" w14:paraId="1B0DE431" w14:textId="77777777" w:rsidTr="001747B1">
        <w:trPr>
          <w:trHeight w:val="300"/>
          <w:jc w:val="center"/>
        </w:trPr>
        <w:tc>
          <w:tcPr>
            <w:tcW w:w="1276" w:type="dxa"/>
            <w:tcBorders>
              <w:top w:val="single" w:sz="4" w:space="0" w:color="auto"/>
              <w:left w:val="nil"/>
              <w:bottom w:val="single" w:sz="4" w:space="0" w:color="auto"/>
              <w:right w:val="nil"/>
            </w:tcBorders>
            <w:shd w:val="clear" w:color="auto" w:fill="auto"/>
            <w:noWrap/>
            <w:vAlign w:val="bottom"/>
            <w:hideMark/>
          </w:tcPr>
          <w:p w14:paraId="09FDB67A" w14:textId="77777777" w:rsidR="00AD365D" w:rsidRPr="00487834" w:rsidRDefault="00AD365D" w:rsidP="001747B1">
            <w:pPr>
              <w:pStyle w:val="NoSpacing"/>
              <w:rPr>
                <w:lang w:val="en-US"/>
              </w:rPr>
            </w:pPr>
            <w:r w:rsidRPr="00487834">
              <w:rPr>
                <w:lang w:val="en-US"/>
              </w:rPr>
              <w:t> </w:t>
            </w:r>
          </w:p>
        </w:tc>
        <w:tc>
          <w:tcPr>
            <w:tcW w:w="1418" w:type="dxa"/>
            <w:tcBorders>
              <w:top w:val="single" w:sz="4" w:space="0" w:color="auto"/>
              <w:left w:val="nil"/>
              <w:bottom w:val="single" w:sz="4" w:space="0" w:color="auto"/>
              <w:right w:val="nil"/>
            </w:tcBorders>
            <w:shd w:val="clear" w:color="auto" w:fill="auto"/>
            <w:noWrap/>
            <w:vAlign w:val="center"/>
            <w:hideMark/>
          </w:tcPr>
          <w:p w14:paraId="654E15BF" w14:textId="77777777" w:rsidR="00AD365D" w:rsidRPr="00487834" w:rsidRDefault="00AD365D" w:rsidP="001747B1">
            <w:pPr>
              <w:pStyle w:val="NoSpacing"/>
            </w:pPr>
            <w:proofErr w:type="spellStart"/>
            <w:r w:rsidRPr="00487834">
              <w:t>Entire</w:t>
            </w:r>
            <w:proofErr w:type="spellEnd"/>
            <w:r w:rsidRPr="00487834">
              <w:t xml:space="preserve"> </w:t>
            </w:r>
            <w:proofErr w:type="spellStart"/>
            <w:r w:rsidRPr="00487834">
              <w:t>dataset</w:t>
            </w:r>
            <w:proofErr w:type="spellEnd"/>
          </w:p>
        </w:tc>
        <w:tc>
          <w:tcPr>
            <w:tcW w:w="1559" w:type="dxa"/>
            <w:tcBorders>
              <w:top w:val="single" w:sz="4" w:space="0" w:color="auto"/>
              <w:left w:val="nil"/>
              <w:bottom w:val="single" w:sz="4" w:space="0" w:color="auto"/>
              <w:right w:val="nil"/>
            </w:tcBorders>
            <w:shd w:val="clear" w:color="auto" w:fill="auto"/>
            <w:noWrap/>
            <w:vAlign w:val="center"/>
            <w:hideMark/>
          </w:tcPr>
          <w:p w14:paraId="7FA53FC3" w14:textId="77777777" w:rsidR="00AD365D" w:rsidRPr="00487834" w:rsidRDefault="00AD365D" w:rsidP="001747B1">
            <w:pPr>
              <w:pStyle w:val="NoSpacing"/>
            </w:pPr>
            <w:r w:rsidRPr="00487834">
              <w:t>Top 25%</w:t>
            </w:r>
          </w:p>
        </w:tc>
        <w:tc>
          <w:tcPr>
            <w:tcW w:w="1559" w:type="dxa"/>
            <w:tcBorders>
              <w:top w:val="single" w:sz="4" w:space="0" w:color="auto"/>
              <w:left w:val="nil"/>
              <w:bottom w:val="single" w:sz="4" w:space="0" w:color="auto"/>
              <w:right w:val="nil"/>
            </w:tcBorders>
            <w:shd w:val="clear" w:color="auto" w:fill="auto"/>
            <w:noWrap/>
            <w:vAlign w:val="center"/>
            <w:hideMark/>
          </w:tcPr>
          <w:p w14:paraId="018C13F4" w14:textId="77777777" w:rsidR="00AD365D" w:rsidRPr="00487834" w:rsidRDefault="00AD365D" w:rsidP="001747B1">
            <w:pPr>
              <w:pStyle w:val="NoSpacing"/>
            </w:pPr>
            <w:proofErr w:type="spellStart"/>
            <w:r w:rsidRPr="00487834">
              <w:t>Med</w:t>
            </w:r>
            <w:proofErr w:type="spellEnd"/>
            <w:r w:rsidRPr="00487834">
              <w:t>. 50%</w:t>
            </w:r>
          </w:p>
        </w:tc>
        <w:tc>
          <w:tcPr>
            <w:tcW w:w="1228" w:type="dxa"/>
            <w:tcBorders>
              <w:top w:val="single" w:sz="4" w:space="0" w:color="auto"/>
              <w:left w:val="nil"/>
              <w:bottom w:val="single" w:sz="4" w:space="0" w:color="auto"/>
              <w:right w:val="nil"/>
            </w:tcBorders>
            <w:shd w:val="clear" w:color="auto" w:fill="auto"/>
            <w:noWrap/>
            <w:vAlign w:val="center"/>
            <w:hideMark/>
          </w:tcPr>
          <w:p w14:paraId="75E631B5" w14:textId="77777777" w:rsidR="00AD365D" w:rsidRPr="00487834" w:rsidRDefault="00AD365D" w:rsidP="001747B1">
            <w:pPr>
              <w:pStyle w:val="NoSpacing"/>
            </w:pPr>
            <w:proofErr w:type="spellStart"/>
            <w:r w:rsidRPr="00487834">
              <w:t>Low</w:t>
            </w:r>
            <w:proofErr w:type="spellEnd"/>
            <w:r w:rsidRPr="00487834">
              <w:t xml:space="preserve"> 25%</w:t>
            </w:r>
          </w:p>
        </w:tc>
      </w:tr>
      <w:tr w:rsidR="00AD365D" w:rsidRPr="00487834" w14:paraId="4507A9B1" w14:textId="77777777" w:rsidTr="001747B1">
        <w:trPr>
          <w:trHeight w:val="300"/>
          <w:jc w:val="center"/>
        </w:trPr>
        <w:tc>
          <w:tcPr>
            <w:tcW w:w="1276" w:type="dxa"/>
            <w:tcBorders>
              <w:top w:val="nil"/>
              <w:left w:val="nil"/>
              <w:bottom w:val="nil"/>
              <w:right w:val="nil"/>
            </w:tcBorders>
            <w:shd w:val="clear" w:color="auto" w:fill="auto"/>
            <w:noWrap/>
            <w:hideMark/>
          </w:tcPr>
          <w:p w14:paraId="7EF7FF58" w14:textId="77777777" w:rsidR="00AD365D" w:rsidRPr="00487834" w:rsidRDefault="00AD365D" w:rsidP="001747B1">
            <w:pPr>
              <w:pStyle w:val="NoSpacing"/>
            </w:pPr>
            <w:proofErr w:type="spellStart"/>
            <w:r w:rsidRPr="00487834">
              <w:t>Chi</w:t>
            </w:r>
            <w:proofErr w:type="spellEnd"/>
            <w:r w:rsidRPr="00487834">
              <w:t>-Square</w:t>
            </w:r>
          </w:p>
        </w:tc>
        <w:tc>
          <w:tcPr>
            <w:tcW w:w="1418" w:type="dxa"/>
            <w:tcBorders>
              <w:top w:val="nil"/>
              <w:left w:val="nil"/>
              <w:bottom w:val="nil"/>
              <w:right w:val="nil"/>
            </w:tcBorders>
            <w:shd w:val="clear" w:color="auto" w:fill="auto"/>
            <w:noWrap/>
            <w:vAlign w:val="center"/>
            <w:hideMark/>
          </w:tcPr>
          <w:p w14:paraId="0B0BC11E" w14:textId="77777777" w:rsidR="00AD365D" w:rsidRPr="00487834" w:rsidRDefault="00AD365D" w:rsidP="001747B1">
            <w:pPr>
              <w:pStyle w:val="NoSpacing"/>
            </w:pPr>
            <w:r w:rsidRPr="00487834">
              <w:t>37.73</w:t>
            </w:r>
          </w:p>
        </w:tc>
        <w:tc>
          <w:tcPr>
            <w:tcW w:w="1559" w:type="dxa"/>
            <w:tcBorders>
              <w:top w:val="nil"/>
              <w:left w:val="nil"/>
              <w:bottom w:val="nil"/>
              <w:right w:val="nil"/>
            </w:tcBorders>
            <w:shd w:val="clear" w:color="auto" w:fill="auto"/>
            <w:noWrap/>
            <w:vAlign w:val="center"/>
            <w:hideMark/>
          </w:tcPr>
          <w:p w14:paraId="5CFC4FD3" w14:textId="77777777" w:rsidR="00AD365D" w:rsidRPr="00487834" w:rsidRDefault="00AD365D" w:rsidP="001747B1">
            <w:pPr>
              <w:pStyle w:val="NoSpacing"/>
            </w:pPr>
            <w:r w:rsidRPr="00487834">
              <w:t>13.89</w:t>
            </w:r>
          </w:p>
        </w:tc>
        <w:tc>
          <w:tcPr>
            <w:tcW w:w="1559" w:type="dxa"/>
            <w:tcBorders>
              <w:top w:val="nil"/>
              <w:left w:val="nil"/>
              <w:bottom w:val="nil"/>
              <w:right w:val="nil"/>
            </w:tcBorders>
            <w:shd w:val="clear" w:color="auto" w:fill="auto"/>
            <w:noWrap/>
            <w:vAlign w:val="center"/>
            <w:hideMark/>
          </w:tcPr>
          <w:p w14:paraId="568F26C5" w14:textId="77777777" w:rsidR="00AD365D" w:rsidRPr="00487834" w:rsidRDefault="00AD365D" w:rsidP="001747B1">
            <w:pPr>
              <w:pStyle w:val="NoSpacing"/>
            </w:pPr>
            <w:r w:rsidRPr="00487834">
              <w:t>14.03</w:t>
            </w:r>
          </w:p>
        </w:tc>
        <w:tc>
          <w:tcPr>
            <w:tcW w:w="1228" w:type="dxa"/>
            <w:tcBorders>
              <w:top w:val="nil"/>
              <w:left w:val="nil"/>
              <w:bottom w:val="nil"/>
              <w:right w:val="nil"/>
            </w:tcBorders>
            <w:shd w:val="clear" w:color="auto" w:fill="auto"/>
            <w:noWrap/>
            <w:vAlign w:val="center"/>
            <w:hideMark/>
          </w:tcPr>
          <w:p w14:paraId="4CCF3A98" w14:textId="77777777" w:rsidR="00AD365D" w:rsidRPr="00487834" w:rsidRDefault="00AD365D" w:rsidP="001747B1">
            <w:pPr>
              <w:pStyle w:val="NoSpacing"/>
            </w:pPr>
            <w:r w:rsidRPr="00487834">
              <w:t>27.96</w:t>
            </w:r>
          </w:p>
        </w:tc>
      </w:tr>
      <w:tr w:rsidR="00AD365D" w:rsidRPr="00487834" w14:paraId="0CB8E168" w14:textId="77777777" w:rsidTr="001747B1">
        <w:trPr>
          <w:trHeight w:val="300"/>
          <w:jc w:val="center"/>
        </w:trPr>
        <w:tc>
          <w:tcPr>
            <w:tcW w:w="1276" w:type="dxa"/>
            <w:tcBorders>
              <w:top w:val="nil"/>
              <w:left w:val="nil"/>
              <w:bottom w:val="nil"/>
              <w:right w:val="nil"/>
            </w:tcBorders>
            <w:shd w:val="clear" w:color="auto" w:fill="auto"/>
            <w:noWrap/>
            <w:hideMark/>
          </w:tcPr>
          <w:p w14:paraId="5205C849" w14:textId="77777777" w:rsidR="00AD365D" w:rsidRPr="00487834" w:rsidRDefault="00AD365D" w:rsidP="001747B1">
            <w:pPr>
              <w:pStyle w:val="NoSpacing"/>
            </w:pPr>
            <w:r w:rsidRPr="00487834">
              <w:t>p-</w:t>
            </w:r>
            <w:proofErr w:type="spellStart"/>
            <w:r w:rsidRPr="00487834">
              <w:t>value</w:t>
            </w:r>
            <w:proofErr w:type="spellEnd"/>
          </w:p>
        </w:tc>
        <w:tc>
          <w:tcPr>
            <w:tcW w:w="1418" w:type="dxa"/>
            <w:tcBorders>
              <w:top w:val="nil"/>
              <w:left w:val="nil"/>
              <w:bottom w:val="nil"/>
              <w:right w:val="nil"/>
            </w:tcBorders>
            <w:shd w:val="clear" w:color="auto" w:fill="auto"/>
            <w:noWrap/>
            <w:vAlign w:val="center"/>
            <w:hideMark/>
          </w:tcPr>
          <w:p w14:paraId="42E18252" w14:textId="77777777" w:rsidR="00AD365D" w:rsidRPr="00487834" w:rsidRDefault="00AD365D" w:rsidP="001747B1">
            <w:pPr>
              <w:pStyle w:val="NoSpacing"/>
            </w:pPr>
            <w:r w:rsidRPr="00487834">
              <w:t>0</w:t>
            </w:r>
          </w:p>
        </w:tc>
        <w:tc>
          <w:tcPr>
            <w:tcW w:w="1559" w:type="dxa"/>
            <w:tcBorders>
              <w:top w:val="nil"/>
              <w:left w:val="nil"/>
              <w:bottom w:val="nil"/>
              <w:right w:val="nil"/>
            </w:tcBorders>
            <w:shd w:val="clear" w:color="auto" w:fill="auto"/>
            <w:noWrap/>
            <w:vAlign w:val="center"/>
            <w:hideMark/>
          </w:tcPr>
          <w:p w14:paraId="6051498C" w14:textId="77777777" w:rsidR="00AD365D" w:rsidRPr="00487834" w:rsidRDefault="00AD365D" w:rsidP="001747B1">
            <w:pPr>
              <w:pStyle w:val="NoSpacing"/>
            </w:pPr>
            <w:r w:rsidRPr="00487834">
              <w:t>0.053</w:t>
            </w:r>
          </w:p>
        </w:tc>
        <w:tc>
          <w:tcPr>
            <w:tcW w:w="1559" w:type="dxa"/>
            <w:tcBorders>
              <w:top w:val="nil"/>
              <w:left w:val="nil"/>
              <w:bottom w:val="nil"/>
              <w:right w:val="nil"/>
            </w:tcBorders>
            <w:shd w:val="clear" w:color="auto" w:fill="auto"/>
            <w:noWrap/>
            <w:vAlign w:val="center"/>
            <w:hideMark/>
          </w:tcPr>
          <w:p w14:paraId="297F5DD2" w14:textId="77777777" w:rsidR="00AD365D" w:rsidRPr="00487834" w:rsidRDefault="00AD365D" w:rsidP="001747B1">
            <w:pPr>
              <w:pStyle w:val="NoSpacing"/>
            </w:pPr>
            <w:r w:rsidRPr="00487834">
              <w:t>0.051</w:t>
            </w:r>
          </w:p>
        </w:tc>
        <w:tc>
          <w:tcPr>
            <w:tcW w:w="1228" w:type="dxa"/>
            <w:tcBorders>
              <w:top w:val="nil"/>
              <w:left w:val="nil"/>
              <w:bottom w:val="nil"/>
              <w:right w:val="nil"/>
            </w:tcBorders>
            <w:shd w:val="clear" w:color="auto" w:fill="auto"/>
            <w:noWrap/>
            <w:vAlign w:val="center"/>
            <w:hideMark/>
          </w:tcPr>
          <w:p w14:paraId="163F1297" w14:textId="77777777" w:rsidR="00AD365D" w:rsidRPr="00487834" w:rsidRDefault="00AD365D" w:rsidP="001747B1">
            <w:pPr>
              <w:pStyle w:val="NoSpacing"/>
            </w:pPr>
            <w:r w:rsidRPr="00487834">
              <w:t>0.0002</w:t>
            </w:r>
          </w:p>
        </w:tc>
      </w:tr>
      <w:tr w:rsidR="00AD365D" w:rsidRPr="00487834" w14:paraId="16740D2E" w14:textId="77777777" w:rsidTr="001747B1">
        <w:trPr>
          <w:trHeight w:val="560"/>
          <w:jc w:val="center"/>
        </w:trPr>
        <w:tc>
          <w:tcPr>
            <w:tcW w:w="1276" w:type="dxa"/>
            <w:tcBorders>
              <w:top w:val="nil"/>
              <w:left w:val="nil"/>
              <w:bottom w:val="single" w:sz="4" w:space="0" w:color="auto"/>
              <w:right w:val="nil"/>
            </w:tcBorders>
            <w:shd w:val="clear" w:color="auto" w:fill="auto"/>
            <w:noWrap/>
            <w:vAlign w:val="center"/>
            <w:hideMark/>
          </w:tcPr>
          <w:p w14:paraId="2BAC0F40" w14:textId="77777777" w:rsidR="00AD365D" w:rsidRPr="00487834" w:rsidRDefault="00AD365D" w:rsidP="001747B1">
            <w:pPr>
              <w:pStyle w:val="NoSpacing"/>
            </w:pPr>
            <w:r w:rsidRPr="00487834">
              <w:t>Model</w:t>
            </w:r>
          </w:p>
        </w:tc>
        <w:tc>
          <w:tcPr>
            <w:tcW w:w="1418" w:type="dxa"/>
            <w:tcBorders>
              <w:top w:val="nil"/>
              <w:left w:val="nil"/>
              <w:bottom w:val="single" w:sz="4" w:space="0" w:color="auto"/>
              <w:right w:val="nil"/>
            </w:tcBorders>
            <w:shd w:val="clear" w:color="auto" w:fill="auto"/>
            <w:noWrap/>
            <w:vAlign w:val="center"/>
            <w:hideMark/>
          </w:tcPr>
          <w:p w14:paraId="02D1D422"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p>
        </w:tc>
        <w:tc>
          <w:tcPr>
            <w:tcW w:w="1559" w:type="dxa"/>
            <w:tcBorders>
              <w:top w:val="nil"/>
              <w:left w:val="nil"/>
              <w:bottom w:val="single" w:sz="4" w:space="0" w:color="auto"/>
              <w:right w:val="nil"/>
            </w:tcBorders>
            <w:shd w:val="clear" w:color="auto" w:fill="auto"/>
            <w:vAlign w:val="center"/>
            <w:hideMark/>
          </w:tcPr>
          <w:p w14:paraId="46C3D393"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r w:rsidRPr="00487834">
              <w:t xml:space="preserve">/ </w:t>
            </w:r>
            <w:proofErr w:type="spellStart"/>
            <w:r w:rsidRPr="00487834">
              <w:t>Random</w:t>
            </w:r>
            <w:proofErr w:type="spellEnd"/>
            <w:r w:rsidRPr="00487834">
              <w:t xml:space="preserve"> </w:t>
            </w:r>
            <w:proofErr w:type="spellStart"/>
            <w:r w:rsidRPr="00487834">
              <w:t>effects</w:t>
            </w:r>
            <w:proofErr w:type="spellEnd"/>
          </w:p>
        </w:tc>
        <w:tc>
          <w:tcPr>
            <w:tcW w:w="1559" w:type="dxa"/>
            <w:tcBorders>
              <w:top w:val="nil"/>
              <w:left w:val="nil"/>
              <w:bottom w:val="single" w:sz="4" w:space="0" w:color="auto"/>
              <w:right w:val="nil"/>
            </w:tcBorders>
            <w:shd w:val="clear" w:color="auto" w:fill="auto"/>
            <w:vAlign w:val="center"/>
            <w:hideMark/>
          </w:tcPr>
          <w:p w14:paraId="61988339"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r w:rsidRPr="00487834">
              <w:t xml:space="preserve">/ </w:t>
            </w:r>
            <w:proofErr w:type="spellStart"/>
            <w:r w:rsidRPr="00487834">
              <w:t>Random</w:t>
            </w:r>
            <w:proofErr w:type="spellEnd"/>
            <w:r w:rsidRPr="00487834">
              <w:t xml:space="preserve"> </w:t>
            </w:r>
            <w:proofErr w:type="spellStart"/>
            <w:r w:rsidRPr="00487834">
              <w:t>effects</w:t>
            </w:r>
            <w:proofErr w:type="spellEnd"/>
          </w:p>
        </w:tc>
        <w:tc>
          <w:tcPr>
            <w:tcW w:w="1228" w:type="dxa"/>
            <w:tcBorders>
              <w:top w:val="nil"/>
              <w:left w:val="nil"/>
              <w:bottom w:val="single" w:sz="4" w:space="0" w:color="auto"/>
              <w:right w:val="nil"/>
            </w:tcBorders>
            <w:shd w:val="clear" w:color="auto" w:fill="auto"/>
            <w:noWrap/>
            <w:vAlign w:val="center"/>
            <w:hideMark/>
          </w:tcPr>
          <w:p w14:paraId="32EF03DD"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p>
        </w:tc>
      </w:tr>
    </w:tbl>
    <w:p w14:paraId="7D2A53A8" w14:textId="77777777" w:rsidR="00AD365D" w:rsidRPr="00487834" w:rsidRDefault="00AD365D" w:rsidP="00AD365D">
      <w:pPr>
        <w:autoSpaceDE w:val="0"/>
        <w:autoSpaceDN w:val="0"/>
        <w:adjustRightInd w:val="0"/>
        <w:spacing w:line="300" w:lineRule="auto"/>
        <w:rPr>
          <w:rFonts w:eastAsiaTheme="minorHAnsi"/>
          <w:lang w:val="en-US" w:eastAsia="en-US"/>
        </w:rPr>
      </w:pPr>
    </w:p>
    <w:p w14:paraId="5BD84BD7" w14:textId="77777777" w:rsidR="00AD365D" w:rsidRPr="00487834" w:rsidRDefault="00AD365D" w:rsidP="00AD365D">
      <w:pPr>
        <w:autoSpaceDE w:val="0"/>
        <w:autoSpaceDN w:val="0"/>
        <w:adjustRightInd w:val="0"/>
        <w:spacing w:line="300" w:lineRule="auto"/>
        <w:rPr>
          <w:rFonts w:eastAsiaTheme="minorHAnsi"/>
          <w:lang w:val="en-US" w:eastAsia="en-US"/>
        </w:rPr>
      </w:pPr>
    </w:p>
    <w:p w14:paraId="13E26208" w14:textId="77777777" w:rsidR="00AD365D" w:rsidRPr="00487834" w:rsidRDefault="00AD365D" w:rsidP="00AD365D">
      <w:pPr>
        <w:autoSpaceDE w:val="0"/>
        <w:autoSpaceDN w:val="0"/>
        <w:adjustRightInd w:val="0"/>
        <w:spacing w:line="300" w:lineRule="auto"/>
        <w:rPr>
          <w:color w:val="0D0D0D"/>
          <w:shd w:val="clear" w:color="auto" w:fill="FFFFFF"/>
          <w:lang w:val="en-US"/>
        </w:rPr>
      </w:pPr>
      <w:r w:rsidRPr="00487834">
        <w:rPr>
          <w:rFonts w:eastAsiaTheme="minorHAnsi"/>
          <w:b/>
          <w:bCs/>
          <w:lang w:val="en-GB" w:eastAsia="en-US"/>
        </w:rPr>
        <w:t xml:space="preserve">Table 25 – </w:t>
      </w:r>
      <w:r w:rsidRPr="00487834">
        <w:rPr>
          <w:color w:val="0D0D0D"/>
          <w:shd w:val="clear" w:color="auto" w:fill="FFFFFF"/>
          <w:lang w:val="en-US"/>
        </w:rPr>
        <w:t>Hausman model specification test for the cost of equity model for country’s subsamples with lagged predictor</w:t>
      </w:r>
    </w:p>
    <w:p w14:paraId="6ED78819" w14:textId="77777777" w:rsidR="00AD365D" w:rsidRPr="00487834" w:rsidRDefault="00AD365D" w:rsidP="00AD365D">
      <w:pPr>
        <w:autoSpaceDE w:val="0"/>
        <w:autoSpaceDN w:val="0"/>
        <w:adjustRightInd w:val="0"/>
        <w:spacing w:line="300" w:lineRule="auto"/>
        <w:rPr>
          <w:rFonts w:eastAsiaTheme="minorHAnsi"/>
          <w:lang w:val="en-US" w:eastAsia="en-US"/>
        </w:rPr>
      </w:pPr>
    </w:p>
    <w:tbl>
      <w:tblPr>
        <w:tblW w:w="5812" w:type="dxa"/>
        <w:jc w:val="center"/>
        <w:tblLook w:val="04A0" w:firstRow="1" w:lastRow="0" w:firstColumn="1" w:lastColumn="0" w:noHBand="0" w:noVBand="1"/>
      </w:tblPr>
      <w:tblGrid>
        <w:gridCol w:w="1276"/>
        <w:gridCol w:w="1559"/>
        <w:gridCol w:w="1418"/>
        <w:gridCol w:w="1559"/>
      </w:tblGrid>
      <w:tr w:rsidR="00AD365D" w:rsidRPr="00487834" w14:paraId="0633034D" w14:textId="77777777" w:rsidTr="001747B1">
        <w:trPr>
          <w:trHeight w:val="300"/>
          <w:jc w:val="center"/>
        </w:trPr>
        <w:tc>
          <w:tcPr>
            <w:tcW w:w="1276" w:type="dxa"/>
            <w:tcBorders>
              <w:top w:val="single" w:sz="4" w:space="0" w:color="auto"/>
              <w:left w:val="nil"/>
              <w:bottom w:val="single" w:sz="4" w:space="0" w:color="auto"/>
              <w:right w:val="nil"/>
            </w:tcBorders>
            <w:shd w:val="clear" w:color="auto" w:fill="auto"/>
            <w:noWrap/>
            <w:vAlign w:val="bottom"/>
            <w:hideMark/>
          </w:tcPr>
          <w:p w14:paraId="5D8D13F4" w14:textId="77777777" w:rsidR="00AD365D" w:rsidRPr="00487834" w:rsidRDefault="00AD365D" w:rsidP="001747B1">
            <w:pPr>
              <w:pStyle w:val="NoSpacing"/>
              <w:rPr>
                <w:lang w:val="en-US"/>
              </w:rPr>
            </w:pPr>
            <w:r w:rsidRPr="00487834">
              <w:rPr>
                <w:lang w:val="en-US"/>
              </w:rPr>
              <w:t> </w:t>
            </w:r>
          </w:p>
        </w:tc>
        <w:tc>
          <w:tcPr>
            <w:tcW w:w="1559" w:type="dxa"/>
            <w:tcBorders>
              <w:top w:val="single" w:sz="4" w:space="0" w:color="auto"/>
              <w:left w:val="nil"/>
              <w:bottom w:val="single" w:sz="4" w:space="0" w:color="auto"/>
              <w:right w:val="nil"/>
            </w:tcBorders>
            <w:shd w:val="clear" w:color="auto" w:fill="auto"/>
            <w:noWrap/>
            <w:vAlign w:val="center"/>
            <w:hideMark/>
          </w:tcPr>
          <w:p w14:paraId="08434EA3" w14:textId="77777777" w:rsidR="00AD365D" w:rsidRPr="00487834" w:rsidRDefault="00AD365D" w:rsidP="001747B1">
            <w:pPr>
              <w:pStyle w:val="NoSpacing"/>
            </w:pPr>
            <w:r w:rsidRPr="00487834">
              <w:t>Russia</w:t>
            </w:r>
          </w:p>
        </w:tc>
        <w:tc>
          <w:tcPr>
            <w:tcW w:w="1418" w:type="dxa"/>
            <w:tcBorders>
              <w:top w:val="single" w:sz="4" w:space="0" w:color="auto"/>
              <w:left w:val="nil"/>
              <w:bottom w:val="single" w:sz="4" w:space="0" w:color="auto"/>
              <w:right w:val="nil"/>
            </w:tcBorders>
            <w:shd w:val="clear" w:color="auto" w:fill="auto"/>
            <w:noWrap/>
            <w:vAlign w:val="center"/>
            <w:hideMark/>
          </w:tcPr>
          <w:p w14:paraId="192C7246" w14:textId="77777777" w:rsidR="00AD365D" w:rsidRPr="00487834" w:rsidRDefault="00AD365D" w:rsidP="001747B1">
            <w:pPr>
              <w:pStyle w:val="NoSpacing"/>
            </w:pPr>
            <w:proofErr w:type="spellStart"/>
            <w:r w:rsidRPr="00487834">
              <w:t>Brazil</w:t>
            </w:r>
            <w:proofErr w:type="spellEnd"/>
          </w:p>
        </w:tc>
        <w:tc>
          <w:tcPr>
            <w:tcW w:w="1559" w:type="dxa"/>
            <w:tcBorders>
              <w:top w:val="single" w:sz="4" w:space="0" w:color="auto"/>
              <w:left w:val="nil"/>
              <w:bottom w:val="single" w:sz="4" w:space="0" w:color="auto"/>
              <w:right w:val="nil"/>
            </w:tcBorders>
            <w:shd w:val="clear" w:color="auto" w:fill="auto"/>
            <w:noWrap/>
            <w:vAlign w:val="center"/>
            <w:hideMark/>
          </w:tcPr>
          <w:p w14:paraId="59289D9A" w14:textId="77777777" w:rsidR="00AD365D" w:rsidRPr="00487834" w:rsidRDefault="00AD365D" w:rsidP="001747B1">
            <w:pPr>
              <w:pStyle w:val="NoSpacing"/>
            </w:pPr>
            <w:r w:rsidRPr="00487834">
              <w:t>South Africa</w:t>
            </w:r>
          </w:p>
        </w:tc>
      </w:tr>
      <w:tr w:rsidR="00AD365D" w:rsidRPr="00487834" w14:paraId="0819AE77" w14:textId="77777777" w:rsidTr="001747B1">
        <w:trPr>
          <w:trHeight w:val="300"/>
          <w:jc w:val="center"/>
        </w:trPr>
        <w:tc>
          <w:tcPr>
            <w:tcW w:w="1276" w:type="dxa"/>
            <w:tcBorders>
              <w:top w:val="nil"/>
              <w:left w:val="nil"/>
              <w:bottom w:val="nil"/>
              <w:right w:val="nil"/>
            </w:tcBorders>
            <w:shd w:val="clear" w:color="auto" w:fill="auto"/>
            <w:noWrap/>
            <w:hideMark/>
          </w:tcPr>
          <w:p w14:paraId="6E125917" w14:textId="77777777" w:rsidR="00AD365D" w:rsidRPr="00487834" w:rsidRDefault="00AD365D" w:rsidP="001747B1">
            <w:pPr>
              <w:pStyle w:val="NoSpacing"/>
            </w:pPr>
            <w:proofErr w:type="spellStart"/>
            <w:r w:rsidRPr="00487834">
              <w:t>Chi</w:t>
            </w:r>
            <w:proofErr w:type="spellEnd"/>
            <w:r w:rsidRPr="00487834">
              <w:t>-Square</w:t>
            </w:r>
          </w:p>
        </w:tc>
        <w:tc>
          <w:tcPr>
            <w:tcW w:w="1559" w:type="dxa"/>
            <w:tcBorders>
              <w:top w:val="nil"/>
              <w:left w:val="nil"/>
              <w:bottom w:val="nil"/>
              <w:right w:val="nil"/>
            </w:tcBorders>
            <w:shd w:val="clear" w:color="auto" w:fill="auto"/>
            <w:noWrap/>
            <w:vAlign w:val="center"/>
            <w:hideMark/>
          </w:tcPr>
          <w:p w14:paraId="50F0C96E" w14:textId="77777777" w:rsidR="00AD365D" w:rsidRPr="00487834" w:rsidRDefault="00AD365D" w:rsidP="001747B1">
            <w:pPr>
              <w:pStyle w:val="NoSpacing"/>
            </w:pPr>
            <w:r w:rsidRPr="00487834">
              <w:t>8.370</w:t>
            </w:r>
          </w:p>
        </w:tc>
        <w:tc>
          <w:tcPr>
            <w:tcW w:w="1418" w:type="dxa"/>
            <w:tcBorders>
              <w:top w:val="nil"/>
              <w:left w:val="nil"/>
              <w:bottom w:val="nil"/>
              <w:right w:val="nil"/>
            </w:tcBorders>
            <w:shd w:val="clear" w:color="auto" w:fill="auto"/>
            <w:noWrap/>
            <w:vAlign w:val="center"/>
            <w:hideMark/>
          </w:tcPr>
          <w:p w14:paraId="406C6763" w14:textId="77777777" w:rsidR="00AD365D" w:rsidRPr="00487834" w:rsidRDefault="00AD365D" w:rsidP="001747B1">
            <w:pPr>
              <w:pStyle w:val="NoSpacing"/>
            </w:pPr>
            <w:r w:rsidRPr="00487834">
              <w:t>31.710</w:t>
            </w:r>
          </w:p>
        </w:tc>
        <w:tc>
          <w:tcPr>
            <w:tcW w:w="1559" w:type="dxa"/>
            <w:tcBorders>
              <w:top w:val="nil"/>
              <w:left w:val="nil"/>
              <w:bottom w:val="nil"/>
              <w:right w:val="nil"/>
            </w:tcBorders>
            <w:shd w:val="clear" w:color="auto" w:fill="auto"/>
            <w:noWrap/>
            <w:vAlign w:val="center"/>
            <w:hideMark/>
          </w:tcPr>
          <w:p w14:paraId="19C7266C" w14:textId="77777777" w:rsidR="00AD365D" w:rsidRPr="00487834" w:rsidRDefault="00AD365D" w:rsidP="001747B1">
            <w:pPr>
              <w:pStyle w:val="NoSpacing"/>
            </w:pPr>
            <w:r w:rsidRPr="00487834">
              <w:t>4.690</w:t>
            </w:r>
          </w:p>
        </w:tc>
      </w:tr>
      <w:tr w:rsidR="00AD365D" w:rsidRPr="00487834" w14:paraId="10A25E4F" w14:textId="77777777" w:rsidTr="001747B1">
        <w:trPr>
          <w:trHeight w:val="300"/>
          <w:jc w:val="center"/>
        </w:trPr>
        <w:tc>
          <w:tcPr>
            <w:tcW w:w="1276" w:type="dxa"/>
            <w:tcBorders>
              <w:top w:val="nil"/>
              <w:left w:val="nil"/>
              <w:bottom w:val="nil"/>
              <w:right w:val="nil"/>
            </w:tcBorders>
            <w:shd w:val="clear" w:color="auto" w:fill="auto"/>
            <w:noWrap/>
            <w:hideMark/>
          </w:tcPr>
          <w:p w14:paraId="5C46CBAB" w14:textId="77777777" w:rsidR="00AD365D" w:rsidRPr="00487834" w:rsidRDefault="00AD365D" w:rsidP="001747B1">
            <w:pPr>
              <w:pStyle w:val="NoSpacing"/>
            </w:pPr>
            <w:r w:rsidRPr="00487834">
              <w:t>p-</w:t>
            </w:r>
            <w:proofErr w:type="spellStart"/>
            <w:r w:rsidRPr="00487834">
              <w:t>value</w:t>
            </w:r>
            <w:proofErr w:type="spellEnd"/>
          </w:p>
        </w:tc>
        <w:tc>
          <w:tcPr>
            <w:tcW w:w="1559" w:type="dxa"/>
            <w:tcBorders>
              <w:top w:val="nil"/>
              <w:left w:val="nil"/>
              <w:bottom w:val="nil"/>
              <w:right w:val="nil"/>
            </w:tcBorders>
            <w:shd w:val="clear" w:color="auto" w:fill="auto"/>
            <w:noWrap/>
            <w:vAlign w:val="center"/>
            <w:hideMark/>
          </w:tcPr>
          <w:p w14:paraId="2300410E" w14:textId="77777777" w:rsidR="00AD365D" w:rsidRPr="00487834" w:rsidRDefault="00AD365D" w:rsidP="001747B1">
            <w:pPr>
              <w:pStyle w:val="NoSpacing"/>
            </w:pPr>
            <w:r w:rsidRPr="00487834">
              <w:t>0.301</w:t>
            </w:r>
          </w:p>
        </w:tc>
        <w:tc>
          <w:tcPr>
            <w:tcW w:w="1418" w:type="dxa"/>
            <w:tcBorders>
              <w:top w:val="nil"/>
              <w:left w:val="nil"/>
              <w:bottom w:val="nil"/>
              <w:right w:val="nil"/>
            </w:tcBorders>
            <w:shd w:val="clear" w:color="auto" w:fill="auto"/>
            <w:noWrap/>
            <w:vAlign w:val="center"/>
            <w:hideMark/>
          </w:tcPr>
          <w:p w14:paraId="5BCC7912" w14:textId="77777777" w:rsidR="00AD365D" w:rsidRPr="00487834" w:rsidRDefault="00AD365D" w:rsidP="001747B1">
            <w:pPr>
              <w:pStyle w:val="NoSpacing"/>
            </w:pPr>
            <w:r w:rsidRPr="00487834">
              <w:t>0</w:t>
            </w:r>
          </w:p>
        </w:tc>
        <w:tc>
          <w:tcPr>
            <w:tcW w:w="1559" w:type="dxa"/>
            <w:tcBorders>
              <w:top w:val="nil"/>
              <w:left w:val="nil"/>
              <w:bottom w:val="nil"/>
              <w:right w:val="nil"/>
            </w:tcBorders>
            <w:shd w:val="clear" w:color="auto" w:fill="auto"/>
            <w:noWrap/>
            <w:vAlign w:val="center"/>
            <w:hideMark/>
          </w:tcPr>
          <w:p w14:paraId="4E4D9037" w14:textId="77777777" w:rsidR="00AD365D" w:rsidRPr="00487834" w:rsidRDefault="00AD365D" w:rsidP="001747B1">
            <w:pPr>
              <w:pStyle w:val="NoSpacing"/>
            </w:pPr>
            <w:r w:rsidRPr="00487834">
              <w:t>0.698</w:t>
            </w:r>
          </w:p>
        </w:tc>
      </w:tr>
      <w:tr w:rsidR="00AD365D" w:rsidRPr="00487834" w14:paraId="7FF5194C" w14:textId="77777777" w:rsidTr="001747B1">
        <w:trPr>
          <w:trHeight w:val="300"/>
          <w:jc w:val="center"/>
        </w:trPr>
        <w:tc>
          <w:tcPr>
            <w:tcW w:w="1276" w:type="dxa"/>
            <w:tcBorders>
              <w:top w:val="nil"/>
              <w:left w:val="nil"/>
              <w:bottom w:val="single" w:sz="4" w:space="0" w:color="auto"/>
              <w:right w:val="nil"/>
            </w:tcBorders>
            <w:shd w:val="clear" w:color="auto" w:fill="auto"/>
            <w:noWrap/>
            <w:hideMark/>
          </w:tcPr>
          <w:p w14:paraId="4008A563" w14:textId="77777777" w:rsidR="00AD365D" w:rsidRPr="00487834" w:rsidRDefault="00AD365D" w:rsidP="001747B1">
            <w:pPr>
              <w:pStyle w:val="NoSpacing"/>
            </w:pPr>
            <w:r w:rsidRPr="00487834">
              <w:t>Model</w:t>
            </w:r>
          </w:p>
        </w:tc>
        <w:tc>
          <w:tcPr>
            <w:tcW w:w="1559" w:type="dxa"/>
            <w:tcBorders>
              <w:top w:val="nil"/>
              <w:left w:val="nil"/>
              <w:bottom w:val="single" w:sz="4" w:space="0" w:color="auto"/>
              <w:right w:val="nil"/>
            </w:tcBorders>
            <w:shd w:val="clear" w:color="auto" w:fill="auto"/>
            <w:noWrap/>
            <w:vAlign w:val="center"/>
            <w:hideMark/>
          </w:tcPr>
          <w:p w14:paraId="26BD92A5" w14:textId="77777777" w:rsidR="00AD365D" w:rsidRPr="00487834" w:rsidRDefault="00AD365D" w:rsidP="001747B1">
            <w:pPr>
              <w:pStyle w:val="NoSpacing"/>
            </w:pPr>
            <w:proofErr w:type="spellStart"/>
            <w:r w:rsidRPr="00487834">
              <w:t>Random</w:t>
            </w:r>
            <w:proofErr w:type="spellEnd"/>
            <w:r w:rsidRPr="00487834">
              <w:t xml:space="preserve"> </w:t>
            </w:r>
            <w:proofErr w:type="spellStart"/>
            <w:r w:rsidRPr="00487834">
              <w:t>effects</w:t>
            </w:r>
            <w:proofErr w:type="spellEnd"/>
          </w:p>
        </w:tc>
        <w:tc>
          <w:tcPr>
            <w:tcW w:w="1418" w:type="dxa"/>
            <w:tcBorders>
              <w:top w:val="nil"/>
              <w:left w:val="nil"/>
              <w:bottom w:val="single" w:sz="4" w:space="0" w:color="auto"/>
              <w:right w:val="nil"/>
            </w:tcBorders>
            <w:shd w:val="clear" w:color="auto" w:fill="auto"/>
            <w:noWrap/>
            <w:vAlign w:val="center"/>
            <w:hideMark/>
          </w:tcPr>
          <w:p w14:paraId="51AF88F3" w14:textId="77777777" w:rsidR="00AD365D" w:rsidRPr="00487834" w:rsidRDefault="00AD365D" w:rsidP="001747B1">
            <w:pPr>
              <w:pStyle w:val="NoSpacing"/>
            </w:pPr>
            <w:proofErr w:type="spellStart"/>
            <w:r w:rsidRPr="00487834">
              <w:t>Fixed</w:t>
            </w:r>
            <w:proofErr w:type="spellEnd"/>
            <w:r w:rsidRPr="00487834">
              <w:t xml:space="preserve"> </w:t>
            </w:r>
            <w:proofErr w:type="spellStart"/>
            <w:r w:rsidRPr="00487834">
              <w:t>effects</w:t>
            </w:r>
            <w:proofErr w:type="spellEnd"/>
          </w:p>
        </w:tc>
        <w:tc>
          <w:tcPr>
            <w:tcW w:w="1559" w:type="dxa"/>
            <w:tcBorders>
              <w:top w:val="nil"/>
              <w:left w:val="nil"/>
              <w:bottom w:val="single" w:sz="4" w:space="0" w:color="auto"/>
              <w:right w:val="nil"/>
            </w:tcBorders>
            <w:shd w:val="clear" w:color="auto" w:fill="auto"/>
            <w:noWrap/>
            <w:vAlign w:val="center"/>
            <w:hideMark/>
          </w:tcPr>
          <w:p w14:paraId="5625B748" w14:textId="77777777" w:rsidR="00AD365D" w:rsidRPr="00487834" w:rsidRDefault="00AD365D" w:rsidP="001747B1">
            <w:pPr>
              <w:pStyle w:val="NoSpacing"/>
            </w:pPr>
            <w:proofErr w:type="spellStart"/>
            <w:r w:rsidRPr="00487834">
              <w:t>Random</w:t>
            </w:r>
            <w:proofErr w:type="spellEnd"/>
            <w:r w:rsidRPr="00487834">
              <w:t xml:space="preserve"> </w:t>
            </w:r>
            <w:proofErr w:type="spellStart"/>
            <w:r w:rsidRPr="00487834">
              <w:t>effects</w:t>
            </w:r>
            <w:proofErr w:type="spellEnd"/>
          </w:p>
        </w:tc>
      </w:tr>
    </w:tbl>
    <w:p w14:paraId="78D87822" w14:textId="77777777" w:rsidR="00AD365D" w:rsidRPr="00487834" w:rsidRDefault="00AD365D" w:rsidP="00AD365D">
      <w:pPr>
        <w:autoSpaceDE w:val="0"/>
        <w:autoSpaceDN w:val="0"/>
        <w:adjustRightInd w:val="0"/>
        <w:spacing w:line="300" w:lineRule="auto"/>
        <w:rPr>
          <w:rFonts w:eastAsiaTheme="minorHAnsi"/>
          <w:b/>
          <w:bCs/>
          <w:lang w:val="en-GB" w:eastAsia="en-US"/>
        </w:rPr>
      </w:pPr>
    </w:p>
    <w:p w14:paraId="0EC58BEB" w14:textId="77777777" w:rsidR="0035628B" w:rsidRPr="0035628B" w:rsidRDefault="0035628B" w:rsidP="004A5290">
      <w:pPr>
        <w:pStyle w:val="Heading1"/>
        <w:rPr>
          <w:lang w:val="en-US"/>
        </w:rPr>
      </w:pPr>
    </w:p>
    <w:p w14:paraId="10565598" w14:textId="7F26BA3F" w:rsidR="00C87E2D" w:rsidRPr="00487834" w:rsidRDefault="00632AC0" w:rsidP="00286F41">
      <w:pPr>
        <w:pStyle w:val="Heading2"/>
        <w:jc w:val="center"/>
        <w:rPr>
          <w:rFonts w:cs="Times New Roman"/>
          <w:lang w:val="en-US"/>
        </w:rPr>
      </w:pPr>
      <w:bookmarkStart w:id="27" w:name="_Toc167918998"/>
      <w:r w:rsidRPr="00487834">
        <w:rPr>
          <w:rFonts w:cs="Times New Roman"/>
          <w:lang w:val="en-US"/>
        </w:rPr>
        <w:lastRenderedPageBreak/>
        <w:t>7.</w:t>
      </w:r>
      <w:r w:rsidR="0035628B">
        <w:rPr>
          <w:rFonts w:cs="Times New Roman"/>
          <w:lang w:val="en-US"/>
        </w:rPr>
        <w:t>2</w:t>
      </w:r>
      <w:r w:rsidRPr="00487834">
        <w:rPr>
          <w:rFonts w:cs="Times New Roman"/>
          <w:lang w:val="en-US"/>
        </w:rPr>
        <w:t xml:space="preserve">. </w:t>
      </w:r>
      <w:r w:rsidR="00C87E2D" w:rsidRPr="00487834">
        <w:rPr>
          <w:rFonts w:cs="Times New Roman"/>
          <w:lang w:val="en-US"/>
        </w:rPr>
        <w:t>Robustness checks</w:t>
      </w:r>
      <w:bookmarkEnd w:id="27"/>
    </w:p>
    <w:p w14:paraId="5B1E6908" w14:textId="77777777" w:rsidR="00C87E2D" w:rsidRPr="00487834" w:rsidRDefault="00C87E2D" w:rsidP="003128F6">
      <w:pPr>
        <w:spacing w:line="300" w:lineRule="auto"/>
        <w:jc w:val="center"/>
        <w:rPr>
          <w:b/>
          <w:bCs/>
          <w:lang w:val="en-US"/>
        </w:rPr>
      </w:pPr>
    </w:p>
    <w:p w14:paraId="38B03651" w14:textId="77777777" w:rsidR="00C87E2D" w:rsidRPr="00487834" w:rsidRDefault="00C87E2D" w:rsidP="003128F6">
      <w:pPr>
        <w:spacing w:line="300" w:lineRule="auto"/>
        <w:rPr>
          <w:b/>
          <w:bCs/>
          <w:lang w:val="en-US"/>
        </w:rPr>
      </w:pPr>
    </w:p>
    <w:p w14:paraId="5B20962B" w14:textId="77777777" w:rsidR="00C87E2D" w:rsidRPr="00487834" w:rsidRDefault="00C87E2D" w:rsidP="003128F6">
      <w:pPr>
        <w:spacing w:line="300" w:lineRule="auto"/>
        <w:rPr>
          <w:b/>
          <w:bCs/>
          <w:lang w:val="en-US"/>
        </w:rPr>
      </w:pPr>
    </w:p>
    <w:p w14:paraId="0C2DDA2C" w14:textId="46DDCB9E" w:rsidR="00AE1163" w:rsidRPr="00487834" w:rsidRDefault="00AE1163" w:rsidP="003128F6">
      <w:pPr>
        <w:spacing w:line="300" w:lineRule="auto"/>
        <w:rPr>
          <w:lang w:val="en-US"/>
        </w:rPr>
      </w:pPr>
      <w:r w:rsidRPr="00487834">
        <w:rPr>
          <w:lang w:val="en-US"/>
        </w:rPr>
        <w:t>Regression on cod with no lag for all countries</w:t>
      </w:r>
      <w:r w:rsidR="00694B7F" w:rsidRPr="00487834">
        <w:rPr>
          <w:lang w:val="en-US"/>
        </w:rPr>
        <w:t>:</w:t>
      </w:r>
    </w:p>
    <w:p w14:paraId="561788B3" w14:textId="77777777" w:rsidR="00AE1163" w:rsidRPr="00487834" w:rsidRDefault="00AE1163" w:rsidP="003128F6">
      <w:pPr>
        <w:spacing w:line="300" w:lineRule="auto"/>
        <w:rPr>
          <w:lang w:val="en-US"/>
        </w:rPr>
      </w:pPr>
    </w:p>
    <w:p w14:paraId="5FE41623" w14:textId="77777777" w:rsidR="00AE1163" w:rsidRPr="00487834" w:rsidRDefault="00AE1163" w:rsidP="003128F6">
      <w:pPr>
        <w:spacing w:line="300" w:lineRule="auto"/>
        <w:rPr>
          <w:lang w:val="en-US"/>
        </w:rPr>
      </w:pPr>
      <w:r w:rsidRPr="00487834">
        <w:rPr>
          <w:lang w:val="en-US"/>
        </w:rPr>
        <w:t>Breusch-Pagan test statistic random: 51.27901127344403</w:t>
      </w:r>
    </w:p>
    <w:p w14:paraId="4C32381F" w14:textId="77777777" w:rsidR="00AE1163" w:rsidRPr="00487834" w:rsidRDefault="00AE1163" w:rsidP="003128F6">
      <w:pPr>
        <w:spacing w:line="300" w:lineRule="auto"/>
        <w:rPr>
          <w:lang w:val="en-US"/>
        </w:rPr>
      </w:pPr>
      <w:r w:rsidRPr="00487834">
        <w:rPr>
          <w:lang w:val="en-US"/>
        </w:rPr>
        <w:t>Breusch-Pagan test p-value random: 2.318511281390951e-08</w:t>
      </w:r>
    </w:p>
    <w:p w14:paraId="3D9FDD52" w14:textId="77777777" w:rsidR="00AE1163" w:rsidRPr="00487834" w:rsidRDefault="00AE1163" w:rsidP="003128F6">
      <w:pPr>
        <w:spacing w:line="300" w:lineRule="auto"/>
        <w:rPr>
          <w:lang w:val="en-US"/>
        </w:rPr>
      </w:pPr>
      <w:r w:rsidRPr="00487834">
        <w:rPr>
          <w:lang w:val="en-US"/>
        </w:rPr>
        <w:t>Durbin-Watson test statistic random: 1.7945898698463931</w:t>
      </w:r>
    </w:p>
    <w:p w14:paraId="38FA6762" w14:textId="77777777" w:rsidR="00AE1163" w:rsidRPr="00487834" w:rsidRDefault="00AE1163" w:rsidP="003128F6">
      <w:pPr>
        <w:spacing w:line="300" w:lineRule="auto"/>
        <w:rPr>
          <w:lang w:val="en-US"/>
        </w:rPr>
      </w:pPr>
    </w:p>
    <w:p w14:paraId="795CF736" w14:textId="77777777" w:rsidR="00AE1163" w:rsidRPr="00487834" w:rsidRDefault="00AE1163" w:rsidP="003128F6">
      <w:pPr>
        <w:spacing w:line="300" w:lineRule="auto"/>
        <w:rPr>
          <w:lang w:val="en-US"/>
        </w:rPr>
      </w:pPr>
      <w:r w:rsidRPr="00487834">
        <w:rPr>
          <w:lang w:val="en-US"/>
        </w:rPr>
        <w:t>Breusch-Pagan test statistic fixed: 450.9274109695803</w:t>
      </w:r>
    </w:p>
    <w:p w14:paraId="7E84BFEF" w14:textId="77777777" w:rsidR="00AE1163" w:rsidRPr="00487834" w:rsidRDefault="00AE1163" w:rsidP="003128F6">
      <w:pPr>
        <w:spacing w:line="300" w:lineRule="auto"/>
        <w:rPr>
          <w:lang w:val="en-US"/>
        </w:rPr>
      </w:pPr>
      <w:r w:rsidRPr="00487834">
        <w:rPr>
          <w:lang w:val="en-US"/>
        </w:rPr>
        <w:t>Breusch-Pagan test p-value fixed: 2.3548906448721295e-20</w:t>
      </w:r>
    </w:p>
    <w:p w14:paraId="45C434A0" w14:textId="77777777" w:rsidR="00AE1163" w:rsidRPr="00487834" w:rsidRDefault="00AE1163" w:rsidP="003128F6">
      <w:pPr>
        <w:spacing w:line="300" w:lineRule="auto"/>
        <w:rPr>
          <w:lang w:val="en-US"/>
        </w:rPr>
      </w:pPr>
      <w:r w:rsidRPr="00487834">
        <w:rPr>
          <w:lang w:val="en-US"/>
        </w:rPr>
        <w:t>Durbin-Watson test statistic fixed: 1.9081034693458545</w:t>
      </w:r>
    </w:p>
    <w:p w14:paraId="1323C142" w14:textId="77777777" w:rsidR="00AE1163" w:rsidRPr="00487834" w:rsidRDefault="00AE1163" w:rsidP="003128F6">
      <w:pPr>
        <w:spacing w:line="300" w:lineRule="auto"/>
        <w:rPr>
          <w:lang w:val="en-US"/>
        </w:rPr>
      </w:pPr>
      <w:r w:rsidRPr="00487834">
        <w:rPr>
          <w:lang w:val="en-US"/>
        </w:rPr>
        <w:t xml:space="preserve">Ramsey RESET test results fixed: &lt;F test: F=0.9790289247639524, p=0.3226819048776943, </w:t>
      </w:r>
      <w:proofErr w:type="spellStart"/>
      <w:r w:rsidRPr="00487834">
        <w:rPr>
          <w:lang w:val="en-US"/>
        </w:rPr>
        <w:t>df_denom</w:t>
      </w:r>
      <w:proofErr w:type="spellEnd"/>
      <w:r w:rsidRPr="00487834">
        <w:rPr>
          <w:lang w:val="en-US"/>
        </w:rPr>
        <w:t xml:space="preserve">=984, </w:t>
      </w:r>
      <w:proofErr w:type="spellStart"/>
      <w:r w:rsidRPr="00487834">
        <w:rPr>
          <w:lang w:val="en-US"/>
        </w:rPr>
        <w:t>df_num</w:t>
      </w:r>
      <w:proofErr w:type="spellEnd"/>
      <w:r w:rsidRPr="00487834">
        <w:rPr>
          <w:lang w:val="en-US"/>
        </w:rPr>
        <w:t>=1&gt;</w:t>
      </w:r>
    </w:p>
    <w:p w14:paraId="5DB9C05D" w14:textId="77777777" w:rsidR="00AE1163" w:rsidRPr="00487834" w:rsidRDefault="00AE1163" w:rsidP="003128F6">
      <w:pPr>
        <w:spacing w:line="300" w:lineRule="auto"/>
        <w:rPr>
          <w:lang w:val="en-US"/>
        </w:rPr>
      </w:pPr>
    </w:p>
    <w:p w14:paraId="3A15A340" w14:textId="77777777" w:rsidR="00AE1163" w:rsidRPr="00487834" w:rsidRDefault="00AE1163" w:rsidP="003128F6">
      <w:pPr>
        <w:spacing w:line="300" w:lineRule="auto"/>
        <w:rPr>
          <w:lang w:val="en-US"/>
        </w:rPr>
      </w:pPr>
    </w:p>
    <w:p w14:paraId="6B24A491" w14:textId="77777777" w:rsidR="00AE1163" w:rsidRPr="00487834" w:rsidRDefault="00AE1163" w:rsidP="003128F6">
      <w:pPr>
        <w:spacing w:line="300" w:lineRule="auto"/>
        <w:rPr>
          <w:lang w:val="en-US"/>
        </w:rPr>
      </w:pPr>
    </w:p>
    <w:p w14:paraId="77CA321A" w14:textId="3C821729" w:rsidR="00AE1163" w:rsidRPr="00487834" w:rsidRDefault="00AE1163" w:rsidP="003128F6">
      <w:pPr>
        <w:spacing w:line="300" w:lineRule="auto"/>
        <w:rPr>
          <w:lang w:val="en-US"/>
        </w:rPr>
      </w:pPr>
      <w:r w:rsidRPr="00487834">
        <w:rPr>
          <w:lang w:val="en-US"/>
        </w:rPr>
        <w:t>Regression on cod with lagged all except cost for all countries</w:t>
      </w:r>
      <w:r w:rsidR="00694B7F" w:rsidRPr="00487834">
        <w:rPr>
          <w:lang w:val="en-US"/>
        </w:rPr>
        <w:t>:</w:t>
      </w:r>
    </w:p>
    <w:p w14:paraId="22F11126" w14:textId="77777777" w:rsidR="00AE1163" w:rsidRPr="00487834" w:rsidRDefault="00AE1163" w:rsidP="003128F6">
      <w:pPr>
        <w:spacing w:line="300" w:lineRule="auto"/>
        <w:rPr>
          <w:lang w:val="en-US"/>
        </w:rPr>
      </w:pPr>
    </w:p>
    <w:p w14:paraId="152BA278" w14:textId="77777777" w:rsidR="00AE1163" w:rsidRPr="00487834" w:rsidRDefault="00AE1163" w:rsidP="003128F6">
      <w:pPr>
        <w:spacing w:line="300" w:lineRule="auto"/>
        <w:rPr>
          <w:lang w:val="en-US"/>
        </w:rPr>
      </w:pPr>
      <w:r w:rsidRPr="00487834">
        <w:rPr>
          <w:lang w:val="en-US"/>
        </w:rPr>
        <w:t>Breusch-Pagan test statistic random: 34.11787517729667</w:t>
      </w:r>
    </w:p>
    <w:p w14:paraId="460489E5" w14:textId="77777777" w:rsidR="00AE1163" w:rsidRPr="00487834" w:rsidRDefault="00AE1163" w:rsidP="003128F6">
      <w:pPr>
        <w:spacing w:line="300" w:lineRule="auto"/>
        <w:rPr>
          <w:lang w:val="en-US"/>
        </w:rPr>
      </w:pPr>
      <w:r w:rsidRPr="00487834">
        <w:rPr>
          <w:lang w:val="en-US"/>
        </w:rPr>
        <w:t>Breusch-Pagan test p-value random: 3.8676375577848146e-05</w:t>
      </w:r>
    </w:p>
    <w:p w14:paraId="372AE7CA" w14:textId="77777777" w:rsidR="00AE1163" w:rsidRPr="00487834" w:rsidRDefault="00AE1163" w:rsidP="003128F6">
      <w:pPr>
        <w:spacing w:line="300" w:lineRule="auto"/>
        <w:rPr>
          <w:lang w:val="en-US"/>
        </w:rPr>
      </w:pPr>
      <w:r w:rsidRPr="00487834">
        <w:rPr>
          <w:lang w:val="en-US"/>
        </w:rPr>
        <w:t>Durbin-Watson test statistic random: 1.9209134916891026</w:t>
      </w:r>
    </w:p>
    <w:p w14:paraId="040B02CF" w14:textId="77777777" w:rsidR="00AE1163" w:rsidRPr="00487834" w:rsidRDefault="00AE1163" w:rsidP="003128F6">
      <w:pPr>
        <w:spacing w:line="300" w:lineRule="auto"/>
        <w:rPr>
          <w:lang w:val="en-US"/>
        </w:rPr>
      </w:pPr>
    </w:p>
    <w:p w14:paraId="35776B2F" w14:textId="77777777" w:rsidR="00AE1163" w:rsidRPr="00487834" w:rsidRDefault="00AE1163" w:rsidP="003128F6">
      <w:pPr>
        <w:spacing w:line="300" w:lineRule="auto"/>
        <w:rPr>
          <w:lang w:val="en-US"/>
        </w:rPr>
      </w:pPr>
      <w:r w:rsidRPr="00487834">
        <w:rPr>
          <w:lang w:val="en-US"/>
        </w:rPr>
        <w:t>Breusch-Pagan test statistic fixed: 422.3438377729648</w:t>
      </w:r>
    </w:p>
    <w:p w14:paraId="4157B574" w14:textId="77777777" w:rsidR="00AE1163" w:rsidRPr="00487834" w:rsidRDefault="00AE1163" w:rsidP="003128F6">
      <w:pPr>
        <w:spacing w:line="300" w:lineRule="auto"/>
        <w:rPr>
          <w:lang w:val="en-US"/>
        </w:rPr>
      </w:pPr>
      <w:r w:rsidRPr="00487834">
        <w:rPr>
          <w:lang w:val="en-US"/>
        </w:rPr>
        <w:t>Breusch-Pagan test p-value fixed: 5.0362956536963843e-17</w:t>
      </w:r>
    </w:p>
    <w:p w14:paraId="5CD8F2A3" w14:textId="77777777" w:rsidR="00AE1163" w:rsidRPr="00487834" w:rsidRDefault="00AE1163" w:rsidP="003128F6">
      <w:pPr>
        <w:spacing w:line="300" w:lineRule="auto"/>
        <w:rPr>
          <w:lang w:val="en-US"/>
        </w:rPr>
      </w:pPr>
      <w:r w:rsidRPr="00487834">
        <w:rPr>
          <w:lang w:val="en-US"/>
        </w:rPr>
        <w:t>Durbin-Watson test statistic fixed: 2.0906922242321304</w:t>
      </w:r>
    </w:p>
    <w:p w14:paraId="75C8F6A9" w14:textId="77777777" w:rsidR="00694B7F" w:rsidRPr="00487834" w:rsidRDefault="00AE1163" w:rsidP="003128F6">
      <w:pPr>
        <w:spacing w:line="300" w:lineRule="auto"/>
        <w:rPr>
          <w:lang w:val="en-US"/>
        </w:rPr>
      </w:pPr>
      <w:r w:rsidRPr="00487834">
        <w:rPr>
          <w:lang w:val="en-US"/>
        </w:rPr>
        <w:t xml:space="preserve">Ramsey RESET test results fixed: </w:t>
      </w:r>
    </w:p>
    <w:p w14:paraId="08B26463" w14:textId="3EC1E336" w:rsidR="00694B7F" w:rsidRPr="00487834" w:rsidRDefault="00AE1163" w:rsidP="003128F6">
      <w:pPr>
        <w:spacing w:line="300" w:lineRule="auto"/>
        <w:rPr>
          <w:lang w:val="en-US"/>
        </w:rPr>
      </w:pPr>
      <w:r w:rsidRPr="00487834">
        <w:rPr>
          <w:lang w:val="en-US"/>
        </w:rPr>
        <w:t xml:space="preserve">F test: F=1.2405508356694432, p=0.2657120221051571, </w:t>
      </w:r>
    </w:p>
    <w:p w14:paraId="09E14CB5" w14:textId="2F365FC4" w:rsidR="00AE1163" w:rsidRPr="00487834" w:rsidRDefault="00AE1163" w:rsidP="003128F6">
      <w:pPr>
        <w:spacing w:line="300" w:lineRule="auto"/>
        <w:rPr>
          <w:lang w:val="en-US"/>
        </w:rPr>
      </w:pPr>
      <w:proofErr w:type="spellStart"/>
      <w:r w:rsidRPr="00487834">
        <w:rPr>
          <w:lang w:val="en-US"/>
        </w:rPr>
        <w:t>df_denom</w:t>
      </w:r>
      <w:proofErr w:type="spellEnd"/>
      <w:r w:rsidRPr="00487834">
        <w:rPr>
          <w:lang w:val="en-US"/>
        </w:rPr>
        <w:t xml:space="preserve">=771, </w:t>
      </w:r>
      <w:proofErr w:type="spellStart"/>
      <w:r w:rsidRPr="00487834">
        <w:rPr>
          <w:lang w:val="en-US"/>
        </w:rPr>
        <w:t>df_num</w:t>
      </w:r>
      <w:proofErr w:type="spellEnd"/>
      <w:r w:rsidRPr="00487834">
        <w:rPr>
          <w:lang w:val="en-US"/>
        </w:rPr>
        <w:t>=1</w:t>
      </w:r>
    </w:p>
    <w:p w14:paraId="2348680A" w14:textId="77777777" w:rsidR="00AE1163" w:rsidRPr="00487834" w:rsidRDefault="00AE1163" w:rsidP="003128F6">
      <w:pPr>
        <w:spacing w:line="300" w:lineRule="auto"/>
        <w:rPr>
          <w:lang w:val="en-US"/>
        </w:rPr>
      </w:pPr>
    </w:p>
    <w:p w14:paraId="2BCC0886" w14:textId="77777777" w:rsidR="00AE1163" w:rsidRPr="00487834" w:rsidRDefault="00AE1163" w:rsidP="003128F6">
      <w:pPr>
        <w:spacing w:line="300" w:lineRule="auto"/>
        <w:rPr>
          <w:lang w:val="en-US"/>
        </w:rPr>
      </w:pPr>
    </w:p>
    <w:p w14:paraId="4D6FBBB2" w14:textId="77777777" w:rsidR="00AE1163" w:rsidRPr="00487834" w:rsidRDefault="00AE1163" w:rsidP="003128F6">
      <w:pPr>
        <w:spacing w:line="300" w:lineRule="auto"/>
        <w:rPr>
          <w:lang w:val="en-US"/>
        </w:rPr>
      </w:pPr>
      <w:r w:rsidRPr="00487834">
        <w:rPr>
          <w:lang w:val="en-US"/>
        </w:rPr>
        <w:t>Regression on cod with no lag for Russia</w:t>
      </w:r>
    </w:p>
    <w:p w14:paraId="52806C49" w14:textId="77777777" w:rsidR="00AE1163" w:rsidRPr="00487834" w:rsidRDefault="00AE1163" w:rsidP="003128F6">
      <w:pPr>
        <w:spacing w:line="300" w:lineRule="auto"/>
        <w:rPr>
          <w:lang w:val="en-US"/>
        </w:rPr>
      </w:pPr>
    </w:p>
    <w:p w14:paraId="23C71772" w14:textId="77777777" w:rsidR="00AE1163" w:rsidRPr="00487834" w:rsidRDefault="00AE1163" w:rsidP="003128F6">
      <w:pPr>
        <w:spacing w:line="300" w:lineRule="auto"/>
        <w:rPr>
          <w:lang w:val="en-US"/>
        </w:rPr>
      </w:pPr>
      <w:r w:rsidRPr="00487834">
        <w:rPr>
          <w:lang w:val="en-US"/>
        </w:rPr>
        <w:t>Breusch-Pagan test statistic random: 24.212302295145953</w:t>
      </w:r>
    </w:p>
    <w:p w14:paraId="27DB2B9C" w14:textId="77777777" w:rsidR="00AE1163" w:rsidRPr="00487834" w:rsidRDefault="00AE1163" w:rsidP="003128F6">
      <w:pPr>
        <w:spacing w:line="300" w:lineRule="auto"/>
        <w:rPr>
          <w:lang w:val="en-US"/>
        </w:rPr>
      </w:pPr>
      <w:r w:rsidRPr="00487834">
        <w:rPr>
          <w:lang w:val="en-US"/>
        </w:rPr>
        <w:t>Breusch-Pagan test p-value random: 0.002111242790964318</w:t>
      </w:r>
    </w:p>
    <w:p w14:paraId="1E24C62F" w14:textId="77777777" w:rsidR="00AE1163" w:rsidRPr="00487834" w:rsidRDefault="00AE1163" w:rsidP="003128F6">
      <w:pPr>
        <w:spacing w:line="300" w:lineRule="auto"/>
        <w:rPr>
          <w:lang w:val="en-US"/>
        </w:rPr>
      </w:pPr>
      <w:r w:rsidRPr="00487834">
        <w:rPr>
          <w:lang w:val="en-US"/>
        </w:rPr>
        <w:t>Durbin-Watson test statistic random: 1.8975559929645127</w:t>
      </w:r>
    </w:p>
    <w:p w14:paraId="03D3A9A2" w14:textId="77777777" w:rsidR="00AE1163" w:rsidRPr="00487834" w:rsidRDefault="00AE1163" w:rsidP="003128F6">
      <w:pPr>
        <w:spacing w:line="300" w:lineRule="auto"/>
        <w:rPr>
          <w:lang w:val="en-US"/>
        </w:rPr>
      </w:pPr>
    </w:p>
    <w:p w14:paraId="6A1F53F0" w14:textId="77777777" w:rsidR="00AE1163" w:rsidRPr="00487834" w:rsidRDefault="00AE1163" w:rsidP="003128F6">
      <w:pPr>
        <w:spacing w:line="300" w:lineRule="auto"/>
        <w:rPr>
          <w:lang w:val="en-US"/>
        </w:rPr>
      </w:pPr>
      <w:r w:rsidRPr="00487834">
        <w:rPr>
          <w:lang w:val="en-US"/>
        </w:rPr>
        <w:t>Breusch-Pagan test statistic fixed: 74.76379661269814</w:t>
      </w:r>
    </w:p>
    <w:p w14:paraId="4EE3FED8" w14:textId="77777777" w:rsidR="00AE1163" w:rsidRPr="00487834" w:rsidRDefault="00AE1163" w:rsidP="003128F6">
      <w:pPr>
        <w:spacing w:line="300" w:lineRule="auto"/>
        <w:rPr>
          <w:lang w:val="en-US"/>
        </w:rPr>
      </w:pPr>
      <w:r w:rsidRPr="00487834">
        <w:rPr>
          <w:lang w:val="en-US"/>
        </w:rPr>
        <w:t>Breusch-Pagan test p-value fixed: 6.86687349123195e-05</w:t>
      </w:r>
    </w:p>
    <w:p w14:paraId="1BB48A73" w14:textId="77777777" w:rsidR="00AE1163" w:rsidRPr="00487834" w:rsidRDefault="00AE1163" w:rsidP="003128F6">
      <w:pPr>
        <w:spacing w:line="300" w:lineRule="auto"/>
        <w:rPr>
          <w:lang w:val="en-US"/>
        </w:rPr>
      </w:pPr>
      <w:r w:rsidRPr="00487834">
        <w:rPr>
          <w:lang w:val="en-US"/>
        </w:rPr>
        <w:t>Durbin-Watson test statistic fixed: 2.1146253481215136</w:t>
      </w:r>
    </w:p>
    <w:p w14:paraId="7830196B" w14:textId="77777777" w:rsidR="00AE1163" w:rsidRPr="00487834" w:rsidRDefault="00AE1163" w:rsidP="003128F6">
      <w:pPr>
        <w:spacing w:line="300" w:lineRule="auto"/>
        <w:rPr>
          <w:lang w:val="en-US"/>
        </w:rPr>
      </w:pPr>
      <w:r w:rsidRPr="00487834">
        <w:rPr>
          <w:lang w:val="en-US"/>
        </w:rPr>
        <w:lastRenderedPageBreak/>
        <w:t xml:space="preserve">Ramsey RESET test results fixed: &lt;F test: F=6.681683402509452, p=0.01098017656356929, </w:t>
      </w:r>
      <w:proofErr w:type="spellStart"/>
      <w:r w:rsidRPr="00487834">
        <w:rPr>
          <w:lang w:val="en-US"/>
        </w:rPr>
        <w:t>df_denom</w:t>
      </w:r>
      <w:proofErr w:type="spellEnd"/>
      <w:r w:rsidRPr="00487834">
        <w:rPr>
          <w:lang w:val="en-US"/>
        </w:rPr>
        <w:t xml:space="preserve">=116, </w:t>
      </w:r>
      <w:proofErr w:type="spellStart"/>
      <w:r w:rsidRPr="00487834">
        <w:rPr>
          <w:lang w:val="en-US"/>
        </w:rPr>
        <w:t>df_num</w:t>
      </w:r>
      <w:proofErr w:type="spellEnd"/>
      <w:r w:rsidRPr="00487834">
        <w:rPr>
          <w:lang w:val="en-US"/>
        </w:rPr>
        <w:t>=1&gt;</w:t>
      </w:r>
    </w:p>
    <w:p w14:paraId="684C0E30" w14:textId="77777777" w:rsidR="00AE1163" w:rsidRPr="00487834" w:rsidRDefault="00AE1163" w:rsidP="003128F6">
      <w:pPr>
        <w:spacing w:line="300" w:lineRule="auto"/>
        <w:rPr>
          <w:lang w:val="en-US"/>
        </w:rPr>
      </w:pPr>
    </w:p>
    <w:p w14:paraId="48C92C11" w14:textId="77777777" w:rsidR="00AE1163" w:rsidRPr="00487834" w:rsidRDefault="00AE1163" w:rsidP="003128F6">
      <w:pPr>
        <w:spacing w:line="300" w:lineRule="auto"/>
        <w:rPr>
          <w:lang w:val="en-US"/>
        </w:rPr>
      </w:pPr>
    </w:p>
    <w:p w14:paraId="68AC5FD7" w14:textId="77777777" w:rsidR="00AE1163" w:rsidRPr="00487834" w:rsidRDefault="00AE1163" w:rsidP="003128F6">
      <w:pPr>
        <w:spacing w:line="300" w:lineRule="auto"/>
        <w:rPr>
          <w:lang w:val="en-US"/>
        </w:rPr>
      </w:pPr>
    </w:p>
    <w:p w14:paraId="37E5A8E0" w14:textId="77777777" w:rsidR="00AE1163" w:rsidRPr="00487834" w:rsidRDefault="00AE1163" w:rsidP="003128F6">
      <w:pPr>
        <w:spacing w:line="300" w:lineRule="auto"/>
        <w:rPr>
          <w:lang w:val="en-US"/>
        </w:rPr>
      </w:pPr>
      <w:r w:rsidRPr="00487834">
        <w:rPr>
          <w:lang w:val="en-US"/>
        </w:rPr>
        <w:t xml:space="preserve">Regression on cod with lagged all except cost for Russia </w:t>
      </w:r>
    </w:p>
    <w:p w14:paraId="008C7730" w14:textId="77777777" w:rsidR="00AE1163" w:rsidRPr="00487834" w:rsidRDefault="00AE1163" w:rsidP="003128F6">
      <w:pPr>
        <w:spacing w:line="300" w:lineRule="auto"/>
        <w:rPr>
          <w:lang w:val="en-US"/>
        </w:rPr>
      </w:pPr>
    </w:p>
    <w:p w14:paraId="27C52FCD" w14:textId="77777777" w:rsidR="00AE1163" w:rsidRPr="00487834" w:rsidRDefault="00AE1163" w:rsidP="003128F6">
      <w:pPr>
        <w:spacing w:line="300" w:lineRule="auto"/>
        <w:rPr>
          <w:lang w:val="en-US"/>
        </w:rPr>
      </w:pPr>
      <w:r w:rsidRPr="00487834">
        <w:rPr>
          <w:lang w:val="en-US"/>
        </w:rPr>
        <w:t>Breusch-Pagan test statistic random: 17.01057508658608</w:t>
      </w:r>
    </w:p>
    <w:p w14:paraId="52C78A43" w14:textId="77777777" w:rsidR="00AE1163" w:rsidRPr="00487834" w:rsidRDefault="00AE1163" w:rsidP="003128F6">
      <w:pPr>
        <w:spacing w:line="300" w:lineRule="auto"/>
        <w:rPr>
          <w:lang w:val="en-US"/>
        </w:rPr>
      </w:pPr>
      <w:r w:rsidRPr="00487834">
        <w:rPr>
          <w:lang w:val="en-US"/>
        </w:rPr>
        <w:t>Breusch-Pagan test p-value random: 0.029999150365122625</w:t>
      </w:r>
    </w:p>
    <w:p w14:paraId="4C1019EC" w14:textId="77777777" w:rsidR="00AE1163" w:rsidRPr="00487834" w:rsidRDefault="00AE1163" w:rsidP="003128F6">
      <w:pPr>
        <w:spacing w:line="300" w:lineRule="auto"/>
        <w:rPr>
          <w:lang w:val="en-US"/>
        </w:rPr>
      </w:pPr>
      <w:r w:rsidRPr="00487834">
        <w:rPr>
          <w:lang w:val="en-US"/>
        </w:rPr>
        <w:t>Durbin-Watson test statistic random: 1.7484923493150453</w:t>
      </w:r>
    </w:p>
    <w:p w14:paraId="20BF5258" w14:textId="77777777" w:rsidR="00AE1163" w:rsidRPr="00487834" w:rsidRDefault="00AE1163" w:rsidP="003128F6">
      <w:pPr>
        <w:spacing w:line="300" w:lineRule="auto"/>
        <w:rPr>
          <w:lang w:val="en-US"/>
        </w:rPr>
      </w:pPr>
    </w:p>
    <w:p w14:paraId="66C6CB1D" w14:textId="77777777" w:rsidR="00AE1163" w:rsidRPr="00487834" w:rsidRDefault="00AE1163" w:rsidP="003128F6">
      <w:pPr>
        <w:spacing w:line="300" w:lineRule="auto"/>
        <w:rPr>
          <w:lang w:val="en-US"/>
        </w:rPr>
      </w:pPr>
      <w:r w:rsidRPr="00487834">
        <w:rPr>
          <w:lang w:val="en-US"/>
        </w:rPr>
        <w:t>Breusch-Pagan test statistic fixed: 54.66576707989395</w:t>
      </w:r>
    </w:p>
    <w:p w14:paraId="736B0CDF" w14:textId="77777777" w:rsidR="00AE1163" w:rsidRPr="00487834" w:rsidRDefault="00AE1163" w:rsidP="003128F6">
      <w:pPr>
        <w:spacing w:line="300" w:lineRule="auto"/>
        <w:rPr>
          <w:lang w:val="en-US"/>
        </w:rPr>
      </w:pPr>
      <w:r w:rsidRPr="00487834">
        <w:rPr>
          <w:lang w:val="en-US"/>
        </w:rPr>
        <w:t>Breusch-Pagan test p-value fixed: 0.013779474707260816</w:t>
      </w:r>
    </w:p>
    <w:p w14:paraId="6CD9B215" w14:textId="77777777" w:rsidR="00AE1163" w:rsidRPr="00487834" w:rsidRDefault="00AE1163" w:rsidP="003128F6">
      <w:pPr>
        <w:spacing w:line="300" w:lineRule="auto"/>
        <w:rPr>
          <w:lang w:val="en-US"/>
        </w:rPr>
      </w:pPr>
      <w:r w:rsidRPr="00487834">
        <w:rPr>
          <w:lang w:val="en-US"/>
        </w:rPr>
        <w:t>Durbin-Watson test statistic fixed: 1.9802743670980032</w:t>
      </w:r>
    </w:p>
    <w:p w14:paraId="7691BF32" w14:textId="77777777" w:rsidR="00AE1163" w:rsidRPr="00487834" w:rsidRDefault="00AE1163" w:rsidP="003128F6">
      <w:pPr>
        <w:spacing w:line="300" w:lineRule="auto"/>
        <w:rPr>
          <w:lang w:val="en-US"/>
        </w:rPr>
      </w:pPr>
      <w:r w:rsidRPr="00487834">
        <w:rPr>
          <w:lang w:val="en-US"/>
        </w:rPr>
        <w:t xml:space="preserve">Ramsey RESET test results fixed: &lt;F test: F=9.322973493254416, p=0.0030021369085036407, </w:t>
      </w:r>
      <w:proofErr w:type="spellStart"/>
      <w:r w:rsidRPr="00487834">
        <w:rPr>
          <w:lang w:val="en-US"/>
        </w:rPr>
        <w:t>df_denom</w:t>
      </w:r>
      <w:proofErr w:type="spellEnd"/>
      <w:r w:rsidRPr="00487834">
        <w:rPr>
          <w:lang w:val="en-US"/>
        </w:rPr>
        <w:t xml:space="preserve">=87, </w:t>
      </w:r>
      <w:proofErr w:type="spellStart"/>
      <w:r w:rsidRPr="00487834">
        <w:rPr>
          <w:lang w:val="en-US"/>
        </w:rPr>
        <w:t>df_num</w:t>
      </w:r>
      <w:proofErr w:type="spellEnd"/>
      <w:r w:rsidRPr="00487834">
        <w:rPr>
          <w:lang w:val="en-US"/>
        </w:rPr>
        <w:t>=1&gt;</w:t>
      </w:r>
    </w:p>
    <w:p w14:paraId="5060CCD6" w14:textId="77777777" w:rsidR="00AE1163" w:rsidRPr="00487834" w:rsidRDefault="00AE1163" w:rsidP="003128F6">
      <w:pPr>
        <w:spacing w:line="300" w:lineRule="auto"/>
        <w:rPr>
          <w:lang w:val="en-US"/>
        </w:rPr>
      </w:pPr>
    </w:p>
    <w:p w14:paraId="2C9F0855" w14:textId="77777777" w:rsidR="00AE1163" w:rsidRPr="00487834" w:rsidRDefault="00AE1163" w:rsidP="003128F6">
      <w:pPr>
        <w:spacing w:line="300" w:lineRule="auto"/>
        <w:rPr>
          <w:lang w:val="en-US"/>
        </w:rPr>
      </w:pPr>
    </w:p>
    <w:p w14:paraId="6C0F6F81" w14:textId="77777777" w:rsidR="00AE1163" w:rsidRPr="00487834" w:rsidRDefault="00AE1163" w:rsidP="003128F6">
      <w:pPr>
        <w:spacing w:line="300" w:lineRule="auto"/>
        <w:rPr>
          <w:lang w:val="en-US"/>
        </w:rPr>
      </w:pPr>
    </w:p>
    <w:p w14:paraId="2735A4C5" w14:textId="77777777" w:rsidR="00AE1163" w:rsidRPr="00487834" w:rsidRDefault="00AE1163" w:rsidP="003128F6">
      <w:pPr>
        <w:spacing w:line="300" w:lineRule="auto"/>
        <w:rPr>
          <w:lang w:val="en-US"/>
        </w:rPr>
      </w:pPr>
      <w:r w:rsidRPr="00487834">
        <w:rPr>
          <w:lang w:val="en-US"/>
        </w:rPr>
        <w:t xml:space="preserve">Regression on cod with no lag for Brazil </w:t>
      </w:r>
    </w:p>
    <w:p w14:paraId="4FFEEB9D" w14:textId="77777777" w:rsidR="00AE1163" w:rsidRPr="00487834" w:rsidRDefault="00AE1163" w:rsidP="003128F6">
      <w:pPr>
        <w:spacing w:line="300" w:lineRule="auto"/>
        <w:rPr>
          <w:lang w:val="en-US"/>
        </w:rPr>
      </w:pPr>
    </w:p>
    <w:p w14:paraId="01A1BBE8" w14:textId="77777777" w:rsidR="00AE1163" w:rsidRPr="00487834" w:rsidRDefault="00AE1163" w:rsidP="003128F6">
      <w:pPr>
        <w:spacing w:line="300" w:lineRule="auto"/>
        <w:rPr>
          <w:lang w:val="en-US"/>
        </w:rPr>
      </w:pPr>
      <w:r w:rsidRPr="00487834">
        <w:rPr>
          <w:lang w:val="en-US"/>
        </w:rPr>
        <w:t>Breusch-Pagan test statistic random: 22.781009677268138</w:t>
      </w:r>
    </w:p>
    <w:p w14:paraId="34B26CE7" w14:textId="77777777" w:rsidR="00AE1163" w:rsidRPr="00487834" w:rsidRDefault="00AE1163" w:rsidP="003128F6">
      <w:pPr>
        <w:spacing w:line="300" w:lineRule="auto"/>
        <w:rPr>
          <w:lang w:val="en-US"/>
        </w:rPr>
      </w:pPr>
      <w:r w:rsidRPr="00487834">
        <w:rPr>
          <w:lang w:val="en-US"/>
        </w:rPr>
        <w:t>Breusch-Pagan test p-value random: 0.003657081291534009</w:t>
      </w:r>
    </w:p>
    <w:p w14:paraId="3C08A78C" w14:textId="77777777" w:rsidR="00AE1163" w:rsidRPr="00487834" w:rsidRDefault="00AE1163" w:rsidP="003128F6">
      <w:pPr>
        <w:spacing w:line="300" w:lineRule="auto"/>
        <w:rPr>
          <w:lang w:val="en-US"/>
        </w:rPr>
      </w:pPr>
      <w:r w:rsidRPr="00487834">
        <w:rPr>
          <w:lang w:val="en-US"/>
        </w:rPr>
        <w:t>Durbin-Watson test statistic random: 1.6861556547469114</w:t>
      </w:r>
    </w:p>
    <w:p w14:paraId="33106BBB" w14:textId="77777777" w:rsidR="00AE1163" w:rsidRPr="00487834" w:rsidRDefault="00AE1163" w:rsidP="003128F6">
      <w:pPr>
        <w:spacing w:line="300" w:lineRule="auto"/>
        <w:rPr>
          <w:lang w:val="en-US"/>
        </w:rPr>
      </w:pPr>
    </w:p>
    <w:p w14:paraId="1801BA34" w14:textId="77777777" w:rsidR="00AE1163" w:rsidRPr="00487834" w:rsidRDefault="00AE1163" w:rsidP="003128F6">
      <w:pPr>
        <w:spacing w:line="300" w:lineRule="auto"/>
        <w:rPr>
          <w:lang w:val="en-US"/>
        </w:rPr>
      </w:pPr>
      <w:r w:rsidRPr="00487834">
        <w:rPr>
          <w:lang w:val="en-US"/>
        </w:rPr>
        <w:t>Breusch-Pagan test statistic fixed: 125.95036937353942</w:t>
      </w:r>
    </w:p>
    <w:p w14:paraId="15512B7E" w14:textId="77777777" w:rsidR="00AE1163" w:rsidRPr="00487834" w:rsidRDefault="00AE1163" w:rsidP="003128F6">
      <w:pPr>
        <w:spacing w:line="300" w:lineRule="auto"/>
        <w:rPr>
          <w:lang w:val="en-US"/>
        </w:rPr>
      </w:pPr>
      <w:r w:rsidRPr="00487834">
        <w:rPr>
          <w:lang w:val="en-US"/>
        </w:rPr>
        <w:t>Breusch-Pagan test p-value fixed: 0.10187441464556074</w:t>
      </w:r>
    </w:p>
    <w:p w14:paraId="65FE4901" w14:textId="77777777" w:rsidR="00AE1163" w:rsidRPr="00487834" w:rsidRDefault="00AE1163" w:rsidP="003128F6">
      <w:pPr>
        <w:spacing w:line="300" w:lineRule="auto"/>
        <w:rPr>
          <w:lang w:val="en-US"/>
        </w:rPr>
      </w:pPr>
      <w:r w:rsidRPr="00487834">
        <w:rPr>
          <w:lang w:val="en-US"/>
        </w:rPr>
        <w:t>Durbin-Watson test statistic fixed: 1.8254104434737657</w:t>
      </w:r>
    </w:p>
    <w:p w14:paraId="67438919" w14:textId="77777777" w:rsidR="00AE1163" w:rsidRPr="00487834" w:rsidRDefault="00AE1163" w:rsidP="003128F6">
      <w:pPr>
        <w:spacing w:line="300" w:lineRule="auto"/>
        <w:rPr>
          <w:lang w:val="en-US"/>
        </w:rPr>
      </w:pPr>
      <w:r w:rsidRPr="00487834">
        <w:rPr>
          <w:lang w:val="en-US"/>
        </w:rPr>
        <w:t xml:space="preserve">Ramsey RESET test results fixed: &lt;F test: F=0.6848870127794005, p=0.4083596225176509, </w:t>
      </w:r>
      <w:proofErr w:type="spellStart"/>
      <w:r w:rsidRPr="00487834">
        <w:rPr>
          <w:lang w:val="en-US"/>
        </w:rPr>
        <w:t>df_denom</w:t>
      </w:r>
      <w:proofErr w:type="spellEnd"/>
      <w:r w:rsidRPr="00487834">
        <w:rPr>
          <w:lang w:val="en-US"/>
        </w:rPr>
        <w:t xml:space="preserve">=438, </w:t>
      </w:r>
      <w:proofErr w:type="spellStart"/>
      <w:r w:rsidRPr="00487834">
        <w:rPr>
          <w:lang w:val="en-US"/>
        </w:rPr>
        <w:t>df_num</w:t>
      </w:r>
      <w:proofErr w:type="spellEnd"/>
      <w:r w:rsidRPr="00487834">
        <w:rPr>
          <w:lang w:val="en-US"/>
        </w:rPr>
        <w:t>=1&gt;</w:t>
      </w:r>
    </w:p>
    <w:p w14:paraId="24EF66D7" w14:textId="77777777" w:rsidR="00AE1163" w:rsidRPr="00487834" w:rsidRDefault="00AE1163" w:rsidP="003128F6">
      <w:pPr>
        <w:spacing w:line="300" w:lineRule="auto"/>
        <w:rPr>
          <w:lang w:val="en-US"/>
        </w:rPr>
      </w:pPr>
    </w:p>
    <w:p w14:paraId="0F490905" w14:textId="77777777" w:rsidR="00AE1163" w:rsidRPr="00487834" w:rsidRDefault="00AE1163" w:rsidP="003128F6">
      <w:pPr>
        <w:spacing w:line="300" w:lineRule="auto"/>
        <w:rPr>
          <w:lang w:val="en-US"/>
        </w:rPr>
      </w:pPr>
    </w:p>
    <w:p w14:paraId="7FEBC028" w14:textId="77777777" w:rsidR="00AE1163" w:rsidRPr="00487834" w:rsidRDefault="00AE1163" w:rsidP="003128F6">
      <w:pPr>
        <w:spacing w:line="300" w:lineRule="auto"/>
        <w:rPr>
          <w:lang w:val="en-US"/>
        </w:rPr>
      </w:pPr>
    </w:p>
    <w:p w14:paraId="1237B958" w14:textId="77777777" w:rsidR="00AE1163" w:rsidRPr="00487834" w:rsidRDefault="00AE1163" w:rsidP="003128F6">
      <w:pPr>
        <w:spacing w:line="300" w:lineRule="auto"/>
        <w:rPr>
          <w:lang w:val="en-US"/>
        </w:rPr>
      </w:pPr>
      <w:r w:rsidRPr="00487834">
        <w:rPr>
          <w:lang w:val="en-US"/>
        </w:rPr>
        <w:t xml:space="preserve">Regression on cod with lagged all except cost for Brazil </w:t>
      </w:r>
    </w:p>
    <w:p w14:paraId="7ECE0D5A" w14:textId="77777777" w:rsidR="00AE1163" w:rsidRPr="00487834" w:rsidRDefault="00AE1163" w:rsidP="003128F6">
      <w:pPr>
        <w:spacing w:line="300" w:lineRule="auto"/>
        <w:rPr>
          <w:lang w:val="en-US"/>
        </w:rPr>
      </w:pPr>
      <w:r w:rsidRPr="00487834">
        <w:rPr>
          <w:lang w:val="en-US"/>
        </w:rPr>
        <w:t>Breusch-Pagan test statistic random: 16.969433117809032</w:t>
      </w:r>
    </w:p>
    <w:p w14:paraId="41E3323A" w14:textId="77777777" w:rsidR="00AE1163" w:rsidRPr="00487834" w:rsidRDefault="00AE1163" w:rsidP="003128F6">
      <w:pPr>
        <w:spacing w:line="300" w:lineRule="auto"/>
        <w:rPr>
          <w:lang w:val="en-US"/>
        </w:rPr>
      </w:pPr>
      <w:r w:rsidRPr="00487834">
        <w:rPr>
          <w:lang w:val="en-US"/>
        </w:rPr>
        <w:t>Breusch-Pagan test p-value random: 0.030428948631613207</w:t>
      </w:r>
    </w:p>
    <w:p w14:paraId="440AB090" w14:textId="77777777" w:rsidR="00AE1163" w:rsidRPr="00487834" w:rsidRDefault="00AE1163" w:rsidP="003128F6">
      <w:pPr>
        <w:spacing w:line="300" w:lineRule="auto"/>
        <w:rPr>
          <w:lang w:val="en-US"/>
        </w:rPr>
      </w:pPr>
      <w:r w:rsidRPr="00487834">
        <w:rPr>
          <w:lang w:val="en-US"/>
        </w:rPr>
        <w:t>Durbin-Watson test statistic random: 2.0852886371181136</w:t>
      </w:r>
    </w:p>
    <w:p w14:paraId="692467D1" w14:textId="77777777" w:rsidR="00AE1163" w:rsidRPr="00487834" w:rsidRDefault="00AE1163" w:rsidP="003128F6">
      <w:pPr>
        <w:spacing w:line="300" w:lineRule="auto"/>
        <w:rPr>
          <w:lang w:val="en-US"/>
        </w:rPr>
      </w:pPr>
    </w:p>
    <w:p w14:paraId="34AF9F28" w14:textId="77777777" w:rsidR="00AE1163" w:rsidRPr="00487834" w:rsidRDefault="00AE1163" w:rsidP="003128F6">
      <w:pPr>
        <w:spacing w:line="300" w:lineRule="auto"/>
        <w:rPr>
          <w:lang w:val="en-US"/>
        </w:rPr>
      </w:pPr>
      <w:r w:rsidRPr="00487834">
        <w:rPr>
          <w:lang w:val="en-US"/>
        </w:rPr>
        <w:t>Breusch-Pagan test statistic fixed: 134.24446085859861</w:t>
      </w:r>
    </w:p>
    <w:p w14:paraId="5079A064" w14:textId="77777777" w:rsidR="00AE1163" w:rsidRPr="00487834" w:rsidRDefault="00AE1163" w:rsidP="003128F6">
      <w:pPr>
        <w:spacing w:line="300" w:lineRule="auto"/>
        <w:rPr>
          <w:lang w:val="en-US"/>
        </w:rPr>
      </w:pPr>
      <w:r w:rsidRPr="00487834">
        <w:rPr>
          <w:lang w:val="en-US"/>
        </w:rPr>
        <w:t>Breusch-Pagan test p-value fixed: 0.038446016087194536</w:t>
      </w:r>
    </w:p>
    <w:p w14:paraId="650AF484" w14:textId="77777777" w:rsidR="00AE1163" w:rsidRPr="00487834" w:rsidRDefault="00AE1163" w:rsidP="003128F6">
      <w:pPr>
        <w:spacing w:line="300" w:lineRule="auto"/>
        <w:rPr>
          <w:lang w:val="en-US"/>
        </w:rPr>
      </w:pPr>
      <w:r w:rsidRPr="00487834">
        <w:rPr>
          <w:lang w:val="en-US"/>
        </w:rPr>
        <w:t>Durbin-Watson test statistic fixed: 2.2025729028561276</w:t>
      </w:r>
    </w:p>
    <w:p w14:paraId="70536423" w14:textId="77777777" w:rsidR="00AE1163" w:rsidRPr="00487834" w:rsidRDefault="00AE1163" w:rsidP="003128F6">
      <w:pPr>
        <w:spacing w:line="300" w:lineRule="auto"/>
        <w:rPr>
          <w:lang w:val="en-US"/>
        </w:rPr>
      </w:pPr>
      <w:r w:rsidRPr="00487834">
        <w:rPr>
          <w:lang w:val="en-US"/>
        </w:rPr>
        <w:lastRenderedPageBreak/>
        <w:t xml:space="preserve">Ramsey RESET test results fixed: &lt;F test: F=0.5783135086789681, p=0.44750116574255383, </w:t>
      </w:r>
      <w:proofErr w:type="spellStart"/>
      <w:r w:rsidRPr="00487834">
        <w:rPr>
          <w:lang w:val="en-US"/>
        </w:rPr>
        <w:t>df_denom</w:t>
      </w:r>
      <w:proofErr w:type="spellEnd"/>
      <w:r w:rsidRPr="00487834">
        <w:rPr>
          <w:lang w:val="en-US"/>
        </w:rPr>
        <w:t xml:space="preserve">=340, </w:t>
      </w:r>
      <w:proofErr w:type="spellStart"/>
      <w:r w:rsidRPr="00487834">
        <w:rPr>
          <w:lang w:val="en-US"/>
        </w:rPr>
        <w:t>df_num</w:t>
      </w:r>
      <w:proofErr w:type="spellEnd"/>
      <w:r w:rsidRPr="00487834">
        <w:rPr>
          <w:lang w:val="en-US"/>
        </w:rPr>
        <w:t>=1&gt;</w:t>
      </w:r>
    </w:p>
    <w:p w14:paraId="4A357A0A" w14:textId="77777777" w:rsidR="00AE1163" w:rsidRPr="00487834" w:rsidRDefault="00AE1163" w:rsidP="003128F6">
      <w:pPr>
        <w:spacing w:line="300" w:lineRule="auto"/>
        <w:rPr>
          <w:lang w:val="en-US"/>
        </w:rPr>
      </w:pPr>
    </w:p>
    <w:p w14:paraId="0097BE0F" w14:textId="77777777" w:rsidR="00AE1163" w:rsidRPr="00487834" w:rsidRDefault="00AE1163" w:rsidP="003128F6">
      <w:pPr>
        <w:spacing w:line="300" w:lineRule="auto"/>
        <w:rPr>
          <w:lang w:val="en-US"/>
        </w:rPr>
      </w:pPr>
    </w:p>
    <w:p w14:paraId="5862F28E" w14:textId="77777777" w:rsidR="00AE1163" w:rsidRPr="00487834" w:rsidRDefault="00AE1163" w:rsidP="003128F6">
      <w:pPr>
        <w:spacing w:line="300" w:lineRule="auto"/>
        <w:rPr>
          <w:lang w:val="en-US"/>
        </w:rPr>
      </w:pPr>
    </w:p>
    <w:p w14:paraId="670018C3" w14:textId="77777777" w:rsidR="00AE1163" w:rsidRPr="00487834" w:rsidRDefault="00AE1163" w:rsidP="003128F6">
      <w:pPr>
        <w:spacing w:line="300" w:lineRule="auto"/>
        <w:rPr>
          <w:lang w:val="en-US"/>
        </w:rPr>
      </w:pPr>
      <w:r w:rsidRPr="00487834">
        <w:rPr>
          <w:lang w:val="en-US"/>
        </w:rPr>
        <w:t xml:space="preserve">Regression on cod with no lag for </w:t>
      </w:r>
      <w:proofErr w:type="spellStart"/>
      <w:r w:rsidRPr="00487834">
        <w:rPr>
          <w:lang w:val="en-US"/>
        </w:rPr>
        <w:t>South_Africa</w:t>
      </w:r>
      <w:proofErr w:type="spellEnd"/>
    </w:p>
    <w:p w14:paraId="09C2DAB8" w14:textId="77777777" w:rsidR="00AE1163" w:rsidRPr="00487834" w:rsidRDefault="00AE1163" w:rsidP="003128F6">
      <w:pPr>
        <w:spacing w:line="300" w:lineRule="auto"/>
        <w:rPr>
          <w:lang w:val="en-US"/>
        </w:rPr>
      </w:pPr>
    </w:p>
    <w:p w14:paraId="134D6B36" w14:textId="77777777" w:rsidR="00AE1163" w:rsidRPr="00487834" w:rsidRDefault="00AE1163" w:rsidP="003128F6">
      <w:pPr>
        <w:spacing w:line="300" w:lineRule="auto"/>
        <w:rPr>
          <w:lang w:val="en-US"/>
        </w:rPr>
      </w:pPr>
      <w:r w:rsidRPr="00487834">
        <w:rPr>
          <w:lang w:val="en-US"/>
        </w:rPr>
        <w:t>Breusch-Pagan test statistic random: 12.079877486373778</w:t>
      </w:r>
    </w:p>
    <w:p w14:paraId="1C16AA18" w14:textId="77777777" w:rsidR="00AE1163" w:rsidRPr="00487834" w:rsidRDefault="00AE1163" w:rsidP="003128F6">
      <w:pPr>
        <w:spacing w:line="300" w:lineRule="auto"/>
        <w:rPr>
          <w:lang w:val="en-US"/>
        </w:rPr>
      </w:pPr>
      <w:r w:rsidRPr="00487834">
        <w:rPr>
          <w:lang w:val="en-US"/>
        </w:rPr>
        <w:t>Breusch-Pagan test p-value random: 0.1476753725218269</w:t>
      </w:r>
    </w:p>
    <w:p w14:paraId="2C882C64" w14:textId="77777777" w:rsidR="00AE1163" w:rsidRPr="00487834" w:rsidRDefault="00AE1163" w:rsidP="003128F6">
      <w:pPr>
        <w:spacing w:line="300" w:lineRule="auto"/>
        <w:rPr>
          <w:lang w:val="en-US"/>
        </w:rPr>
      </w:pPr>
      <w:r w:rsidRPr="00487834">
        <w:rPr>
          <w:lang w:val="en-US"/>
        </w:rPr>
        <w:t>Durbin-Watson test statistic random: 1.8327501216934317</w:t>
      </w:r>
    </w:p>
    <w:p w14:paraId="7F1BD1B7" w14:textId="77777777" w:rsidR="00AE1163" w:rsidRPr="00487834" w:rsidRDefault="00AE1163" w:rsidP="003128F6">
      <w:pPr>
        <w:spacing w:line="300" w:lineRule="auto"/>
        <w:rPr>
          <w:lang w:val="en-US"/>
        </w:rPr>
      </w:pPr>
    </w:p>
    <w:p w14:paraId="69494E11" w14:textId="77777777" w:rsidR="00AE1163" w:rsidRPr="00487834" w:rsidRDefault="00AE1163" w:rsidP="003128F6">
      <w:pPr>
        <w:spacing w:line="300" w:lineRule="auto"/>
        <w:rPr>
          <w:lang w:val="en-US"/>
        </w:rPr>
      </w:pPr>
      <w:r w:rsidRPr="00487834">
        <w:rPr>
          <w:lang w:val="en-US"/>
        </w:rPr>
        <w:t>Breusch-Pagan test statistic fixed: 91.6806690539654</w:t>
      </w:r>
    </w:p>
    <w:p w14:paraId="3C44D44B" w14:textId="77777777" w:rsidR="00AE1163" w:rsidRPr="00487834" w:rsidRDefault="00AE1163" w:rsidP="003128F6">
      <w:pPr>
        <w:spacing w:line="300" w:lineRule="auto"/>
        <w:rPr>
          <w:lang w:val="en-US"/>
        </w:rPr>
      </w:pPr>
      <w:r w:rsidRPr="00487834">
        <w:rPr>
          <w:lang w:val="en-US"/>
        </w:rPr>
        <w:t>Breusch-Pagan test p-value fixed: 0.15581959393189154</w:t>
      </w:r>
    </w:p>
    <w:p w14:paraId="37910D39" w14:textId="77777777" w:rsidR="00AE1163" w:rsidRPr="00487834" w:rsidRDefault="00AE1163" w:rsidP="003128F6">
      <w:pPr>
        <w:spacing w:line="300" w:lineRule="auto"/>
        <w:rPr>
          <w:lang w:val="en-US"/>
        </w:rPr>
      </w:pPr>
      <w:r w:rsidRPr="00487834">
        <w:rPr>
          <w:lang w:val="en-US"/>
        </w:rPr>
        <w:t>Durbin-Watson test statistic fixed: 1.9178405061130344</w:t>
      </w:r>
    </w:p>
    <w:p w14:paraId="52B52497" w14:textId="77777777" w:rsidR="00AE1163" w:rsidRPr="00487834" w:rsidRDefault="00AE1163" w:rsidP="003128F6">
      <w:pPr>
        <w:spacing w:line="300" w:lineRule="auto"/>
        <w:rPr>
          <w:lang w:val="en-US"/>
        </w:rPr>
      </w:pPr>
      <w:r w:rsidRPr="00487834">
        <w:rPr>
          <w:lang w:val="en-US"/>
        </w:rPr>
        <w:t xml:space="preserve">Ramsey RESET test results fixed: &lt;F test: F=1.0542118072190059, p=0.30514148733547264, </w:t>
      </w:r>
      <w:proofErr w:type="spellStart"/>
      <w:r w:rsidRPr="00487834">
        <w:rPr>
          <w:lang w:val="en-US"/>
        </w:rPr>
        <w:t>df_denom</w:t>
      </w:r>
      <w:proofErr w:type="spellEnd"/>
      <w:r w:rsidRPr="00487834">
        <w:rPr>
          <w:lang w:val="en-US"/>
        </w:rPr>
        <w:t xml:space="preserve">=412, </w:t>
      </w:r>
      <w:proofErr w:type="spellStart"/>
      <w:r w:rsidRPr="00487834">
        <w:rPr>
          <w:lang w:val="en-US"/>
        </w:rPr>
        <w:t>df_num</w:t>
      </w:r>
      <w:proofErr w:type="spellEnd"/>
      <w:r w:rsidRPr="00487834">
        <w:rPr>
          <w:lang w:val="en-US"/>
        </w:rPr>
        <w:t>=1&gt;</w:t>
      </w:r>
    </w:p>
    <w:p w14:paraId="0A498961" w14:textId="77777777" w:rsidR="00AE1163" w:rsidRPr="00487834" w:rsidRDefault="00AE1163" w:rsidP="003128F6">
      <w:pPr>
        <w:spacing w:line="300" w:lineRule="auto"/>
        <w:rPr>
          <w:lang w:val="en-US"/>
        </w:rPr>
      </w:pPr>
    </w:p>
    <w:p w14:paraId="4227FD85" w14:textId="77777777" w:rsidR="00AE1163" w:rsidRPr="00487834" w:rsidRDefault="00AE1163" w:rsidP="003128F6">
      <w:pPr>
        <w:spacing w:line="300" w:lineRule="auto"/>
        <w:rPr>
          <w:lang w:val="en-US"/>
        </w:rPr>
      </w:pPr>
    </w:p>
    <w:p w14:paraId="1335A266" w14:textId="77777777" w:rsidR="00AE1163" w:rsidRPr="00487834" w:rsidRDefault="00AE1163" w:rsidP="003128F6">
      <w:pPr>
        <w:spacing w:line="300" w:lineRule="auto"/>
        <w:rPr>
          <w:lang w:val="en-US"/>
        </w:rPr>
      </w:pPr>
    </w:p>
    <w:p w14:paraId="0BA3D6AF" w14:textId="77777777" w:rsidR="00AE1163" w:rsidRPr="00487834" w:rsidRDefault="00AE1163" w:rsidP="003128F6">
      <w:pPr>
        <w:spacing w:line="300" w:lineRule="auto"/>
        <w:rPr>
          <w:lang w:val="en-US"/>
        </w:rPr>
      </w:pPr>
      <w:r w:rsidRPr="00487834">
        <w:rPr>
          <w:lang w:val="en-US"/>
        </w:rPr>
        <w:t xml:space="preserve">Regression on cod with lagged all except cost for </w:t>
      </w:r>
      <w:proofErr w:type="spellStart"/>
      <w:r w:rsidRPr="00487834">
        <w:rPr>
          <w:lang w:val="en-US"/>
        </w:rPr>
        <w:t>South_Africa</w:t>
      </w:r>
      <w:proofErr w:type="spellEnd"/>
    </w:p>
    <w:p w14:paraId="276FB0D2" w14:textId="77777777" w:rsidR="00AE1163" w:rsidRPr="00487834" w:rsidRDefault="00AE1163" w:rsidP="003128F6">
      <w:pPr>
        <w:spacing w:line="300" w:lineRule="auto"/>
        <w:rPr>
          <w:lang w:val="en-US"/>
        </w:rPr>
      </w:pPr>
    </w:p>
    <w:p w14:paraId="02DF3971" w14:textId="77777777" w:rsidR="00AE1163" w:rsidRPr="00487834" w:rsidRDefault="00AE1163" w:rsidP="003128F6">
      <w:pPr>
        <w:spacing w:line="300" w:lineRule="auto"/>
        <w:rPr>
          <w:lang w:val="en-US"/>
        </w:rPr>
      </w:pPr>
      <w:r w:rsidRPr="00487834">
        <w:rPr>
          <w:lang w:val="en-US"/>
        </w:rPr>
        <w:t>Breusch-Pagan test statistic random: 12.240900025110141</w:t>
      </w:r>
    </w:p>
    <w:p w14:paraId="48AB4CA9" w14:textId="77777777" w:rsidR="00AE1163" w:rsidRPr="00487834" w:rsidRDefault="00AE1163" w:rsidP="003128F6">
      <w:pPr>
        <w:spacing w:line="300" w:lineRule="auto"/>
        <w:rPr>
          <w:lang w:val="en-US"/>
        </w:rPr>
      </w:pPr>
      <w:r w:rsidRPr="00487834">
        <w:rPr>
          <w:lang w:val="en-US"/>
        </w:rPr>
        <w:t>Breusch-Pagan test p-value random: 0.14077482534270255</w:t>
      </w:r>
    </w:p>
    <w:p w14:paraId="6EA8DA78" w14:textId="77777777" w:rsidR="00AE1163" w:rsidRPr="00487834" w:rsidRDefault="00AE1163" w:rsidP="003128F6">
      <w:pPr>
        <w:spacing w:line="300" w:lineRule="auto"/>
        <w:rPr>
          <w:lang w:val="en-US"/>
        </w:rPr>
      </w:pPr>
      <w:r w:rsidRPr="00487834">
        <w:rPr>
          <w:lang w:val="en-US"/>
        </w:rPr>
        <w:t>Durbin-Watson test statistic random: 1.9858025831288255</w:t>
      </w:r>
    </w:p>
    <w:p w14:paraId="5ED20DBA" w14:textId="77777777" w:rsidR="00AE1163" w:rsidRPr="00487834" w:rsidRDefault="00AE1163" w:rsidP="003128F6">
      <w:pPr>
        <w:spacing w:line="300" w:lineRule="auto"/>
        <w:rPr>
          <w:lang w:val="en-US"/>
        </w:rPr>
      </w:pPr>
    </w:p>
    <w:p w14:paraId="3B657435" w14:textId="77777777" w:rsidR="00AE1163" w:rsidRPr="00487834" w:rsidRDefault="00AE1163" w:rsidP="003128F6">
      <w:pPr>
        <w:spacing w:line="300" w:lineRule="auto"/>
        <w:rPr>
          <w:lang w:val="en-US"/>
        </w:rPr>
      </w:pPr>
      <w:r w:rsidRPr="00487834">
        <w:rPr>
          <w:lang w:val="en-US"/>
        </w:rPr>
        <w:t>Breusch-Pagan test statistic fixed: 99.88798626381192</w:t>
      </w:r>
    </w:p>
    <w:p w14:paraId="3E27F4B7" w14:textId="77777777" w:rsidR="00AE1163" w:rsidRPr="00487834" w:rsidRDefault="00AE1163" w:rsidP="003128F6">
      <w:pPr>
        <w:spacing w:line="300" w:lineRule="auto"/>
        <w:rPr>
          <w:lang w:val="en-US"/>
        </w:rPr>
      </w:pPr>
      <w:r w:rsidRPr="00487834">
        <w:rPr>
          <w:lang w:val="en-US"/>
        </w:rPr>
        <w:t>Breusch-Pagan test p-value fixed: 0.0563226031081011</w:t>
      </w:r>
    </w:p>
    <w:p w14:paraId="1DE3D3B2" w14:textId="77777777" w:rsidR="00AE1163" w:rsidRPr="00487834" w:rsidRDefault="00AE1163" w:rsidP="003128F6">
      <w:pPr>
        <w:spacing w:line="300" w:lineRule="auto"/>
        <w:rPr>
          <w:lang w:val="en-US"/>
        </w:rPr>
      </w:pPr>
      <w:r w:rsidRPr="00487834">
        <w:rPr>
          <w:lang w:val="en-US"/>
        </w:rPr>
        <w:t>Durbin-Watson test statistic fixed: 2.1911793172792327</w:t>
      </w:r>
    </w:p>
    <w:p w14:paraId="483D0484" w14:textId="77777777" w:rsidR="00AE1163" w:rsidRPr="00487834" w:rsidRDefault="00AE1163" w:rsidP="003128F6">
      <w:pPr>
        <w:spacing w:line="300" w:lineRule="auto"/>
        <w:rPr>
          <w:lang w:val="en-US"/>
        </w:rPr>
      </w:pPr>
      <w:r w:rsidRPr="00487834">
        <w:rPr>
          <w:lang w:val="en-US"/>
        </w:rPr>
        <w:t xml:space="preserve">Ramsey RESET test results fixed: &lt;F test: F=0.7777024455166932, p=0.3784944895829063, </w:t>
      </w:r>
      <w:proofErr w:type="spellStart"/>
      <w:r w:rsidRPr="00487834">
        <w:rPr>
          <w:lang w:val="en-US"/>
        </w:rPr>
        <w:t>df_denom</w:t>
      </w:r>
      <w:proofErr w:type="spellEnd"/>
      <w:r w:rsidRPr="00487834">
        <w:rPr>
          <w:lang w:val="en-US"/>
        </w:rPr>
        <w:t xml:space="preserve">=326, </w:t>
      </w:r>
      <w:proofErr w:type="spellStart"/>
      <w:r w:rsidRPr="00487834">
        <w:rPr>
          <w:lang w:val="en-US"/>
        </w:rPr>
        <w:t>df_num</w:t>
      </w:r>
      <w:proofErr w:type="spellEnd"/>
      <w:r w:rsidRPr="00487834">
        <w:rPr>
          <w:lang w:val="en-US"/>
        </w:rPr>
        <w:t>=1&gt;</w:t>
      </w:r>
    </w:p>
    <w:p w14:paraId="67E32646" w14:textId="77777777" w:rsidR="00AE1163" w:rsidRPr="00487834" w:rsidRDefault="00AE1163" w:rsidP="003128F6">
      <w:pPr>
        <w:spacing w:line="300" w:lineRule="auto"/>
        <w:rPr>
          <w:lang w:val="en-US"/>
        </w:rPr>
      </w:pPr>
    </w:p>
    <w:p w14:paraId="104041F8" w14:textId="77777777" w:rsidR="00AE1163" w:rsidRPr="00487834" w:rsidRDefault="00AE1163" w:rsidP="003128F6">
      <w:pPr>
        <w:spacing w:line="300" w:lineRule="auto"/>
        <w:rPr>
          <w:lang w:val="en-US"/>
        </w:rPr>
      </w:pPr>
    </w:p>
    <w:p w14:paraId="0C2F8836" w14:textId="77777777" w:rsidR="00AE1163" w:rsidRPr="00487834" w:rsidRDefault="00AE1163" w:rsidP="003128F6">
      <w:pPr>
        <w:spacing w:line="300" w:lineRule="auto"/>
        <w:rPr>
          <w:lang w:val="en-US"/>
        </w:rPr>
      </w:pPr>
    </w:p>
    <w:p w14:paraId="16892D2D" w14:textId="77777777" w:rsidR="00AE1163" w:rsidRPr="00487834" w:rsidRDefault="00AE1163" w:rsidP="003128F6">
      <w:pPr>
        <w:spacing w:line="300" w:lineRule="auto"/>
        <w:rPr>
          <w:lang w:val="en-US"/>
        </w:rPr>
      </w:pPr>
      <w:r w:rsidRPr="00487834">
        <w:rPr>
          <w:lang w:val="en-US"/>
        </w:rPr>
        <w:t xml:space="preserve">Regression on </w:t>
      </w:r>
      <w:proofErr w:type="spellStart"/>
      <w:r w:rsidRPr="00487834">
        <w:rPr>
          <w:lang w:val="en-US"/>
        </w:rPr>
        <w:t>coe</w:t>
      </w:r>
      <w:proofErr w:type="spellEnd"/>
      <w:r w:rsidRPr="00487834">
        <w:rPr>
          <w:lang w:val="en-US"/>
        </w:rPr>
        <w:t xml:space="preserve"> with no lag for all countries </w:t>
      </w:r>
    </w:p>
    <w:p w14:paraId="2796DB9C" w14:textId="77777777" w:rsidR="00AE1163" w:rsidRPr="00487834" w:rsidRDefault="00AE1163" w:rsidP="003128F6">
      <w:pPr>
        <w:spacing w:line="300" w:lineRule="auto"/>
        <w:rPr>
          <w:lang w:val="en-US"/>
        </w:rPr>
      </w:pPr>
    </w:p>
    <w:p w14:paraId="6173B55A" w14:textId="77777777" w:rsidR="00AE1163" w:rsidRPr="00487834" w:rsidRDefault="00AE1163" w:rsidP="003128F6">
      <w:pPr>
        <w:spacing w:line="300" w:lineRule="auto"/>
        <w:rPr>
          <w:lang w:val="en-US"/>
        </w:rPr>
      </w:pPr>
      <w:r w:rsidRPr="00487834">
        <w:rPr>
          <w:lang w:val="en-US"/>
        </w:rPr>
        <w:t>Breusch-Pagan test statistic random: 287.51222769293014</w:t>
      </w:r>
    </w:p>
    <w:p w14:paraId="2F013B0D" w14:textId="77777777" w:rsidR="00AE1163" w:rsidRPr="00487834" w:rsidRDefault="00AE1163" w:rsidP="003128F6">
      <w:pPr>
        <w:spacing w:line="300" w:lineRule="auto"/>
        <w:rPr>
          <w:lang w:val="en-US"/>
        </w:rPr>
      </w:pPr>
      <w:r w:rsidRPr="00487834">
        <w:rPr>
          <w:lang w:val="en-US"/>
        </w:rPr>
        <w:t>Breusch-Pagan test p-value random: 2.8026447038745863e-58</w:t>
      </w:r>
    </w:p>
    <w:p w14:paraId="5D433724" w14:textId="77777777" w:rsidR="00AE1163" w:rsidRPr="00487834" w:rsidRDefault="00AE1163" w:rsidP="003128F6">
      <w:pPr>
        <w:spacing w:line="300" w:lineRule="auto"/>
        <w:rPr>
          <w:lang w:val="en-US"/>
        </w:rPr>
      </w:pPr>
      <w:r w:rsidRPr="00487834">
        <w:rPr>
          <w:lang w:val="en-US"/>
        </w:rPr>
        <w:t>Durbin-Watson test statistic random: 1.6562225527271104</w:t>
      </w:r>
    </w:p>
    <w:p w14:paraId="76A73C9D" w14:textId="77777777" w:rsidR="00AE1163" w:rsidRPr="00487834" w:rsidRDefault="00AE1163" w:rsidP="003128F6">
      <w:pPr>
        <w:spacing w:line="300" w:lineRule="auto"/>
        <w:rPr>
          <w:lang w:val="en-US"/>
        </w:rPr>
      </w:pPr>
    </w:p>
    <w:p w14:paraId="08CD3964" w14:textId="77777777" w:rsidR="00AE1163" w:rsidRPr="00487834" w:rsidRDefault="00AE1163" w:rsidP="003128F6">
      <w:pPr>
        <w:spacing w:line="300" w:lineRule="auto"/>
        <w:rPr>
          <w:lang w:val="en-US"/>
        </w:rPr>
      </w:pPr>
      <w:r w:rsidRPr="00487834">
        <w:rPr>
          <w:lang w:val="en-US"/>
        </w:rPr>
        <w:t>Breusch-Pagan test statistic fixed: 555.2506857690315</w:t>
      </w:r>
    </w:p>
    <w:p w14:paraId="441F6973" w14:textId="77777777" w:rsidR="00AE1163" w:rsidRPr="00487834" w:rsidRDefault="00AE1163" w:rsidP="003128F6">
      <w:pPr>
        <w:spacing w:line="300" w:lineRule="auto"/>
        <w:rPr>
          <w:lang w:val="en-US"/>
        </w:rPr>
      </w:pPr>
      <w:r w:rsidRPr="00487834">
        <w:rPr>
          <w:lang w:val="en-US"/>
        </w:rPr>
        <w:t>Breusch-Pagan test p-value fixed: 1.3863440742706908e-25</w:t>
      </w:r>
    </w:p>
    <w:p w14:paraId="041D3C7E" w14:textId="77777777" w:rsidR="00AE1163" w:rsidRPr="00487834" w:rsidRDefault="00AE1163" w:rsidP="003128F6">
      <w:pPr>
        <w:spacing w:line="300" w:lineRule="auto"/>
        <w:rPr>
          <w:lang w:val="en-US"/>
        </w:rPr>
      </w:pPr>
      <w:r w:rsidRPr="00487834">
        <w:rPr>
          <w:lang w:val="en-US"/>
        </w:rPr>
        <w:lastRenderedPageBreak/>
        <w:t>Durbin-Watson test statistic fixed: 1.84604718440713</w:t>
      </w:r>
    </w:p>
    <w:p w14:paraId="70A66DD6" w14:textId="77777777" w:rsidR="00AE1163" w:rsidRPr="00487834" w:rsidRDefault="00AE1163" w:rsidP="003128F6">
      <w:pPr>
        <w:spacing w:line="300" w:lineRule="auto"/>
        <w:rPr>
          <w:lang w:val="en-US"/>
        </w:rPr>
      </w:pPr>
      <w:r w:rsidRPr="00487834">
        <w:rPr>
          <w:lang w:val="en-US"/>
        </w:rPr>
        <w:t xml:space="preserve">Ramsey RESET test results fixed: &lt;F test: F=7.977833904037554, p=0.0048306311826737825, </w:t>
      </w:r>
      <w:proofErr w:type="spellStart"/>
      <w:r w:rsidRPr="00487834">
        <w:rPr>
          <w:lang w:val="en-US"/>
        </w:rPr>
        <w:t>df_denom</w:t>
      </w:r>
      <w:proofErr w:type="spellEnd"/>
      <w:r w:rsidRPr="00487834">
        <w:rPr>
          <w:lang w:val="en-US"/>
        </w:rPr>
        <w:t xml:space="preserve">=988, </w:t>
      </w:r>
      <w:proofErr w:type="spellStart"/>
      <w:r w:rsidRPr="00487834">
        <w:rPr>
          <w:lang w:val="en-US"/>
        </w:rPr>
        <w:t>df_num</w:t>
      </w:r>
      <w:proofErr w:type="spellEnd"/>
      <w:r w:rsidRPr="00487834">
        <w:rPr>
          <w:lang w:val="en-US"/>
        </w:rPr>
        <w:t>=1&gt;</w:t>
      </w:r>
    </w:p>
    <w:p w14:paraId="3BD09032" w14:textId="77777777" w:rsidR="00AE1163" w:rsidRPr="00487834" w:rsidRDefault="00AE1163" w:rsidP="003128F6">
      <w:pPr>
        <w:spacing w:line="300" w:lineRule="auto"/>
        <w:rPr>
          <w:lang w:val="en-US"/>
        </w:rPr>
      </w:pPr>
    </w:p>
    <w:p w14:paraId="4B38A5C1" w14:textId="77777777" w:rsidR="00AE1163" w:rsidRPr="00487834" w:rsidRDefault="00AE1163" w:rsidP="003128F6">
      <w:pPr>
        <w:spacing w:line="300" w:lineRule="auto"/>
        <w:rPr>
          <w:lang w:val="en-US"/>
        </w:rPr>
      </w:pPr>
    </w:p>
    <w:p w14:paraId="573BC3EA" w14:textId="77777777" w:rsidR="00AE1163" w:rsidRPr="00487834" w:rsidRDefault="00AE1163" w:rsidP="003128F6">
      <w:pPr>
        <w:spacing w:line="300" w:lineRule="auto"/>
        <w:rPr>
          <w:lang w:val="en-US"/>
        </w:rPr>
      </w:pPr>
      <w:r w:rsidRPr="00487834">
        <w:rPr>
          <w:lang w:val="en-US"/>
        </w:rPr>
        <w:t xml:space="preserve">Regression on </w:t>
      </w:r>
      <w:proofErr w:type="spellStart"/>
      <w:r w:rsidRPr="00487834">
        <w:rPr>
          <w:lang w:val="en-US"/>
        </w:rPr>
        <w:t>coe</w:t>
      </w:r>
      <w:proofErr w:type="spellEnd"/>
      <w:r w:rsidRPr="00487834">
        <w:rPr>
          <w:lang w:val="en-US"/>
        </w:rPr>
        <w:t xml:space="preserve"> with lagged all except cost for all countries </w:t>
      </w:r>
    </w:p>
    <w:p w14:paraId="2AD7C9F1" w14:textId="77777777" w:rsidR="00AE1163" w:rsidRPr="00487834" w:rsidRDefault="00AE1163" w:rsidP="003128F6">
      <w:pPr>
        <w:spacing w:line="300" w:lineRule="auto"/>
        <w:rPr>
          <w:lang w:val="en-US"/>
        </w:rPr>
      </w:pPr>
    </w:p>
    <w:p w14:paraId="336AE58A" w14:textId="77777777" w:rsidR="00AE1163" w:rsidRPr="00487834" w:rsidRDefault="00AE1163" w:rsidP="003128F6">
      <w:pPr>
        <w:spacing w:line="300" w:lineRule="auto"/>
        <w:rPr>
          <w:lang w:val="en-US"/>
        </w:rPr>
      </w:pPr>
      <w:r w:rsidRPr="00487834">
        <w:rPr>
          <w:lang w:val="en-US"/>
        </w:rPr>
        <w:t>Breusch-Pagan test statistic random: 229.1475077368446</w:t>
      </w:r>
    </w:p>
    <w:p w14:paraId="26F4A172" w14:textId="77777777" w:rsidR="00AE1163" w:rsidRPr="00487834" w:rsidRDefault="00AE1163" w:rsidP="003128F6">
      <w:pPr>
        <w:spacing w:line="300" w:lineRule="auto"/>
        <w:rPr>
          <w:lang w:val="en-US"/>
        </w:rPr>
      </w:pPr>
      <w:r w:rsidRPr="00487834">
        <w:rPr>
          <w:lang w:val="en-US"/>
        </w:rPr>
        <w:t>Breusch-Pagan test p-value random: 7.531541928402573e-46</w:t>
      </w:r>
    </w:p>
    <w:p w14:paraId="11E262BE" w14:textId="77777777" w:rsidR="00AE1163" w:rsidRPr="00487834" w:rsidRDefault="00AE1163" w:rsidP="003128F6">
      <w:pPr>
        <w:spacing w:line="300" w:lineRule="auto"/>
        <w:rPr>
          <w:lang w:val="en-US"/>
        </w:rPr>
      </w:pPr>
      <w:r w:rsidRPr="00487834">
        <w:rPr>
          <w:lang w:val="en-US"/>
        </w:rPr>
        <w:t>Durbin-Watson test statistic random: 1.7627768559872923</w:t>
      </w:r>
    </w:p>
    <w:p w14:paraId="34F2BBB6" w14:textId="77777777" w:rsidR="00AE1163" w:rsidRPr="00487834" w:rsidRDefault="00AE1163" w:rsidP="003128F6">
      <w:pPr>
        <w:spacing w:line="300" w:lineRule="auto"/>
        <w:rPr>
          <w:lang w:val="en-US"/>
        </w:rPr>
      </w:pPr>
    </w:p>
    <w:p w14:paraId="5F1800CB" w14:textId="77777777" w:rsidR="00AE1163" w:rsidRPr="00487834" w:rsidRDefault="00AE1163" w:rsidP="003128F6">
      <w:pPr>
        <w:spacing w:line="300" w:lineRule="auto"/>
        <w:rPr>
          <w:lang w:val="en-US"/>
        </w:rPr>
      </w:pPr>
      <w:r w:rsidRPr="00487834">
        <w:rPr>
          <w:lang w:val="en-US"/>
        </w:rPr>
        <w:t>Breusch-Pagan test statistic fixed: 432.1314873560678</w:t>
      </w:r>
    </w:p>
    <w:p w14:paraId="36E3571F" w14:textId="77777777" w:rsidR="00AE1163" w:rsidRPr="00487834" w:rsidRDefault="00AE1163" w:rsidP="003128F6">
      <w:pPr>
        <w:spacing w:line="300" w:lineRule="auto"/>
        <w:rPr>
          <w:lang w:val="en-US"/>
        </w:rPr>
      </w:pPr>
      <w:r w:rsidRPr="00487834">
        <w:rPr>
          <w:lang w:val="en-US"/>
        </w:rPr>
        <w:t>Breusch-Pagan test p-value fixed: 3.92113240681127e-12</w:t>
      </w:r>
    </w:p>
    <w:p w14:paraId="4A91FEE7" w14:textId="77777777" w:rsidR="00AE1163" w:rsidRPr="00487834" w:rsidRDefault="00AE1163" w:rsidP="003128F6">
      <w:pPr>
        <w:spacing w:line="300" w:lineRule="auto"/>
        <w:rPr>
          <w:lang w:val="en-US"/>
        </w:rPr>
      </w:pPr>
      <w:r w:rsidRPr="00487834">
        <w:rPr>
          <w:lang w:val="en-US"/>
        </w:rPr>
        <w:t>Durbin-Watson test statistic fixed: 2.116510127234255</w:t>
      </w:r>
    </w:p>
    <w:p w14:paraId="5DECB810" w14:textId="77777777" w:rsidR="00AE1163" w:rsidRPr="00487834" w:rsidRDefault="00AE1163" w:rsidP="003128F6">
      <w:pPr>
        <w:spacing w:line="300" w:lineRule="auto"/>
        <w:rPr>
          <w:lang w:val="en-US"/>
        </w:rPr>
      </w:pPr>
      <w:r w:rsidRPr="00487834">
        <w:rPr>
          <w:lang w:val="en-US"/>
        </w:rPr>
        <w:t xml:space="preserve">Ramsey RESET test results fixed: &lt;F test: F=4.566968137683434, p=0.03293385535326949, </w:t>
      </w:r>
      <w:proofErr w:type="spellStart"/>
      <w:r w:rsidRPr="00487834">
        <w:rPr>
          <w:lang w:val="en-US"/>
        </w:rPr>
        <w:t>df_denom</w:t>
      </w:r>
      <w:proofErr w:type="spellEnd"/>
      <w:r w:rsidRPr="00487834">
        <w:rPr>
          <w:lang w:val="en-US"/>
        </w:rPr>
        <w:t xml:space="preserve">=713, </w:t>
      </w:r>
      <w:proofErr w:type="spellStart"/>
      <w:r w:rsidRPr="00487834">
        <w:rPr>
          <w:lang w:val="en-US"/>
        </w:rPr>
        <w:t>df_num</w:t>
      </w:r>
      <w:proofErr w:type="spellEnd"/>
      <w:r w:rsidRPr="00487834">
        <w:rPr>
          <w:lang w:val="en-US"/>
        </w:rPr>
        <w:t>=1&gt;</w:t>
      </w:r>
    </w:p>
    <w:p w14:paraId="5D5E16FA" w14:textId="77777777" w:rsidR="00AE1163" w:rsidRPr="00487834" w:rsidRDefault="00AE1163" w:rsidP="003128F6">
      <w:pPr>
        <w:spacing w:line="300" w:lineRule="auto"/>
        <w:rPr>
          <w:lang w:val="en-US"/>
        </w:rPr>
      </w:pPr>
    </w:p>
    <w:p w14:paraId="7DA45480" w14:textId="77777777" w:rsidR="00AE1163" w:rsidRPr="00487834" w:rsidRDefault="00AE1163" w:rsidP="003128F6">
      <w:pPr>
        <w:spacing w:line="300" w:lineRule="auto"/>
        <w:rPr>
          <w:lang w:val="en-US"/>
        </w:rPr>
      </w:pPr>
    </w:p>
    <w:p w14:paraId="244AB0FB" w14:textId="77777777" w:rsidR="00AE1163" w:rsidRPr="00487834" w:rsidRDefault="00AE1163" w:rsidP="003128F6">
      <w:pPr>
        <w:spacing w:line="300" w:lineRule="auto"/>
        <w:rPr>
          <w:lang w:val="en-US"/>
        </w:rPr>
      </w:pPr>
    </w:p>
    <w:p w14:paraId="60745809" w14:textId="77777777" w:rsidR="00AE1163" w:rsidRPr="00487834" w:rsidRDefault="00AE1163" w:rsidP="003128F6">
      <w:pPr>
        <w:spacing w:line="300" w:lineRule="auto"/>
        <w:rPr>
          <w:lang w:val="en-US"/>
        </w:rPr>
      </w:pPr>
      <w:r w:rsidRPr="00487834">
        <w:rPr>
          <w:lang w:val="en-US"/>
        </w:rPr>
        <w:t xml:space="preserve">Regression on </w:t>
      </w:r>
      <w:proofErr w:type="spellStart"/>
      <w:r w:rsidRPr="00487834">
        <w:rPr>
          <w:lang w:val="en-US"/>
        </w:rPr>
        <w:t>coe</w:t>
      </w:r>
      <w:proofErr w:type="spellEnd"/>
      <w:r w:rsidRPr="00487834">
        <w:rPr>
          <w:lang w:val="en-US"/>
        </w:rPr>
        <w:t xml:space="preserve"> with no lag for Russia </w:t>
      </w:r>
    </w:p>
    <w:p w14:paraId="6A623CB7" w14:textId="77777777" w:rsidR="00AE1163" w:rsidRPr="00487834" w:rsidRDefault="00AE1163" w:rsidP="003128F6">
      <w:pPr>
        <w:spacing w:line="300" w:lineRule="auto"/>
        <w:rPr>
          <w:lang w:val="en-US"/>
        </w:rPr>
      </w:pPr>
    </w:p>
    <w:p w14:paraId="55C02473" w14:textId="77777777" w:rsidR="00AE1163" w:rsidRPr="00487834" w:rsidRDefault="00AE1163" w:rsidP="003128F6">
      <w:pPr>
        <w:spacing w:line="300" w:lineRule="auto"/>
        <w:rPr>
          <w:lang w:val="en-US"/>
        </w:rPr>
      </w:pPr>
      <w:r w:rsidRPr="00487834">
        <w:rPr>
          <w:lang w:val="en-US"/>
        </w:rPr>
        <w:t>Breusch-Pagan test statistic random: 25.829785269740746</w:t>
      </w:r>
    </w:p>
    <w:p w14:paraId="4743462A" w14:textId="77777777" w:rsidR="00AE1163" w:rsidRPr="00487834" w:rsidRDefault="00AE1163" w:rsidP="003128F6">
      <w:pPr>
        <w:spacing w:line="300" w:lineRule="auto"/>
        <w:rPr>
          <w:lang w:val="en-US"/>
        </w:rPr>
      </w:pPr>
      <w:r w:rsidRPr="00487834">
        <w:rPr>
          <w:lang w:val="en-US"/>
        </w:rPr>
        <w:t>Breusch-Pagan test p-value random: 0.0005401797266345544</w:t>
      </w:r>
    </w:p>
    <w:p w14:paraId="7AE792CB" w14:textId="77777777" w:rsidR="00AE1163" w:rsidRPr="00487834" w:rsidRDefault="00AE1163" w:rsidP="003128F6">
      <w:pPr>
        <w:spacing w:line="300" w:lineRule="auto"/>
        <w:rPr>
          <w:lang w:val="en-US"/>
        </w:rPr>
      </w:pPr>
      <w:r w:rsidRPr="00487834">
        <w:rPr>
          <w:lang w:val="en-US"/>
        </w:rPr>
        <w:t>Durbin-Watson test statistic random: 2.4193798265343434</w:t>
      </w:r>
    </w:p>
    <w:p w14:paraId="20F77846" w14:textId="77777777" w:rsidR="00AE1163" w:rsidRPr="00487834" w:rsidRDefault="00AE1163" w:rsidP="003128F6">
      <w:pPr>
        <w:spacing w:line="300" w:lineRule="auto"/>
        <w:rPr>
          <w:lang w:val="en-US"/>
        </w:rPr>
      </w:pPr>
    </w:p>
    <w:p w14:paraId="50CDD8F0" w14:textId="77777777" w:rsidR="00AE1163" w:rsidRPr="00487834" w:rsidRDefault="00AE1163" w:rsidP="003128F6">
      <w:pPr>
        <w:spacing w:line="300" w:lineRule="auto"/>
        <w:rPr>
          <w:lang w:val="en-US"/>
        </w:rPr>
      </w:pPr>
      <w:r w:rsidRPr="00487834">
        <w:rPr>
          <w:lang w:val="en-US"/>
        </w:rPr>
        <w:t>Breusch-Pagan test statistic fixed: 39.78692391847482</w:t>
      </w:r>
    </w:p>
    <w:p w14:paraId="04086248" w14:textId="77777777" w:rsidR="00AE1163" w:rsidRPr="00487834" w:rsidRDefault="00AE1163" w:rsidP="003128F6">
      <w:pPr>
        <w:spacing w:line="300" w:lineRule="auto"/>
        <w:rPr>
          <w:lang w:val="en-US"/>
        </w:rPr>
      </w:pPr>
      <w:r w:rsidRPr="00487834">
        <w:rPr>
          <w:lang w:val="en-US"/>
        </w:rPr>
        <w:t>Breusch-Pagan test p-value fixed: 0.30518475288337304</w:t>
      </w:r>
    </w:p>
    <w:p w14:paraId="50AF17A2" w14:textId="77777777" w:rsidR="00AE1163" w:rsidRPr="00487834" w:rsidRDefault="00AE1163" w:rsidP="003128F6">
      <w:pPr>
        <w:spacing w:line="300" w:lineRule="auto"/>
        <w:rPr>
          <w:lang w:val="en-US"/>
        </w:rPr>
      </w:pPr>
      <w:r w:rsidRPr="00487834">
        <w:rPr>
          <w:lang w:val="en-US"/>
        </w:rPr>
        <w:t>Durbin-Watson test statistic fixed: 2.4684128925200253</w:t>
      </w:r>
    </w:p>
    <w:p w14:paraId="682A7385" w14:textId="77777777" w:rsidR="00AE1163" w:rsidRPr="00487834" w:rsidRDefault="00AE1163" w:rsidP="003128F6">
      <w:pPr>
        <w:spacing w:line="300" w:lineRule="auto"/>
        <w:rPr>
          <w:lang w:val="en-US"/>
        </w:rPr>
      </w:pPr>
      <w:r w:rsidRPr="00487834">
        <w:rPr>
          <w:lang w:val="en-US"/>
        </w:rPr>
        <w:t xml:space="preserve">Ramsey RESET test results fixed: &lt;F test: F=0.5128741169424809, p=0.47522251091015555, </w:t>
      </w:r>
      <w:proofErr w:type="spellStart"/>
      <w:r w:rsidRPr="00487834">
        <w:rPr>
          <w:lang w:val="en-US"/>
        </w:rPr>
        <w:t>df_denom</w:t>
      </w:r>
      <w:proofErr w:type="spellEnd"/>
      <w:r w:rsidRPr="00487834">
        <w:rPr>
          <w:lang w:val="en-US"/>
        </w:rPr>
        <w:t xml:space="preserve">=126, </w:t>
      </w:r>
      <w:proofErr w:type="spellStart"/>
      <w:r w:rsidRPr="00487834">
        <w:rPr>
          <w:lang w:val="en-US"/>
        </w:rPr>
        <w:t>df_num</w:t>
      </w:r>
      <w:proofErr w:type="spellEnd"/>
      <w:r w:rsidRPr="00487834">
        <w:rPr>
          <w:lang w:val="en-US"/>
        </w:rPr>
        <w:t>=1&gt;</w:t>
      </w:r>
    </w:p>
    <w:p w14:paraId="3F9EB512" w14:textId="77777777" w:rsidR="00AE1163" w:rsidRPr="00487834" w:rsidRDefault="00AE1163" w:rsidP="003128F6">
      <w:pPr>
        <w:spacing w:line="300" w:lineRule="auto"/>
        <w:rPr>
          <w:lang w:val="en-US"/>
        </w:rPr>
      </w:pPr>
    </w:p>
    <w:p w14:paraId="469541C4" w14:textId="77777777" w:rsidR="00AE1163" w:rsidRPr="00487834" w:rsidRDefault="00AE1163" w:rsidP="003128F6">
      <w:pPr>
        <w:spacing w:line="300" w:lineRule="auto"/>
        <w:rPr>
          <w:lang w:val="en-US"/>
        </w:rPr>
      </w:pPr>
    </w:p>
    <w:p w14:paraId="6708C7F4" w14:textId="77777777" w:rsidR="00AE1163" w:rsidRPr="00487834" w:rsidRDefault="00AE1163" w:rsidP="003128F6">
      <w:pPr>
        <w:spacing w:line="300" w:lineRule="auto"/>
        <w:rPr>
          <w:lang w:val="en-US"/>
        </w:rPr>
      </w:pPr>
    </w:p>
    <w:p w14:paraId="56EBCDFB" w14:textId="77777777" w:rsidR="00AE1163" w:rsidRPr="00487834" w:rsidRDefault="00AE1163" w:rsidP="003128F6">
      <w:pPr>
        <w:spacing w:line="300" w:lineRule="auto"/>
        <w:rPr>
          <w:lang w:val="en-US"/>
        </w:rPr>
      </w:pPr>
      <w:r w:rsidRPr="00487834">
        <w:rPr>
          <w:lang w:val="en-US"/>
        </w:rPr>
        <w:t xml:space="preserve">Regression on </w:t>
      </w:r>
      <w:proofErr w:type="spellStart"/>
      <w:r w:rsidRPr="00487834">
        <w:rPr>
          <w:lang w:val="en-US"/>
        </w:rPr>
        <w:t>coe</w:t>
      </w:r>
      <w:proofErr w:type="spellEnd"/>
      <w:r w:rsidRPr="00487834">
        <w:rPr>
          <w:lang w:val="en-US"/>
        </w:rPr>
        <w:t xml:space="preserve"> with lagged all except cost for Russia </w:t>
      </w:r>
    </w:p>
    <w:p w14:paraId="2F49F711" w14:textId="77777777" w:rsidR="00AE1163" w:rsidRPr="00487834" w:rsidRDefault="00AE1163" w:rsidP="003128F6">
      <w:pPr>
        <w:spacing w:line="300" w:lineRule="auto"/>
        <w:rPr>
          <w:lang w:val="en-US"/>
        </w:rPr>
      </w:pPr>
    </w:p>
    <w:p w14:paraId="43981BB2" w14:textId="77777777" w:rsidR="00AE1163" w:rsidRPr="00487834" w:rsidRDefault="00AE1163" w:rsidP="003128F6">
      <w:pPr>
        <w:spacing w:line="300" w:lineRule="auto"/>
        <w:rPr>
          <w:lang w:val="en-US"/>
        </w:rPr>
      </w:pPr>
      <w:r w:rsidRPr="00487834">
        <w:rPr>
          <w:lang w:val="en-US"/>
        </w:rPr>
        <w:t>Breusch-Pagan test statistic random: 9.806684450303369</w:t>
      </w:r>
    </w:p>
    <w:p w14:paraId="3D6B514F" w14:textId="77777777" w:rsidR="00AE1163" w:rsidRPr="00487834" w:rsidRDefault="00AE1163" w:rsidP="003128F6">
      <w:pPr>
        <w:spacing w:line="300" w:lineRule="auto"/>
        <w:rPr>
          <w:lang w:val="en-US"/>
        </w:rPr>
      </w:pPr>
      <w:r w:rsidRPr="00487834">
        <w:rPr>
          <w:lang w:val="en-US"/>
        </w:rPr>
        <w:t>Breusch-Pagan test p-value random: 0.19979574041009804</w:t>
      </w:r>
    </w:p>
    <w:p w14:paraId="591B0EC7" w14:textId="77777777" w:rsidR="00AE1163" w:rsidRPr="00487834" w:rsidRDefault="00AE1163" w:rsidP="003128F6">
      <w:pPr>
        <w:spacing w:line="300" w:lineRule="auto"/>
        <w:rPr>
          <w:lang w:val="en-US"/>
        </w:rPr>
      </w:pPr>
      <w:r w:rsidRPr="00487834">
        <w:rPr>
          <w:lang w:val="en-US"/>
        </w:rPr>
        <w:t>Durbin-Watson test statistic random: 2.1101630715251813</w:t>
      </w:r>
    </w:p>
    <w:p w14:paraId="7E12C247" w14:textId="77777777" w:rsidR="00AE1163" w:rsidRPr="00487834" w:rsidRDefault="00AE1163" w:rsidP="003128F6">
      <w:pPr>
        <w:spacing w:line="300" w:lineRule="auto"/>
        <w:rPr>
          <w:lang w:val="en-US"/>
        </w:rPr>
      </w:pPr>
    </w:p>
    <w:p w14:paraId="30B423C4" w14:textId="77777777" w:rsidR="00AE1163" w:rsidRPr="00487834" w:rsidRDefault="00AE1163" w:rsidP="003128F6">
      <w:pPr>
        <w:spacing w:line="300" w:lineRule="auto"/>
        <w:rPr>
          <w:lang w:val="en-US"/>
        </w:rPr>
      </w:pPr>
      <w:r w:rsidRPr="00487834">
        <w:rPr>
          <w:lang w:val="en-US"/>
        </w:rPr>
        <w:t>Breusch-Pagan test statistic fixed: 34.85491093872887</w:t>
      </w:r>
    </w:p>
    <w:p w14:paraId="09CCE75B" w14:textId="77777777" w:rsidR="00AE1163" w:rsidRPr="00487834" w:rsidRDefault="00AE1163" w:rsidP="003128F6">
      <w:pPr>
        <w:spacing w:line="300" w:lineRule="auto"/>
        <w:rPr>
          <w:lang w:val="en-US"/>
        </w:rPr>
      </w:pPr>
      <w:r w:rsidRPr="00487834">
        <w:rPr>
          <w:lang w:val="en-US"/>
        </w:rPr>
        <w:t>Breusch-Pagan test p-value fixed: 0.5229382197503442</w:t>
      </w:r>
    </w:p>
    <w:p w14:paraId="14D436AC" w14:textId="77777777" w:rsidR="00AE1163" w:rsidRPr="00487834" w:rsidRDefault="00AE1163" w:rsidP="003128F6">
      <w:pPr>
        <w:spacing w:line="300" w:lineRule="auto"/>
        <w:rPr>
          <w:lang w:val="en-US"/>
        </w:rPr>
      </w:pPr>
      <w:r w:rsidRPr="00487834">
        <w:rPr>
          <w:lang w:val="en-US"/>
        </w:rPr>
        <w:lastRenderedPageBreak/>
        <w:t>Durbin-Watson test statistic fixed: 2.287964613704333</w:t>
      </w:r>
    </w:p>
    <w:p w14:paraId="2C422932" w14:textId="77777777" w:rsidR="00AE1163" w:rsidRPr="00487834" w:rsidRDefault="00AE1163" w:rsidP="003128F6">
      <w:pPr>
        <w:spacing w:line="300" w:lineRule="auto"/>
        <w:rPr>
          <w:lang w:val="en-US"/>
        </w:rPr>
      </w:pPr>
      <w:r w:rsidRPr="00487834">
        <w:rPr>
          <w:lang w:val="en-US"/>
        </w:rPr>
        <w:t xml:space="preserve">Ramsey RESET test results fixed: &lt;F test: F=0.06805999842680971, p=0.7947786629786933, </w:t>
      </w:r>
      <w:proofErr w:type="spellStart"/>
      <w:r w:rsidRPr="00487834">
        <w:rPr>
          <w:lang w:val="en-US"/>
        </w:rPr>
        <w:t>df_denom</w:t>
      </w:r>
      <w:proofErr w:type="spellEnd"/>
      <w:r w:rsidRPr="00487834">
        <w:rPr>
          <w:lang w:val="en-US"/>
        </w:rPr>
        <w:t xml:space="preserve">=90, </w:t>
      </w:r>
      <w:proofErr w:type="spellStart"/>
      <w:r w:rsidRPr="00487834">
        <w:rPr>
          <w:lang w:val="en-US"/>
        </w:rPr>
        <w:t>df_num</w:t>
      </w:r>
      <w:proofErr w:type="spellEnd"/>
      <w:r w:rsidRPr="00487834">
        <w:rPr>
          <w:lang w:val="en-US"/>
        </w:rPr>
        <w:t>=1&gt;</w:t>
      </w:r>
    </w:p>
    <w:p w14:paraId="01332C4C" w14:textId="77777777" w:rsidR="00AE1163" w:rsidRPr="00487834" w:rsidRDefault="00AE1163" w:rsidP="003128F6">
      <w:pPr>
        <w:spacing w:line="300" w:lineRule="auto"/>
        <w:rPr>
          <w:lang w:val="en-US"/>
        </w:rPr>
      </w:pPr>
    </w:p>
    <w:p w14:paraId="23371DE0" w14:textId="77777777" w:rsidR="00AE1163" w:rsidRPr="00487834" w:rsidRDefault="00AE1163" w:rsidP="003128F6">
      <w:pPr>
        <w:spacing w:line="300" w:lineRule="auto"/>
        <w:rPr>
          <w:lang w:val="en-US"/>
        </w:rPr>
      </w:pPr>
    </w:p>
    <w:p w14:paraId="1481F20C" w14:textId="77777777" w:rsidR="00AE1163" w:rsidRPr="00487834" w:rsidRDefault="00AE1163" w:rsidP="003128F6">
      <w:pPr>
        <w:spacing w:line="300" w:lineRule="auto"/>
        <w:rPr>
          <w:lang w:val="en-US"/>
        </w:rPr>
      </w:pPr>
    </w:p>
    <w:p w14:paraId="582F62E7" w14:textId="77777777" w:rsidR="00AE1163" w:rsidRPr="00487834" w:rsidRDefault="00AE1163" w:rsidP="003128F6">
      <w:pPr>
        <w:spacing w:line="300" w:lineRule="auto"/>
        <w:rPr>
          <w:lang w:val="en-US"/>
        </w:rPr>
      </w:pPr>
      <w:r w:rsidRPr="00487834">
        <w:rPr>
          <w:lang w:val="en-US"/>
        </w:rPr>
        <w:t xml:space="preserve">Regression on </w:t>
      </w:r>
      <w:proofErr w:type="spellStart"/>
      <w:r w:rsidRPr="00487834">
        <w:rPr>
          <w:lang w:val="en-US"/>
        </w:rPr>
        <w:t>coe</w:t>
      </w:r>
      <w:proofErr w:type="spellEnd"/>
      <w:r w:rsidRPr="00487834">
        <w:rPr>
          <w:lang w:val="en-US"/>
        </w:rPr>
        <w:t xml:space="preserve"> with no lag for Brazil </w:t>
      </w:r>
    </w:p>
    <w:p w14:paraId="2CF22461" w14:textId="77777777" w:rsidR="00AE1163" w:rsidRPr="00487834" w:rsidRDefault="00AE1163" w:rsidP="003128F6">
      <w:pPr>
        <w:spacing w:line="300" w:lineRule="auto"/>
        <w:rPr>
          <w:lang w:val="en-US"/>
        </w:rPr>
      </w:pPr>
    </w:p>
    <w:p w14:paraId="606A610C" w14:textId="77777777" w:rsidR="00AE1163" w:rsidRPr="00487834" w:rsidRDefault="00AE1163" w:rsidP="003128F6">
      <w:pPr>
        <w:spacing w:line="300" w:lineRule="auto"/>
        <w:rPr>
          <w:lang w:val="en-US"/>
        </w:rPr>
      </w:pPr>
      <w:r w:rsidRPr="00487834">
        <w:rPr>
          <w:lang w:val="en-US"/>
        </w:rPr>
        <w:t>Breusch-Pagan test statistic random: 156.60224697812757</w:t>
      </w:r>
    </w:p>
    <w:p w14:paraId="6C19F1F5" w14:textId="77777777" w:rsidR="00AE1163" w:rsidRPr="00487834" w:rsidRDefault="00AE1163" w:rsidP="003128F6">
      <w:pPr>
        <w:spacing w:line="300" w:lineRule="auto"/>
        <w:rPr>
          <w:lang w:val="en-US"/>
        </w:rPr>
      </w:pPr>
      <w:r w:rsidRPr="00487834">
        <w:rPr>
          <w:lang w:val="en-US"/>
        </w:rPr>
        <w:t>Breusch-Pagan test p-value random: 1.6634367504326883e-30</w:t>
      </w:r>
    </w:p>
    <w:p w14:paraId="3A6433B9" w14:textId="77777777" w:rsidR="00AE1163" w:rsidRPr="00487834" w:rsidRDefault="00AE1163" w:rsidP="003128F6">
      <w:pPr>
        <w:spacing w:line="300" w:lineRule="auto"/>
        <w:rPr>
          <w:lang w:val="en-US"/>
        </w:rPr>
      </w:pPr>
      <w:r w:rsidRPr="00487834">
        <w:rPr>
          <w:lang w:val="en-US"/>
        </w:rPr>
        <w:t>Durbin-Watson test statistic random: 1.6761075126531693</w:t>
      </w:r>
    </w:p>
    <w:p w14:paraId="31211374" w14:textId="77777777" w:rsidR="00AE1163" w:rsidRPr="00487834" w:rsidRDefault="00AE1163" w:rsidP="003128F6">
      <w:pPr>
        <w:spacing w:line="300" w:lineRule="auto"/>
        <w:rPr>
          <w:lang w:val="en-US"/>
        </w:rPr>
      </w:pPr>
    </w:p>
    <w:p w14:paraId="5CF41B69" w14:textId="77777777" w:rsidR="00AE1163" w:rsidRPr="00487834" w:rsidRDefault="00AE1163" w:rsidP="003128F6">
      <w:pPr>
        <w:spacing w:line="300" w:lineRule="auto"/>
        <w:rPr>
          <w:lang w:val="en-US"/>
        </w:rPr>
      </w:pPr>
      <w:r w:rsidRPr="00487834">
        <w:rPr>
          <w:lang w:val="en-US"/>
        </w:rPr>
        <w:t>Breusch-Pagan test statistic fixed: 226.55650166657483</w:t>
      </w:r>
    </w:p>
    <w:p w14:paraId="1BCC75EB" w14:textId="77777777" w:rsidR="00AE1163" w:rsidRPr="00487834" w:rsidRDefault="00AE1163" w:rsidP="003128F6">
      <w:pPr>
        <w:spacing w:line="300" w:lineRule="auto"/>
        <w:rPr>
          <w:lang w:val="en-US"/>
        </w:rPr>
      </w:pPr>
      <w:r w:rsidRPr="00487834">
        <w:rPr>
          <w:lang w:val="en-US"/>
        </w:rPr>
        <w:t>Breusch-Pagan test p-value fixed: 9.951807506515126e-08</w:t>
      </w:r>
    </w:p>
    <w:p w14:paraId="0DD48BFF" w14:textId="77777777" w:rsidR="00AE1163" w:rsidRPr="00487834" w:rsidRDefault="00AE1163" w:rsidP="003128F6">
      <w:pPr>
        <w:spacing w:line="300" w:lineRule="auto"/>
        <w:rPr>
          <w:lang w:val="en-US"/>
        </w:rPr>
      </w:pPr>
      <w:r w:rsidRPr="00487834">
        <w:rPr>
          <w:lang w:val="en-US"/>
        </w:rPr>
        <w:t>Durbin-Watson test statistic fixed: 1.7750527057748458</w:t>
      </w:r>
    </w:p>
    <w:p w14:paraId="2E0B5E06" w14:textId="77777777" w:rsidR="00AE1163" w:rsidRPr="00487834" w:rsidRDefault="00AE1163" w:rsidP="003128F6">
      <w:pPr>
        <w:spacing w:line="300" w:lineRule="auto"/>
        <w:rPr>
          <w:lang w:val="en-US"/>
        </w:rPr>
      </w:pPr>
      <w:r w:rsidRPr="00487834">
        <w:rPr>
          <w:lang w:val="en-US"/>
        </w:rPr>
        <w:t xml:space="preserve">Ramsey RESET test results fixed: &lt;F test: F=2.364319268030481, p=0.12488571027813795, </w:t>
      </w:r>
      <w:proofErr w:type="spellStart"/>
      <w:r w:rsidRPr="00487834">
        <w:rPr>
          <w:lang w:val="en-US"/>
        </w:rPr>
        <w:t>df_denom</w:t>
      </w:r>
      <w:proofErr w:type="spellEnd"/>
      <w:r w:rsidRPr="00487834">
        <w:rPr>
          <w:lang w:val="en-US"/>
        </w:rPr>
        <w:t xml:space="preserve">=423, </w:t>
      </w:r>
      <w:proofErr w:type="spellStart"/>
      <w:r w:rsidRPr="00487834">
        <w:rPr>
          <w:lang w:val="en-US"/>
        </w:rPr>
        <w:t>df_num</w:t>
      </w:r>
      <w:proofErr w:type="spellEnd"/>
      <w:r w:rsidRPr="00487834">
        <w:rPr>
          <w:lang w:val="en-US"/>
        </w:rPr>
        <w:t>=1&gt;</w:t>
      </w:r>
    </w:p>
    <w:p w14:paraId="0522E25A" w14:textId="77777777" w:rsidR="00AE1163" w:rsidRPr="00487834" w:rsidRDefault="00AE1163" w:rsidP="003128F6">
      <w:pPr>
        <w:spacing w:line="300" w:lineRule="auto"/>
        <w:rPr>
          <w:lang w:val="en-US"/>
        </w:rPr>
      </w:pPr>
    </w:p>
    <w:p w14:paraId="265245D4" w14:textId="77777777" w:rsidR="00AE1163" w:rsidRPr="00487834" w:rsidRDefault="00AE1163" w:rsidP="003128F6">
      <w:pPr>
        <w:spacing w:line="300" w:lineRule="auto"/>
        <w:rPr>
          <w:lang w:val="en-US"/>
        </w:rPr>
      </w:pPr>
    </w:p>
    <w:p w14:paraId="3D4D9328" w14:textId="77777777" w:rsidR="00AE1163" w:rsidRPr="00487834" w:rsidRDefault="00AE1163" w:rsidP="003128F6">
      <w:pPr>
        <w:spacing w:line="300" w:lineRule="auto"/>
        <w:rPr>
          <w:lang w:val="en-US"/>
        </w:rPr>
      </w:pPr>
    </w:p>
    <w:p w14:paraId="641347C3" w14:textId="77777777" w:rsidR="00AE1163" w:rsidRPr="00487834" w:rsidRDefault="00AE1163" w:rsidP="003128F6">
      <w:pPr>
        <w:spacing w:line="300" w:lineRule="auto"/>
        <w:rPr>
          <w:lang w:val="en-US"/>
        </w:rPr>
      </w:pPr>
      <w:r w:rsidRPr="00487834">
        <w:rPr>
          <w:lang w:val="en-US"/>
        </w:rPr>
        <w:t xml:space="preserve">Regression on </w:t>
      </w:r>
      <w:proofErr w:type="spellStart"/>
      <w:r w:rsidRPr="00487834">
        <w:rPr>
          <w:lang w:val="en-US"/>
        </w:rPr>
        <w:t>coe</w:t>
      </w:r>
      <w:proofErr w:type="spellEnd"/>
      <w:r w:rsidRPr="00487834">
        <w:rPr>
          <w:lang w:val="en-US"/>
        </w:rPr>
        <w:t xml:space="preserve"> with lagged all except cost for Brazil </w:t>
      </w:r>
    </w:p>
    <w:p w14:paraId="52B4E2B3" w14:textId="77777777" w:rsidR="00AE1163" w:rsidRPr="00487834" w:rsidRDefault="00AE1163" w:rsidP="003128F6">
      <w:pPr>
        <w:spacing w:line="300" w:lineRule="auto"/>
        <w:rPr>
          <w:lang w:val="en-US"/>
        </w:rPr>
      </w:pPr>
    </w:p>
    <w:p w14:paraId="0069C539" w14:textId="77777777" w:rsidR="00AE1163" w:rsidRPr="00487834" w:rsidRDefault="00AE1163" w:rsidP="003128F6">
      <w:pPr>
        <w:spacing w:line="300" w:lineRule="auto"/>
        <w:rPr>
          <w:lang w:val="en-US"/>
        </w:rPr>
      </w:pPr>
      <w:r w:rsidRPr="00487834">
        <w:rPr>
          <w:lang w:val="en-US"/>
        </w:rPr>
        <w:t>Breusch-Pagan test statistic random: 159.0611748821834</w:t>
      </w:r>
    </w:p>
    <w:p w14:paraId="74BFC72A" w14:textId="77777777" w:rsidR="00AE1163" w:rsidRPr="00487834" w:rsidRDefault="00AE1163" w:rsidP="003128F6">
      <w:pPr>
        <w:spacing w:line="300" w:lineRule="auto"/>
        <w:rPr>
          <w:lang w:val="en-US"/>
        </w:rPr>
      </w:pPr>
      <w:r w:rsidRPr="00487834">
        <w:rPr>
          <w:lang w:val="en-US"/>
        </w:rPr>
        <w:t>Breusch-Pagan test p-value random: 5.055414301505292e-31</w:t>
      </w:r>
    </w:p>
    <w:p w14:paraId="7C487D95" w14:textId="77777777" w:rsidR="00AE1163" w:rsidRPr="00487834" w:rsidRDefault="00AE1163" w:rsidP="003128F6">
      <w:pPr>
        <w:spacing w:line="300" w:lineRule="auto"/>
        <w:rPr>
          <w:lang w:val="en-US"/>
        </w:rPr>
      </w:pPr>
      <w:r w:rsidRPr="00487834">
        <w:rPr>
          <w:lang w:val="en-US"/>
        </w:rPr>
        <w:t>Durbin-Watson test statistic random: 1.7581406641990172</w:t>
      </w:r>
    </w:p>
    <w:p w14:paraId="0406B7CA" w14:textId="77777777" w:rsidR="00AE1163" w:rsidRPr="00487834" w:rsidRDefault="00AE1163" w:rsidP="003128F6">
      <w:pPr>
        <w:spacing w:line="300" w:lineRule="auto"/>
        <w:rPr>
          <w:lang w:val="en-US"/>
        </w:rPr>
      </w:pPr>
    </w:p>
    <w:p w14:paraId="10C58133" w14:textId="77777777" w:rsidR="00AE1163" w:rsidRPr="00487834" w:rsidRDefault="00AE1163" w:rsidP="003128F6">
      <w:pPr>
        <w:spacing w:line="300" w:lineRule="auto"/>
        <w:rPr>
          <w:lang w:val="en-US"/>
        </w:rPr>
      </w:pPr>
      <w:r w:rsidRPr="00487834">
        <w:rPr>
          <w:lang w:val="en-US"/>
        </w:rPr>
        <w:t>Breusch-Pagan test statistic fixed: 181.72476711625978</w:t>
      </w:r>
    </w:p>
    <w:p w14:paraId="03FA3994" w14:textId="77777777" w:rsidR="00AE1163" w:rsidRPr="00487834" w:rsidRDefault="00AE1163" w:rsidP="003128F6">
      <w:pPr>
        <w:spacing w:line="300" w:lineRule="auto"/>
        <w:rPr>
          <w:lang w:val="en-US"/>
        </w:rPr>
      </w:pPr>
      <w:r w:rsidRPr="00487834">
        <w:rPr>
          <w:lang w:val="en-US"/>
        </w:rPr>
        <w:t>Breusch-Pagan test p-value fixed: 0.0008559170399643955</w:t>
      </w:r>
    </w:p>
    <w:p w14:paraId="317F9126" w14:textId="77777777" w:rsidR="00AE1163" w:rsidRPr="00487834" w:rsidRDefault="00AE1163" w:rsidP="003128F6">
      <w:pPr>
        <w:spacing w:line="300" w:lineRule="auto"/>
        <w:rPr>
          <w:lang w:val="en-US"/>
        </w:rPr>
      </w:pPr>
      <w:r w:rsidRPr="00487834">
        <w:rPr>
          <w:lang w:val="en-US"/>
        </w:rPr>
        <w:t>Durbin-Watson test statistic fixed: 2.050354747281339</w:t>
      </w:r>
    </w:p>
    <w:p w14:paraId="05F022FE" w14:textId="77777777" w:rsidR="00AE1163" w:rsidRPr="00487834" w:rsidRDefault="00AE1163" w:rsidP="003128F6">
      <w:pPr>
        <w:spacing w:line="300" w:lineRule="auto"/>
        <w:rPr>
          <w:lang w:val="en-US"/>
        </w:rPr>
      </w:pPr>
      <w:r w:rsidRPr="00487834">
        <w:rPr>
          <w:lang w:val="en-US"/>
        </w:rPr>
        <w:t xml:space="preserve">Ramsey RESET test results fixed: &lt;F test: F=7.142314275299092, p=0.007926880034369397, </w:t>
      </w:r>
      <w:proofErr w:type="spellStart"/>
      <w:r w:rsidRPr="00487834">
        <w:rPr>
          <w:lang w:val="en-US"/>
        </w:rPr>
        <w:t>df_denom</w:t>
      </w:r>
      <w:proofErr w:type="spellEnd"/>
      <w:r w:rsidRPr="00487834">
        <w:rPr>
          <w:lang w:val="en-US"/>
        </w:rPr>
        <w:t xml:space="preserve">=310, </w:t>
      </w:r>
      <w:proofErr w:type="spellStart"/>
      <w:r w:rsidRPr="00487834">
        <w:rPr>
          <w:lang w:val="en-US"/>
        </w:rPr>
        <w:t>df_num</w:t>
      </w:r>
      <w:proofErr w:type="spellEnd"/>
      <w:r w:rsidRPr="00487834">
        <w:rPr>
          <w:lang w:val="en-US"/>
        </w:rPr>
        <w:t>=1&gt;</w:t>
      </w:r>
    </w:p>
    <w:p w14:paraId="687B28FC" w14:textId="77777777" w:rsidR="00AE1163" w:rsidRPr="00487834" w:rsidRDefault="00AE1163" w:rsidP="003128F6">
      <w:pPr>
        <w:spacing w:line="300" w:lineRule="auto"/>
        <w:rPr>
          <w:lang w:val="en-US"/>
        </w:rPr>
      </w:pPr>
    </w:p>
    <w:p w14:paraId="57E04D06" w14:textId="77777777" w:rsidR="00AE1163" w:rsidRPr="00487834" w:rsidRDefault="00AE1163" w:rsidP="003128F6">
      <w:pPr>
        <w:spacing w:line="300" w:lineRule="auto"/>
        <w:rPr>
          <w:lang w:val="en-US"/>
        </w:rPr>
      </w:pPr>
    </w:p>
    <w:p w14:paraId="52F7B439" w14:textId="77777777" w:rsidR="00AE1163" w:rsidRPr="00487834" w:rsidRDefault="00AE1163" w:rsidP="003128F6">
      <w:pPr>
        <w:spacing w:line="300" w:lineRule="auto"/>
        <w:rPr>
          <w:lang w:val="en-US"/>
        </w:rPr>
      </w:pPr>
      <w:r w:rsidRPr="00487834">
        <w:rPr>
          <w:lang w:val="en-US"/>
        </w:rPr>
        <w:t xml:space="preserve">Regression on </w:t>
      </w:r>
      <w:proofErr w:type="spellStart"/>
      <w:r w:rsidRPr="00487834">
        <w:rPr>
          <w:lang w:val="en-US"/>
        </w:rPr>
        <w:t>coe</w:t>
      </w:r>
      <w:proofErr w:type="spellEnd"/>
      <w:r w:rsidRPr="00487834">
        <w:rPr>
          <w:lang w:val="en-US"/>
        </w:rPr>
        <w:t xml:space="preserve"> with no lag for </w:t>
      </w:r>
      <w:proofErr w:type="spellStart"/>
      <w:r w:rsidRPr="00487834">
        <w:rPr>
          <w:lang w:val="en-US"/>
        </w:rPr>
        <w:t>South_Africa</w:t>
      </w:r>
      <w:proofErr w:type="spellEnd"/>
    </w:p>
    <w:p w14:paraId="03C9CEC5" w14:textId="77777777" w:rsidR="00AE1163" w:rsidRPr="00487834" w:rsidRDefault="00AE1163" w:rsidP="003128F6">
      <w:pPr>
        <w:spacing w:line="300" w:lineRule="auto"/>
        <w:rPr>
          <w:lang w:val="en-US"/>
        </w:rPr>
      </w:pPr>
    </w:p>
    <w:p w14:paraId="700E09CB" w14:textId="77777777" w:rsidR="00AE1163" w:rsidRPr="00487834" w:rsidRDefault="00AE1163" w:rsidP="003128F6">
      <w:pPr>
        <w:spacing w:line="300" w:lineRule="auto"/>
        <w:rPr>
          <w:lang w:val="en-US"/>
        </w:rPr>
      </w:pPr>
      <w:r w:rsidRPr="00487834">
        <w:rPr>
          <w:lang w:val="en-US"/>
        </w:rPr>
        <w:t>Breusch-Pagan test statistic random: 146.34928984728217</w:t>
      </w:r>
    </w:p>
    <w:p w14:paraId="659AB3B8" w14:textId="77777777" w:rsidR="00AE1163" w:rsidRPr="00487834" w:rsidRDefault="00AE1163" w:rsidP="003128F6">
      <w:pPr>
        <w:spacing w:line="300" w:lineRule="auto"/>
        <w:rPr>
          <w:lang w:val="en-US"/>
        </w:rPr>
      </w:pPr>
      <w:r w:rsidRPr="00487834">
        <w:rPr>
          <w:lang w:val="en-US"/>
        </w:rPr>
        <w:t>Breusch-Pagan test p-value random: 2.370645497758513e-28</w:t>
      </w:r>
    </w:p>
    <w:p w14:paraId="7AED8729" w14:textId="77777777" w:rsidR="00AE1163" w:rsidRPr="00487834" w:rsidRDefault="00AE1163" w:rsidP="003128F6">
      <w:pPr>
        <w:spacing w:line="300" w:lineRule="auto"/>
        <w:rPr>
          <w:lang w:val="en-US"/>
        </w:rPr>
      </w:pPr>
      <w:r w:rsidRPr="00487834">
        <w:rPr>
          <w:lang w:val="en-US"/>
        </w:rPr>
        <w:t>Durbin-Watson test statistic random: 1.4071822034185606</w:t>
      </w:r>
    </w:p>
    <w:p w14:paraId="056730A0" w14:textId="77777777" w:rsidR="00AE1163" w:rsidRPr="00487834" w:rsidRDefault="00AE1163" w:rsidP="003128F6">
      <w:pPr>
        <w:spacing w:line="300" w:lineRule="auto"/>
        <w:rPr>
          <w:lang w:val="en-US"/>
        </w:rPr>
      </w:pPr>
    </w:p>
    <w:p w14:paraId="62C11FD9" w14:textId="77777777" w:rsidR="00AE1163" w:rsidRPr="00487834" w:rsidRDefault="00AE1163" w:rsidP="003128F6">
      <w:pPr>
        <w:spacing w:line="300" w:lineRule="auto"/>
        <w:rPr>
          <w:lang w:val="en-US"/>
        </w:rPr>
      </w:pPr>
      <w:r w:rsidRPr="00487834">
        <w:rPr>
          <w:lang w:val="en-US"/>
        </w:rPr>
        <w:t>Breusch-Pagan test statistic fixed: 178.87288035009027</w:t>
      </w:r>
    </w:p>
    <w:p w14:paraId="25EFAABD" w14:textId="77777777" w:rsidR="00AE1163" w:rsidRPr="00487834" w:rsidRDefault="00AE1163" w:rsidP="003128F6">
      <w:pPr>
        <w:spacing w:line="300" w:lineRule="auto"/>
        <w:rPr>
          <w:lang w:val="en-US"/>
        </w:rPr>
      </w:pPr>
      <w:r w:rsidRPr="00487834">
        <w:rPr>
          <w:lang w:val="en-US"/>
        </w:rPr>
        <w:t>Breusch-Pagan test p-value fixed: 1.1487410355968302e-06</w:t>
      </w:r>
    </w:p>
    <w:p w14:paraId="7675E581" w14:textId="77777777" w:rsidR="00AE1163" w:rsidRPr="00487834" w:rsidRDefault="00AE1163" w:rsidP="003128F6">
      <w:pPr>
        <w:spacing w:line="300" w:lineRule="auto"/>
        <w:rPr>
          <w:lang w:val="en-US"/>
        </w:rPr>
      </w:pPr>
      <w:r w:rsidRPr="00487834">
        <w:rPr>
          <w:lang w:val="en-US"/>
        </w:rPr>
        <w:lastRenderedPageBreak/>
        <w:t>Durbin-Watson test statistic fixed: 1.625122719193869</w:t>
      </w:r>
    </w:p>
    <w:p w14:paraId="23F285B1" w14:textId="77777777" w:rsidR="00AE1163" w:rsidRPr="00487834" w:rsidRDefault="00AE1163" w:rsidP="003128F6">
      <w:pPr>
        <w:spacing w:line="300" w:lineRule="auto"/>
        <w:rPr>
          <w:lang w:val="en-US"/>
        </w:rPr>
      </w:pPr>
      <w:r w:rsidRPr="00487834">
        <w:rPr>
          <w:lang w:val="en-US"/>
        </w:rPr>
        <w:t xml:space="preserve">Ramsey RESET test results fixed: &lt;F test: F=51.974798144812446, p=2.607122955460585e-12, </w:t>
      </w:r>
      <w:proofErr w:type="spellStart"/>
      <w:r w:rsidRPr="00487834">
        <w:rPr>
          <w:lang w:val="en-US"/>
        </w:rPr>
        <w:t>df_denom</w:t>
      </w:r>
      <w:proofErr w:type="spellEnd"/>
      <w:r w:rsidRPr="00487834">
        <w:rPr>
          <w:lang w:val="en-US"/>
        </w:rPr>
        <w:t xml:space="preserve">=423, </w:t>
      </w:r>
      <w:proofErr w:type="spellStart"/>
      <w:r w:rsidRPr="00487834">
        <w:rPr>
          <w:lang w:val="en-US"/>
        </w:rPr>
        <w:t>df_num</w:t>
      </w:r>
      <w:proofErr w:type="spellEnd"/>
      <w:r w:rsidRPr="00487834">
        <w:rPr>
          <w:lang w:val="en-US"/>
        </w:rPr>
        <w:t>=1&gt;</w:t>
      </w:r>
    </w:p>
    <w:p w14:paraId="29FFAC7F" w14:textId="77777777" w:rsidR="00AE1163" w:rsidRPr="00487834" w:rsidRDefault="00AE1163" w:rsidP="003128F6">
      <w:pPr>
        <w:spacing w:line="300" w:lineRule="auto"/>
        <w:rPr>
          <w:lang w:val="en-US"/>
        </w:rPr>
      </w:pPr>
    </w:p>
    <w:p w14:paraId="50894BC4" w14:textId="77777777" w:rsidR="00AE1163" w:rsidRPr="00487834" w:rsidRDefault="00AE1163" w:rsidP="003128F6">
      <w:pPr>
        <w:spacing w:line="300" w:lineRule="auto"/>
        <w:rPr>
          <w:lang w:val="en-US"/>
        </w:rPr>
      </w:pPr>
    </w:p>
    <w:p w14:paraId="3E2C90EB" w14:textId="77777777" w:rsidR="00AE1163" w:rsidRPr="00487834" w:rsidRDefault="00AE1163" w:rsidP="003128F6">
      <w:pPr>
        <w:spacing w:line="300" w:lineRule="auto"/>
        <w:rPr>
          <w:lang w:val="en-US"/>
        </w:rPr>
      </w:pPr>
    </w:p>
    <w:p w14:paraId="4EC064BB" w14:textId="77777777" w:rsidR="00AE1163" w:rsidRPr="00487834" w:rsidRDefault="00AE1163" w:rsidP="003128F6">
      <w:pPr>
        <w:spacing w:line="300" w:lineRule="auto"/>
        <w:rPr>
          <w:lang w:val="en-US"/>
        </w:rPr>
      </w:pPr>
      <w:r w:rsidRPr="00487834">
        <w:rPr>
          <w:lang w:val="en-US"/>
        </w:rPr>
        <w:t xml:space="preserve">Regression on </w:t>
      </w:r>
      <w:proofErr w:type="spellStart"/>
      <w:r w:rsidRPr="00487834">
        <w:rPr>
          <w:lang w:val="en-US"/>
        </w:rPr>
        <w:t>coe</w:t>
      </w:r>
      <w:proofErr w:type="spellEnd"/>
      <w:r w:rsidRPr="00487834">
        <w:rPr>
          <w:lang w:val="en-US"/>
        </w:rPr>
        <w:t xml:space="preserve"> with lagged all except cost for </w:t>
      </w:r>
      <w:proofErr w:type="spellStart"/>
      <w:r w:rsidRPr="00487834">
        <w:rPr>
          <w:lang w:val="en-US"/>
        </w:rPr>
        <w:t>South_Africa</w:t>
      </w:r>
      <w:proofErr w:type="spellEnd"/>
    </w:p>
    <w:p w14:paraId="45E54036" w14:textId="77777777" w:rsidR="00AE1163" w:rsidRPr="00487834" w:rsidRDefault="00AE1163" w:rsidP="003128F6">
      <w:pPr>
        <w:spacing w:line="300" w:lineRule="auto"/>
        <w:rPr>
          <w:lang w:val="en-US"/>
        </w:rPr>
      </w:pPr>
    </w:p>
    <w:p w14:paraId="06DD2F23" w14:textId="77777777" w:rsidR="00AE1163" w:rsidRPr="00487834" w:rsidRDefault="00AE1163" w:rsidP="003128F6">
      <w:pPr>
        <w:spacing w:line="300" w:lineRule="auto"/>
        <w:rPr>
          <w:lang w:val="en-US"/>
        </w:rPr>
      </w:pPr>
      <w:r w:rsidRPr="00487834">
        <w:rPr>
          <w:lang w:val="en-US"/>
        </w:rPr>
        <w:t>Breusch-Pagan test statistic random: 74.39210230056095</w:t>
      </w:r>
    </w:p>
    <w:p w14:paraId="6E660B2F" w14:textId="77777777" w:rsidR="00AE1163" w:rsidRPr="00487834" w:rsidRDefault="00AE1163" w:rsidP="003128F6">
      <w:pPr>
        <w:spacing w:line="300" w:lineRule="auto"/>
        <w:rPr>
          <w:lang w:val="en-US"/>
        </w:rPr>
      </w:pPr>
      <w:r w:rsidRPr="00487834">
        <w:rPr>
          <w:lang w:val="en-US"/>
        </w:rPr>
        <w:t>Breusch-Pagan test p-value random: 1.9054290333468407e-13</w:t>
      </w:r>
    </w:p>
    <w:p w14:paraId="5BC7F020" w14:textId="77777777" w:rsidR="00AE1163" w:rsidRPr="00487834" w:rsidRDefault="00AE1163" w:rsidP="003128F6">
      <w:pPr>
        <w:spacing w:line="300" w:lineRule="auto"/>
        <w:rPr>
          <w:lang w:val="en-US"/>
        </w:rPr>
      </w:pPr>
      <w:r w:rsidRPr="00487834">
        <w:rPr>
          <w:lang w:val="en-US"/>
        </w:rPr>
        <w:t>Durbin-Watson test statistic random: 1.9312604395921538</w:t>
      </w:r>
    </w:p>
    <w:p w14:paraId="2053E49A" w14:textId="77777777" w:rsidR="00AE1163" w:rsidRPr="00487834" w:rsidRDefault="00AE1163" w:rsidP="003128F6">
      <w:pPr>
        <w:spacing w:line="300" w:lineRule="auto"/>
        <w:rPr>
          <w:lang w:val="en-US"/>
        </w:rPr>
      </w:pPr>
    </w:p>
    <w:p w14:paraId="4D75ADC7" w14:textId="77777777" w:rsidR="00AE1163" w:rsidRPr="00487834" w:rsidRDefault="00AE1163" w:rsidP="003128F6">
      <w:pPr>
        <w:spacing w:line="300" w:lineRule="auto"/>
        <w:rPr>
          <w:lang w:val="en-US"/>
        </w:rPr>
      </w:pPr>
      <w:r w:rsidRPr="00487834">
        <w:rPr>
          <w:lang w:val="en-US"/>
        </w:rPr>
        <w:t>Breusch-Pagan test statistic fixed: 135.04768957293405</w:t>
      </w:r>
    </w:p>
    <w:p w14:paraId="36989039" w14:textId="77777777" w:rsidR="00AE1163" w:rsidRPr="00487834" w:rsidRDefault="00AE1163" w:rsidP="003128F6">
      <w:pPr>
        <w:spacing w:line="300" w:lineRule="auto"/>
        <w:rPr>
          <w:lang w:val="en-US"/>
        </w:rPr>
      </w:pPr>
      <w:r w:rsidRPr="00487834">
        <w:rPr>
          <w:lang w:val="en-US"/>
        </w:rPr>
        <w:t>Breusch-Pagan test p-value fixed: 0.00781217160939057</w:t>
      </w:r>
    </w:p>
    <w:p w14:paraId="15E1A7E3" w14:textId="77777777" w:rsidR="00AE1163" w:rsidRPr="00487834" w:rsidRDefault="00AE1163" w:rsidP="003128F6">
      <w:pPr>
        <w:spacing w:line="300" w:lineRule="auto"/>
        <w:rPr>
          <w:lang w:val="en-US"/>
        </w:rPr>
      </w:pPr>
      <w:r w:rsidRPr="00487834">
        <w:rPr>
          <w:lang w:val="en-US"/>
        </w:rPr>
        <w:t>Durbin-Watson test statistic fixed: 2.0881873633391375</w:t>
      </w:r>
    </w:p>
    <w:p w14:paraId="0CF26664" w14:textId="77777777" w:rsidR="00AE1163" w:rsidRPr="00487834" w:rsidRDefault="00AE1163" w:rsidP="003128F6">
      <w:pPr>
        <w:spacing w:line="300" w:lineRule="auto"/>
        <w:rPr>
          <w:lang w:val="en-US"/>
        </w:rPr>
      </w:pPr>
      <w:r w:rsidRPr="00487834">
        <w:rPr>
          <w:lang w:val="en-US"/>
        </w:rPr>
        <w:t xml:space="preserve">Ramsey RESET test results fixed: &lt;F test: F=10.62647329077937, p=0.0012443706472680593, </w:t>
      </w:r>
      <w:proofErr w:type="spellStart"/>
      <w:r w:rsidRPr="00487834">
        <w:rPr>
          <w:lang w:val="en-US"/>
        </w:rPr>
        <w:t>df_denom</w:t>
      </w:r>
      <w:proofErr w:type="spellEnd"/>
      <w:r w:rsidRPr="00487834">
        <w:rPr>
          <w:lang w:val="en-US"/>
        </w:rPr>
        <w:t xml:space="preserve">=297, </w:t>
      </w:r>
      <w:proofErr w:type="spellStart"/>
      <w:r w:rsidRPr="00487834">
        <w:rPr>
          <w:lang w:val="en-US"/>
        </w:rPr>
        <w:t>df_num</w:t>
      </w:r>
      <w:proofErr w:type="spellEnd"/>
      <w:r w:rsidRPr="00487834">
        <w:rPr>
          <w:lang w:val="en-US"/>
        </w:rPr>
        <w:t>=1&gt;</w:t>
      </w:r>
    </w:p>
    <w:p w14:paraId="370E0FDA" w14:textId="77777777" w:rsidR="00AE1163" w:rsidRPr="00487834" w:rsidRDefault="00AE1163" w:rsidP="00694B7F">
      <w:pPr>
        <w:autoSpaceDE w:val="0"/>
        <w:autoSpaceDN w:val="0"/>
        <w:adjustRightInd w:val="0"/>
        <w:spacing w:line="300" w:lineRule="auto"/>
        <w:ind w:firstLine="0"/>
        <w:rPr>
          <w:lang w:val="en-GB"/>
        </w:rPr>
      </w:pPr>
    </w:p>
    <w:p w14:paraId="3182FC28" w14:textId="77777777" w:rsidR="00AE1163" w:rsidRPr="00487834" w:rsidRDefault="00AE1163" w:rsidP="003128F6">
      <w:pPr>
        <w:autoSpaceDE w:val="0"/>
        <w:autoSpaceDN w:val="0"/>
        <w:adjustRightInd w:val="0"/>
        <w:spacing w:line="300" w:lineRule="auto"/>
        <w:rPr>
          <w:lang w:val="en-GB"/>
        </w:rPr>
      </w:pPr>
    </w:p>
    <w:p w14:paraId="09105BD5" w14:textId="77777777" w:rsidR="00AE1163" w:rsidRPr="00487834" w:rsidRDefault="00AE1163" w:rsidP="003128F6">
      <w:pPr>
        <w:autoSpaceDE w:val="0"/>
        <w:autoSpaceDN w:val="0"/>
        <w:adjustRightInd w:val="0"/>
        <w:spacing w:line="300" w:lineRule="auto"/>
        <w:rPr>
          <w:lang w:val="en-GB"/>
        </w:rPr>
      </w:pPr>
    </w:p>
    <w:p w14:paraId="539FB0ED" w14:textId="77777777" w:rsidR="00B63EC3" w:rsidRPr="00487834" w:rsidRDefault="00286F41" w:rsidP="004A5290">
      <w:pPr>
        <w:pStyle w:val="Heading1"/>
        <w:rPr>
          <w:lang w:val="en-GB"/>
        </w:rPr>
      </w:pPr>
      <w:bookmarkStart w:id="28" w:name="_Toc167918999"/>
      <w:r w:rsidRPr="00487834">
        <w:rPr>
          <w:lang w:val="en-GB"/>
        </w:rPr>
        <w:t xml:space="preserve">8. </w:t>
      </w:r>
      <w:r w:rsidR="00B63EC3" w:rsidRPr="00487834">
        <w:rPr>
          <w:lang w:val="en-GB"/>
        </w:rPr>
        <w:t>List of references</w:t>
      </w:r>
      <w:bookmarkEnd w:id="28"/>
    </w:p>
    <w:p w14:paraId="305356EE" w14:textId="77777777" w:rsidR="00B63EC3" w:rsidRPr="00487834" w:rsidRDefault="00B63EC3" w:rsidP="003128F6">
      <w:pPr>
        <w:autoSpaceDE w:val="0"/>
        <w:autoSpaceDN w:val="0"/>
        <w:adjustRightInd w:val="0"/>
        <w:spacing w:line="300" w:lineRule="auto"/>
        <w:jc w:val="center"/>
        <w:rPr>
          <w:b/>
          <w:bCs/>
          <w:lang w:val="en-GB"/>
        </w:rPr>
      </w:pPr>
    </w:p>
    <w:p w14:paraId="083AB258" w14:textId="77777777" w:rsidR="00B63EC3" w:rsidRPr="00487834" w:rsidRDefault="00B63EC3" w:rsidP="003128F6">
      <w:pPr>
        <w:spacing w:line="300" w:lineRule="auto"/>
        <w:rPr>
          <w:color w:val="222222"/>
          <w:shd w:val="clear" w:color="auto" w:fill="FFFFFF"/>
          <w:lang w:val="en-US"/>
        </w:rPr>
      </w:pPr>
      <w:proofErr w:type="spellStart"/>
      <w:r w:rsidRPr="00487834">
        <w:rPr>
          <w:color w:val="222222"/>
          <w:shd w:val="clear" w:color="auto" w:fill="FFFFFF"/>
          <w:lang w:val="en-US"/>
        </w:rPr>
        <w:t>Apergis</w:t>
      </w:r>
      <w:proofErr w:type="spellEnd"/>
      <w:r w:rsidRPr="00487834">
        <w:rPr>
          <w:color w:val="222222"/>
          <w:shd w:val="clear" w:color="auto" w:fill="FFFFFF"/>
          <w:lang w:val="en-US"/>
        </w:rPr>
        <w:t xml:space="preserve">, N., </w:t>
      </w:r>
      <w:proofErr w:type="spellStart"/>
      <w:r w:rsidRPr="00487834">
        <w:rPr>
          <w:color w:val="222222"/>
          <w:shd w:val="clear" w:color="auto" w:fill="FFFFFF"/>
          <w:lang w:val="en-US"/>
        </w:rPr>
        <w:t>Poufinas</w:t>
      </w:r>
      <w:proofErr w:type="spellEnd"/>
      <w:r w:rsidRPr="00487834">
        <w:rPr>
          <w:color w:val="222222"/>
          <w:shd w:val="clear" w:color="auto" w:fill="FFFFFF"/>
          <w:lang w:val="en-US"/>
        </w:rPr>
        <w:t>, T., &amp; Antonopoulos, A. (2022). ESG scores and cost of debt. </w:t>
      </w:r>
      <w:r w:rsidRPr="00487834">
        <w:rPr>
          <w:i/>
          <w:iCs/>
          <w:color w:val="222222"/>
          <w:shd w:val="clear" w:color="auto" w:fill="FFFFFF"/>
          <w:lang w:val="en-US"/>
        </w:rPr>
        <w:t>Energy Economics</w:t>
      </w:r>
      <w:r w:rsidRPr="00487834">
        <w:rPr>
          <w:color w:val="222222"/>
          <w:shd w:val="clear" w:color="auto" w:fill="FFFFFF"/>
          <w:lang w:val="en-US"/>
        </w:rPr>
        <w:t>, </w:t>
      </w:r>
      <w:r w:rsidRPr="00487834">
        <w:rPr>
          <w:i/>
          <w:iCs/>
          <w:color w:val="222222"/>
          <w:shd w:val="clear" w:color="auto" w:fill="FFFFFF"/>
          <w:lang w:val="en-US"/>
        </w:rPr>
        <w:t>112</w:t>
      </w:r>
      <w:r w:rsidRPr="00487834">
        <w:rPr>
          <w:color w:val="222222"/>
          <w:shd w:val="clear" w:color="auto" w:fill="FFFFFF"/>
          <w:lang w:val="en-US"/>
        </w:rPr>
        <w:t>, 106186.</w:t>
      </w:r>
    </w:p>
    <w:p w14:paraId="4ED89131" w14:textId="77777777" w:rsidR="00B63EC3" w:rsidRPr="00487834" w:rsidRDefault="00B63EC3" w:rsidP="003128F6">
      <w:pPr>
        <w:spacing w:line="300" w:lineRule="auto"/>
        <w:rPr>
          <w:color w:val="222222"/>
          <w:shd w:val="clear" w:color="auto" w:fill="FFFFFF"/>
          <w:lang w:val="en-US"/>
        </w:rPr>
      </w:pPr>
    </w:p>
    <w:p w14:paraId="6546D99E" w14:textId="77777777" w:rsidR="00B63EC3" w:rsidRPr="00487834" w:rsidRDefault="00B63EC3" w:rsidP="003128F6">
      <w:pPr>
        <w:spacing w:line="300" w:lineRule="auto"/>
        <w:rPr>
          <w:color w:val="222222"/>
          <w:shd w:val="clear" w:color="auto" w:fill="FFFFFF"/>
          <w:lang w:val="en-US"/>
        </w:rPr>
      </w:pPr>
      <w:proofErr w:type="spellStart"/>
      <w:r w:rsidRPr="00487834">
        <w:rPr>
          <w:color w:val="222222"/>
          <w:shd w:val="clear" w:color="auto" w:fill="FFFFFF"/>
          <w:lang w:val="en-US"/>
        </w:rPr>
        <w:t>Asimakopoulos</w:t>
      </w:r>
      <w:proofErr w:type="spellEnd"/>
      <w:r w:rsidRPr="00487834">
        <w:rPr>
          <w:color w:val="222222"/>
          <w:shd w:val="clear" w:color="auto" w:fill="FFFFFF"/>
          <w:lang w:val="en-US"/>
        </w:rPr>
        <w:t xml:space="preserve">, P., </w:t>
      </w:r>
      <w:proofErr w:type="spellStart"/>
      <w:r w:rsidRPr="00487834">
        <w:rPr>
          <w:color w:val="222222"/>
          <w:shd w:val="clear" w:color="auto" w:fill="FFFFFF"/>
          <w:lang w:val="en-US"/>
        </w:rPr>
        <w:t>Asimakopoulos</w:t>
      </w:r>
      <w:proofErr w:type="spellEnd"/>
      <w:r w:rsidRPr="00487834">
        <w:rPr>
          <w:color w:val="222222"/>
          <w:shd w:val="clear" w:color="auto" w:fill="FFFFFF"/>
          <w:lang w:val="en-US"/>
        </w:rPr>
        <w:t>, S., &amp; Li, X. (2023). The role of environmental, social, and governance rating on corporate debt structure. </w:t>
      </w:r>
      <w:r w:rsidRPr="00487834">
        <w:rPr>
          <w:i/>
          <w:iCs/>
          <w:color w:val="222222"/>
          <w:shd w:val="clear" w:color="auto" w:fill="FFFFFF"/>
          <w:lang w:val="en-US"/>
        </w:rPr>
        <w:t>Journal of Corporate Finance</w:t>
      </w:r>
      <w:r w:rsidRPr="00487834">
        <w:rPr>
          <w:color w:val="222222"/>
          <w:shd w:val="clear" w:color="auto" w:fill="FFFFFF"/>
          <w:lang w:val="en-US"/>
        </w:rPr>
        <w:t>, </w:t>
      </w:r>
      <w:r w:rsidRPr="00487834">
        <w:rPr>
          <w:i/>
          <w:iCs/>
          <w:color w:val="222222"/>
          <w:shd w:val="clear" w:color="auto" w:fill="FFFFFF"/>
          <w:lang w:val="en-US"/>
        </w:rPr>
        <w:t>83</w:t>
      </w:r>
      <w:r w:rsidRPr="00487834">
        <w:rPr>
          <w:color w:val="222222"/>
          <w:shd w:val="clear" w:color="auto" w:fill="FFFFFF"/>
          <w:lang w:val="en-US"/>
        </w:rPr>
        <w:t>,102488.</w:t>
      </w:r>
    </w:p>
    <w:p w14:paraId="6A1773EA" w14:textId="77777777" w:rsidR="00B63EC3" w:rsidRPr="00487834" w:rsidRDefault="00B63EC3" w:rsidP="003128F6">
      <w:pPr>
        <w:spacing w:line="300" w:lineRule="auto"/>
        <w:rPr>
          <w:color w:val="222222"/>
          <w:shd w:val="clear" w:color="auto" w:fill="FFFFFF"/>
          <w:lang w:val="en-US"/>
        </w:rPr>
      </w:pPr>
    </w:p>
    <w:p w14:paraId="20C6B8F8" w14:textId="77777777" w:rsidR="00B63EC3" w:rsidRPr="00487834" w:rsidRDefault="00B63EC3" w:rsidP="003128F6">
      <w:pPr>
        <w:spacing w:line="300" w:lineRule="auto"/>
        <w:rPr>
          <w:color w:val="222222"/>
          <w:shd w:val="clear" w:color="auto" w:fill="FFFFFF"/>
          <w:lang w:val="en-US"/>
        </w:rPr>
      </w:pPr>
      <w:proofErr w:type="spellStart"/>
      <w:r w:rsidRPr="00487834">
        <w:rPr>
          <w:color w:val="222222"/>
          <w:shd w:val="clear" w:color="auto" w:fill="FFFFFF"/>
          <w:lang w:val="en-US"/>
        </w:rPr>
        <w:t>Stellner</w:t>
      </w:r>
      <w:proofErr w:type="spellEnd"/>
      <w:r w:rsidRPr="00487834">
        <w:rPr>
          <w:color w:val="222222"/>
          <w:shd w:val="clear" w:color="auto" w:fill="FFFFFF"/>
          <w:lang w:val="en-US"/>
        </w:rPr>
        <w:t xml:space="preserve">, C., Klein, C., &amp; </w:t>
      </w:r>
      <w:proofErr w:type="spellStart"/>
      <w:r w:rsidRPr="00487834">
        <w:rPr>
          <w:color w:val="222222"/>
          <w:shd w:val="clear" w:color="auto" w:fill="FFFFFF"/>
          <w:lang w:val="en-US"/>
        </w:rPr>
        <w:t>Zwergel</w:t>
      </w:r>
      <w:proofErr w:type="spellEnd"/>
      <w:r w:rsidRPr="00487834">
        <w:rPr>
          <w:color w:val="222222"/>
          <w:shd w:val="clear" w:color="auto" w:fill="FFFFFF"/>
          <w:lang w:val="en-US"/>
        </w:rPr>
        <w:t>, B. (2015). Corporate social responsibility and Eurozone corporate bonds: The moderating role of country sustainability. </w:t>
      </w:r>
      <w:r w:rsidRPr="00487834">
        <w:rPr>
          <w:i/>
          <w:iCs/>
          <w:color w:val="222222"/>
          <w:shd w:val="clear" w:color="auto" w:fill="FFFFFF"/>
          <w:lang w:val="en-US"/>
        </w:rPr>
        <w:t>Journal of Banking &amp; Finance</w:t>
      </w:r>
      <w:r w:rsidRPr="00487834">
        <w:rPr>
          <w:color w:val="222222"/>
          <w:shd w:val="clear" w:color="auto" w:fill="FFFFFF"/>
          <w:lang w:val="en-US"/>
        </w:rPr>
        <w:t>, </w:t>
      </w:r>
      <w:r w:rsidRPr="00487834">
        <w:rPr>
          <w:i/>
          <w:iCs/>
          <w:color w:val="222222"/>
          <w:shd w:val="clear" w:color="auto" w:fill="FFFFFF"/>
          <w:lang w:val="en-US"/>
        </w:rPr>
        <w:t>59</w:t>
      </w:r>
      <w:r w:rsidRPr="00487834">
        <w:rPr>
          <w:color w:val="222222"/>
          <w:shd w:val="clear" w:color="auto" w:fill="FFFFFF"/>
          <w:lang w:val="en-US"/>
        </w:rPr>
        <w:t>, 538-549.</w:t>
      </w:r>
    </w:p>
    <w:p w14:paraId="02B2B739" w14:textId="77777777" w:rsidR="00B63EC3" w:rsidRPr="00487834" w:rsidRDefault="00B63EC3" w:rsidP="003128F6">
      <w:pPr>
        <w:spacing w:line="300" w:lineRule="auto"/>
        <w:rPr>
          <w:color w:val="222222"/>
          <w:shd w:val="clear" w:color="auto" w:fill="FFFFFF"/>
          <w:lang w:val="en-US"/>
        </w:rPr>
      </w:pPr>
    </w:p>
    <w:p w14:paraId="1D2BB0DE" w14:textId="77777777" w:rsidR="00B63EC3" w:rsidRPr="00487834" w:rsidRDefault="00B63EC3" w:rsidP="003128F6">
      <w:pPr>
        <w:spacing w:line="300" w:lineRule="auto"/>
        <w:rPr>
          <w:color w:val="666666"/>
          <w:shd w:val="clear" w:color="auto" w:fill="EEEEEE"/>
          <w:lang w:val="en-US"/>
        </w:rPr>
      </w:pPr>
      <w:r w:rsidRPr="00487834">
        <w:rPr>
          <w:color w:val="222222"/>
          <w:shd w:val="clear" w:color="auto" w:fill="FFFFFF"/>
          <w:lang w:val="en-US"/>
        </w:rPr>
        <w:t xml:space="preserve">Eichholtz, P., </w:t>
      </w:r>
      <w:proofErr w:type="spellStart"/>
      <w:r w:rsidRPr="00487834">
        <w:rPr>
          <w:color w:val="222222"/>
          <w:shd w:val="clear" w:color="auto" w:fill="FFFFFF"/>
          <w:lang w:val="en-US"/>
        </w:rPr>
        <w:t>Holtermans</w:t>
      </w:r>
      <w:proofErr w:type="spellEnd"/>
      <w:r w:rsidRPr="00487834">
        <w:rPr>
          <w:color w:val="222222"/>
          <w:shd w:val="clear" w:color="auto" w:fill="FFFFFF"/>
          <w:lang w:val="en-US"/>
        </w:rPr>
        <w:t xml:space="preserve">, R., Kok, N., &amp; </w:t>
      </w:r>
      <w:proofErr w:type="spellStart"/>
      <w:r w:rsidRPr="00487834">
        <w:rPr>
          <w:color w:val="222222"/>
          <w:shd w:val="clear" w:color="auto" w:fill="FFFFFF"/>
          <w:lang w:val="en-US"/>
        </w:rPr>
        <w:t>Yönder</w:t>
      </w:r>
      <w:proofErr w:type="spellEnd"/>
      <w:r w:rsidRPr="00487834">
        <w:rPr>
          <w:color w:val="222222"/>
          <w:shd w:val="clear" w:color="auto" w:fill="FFFFFF"/>
          <w:lang w:val="en-US"/>
        </w:rPr>
        <w:t>, E. (2019). Environmental performance and the cost of debt: Evidence from commercial mortgages and REIT bonds. </w:t>
      </w:r>
      <w:r w:rsidRPr="00487834">
        <w:rPr>
          <w:i/>
          <w:iCs/>
          <w:color w:val="222222"/>
          <w:shd w:val="clear" w:color="auto" w:fill="FFFFFF"/>
          <w:lang w:val="en-US"/>
        </w:rPr>
        <w:t>Journal of Banking &amp; Finance</w:t>
      </w:r>
      <w:r w:rsidRPr="00487834">
        <w:rPr>
          <w:color w:val="222222"/>
          <w:shd w:val="clear" w:color="auto" w:fill="FFFFFF"/>
          <w:lang w:val="en-US"/>
        </w:rPr>
        <w:t>, </w:t>
      </w:r>
      <w:r w:rsidRPr="00487834">
        <w:rPr>
          <w:i/>
          <w:iCs/>
          <w:color w:val="222222"/>
          <w:shd w:val="clear" w:color="auto" w:fill="FFFFFF"/>
          <w:lang w:val="en-US"/>
        </w:rPr>
        <w:t>102</w:t>
      </w:r>
      <w:r w:rsidRPr="00487834">
        <w:rPr>
          <w:color w:val="222222"/>
          <w:shd w:val="clear" w:color="auto" w:fill="FFFFFF"/>
          <w:lang w:val="en-US"/>
        </w:rPr>
        <w:t>, 19-32.</w:t>
      </w:r>
    </w:p>
    <w:p w14:paraId="302D001B" w14:textId="77777777" w:rsidR="00B63EC3" w:rsidRPr="00487834" w:rsidRDefault="00B63EC3" w:rsidP="003128F6">
      <w:pPr>
        <w:autoSpaceDE w:val="0"/>
        <w:autoSpaceDN w:val="0"/>
        <w:adjustRightInd w:val="0"/>
        <w:spacing w:line="300" w:lineRule="auto"/>
        <w:rPr>
          <w:b/>
          <w:bCs/>
          <w:lang w:val="en-GB"/>
        </w:rPr>
      </w:pPr>
    </w:p>
    <w:p w14:paraId="4969D2EA" w14:textId="77777777" w:rsidR="00B63EC3" w:rsidRPr="00487834" w:rsidRDefault="00B63EC3" w:rsidP="003128F6">
      <w:pPr>
        <w:spacing w:line="300" w:lineRule="auto"/>
        <w:rPr>
          <w:color w:val="222222"/>
          <w:shd w:val="clear" w:color="auto" w:fill="FFFFFF"/>
          <w:lang w:val="en-US"/>
        </w:rPr>
      </w:pPr>
      <w:proofErr w:type="spellStart"/>
      <w:r w:rsidRPr="00487834">
        <w:rPr>
          <w:color w:val="222222"/>
          <w:shd w:val="clear" w:color="auto" w:fill="FFFFFF"/>
          <w:lang w:val="en-US"/>
        </w:rPr>
        <w:t>Eliwa</w:t>
      </w:r>
      <w:proofErr w:type="spellEnd"/>
      <w:r w:rsidRPr="00487834">
        <w:rPr>
          <w:color w:val="222222"/>
          <w:shd w:val="clear" w:color="auto" w:fill="FFFFFF"/>
          <w:lang w:val="en-US"/>
        </w:rPr>
        <w:t xml:space="preserve">, Y., </w:t>
      </w:r>
      <w:proofErr w:type="spellStart"/>
      <w:r w:rsidRPr="00487834">
        <w:rPr>
          <w:color w:val="222222"/>
          <w:shd w:val="clear" w:color="auto" w:fill="FFFFFF"/>
          <w:lang w:val="en-US"/>
        </w:rPr>
        <w:t>Aboud</w:t>
      </w:r>
      <w:proofErr w:type="spellEnd"/>
      <w:r w:rsidRPr="00487834">
        <w:rPr>
          <w:color w:val="222222"/>
          <w:shd w:val="clear" w:color="auto" w:fill="FFFFFF"/>
          <w:lang w:val="en-US"/>
        </w:rPr>
        <w:t>, A., &amp; Saleh, A. (2021). ESG practices and the cost of debt: Evidence from EU countries. </w:t>
      </w:r>
      <w:r w:rsidRPr="00487834">
        <w:rPr>
          <w:i/>
          <w:iCs/>
          <w:color w:val="222222"/>
          <w:shd w:val="clear" w:color="auto" w:fill="FFFFFF"/>
          <w:lang w:val="en-US"/>
        </w:rPr>
        <w:t>Critical Perspectives on Accounting</w:t>
      </w:r>
      <w:r w:rsidRPr="00487834">
        <w:rPr>
          <w:color w:val="222222"/>
          <w:shd w:val="clear" w:color="auto" w:fill="FFFFFF"/>
          <w:lang w:val="en-US"/>
        </w:rPr>
        <w:t>, </w:t>
      </w:r>
      <w:r w:rsidRPr="00487834">
        <w:rPr>
          <w:i/>
          <w:iCs/>
          <w:color w:val="222222"/>
          <w:shd w:val="clear" w:color="auto" w:fill="FFFFFF"/>
          <w:lang w:val="en-US"/>
        </w:rPr>
        <w:t>79</w:t>
      </w:r>
      <w:r w:rsidRPr="00487834">
        <w:rPr>
          <w:color w:val="222222"/>
          <w:shd w:val="clear" w:color="auto" w:fill="FFFFFF"/>
          <w:lang w:val="en-US"/>
        </w:rPr>
        <w:t>, 102097.</w:t>
      </w:r>
    </w:p>
    <w:p w14:paraId="7BCD434E" w14:textId="77777777" w:rsidR="00B63EC3" w:rsidRPr="00487834" w:rsidRDefault="00B63EC3" w:rsidP="003128F6">
      <w:pPr>
        <w:autoSpaceDE w:val="0"/>
        <w:autoSpaceDN w:val="0"/>
        <w:adjustRightInd w:val="0"/>
        <w:spacing w:line="300" w:lineRule="auto"/>
        <w:rPr>
          <w:b/>
          <w:bCs/>
          <w:lang w:val="en-GB"/>
        </w:rPr>
      </w:pPr>
    </w:p>
    <w:p w14:paraId="0C9C018C" w14:textId="77777777" w:rsidR="007D6CBE" w:rsidRPr="00487834" w:rsidRDefault="007D6CBE" w:rsidP="003128F6">
      <w:pPr>
        <w:spacing w:line="300" w:lineRule="auto"/>
        <w:rPr>
          <w:lang w:val="en-US"/>
        </w:rPr>
      </w:pPr>
      <w:r w:rsidRPr="00487834">
        <w:rPr>
          <w:color w:val="222222"/>
          <w:shd w:val="clear" w:color="auto" w:fill="FFFFFF"/>
          <w:lang w:val="en-US"/>
        </w:rPr>
        <w:t>Giese, G., Lee, L. E., Melas, D., Nagy, Z., &amp; Nishikawa, L. (2019). Foundations of ESG investing: How ESG affects equity valuation, risk, and performance. </w:t>
      </w:r>
      <w:r w:rsidRPr="00487834">
        <w:rPr>
          <w:i/>
          <w:iCs/>
          <w:color w:val="222222"/>
          <w:shd w:val="clear" w:color="auto" w:fill="FFFFFF"/>
          <w:lang w:val="en-US"/>
        </w:rPr>
        <w:t>The Journal of Portfolio Management</w:t>
      </w:r>
      <w:r w:rsidRPr="00487834">
        <w:rPr>
          <w:color w:val="222222"/>
          <w:shd w:val="clear" w:color="auto" w:fill="FFFFFF"/>
          <w:lang w:val="en-US"/>
        </w:rPr>
        <w:t>, </w:t>
      </w:r>
      <w:r w:rsidRPr="00487834">
        <w:rPr>
          <w:i/>
          <w:iCs/>
          <w:color w:val="222222"/>
          <w:shd w:val="clear" w:color="auto" w:fill="FFFFFF"/>
          <w:lang w:val="en-US"/>
        </w:rPr>
        <w:t>45</w:t>
      </w:r>
      <w:r w:rsidRPr="00487834">
        <w:rPr>
          <w:color w:val="222222"/>
          <w:shd w:val="clear" w:color="auto" w:fill="FFFFFF"/>
          <w:lang w:val="en-US"/>
        </w:rPr>
        <w:t>(5), 69-83.</w:t>
      </w:r>
    </w:p>
    <w:p w14:paraId="57F41539" w14:textId="77777777" w:rsidR="007D6CBE" w:rsidRPr="00487834" w:rsidRDefault="007D6CBE" w:rsidP="003128F6">
      <w:pPr>
        <w:spacing w:line="300" w:lineRule="auto"/>
        <w:rPr>
          <w:lang w:val="en-US"/>
        </w:rPr>
      </w:pPr>
    </w:p>
    <w:p w14:paraId="49DF22D8" w14:textId="77777777" w:rsidR="007D6CBE" w:rsidRPr="00487834" w:rsidRDefault="007D6CBE" w:rsidP="003128F6">
      <w:pPr>
        <w:spacing w:line="300" w:lineRule="auto"/>
        <w:rPr>
          <w:lang w:val="en-US"/>
        </w:rPr>
      </w:pPr>
      <w:proofErr w:type="spellStart"/>
      <w:r w:rsidRPr="00487834">
        <w:rPr>
          <w:lang w:val="en-US"/>
        </w:rPr>
        <w:t>Desclee</w:t>
      </w:r>
      <w:proofErr w:type="spellEnd"/>
      <w:r w:rsidRPr="00487834">
        <w:rPr>
          <w:lang w:val="en-US"/>
        </w:rPr>
        <w:t xml:space="preserve">, A., L. </w:t>
      </w:r>
      <w:proofErr w:type="spellStart"/>
      <w:r w:rsidRPr="00487834">
        <w:rPr>
          <w:lang w:val="en-US"/>
        </w:rPr>
        <w:t>Dynkin</w:t>
      </w:r>
      <w:proofErr w:type="spellEnd"/>
      <w:r w:rsidRPr="00487834">
        <w:rPr>
          <w:lang w:val="en-US"/>
        </w:rPr>
        <w:t xml:space="preserve">, A. Maitra, and S. </w:t>
      </w:r>
      <w:proofErr w:type="spellStart"/>
      <w:r w:rsidRPr="00487834">
        <w:rPr>
          <w:lang w:val="en-US"/>
        </w:rPr>
        <w:t>Polbennikov</w:t>
      </w:r>
      <w:proofErr w:type="spellEnd"/>
      <w:r w:rsidRPr="00487834">
        <w:rPr>
          <w:lang w:val="en-US"/>
        </w:rPr>
        <w:t>. 2015. “ESG Ratings and Performance of Corporate Bonds.” Barclays Quantitative Portfolio Strategy Paper.</w:t>
      </w:r>
    </w:p>
    <w:p w14:paraId="10488AF8" w14:textId="77777777" w:rsidR="007D6CBE" w:rsidRPr="00487834" w:rsidRDefault="007D6CBE" w:rsidP="003128F6">
      <w:pPr>
        <w:spacing w:line="300" w:lineRule="auto"/>
        <w:rPr>
          <w:lang w:val="en-US"/>
        </w:rPr>
      </w:pPr>
    </w:p>
    <w:p w14:paraId="4A07FF0B" w14:textId="77777777" w:rsidR="007D6CBE" w:rsidRPr="00487834" w:rsidRDefault="007D6CBE" w:rsidP="003128F6">
      <w:pPr>
        <w:spacing w:line="300" w:lineRule="auto"/>
        <w:rPr>
          <w:lang w:val="en-US"/>
        </w:rPr>
      </w:pPr>
      <w:r w:rsidRPr="00487834">
        <w:rPr>
          <w:lang w:val="en-US"/>
        </w:rPr>
        <w:t>Jo, H., and H. Na. 2012. “Does CSR Reduce Firm Risk? Evidence from Controversial Industry Sectors.” Journal of Business Ethics 110 (4): 441–456.</w:t>
      </w:r>
    </w:p>
    <w:p w14:paraId="2FD0369E" w14:textId="77777777" w:rsidR="00BE6D36" w:rsidRPr="00487834" w:rsidRDefault="00BE6D36" w:rsidP="003128F6">
      <w:pPr>
        <w:spacing w:line="300" w:lineRule="auto"/>
        <w:rPr>
          <w:lang w:val="en-US"/>
        </w:rPr>
      </w:pPr>
    </w:p>
    <w:p w14:paraId="61CC1B45" w14:textId="77777777" w:rsidR="00BE6D36" w:rsidRPr="00487834" w:rsidRDefault="007D6CBE" w:rsidP="003128F6">
      <w:pPr>
        <w:spacing w:line="300" w:lineRule="auto"/>
        <w:rPr>
          <w:lang w:val="en-US"/>
        </w:rPr>
      </w:pPr>
      <w:r w:rsidRPr="00487834">
        <w:rPr>
          <w:lang w:val="en-US"/>
        </w:rPr>
        <w:t xml:space="preserve">El Ghoul, S., O. </w:t>
      </w:r>
      <w:proofErr w:type="spellStart"/>
      <w:r w:rsidRPr="00487834">
        <w:rPr>
          <w:lang w:val="en-US"/>
        </w:rPr>
        <w:t>Guedhami</w:t>
      </w:r>
      <w:proofErr w:type="spellEnd"/>
      <w:r w:rsidRPr="00487834">
        <w:rPr>
          <w:lang w:val="en-US"/>
        </w:rPr>
        <w:t>, C. Kwok, and R. Mishra. 2011. “Does Corporate Social Responsibility Affect the Cost of Capital?” Journal of Banking and Finance 35 (9): 2388–2406.</w:t>
      </w:r>
    </w:p>
    <w:p w14:paraId="6E3F1808" w14:textId="77777777" w:rsidR="007D6CBE" w:rsidRPr="00487834" w:rsidRDefault="007D6CBE" w:rsidP="003128F6">
      <w:pPr>
        <w:spacing w:line="300" w:lineRule="auto"/>
        <w:rPr>
          <w:lang w:val="en-US"/>
        </w:rPr>
      </w:pPr>
      <w:r w:rsidRPr="00487834">
        <w:rPr>
          <w:lang w:val="en-US"/>
        </w:rPr>
        <w:t xml:space="preserve">Gregory, A., R. </w:t>
      </w:r>
      <w:proofErr w:type="spellStart"/>
      <w:r w:rsidRPr="00487834">
        <w:rPr>
          <w:lang w:val="en-US"/>
        </w:rPr>
        <w:t>Tharyan</w:t>
      </w:r>
      <w:proofErr w:type="spellEnd"/>
      <w:r w:rsidRPr="00487834">
        <w:rPr>
          <w:lang w:val="en-US"/>
        </w:rPr>
        <w:t>, and J. Whittaker. 2014. “Corporate Social Responsibility and Firm Value: Disaggregating the Effects on Cash Flow, Risk and Growth.” Journal of Business Ethics 124 (4): 633–657.</w:t>
      </w:r>
    </w:p>
    <w:p w14:paraId="0589CF50" w14:textId="77777777" w:rsidR="007D6CBE" w:rsidRPr="00487834" w:rsidRDefault="007D6CBE" w:rsidP="003128F6">
      <w:pPr>
        <w:spacing w:line="300" w:lineRule="auto"/>
        <w:rPr>
          <w:lang w:val="en-US"/>
        </w:rPr>
      </w:pPr>
    </w:p>
    <w:p w14:paraId="12E2F2D4" w14:textId="77777777" w:rsidR="007D6CBE" w:rsidRPr="00487834" w:rsidRDefault="007D6CBE" w:rsidP="003128F6">
      <w:pPr>
        <w:spacing w:line="300" w:lineRule="auto"/>
        <w:rPr>
          <w:lang w:val="en-US"/>
        </w:rPr>
      </w:pPr>
      <w:r w:rsidRPr="00487834">
        <w:rPr>
          <w:lang w:val="en-US"/>
        </w:rPr>
        <w:t>Krueger, P. 2015. “Corporate Goodness and Shareholder Wealth.” Journal of Financial Economics 115 (2): 304–329.</w:t>
      </w:r>
    </w:p>
    <w:p w14:paraId="278A5C6D" w14:textId="77777777" w:rsidR="00036974" w:rsidRPr="00487834" w:rsidRDefault="00036974" w:rsidP="003128F6">
      <w:pPr>
        <w:spacing w:line="300" w:lineRule="auto"/>
        <w:rPr>
          <w:lang w:val="en-US"/>
        </w:rPr>
      </w:pPr>
    </w:p>
    <w:p w14:paraId="020877ED" w14:textId="77777777" w:rsidR="00036974" w:rsidRPr="00487834" w:rsidRDefault="00036974" w:rsidP="003128F6">
      <w:pPr>
        <w:spacing w:line="300" w:lineRule="auto"/>
        <w:rPr>
          <w:lang w:val="en-US"/>
        </w:rPr>
      </w:pPr>
      <w:proofErr w:type="spellStart"/>
      <w:r w:rsidRPr="00487834">
        <w:rPr>
          <w:lang w:val="en-US"/>
        </w:rPr>
        <w:t>Chouaibi</w:t>
      </w:r>
      <w:proofErr w:type="spellEnd"/>
      <w:r w:rsidRPr="00487834">
        <w:rPr>
          <w:lang w:val="en-US"/>
        </w:rPr>
        <w:t>, Y., Rossi, M., &amp; Zouari, G. (2021). The effect of corporate social responsibility and executive compensation on implicit cost of equity: Evidence from French ESG data. Sustainability, 13(11510), 11510.</w:t>
      </w:r>
    </w:p>
    <w:p w14:paraId="19ED66AA" w14:textId="77777777" w:rsidR="007D6CBE" w:rsidRPr="00487834" w:rsidRDefault="007D6CBE" w:rsidP="003128F6">
      <w:pPr>
        <w:autoSpaceDE w:val="0"/>
        <w:autoSpaceDN w:val="0"/>
        <w:adjustRightInd w:val="0"/>
        <w:spacing w:line="300" w:lineRule="auto"/>
        <w:rPr>
          <w:b/>
          <w:bCs/>
          <w:lang w:val="en-GB"/>
        </w:rPr>
      </w:pPr>
    </w:p>
    <w:p w14:paraId="438837A4" w14:textId="77777777" w:rsidR="00B50EFA" w:rsidRPr="00487834" w:rsidRDefault="00B50EFA" w:rsidP="003128F6">
      <w:pPr>
        <w:autoSpaceDE w:val="0"/>
        <w:autoSpaceDN w:val="0"/>
        <w:adjustRightInd w:val="0"/>
        <w:spacing w:line="300" w:lineRule="auto"/>
        <w:rPr>
          <w:color w:val="222222"/>
          <w:shd w:val="clear" w:color="auto" w:fill="FFFFFF"/>
          <w:lang w:val="en-US"/>
        </w:rPr>
      </w:pPr>
      <w:r w:rsidRPr="00487834">
        <w:rPr>
          <w:color w:val="222222"/>
          <w:shd w:val="clear" w:color="auto" w:fill="FFFFFF"/>
          <w:lang w:val="en-US"/>
        </w:rPr>
        <w:t xml:space="preserve">Ng, A. C., &amp; </w:t>
      </w:r>
      <w:proofErr w:type="spellStart"/>
      <w:r w:rsidRPr="00487834">
        <w:rPr>
          <w:color w:val="222222"/>
          <w:shd w:val="clear" w:color="auto" w:fill="FFFFFF"/>
          <w:lang w:val="en-US"/>
        </w:rPr>
        <w:t>Rezaee</w:t>
      </w:r>
      <w:proofErr w:type="spellEnd"/>
      <w:r w:rsidRPr="00487834">
        <w:rPr>
          <w:color w:val="222222"/>
          <w:shd w:val="clear" w:color="auto" w:fill="FFFFFF"/>
          <w:lang w:val="en-US"/>
        </w:rPr>
        <w:t>, Z. (2015). Business sustainability performance and cost of equity capital. </w:t>
      </w:r>
      <w:r w:rsidRPr="00487834">
        <w:rPr>
          <w:i/>
          <w:iCs/>
          <w:color w:val="222222"/>
          <w:shd w:val="clear" w:color="auto" w:fill="FFFFFF"/>
          <w:lang w:val="en-US"/>
        </w:rPr>
        <w:t>Journal of Corporate Finance</w:t>
      </w:r>
      <w:r w:rsidRPr="00487834">
        <w:rPr>
          <w:color w:val="222222"/>
          <w:shd w:val="clear" w:color="auto" w:fill="FFFFFF"/>
          <w:lang w:val="en-US"/>
        </w:rPr>
        <w:t>, </w:t>
      </w:r>
      <w:r w:rsidRPr="00487834">
        <w:rPr>
          <w:i/>
          <w:iCs/>
          <w:color w:val="222222"/>
          <w:shd w:val="clear" w:color="auto" w:fill="FFFFFF"/>
          <w:lang w:val="en-US"/>
        </w:rPr>
        <w:t>34</w:t>
      </w:r>
      <w:r w:rsidRPr="00487834">
        <w:rPr>
          <w:color w:val="222222"/>
          <w:shd w:val="clear" w:color="auto" w:fill="FFFFFF"/>
          <w:lang w:val="en-US"/>
        </w:rPr>
        <w:t>, 128-149.</w:t>
      </w:r>
    </w:p>
    <w:p w14:paraId="5BCB5BAE" w14:textId="77777777" w:rsidR="00205464" w:rsidRPr="00487834" w:rsidRDefault="00205464" w:rsidP="003128F6">
      <w:pPr>
        <w:autoSpaceDE w:val="0"/>
        <w:autoSpaceDN w:val="0"/>
        <w:adjustRightInd w:val="0"/>
        <w:spacing w:line="300" w:lineRule="auto"/>
        <w:rPr>
          <w:color w:val="222222"/>
          <w:shd w:val="clear" w:color="auto" w:fill="FFFFFF"/>
          <w:lang w:val="en-US"/>
        </w:rPr>
      </w:pPr>
    </w:p>
    <w:p w14:paraId="2388F888" w14:textId="77777777" w:rsidR="00205464" w:rsidRPr="00487834" w:rsidRDefault="00205464" w:rsidP="003128F6">
      <w:pPr>
        <w:autoSpaceDE w:val="0"/>
        <w:autoSpaceDN w:val="0"/>
        <w:adjustRightInd w:val="0"/>
        <w:spacing w:line="300" w:lineRule="auto"/>
        <w:rPr>
          <w:color w:val="222222"/>
          <w:shd w:val="clear" w:color="auto" w:fill="FFFFFF"/>
          <w:lang w:val="en-US"/>
        </w:rPr>
      </w:pPr>
      <w:r w:rsidRPr="00487834">
        <w:rPr>
          <w:color w:val="222222"/>
          <w:shd w:val="clear" w:color="auto" w:fill="FFFFFF"/>
          <w:lang w:val="en-US"/>
        </w:rPr>
        <w:t>Bhuiyan, M. B. U., &amp; Nguyen, T. H. N. (2020). Impact of CSR on cost of debt and cost of capital: Australian evidence. Social Responsibility Journal, 16(3), 419-430.</w:t>
      </w:r>
    </w:p>
    <w:p w14:paraId="58B33679" w14:textId="77777777" w:rsidR="00B84B83" w:rsidRPr="00487834" w:rsidRDefault="00B84B83" w:rsidP="003128F6">
      <w:pPr>
        <w:autoSpaceDE w:val="0"/>
        <w:autoSpaceDN w:val="0"/>
        <w:adjustRightInd w:val="0"/>
        <w:spacing w:line="300" w:lineRule="auto"/>
        <w:rPr>
          <w:color w:val="222222"/>
          <w:shd w:val="clear" w:color="auto" w:fill="FFFFFF"/>
          <w:lang w:val="en-US"/>
        </w:rPr>
      </w:pPr>
    </w:p>
    <w:p w14:paraId="6E3D9B38" w14:textId="77777777" w:rsidR="00B84B83" w:rsidRPr="00487834" w:rsidRDefault="00B84B83" w:rsidP="003128F6">
      <w:pPr>
        <w:autoSpaceDE w:val="0"/>
        <w:autoSpaceDN w:val="0"/>
        <w:adjustRightInd w:val="0"/>
        <w:spacing w:line="300" w:lineRule="auto"/>
        <w:rPr>
          <w:color w:val="222222"/>
          <w:shd w:val="clear" w:color="auto" w:fill="FFFFFF"/>
          <w:lang w:val="en-US"/>
        </w:rPr>
      </w:pPr>
      <w:r w:rsidRPr="00487834">
        <w:rPr>
          <w:color w:val="222222"/>
          <w:shd w:val="clear" w:color="auto" w:fill="FFFFFF"/>
          <w:lang w:val="en-US"/>
        </w:rPr>
        <w:t>Breuer, W., Müller, T., Rosenbach, D., &amp; Salzmann, A. (2018). Corporate social responsibility, investor protection, and cost of equity: A cross-country comparison. </w:t>
      </w:r>
      <w:r w:rsidRPr="00487834">
        <w:rPr>
          <w:i/>
          <w:iCs/>
          <w:color w:val="222222"/>
          <w:shd w:val="clear" w:color="auto" w:fill="FFFFFF"/>
          <w:lang w:val="en-US"/>
        </w:rPr>
        <w:t>Journal of Banking &amp; Finance</w:t>
      </w:r>
      <w:r w:rsidRPr="00487834">
        <w:rPr>
          <w:color w:val="222222"/>
          <w:shd w:val="clear" w:color="auto" w:fill="FFFFFF"/>
          <w:lang w:val="en-US"/>
        </w:rPr>
        <w:t>, </w:t>
      </w:r>
      <w:r w:rsidRPr="00487834">
        <w:rPr>
          <w:i/>
          <w:iCs/>
          <w:color w:val="222222"/>
          <w:shd w:val="clear" w:color="auto" w:fill="FFFFFF"/>
          <w:lang w:val="en-US"/>
        </w:rPr>
        <w:t>96</w:t>
      </w:r>
      <w:r w:rsidRPr="00487834">
        <w:rPr>
          <w:color w:val="222222"/>
          <w:shd w:val="clear" w:color="auto" w:fill="FFFFFF"/>
          <w:lang w:val="en-US"/>
        </w:rPr>
        <w:t>, 34-55.</w:t>
      </w:r>
    </w:p>
    <w:p w14:paraId="4C789653" w14:textId="77777777" w:rsidR="00BE6D36" w:rsidRPr="00487834" w:rsidRDefault="00BE6D36" w:rsidP="003128F6">
      <w:pPr>
        <w:autoSpaceDE w:val="0"/>
        <w:autoSpaceDN w:val="0"/>
        <w:adjustRightInd w:val="0"/>
        <w:spacing w:line="300" w:lineRule="auto"/>
        <w:rPr>
          <w:color w:val="222222"/>
          <w:shd w:val="clear" w:color="auto" w:fill="FFFFFF"/>
          <w:lang w:val="en-US"/>
        </w:rPr>
      </w:pPr>
    </w:p>
    <w:p w14:paraId="492BC60B" w14:textId="77777777" w:rsidR="00BE6D36" w:rsidRPr="00487834" w:rsidRDefault="00BE6D36" w:rsidP="003128F6">
      <w:pPr>
        <w:autoSpaceDE w:val="0"/>
        <w:autoSpaceDN w:val="0"/>
        <w:adjustRightInd w:val="0"/>
        <w:spacing w:line="300" w:lineRule="auto"/>
        <w:rPr>
          <w:color w:val="222222"/>
          <w:shd w:val="clear" w:color="auto" w:fill="FFFFFF"/>
          <w:lang w:val="en-US"/>
        </w:rPr>
      </w:pPr>
      <w:r w:rsidRPr="00487834">
        <w:rPr>
          <w:color w:val="222222"/>
          <w:shd w:val="clear" w:color="auto" w:fill="FFFFFF"/>
          <w:lang w:val="en-US"/>
        </w:rPr>
        <w:t>Chen, Y., Li, T., Zeng, Q., &amp; Zhu, B. (2023). Effect of ESG performance on the cost of equity capital: Evidence from China. </w:t>
      </w:r>
      <w:r w:rsidRPr="00487834">
        <w:rPr>
          <w:i/>
          <w:iCs/>
          <w:color w:val="222222"/>
          <w:shd w:val="clear" w:color="auto" w:fill="FFFFFF"/>
          <w:lang w:val="en-US"/>
        </w:rPr>
        <w:t>International Review of Economics &amp; Finance</w:t>
      </w:r>
      <w:r w:rsidRPr="00487834">
        <w:rPr>
          <w:color w:val="222222"/>
          <w:shd w:val="clear" w:color="auto" w:fill="FFFFFF"/>
          <w:lang w:val="en-US"/>
        </w:rPr>
        <w:t>, </w:t>
      </w:r>
      <w:r w:rsidRPr="00487834">
        <w:rPr>
          <w:i/>
          <w:iCs/>
          <w:color w:val="222222"/>
          <w:shd w:val="clear" w:color="auto" w:fill="FFFFFF"/>
          <w:lang w:val="en-US"/>
        </w:rPr>
        <w:t>83</w:t>
      </w:r>
      <w:r w:rsidRPr="00487834">
        <w:rPr>
          <w:color w:val="222222"/>
          <w:shd w:val="clear" w:color="auto" w:fill="FFFFFF"/>
          <w:lang w:val="en-US"/>
        </w:rPr>
        <w:t>, 348-364.</w:t>
      </w:r>
    </w:p>
    <w:p w14:paraId="2F59704F" w14:textId="77777777" w:rsidR="00900AEE" w:rsidRPr="00487834" w:rsidRDefault="00900AEE" w:rsidP="003128F6">
      <w:pPr>
        <w:autoSpaceDE w:val="0"/>
        <w:autoSpaceDN w:val="0"/>
        <w:adjustRightInd w:val="0"/>
        <w:spacing w:line="300" w:lineRule="auto"/>
        <w:rPr>
          <w:color w:val="222222"/>
          <w:shd w:val="clear" w:color="auto" w:fill="FFFFFF"/>
          <w:lang w:val="en-US"/>
        </w:rPr>
      </w:pPr>
    </w:p>
    <w:p w14:paraId="15365826" w14:textId="77777777" w:rsidR="00900AEE" w:rsidRPr="00487834" w:rsidRDefault="00900AEE" w:rsidP="003128F6">
      <w:pPr>
        <w:autoSpaceDE w:val="0"/>
        <w:autoSpaceDN w:val="0"/>
        <w:adjustRightInd w:val="0"/>
        <w:spacing w:line="300" w:lineRule="auto"/>
        <w:rPr>
          <w:color w:val="222222"/>
          <w:shd w:val="clear" w:color="auto" w:fill="FFFFFF"/>
          <w:lang w:val="en-US"/>
        </w:rPr>
      </w:pPr>
      <w:proofErr w:type="spellStart"/>
      <w:r w:rsidRPr="00487834">
        <w:rPr>
          <w:color w:val="222222"/>
          <w:shd w:val="clear" w:color="auto" w:fill="FFFFFF"/>
          <w:lang w:val="en-US"/>
        </w:rPr>
        <w:t>Fandella</w:t>
      </w:r>
      <w:proofErr w:type="spellEnd"/>
      <w:r w:rsidRPr="00487834">
        <w:rPr>
          <w:color w:val="222222"/>
          <w:shd w:val="clear" w:color="auto" w:fill="FFFFFF"/>
          <w:lang w:val="en-US"/>
        </w:rPr>
        <w:t xml:space="preserve">, P., </w:t>
      </w:r>
      <w:proofErr w:type="spellStart"/>
      <w:r w:rsidRPr="00487834">
        <w:rPr>
          <w:color w:val="222222"/>
          <w:shd w:val="clear" w:color="auto" w:fill="FFFFFF"/>
          <w:lang w:val="en-US"/>
        </w:rPr>
        <w:t>Sergi</w:t>
      </w:r>
      <w:proofErr w:type="spellEnd"/>
      <w:r w:rsidRPr="00487834">
        <w:rPr>
          <w:color w:val="222222"/>
          <w:shd w:val="clear" w:color="auto" w:fill="FFFFFF"/>
          <w:lang w:val="en-US"/>
        </w:rPr>
        <w:t xml:space="preserve">, B. S., &amp; Sironi, E. (2023). Corporate social responsibility performance and the cost of capital in BRICS countries. The problem of selectivity using </w:t>
      </w:r>
      <w:r w:rsidRPr="00487834">
        <w:rPr>
          <w:color w:val="222222"/>
          <w:shd w:val="clear" w:color="auto" w:fill="FFFFFF"/>
          <w:lang w:val="en-US"/>
        </w:rPr>
        <w:lastRenderedPageBreak/>
        <w:t>environmental, social and governance scores. Corporate Social Responsibility and Environmental Management, 30(4), 1712-1722</w:t>
      </w:r>
    </w:p>
    <w:p w14:paraId="60E06E4A" w14:textId="77777777" w:rsidR="00B63EC3" w:rsidRPr="00487834" w:rsidRDefault="00B63EC3" w:rsidP="003128F6">
      <w:pPr>
        <w:autoSpaceDE w:val="0"/>
        <w:autoSpaceDN w:val="0"/>
        <w:adjustRightInd w:val="0"/>
        <w:spacing w:line="300" w:lineRule="auto"/>
        <w:rPr>
          <w:b/>
          <w:bCs/>
          <w:lang w:val="en-GB"/>
        </w:rPr>
      </w:pPr>
    </w:p>
    <w:p w14:paraId="1CF3E779" w14:textId="77777777" w:rsidR="00044770" w:rsidRPr="00487834" w:rsidRDefault="00900AEE" w:rsidP="003128F6">
      <w:pPr>
        <w:autoSpaceDE w:val="0"/>
        <w:autoSpaceDN w:val="0"/>
        <w:adjustRightInd w:val="0"/>
        <w:spacing w:line="300" w:lineRule="auto"/>
        <w:rPr>
          <w:color w:val="222222"/>
          <w:shd w:val="clear" w:color="auto" w:fill="FFFFFF"/>
          <w:lang w:val="en-US"/>
        </w:rPr>
      </w:pPr>
      <w:r w:rsidRPr="00487834">
        <w:rPr>
          <w:color w:val="222222"/>
          <w:shd w:val="clear" w:color="auto" w:fill="FFFFFF"/>
          <w:lang w:val="en-US"/>
        </w:rPr>
        <w:t xml:space="preserve">Ramirez, A. G., Monsalve, J., González-Ruiz, J. D., </w:t>
      </w:r>
      <w:proofErr w:type="spellStart"/>
      <w:r w:rsidRPr="00487834">
        <w:rPr>
          <w:color w:val="222222"/>
          <w:shd w:val="clear" w:color="auto" w:fill="FFFFFF"/>
          <w:lang w:val="en-US"/>
        </w:rPr>
        <w:t>Almonacid</w:t>
      </w:r>
      <w:proofErr w:type="spellEnd"/>
      <w:r w:rsidRPr="00487834">
        <w:rPr>
          <w:color w:val="222222"/>
          <w:shd w:val="clear" w:color="auto" w:fill="FFFFFF"/>
          <w:lang w:val="en-US"/>
        </w:rPr>
        <w:t xml:space="preserve">, P., &amp; Peña, A. (2022). Relationship between the cost of capital and environmental, social, and governance scores: Evidence from </w:t>
      </w:r>
      <w:proofErr w:type="spellStart"/>
      <w:r w:rsidRPr="00487834">
        <w:rPr>
          <w:color w:val="222222"/>
          <w:shd w:val="clear" w:color="auto" w:fill="FFFFFF"/>
          <w:lang w:val="en-US"/>
        </w:rPr>
        <w:t>latin</w:t>
      </w:r>
      <w:proofErr w:type="spellEnd"/>
      <w:r w:rsidRPr="00487834">
        <w:rPr>
          <w:color w:val="222222"/>
          <w:shd w:val="clear" w:color="auto" w:fill="FFFFFF"/>
          <w:lang w:val="en-US"/>
        </w:rPr>
        <w:t xml:space="preserve"> </w:t>
      </w:r>
      <w:proofErr w:type="spellStart"/>
      <w:r w:rsidRPr="00487834">
        <w:rPr>
          <w:color w:val="222222"/>
          <w:shd w:val="clear" w:color="auto" w:fill="FFFFFF"/>
          <w:lang w:val="en-US"/>
        </w:rPr>
        <w:t>america</w:t>
      </w:r>
      <w:proofErr w:type="spellEnd"/>
      <w:r w:rsidRPr="00487834">
        <w:rPr>
          <w:color w:val="222222"/>
          <w:shd w:val="clear" w:color="auto" w:fill="FFFFFF"/>
          <w:lang w:val="en-US"/>
        </w:rPr>
        <w:t>. Sustainability, 14(9), 5012.</w:t>
      </w:r>
    </w:p>
    <w:p w14:paraId="5403D796" w14:textId="77777777" w:rsidR="002D5E86" w:rsidRPr="00487834" w:rsidRDefault="002D5E86" w:rsidP="003128F6">
      <w:pPr>
        <w:autoSpaceDE w:val="0"/>
        <w:autoSpaceDN w:val="0"/>
        <w:adjustRightInd w:val="0"/>
        <w:spacing w:line="300" w:lineRule="auto"/>
        <w:rPr>
          <w:color w:val="222222"/>
          <w:shd w:val="clear" w:color="auto" w:fill="FFFFFF"/>
          <w:lang w:val="en-US"/>
        </w:rPr>
      </w:pPr>
    </w:p>
    <w:p w14:paraId="32726C09" w14:textId="77777777" w:rsidR="002D5E86" w:rsidRPr="00487834" w:rsidRDefault="002D5E86" w:rsidP="003128F6">
      <w:pPr>
        <w:autoSpaceDE w:val="0"/>
        <w:autoSpaceDN w:val="0"/>
        <w:adjustRightInd w:val="0"/>
        <w:spacing w:line="300" w:lineRule="auto"/>
        <w:rPr>
          <w:color w:val="222222"/>
          <w:shd w:val="clear" w:color="auto" w:fill="FFFFFF"/>
        </w:rPr>
      </w:pPr>
      <w:r w:rsidRPr="00487834">
        <w:rPr>
          <w:color w:val="222222"/>
          <w:shd w:val="clear" w:color="auto" w:fill="FFFFFF"/>
          <w:lang w:val="en-US"/>
        </w:rPr>
        <w:t>Mohammad, W. M. W., Osman, M., &amp; Rani, M. S. A. (2023). Corporate governance and environmental, social, and governance (ESG) disclosure and its effect on the cost of capital in emerging market. </w:t>
      </w:r>
      <w:proofErr w:type="spellStart"/>
      <w:r w:rsidRPr="00487834">
        <w:rPr>
          <w:color w:val="222222"/>
          <w:shd w:val="clear" w:color="auto" w:fill="FFFFFF"/>
        </w:rPr>
        <w:t>Asian</w:t>
      </w:r>
      <w:proofErr w:type="spellEnd"/>
      <w:r w:rsidRPr="00487834">
        <w:rPr>
          <w:color w:val="222222"/>
          <w:shd w:val="clear" w:color="auto" w:fill="FFFFFF"/>
        </w:rPr>
        <w:t xml:space="preserve"> Journal </w:t>
      </w:r>
      <w:proofErr w:type="spellStart"/>
      <w:r w:rsidRPr="00487834">
        <w:rPr>
          <w:color w:val="222222"/>
          <w:shd w:val="clear" w:color="auto" w:fill="FFFFFF"/>
        </w:rPr>
        <w:t>of</w:t>
      </w:r>
      <w:proofErr w:type="spellEnd"/>
      <w:r w:rsidRPr="00487834">
        <w:rPr>
          <w:color w:val="222222"/>
          <w:shd w:val="clear" w:color="auto" w:fill="FFFFFF"/>
        </w:rPr>
        <w:t xml:space="preserve"> Business </w:t>
      </w:r>
      <w:proofErr w:type="spellStart"/>
      <w:r w:rsidRPr="00487834">
        <w:rPr>
          <w:color w:val="222222"/>
          <w:shd w:val="clear" w:color="auto" w:fill="FFFFFF"/>
        </w:rPr>
        <w:t>Ethics</w:t>
      </w:r>
      <w:proofErr w:type="spellEnd"/>
      <w:r w:rsidRPr="00487834">
        <w:rPr>
          <w:color w:val="222222"/>
          <w:shd w:val="clear" w:color="auto" w:fill="FFFFFF"/>
        </w:rPr>
        <w:t xml:space="preserve">, 12(2), </w:t>
      </w:r>
      <w:proofErr w:type="gramStart"/>
      <w:r w:rsidRPr="00487834">
        <w:rPr>
          <w:color w:val="222222"/>
          <w:shd w:val="clear" w:color="auto" w:fill="FFFFFF"/>
        </w:rPr>
        <w:t>175-191</w:t>
      </w:r>
      <w:proofErr w:type="gramEnd"/>
      <w:r w:rsidRPr="00487834">
        <w:rPr>
          <w:color w:val="222222"/>
          <w:shd w:val="clear" w:color="auto" w:fill="FFFFFF"/>
        </w:rPr>
        <w:t>.</w:t>
      </w:r>
    </w:p>
    <w:p w14:paraId="6AA7673D" w14:textId="77777777" w:rsidR="00AE6F19" w:rsidRPr="00487834" w:rsidRDefault="00AE6F19" w:rsidP="003128F6">
      <w:pPr>
        <w:autoSpaceDE w:val="0"/>
        <w:autoSpaceDN w:val="0"/>
        <w:adjustRightInd w:val="0"/>
        <w:spacing w:line="300" w:lineRule="auto"/>
        <w:rPr>
          <w:color w:val="222222"/>
          <w:shd w:val="clear" w:color="auto" w:fill="FFFFFF"/>
        </w:rPr>
      </w:pPr>
    </w:p>
    <w:tbl>
      <w:tblPr>
        <w:tblW w:w="6570" w:type="dxa"/>
        <w:tblCellMar>
          <w:left w:w="0" w:type="dxa"/>
          <w:right w:w="0" w:type="dxa"/>
        </w:tblCellMar>
        <w:tblLook w:val="04A0" w:firstRow="1" w:lastRow="0" w:firstColumn="1" w:lastColumn="0" w:noHBand="0" w:noVBand="1"/>
      </w:tblPr>
      <w:tblGrid>
        <w:gridCol w:w="6570"/>
      </w:tblGrid>
      <w:tr w:rsidR="00AE6F19" w:rsidRPr="00487834" w14:paraId="67550756" w14:textId="77777777" w:rsidTr="00793959">
        <w:tc>
          <w:tcPr>
            <w:tcW w:w="0" w:type="auto"/>
            <w:tcMar>
              <w:top w:w="120" w:type="dxa"/>
              <w:left w:w="0" w:type="dxa"/>
              <w:bottom w:w="120" w:type="dxa"/>
              <w:right w:w="0" w:type="dxa"/>
            </w:tcMar>
            <w:hideMark/>
          </w:tcPr>
          <w:p w14:paraId="3330846D" w14:textId="77777777" w:rsidR="00AE6F19" w:rsidRPr="00487834" w:rsidRDefault="00AE6F19" w:rsidP="003128F6">
            <w:pPr>
              <w:autoSpaceDE w:val="0"/>
              <w:autoSpaceDN w:val="0"/>
              <w:adjustRightInd w:val="0"/>
              <w:spacing w:line="300" w:lineRule="auto"/>
              <w:rPr>
                <w:color w:val="222222"/>
                <w:shd w:val="clear" w:color="auto" w:fill="FFFFFF"/>
              </w:rPr>
            </w:pPr>
            <w:r w:rsidRPr="00487834">
              <w:rPr>
                <w:color w:val="222222"/>
                <w:shd w:val="clear" w:color="auto" w:fill="FFFFFF"/>
                <w:lang w:val="en-US"/>
              </w:rPr>
              <w:t xml:space="preserve">Ahmad, N., </w:t>
            </w:r>
            <w:proofErr w:type="spellStart"/>
            <w:r w:rsidRPr="00487834">
              <w:rPr>
                <w:color w:val="222222"/>
                <w:shd w:val="clear" w:color="auto" w:fill="FFFFFF"/>
                <w:lang w:val="en-US"/>
              </w:rPr>
              <w:t>Mobarek</w:t>
            </w:r>
            <w:proofErr w:type="spellEnd"/>
            <w:r w:rsidRPr="00487834">
              <w:rPr>
                <w:color w:val="222222"/>
                <w:shd w:val="clear" w:color="auto" w:fill="FFFFFF"/>
                <w:lang w:val="en-US"/>
              </w:rPr>
              <w:t>, A., &amp; Roni, N. N. (2021). Revisiting the impact of ESG on financial performance of FTSE350 UK firms: Static and dynamic panel data analysis. </w:t>
            </w:r>
            <w:proofErr w:type="spellStart"/>
            <w:r w:rsidRPr="00487834">
              <w:rPr>
                <w:color w:val="222222"/>
                <w:shd w:val="clear" w:color="auto" w:fill="FFFFFF"/>
              </w:rPr>
              <w:t>Cogent</w:t>
            </w:r>
            <w:proofErr w:type="spellEnd"/>
            <w:r w:rsidRPr="00487834">
              <w:rPr>
                <w:color w:val="222222"/>
                <w:shd w:val="clear" w:color="auto" w:fill="FFFFFF"/>
              </w:rPr>
              <w:t xml:space="preserve"> Business &amp; Management, 8(1), 1900500.</w:t>
            </w:r>
          </w:p>
        </w:tc>
      </w:tr>
    </w:tbl>
    <w:p w14:paraId="440761DB" w14:textId="77777777" w:rsidR="00AE6F19" w:rsidRPr="00487834" w:rsidRDefault="00AE6F19" w:rsidP="003128F6">
      <w:pPr>
        <w:autoSpaceDE w:val="0"/>
        <w:autoSpaceDN w:val="0"/>
        <w:adjustRightInd w:val="0"/>
        <w:spacing w:line="300" w:lineRule="auto"/>
        <w:rPr>
          <w:color w:val="222222"/>
          <w:shd w:val="clear" w:color="auto" w:fill="FFFFFF"/>
        </w:rPr>
      </w:pPr>
    </w:p>
    <w:p w14:paraId="6A41F2CF" w14:textId="77777777" w:rsidR="00AE6F19" w:rsidRPr="00487834" w:rsidRDefault="00AE6F19" w:rsidP="003128F6">
      <w:pPr>
        <w:autoSpaceDE w:val="0"/>
        <w:autoSpaceDN w:val="0"/>
        <w:adjustRightInd w:val="0"/>
        <w:spacing w:line="300" w:lineRule="auto"/>
        <w:rPr>
          <w:color w:val="222222"/>
          <w:shd w:val="clear" w:color="auto" w:fill="FFFFFF"/>
          <w:lang w:val="en-US"/>
        </w:rPr>
      </w:pPr>
      <w:proofErr w:type="spellStart"/>
      <w:r w:rsidRPr="00487834">
        <w:rPr>
          <w:color w:val="222222"/>
          <w:shd w:val="clear" w:color="auto" w:fill="FFFFFF"/>
          <w:lang w:val="en-US"/>
        </w:rPr>
        <w:t>Sassen</w:t>
      </w:r>
      <w:proofErr w:type="spellEnd"/>
      <w:r w:rsidRPr="00487834">
        <w:rPr>
          <w:color w:val="222222"/>
          <w:shd w:val="clear" w:color="auto" w:fill="FFFFFF"/>
          <w:lang w:val="en-US"/>
        </w:rPr>
        <w:t xml:space="preserve">, R., Hinze, A. K., &amp; </w:t>
      </w:r>
      <w:proofErr w:type="spellStart"/>
      <w:r w:rsidRPr="00487834">
        <w:rPr>
          <w:color w:val="222222"/>
          <w:shd w:val="clear" w:color="auto" w:fill="FFFFFF"/>
          <w:lang w:val="en-US"/>
        </w:rPr>
        <w:t>Hardeck</w:t>
      </w:r>
      <w:proofErr w:type="spellEnd"/>
      <w:r w:rsidRPr="00487834">
        <w:rPr>
          <w:color w:val="222222"/>
          <w:shd w:val="clear" w:color="auto" w:fill="FFFFFF"/>
          <w:lang w:val="en-US"/>
        </w:rPr>
        <w:t>, I. (2016). Impact of ESG factors on firm risk in Europe. Journal of business economics, 86, 867-904.</w:t>
      </w:r>
    </w:p>
    <w:p w14:paraId="7F0CF0BF" w14:textId="77777777" w:rsidR="00AE6F19" w:rsidRPr="00487834" w:rsidRDefault="00AE6F19" w:rsidP="003128F6">
      <w:pPr>
        <w:autoSpaceDE w:val="0"/>
        <w:autoSpaceDN w:val="0"/>
        <w:adjustRightInd w:val="0"/>
        <w:spacing w:line="300" w:lineRule="auto"/>
        <w:rPr>
          <w:color w:val="222222"/>
          <w:shd w:val="clear" w:color="auto" w:fill="FFFFFF"/>
          <w:lang w:val="en-US"/>
        </w:rPr>
      </w:pPr>
    </w:p>
    <w:p w14:paraId="2E7CD1C3" w14:textId="77777777" w:rsidR="00AF797B" w:rsidRPr="00487834" w:rsidRDefault="00AF797B" w:rsidP="003128F6">
      <w:pPr>
        <w:autoSpaceDE w:val="0"/>
        <w:autoSpaceDN w:val="0"/>
        <w:adjustRightInd w:val="0"/>
        <w:spacing w:line="300" w:lineRule="auto"/>
        <w:rPr>
          <w:color w:val="222222"/>
          <w:shd w:val="clear" w:color="auto" w:fill="FFFFFF"/>
          <w:lang w:val="en-US"/>
        </w:rPr>
      </w:pPr>
      <w:proofErr w:type="spellStart"/>
      <w:r w:rsidRPr="00487834">
        <w:rPr>
          <w:color w:val="222222"/>
          <w:shd w:val="clear" w:color="auto" w:fill="FFFFFF"/>
          <w:lang w:val="en-US"/>
        </w:rPr>
        <w:t>Maaloul</w:t>
      </w:r>
      <w:proofErr w:type="spellEnd"/>
      <w:r w:rsidRPr="00487834">
        <w:rPr>
          <w:color w:val="222222"/>
          <w:shd w:val="clear" w:color="auto" w:fill="FFFFFF"/>
          <w:lang w:val="en-US"/>
        </w:rPr>
        <w:t>, A., Ben Amar, A., &amp; Zehri, F. (2021). ESG performance and the cost of debt: The mediating role of corporate reputation. Corporate Reputation Review.</w:t>
      </w:r>
    </w:p>
    <w:p w14:paraId="058801C8" w14:textId="77777777" w:rsidR="00AF797B" w:rsidRPr="00487834" w:rsidRDefault="00AF797B" w:rsidP="003128F6">
      <w:pPr>
        <w:autoSpaceDE w:val="0"/>
        <w:autoSpaceDN w:val="0"/>
        <w:adjustRightInd w:val="0"/>
        <w:spacing w:line="300" w:lineRule="auto"/>
        <w:rPr>
          <w:color w:val="222222"/>
          <w:shd w:val="clear" w:color="auto" w:fill="FFFFFF"/>
          <w:lang w:val="en-US"/>
        </w:rPr>
      </w:pPr>
    </w:p>
    <w:p w14:paraId="4DB90443" w14:textId="77777777" w:rsidR="00AF797B" w:rsidRPr="00487834" w:rsidRDefault="00AF797B" w:rsidP="003128F6">
      <w:pPr>
        <w:autoSpaceDE w:val="0"/>
        <w:autoSpaceDN w:val="0"/>
        <w:adjustRightInd w:val="0"/>
        <w:spacing w:line="300" w:lineRule="auto"/>
        <w:rPr>
          <w:color w:val="222222"/>
          <w:shd w:val="clear" w:color="auto" w:fill="FFFFFF"/>
          <w:lang w:val="en-US"/>
        </w:rPr>
      </w:pPr>
      <w:r w:rsidRPr="00487834">
        <w:rPr>
          <w:color w:val="222222"/>
          <w:shd w:val="clear" w:color="auto" w:fill="FFFFFF"/>
          <w:lang w:val="en-US"/>
        </w:rPr>
        <w:t>Dhaliwal, D., Radhakrishnan, S., Tsang, A., &amp; Yang, Y. G. (2020). CSR disclosure and the cost of capital: Evidence from Australian firms. Social Responsibility Journal, 16(3), 421-434.</w:t>
      </w:r>
    </w:p>
    <w:p w14:paraId="4DE5576E" w14:textId="77777777" w:rsidR="00AF797B" w:rsidRPr="00487834" w:rsidRDefault="00AF797B" w:rsidP="003128F6">
      <w:pPr>
        <w:autoSpaceDE w:val="0"/>
        <w:autoSpaceDN w:val="0"/>
        <w:adjustRightInd w:val="0"/>
        <w:spacing w:line="300" w:lineRule="auto"/>
        <w:rPr>
          <w:color w:val="222222"/>
          <w:shd w:val="clear" w:color="auto" w:fill="FFFFFF"/>
          <w:lang w:val="en-US"/>
        </w:rPr>
      </w:pPr>
    </w:p>
    <w:p w14:paraId="7257EFAC" w14:textId="77777777" w:rsidR="00AF797B" w:rsidRPr="00487834" w:rsidRDefault="00AF797B" w:rsidP="003128F6">
      <w:pPr>
        <w:autoSpaceDE w:val="0"/>
        <w:autoSpaceDN w:val="0"/>
        <w:adjustRightInd w:val="0"/>
        <w:spacing w:line="300" w:lineRule="auto"/>
        <w:rPr>
          <w:color w:val="222222"/>
          <w:shd w:val="clear" w:color="auto" w:fill="FFFFFF"/>
          <w:lang w:val="en-US"/>
        </w:rPr>
      </w:pPr>
      <w:r w:rsidRPr="00487834">
        <w:rPr>
          <w:color w:val="222222"/>
          <w:shd w:val="clear" w:color="auto" w:fill="FFFFFF"/>
          <w:lang w:val="en-US"/>
        </w:rPr>
        <w:t xml:space="preserve">Yao, C., &amp; Zou, G. (2021). The impact of ESG on the cost of equity capital: Evidence from French firms. </w:t>
      </w:r>
      <w:r w:rsidRPr="00006E41">
        <w:rPr>
          <w:color w:val="222222"/>
          <w:shd w:val="clear" w:color="auto" w:fill="FFFFFF"/>
          <w:lang w:val="en-US"/>
        </w:rPr>
        <w:t>Sustainability, 13(11510), 1-18.</w:t>
      </w:r>
    </w:p>
    <w:p w14:paraId="732096F9" w14:textId="77777777" w:rsidR="00C8325F" w:rsidRPr="00487834" w:rsidRDefault="00C8325F" w:rsidP="003128F6">
      <w:pPr>
        <w:autoSpaceDE w:val="0"/>
        <w:autoSpaceDN w:val="0"/>
        <w:adjustRightInd w:val="0"/>
        <w:spacing w:line="300" w:lineRule="auto"/>
        <w:rPr>
          <w:color w:val="222222"/>
          <w:shd w:val="clear" w:color="auto" w:fill="FFFFFF"/>
          <w:lang w:val="en-US"/>
        </w:rPr>
      </w:pPr>
    </w:p>
    <w:p w14:paraId="4EEF1A2E" w14:textId="1DA3C8E6" w:rsidR="00C8325F" w:rsidRPr="00487834" w:rsidRDefault="00C8325F" w:rsidP="003128F6">
      <w:pPr>
        <w:autoSpaceDE w:val="0"/>
        <w:autoSpaceDN w:val="0"/>
        <w:adjustRightInd w:val="0"/>
        <w:spacing w:line="300" w:lineRule="auto"/>
        <w:rPr>
          <w:color w:val="222222"/>
          <w:shd w:val="clear" w:color="auto" w:fill="FFFFFF"/>
          <w:lang w:val="en-US"/>
        </w:rPr>
      </w:pPr>
      <w:r w:rsidRPr="00487834">
        <w:rPr>
          <w:color w:val="222222"/>
          <w:shd w:val="clear" w:color="auto" w:fill="FFFFFF"/>
          <w:lang w:val="en-US"/>
        </w:rPr>
        <w:t xml:space="preserve">Mio, C., </w:t>
      </w:r>
      <w:proofErr w:type="spellStart"/>
      <w:r w:rsidRPr="00487834">
        <w:rPr>
          <w:color w:val="222222"/>
          <w:shd w:val="clear" w:color="auto" w:fill="FFFFFF"/>
          <w:lang w:val="en-US"/>
        </w:rPr>
        <w:t>Fasan</w:t>
      </w:r>
      <w:proofErr w:type="spellEnd"/>
      <w:r w:rsidRPr="00487834">
        <w:rPr>
          <w:color w:val="222222"/>
          <w:shd w:val="clear" w:color="auto" w:fill="FFFFFF"/>
          <w:lang w:val="en-US"/>
        </w:rPr>
        <w:t xml:space="preserve">, M., Scarpa, F., </w:t>
      </w:r>
      <w:proofErr w:type="spellStart"/>
      <w:r w:rsidRPr="00487834">
        <w:rPr>
          <w:color w:val="222222"/>
          <w:shd w:val="clear" w:color="auto" w:fill="FFFFFF"/>
          <w:lang w:val="en-US"/>
        </w:rPr>
        <w:t>Costantini</w:t>
      </w:r>
      <w:proofErr w:type="spellEnd"/>
      <w:r w:rsidRPr="00487834">
        <w:rPr>
          <w:color w:val="222222"/>
          <w:shd w:val="clear" w:color="auto" w:fill="FFFFFF"/>
          <w:lang w:val="en-US"/>
        </w:rPr>
        <w:t>, A., &amp; Fitzpatrick, A. C. (2024). Unveiling the consequences of ESG rating disagreement: an empirical analysis of the impact on the cost of equity capital. Accounting in Europe, 1-24.</w:t>
      </w:r>
    </w:p>
    <w:p w14:paraId="32D49560" w14:textId="77777777" w:rsidR="00C8325F" w:rsidRPr="00487834" w:rsidRDefault="00C8325F" w:rsidP="003128F6">
      <w:pPr>
        <w:autoSpaceDE w:val="0"/>
        <w:autoSpaceDN w:val="0"/>
        <w:adjustRightInd w:val="0"/>
        <w:spacing w:line="300" w:lineRule="auto"/>
        <w:rPr>
          <w:color w:val="222222"/>
          <w:shd w:val="clear" w:color="auto" w:fill="FFFFFF"/>
          <w:lang w:val="en-US"/>
        </w:rPr>
      </w:pPr>
    </w:p>
    <w:p w14:paraId="04101078" w14:textId="1475CB5A" w:rsidR="00C8325F" w:rsidRPr="00487834" w:rsidRDefault="00C8325F" w:rsidP="003128F6">
      <w:pPr>
        <w:autoSpaceDE w:val="0"/>
        <w:autoSpaceDN w:val="0"/>
        <w:adjustRightInd w:val="0"/>
        <w:spacing w:line="300" w:lineRule="auto"/>
        <w:rPr>
          <w:color w:val="222222"/>
          <w:shd w:val="clear" w:color="auto" w:fill="FFFFFF"/>
          <w:lang w:val="en-US"/>
        </w:rPr>
      </w:pPr>
      <w:r w:rsidRPr="00487834">
        <w:rPr>
          <w:color w:val="222222"/>
          <w:shd w:val="clear" w:color="auto" w:fill="FFFFFF"/>
          <w:lang w:val="en-US"/>
        </w:rPr>
        <w:t>Gibson Brandon, R., Krueger, P., &amp; Schmidt, P. S. (2021). ESG rating disagreement and stock returns. Financial Analysts Journal, 77(4), 104-127.</w:t>
      </w:r>
    </w:p>
    <w:sectPr w:rsidR="00C8325F" w:rsidRPr="00487834" w:rsidSect="00B250C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8314" w14:textId="77777777" w:rsidR="00050324" w:rsidRDefault="00050324" w:rsidP="009D24BE">
      <w:r>
        <w:separator/>
      </w:r>
    </w:p>
  </w:endnote>
  <w:endnote w:type="continuationSeparator" w:id="0">
    <w:p w14:paraId="5A7D8746" w14:textId="77777777" w:rsidR="00050324" w:rsidRDefault="00050324" w:rsidP="009D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de">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600723"/>
      <w:docPartObj>
        <w:docPartGallery w:val="Page Numbers (Bottom of Page)"/>
        <w:docPartUnique/>
      </w:docPartObj>
    </w:sdtPr>
    <w:sdtContent>
      <w:p w14:paraId="3623226E" w14:textId="77777777" w:rsidR="00F36A29" w:rsidRDefault="00000000">
        <w:pPr>
          <w:pStyle w:val="Footer"/>
          <w:jc w:val="right"/>
        </w:pPr>
        <w:r>
          <w:fldChar w:fldCharType="begin"/>
        </w:r>
        <w:r>
          <w:instrText xml:space="preserve"> PAGE   \* MERGEFORMAT </w:instrText>
        </w:r>
        <w:r>
          <w:fldChar w:fldCharType="separate"/>
        </w:r>
        <w:r w:rsidR="003948F9">
          <w:rPr>
            <w:noProof/>
          </w:rPr>
          <w:t>3</w:t>
        </w:r>
        <w:r>
          <w:rPr>
            <w:noProof/>
          </w:rPr>
          <w:fldChar w:fldCharType="end"/>
        </w:r>
      </w:p>
    </w:sdtContent>
  </w:sdt>
  <w:p w14:paraId="7CECAFCC" w14:textId="77777777" w:rsidR="00F36A29" w:rsidRDefault="00F36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CB6D" w14:textId="77777777" w:rsidR="00050324" w:rsidRDefault="00050324" w:rsidP="009D24BE">
      <w:r>
        <w:separator/>
      </w:r>
    </w:p>
  </w:footnote>
  <w:footnote w:type="continuationSeparator" w:id="0">
    <w:p w14:paraId="5F357B55" w14:textId="77777777" w:rsidR="00050324" w:rsidRDefault="00050324" w:rsidP="009D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5E8C"/>
    <w:multiLevelType w:val="multilevel"/>
    <w:tmpl w:val="45DC71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9479FA"/>
    <w:multiLevelType w:val="multilevel"/>
    <w:tmpl w:val="990E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210AA"/>
    <w:multiLevelType w:val="multilevel"/>
    <w:tmpl w:val="15F48CE4"/>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45587E55"/>
    <w:multiLevelType w:val="multilevel"/>
    <w:tmpl w:val="B8F07AC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A070CE0"/>
    <w:multiLevelType w:val="multilevel"/>
    <w:tmpl w:val="C84EDB0E"/>
    <w:lvl w:ilvl="0">
      <w:start w:val="1"/>
      <w:numFmt w:val="decimal"/>
      <w:lvlText w:val="%1."/>
      <w:lvlJc w:val="left"/>
      <w:pPr>
        <w:ind w:left="720"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 w15:restartNumberingAfterBreak="0">
    <w:nsid w:val="6C4E2A36"/>
    <w:multiLevelType w:val="multilevel"/>
    <w:tmpl w:val="1DA0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9134695">
    <w:abstractNumId w:val="1"/>
  </w:num>
  <w:num w:numId="2" w16cid:durableId="1942957885">
    <w:abstractNumId w:val="4"/>
  </w:num>
  <w:num w:numId="3" w16cid:durableId="1552618257">
    <w:abstractNumId w:val="5"/>
  </w:num>
  <w:num w:numId="4" w16cid:durableId="151680955">
    <w:abstractNumId w:val="0"/>
  </w:num>
  <w:num w:numId="5" w16cid:durableId="2122993289">
    <w:abstractNumId w:val="3"/>
  </w:num>
  <w:num w:numId="6" w16cid:durableId="1365015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365B"/>
    <w:rsid w:val="00002972"/>
    <w:rsid w:val="00006E41"/>
    <w:rsid w:val="00007E9A"/>
    <w:rsid w:val="000120AE"/>
    <w:rsid w:val="00012F94"/>
    <w:rsid w:val="00015BA3"/>
    <w:rsid w:val="00027DC4"/>
    <w:rsid w:val="00034539"/>
    <w:rsid w:val="00034CB6"/>
    <w:rsid w:val="00036974"/>
    <w:rsid w:val="00041616"/>
    <w:rsid w:val="000443FE"/>
    <w:rsid w:val="00044770"/>
    <w:rsid w:val="000459D7"/>
    <w:rsid w:val="00046EFC"/>
    <w:rsid w:val="00047701"/>
    <w:rsid w:val="00050252"/>
    <w:rsid w:val="00050324"/>
    <w:rsid w:val="00054741"/>
    <w:rsid w:val="0006145B"/>
    <w:rsid w:val="0006188E"/>
    <w:rsid w:val="000629FE"/>
    <w:rsid w:val="00063611"/>
    <w:rsid w:val="00071E51"/>
    <w:rsid w:val="00072428"/>
    <w:rsid w:val="00073830"/>
    <w:rsid w:val="00077251"/>
    <w:rsid w:val="000818CE"/>
    <w:rsid w:val="0008492E"/>
    <w:rsid w:val="00086C98"/>
    <w:rsid w:val="00092184"/>
    <w:rsid w:val="000928C2"/>
    <w:rsid w:val="00096BB9"/>
    <w:rsid w:val="000A1F82"/>
    <w:rsid w:val="000B4BD1"/>
    <w:rsid w:val="000B67DE"/>
    <w:rsid w:val="000C1E21"/>
    <w:rsid w:val="000C3CA5"/>
    <w:rsid w:val="000C502F"/>
    <w:rsid w:val="000D0925"/>
    <w:rsid w:val="000D1482"/>
    <w:rsid w:val="000D199E"/>
    <w:rsid w:val="000D59D4"/>
    <w:rsid w:val="000E06FB"/>
    <w:rsid w:val="000E159A"/>
    <w:rsid w:val="000E3B95"/>
    <w:rsid w:val="000E6227"/>
    <w:rsid w:val="000E7330"/>
    <w:rsid w:val="000F5220"/>
    <w:rsid w:val="00100716"/>
    <w:rsid w:val="001025CA"/>
    <w:rsid w:val="00105D54"/>
    <w:rsid w:val="001151D1"/>
    <w:rsid w:val="00117591"/>
    <w:rsid w:val="00121965"/>
    <w:rsid w:val="001220A5"/>
    <w:rsid w:val="00123989"/>
    <w:rsid w:val="001241BC"/>
    <w:rsid w:val="0012424F"/>
    <w:rsid w:val="00130234"/>
    <w:rsid w:val="0014405D"/>
    <w:rsid w:val="00153946"/>
    <w:rsid w:val="00153B47"/>
    <w:rsid w:val="00154DBF"/>
    <w:rsid w:val="00155774"/>
    <w:rsid w:val="00156D6F"/>
    <w:rsid w:val="001571AA"/>
    <w:rsid w:val="00161756"/>
    <w:rsid w:val="00162435"/>
    <w:rsid w:val="00164279"/>
    <w:rsid w:val="00165F8E"/>
    <w:rsid w:val="0016751E"/>
    <w:rsid w:val="00170D3D"/>
    <w:rsid w:val="00173801"/>
    <w:rsid w:val="00176816"/>
    <w:rsid w:val="00181FEE"/>
    <w:rsid w:val="00182484"/>
    <w:rsid w:val="0018279A"/>
    <w:rsid w:val="001851FA"/>
    <w:rsid w:val="001858A2"/>
    <w:rsid w:val="00185A1F"/>
    <w:rsid w:val="0019419E"/>
    <w:rsid w:val="001962E8"/>
    <w:rsid w:val="00197526"/>
    <w:rsid w:val="001A39FB"/>
    <w:rsid w:val="001A5F68"/>
    <w:rsid w:val="001B6FF9"/>
    <w:rsid w:val="001C26CE"/>
    <w:rsid w:val="001C4ED6"/>
    <w:rsid w:val="001D039A"/>
    <w:rsid w:val="001E64F4"/>
    <w:rsid w:val="001E7D77"/>
    <w:rsid w:val="001F1DF6"/>
    <w:rsid w:val="00205464"/>
    <w:rsid w:val="00205E8B"/>
    <w:rsid w:val="00206F70"/>
    <w:rsid w:val="0021109E"/>
    <w:rsid w:val="00212910"/>
    <w:rsid w:val="00213022"/>
    <w:rsid w:val="002137A2"/>
    <w:rsid w:val="00214256"/>
    <w:rsid w:val="00220F8E"/>
    <w:rsid w:val="002222B8"/>
    <w:rsid w:val="002233EF"/>
    <w:rsid w:val="00226478"/>
    <w:rsid w:val="00227004"/>
    <w:rsid w:val="00227181"/>
    <w:rsid w:val="00230B93"/>
    <w:rsid w:val="002331E2"/>
    <w:rsid w:val="00235D6E"/>
    <w:rsid w:val="00243477"/>
    <w:rsid w:val="00255DC1"/>
    <w:rsid w:val="00255E71"/>
    <w:rsid w:val="00260DD0"/>
    <w:rsid w:val="00267030"/>
    <w:rsid w:val="00270CC4"/>
    <w:rsid w:val="002714B1"/>
    <w:rsid w:val="00272E8B"/>
    <w:rsid w:val="002758F2"/>
    <w:rsid w:val="00283A7D"/>
    <w:rsid w:val="00286F41"/>
    <w:rsid w:val="002913FA"/>
    <w:rsid w:val="00296CFE"/>
    <w:rsid w:val="00297B83"/>
    <w:rsid w:val="002A1B77"/>
    <w:rsid w:val="002A6414"/>
    <w:rsid w:val="002A72C1"/>
    <w:rsid w:val="002B1672"/>
    <w:rsid w:val="002D18A9"/>
    <w:rsid w:val="002D5E86"/>
    <w:rsid w:val="002E4926"/>
    <w:rsid w:val="002E4BFC"/>
    <w:rsid w:val="002F022B"/>
    <w:rsid w:val="002F33A2"/>
    <w:rsid w:val="003042E0"/>
    <w:rsid w:val="00305988"/>
    <w:rsid w:val="003101E8"/>
    <w:rsid w:val="00311E35"/>
    <w:rsid w:val="003128F6"/>
    <w:rsid w:val="00314EA9"/>
    <w:rsid w:val="003207C4"/>
    <w:rsid w:val="003207F7"/>
    <w:rsid w:val="003216BE"/>
    <w:rsid w:val="003238E8"/>
    <w:rsid w:val="00324925"/>
    <w:rsid w:val="003315E8"/>
    <w:rsid w:val="00332A0E"/>
    <w:rsid w:val="003368CA"/>
    <w:rsid w:val="003374A6"/>
    <w:rsid w:val="003413A4"/>
    <w:rsid w:val="00347CC8"/>
    <w:rsid w:val="0035628B"/>
    <w:rsid w:val="00361BB2"/>
    <w:rsid w:val="00366737"/>
    <w:rsid w:val="00373933"/>
    <w:rsid w:val="0038287F"/>
    <w:rsid w:val="00383F1C"/>
    <w:rsid w:val="003857B7"/>
    <w:rsid w:val="00391BA5"/>
    <w:rsid w:val="00391E31"/>
    <w:rsid w:val="003948F9"/>
    <w:rsid w:val="00394DC5"/>
    <w:rsid w:val="003961DA"/>
    <w:rsid w:val="003A3342"/>
    <w:rsid w:val="003A6D3C"/>
    <w:rsid w:val="003A6FF1"/>
    <w:rsid w:val="003B1531"/>
    <w:rsid w:val="003B2840"/>
    <w:rsid w:val="003B7AB1"/>
    <w:rsid w:val="003C41CA"/>
    <w:rsid w:val="003C4409"/>
    <w:rsid w:val="003C4FAC"/>
    <w:rsid w:val="003D071B"/>
    <w:rsid w:val="003D5B2F"/>
    <w:rsid w:val="003E06FE"/>
    <w:rsid w:val="003E2EDB"/>
    <w:rsid w:val="003E33C8"/>
    <w:rsid w:val="003E59B6"/>
    <w:rsid w:val="003E6615"/>
    <w:rsid w:val="003E74E8"/>
    <w:rsid w:val="003E7D99"/>
    <w:rsid w:val="003F717C"/>
    <w:rsid w:val="00400DBB"/>
    <w:rsid w:val="004015E0"/>
    <w:rsid w:val="00402A8A"/>
    <w:rsid w:val="0040344F"/>
    <w:rsid w:val="00404F1B"/>
    <w:rsid w:val="0040602F"/>
    <w:rsid w:val="0041068F"/>
    <w:rsid w:val="00410A2E"/>
    <w:rsid w:val="00416187"/>
    <w:rsid w:val="00422B23"/>
    <w:rsid w:val="00424A23"/>
    <w:rsid w:val="00427FAF"/>
    <w:rsid w:val="00431DF4"/>
    <w:rsid w:val="00434747"/>
    <w:rsid w:val="00434EC9"/>
    <w:rsid w:val="00435B3C"/>
    <w:rsid w:val="00447308"/>
    <w:rsid w:val="00450A27"/>
    <w:rsid w:val="00454B15"/>
    <w:rsid w:val="00455F9B"/>
    <w:rsid w:val="00456F79"/>
    <w:rsid w:val="00457E74"/>
    <w:rsid w:val="004610AF"/>
    <w:rsid w:val="00463489"/>
    <w:rsid w:val="00472B73"/>
    <w:rsid w:val="004846EA"/>
    <w:rsid w:val="00487834"/>
    <w:rsid w:val="00493D17"/>
    <w:rsid w:val="004946C1"/>
    <w:rsid w:val="00494BDE"/>
    <w:rsid w:val="00497831"/>
    <w:rsid w:val="004A1F16"/>
    <w:rsid w:val="004A5290"/>
    <w:rsid w:val="004A54BB"/>
    <w:rsid w:val="004B4818"/>
    <w:rsid w:val="004B761E"/>
    <w:rsid w:val="004C1902"/>
    <w:rsid w:val="004C451D"/>
    <w:rsid w:val="004C7739"/>
    <w:rsid w:val="004D31D3"/>
    <w:rsid w:val="004D3D47"/>
    <w:rsid w:val="004D454A"/>
    <w:rsid w:val="004D47C2"/>
    <w:rsid w:val="004D51D4"/>
    <w:rsid w:val="004D7B42"/>
    <w:rsid w:val="004E0969"/>
    <w:rsid w:val="004F0FB4"/>
    <w:rsid w:val="004F4DDE"/>
    <w:rsid w:val="00501563"/>
    <w:rsid w:val="0050276C"/>
    <w:rsid w:val="0050492F"/>
    <w:rsid w:val="00511CD2"/>
    <w:rsid w:val="00513697"/>
    <w:rsid w:val="0051372E"/>
    <w:rsid w:val="00513A7A"/>
    <w:rsid w:val="00515A9D"/>
    <w:rsid w:val="005162B6"/>
    <w:rsid w:val="00522CDF"/>
    <w:rsid w:val="00524CD6"/>
    <w:rsid w:val="00526F95"/>
    <w:rsid w:val="0053042A"/>
    <w:rsid w:val="005324E6"/>
    <w:rsid w:val="00533CED"/>
    <w:rsid w:val="0054273A"/>
    <w:rsid w:val="005566F4"/>
    <w:rsid w:val="005572AA"/>
    <w:rsid w:val="005575D6"/>
    <w:rsid w:val="005620C5"/>
    <w:rsid w:val="00571043"/>
    <w:rsid w:val="00573EEB"/>
    <w:rsid w:val="00580409"/>
    <w:rsid w:val="00583881"/>
    <w:rsid w:val="00584E0E"/>
    <w:rsid w:val="00586FD8"/>
    <w:rsid w:val="00597470"/>
    <w:rsid w:val="005A01BB"/>
    <w:rsid w:val="005A199E"/>
    <w:rsid w:val="005A353B"/>
    <w:rsid w:val="005A4F73"/>
    <w:rsid w:val="005A7A04"/>
    <w:rsid w:val="005B2590"/>
    <w:rsid w:val="005B558F"/>
    <w:rsid w:val="005B70FB"/>
    <w:rsid w:val="005B754B"/>
    <w:rsid w:val="005B7A87"/>
    <w:rsid w:val="005C1633"/>
    <w:rsid w:val="005C42BE"/>
    <w:rsid w:val="005D0B9E"/>
    <w:rsid w:val="005D21BB"/>
    <w:rsid w:val="005D4A74"/>
    <w:rsid w:val="005D5BF1"/>
    <w:rsid w:val="005D5CF6"/>
    <w:rsid w:val="005E4995"/>
    <w:rsid w:val="006002E6"/>
    <w:rsid w:val="00600893"/>
    <w:rsid w:val="006044DB"/>
    <w:rsid w:val="006063C1"/>
    <w:rsid w:val="00610305"/>
    <w:rsid w:val="00610F6D"/>
    <w:rsid w:val="0061587C"/>
    <w:rsid w:val="00615A30"/>
    <w:rsid w:val="006164C5"/>
    <w:rsid w:val="006166B9"/>
    <w:rsid w:val="00616E48"/>
    <w:rsid w:val="00621D3E"/>
    <w:rsid w:val="00632AC0"/>
    <w:rsid w:val="00635942"/>
    <w:rsid w:val="006359DE"/>
    <w:rsid w:val="0064367D"/>
    <w:rsid w:val="006469C8"/>
    <w:rsid w:val="006525C6"/>
    <w:rsid w:val="00652CBF"/>
    <w:rsid w:val="00654423"/>
    <w:rsid w:val="00654601"/>
    <w:rsid w:val="006558E4"/>
    <w:rsid w:val="00662347"/>
    <w:rsid w:val="0066590A"/>
    <w:rsid w:val="0067047C"/>
    <w:rsid w:val="00671CA8"/>
    <w:rsid w:val="00672007"/>
    <w:rsid w:val="00676A0F"/>
    <w:rsid w:val="00676E68"/>
    <w:rsid w:val="00694B7F"/>
    <w:rsid w:val="006A6713"/>
    <w:rsid w:val="006B7A43"/>
    <w:rsid w:val="006C373F"/>
    <w:rsid w:val="006C4D78"/>
    <w:rsid w:val="006C78A9"/>
    <w:rsid w:val="006C7B08"/>
    <w:rsid w:val="006D5A07"/>
    <w:rsid w:val="006D6922"/>
    <w:rsid w:val="006D7057"/>
    <w:rsid w:val="006D722C"/>
    <w:rsid w:val="006D7DCE"/>
    <w:rsid w:val="006E1003"/>
    <w:rsid w:val="006E2800"/>
    <w:rsid w:val="006E2AB0"/>
    <w:rsid w:val="006E2F65"/>
    <w:rsid w:val="006E334C"/>
    <w:rsid w:val="006E7363"/>
    <w:rsid w:val="006F241E"/>
    <w:rsid w:val="006F2D42"/>
    <w:rsid w:val="006F360D"/>
    <w:rsid w:val="006F60AC"/>
    <w:rsid w:val="006F634A"/>
    <w:rsid w:val="006F6F58"/>
    <w:rsid w:val="0070116C"/>
    <w:rsid w:val="00704665"/>
    <w:rsid w:val="00713492"/>
    <w:rsid w:val="00715A54"/>
    <w:rsid w:val="007239D5"/>
    <w:rsid w:val="0072717D"/>
    <w:rsid w:val="00730696"/>
    <w:rsid w:val="00735051"/>
    <w:rsid w:val="007367BE"/>
    <w:rsid w:val="00737EB8"/>
    <w:rsid w:val="00740FB4"/>
    <w:rsid w:val="00754B43"/>
    <w:rsid w:val="00756009"/>
    <w:rsid w:val="007647C1"/>
    <w:rsid w:val="007700E4"/>
    <w:rsid w:val="007757A3"/>
    <w:rsid w:val="00777794"/>
    <w:rsid w:val="00784FCB"/>
    <w:rsid w:val="00787CC6"/>
    <w:rsid w:val="00791C1A"/>
    <w:rsid w:val="00793959"/>
    <w:rsid w:val="00795507"/>
    <w:rsid w:val="007A083E"/>
    <w:rsid w:val="007A3DC3"/>
    <w:rsid w:val="007A48E9"/>
    <w:rsid w:val="007A6789"/>
    <w:rsid w:val="007B1348"/>
    <w:rsid w:val="007C398C"/>
    <w:rsid w:val="007C4E56"/>
    <w:rsid w:val="007C7440"/>
    <w:rsid w:val="007D0527"/>
    <w:rsid w:val="007D0E8E"/>
    <w:rsid w:val="007D10A3"/>
    <w:rsid w:val="007D1CD2"/>
    <w:rsid w:val="007D45C5"/>
    <w:rsid w:val="007D4891"/>
    <w:rsid w:val="007D6CBE"/>
    <w:rsid w:val="007E12A9"/>
    <w:rsid w:val="007E16DC"/>
    <w:rsid w:val="007E6E4D"/>
    <w:rsid w:val="00804053"/>
    <w:rsid w:val="008125C4"/>
    <w:rsid w:val="00814194"/>
    <w:rsid w:val="0082115F"/>
    <w:rsid w:val="008245BC"/>
    <w:rsid w:val="00824B9F"/>
    <w:rsid w:val="0082513A"/>
    <w:rsid w:val="008252C0"/>
    <w:rsid w:val="00826641"/>
    <w:rsid w:val="00827B4E"/>
    <w:rsid w:val="00831128"/>
    <w:rsid w:val="008401CC"/>
    <w:rsid w:val="008438F9"/>
    <w:rsid w:val="008535BC"/>
    <w:rsid w:val="00855D3B"/>
    <w:rsid w:val="008608FC"/>
    <w:rsid w:val="008629A1"/>
    <w:rsid w:val="0086365B"/>
    <w:rsid w:val="00865772"/>
    <w:rsid w:val="00865C49"/>
    <w:rsid w:val="0086775D"/>
    <w:rsid w:val="0087073D"/>
    <w:rsid w:val="008722E9"/>
    <w:rsid w:val="00884572"/>
    <w:rsid w:val="0089061A"/>
    <w:rsid w:val="00896886"/>
    <w:rsid w:val="008979FB"/>
    <w:rsid w:val="00897AF8"/>
    <w:rsid w:val="008A1149"/>
    <w:rsid w:val="008A1EA1"/>
    <w:rsid w:val="008A203E"/>
    <w:rsid w:val="008A25B9"/>
    <w:rsid w:val="008A3A49"/>
    <w:rsid w:val="008A4004"/>
    <w:rsid w:val="008A72F7"/>
    <w:rsid w:val="008B08F6"/>
    <w:rsid w:val="008B1072"/>
    <w:rsid w:val="008C3C66"/>
    <w:rsid w:val="008C7BD9"/>
    <w:rsid w:val="008D14A6"/>
    <w:rsid w:val="008D485B"/>
    <w:rsid w:val="008E09D8"/>
    <w:rsid w:val="008F43CE"/>
    <w:rsid w:val="008F7A3E"/>
    <w:rsid w:val="00900AEE"/>
    <w:rsid w:val="00901EBC"/>
    <w:rsid w:val="00913810"/>
    <w:rsid w:val="009219CF"/>
    <w:rsid w:val="00923633"/>
    <w:rsid w:val="00923C6A"/>
    <w:rsid w:val="0092669C"/>
    <w:rsid w:val="00932B4B"/>
    <w:rsid w:val="00933954"/>
    <w:rsid w:val="00942357"/>
    <w:rsid w:val="0094552B"/>
    <w:rsid w:val="009477CC"/>
    <w:rsid w:val="00960798"/>
    <w:rsid w:val="00972CD8"/>
    <w:rsid w:val="00972DE6"/>
    <w:rsid w:val="009734A6"/>
    <w:rsid w:val="00974EEC"/>
    <w:rsid w:val="009923D2"/>
    <w:rsid w:val="009945C2"/>
    <w:rsid w:val="009B3558"/>
    <w:rsid w:val="009B3DFC"/>
    <w:rsid w:val="009B55C1"/>
    <w:rsid w:val="009B62CB"/>
    <w:rsid w:val="009C1F0C"/>
    <w:rsid w:val="009C2B89"/>
    <w:rsid w:val="009C5F2D"/>
    <w:rsid w:val="009D0D0A"/>
    <w:rsid w:val="009D24BE"/>
    <w:rsid w:val="009D2B28"/>
    <w:rsid w:val="009D4876"/>
    <w:rsid w:val="009D6C85"/>
    <w:rsid w:val="009E212A"/>
    <w:rsid w:val="009E2E29"/>
    <w:rsid w:val="009E7B14"/>
    <w:rsid w:val="009F1CAF"/>
    <w:rsid w:val="00A05561"/>
    <w:rsid w:val="00A116C3"/>
    <w:rsid w:val="00A1221B"/>
    <w:rsid w:val="00A12D6D"/>
    <w:rsid w:val="00A16A28"/>
    <w:rsid w:val="00A176D3"/>
    <w:rsid w:val="00A17777"/>
    <w:rsid w:val="00A21C95"/>
    <w:rsid w:val="00A21FB9"/>
    <w:rsid w:val="00A2286C"/>
    <w:rsid w:val="00A27CB9"/>
    <w:rsid w:val="00A30819"/>
    <w:rsid w:val="00A32647"/>
    <w:rsid w:val="00A328EE"/>
    <w:rsid w:val="00A33D6E"/>
    <w:rsid w:val="00A359D8"/>
    <w:rsid w:val="00A37F42"/>
    <w:rsid w:val="00A40744"/>
    <w:rsid w:val="00A43E55"/>
    <w:rsid w:val="00A606EF"/>
    <w:rsid w:val="00A71D8D"/>
    <w:rsid w:val="00A7263B"/>
    <w:rsid w:val="00A7604E"/>
    <w:rsid w:val="00A821C7"/>
    <w:rsid w:val="00A83D58"/>
    <w:rsid w:val="00A864A2"/>
    <w:rsid w:val="00A90A59"/>
    <w:rsid w:val="00A91472"/>
    <w:rsid w:val="00A934F3"/>
    <w:rsid w:val="00A93A04"/>
    <w:rsid w:val="00A93C49"/>
    <w:rsid w:val="00A97B7F"/>
    <w:rsid w:val="00AA5F22"/>
    <w:rsid w:val="00AA6C84"/>
    <w:rsid w:val="00AB48C9"/>
    <w:rsid w:val="00AB5EF6"/>
    <w:rsid w:val="00AB6580"/>
    <w:rsid w:val="00AB6C15"/>
    <w:rsid w:val="00AB752B"/>
    <w:rsid w:val="00AC0D3E"/>
    <w:rsid w:val="00AC13A7"/>
    <w:rsid w:val="00AC30A0"/>
    <w:rsid w:val="00AD2E2E"/>
    <w:rsid w:val="00AD365D"/>
    <w:rsid w:val="00AD61A4"/>
    <w:rsid w:val="00AE1163"/>
    <w:rsid w:val="00AE30D0"/>
    <w:rsid w:val="00AE49CD"/>
    <w:rsid w:val="00AE5F47"/>
    <w:rsid w:val="00AE6F19"/>
    <w:rsid w:val="00AE79B6"/>
    <w:rsid w:val="00AF53CC"/>
    <w:rsid w:val="00AF797B"/>
    <w:rsid w:val="00B00041"/>
    <w:rsid w:val="00B01B9E"/>
    <w:rsid w:val="00B04416"/>
    <w:rsid w:val="00B05B09"/>
    <w:rsid w:val="00B11195"/>
    <w:rsid w:val="00B150F2"/>
    <w:rsid w:val="00B1657C"/>
    <w:rsid w:val="00B176A8"/>
    <w:rsid w:val="00B224E5"/>
    <w:rsid w:val="00B23152"/>
    <w:rsid w:val="00B2339F"/>
    <w:rsid w:val="00B23B4D"/>
    <w:rsid w:val="00B250C8"/>
    <w:rsid w:val="00B27035"/>
    <w:rsid w:val="00B325ED"/>
    <w:rsid w:val="00B33E8E"/>
    <w:rsid w:val="00B374B4"/>
    <w:rsid w:val="00B50EFA"/>
    <w:rsid w:val="00B50FEB"/>
    <w:rsid w:val="00B530E7"/>
    <w:rsid w:val="00B56C79"/>
    <w:rsid w:val="00B63EC3"/>
    <w:rsid w:val="00B70644"/>
    <w:rsid w:val="00B71800"/>
    <w:rsid w:val="00B71C10"/>
    <w:rsid w:val="00B72B9A"/>
    <w:rsid w:val="00B72D57"/>
    <w:rsid w:val="00B7388A"/>
    <w:rsid w:val="00B73F4D"/>
    <w:rsid w:val="00B803F6"/>
    <w:rsid w:val="00B808AF"/>
    <w:rsid w:val="00B80F33"/>
    <w:rsid w:val="00B81424"/>
    <w:rsid w:val="00B82833"/>
    <w:rsid w:val="00B83C7F"/>
    <w:rsid w:val="00B84182"/>
    <w:rsid w:val="00B849E9"/>
    <w:rsid w:val="00B84B83"/>
    <w:rsid w:val="00B90429"/>
    <w:rsid w:val="00B97718"/>
    <w:rsid w:val="00BA7F83"/>
    <w:rsid w:val="00BB2FE8"/>
    <w:rsid w:val="00BB3839"/>
    <w:rsid w:val="00BB3AE0"/>
    <w:rsid w:val="00BC2DF7"/>
    <w:rsid w:val="00BC3C9C"/>
    <w:rsid w:val="00BC489F"/>
    <w:rsid w:val="00BC7470"/>
    <w:rsid w:val="00BD0942"/>
    <w:rsid w:val="00BD3A51"/>
    <w:rsid w:val="00BD4053"/>
    <w:rsid w:val="00BD4062"/>
    <w:rsid w:val="00BD4F6D"/>
    <w:rsid w:val="00BD6B62"/>
    <w:rsid w:val="00BE6D36"/>
    <w:rsid w:val="00BE7D60"/>
    <w:rsid w:val="00BF355C"/>
    <w:rsid w:val="00C06367"/>
    <w:rsid w:val="00C12917"/>
    <w:rsid w:val="00C13A34"/>
    <w:rsid w:val="00C152AE"/>
    <w:rsid w:val="00C21488"/>
    <w:rsid w:val="00C26E0C"/>
    <w:rsid w:val="00C337A9"/>
    <w:rsid w:val="00C36830"/>
    <w:rsid w:val="00C40407"/>
    <w:rsid w:val="00C41607"/>
    <w:rsid w:val="00C42416"/>
    <w:rsid w:val="00C43193"/>
    <w:rsid w:val="00C43497"/>
    <w:rsid w:val="00C44571"/>
    <w:rsid w:val="00C51ECA"/>
    <w:rsid w:val="00C619D8"/>
    <w:rsid w:val="00C62980"/>
    <w:rsid w:val="00C72CD9"/>
    <w:rsid w:val="00C7457A"/>
    <w:rsid w:val="00C778BB"/>
    <w:rsid w:val="00C77996"/>
    <w:rsid w:val="00C77D2A"/>
    <w:rsid w:val="00C8325F"/>
    <w:rsid w:val="00C853DF"/>
    <w:rsid w:val="00C87E2D"/>
    <w:rsid w:val="00CA2CD0"/>
    <w:rsid w:val="00CB0E83"/>
    <w:rsid w:val="00CB2ED9"/>
    <w:rsid w:val="00CB6B79"/>
    <w:rsid w:val="00CB6D3B"/>
    <w:rsid w:val="00CC074E"/>
    <w:rsid w:val="00CC201D"/>
    <w:rsid w:val="00CC2E98"/>
    <w:rsid w:val="00CC3686"/>
    <w:rsid w:val="00CC683F"/>
    <w:rsid w:val="00CC6F1F"/>
    <w:rsid w:val="00CD335C"/>
    <w:rsid w:val="00CE06C8"/>
    <w:rsid w:val="00CE0BBB"/>
    <w:rsid w:val="00CE24B6"/>
    <w:rsid w:val="00CE4838"/>
    <w:rsid w:val="00CF248F"/>
    <w:rsid w:val="00CF2A9A"/>
    <w:rsid w:val="00CF364A"/>
    <w:rsid w:val="00CF4151"/>
    <w:rsid w:val="00CF63A0"/>
    <w:rsid w:val="00D0249A"/>
    <w:rsid w:val="00D11131"/>
    <w:rsid w:val="00D14C14"/>
    <w:rsid w:val="00D1584D"/>
    <w:rsid w:val="00D229B8"/>
    <w:rsid w:val="00D310C0"/>
    <w:rsid w:val="00D33680"/>
    <w:rsid w:val="00D356EE"/>
    <w:rsid w:val="00D40839"/>
    <w:rsid w:val="00D418C9"/>
    <w:rsid w:val="00D43D21"/>
    <w:rsid w:val="00D4470C"/>
    <w:rsid w:val="00D4562C"/>
    <w:rsid w:val="00D53A8D"/>
    <w:rsid w:val="00D53DE7"/>
    <w:rsid w:val="00D61D1B"/>
    <w:rsid w:val="00D63187"/>
    <w:rsid w:val="00D63E1F"/>
    <w:rsid w:val="00D65DF9"/>
    <w:rsid w:val="00D72B10"/>
    <w:rsid w:val="00D75622"/>
    <w:rsid w:val="00D7775D"/>
    <w:rsid w:val="00D87002"/>
    <w:rsid w:val="00D9173E"/>
    <w:rsid w:val="00D925C1"/>
    <w:rsid w:val="00D96E21"/>
    <w:rsid w:val="00D97AC1"/>
    <w:rsid w:val="00DA1E1C"/>
    <w:rsid w:val="00DA2069"/>
    <w:rsid w:val="00DC2872"/>
    <w:rsid w:val="00DD1177"/>
    <w:rsid w:val="00DD6141"/>
    <w:rsid w:val="00DD7C47"/>
    <w:rsid w:val="00DE074D"/>
    <w:rsid w:val="00DE1CD7"/>
    <w:rsid w:val="00DE4C2A"/>
    <w:rsid w:val="00DE5231"/>
    <w:rsid w:val="00DE5F9A"/>
    <w:rsid w:val="00DE6057"/>
    <w:rsid w:val="00DF1B16"/>
    <w:rsid w:val="00E03035"/>
    <w:rsid w:val="00E067CF"/>
    <w:rsid w:val="00E12F5B"/>
    <w:rsid w:val="00E13F86"/>
    <w:rsid w:val="00E1751C"/>
    <w:rsid w:val="00E17E40"/>
    <w:rsid w:val="00E17FE8"/>
    <w:rsid w:val="00E2567F"/>
    <w:rsid w:val="00E25F35"/>
    <w:rsid w:val="00E264D8"/>
    <w:rsid w:val="00E36545"/>
    <w:rsid w:val="00E37087"/>
    <w:rsid w:val="00E403E8"/>
    <w:rsid w:val="00E41289"/>
    <w:rsid w:val="00E41502"/>
    <w:rsid w:val="00E43847"/>
    <w:rsid w:val="00E440A1"/>
    <w:rsid w:val="00E5055A"/>
    <w:rsid w:val="00E50CC9"/>
    <w:rsid w:val="00E52BE1"/>
    <w:rsid w:val="00E60523"/>
    <w:rsid w:val="00E60546"/>
    <w:rsid w:val="00E622A7"/>
    <w:rsid w:val="00E63631"/>
    <w:rsid w:val="00E6417F"/>
    <w:rsid w:val="00E65C70"/>
    <w:rsid w:val="00E824D5"/>
    <w:rsid w:val="00E942DD"/>
    <w:rsid w:val="00E95795"/>
    <w:rsid w:val="00E96BA4"/>
    <w:rsid w:val="00EA6A80"/>
    <w:rsid w:val="00EA76AE"/>
    <w:rsid w:val="00EB20EE"/>
    <w:rsid w:val="00EB304B"/>
    <w:rsid w:val="00EB38F2"/>
    <w:rsid w:val="00EB51A4"/>
    <w:rsid w:val="00EB55F3"/>
    <w:rsid w:val="00EB5F72"/>
    <w:rsid w:val="00EC745D"/>
    <w:rsid w:val="00ED1A61"/>
    <w:rsid w:val="00ED5432"/>
    <w:rsid w:val="00EE009E"/>
    <w:rsid w:val="00EF4BE4"/>
    <w:rsid w:val="00EF64C5"/>
    <w:rsid w:val="00F059DE"/>
    <w:rsid w:val="00F120D6"/>
    <w:rsid w:val="00F13B4A"/>
    <w:rsid w:val="00F16936"/>
    <w:rsid w:val="00F26689"/>
    <w:rsid w:val="00F2695F"/>
    <w:rsid w:val="00F27672"/>
    <w:rsid w:val="00F32FE5"/>
    <w:rsid w:val="00F36A29"/>
    <w:rsid w:val="00F37DE5"/>
    <w:rsid w:val="00F42BD2"/>
    <w:rsid w:val="00F47C69"/>
    <w:rsid w:val="00F51761"/>
    <w:rsid w:val="00F575C6"/>
    <w:rsid w:val="00F723DC"/>
    <w:rsid w:val="00F737A9"/>
    <w:rsid w:val="00F73BAB"/>
    <w:rsid w:val="00F8091D"/>
    <w:rsid w:val="00F83903"/>
    <w:rsid w:val="00F84518"/>
    <w:rsid w:val="00F85F9E"/>
    <w:rsid w:val="00FA3C3D"/>
    <w:rsid w:val="00FA5873"/>
    <w:rsid w:val="00FA6B1E"/>
    <w:rsid w:val="00FA7AEF"/>
    <w:rsid w:val="00FB17F6"/>
    <w:rsid w:val="00FB25F8"/>
    <w:rsid w:val="00FB3223"/>
    <w:rsid w:val="00FB622D"/>
    <w:rsid w:val="00FB626E"/>
    <w:rsid w:val="00FC4A6C"/>
    <w:rsid w:val="00FC6913"/>
    <w:rsid w:val="00FC7082"/>
    <w:rsid w:val="00FD38D3"/>
    <w:rsid w:val="00FD7884"/>
    <w:rsid w:val="00FE0AB8"/>
    <w:rsid w:val="00FE19BD"/>
    <w:rsid w:val="00FE3FA3"/>
    <w:rsid w:val="00FE427E"/>
    <w:rsid w:val="00FE6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590E477"/>
  <w15:docId w15:val="{D881561C-059A-4F4E-9378-317C6E75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0C8"/>
    <w:pPr>
      <w:spacing w:line="360" w:lineRule="auto"/>
      <w:ind w:firstLine="851"/>
      <w:jc w:val="both"/>
    </w:pPr>
    <w:rPr>
      <w:rFonts w:ascii="Times New Roman" w:eastAsia="Times New Roman" w:hAnsi="Times New Roman" w:cs="Times New Roman"/>
      <w:kern w:val="0"/>
      <w:lang w:eastAsia="en-GB"/>
    </w:rPr>
  </w:style>
  <w:style w:type="paragraph" w:styleId="Heading1">
    <w:name w:val="heading 1"/>
    <w:basedOn w:val="Normal"/>
    <w:link w:val="Heading1Char"/>
    <w:autoRedefine/>
    <w:uiPriority w:val="9"/>
    <w:qFormat/>
    <w:rsid w:val="004A5290"/>
    <w:pPr>
      <w:spacing w:before="100" w:beforeAutospacing="1" w:after="100" w:afterAutospacing="1"/>
      <w:ind w:firstLine="0"/>
      <w:jc w:val="center"/>
      <w:outlineLvl w:val="0"/>
    </w:pPr>
    <w:rPr>
      <w:b/>
      <w:bCs/>
      <w:kern w:val="36"/>
      <w:szCs w:val="48"/>
    </w:rPr>
  </w:style>
  <w:style w:type="paragraph" w:styleId="Heading2">
    <w:name w:val="heading 2"/>
    <w:basedOn w:val="Normal"/>
    <w:next w:val="Normal"/>
    <w:link w:val="Heading2Char"/>
    <w:autoRedefine/>
    <w:uiPriority w:val="9"/>
    <w:unhideWhenUsed/>
    <w:qFormat/>
    <w:rsid w:val="00B250C8"/>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hor-text">
    <w:name w:val="anchor-text"/>
    <w:basedOn w:val="DefaultParagraphFont"/>
    <w:rsid w:val="002E4926"/>
  </w:style>
  <w:style w:type="character" w:customStyle="1" w:styleId="Heading1Char">
    <w:name w:val="Heading 1 Char"/>
    <w:basedOn w:val="DefaultParagraphFont"/>
    <w:link w:val="Heading1"/>
    <w:uiPriority w:val="9"/>
    <w:rsid w:val="004A5290"/>
    <w:rPr>
      <w:rFonts w:ascii="Times New Roman" w:eastAsia="Times New Roman" w:hAnsi="Times New Roman" w:cs="Times New Roman"/>
      <w:b/>
      <w:bCs/>
      <w:kern w:val="36"/>
      <w:szCs w:val="48"/>
      <w:lang w:eastAsia="en-GB"/>
    </w:rPr>
  </w:style>
  <w:style w:type="character" w:customStyle="1" w:styleId="title-text">
    <w:name w:val="title-text"/>
    <w:basedOn w:val="DefaultParagraphFont"/>
    <w:rsid w:val="002E4926"/>
  </w:style>
  <w:style w:type="paragraph" w:customStyle="1" w:styleId="react-xocs-list-item">
    <w:name w:val="react-xocs-list-item"/>
    <w:basedOn w:val="Normal"/>
    <w:rsid w:val="002E4926"/>
    <w:pPr>
      <w:spacing w:before="100" w:beforeAutospacing="1" w:after="100" w:afterAutospacing="1"/>
    </w:pPr>
  </w:style>
  <w:style w:type="paragraph" w:styleId="NormalWeb">
    <w:name w:val="Normal (Web)"/>
    <w:basedOn w:val="Normal"/>
    <w:uiPriority w:val="99"/>
    <w:semiHidden/>
    <w:unhideWhenUsed/>
    <w:rsid w:val="002E4926"/>
    <w:pPr>
      <w:spacing w:before="100" w:beforeAutospacing="1" w:after="100" w:afterAutospacing="1"/>
    </w:pPr>
  </w:style>
  <w:style w:type="character" w:customStyle="1" w:styleId="list-label">
    <w:name w:val="list-label"/>
    <w:basedOn w:val="DefaultParagraphFont"/>
    <w:rsid w:val="002E4926"/>
  </w:style>
  <w:style w:type="character" w:styleId="PlaceholderText">
    <w:name w:val="Placeholder Text"/>
    <w:basedOn w:val="DefaultParagraphFont"/>
    <w:uiPriority w:val="99"/>
    <w:semiHidden/>
    <w:rsid w:val="00F51761"/>
    <w:rPr>
      <w:color w:val="666666"/>
    </w:rPr>
  </w:style>
  <w:style w:type="paragraph" w:customStyle="1" w:styleId="Default">
    <w:name w:val="Default"/>
    <w:rsid w:val="00CF4151"/>
    <w:pPr>
      <w:autoSpaceDE w:val="0"/>
      <w:autoSpaceDN w:val="0"/>
      <w:adjustRightInd w:val="0"/>
    </w:pPr>
    <w:rPr>
      <w:rFonts w:ascii="Code" w:hAnsi="Code" w:cs="Code"/>
      <w:color w:val="000000"/>
      <w:kern w:val="0"/>
      <w:lang w:val="en-GB"/>
    </w:rPr>
  </w:style>
  <w:style w:type="paragraph" w:styleId="ListParagraph">
    <w:name w:val="List Paragraph"/>
    <w:basedOn w:val="Normal"/>
    <w:uiPriority w:val="34"/>
    <w:qFormat/>
    <w:rsid w:val="003857B7"/>
    <w:pPr>
      <w:spacing w:after="160" w:line="259" w:lineRule="auto"/>
      <w:ind w:left="720"/>
      <w:contextualSpacing/>
    </w:pPr>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255DC1"/>
    <w:rPr>
      <w:i/>
      <w:iCs/>
    </w:rPr>
  </w:style>
  <w:style w:type="character" w:customStyle="1" w:styleId="mord">
    <w:name w:val="mord"/>
    <w:basedOn w:val="DefaultParagraphFont"/>
    <w:rsid w:val="00C26E0C"/>
  </w:style>
  <w:style w:type="character" w:customStyle="1" w:styleId="vlist-s">
    <w:name w:val="vlist-s"/>
    <w:basedOn w:val="DefaultParagraphFont"/>
    <w:rsid w:val="00C26E0C"/>
  </w:style>
  <w:style w:type="character" w:customStyle="1" w:styleId="mrel">
    <w:name w:val="mrel"/>
    <w:basedOn w:val="DefaultParagraphFont"/>
    <w:rsid w:val="00C26E0C"/>
  </w:style>
  <w:style w:type="character" w:customStyle="1" w:styleId="mbin">
    <w:name w:val="mbin"/>
    <w:basedOn w:val="DefaultParagraphFont"/>
    <w:rsid w:val="00C26E0C"/>
  </w:style>
  <w:style w:type="table" w:styleId="TableGrid">
    <w:name w:val="Table Grid"/>
    <w:basedOn w:val="TableNormal"/>
    <w:uiPriority w:val="39"/>
    <w:rsid w:val="0062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D24BE"/>
    <w:pPr>
      <w:tabs>
        <w:tab w:val="center" w:pos="4677"/>
        <w:tab w:val="right" w:pos="9355"/>
      </w:tabs>
    </w:pPr>
  </w:style>
  <w:style w:type="character" w:customStyle="1" w:styleId="HeaderChar">
    <w:name w:val="Header Char"/>
    <w:basedOn w:val="DefaultParagraphFont"/>
    <w:link w:val="Header"/>
    <w:uiPriority w:val="99"/>
    <w:semiHidden/>
    <w:rsid w:val="009D24BE"/>
    <w:rPr>
      <w:rFonts w:ascii="Times New Roman" w:eastAsia="Times New Roman" w:hAnsi="Times New Roman" w:cs="Times New Roman"/>
      <w:kern w:val="0"/>
      <w:lang w:eastAsia="en-GB"/>
    </w:rPr>
  </w:style>
  <w:style w:type="paragraph" w:styleId="Footer">
    <w:name w:val="footer"/>
    <w:basedOn w:val="Normal"/>
    <w:link w:val="FooterChar"/>
    <w:uiPriority w:val="99"/>
    <w:unhideWhenUsed/>
    <w:rsid w:val="009D24BE"/>
    <w:pPr>
      <w:tabs>
        <w:tab w:val="center" w:pos="4677"/>
        <w:tab w:val="right" w:pos="9355"/>
      </w:tabs>
    </w:pPr>
  </w:style>
  <w:style w:type="character" w:customStyle="1" w:styleId="FooterChar">
    <w:name w:val="Footer Char"/>
    <w:basedOn w:val="DefaultParagraphFont"/>
    <w:link w:val="Footer"/>
    <w:uiPriority w:val="99"/>
    <w:rsid w:val="009D24BE"/>
    <w:rPr>
      <w:rFonts w:ascii="Times New Roman" w:eastAsia="Times New Roman" w:hAnsi="Times New Roman" w:cs="Times New Roman"/>
      <w:kern w:val="0"/>
      <w:lang w:eastAsia="en-GB"/>
    </w:rPr>
  </w:style>
  <w:style w:type="paragraph" w:styleId="TOCHeading">
    <w:name w:val="TOC Heading"/>
    <w:basedOn w:val="Heading1"/>
    <w:next w:val="Normal"/>
    <w:uiPriority w:val="39"/>
    <w:semiHidden/>
    <w:unhideWhenUsed/>
    <w:qFormat/>
    <w:rsid w:val="009D24BE"/>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styleId="BalloonText">
    <w:name w:val="Balloon Text"/>
    <w:basedOn w:val="Normal"/>
    <w:link w:val="BalloonTextChar"/>
    <w:uiPriority w:val="99"/>
    <w:semiHidden/>
    <w:unhideWhenUsed/>
    <w:rsid w:val="009D24BE"/>
    <w:rPr>
      <w:rFonts w:ascii="Tahoma" w:hAnsi="Tahoma" w:cs="Tahoma"/>
      <w:sz w:val="16"/>
      <w:szCs w:val="16"/>
    </w:rPr>
  </w:style>
  <w:style w:type="character" w:customStyle="1" w:styleId="BalloonTextChar">
    <w:name w:val="Balloon Text Char"/>
    <w:basedOn w:val="DefaultParagraphFont"/>
    <w:link w:val="BalloonText"/>
    <w:uiPriority w:val="99"/>
    <w:semiHidden/>
    <w:rsid w:val="009D24BE"/>
    <w:rPr>
      <w:rFonts w:ascii="Tahoma" w:eastAsia="Times New Roman" w:hAnsi="Tahoma" w:cs="Tahoma"/>
      <w:kern w:val="0"/>
      <w:sz w:val="16"/>
      <w:szCs w:val="16"/>
      <w:lang w:eastAsia="en-GB"/>
    </w:rPr>
  </w:style>
  <w:style w:type="paragraph" w:styleId="TOC1">
    <w:name w:val="toc 1"/>
    <w:basedOn w:val="Normal"/>
    <w:next w:val="Normal"/>
    <w:autoRedefine/>
    <w:uiPriority w:val="39"/>
    <w:unhideWhenUsed/>
    <w:rsid w:val="009D24BE"/>
    <w:pPr>
      <w:spacing w:after="100"/>
    </w:pPr>
  </w:style>
  <w:style w:type="character" w:styleId="Hyperlink">
    <w:name w:val="Hyperlink"/>
    <w:basedOn w:val="DefaultParagraphFont"/>
    <w:uiPriority w:val="99"/>
    <w:unhideWhenUsed/>
    <w:rsid w:val="009D24BE"/>
    <w:rPr>
      <w:color w:val="0563C1" w:themeColor="hyperlink"/>
      <w:u w:val="single"/>
    </w:rPr>
  </w:style>
  <w:style w:type="character" w:customStyle="1" w:styleId="Heading2Char">
    <w:name w:val="Heading 2 Char"/>
    <w:basedOn w:val="DefaultParagraphFont"/>
    <w:link w:val="Heading2"/>
    <w:uiPriority w:val="9"/>
    <w:rsid w:val="00B250C8"/>
    <w:rPr>
      <w:rFonts w:ascii="Times New Roman" w:eastAsiaTheme="majorEastAsia" w:hAnsi="Times New Roman" w:cstheme="majorBidi"/>
      <w:b/>
      <w:bCs/>
      <w:kern w:val="0"/>
      <w:szCs w:val="26"/>
      <w:lang w:eastAsia="en-GB"/>
    </w:rPr>
  </w:style>
  <w:style w:type="paragraph" w:styleId="TOC2">
    <w:name w:val="toc 2"/>
    <w:basedOn w:val="Normal"/>
    <w:next w:val="Normal"/>
    <w:autoRedefine/>
    <w:uiPriority w:val="39"/>
    <w:unhideWhenUsed/>
    <w:rsid w:val="00286F41"/>
    <w:pPr>
      <w:spacing w:after="100"/>
      <w:ind w:left="240"/>
    </w:pPr>
  </w:style>
  <w:style w:type="character" w:styleId="CommentReference">
    <w:name w:val="annotation reference"/>
    <w:basedOn w:val="DefaultParagraphFont"/>
    <w:uiPriority w:val="99"/>
    <w:semiHidden/>
    <w:unhideWhenUsed/>
    <w:rsid w:val="00286F41"/>
    <w:rPr>
      <w:sz w:val="16"/>
      <w:szCs w:val="16"/>
    </w:rPr>
  </w:style>
  <w:style w:type="paragraph" w:styleId="CommentText">
    <w:name w:val="annotation text"/>
    <w:basedOn w:val="Normal"/>
    <w:link w:val="CommentTextChar"/>
    <w:uiPriority w:val="99"/>
    <w:semiHidden/>
    <w:unhideWhenUsed/>
    <w:rsid w:val="00286F41"/>
    <w:rPr>
      <w:sz w:val="20"/>
      <w:szCs w:val="20"/>
    </w:rPr>
  </w:style>
  <w:style w:type="character" w:customStyle="1" w:styleId="CommentTextChar">
    <w:name w:val="Comment Text Char"/>
    <w:basedOn w:val="DefaultParagraphFont"/>
    <w:link w:val="CommentText"/>
    <w:uiPriority w:val="99"/>
    <w:semiHidden/>
    <w:rsid w:val="00286F41"/>
    <w:rPr>
      <w:rFonts w:ascii="Times New Roman" w:eastAsia="Times New Roman" w:hAnsi="Times New Roman" w:cs="Times New Roman"/>
      <w:kern w:val="0"/>
      <w:sz w:val="20"/>
      <w:szCs w:val="20"/>
      <w:lang w:eastAsia="en-GB"/>
    </w:rPr>
  </w:style>
  <w:style w:type="paragraph" w:styleId="CommentSubject">
    <w:name w:val="annotation subject"/>
    <w:basedOn w:val="CommentText"/>
    <w:next w:val="CommentText"/>
    <w:link w:val="CommentSubjectChar"/>
    <w:uiPriority w:val="99"/>
    <w:semiHidden/>
    <w:unhideWhenUsed/>
    <w:rsid w:val="00286F41"/>
    <w:rPr>
      <w:b/>
      <w:bCs/>
    </w:rPr>
  </w:style>
  <w:style w:type="character" w:customStyle="1" w:styleId="CommentSubjectChar">
    <w:name w:val="Comment Subject Char"/>
    <w:basedOn w:val="CommentTextChar"/>
    <w:link w:val="CommentSubject"/>
    <w:uiPriority w:val="99"/>
    <w:semiHidden/>
    <w:rsid w:val="00286F41"/>
    <w:rPr>
      <w:rFonts w:ascii="Times New Roman" w:eastAsia="Times New Roman" w:hAnsi="Times New Roman" w:cs="Times New Roman"/>
      <w:b/>
      <w:bCs/>
      <w:kern w:val="0"/>
      <w:sz w:val="20"/>
      <w:szCs w:val="20"/>
      <w:lang w:eastAsia="en-GB"/>
    </w:rPr>
  </w:style>
  <w:style w:type="paragraph" w:styleId="NoSpacing">
    <w:name w:val="No Spacing"/>
    <w:uiPriority w:val="1"/>
    <w:qFormat/>
    <w:rsid w:val="00C40407"/>
    <w:pPr>
      <w:jc w:val="both"/>
    </w:pPr>
    <w:rPr>
      <w:rFonts w:ascii="Times New Roman" w:eastAsia="Times New Roman" w:hAnsi="Times New Roman" w:cs="Times New Roman"/>
      <w:kern w:val="0"/>
      <w:sz w:val="22"/>
      <w:lang w:eastAsia="en-GB"/>
    </w:rPr>
  </w:style>
  <w:style w:type="paragraph" w:styleId="Title">
    <w:name w:val="Title"/>
    <w:basedOn w:val="Normal"/>
    <w:next w:val="Normal"/>
    <w:link w:val="TitleChar"/>
    <w:uiPriority w:val="10"/>
    <w:qFormat/>
    <w:rsid w:val="003948F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948F9"/>
    <w:rPr>
      <w:rFonts w:asciiTheme="majorHAnsi" w:eastAsiaTheme="majorEastAsia" w:hAnsiTheme="majorHAnsi" w:cstheme="majorBidi"/>
      <w:color w:val="323E4F" w:themeColor="text2" w:themeShade="BF"/>
      <w:spacing w:val="5"/>
      <w:kern w:val="28"/>
      <w:sz w:val="52"/>
      <w:szCs w:val="5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147">
      <w:bodyDiv w:val="1"/>
      <w:marLeft w:val="0"/>
      <w:marRight w:val="0"/>
      <w:marTop w:val="0"/>
      <w:marBottom w:val="0"/>
      <w:divBdr>
        <w:top w:val="none" w:sz="0" w:space="0" w:color="auto"/>
        <w:left w:val="none" w:sz="0" w:space="0" w:color="auto"/>
        <w:bottom w:val="none" w:sz="0" w:space="0" w:color="auto"/>
        <w:right w:val="none" w:sz="0" w:space="0" w:color="auto"/>
      </w:divBdr>
    </w:div>
    <w:div w:id="41683786">
      <w:bodyDiv w:val="1"/>
      <w:marLeft w:val="0"/>
      <w:marRight w:val="0"/>
      <w:marTop w:val="0"/>
      <w:marBottom w:val="0"/>
      <w:divBdr>
        <w:top w:val="none" w:sz="0" w:space="0" w:color="auto"/>
        <w:left w:val="none" w:sz="0" w:space="0" w:color="auto"/>
        <w:bottom w:val="none" w:sz="0" w:space="0" w:color="auto"/>
        <w:right w:val="none" w:sz="0" w:space="0" w:color="auto"/>
      </w:divBdr>
    </w:div>
    <w:div w:id="48652351">
      <w:bodyDiv w:val="1"/>
      <w:marLeft w:val="0"/>
      <w:marRight w:val="0"/>
      <w:marTop w:val="0"/>
      <w:marBottom w:val="0"/>
      <w:divBdr>
        <w:top w:val="none" w:sz="0" w:space="0" w:color="auto"/>
        <w:left w:val="none" w:sz="0" w:space="0" w:color="auto"/>
        <w:bottom w:val="none" w:sz="0" w:space="0" w:color="auto"/>
        <w:right w:val="none" w:sz="0" w:space="0" w:color="auto"/>
      </w:divBdr>
    </w:div>
    <w:div w:id="58213756">
      <w:bodyDiv w:val="1"/>
      <w:marLeft w:val="0"/>
      <w:marRight w:val="0"/>
      <w:marTop w:val="0"/>
      <w:marBottom w:val="0"/>
      <w:divBdr>
        <w:top w:val="none" w:sz="0" w:space="0" w:color="auto"/>
        <w:left w:val="none" w:sz="0" w:space="0" w:color="auto"/>
        <w:bottom w:val="none" w:sz="0" w:space="0" w:color="auto"/>
        <w:right w:val="none" w:sz="0" w:space="0" w:color="auto"/>
      </w:divBdr>
    </w:div>
    <w:div w:id="71851666">
      <w:bodyDiv w:val="1"/>
      <w:marLeft w:val="0"/>
      <w:marRight w:val="0"/>
      <w:marTop w:val="0"/>
      <w:marBottom w:val="0"/>
      <w:divBdr>
        <w:top w:val="none" w:sz="0" w:space="0" w:color="auto"/>
        <w:left w:val="none" w:sz="0" w:space="0" w:color="auto"/>
        <w:bottom w:val="none" w:sz="0" w:space="0" w:color="auto"/>
        <w:right w:val="none" w:sz="0" w:space="0" w:color="auto"/>
      </w:divBdr>
    </w:div>
    <w:div w:id="81269027">
      <w:bodyDiv w:val="1"/>
      <w:marLeft w:val="0"/>
      <w:marRight w:val="0"/>
      <w:marTop w:val="0"/>
      <w:marBottom w:val="0"/>
      <w:divBdr>
        <w:top w:val="none" w:sz="0" w:space="0" w:color="auto"/>
        <w:left w:val="none" w:sz="0" w:space="0" w:color="auto"/>
        <w:bottom w:val="none" w:sz="0" w:space="0" w:color="auto"/>
        <w:right w:val="none" w:sz="0" w:space="0" w:color="auto"/>
      </w:divBdr>
    </w:div>
    <w:div w:id="82382441">
      <w:bodyDiv w:val="1"/>
      <w:marLeft w:val="0"/>
      <w:marRight w:val="0"/>
      <w:marTop w:val="0"/>
      <w:marBottom w:val="0"/>
      <w:divBdr>
        <w:top w:val="none" w:sz="0" w:space="0" w:color="auto"/>
        <w:left w:val="none" w:sz="0" w:space="0" w:color="auto"/>
        <w:bottom w:val="none" w:sz="0" w:space="0" w:color="auto"/>
        <w:right w:val="none" w:sz="0" w:space="0" w:color="auto"/>
      </w:divBdr>
    </w:div>
    <w:div w:id="90199947">
      <w:bodyDiv w:val="1"/>
      <w:marLeft w:val="0"/>
      <w:marRight w:val="0"/>
      <w:marTop w:val="0"/>
      <w:marBottom w:val="0"/>
      <w:divBdr>
        <w:top w:val="none" w:sz="0" w:space="0" w:color="auto"/>
        <w:left w:val="none" w:sz="0" w:space="0" w:color="auto"/>
        <w:bottom w:val="none" w:sz="0" w:space="0" w:color="auto"/>
        <w:right w:val="none" w:sz="0" w:space="0" w:color="auto"/>
      </w:divBdr>
    </w:div>
    <w:div w:id="112865689">
      <w:bodyDiv w:val="1"/>
      <w:marLeft w:val="0"/>
      <w:marRight w:val="0"/>
      <w:marTop w:val="0"/>
      <w:marBottom w:val="0"/>
      <w:divBdr>
        <w:top w:val="none" w:sz="0" w:space="0" w:color="auto"/>
        <w:left w:val="none" w:sz="0" w:space="0" w:color="auto"/>
        <w:bottom w:val="none" w:sz="0" w:space="0" w:color="auto"/>
        <w:right w:val="none" w:sz="0" w:space="0" w:color="auto"/>
      </w:divBdr>
    </w:div>
    <w:div w:id="134686684">
      <w:bodyDiv w:val="1"/>
      <w:marLeft w:val="0"/>
      <w:marRight w:val="0"/>
      <w:marTop w:val="0"/>
      <w:marBottom w:val="0"/>
      <w:divBdr>
        <w:top w:val="none" w:sz="0" w:space="0" w:color="auto"/>
        <w:left w:val="none" w:sz="0" w:space="0" w:color="auto"/>
        <w:bottom w:val="none" w:sz="0" w:space="0" w:color="auto"/>
        <w:right w:val="none" w:sz="0" w:space="0" w:color="auto"/>
      </w:divBdr>
    </w:div>
    <w:div w:id="198780717">
      <w:bodyDiv w:val="1"/>
      <w:marLeft w:val="0"/>
      <w:marRight w:val="0"/>
      <w:marTop w:val="0"/>
      <w:marBottom w:val="0"/>
      <w:divBdr>
        <w:top w:val="none" w:sz="0" w:space="0" w:color="auto"/>
        <w:left w:val="none" w:sz="0" w:space="0" w:color="auto"/>
        <w:bottom w:val="none" w:sz="0" w:space="0" w:color="auto"/>
        <w:right w:val="none" w:sz="0" w:space="0" w:color="auto"/>
      </w:divBdr>
    </w:div>
    <w:div w:id="202912245">
      <w:bodyDiv w:val="1"/>
      <w:marLeft w:val="0"/>
      <w:marRight w:val="0"/>
      <w:marTop w:val="0"/>
      <w:marBottom w:val="0"/>
      <w:divBdr>
        <w:top w:val="none" w:sz="0" w:space="0" w:color="auto"/>
        <w:left w:val="none" w:sz="0" w:space="0" w:color="auto"/>
        <w:bottom w:val="none" w:sz="0" w:space="0" w:color="auto"/>
        <w:right w:val="none" w:sz="0" w:space="0" w:color="auto"/>
      </w:divBdr>
    </w:div>
    <w:div w:id="203713688">
      <w:bodyDiv w:val="1"/>
      <w:marLeft w:val="0"/>
      <w:marRight w:val="0"/>
      <w:marTop w:val="0"/>
      <w:marBottom w:val="0"/>
      <w:divBdr>
        <w:top w:val="none" w:sz="0" w:space="0" w:color="auto"/>
        <w:left w:val="none" w:sz="0" w:space="0" w:color="auto"/>
        <w:bottom w:val="none" w:sz="0" w:space="0" w:color="auto"/>
        <w:right w:val="none" w:sz="0" w:space="0" w:color="auto"/>
      </w:divBdr>
    </w:div>
    <w:div w:id="280692422">
      <w:bodyDiv w:val="1"/>
      <w:marLeft w:val="0"/>
      <w:marRight w:val="0"/>
      <w:marTop w:val="0"/>
      <w:marBottom w:val="0"/>
      <w:divBdr>
        <w:top w:val="none" w:sz="0" w:space="0" w:color="auto"/>
        <w:left w:val="none" w:sz="0" w:space="0" w:color="auto"/>
        <w:bottom w:val="none" w:sz="0" w:space="0" w:color="auto"/>
        <w:right w:val="none" w:sz="0" w:space="0" w:color="auto"/>
      </w:divBdr>
    </w:div>
    <w:div w:id="285507500">
      <w:bodyDiv w:val="1"/>
      <w:marLeft w:val="0"/>
      <w:marRight w:val="0"/>
      <w:marTop w:val="0"/>
      <w:marBottom w:val="0"/>
      <w:divBdr>
        <w:top w:val="none" w:sz="0" w:space="0" w:color="auto"/>
        <w:left w:val="none" w:sz="0" w:space="0" w:color="auto"/>
        <w:bottom w:val="none" w:sz="0" w:space="0" w:color="auto"/>
        <w:right w:val="none" w:sz="0" w:space="0" w:color="auto"/>
      </w:divBdr>
    </w:div>
    <w:div w:id="343944003">
      <w:bodyDiv w:val="1"/>
      <w:marLeft w:val="0"/>
      <w:marRight w:val="0"/>
      <w:marTop w:val="0"/>
      <w:marBottom w:val="0"/>
      <w:divBdr>
        <w:top w:val="none" w:sz="0" w:space="0" w:color="auto"/>
        <w:left w:val="none" w:sz="0" w:space="0" w:color="auto"/>
        <w:bottom w:val="none" w:sz="0" w:space="0" w:color="auto"/>
        <w:right w:val="none" w:sz="0" w:space="0" w:color="auto"/>
      </w:divBdr>
    </w:div>
    <w:div w:id="428088775">
      <w:bodyDiv w:val="1"/>
      <w:marLeft w:val="0"/>
      <w:marRight w:val="0"/>
      <w:marTop w:val="0"/>
      <w:marBottom w:val="0"/>
      <w:divBdr>
        <w:top w:val="none" w:sz="0" w:space="0" w:color="auto"/>
        <w:left w:val="none" w:sz="0" w:space="0" w:color="auto"/>
        <w:bottom w:val="none" w:sz="0" w:space="0" w:color="auto"/>
        <w:right w:val="none" w:sz="0" w:space="0" w:color="auto"/>
      </w:divBdr>
    </w:div>
    <w:div w:id="474184347">
      <w:bodyDiv w:val="1"/>
      <w:marLeft w:val="0"/>
      <w:marRight w:val="0"/>
      <w:marTop w:val="0"/>
      <w:marBottom w:val="0"/>
      <w:divBdr>
        <w:top w:val="none" w:sz="0" w:space="0" w:color="auto"/>
        <w:left w:val="none" w:sz="0" w:space="0" w:color="auto"/>
        <w:bottom w:val="none" w:sz="0" w:space="0" w:color="auto"/>
        <w:right w:val="none" w:sz="0" w:space="0" w:color="auto"/>
      </w:divBdr>
    </w:div>
    <w:div w:id="518280953">
      <w:bodyDiv w:val="1"/>
      <w:marLeft w:val="0"/>
      <w:marRight w:val="0"/>
      <w:marTop w:val="0"/>
      <w:marBottom w:val="0"/>
      <w:divBdr>
        <w:top w:val="none" w:sz="0" w:space="0" w:color="auto"/>
        <w:left w:val="none" w:sz="0" w:space="0" w:color="auto"/>
        <w:bottom w:val="none" w:sz="0" w:space="0" w:color="auto"/>
        <w:right w:val="none" w:sz="0" w:space="0" w:color="auto"/>
      </w:divBdr>
    </w:div>
    <w:div w:id="590285915">
      <w:bodyDiv w:val="1"/>
      <w:marLeft w:val="0"/>
      <w:marRight w:val="0"/>
      <w:marTop w:val="0"/>
      <w:marBottom w:val="0"/>
      <w:divBdr>
        <w:top w:val="none" w:sz="0" w:space="0" w:color="auto"/>
        <w:left w:val="none" w:sz="0" w:space="0" w:color="auto"/>
        <w:bottom w:val="none" w:sz="0" w:space="0" w:color="auto"/>
        <w:right w:val="none" w:sz="0" w:space="0" w:color="auto"/>
      </w:divBdr>
    </w:div>
    <w:div w:id="627275395">
      <w:bodyDiv w:val="1"/>
      <w:marLeft w:val="0"/>
      <w:marRight w:val="0"/>
      <w:marTop w:val="0"/>
      <w:marBottom w:val="0"/>
      <w:divBdr>
        <w:top w:val="none" w:sz="0" w:space="0" w:color="auto"/>
        <w:left w:val="none" w:sz="0" w:space="0" w:color="auto"/>
        <w:bottom w:val="none" w:sz="0" w:space="0" w:color="auto"/>
        <w:right w:val="none" w:sz="0" w:space="0" w:color="auto"/>
      </w:divBdr>
    </w:div>
    <w:div w:id="635112231">
      <w:bodyDiv w:val="1"/>
      <w:marLeft w:val="0"/>
      <w:marRight w:val="0"/>
      <w:marTop w:val="0"/>
      <w:marBottom w:val="0"/>
      <w:divBdr>
        <w:top w:val="none" w:sz="0" w:space="0" w:color="auto"/>
        <w:left w:val="none" w:sz="0" w:space="0" w:color="auto"/>
        <w:bottom w:val="none" w:sz="0" w:space="0" w:color="auto"/>
        <w:right w:val="none" w:sz="0" w:space="0" w:color="auto"/>
      </w:divBdr>
    </w:div>
    <w:div w:id="668215275">
      <w:bodyDiv w:val="1"/>
      <w:marLeft w:val="0"/>
      <w:marRight w:val="0"/>
      <w:marTop w:val="0"/>
      <w:marBottom w:val="0"/>
      <w:divBdr>
        <w:top w:val="none" w:sz="0" w:space="0" w:color="auto"/>
        <w:left w:val="none" w:sz="0" w:space="0" w:color="auto"/>
        <w:bottom w:val="none" w:sz="0" w:space="0" w:color="auto"/>
        <w:right w:val="none" w:sz="0" w:space="0" w:color="auto"/>
      </w:divBdr>
    </w:div>
    <w:div w:id="715083422">
      <w:bodyDiv w:val="1"/>
      <w:marLeft w:val="0"/>
      <w:marRight w:val="0"/>
      <w:marTop w:val="0"/>
      <w:marBottom w:val="0"/>
      <w:divBdr>
        <w:top w:val="none" w:sz="0" w:space="0" w:color="auto"/>
        <w:left w:val="none" w:sz="0" w:space="0" w:color="auto"/>
        <w:bottom w:val="none" w:sz="0" w:space="0" w:color="auto"/>
        <w:right w:val="none" w:sz="0" w:space="0" w:color="auto"/>
      </w:divBdr>
    </w:div>
    <w:div w:id="740181595">
      <w:bodyDiv w:val="1"/>
      <w:marLeft w:val="0"/>
      <w:marRight w:val="0"/>
      <w:marTop w:val="0"/>
      <w:marBottom w:val="0"/>
      <w:divBdr>
        <w:top w:val="none" w:sz="0" w:space="0" w:color="auto"/>
        <w:left w:val="none" w:sz="0" w:space="0" w:color="auto"/>
        <w:bottom w:val="none" w:sz="0" w:space="0" w:color="auto"/>
        <w:right w:val="none" w:sz="0" w:space="0" w:color="auto"/>
      </w:divBdr>
    </w:div>
    <w:div w:id="756562557">
      <w:bodyDiv w:val="1"/>
      <w:marLeft w:val="0"/>
      <w:marRight w:val="0"/>
      <w:marTop w:val="0"/>
      <w:marBottom w:val="0"/>
      <w:divBdr>
        <w:top w:val="none" w:sz="0" w:space="0" w:color="auto"/>
        <w:left w:val="none" w:sz="0" w:space="0" w:color="auto"/>
        <w:bottom w:val="none" w:sz="0" w:space="0" w:color="auto"/>
        <w:right w:val="none" w:sz="0" w:space="0" w:color="auto"/>
      </w:divBdr>
    </w:div>
    <w:div w:id="759066434">
      <w:bodyDiv w:val="1"/>
      <w:marLeft w:val="0"/>
      <w:marRight w:val="0"/>
      <w:marTop w:val="0"/>
      <w:marBottom w:val="0"/>
      <w:divBdr>
        <w:top w:val="none" w:sz="0" w:space="0" w:color="auto"/>
        <w:left w:val="none" w:sz="0" w:space="0" w:color="auto"/>
        <w:bottom w:val="none" w:sz="0" w:space="0" w:color="auto"/>
        <w:right w:val="none" w:sz="0" w:space="0" w:color="auto"/>
      </w:divBdr>
      <w:divsChild>
        <w:div w:id="1236626275">
          <w:marLeft w:val="0"/>
          <w:marRight w:val="0"/>
          <w:marTop w:val="0"/>
          <w:marBottom w:val="0"/>
          <w:divBdr>
            <w:top w:val="none" w:sz="0" w:space="0" w:color="auto"/>
            <w:left w:val="none" w:sz="0" w:space="0" w:color="auto"/>
            <w:bottom w:val="none" w:sz="0" w:space="0" w:color="auto"/>
            <w:right w:val="none" w:sz="0" w:space="0" w:color="auto"/>
          </w:divBdr>
        </w:div>
      </w:divsChild>
    </w:div>
    <w:div w:id="762920137">
      <w:bodyDiv w:val="1"/>
      <w:marLeft w:val="0"/>
      <w:marRight w:val="0"/>
      <w:marTop w:val="0"/>
      <w:marBottom w:val="0"/>
      <w:divBdr>
        <w:top w:val="none" w:sz="0" w:space="0" w:color="auto"/>
        <w:left w:val="none" w:sz="0" w:space="0" w:color="auto"/>
        <w:bottom w:val="none" w:sz="0" w:space="0" w:color="auto"/>
        <w:right w:val="none" w:sz="0" w:space="0" w:color="auto"/>
      </w:divBdr>
    </w:div>
    <w:div w:id="786117697">
      <w:bodyDiv w:val="1"/>
      <w:marLeft w:val="0"/>
      <w:marRight w:val="0"/>
      <w:marTop w:val="0"/>
      <w:marBottom w:val="0"/>
      <w:divBdr>
        <w:top w:val="none" w:sz="0" w:space="0" w:color="auto"/>
        <w:left w:val="none" w:sz="0" w:space="0" w:color="auto"/>
        <w:bottom w:val="none" w:sz="0" w:space="0" w:color="auto"/>
        <w:right w:val="none" w:sz="0" w:space="0" w:color="auto"/>
      </w:divBdr>
    </w:div>
    <w:div w:id="793668770">
      <w:bodyDiv w:val="1"/>
      <w:marLeft w:val="0"/>
      <w:marRight w:val="0"/>
      <w:marTop w:val="0"/>
      <w:marBottom w:val="0"/>
      <w:divBdr>
        <w:top w:val="none" w:sz="0" w:space="0" w:color="auto"/>
        <w:left w:val="none" w:sz="0" w:space="0" w:color="auto"/>
        <w:bottom w:val="none" w:sz="0" w:space="0" w:color="auto"/>
        <w:right w:val="none" w:sz="0" w:space="0" w:color="auto"/>
      </w:divBdr>
      <w:divsChild>
        <w:div w:id="351764387">
          <w:marLeft w:val="0"/>
          <w:marRight w:val="0"/>
          <w:marTop w:val="0"/>
          <w:marBottom w:val="60"/>
          <w:divBdr>
            <w:top w:val="none" w:sz="0" w:space="0" w:color="auto"/>
            <w:left w:val="none" w:sz="0" w:space="0" w:color="auto"/>
            <w:bottom w:val="none" w:sz="0" w:space="0" w:color="auto"/>
            <w:right w:val="none" w:sz="0" w:space="0" w:color="auto"/>
          </w:divBdr>
          <w:divsChild>
            <w:div w:id="496267793">
              <w:marLeft w:val="0"/>
              <w:marRight w:val="0"/>
              <w:marTop w:val="0"/>
              <w:marBottom w:val="0"/>
              <w:divBdr>
                <w:top w:val="none" w:sz="0" w:space="0" w:color="auto"/>
                <w:left w:val="none" w:sz="0" w:space="0" w:color="auto"/>
                <w:bottom w:val="none" w:sz="0" w:space="0" w:color="auto"/>
                <w:right w:val="none" w:sz="0" w:space="0" w:color="auto"/>
              </w:divBdr>
            </w:div>
          </w:divsChild>
        </w:div>
        <w:div w:id="1724985232">
          <w:marLeft w:val="0"/>
          <w:marRight w:val="0"/>
          <w:marTop w:val="0"/>
          <w:marBottom w:val="60"/>
          <w:divBdr>
            <w:top w:val="none" w:sz="0" w:space="0" w:color="auto"/>
            <w:left w:val="none" w:sz="0" w:space="0" w:color="auto"/>
            <w:bottom w:val="none" w:sz="0" w:space="0" w:color="auto"/>
            <w:right w:val="none" w:sz="0" w:space="0" w:color="auto"/>
          </w:divBdr>
          <w:divsChild>
            <w:div w:id="12325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82813">
      <w:bodyDiv w:val="1"/>
      <w:marLeft w:val="0"/>
      <w:marRight w:val="0"/>
      <w:marTop w:val="0"/>
      <w:marBottom w:val="0"/>
      <w:divBdr>
        <w:top w:val="none" w:sz="0" w:space="0" w:color="auto"/>
        <w:left w:val="none" w:sz="0" w:space="0" w:color="auto"/>
        <w:bottom w:val="none" w:sz="0" w:space="0" w:color="auto"/>
        <w:right w:val="none" w:sz="0" w:space="0" w:color="auto"/>
      </w:divBdr>
    </w:div>
    <w:div w:id="838734424">
      <w:bodyDiv w:val="1"/>
      <w:marLeft w:val="0"/>
      <w:marRight w:val="0"/>
      <w:marTop w:val="0"/>
      <w:marBottom w:val="0"/>
      <w:divBdr>
        <w:top w:val="none" w:sz="0" w:space="0" w:color="auto"/>
        <w:left w:val="none" w:sz="0" w:space="0" w:color="auto"/>
        <w:bottom w:val="none" w:sz="0" w:space="0" w:color="auto"/>
        <w:right w:val="none" w:sz="0" w:space="0" w:color="auto"/>
      </w:divBdr>
    </w:div>
    <w:div w:id="848445264">
      <w:bodyDiv w:val="1"/>
      <w:marLeft w:val="0"/>
      <w:marRight w:val="0"/>
      <w:marTop w:val="0"/>
      <w:marBottom w:val="0"/>
      <w:divBdr>
        <w:top w:val="none" w:sz="0" w:space="0" w:color="auto"/>
        <w:left w:val="none" w:sz="0" w:space="0" w:color="auto"/>
        <w:bottom w:val="none" w:sz="0" w:space="0" w:color="auto"/>
        <w:right w:val="none" w:sz="0" w:space="0" w:color="auto"/>
      </w:divBdr>
    </w:div>
    <w:div w:id="852568140">
      <w:bodyDiv w:val="1"/>
      <w:marLeft w:val="0"/>
      <w:marRight w:val="0"/>
      <w:marTop w:val="0"/>
      <w:marBottom w:val="0"/>
      <w:divBdr>
        <w:top w:val="none" w:sz="0" w:space="0" w:color="auto"/>
        <w:left w:val="none" w:sz="0" w:space="0" w:color="auto"/>
        <w:bottom w:val="none" w:sz="0" w:space="0" w:color="auto"/>
        <w:right w:val="none" w:sz="0" w:space="0" w:color="auto"/>
      </w:divBdr>
    </w:div>
    <w:div w:id="857427289">
      <w:bodyDiv w:val="1"/>
      <w:marLeft w:val="0"/>
      <w:marRight w:val="0"/>
      <w:marTop w:val="0"/>
      <w:marBottom w:val="0"/>
      <w:divBdr>
        <w:top w:val="none" w:sz="0" w:space="0" w:color="auto"/>
        <w:left w:val="none" w:sz="0" w:space="0" w:color="auto"/>
        <w:bottom w:val="none" w:sz="0" w:space="0" w:color="auto"/>
        <w:right w:val="none" w:sz="0" w:space="0" w:color="auto"/>
      </w:divBdr>
    </w:div>
    <w:div w:id="912810341">
      <w:bodyDiv w:val="1"/>
      <w:marLeft w:val="0"/>
      <w:marRight w:val="0"/>
      <w:marTop w:val="0"/>
      <w:marBottom w:val="0"/>
      <w:divBdr>
        <w:top w:val="none" w:sz="0" w:space="0" w:color="auto"/>
        <w:left w:val="none" w:sz="0" w:space="0" w:color="auto"/>
        <w:bottom w:val="none" w:sz="0" w:space="0" w:color="auto"/>
        <w:right w:val="none" w:sz="0" w:space="0" w:color="auto"/>
      </w:divBdr>
    </w:div>
    <w:div w:id="937257607">
      <w:bodyDiv w:val="1"/>
      <w:marLeft w:val="0"/>
      <w:marRight w:val="0"/>
      <w:marTop w:val="0"/>
      <w:marBottom w:val="0"/>
      <w:divBdr>
        <w:top w:val="none" w:sz="0" w:space="0" w:color="auto"/>
        <w:left w:val="none" w:sz="0" w:space="0" w:color="auto"/>
        <w:bottom w:val="none" w:sz="0" w:space="0" w:color="auto"/>
        <w:right w:val="none" w:sz="0" w:space="0" w:color="auto"/>
      </w:divBdr>
    </w:div>
    <w:div w:id="957302124">
      <w:bodyDiv w:val="1"/>
      <w:marLeft w:val="0"/>
      <w:marRight w:val="0"/>
      <w:marTop w:val="0"/>
      <w:marBottom w:val="0"/>
      <w:divBdr>
        <w:top w:val="none" w:sz="0" w:space="0" w:color="auto"/>
        <w:left w:val="none" w:sz="0" w:space="0" w:color="auto"/>
        <w:bottom w:val="none" w:sz="0" w:space="0" w:color="auto"/>
        <w:right w:val="none" w:sz="0" w:space="0" w:color="auto"/>
      </w:divBdr>
    </w:div>
    <w:div w:id="957371809">
      <w:bodyDiv w:val="1"/>
      <w:marLeft w:val="0"/>
      <w:marRight w:val="0"/>
      <w:marTop w:val="0"/>
      <w:marBottom w:val="0"/>
      <w:divBdr>
        <w:top w:val="none" w:sz="0" w:space="0" w:color="auto"/>
        <w:left w:val="none" w:sz="0" w:space="0" w:color="auto"/>
        <w:bottom w:val="none" w:sz="0" w:space="0" w:color="auto"/>
        <w:right w:val="none" w:sz="0" w:space="0" w:color="auto"/>
      </w:divBdr>
    </w:div>
    <w:div w:id="958074729">
      <w:bodyDiv w:val="1"/>
      <w:marLeft w:val="0"/>
      <w:marRight w:val="0"/>
      <w:marTop w:val="0"/>
      <w:marBottom w:val="0"/>
      <w:divBdr>
        <w:top w:val="none" w:sz="0" w:space="0" w:color="auto"/>
        <w:left w:val="none" w:sz="0" w:space="0" w:color="auto"/>
        <w:bottom w:val="none" w:sz="0" w:space="0" w:color="auto"/>
        <w:right w:val="none" w:sz="0" w:space="0" w:color="auto"/>
      </w:divBdr>
    </w:div>
    <w:div w:id="963728023">
      <w:bodyDiv w:val="1"/>
      <w:marLeft w:val="0"/>
      <w:marRight w:val="0"/>
      <w:marTop w:val="0"/>
      <w:marBottom w:val="0"/>
      <w:divBdr>
        <w:top w:val="none" w:sz="0" w:space="0" w:color="auto"/>
        <w:left w:val="none" w:sz="0" w:space="0" w:color="auto"/>
        <w:bottom w:val="none" w:sz="0" w:space="0" w:color="auto"/>
        <w:right w:val="none" w:sz="0" w:space="0" w:color="auto"/>
      </w:divBdr>
    </w:div>
    <w:div w:id="989407871">
      <w:bodyDiv w:val="1"/>
      <w:marLeft w:val="0"/>
      <w:marRight w:val="0"/>
      <w:marTop w:val="0"/>
      <w:marBottom w:val="0"/>
      <w:divBdr>
        <w:top w:val="none" w:sz="0" w:space="0" w:color="auto"/>
        <w:left w:val="none" w:sz="0" w:space="0" w:color="auto"/>
        <w:bottom w:val="none" w:sz="0" w:space="0" w:color="auto"/>
        <w:right w:val="none" w:sz="0" w:space="0" w:color="auto"/>
      </w:divBdr>
    </w:div>
    <w:div w:id="1004018651">
      <w:bodyDiv w:val="1"/>
      <w:marLeft w:val="0"/>
      <w:marRight w:val="0"/>
      <w:marTop w:val="0"/>
      <w:marBottom w:val="0"/>
      <w:divBdr>
        <w:top w:val="none" w:sz="0" w:space="0" w:color="auto"/>
        <w:left w:val="none" w:sz="0" w:space="0" w:color="auto"/>
        <w:bottom w:val="none" w:sz="0" w:space="0" w:color="auto"/>
        <w:right w:val="none" w:sz="0" w:space="0" w:color="auto"/>
      </w:divBdr>
    </w:div>
    <w:div w:id="1020156839">
      <w:bodyDiv w:val="1"/>
      <w:marLeft w:val="0"/>
      <w:marRight w:val="0"/>
      <w:marTop w:val="0"/>
      <w:marBottom w:val="0"/>
      <w:divBdr>
        <w:top w:val="none" w:sz="0" w:space="0" w:color="auto"/>
        <w:left w:val="none" w:sz="0" w:space="0" w:color="auto"/>
        <w:bottom w:val="none" w:sz="0" w:space="0" w:color="auto"/>
        <w:right w:val="none" w:sz="0" w:space="0" w:color="auto"/>
      </w:divBdr>
    </w:div>
    <w:div w:id="1039940893">
      <w:bodyDiv w:val="1"/>
      <w:marLeft w:val="0"/>
      <w:marRight w:val="0"/>
      <w:marTop w:val="0"/>
      <w:marBottom w:val="0"/>
      <w:divBdr>
        <w:top w:val="none" w:sz="0" w:space="0" w:color="auto"/>
        <w:left w:val="none" w:sz="0" w:space="0" w:color="auto"/>
        <w:bottom w:val="none" w:sz="0" w:space="0" w:color="auto"/>
        <w:right w:val="none" w:sz="0" w:space="0" w:color="auto"/>
      </w:divBdr>
    </w:div>
    <w:div w:id="1055349040">
      <w:bodyDiv w:val="1"/>
      <w:marLeft w:val="0"/>
      <w:marRight w:val="0"/>
      <w:marTop w:val="0"/>
      <w:marBottom w:val="0"/>
      <w:divBdr>
        <w:top w:val="none" w:sz="0" w:space="0" w:color="auto"/>
        <w:left w:val="none" w:sz="0" w:space="0" w:color="auto"/>
        <w:bottom w:val="none" w:sz="0" w:space="0" w:color="auto"/>
        <w:right w:val="none" w:sz="0" w:space="0" w:color="auto"/>
      </w:divBdr>
    </w:div>
    <w:div w:id="1074934991">
      <w:bodyDiv w:val="1"/>
      <w:marLeft w:val="0"/>
      <w:marRight w:val="0"/>
      <w:marTop w:val="0"/>
      <w:marBottom w:val="0"/>
      <w:divBdr>
        <w:top w:val="none" w:sz="0" w:space="0" w:color="auto"/>
        <w:left w:val="none" w:sz="0" w:space="0" w:color="auto"/>
        <w:bottom w:val="none" w:sz="0" w:space="0" w:color="auto"/>
        <w:right w:val="none" w:sz="0" w:space="0" w:color="auto"/>
      </w:divBdr>
    </w:div>
    <w:div w:id="1118717363">
      <w:bodyDiv w:val="1"/>
      <w:marLeft w:val="0"/>
      <w:marRight w:val="0"/>
      <w:marTop w:val="0"/>
      <w:marBottom w:val="0"/>
      <w:divBdr>
        <w:top w:val="none" w:sz="0" w:space="0" w:color="auto"/>
        <w:left w:val="none" w:sz="0" w:space="0" w:color="auto"/>
        <w:bottom w:val="none" w:sz="0" w:space="0" w:color="auto"/>
        <w:right w:val="none" w:sz="0" w:space="0" w:color="auto"/>
      </w:divBdr>
    </w:div>
    <w:div w:id="1131552329">
      <w:bodyDiv w:val="1"/>
      <w:marLeft w:val="0"/>
      <w:marRight w:val="0"/>
      <w:marTop w:val="0"/>
      <w:marBottom w:val="0"/>
      <w:divBdr>
        <w:top w:val="none" w:sz="0" w:space="0" w:color="auto"/>
        <w:left w:val="none" w:sz="0" w:space="0" w:color="auto"/>
        <w:bottom w:val="none" w:sz="0" w:space="0" w:color="auto"/>
        <w:right w:val="none" w:sz="0" w:space="0" w:color="auto"/>
      </w:divBdr>
    </w:div>
    <w:div w:id="1147043034">
      <w:bodyDiv w:val="1"/>
      <w:marLeft w:val="0"/>
      <w:marRight w:val="0"/>
      <w:marTop w:val="0"/>
      <w:marBottom w:val="0"/>
      <w:divBdr>
        <w:top w:val="none" w:sz="0" w:space="0" w:color="auto"/>
        <w:left w:val="none" w:sz="0" w:space="0" w:color="auto"/>
        <w:bottom w:val="none" w:sz="0" w:space="0" w:color="auto"/>
        <w:right w:val="none" w:sz="0" w:space="0" w:color="auto"/>
      </w:divBdr>
    </w:div>
    <w:div w:id="1148395618">
      <w:bodyDiv w:val="1"/>
      <w:marLeft w:val="0"/>
      <w:marRight w:val="0"/>
      <w:marTop w:val="0"/>
      <w:marBottom w:val="0"/>
      <w:divBdr>
        <w:top w:val="none" w:sz="0" w:space="0" w:color="auto"/>
        <w:left w:val="none" w:sz="0" w:space="0" w:color="auto"/>
        <w:bottom w:val="none" w:sz="0" w:space="0" w:color="auto"/>
        <w:right w:val="none" w:sz="0" w:space="0" w:color="auto"/>
      </w:divBdr>
    </w:div>
    <w:div w:id="1187403348">
      <w:bodyDiv w:val="1"/>
      <w:marLeft w:val="0"/>
      <w:marRight w:val="0"/>
      <w:marTop w:val="0"/>
      <w:marBottom w:val="0"/>
      <w:divBdr>
        <w:top w:val="none" w:sz="0" w:space="0" w:color="auto"/>
        <w:left w:val="none" w:sz="0" w:space="0" w:color="auto"/>
        <w:bottom w:val="none" w:sz="0" w:space="0" w:color="auto"/>
        <w:right w:val="none" w:sz="0" w:space="0" w:color="auto"/>
      </w:divBdr>
    </w:div>
    <w:div w:id="1218127942">
      <w:bodyDiv w:val="1"/>
      <w:marLeft w:val="0"/>
      <w:marRight w:val="0"/>
      <w:marTop w:val="0"/>
      <w:marBottom w:val="0"/>
      <w:divBdr>
        <w:top w:val="none" w:sz="0" w:space="0" w:color="auto"/>
        <w:left w:val="none" w:sz="0" w:space="0" w:color="auto"/>
        <w:bottom w:val="none" w:sz="0" w:space="0" w:color="auto"/>
        <w:right w:val="none" w:sz="0" w:space="0" w:color="auto"/>
      </w:divBdr>
    </w:div>
    <w:div w:id="1220676023">
      <w:bodyDiv w:val="1"/>
      <w:marLeft w:val="0"/>
      <w:marRight w:val="0"/>
      <w:marTop w:val="0"/>
      <w:marBottom w:val="0"/>
      <w:divBdr>
        <w:top w:val="none" w:sz="0" w:space="0" w:color="auto"/>
        <w:left w:val="none" w:sz="0" w:space="0" w:color="auto"/>
        <w:bottom w:val="none" w:sz="0" w:space="0" w:color="auto"/>
        <w:right w:val="none" w:sz="0" w:space="0" w:color="auto"/>
      </w:divBdr>
    </w:div>
    <w:div w:id="1223637058">
      <w:bodyDiv w:val="1"/>
      <w:marLeft w:val="0"/>
      <w:marRight w:val="0"/>
      <w:marTop w:val="0"/>
      <w:marBottom w:val="0"/>
      <w:divBdr>
        <w:top w:val="none" w:sz="0" w:space="0" w:color="auto"/>
        <w:left w:val="none" w:sz="0" w:space="0" w:color="auto"/>
        <w:bottom w:val="none" w:sz="0" w:space="0" w:color="auto"/>
        <w:right w:val="none" w:sz="0" w:space="0" w:color="auto"/>
      </w:divBdr>
    </w:div>
    <w:div w:id="1257833561">
      <w:bodyDiv w:val="1"/>
      <w:marLeft w:val="0"/>
      <w:marRight w:val="0"/>
      <w:marTop w:val="0"/>
      <w:marBottom w:val="0"/>
      <w:divBdr>
        <w:top w:val="none" w:sz="0" w:space="0" w:color="auto"/>
        <w:left w:val="none" w:sz="0" w:space="0" w:color="auto"/>
        <w:bottom w:val="none" w:sz="0" w:space="0" w:color="auto"/>
        <w:right w:val="none" w:sz="0" w:space="0" w:color="auto"/>
      </w:divBdr>
    </w:div>
    <w:div w:id="1262688096">
      <w:bodyDiv w:val="1"/>
      <w:marLeft w:val="0"/>
      <w:marRight w:val="0"/>
      <w:marTop w:val="0"/>
      <w:marBottom w:val="0"/>
      <w:divBdr>
        <w:top w:val="none" w:sz="0" w:space="0" w:color="auto"/>
        <w:left w:val="none" w:sz="0" w:space="0" w:color="auto"/>
        <w:bottom w:val="none" w:sz="0" w:space="0" w:color="auto"/>
        <w:right w:val="none" w:sz="0" w:space="0" w:color="auto"/>
      </w:divBdr>
    </w:div>
    <w:div w:id="1264800107">
      <w:bodyDiv w:val="1"/>
      <w:marLeft w:val="0"/>
      <w:marRight w:val="0"/>
      <w:marTop w:val="0"/>
      <w:marBottom w:val="0"/>
      <w:divBdr>
        <w:top w:val="none" w:sz="0" w:space="0" w:color="auto"/>
        <w:left w:val="none" w:sz="0" w:space="0" w:color="auto"/>
        <w:bottom w:val="none" w:sz="0" w:space="0" w:color="auto"/>
        <w:right w:val="none" w:sz="0" w:space="0" w:color="auto"/>
      </w:divBdr>
    </w:div>
    <w:div w:id="1270813241">
      <w:bodyDiv w:val="1"/>
      <w:marLeft w:val="0"/>
      <w:marRight w:val="0"/>
      <w:marTop w:val="0"/>
      <w:marBottom w:val="0"/>
      <w:divBdr>
        <w:top w:val="none" w:sz="0" w:space="0" w:color="auto"/>
        <w:left w:val="none" w:sz="0" w:space="0" w:color="auto"/>
        <w:bottom w:val="none" w:sz="0" w:space="0" w:color="auto"/>
        <w:right w:val="none" w:sz="0" w:space="0" w:color="auto"/>
      </w:divBdr>
    </w:div>
    <w:div w:id="1277832174">
      <w:bodyDiv w:val="1"/>
      <w:marLeft w:val="0"/>
      <w:marRight w:val="0"/>
      <w:marTop w:val="0"/>
      <w:marBottom w:val="0"/>
      <w:divBdr>
        <w:top w:val="none" w:sz="0" w:space="0" w:color="auto"/>
        <w:left w:val="none" w:sz="0" w:space="0" w:color="auto"/>
        <w:bottom w:val="none" w:sz="0" w:space="0" w:color="auto"/>
        <w:right w:val="none" w:sz="0" w:space="0" w:color="auto"/>
      </w:divBdr>
    </w:div>
    <w:div w:id="1308779921">
      <w:bodyDiv w:val="1"/>
      <w:marLeft w:val="0"/>
      <w:marRight w:val="0"/>
      <w:marTop w:val="0"/>
      <w:marBottom w:val="0"/>
      <w:divBdr>
        <w:top w:val="none" w:sz="0" w:space="0" w:color="auto"/>
        <w:left w:val="none" w:sz="0" w:space="0" w:color="auto"/>
        <w:bottom w:val="none" w:sz="0" w:space="0" w:color="auto"/>
        <w:right w:val="none" w:sz="0" w:space="0" w:color="auto"/>
      </w:divBdr>
    </w:div>
    <w:div w:id="1310328602">
      <w:bodyDiv w:val="1"/>
      <w:marLeft w:val="0"/>
      <w:marRight w:val="0"/>
      <w:marTop w:val="0"/>
      <w:marBottom w:val="0"/>
      <w:divBdr>
        <w:top w:val="none" w:sz="0" w:space="0" w:color="auto"/>
        <w:left w:val="none" w:sz="0" w:space="0" w:color="auto"/>
        <w:bottom w:val="none" w:sz="0" w:space="0" w:color="auto"/>
        <w:right w:val="none" w:sz="0" w:space="0" w:color="auto"/>
      </w:divBdr>
    </w:div>
    <w:div w:id="1314093543">
      <w:bodyDiv w:val="1"/>
      <w:marLeft w:val="0"/>
      <w:marRight w:val="0"/>
      <w:marTop w:val="0"/>
      <w:marBottom w:val="0"/>
      <w:divBdr>
        <w:top w:val="none" w:sz="0" w:space="0" w:color="auto"/>
        <w:left w:val="none" w:sz="0" w:space="0" w:color="auto"/>
        <w:bottom w:val="none" w:sz="0" w:space="0" w:color="auto"/>
        <w:right w:val="none" w:sz="0" w:space="0" w:color="auto"/>
      </w:divBdr>
    </w:div>
    <w:div w:id="1325621818">
      <w:bodyDiv w:val="1"/>
      <w:marLeft w:val="0"/>
      <w:marRight w:val="0"/>
      <w:marTop w:val="0"/>
      <w:marBottom w:val="0"/>
      <w:divBdr>
        <w:top w:val="none" w:sz="0" w:space="0" w:color="auto"/>
        <w:left w:val="none" w:sz="0" w:space="0" w:color="auto"/>
        <w:bottom w:val="none" w:sz="0" w:space="0" w:color="auto"/>
        <w:right w:val="none" w:sz="0" w:space="0" w:color="auto"/>
      </w:divBdr>
    </w:div>
    <w:div w:id="1330520290">
      <w:bodyDiv w:val="1"/>
      <w:marLeft w:val="0"/>
      <w:marRight w:val="0"/>
      <w:marTop w:val="0"/>
      <w:marBottom w:val="0"/>
      <w:divBdr>
        <w:top w:val="none" w:sz="0" w:space="0" w:color="auto"/>
        <w:left w:val="none" w:sz="0" w:space="0" w:color="auto"/>
        <w:bottom w:val="none" w:sz="0" w:space="0" w:color="auto"/>
        <w:right w:val="none" w:sz="0" w:space="0" w:color="auto"/>
      </w:divBdr>
    </w:div>
    <w:div w:id="1330867738">
      <w:bodyDiv w:val="1"/>
      <w:marLeft w:val="0"/>
      <w:marRight w:val="0"/>
      <w:marTop w:val="0"/>
      <w:marBottom w:val="0"/>
      <w:divBdr>
        <w:top w:val="none" w:sz="0" w:space="0" w:color="auto"/>
        <w:left w:val="none" w:sz="0" w:space="0" w:color="auto"/>
        <w:bottom w:val="none" w:sz="0" w:space="0" w:color="auto"/>
        <w:right w:val="none" w:sz="0" w:space="0" w:color="auto"/>
      </w:divBdr>
    </w:div>
    <w:div w:id="1349023301">
      <w:bodyDiv w:val="1"/>
      <w:marLeft w:val="0"/>
      <w:marRight w:val="0"/>
      <w:marTop w:val="0"/>
      <w:marBottom w:val="0"/>
      <w:divBdr>
        <w:top w:val="none" w:sz="0" w:space="0" w:color="auto"/>
        <w:left w:val="none" w:sz="0" w:space="0" w:color="auto"/>
        <w:bottom w:val="none" w:sz="0" w:space="0" w:color="auto"/>
        <w:right w:val="none" w:sz="0" w:space="0" w:color="auto"/>
      </w:divBdr>
    </w:div>
    <w:div w:id="1355573141">
      <w:bodyDiv w:val="1"/>
      <w:marLeft w:val="0"/>
      <w:marRight w:val="0"/>
      <w:marTop w:val="0"/>
      <w:marBottom w:val="0"/>
      <w:divBdr>
        <w:top w:val="none" w:sz="0" w:space="0" w:color="auto"/>
        <w:left w:val="none" w:sz="0" w:space="0" w:color="auto"/>
        <w:bottom w:val="none" w:sz="0" w:space="0" w:color="auto"/>
        <w:right w:val="none" w:sz="0" w:space="0" w:color="auto"/>
      </w:divBdr>
    </w:div>
    <w:div w:id="1378966531">
      <w:bodyDiv w:val="1"/>
      <w:marLeft w:val="0"/>
      <w:marRight w:val="0"/>
      <w:marTop w:val="0"/>
      <w:marBottom w:val="0"/>
      <w:divBdr>
        <w:top w:val="none" w:sz="0" w:space="0" w:color="auto"/>
        <w:left w:val="none" w:sz="0" w:space="0" w:color="auto"/>
        <w:bottom w:val="none" w:sz="0" w:space="0" w:color="auto"/>
        <w:right w:val="none" w:sz="0" w:space="0" w:color="auto"/>
      </w:divBdr>
    </w:div>
    <w:div w:id="1383360359">
      <w:bodyDiv w:val="1"/>
      <w:marLeft w:val="0"/>
      <w:marRight w:val="0"/>
      <w:marTop w:val="0"/>
      <w:marBottom w:val="0"/>
      <w:divBdr>
        <w:top w:val="none" w:sz="0" w:space="0" w:color="auto"/>
        <w:left w:val="none" w:sz="0" w:space="0" w:color="auto"/>
        <w:bottom w:val="none" w:sz="0" w:space="0" w:color="auto"/>
        <w:right w:val="none" w:sz="0" w:space="0" w:color="auto"/>
      </w:divBdr>
    </w:div>
    <w:div w:id="1406494912">
      <w:bodyDiv w:val="1"/>
      <w:marLeft w:val="0"/>
      <w:marRight w:val="0"/>
      <w:marTop w:val="0"/>
      <w:marBottom w:val="0"/>
      <w:divBdr>
        <w:top w:val="none" w:sz="0" w:space="0" w:color="auto"/>
        <w:left w:val="none" w:sz="0" w:space="0" w:color="auto"/>
        <w:bottom w:val="none" w:sz="0" w:space="0" w:color="auto"/>
        <w:right w:val="none" w:sz="0" w:space="0" w:color="auto"/>
      </w:divBdr>
    </w:div>
    <w:div w:id="1425027197">
      <w:bodyDiv w:val="1"/>
      <w:marLeft w:val="0"/>
      <w:marRight w:val="0"/>
      <w:marTop w:val="0"/>
      <w:marBottom w:val="0"/>
      <w:divBdr>
        <w:top w:val="none" w:sz="0" w:space="0" w:color="auto"/>
        <w:left w:val="none" w:sz="0" w:space="0" w:color="auto"/>
        <w:bottom w:val="none" w:sz="0" w:space="0" w:color="auto"/>
        <w:right w:val="none" w:sz="0" w:space="0" w:color="auto"/>
      </w:divBdr>
    </w:div>
    <w:div w:id="1430810584">
      <w:bodyDiv w:val="1"/>
      <w:marLeft w:val="0"/>
      <w:marRight w:val="0"/>
      <w:marTop w:val="0"/>
      <w:marBottom w:val="0"/>
      <w:divBdr>
        <w:top w:val="none" w:sz="0" w:space="0" w:color="auto"/>
        <w:left w:val="none" w:sz="0" w:space="0" w:color="auto"/>
        <w:bottom w:val="none" w:sz="0" w:space="0" w:color="auto"/>
        <w:right w:val="none" w:sz="0" w:space="0" w:color="auto"/>
      </w:divBdr>
    </w:div>
    <w:div w:id="1441729765">
      <w:bodyDiv w:val="1"/>
      <w:marLeft w:val="0"/>
      <w:marRight w:val="0"/>
      <w:marTop w:val="0"/>
      <w:marBottom w:val="0"/>
      <w:divBdr>
        <w:top w:val="none" w:sz="0" w:space="0" w:color="auto"/>
        <w:left w:val="none" w:sz="0" w:space="0" w:color="auto"/>
        <w:bottom w:val="none" w:sz="0" w:space="0" w:color="auto"/>
        <w:right w:val="none" w:sz="0" w:space="0" w:color="auto"/>
      </w:divBdr>
    </w:div>
    <w:div w:id="1446536663">
      <w:bodyDiv w:val="1"/>
      <w:marLeft w:val="0"/>
      <w:marRight w:val="0"/>
      <w:marTop w:val="0"/>
      <w:marBottom w:val="0"/>
      <w:divBdr>
        <w:top w:val="none" w:sz="0" w:space="0" w:color="auto"/>
        <w:left w:val="none" w:sz="0" w:space="0" w:color="auto"/>
        <w:bottom w:val="none" w:sz="0" w:space="0" w:color="auto"/>
        <w:right w:val="none" w:sz="0" w:space="0" w:color="auto"/>
      </w:divBdr>
    </w:div>
    <w:div w:id="1449740101">
      <w:bodyDiv w:val="1"/>
      <w:marLeft w:val="0"/>
      <w:marRight w:val="0"/>
      <w:marTop w:val="0"/>
      <w:marBottom w:val="0"/>
      <w:divBdr>
        <w:top w:val="none" w:sz="0" w:space="0" w:color="auto"/>
        <w:left w:val="none" w:sz="0" w:space="0" w:color="auto"/>
        <w:bottom w:val="none" w:sz="0" w:space="0" w:color="auto"/>
        <w:right w:val="none" w:sz="0" w:space="0" w:color="auto"/>
      </w:divBdr>
    </w:div>
    <w:div w:id="1479959680">
      <w:bodyDiv w:val="1"/>
      <w:marLeft w:val="0"/>
      <w:marRight w:val="0"/>
      <w:marTop w:val="0"/>
      <w:marBottom w:val="0"/>
      <w:divBdr>
        <w:top w:val="none" w:sz="0" w:space="0" w:color="auto"/>
        <w:left w:val="none" w:sz="0" w:space="0" w:color="auto"/>
        <w:bottom w:val="none" w:sz="0" w:space="0" w:color="auto"/>
        <w:right w:val="none" w:sz="0" w:space="0" w:color="auto"/>
      </w:divBdr>
    </w:div>
    <w:div w:id="1486512866">
      <w:bodyDiv w:val="1"/>
      <w:marLeft w:val="0"/>
      <w:marRight w:val="0"/>
      <w:marTop w:val="0"/>
      <w:marBottom w:val="0"/>
      <w:divBdr>
        <w:top w:val="none" w:sz="0" w:space="0" w:color="auto"/>
        <w:left w:val="none" w:sz="0" w:space="0" w:color="auto"/>
        <w:bottom w:val="none" w:sz="0" w:space="0" w:color="auto"/>
        <w:right w:val="none" w:sz="0" w:space="0" w:color="auto"/>
      </w:divBdr>
    </w:div>
    <w:div w:id="1490250896">
      <w:bodyDiv w:val="1"/>
      <w:marLeft w:val="0"/>
      <w:marRight w:val="0"/>
      <w:marTop w:val="0"/>
      <w:marBottom w:val="0"/>
      <w:divBdr>
        <w:top w:val="none" w:sz="0" w:space="0" w:color="auto"/>
        <w:left w:val="none" w:sz="0" w:space="0" w:color="auto"/>
        <w:bottom w:val="none" w:sz="0" w:space="0" w:color="auto"/>
        <w:right w:val="none" w:sz="0" w:space="0" w:color="auto"/>
      </w:divBdr>
    </w:div>
    <w:div w:id="1512448339">
      <w:bodyDiv w:val="1"/>
      <w:marLeft w:val="0"/>
      <w:marRight w:val="0"/>
      <w:marTop w:val="0"/>
      <w:marBottom w:val="0"/>
      <w:divBdr>
        <w:top w:val="none" w:sz="0" w:space="0" w:color="auto"/>
        <w:left w:val="none" w:sz="0" w:space="0" w:color="auto"/>
        <w:bottom w:val="none" w:sz="0" w:space="0" w:color="auto"/>
        <w:right w:val="none" w:sz="0" w:space="0" w:color="auto"/>
      </w:divBdr>
    </w:div>
    <w:div w:id="1535338430">
      <w:bodyDiv w:val="1"/>
      <w:marLeft w:val="0"/>
      <w:marRight w:val="0"/>
      <w:marTop w:val="0"/>
      <w:marBottom w:val="0"/>
      <w:divBdr>
        <w:top w:val="none" w:sz="0" w:space="0" w:color="auto"/>
        <w:left w:val="none" w:sz="0" w:space="0" w:color="auto"/>
        <w:bottom w:val="none" w:sz="0" w:space="0" w:color="auto"/>
        <w:right w:val="none" w:sz="0" w:space="0" w:color="auto"/>
      </w:divBdr>
    </w:div>
    <w:div w:id="1539204150">
      <w:bodyDiv w:val="1"/>
      <w:marLeft w:val="0"/>
      <w:marRight w:val="0"/>
      <w:marTop w:val="0"/>
      <w:marBottom w:val="0"/>
      <w:divBdr>
        <w:top w:val="none" w:sz="0" w:space="0" w:color="auto"/>
        <w:left w:val="none" w:sz="0" w:space="0" w:color="auto"/>
        <w:bottom w:val="none" w:sz="0" w:space="0" w:color="auto"/>
        <w:right w:val="none" w:sz="0" w:space="0" w:color="auto"/>
      </w:divBdr>
    </w:div>
    <w:div w:id="1571573784">
      <w:bodyDiv w:val="1"/>
      <w:marLeft w:val="0"/>
      <w:marRight w:val="0"/>
      <w:marTop w:val="0"/>
      <w:marBottom w:val="0"/>
      <w:divBdr>
        <w:top w:val="none" w:sz="0" w:space="0" w:color="auto"/>
        <w:left w:val="none" w:sz="0" w:space="0" w:color="auto"/>
        <w:bottom w:val="none" w:sz="0" w:space="0" w:color="auto"/>
        <w:right w:val="none" w:sz="0" w:space="0" w:color="auto"/>
      </w:divBdr>
    </w:div>
    <w:div w:id="1587349577">
      <w:bodyDiv w:val="1"/>
      <w:marLeft w:val="0"/>
      <w:marRight w:val="0"/>
      <w:marTop w:val="0"/>
      <w:marBottom w:val="0"/>
      <w:divBdr>
        <w:top w:val="none" w:sz="0" w:space="0" w:color="auto"/>
        <w:left w:val="none" w:sz="0" w:space="0" w:color="auto"/>
        <w:bottom w:val="none" w:sz="0" w:space="0" w:color="auto"/>
        <w:right w:val="none" w:sz="0" w:space="0" w:color="auto"/>
      </w:divBdr>
      <w:divsChild>
        <w:div w:id="30229004">
          <w:marLeft w:val="0"/>
          <w:marRight w:val="0"/>
          <w:marTop w:val="0"/>
          <w:marBottom w:val="60"/>
          <w:divBdr>
            <w:top w:val="none" w:sz="0" w:space="0" w:color="auto"/>
            <w:left w:val="none" w:sz="0" w:space="0" w:color="auto"/>
            <w:bottom w:val="none" w:sz="0" w:space="0" w:color="auto"/>
            <w:right w:val="none" w:sz="0" w:space="0" w:color="auto"/>
          </w:divBdr>
          <w:divsChild>
            <w:div w:id="12887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2222">
      <w:bodyDiv w:val="1"/>
      <w:marLeft w:val="0"/>
      <w:marRight w:val="0"/>
      <w:marTop w:val="0"/>
      <w:marBottom w:val="0"/>
      <w:divBdr>
        <w:top w:val="none" w:sz="0" w:space="0" w:color="auto"/>
        <w:left w:val="none" w:sz="0" w:space="0" w:color="auto"/>
        <w:bottom w:val="none" w:sz="0" w:space="0" w:color="auto"/>
        <w:right w:val="none" w:sz="0" w:space="0" w:color="auto"/>
      </w:divBdr>
    </w:div>
    <w:div w:id="1595555798">
      <w:bodyDiv w:val="1"/>
      <w:marLeft w:val="0"/>
      <w:marRight w:val="0"/>
      <w:marTop w:val="0"/>
      <w:marBottom w:val="0"/>
      <w:divBdr>
        <w:top w:val="none" w:sz="0" w:space="0" w:color="auto"/>
        <w:left w:val="none" w:sz="0" w:space="0" w:color="auto"/>
        <w:bottom w:val="none" w:sz="0" w:space="0" w:color="auto"/>
        <w:right w:val="none" w:sz="0" w:space="0" w:color="auto"/>
      </w:divBdr>
    </w:div>
    <w:div w:id="1653098949">
      <w:bodyDiv w:val="1"/>
      <w:marLeft w:val="0"/>
      <w:marRight w:val="0"/>
      <w:marTop w:val="0"/>
      <w:marBottom w:val="0"/>
      <w:divBdr>
        <w:top w:val="none" w:sz="0" w:space="0" w:color="auto"/>
        <w:left w:val="none" w:sz="0" w:space="0" w:color="auto"/>
        <w:bottom w:val="none" w:sz="0" w:space="0" w:color="auto"/>
        <w:right w:val="none" w:sz="0" w:space="0" w:color="auto"/>
      </w:divBdr>
    </w:div>
    <w:div w:id="1655059634">
      <w:bodyDiv w:val="1"/>
      <w:marLeft w:val="0"/>
      <w:marRight w:val="0"/>
      <w:marTop w:val="0"/>
      <w:marBottom w:val="0"/>
      <w:divBdr>
        <w:top w:val="none" w:sz="0" w:space="0" w:color="auto"/>
        <w:left w:val="none" w:sz="0" w:space="0" w:color="auto"/>
        <w:bottom w:val="none" w:sz="0" w:space="0" w:color="auto"/>
        <w:right w:val="none" w:sz="0" w:space="0" w:color="auto"/>
      </w:divBdr>
    </w:div>
    <w:div w:id="1736926908">
      <w:bodyDiv w:val="1"/>
      <w:marLeft w:val="0"/>
      <w:marRight w:val="0"/>
      <w:marTop w:val="0"/>
      <w:marBottom w:val="0"/>
      <w:divBdr>
        <w:top w:val="none" w:sz="0" w:space="0" w:color="auto"/>
        <w:left w:val="none" w:sz="0" w:space="0" w:color="auto"/>
        <w:bottom w:val="none" w:sz="0" w:space="0" w:color="auto"/>
        <w:right w:val="none" w:sz="0" w:space="0" w:color="auto"/>
      </w:divBdr>
    </w:div>
    <w:div w:id="1756122307">
      <w:bodyDiv w:val="1"/>
      <w:marLeft w:val="0"/>
      <w:marRight w:val="0"/>
      <w:marTop w:val="0"/>
      <w:marBottom w:val="0"/>
      <w:divBdr>
        <w:top w:val="none" w:sz="0" w:space="0" w:color="auto"/>
        <w:left w:val="none" w:sz="0" w:space="0" w:color="auto"/>
        <w:bottom w:val="none" w:sz="0" w:space="0" w:color="auto"/>
        <w:right w:val="none" w:sz="0" w:space="0" w:color="auto"/>
      </w:divBdr>
    </w:div>
    <w:div w:id="1761412448">
      <w:bodyDiv w:val="1"/>
      <w:marLeft w:val="0"/>
      <w:marRight w:val="0"/>
      <w:marTop w:val="0"/>
      <w:marBottom w:val="0"/>
      <w:divBdr>
        <w:top w:val="none" w:sz="0" w:space="0" w:color="auto"/>
        <w:left w:val="none" w:sz="0" w:space="0" w:color="auto"/>
        <w:bottom w:val="none" w:sz="0" w:space="0" w:color="auto"/>
        <w:right w:val="none" w:sz="0" w:space="0" w:color="auto"/>
      </w:divBdr>
    </w:div>
    <w:div w:id="1765883832">
      <w:bodyDiv w:val="1"/>
      <w:marLeft w:val="0"/>
      <w:marRight w:val="0"/>
      <w:marTop w:val="0"/>
      <w:marBottom w:val="0"/>
      <w:divBdr>
        <w:top w:val="none" w:sz="0" w:space="0" w:color="auto"/>
        <w:left w:val="none" w:sz="0" w:space="0" w:color="auto"/>
        <w:bottom w:val="none" w:sz="0" w:space="0" w:color="auto"/>
        <w:right w:val="none" w:sz="0" w:space="0" w:color="auto"/>
      </w:divBdr>
    </w:div>
    <w:div w:id="1774588866">
      <w:bodyDiv w:val="1"/>
      <w:marLeft w:val="0"/>
      <w:marRight w:val="0"/>
      <w:marTop w:val="0"/>
      <w:marBottom w:val="0"/>
      <w:divBdr>
        <w:top w:val="none" w:sz="0" w:space="0" w:color="auto"/>
        <w:left w:val="none" w:sz="0" w:space="0" w:color="auto"/>
        <w:bottom w:val="none" w:sz="0" w:space="0" w:color="auto"/>
        <w:right w:val="none" w:sz="0" w:space="0" w:color="auto"/>
      </w:divBdr>
    </w:div>
    <w:div w:id="1778139549">
      <w:bodyDiv w:val="1"/>
      <w:marLeft w:val="0"/>
      <w:marRight w:val="0"/>
      <w:marTop w:val="0"/>
      <w:marBottom w:val="0"/>
      <w:divBdr>
        <w:top w:val="none" w:sz="0" w:space="0" w:color="auto"/>
        <w:left w:val="none" w:sz="0" w:space="0" w:color="auto"/>
        <w:bottom w:val="none" w:sz="0" w:space="0" w:color="auto"/>
        <w:right w:val="none" w:sz="0" w:space="0" w:color="auto"/>
      </w:divBdr>
    </w:div>
    <w:div w:id="1803034031">
      <w:bodyDiv w:val="1"/>
      <w:marLeft w:val="0"/>
      <w:marRight w:val="0"/>
      <w:marTop w:val="0"/>
      <w:marBottom w:val="0"/>
      <w:divBdr>
        <w:top w:val="none" w:sz="0" w:space="0" w:color="auto"/>
        <w:left w:val="none" w:sz="0" w:space="0" w:color="auto"/>
        <w:bottom w:val="none" w:sz="0" w:space="0" w:color="auto"/>
        <w:right w:val="none" w:sz="0" w:space="0" w:color="auto"/>
      </w:divBdr>
    </w:div>
    <w:div w:id="1808473972">
      <w:bodyDiv w:val="1"/>
      <w:marLeft w:val="0"/>
      <w:marRight w:val="0"/>
      <w:marTop w:val="0"/>
      <w:marBottom w:val="0"/>
      <w:divBdr>
        <w:top w:val="none" w:sz="0" w:space="0" w:color="auto"/>
        <w:left w:val="none" w:sz="0" w:space="0" w:color="auto"/>
        <w:bottom w:val="none" w:sz="0" w:space="0" w:color="auto"/>
        <w:right w:val="none" w:sz="0" w:space="0" w:color="auto"/>
      </w:divBdr>
    </w:div>
    <w:div w:id="1813251623">
      <w:bodyDiv w:val="1"/>
      <w:marLeft w:val="0"/>
      <w:marRight w:val="0"/>
      <w:marTop w:val="0"/>
      <w:marBottom w:val="0"/>
      <w:divBdr>
        <w:top w:val="none" w:sz="0" w:space="0" w:color="auto"/>
        <w:left w:val="none" w:sz="0" w:space="0" w:color="auto"/>
        <w:bottom w:val="none" w:sz="0" w:space="0" w:color="auto"/>
        <w:right w:val="none" w:sz="0" w:space="0" w:color="auto"/>
      </w:divBdr>
    </w:div>
    <w:div w:id="1839231889">
      <w:bodyDiv w:val="1"/>
      <w:marLeft w:val="0"/>
      <w:marRight w:val="0"/>
      <w:marTop w:val="0"/>
      <w:marBottom w:val="0"/>
      <w:divBdr>
        <w:top w:val="none" w:sz="0" w:space="0" w:color="auto"/>
        <w:left w:val="none" w:sz="0" w:space="0" w:color="auto"/>
        <w:bottom w:val="none" w:sz="0" w:space="0" w:color="auto"/>
        <w:right w:val="none" w:sz="0" w:space="0" w:color="auto"/>
      </w:divBdr>
    </w:div>
    <w:div w:id="1933395306">
      <w:bodyDiv w:val="1"/>
      <w:marLeft w:val="0"/>
      <w:marRight w:val="0"/>
      <w:marTop w:val="0"/>
      <w:marBottom w:val="0"/>
      <w:divBdr>
        <w:top w:val="none" w:sz="0" w:space="0" w:color="auto"/>
        <w:left w:val="none" w:sz="0" w:space="0" w:color="auto"/>
        <w:bottom w:val="none" w:sz="0" w:space="0" w:color="auto"/>
        <w:right w:val="none" w:sz="0" w:space="0" w:color="auto"/>
      </w:divBdr>
    </w:div>
    <w:div w:id="1996563338">
      <w:bodyDiv w:val="1"/>
      <w:marLeft w:val="0"/>
      <w:marRight w:val="0"/>
      <w:marTop w:val="0"/>
      <w:marBottom w:val="0"/>
      <w:divBdr>
        <w:top w:val="none" w:sz="0" w:space="0" w:color="auto"/>
        <w:left w:val="none" w:sz="0" w:space="0" w:color="auto"/>
        <w:bottom w:val="none" w:sz="0" w:space="0" w:color="auto"/>
        <w:right w:val="none" w:sz="0" w:space="0" w:color="auto"/>
      </w:divBdr>
    </w:div>
    <w:div w:id="2008244284">
      <w:bodyDiv w:val="1"/>
      <w:marLeft w:val="0"/>
      <w:marRight w:val="0"/>
      <w:marTop w:val="0"/>
      <w:marBottom w:val="0"/>
      <w:divBdr>
        <w:top w:val="none" w:sz="0" w:space="0" w:color="auto"/>
        <w:left w:val="none" w:sz="0" w:space="0" w:color="auto"/>
        <w:bottom w:val="none" w:sz="0" w:space="0" w:color="auto"/>
        <w:right w:val="none" w:sz="0" w:space="0" w:color="auto"/>
      </w:divBdr>
    </w:div>
    <w:div w:id="2038966757">
      <w:bodyDiv w:val="1"/>
      <w:marLeft w:val="0"/>
      <w:marRight w:val="0"/>
      <w:marTop w:val="0"/>
      <w:marBottom w:val="0"/>
      <w:divBdr>
        <w:top w:val="none" w:sz="0" w:space="0" w:color="auto"/>
        <w:left w:val="none" w:sz="0" w:space="0" w:color="auto"/>
        <w:bottom w:val="none" w:sz="0" w:space="0" w:color="auto"/>
        <w:right w:val="none" w:sz="0" w:space="0" w:color="auto"/>
      </w:divBdr>
    </w:div>
    <w:div w:id="2078480322">
      <w:bodyDiv w:val="1"/>
      <w:marLeft w:val="0"/>
      <w:marRight w:val="0"/>
      <w:marTop w:val="0"/>
      <w:marBottom w:val="0"/>
      <w:divBdr>
        <w:top w:val="none" w:sz="0" w:space="0" w:color="auto"/>
        <w:left w:val="none" w:sz="0" w:space="0" w:color="auto"/>
        <w:bottom w:val="none" w:sz="0" w:space="0" w:color="auto"/>
        <w:right w:val="none" w:sz="0" w:space="0" w:color="auto"/>
      </w:divBdr>
    </w:div>
    <w:div w:id="2080707402">
      <w:bodyDiv w:val="1"/>
      <w:marLeft w:val="0"/>
      <w:marRight w:val="0"/>
      <w:marTop w:val="0"/>
      <w:marBottom w:val="0"/>
      <w:divBdr>
        <w:top w:val="none" w:sz="0" w:space="0" w:color="auto"/>
        <w:left w:val="none" w:sz="0" w:space="0" w:color="auto"/>
        <w:bottom w:val="none" w:sz="0" w:space="0" w:color="auto"/>
        <w:right w:val="none" w:sz="0" w:space="0" w:color="auto"/>
      </w:divBdr>
    </w:div>
    <w:div w:id="2141801650">
      <w:bodyDiv w:val="1"/>
      <w:marLeft w:val="0"/>
      <w:marRight w:val="0"/>
      <w:marTop w:val="0"/>
      <w:marBottom w:val="0"/>
      <w:divBdr>
        <w:top w:val="none" w:sz="0" w:space="0" w:color="auto"/>
        <w:left w:val="none" w:sz="0" w:space="0" w:color="auto"/>
        <w:bottom w:val="none" w:sz="0" w:space="0" w:color="auto"/>
        <w:right w:val="none" w:sz="0" w:space="0" w:color="auto"/>
      </w:divBdr>
    </w:div>
    <w:div w:id="2142265487">
      <w:bodyDiv w:val="1"/>
      <w:marLeft w:val="0"/>
      <w:marRight w:val="0"/>
      <w:marTop w:val="0"/>
      <w:marBottom w:val="0"/>
      <w:divBdr>
        <w:top w:val="none" w:sz="0" w:space="0" w:color="auto"/>
        <w:left w:val="none" w:sz="0" w:space="0" w:color="auto"/>
        <w:bottom w:val="none" w:sz="0" w:space="0" w:color="auto"/>
        <w:right w:val="none" w:sz="0" w:space="0" w:color="auto"/>
      </w:divBdr>
    </w:div>
    <w:div w:id="214318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2FD8D-FFCE-45B3-90B5-8511A6A9D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58</Pages>
  <Words>17569</Words>
  <Characters>100146</Characters>
  <Application>Microsoft Office Word</Application>
  <DocSecurity>0</DocSecurity>
  <Lines>834</Lines>
  <Paragraphs>234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Georgiy Chumachenko</dc:creator>
  <cp:keywords/>
  <dc:description/>
  <cp:lastModifiedBy>Georgiy Chumachenko</cp:lastModifiedBy>
  <cp:revision>41</cp:revision>
  <dcterms:created xsi:type="dcterms:W3CDTF">2023-11-20T13:06:00Z</dcterms:created>
  <dcterms:modified xsi:type="dcterms:W3CDTF">2024-05-29T20:52:00Z</dcterms:modified>
</cp:coreProperties>
</file>