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D75D3" w14:textId="77777777" w:rsidR="00752BC2" w:rsidRPr="00000F75" w:rsidRDefault="00E3042A" w:rsidP="00027E80">
      <w:pPr>
        <w:spacing w:line="240" w:lineRule="auto"/>
        <w:jc w:val="center"/>
        <w:rPr>
          <w:rFonts w:eastAsiaTheme="majorEastAsia" w:cstheme="majorBidi"/>
          <w:color w:val="000000" w:themeColor="text1"/>
        </w:rPr>
      </w:pPr>
      <w:r w:rsidRPr="00000F75">
        <w:rPr>
          <w:rFonts w:eastAsiaTheme="majorEastAsia" w:cstheme="majorBidi"/>
          <w:color w:val="000000" w:themeColor="text1"/>
        </w:rPr>
        <w:t>Санкт-Петербур</w:t>
      </w:r>
      <w:r w:rsidR="00027E80">
        <w:rPr>
          <w:rFonts w:eastAsiaTheme="majorEastAsia" w:cstheme="majorBidi"/>
          <w:color w:val="000000" w:themeColor="text1"/>
        </w:rPr>
        <w:t>гский государственный университе</w:t>
      </w:r>
      <w:r w:rsidRPr="00000F75">
        <w:rPr>
          <w:rFonts w:eastAsiaTheme="majorEastAsia" w:cstheme="majorBidi"/>
          <w:color w:val="000000" w:themeColor="text1"/>
        </w:rPr>
        <w:t>т</w:t>
      </w:r>
    </w:p>
    <w:p w14:paraId="55ADF49F" w14:textId="77777777" w:rsidR="007806D7" w:rsidRPr="00000F75" w:rsidRDefault="007806D7">
      <w:pPr>
        <w:spacing w:line="240" w:lineRule="auto"/>
        <w:jc w:val="left"/>
        <w:rPr>
          <w:rFonts w:eastAsiaTheme="majorEastAsia" w:cstheme="majorBidi"/>
          <w:color w:val="000000" w:themeColor="text1"/>
        </w:rPr>
      </w:pPr>
    </w:p>
    <w:p w14:paraId="0D8E50DB" w14:textId="77777777" w:rsidR="007806D7" w:rsidRPr="00000F75" w:rsidRDefault="007806D7">
      <w:pPr>
        <w:spacing w:line="240" w:lineRule="auto"/>
        <w:jc w:val="left"/>
        <w:rPr>
          <w:rFonts w:eastAsiaTheme="majorEastAsia" w:cstheme="majorBidi"/>
          <w:color w:val="000000" w:themeColor="text1"/>
        </w:rPr>
      </w:pPr>
    </w:p>
    <w:p w14:paraId="27C093EA" w14:textId="77777777" w:rsidR="007806D7" w:rsidRPr="00000F75" w:rsidRDefault="007806D7">
      <w:pPr>
        <w:spacing w:line="240" w:lineRule="auto"/>
        <w:jc w:val="left"/>
        <w:rPr>
          <w:rFonts w:eastAsiaTheme="majorEastAsia" w:cstheme="majorBidi"/>
          <w:color w:val="000000" w:themeColor="text1"/>
        </w:rPr>
      </w:pPr>
    </w:p>
    <w:p w14:paraId="21F72DE2" w14:textId="77777777" w:rsidR="007806D7" w:rsidRPr="00000F75" w:rsidRDefault="007806D7">
      <w:pPr>
        <w:spacing w:line="240" w:lineRule="auto"/>
        <w:jc w:val="left"/>
        <w:rPr>
          <w:rFonts w:eastAsiaTheme="majorEastAsia" w:cstheme="majorBidi"/>
          <w:color w:val="000000" w:themeColor="text1"/>
        </w:rPr>
      </w:pPr>
    </w:p>
    <w:p w14:paraId="22A80195" w14:textId="77777777" w:rsidR="007806D7" w:rsidRDefault="007806D7">
      <w:pPr>
        <w:spacing w:line="240" w:lineRule="auto"/>
        <w:jc w:val="left"/>
        <w:rPr>
          <w:rFonts w:eastAsiaTheme="majorEastAsia" w:cstheme="majorBidi"/>
          <w:color w:val="000000" w:themeColor="text1"/>
        </w:rPr>
      </w:pPr>
    </w:p>
    <w:p w14:paraId="225179BD" w14:textId="77777777" w:rsidR="00027E80" w:rsidRDefault="00027E80">
      <w:pPr>
        <w:spacing w:line="240" w:lineRule="auto"/>
        <w:jc w:val="left"/>
        <w:rPr>
          <w:rFonts w:eastAsiaTheme="majorEastAsia" w:cstheme="majorBidi"/>
          <w:color w:val="000000" w:themeColor="text1"/>
        </w:rPr>
      </w:pPr>
    </w:p>
    <w:p w14:paraId="2AB7FB83" w14:textId="77777777" w:rsidR="00027E80" w:rsidRDefault="00027E80">
      <w:pPr>
        <w:spacing w:line="240" w:lineRule="auto"/>
        <w:jc w:val="left"/>
        <w:rPr>
          <w:rFonts w:eastAsiaTheme="majorEastAsia" w:cstheme="majorBidi"/>
          <w:color w:val="000000" w:themeColor="text1"/>
        </w:rPr>
      </w:pPr>
    </w:p>
    <w:p w14:paraId="6F389EBD" w14:textId="77777777" w:rsidR="00027E80" w:rsidRDefault="00027E80">
      <w:pPr>
        <w:spacing w:line="240" w:lineRule="auto"/>
        <w:jc w:val="left"/>
        <w:rPr>
          <w:rFonts w:eastAsiaTheme="majorEastAsia" w:cstheme="majorBidi"/>
          <w:color w:val="000000" w:themeColor="text1"/>
        </w:rPr>
      </w:pPr>
    </w:p>
    <w:p w14:paraId="6A2EA3CE" w14:textId="77777777" w:rsidR="00027E80" w:rsidRDefault="00027E80">
      <w:pPr>
        <w:spacing w:line="240" w:lineRule="auto"/>
        <w:jc w:val="left"/>
        <w:rPr>
          <w:rFonts w:eastAsiaTheme="majorEastAsia" w:cstheme="majorBidi"/>
          <w:color w:val="000000" w:themeColor="text1"/>
        </w:rPr>
      </w:pPr>
    </w:p>
    <w:p w14:paraId="1A4F0C73" w14:textId="77777777" w:rsidR="00027E80" w:rsidRDefault="00027E80">
      <w:pPr>
        <w:spacing w:line="240" w:lineRule="auto"/>
        <w:jc w:val="left"/>
        <w:rPr>
          <w:rFonts w:eastAsiaTheme="majorEastAsia" w:cstheme="majorBidi"/>
          <w:color w:val="000000" w:themeColor="text1"/>
        </w:rPr>
      </w:pPr>
    </w:p>
    <w:p w14:paraId="659D5FDB" w14:textId="77777777" w:rsidR="00027E80" w:rsidRDefault="00027E80">
      <w:pPr>
        <w:spacing w:line="240" w:lineRule="auto"/>
        <w:jc w:val="left"/>
        <w:rPr>
          <w:rFonts w:eastAsiaTheme="majorEastAsia" w:cstheme="majorBidi"/>
          <w:color w:val="000000" w:themeColor="text1"/>
        </w:rPr>
      </w:pPr>
    </w:p>
    <w:p w14:paraId="61734AB8" w14:textId="77777777" w:rsidR="00027E80" w:rsidRPr="00000F75" w:rsidRDefault="00027E80">
      <w:pPr>
        <w:spacing w:line="240" w:lineRule="auto"/>
        <w:jc w:val="left"/>
        <w:rPr>
          <w:rFonts w:eastAsiaTheme="majorEastAsia" w:cstheme="majorBidi"/>
          <w:color w:val="000000" w:themeColor="text1"/>
        </w:rPr>
      </w:pPr>
    </w:p>
    <w:p w14:paraId="1F065FD8" w14:textId="77777777" w:rsidR="007806D7" w:rsidRPr="00000F75" w:rsidRDefault="005F603A" w:rsidP="00027E80">
      <w:pPr>
        <w:spacing w:line="240" w:lineRule="auto"/>
        <w:jc w:val="center"/>
        <w:rPr>
          <w:rFonts w:eastAsiaTheme="majorEastAsia" w:cstheme="majorBidi"/>
          <w:color w:val="000000" w:themeColor="text1"/>
        </w:rPr>
      </w:pPr>
      <w:r>
        <w:rPr>
          <w:rFonts w:eastAsiaTheme="majorEastAsia" w:cstheme="majorBidi"/>
          <w:color w:val="000000" w:themeColor="text1"/>
        </w:rPr>
        <w:t>ВЫПУСКНАЯ КВАЛИФИКАЦИОННАЯ РАБОТА</w:t>
      </w:r>
    </w:p>
    <w:p w14:paraId="5297A3A1" w14:textId="77777777" w:rsidR="007806D7" w:rsidRDefault="005F603A" w:rsidP="00027E80">
      <w:pPr>
        <w:spacing w:line="240" w:lineRule="auto"/>
        <w:jc w:val="center"/>
        <w:rPr>
          <w:rFonts w:eastAsiaTheme="majorEastAsia" w:cstheme="majorBidi"/>
          <w:color w:val="000000" w:themeColor="text1"/>
        </w:rPr>
      </w:pPr>
      <w:r>
        <w:rPr>
          <w:rFonts w:eastAsiaTheme="majorEastAsia" w:cstheme="majorBidi"/>
          <w:color w:val="000000" w:themeColor="text1"/>
        </w:rPr>
        <w:t xml:space="preserve">по направлению </w:t>
      </w:r>
      <w:r w:rsidR="007806D7" w:rsidRPr="00000F75">
        <w:rPr>
          <w:rFonts w:eastAsiaTheme="majorEastAsia" w:cstheme="majorBidi"/>
          <w:color w:val="000000" w:themeColor="text1"/>
        </w:rPr>
        <w:t>«Экономика»</w:t>
      </w:r>
    </w:p>
    <w:p w14:paraId="1E6D403E" w14:textId="77777777" w:rsidR="00027E80" w:rsidRPr="00000F75" w:rsidRDefault="00027E80" w:rsidP="00027E80">
      <w:pPr>
        <w:spacing w:line="240" w:lineRule="auto"/>
        <w:jc w:val="center"/>
        <w:rPr>
          <w:rFonts w:eastAsiaTheme="majorEastAsia" w:cstheme="majorBidi"/>
          <w:color w:val="000000" w:themeColor="text1"/>
        </w:rPr>
      </w:pPr>
    </w:p>
    <w:p w14:paraId="60463B73" w14:textId="77777777" w:rsidR="00851D3F" w:rsidRDefault="008604B8" w:rsidP="007928A4">
      <w:pPr>
        <w:spacing w:line="240" w:lineRule="auto"/>
        <w:ind w:firstLine="0"/>
        <w:jc w:val="center"/>
        <w:rPr>
          <w:rFonts w:eastAsiaTheme="majorEastAsia" w:cstheme="majorBidi"/>
          <w:color w:val="000000" w:themeColor="text1"/>
        </w:rPr>
      </w:pPr>
      <w:r w:rsidRPr="00000F75">
        <w:rPr>
          <w:rFonts w:eastAsiaTheme="majorEastAsia" w:cstheme="majorBidi"/>
          <w:color w:val="000000" w:themeColor="text1"/>
        </w:rPr>
        <w:t>ОСОБЕННОС</w:t>
      </w:r>
      <w:r w:rsidR="00027E80">
        <w:rPr>
          <w:rFonts w:eastAsiaTheme="majorEastAsia" w:cstheme="majorBidi"/>
          <w:color w:val="000000" w:themeColor="text1"/>
        </w:rPr>
        <w:t>ТИ УЧЕТА И ФОРМИ</w:t>
      </w:r>
      <w:r w:rsidRPr="00000F75">
        <w:rPr>
          <w:rFonts w:eastAsiaTheme="majorEastAsia" w:cstheme="majorBidi"/>
          <w:color w:val="000000" w:themeColor="text1"/>
        </w:rPr>
        <w:t xml:space="preserve">РОВАНИЯ ОТЧЕТНОСТИ </w:t>
      </w:r>
    </w:p>
    <w:p w14:paraId="01639C13" w14:textId="77777777" w:rsidR="007806D7" w:rsidRPr="00000F75" w:rsidRDefault="008604B8" w:rsidP="007928A4">
      <w:pPr>
        <w:spacing w:line="240" w:lineRule="auto"/>
        <w:ind w:firstLine="0"/>
        <w:jc w:val="center"/>
        <w:rPr>
          <w:rFonts w:eastAsiaTheme="majorEastAsia" w:cstheme="majorBidi"/>
          <w:color w:val="000000" w:themeColor="text1"/>
        </w:rPr>
      </w:pPr>
      <w:r w:rsidRPr="00000F75">
        <w:rPr>
          <w:rFonts w:eastAsiaTheme="majorEastAsia" w:cstheme="majorBidi"/>
          <w:color w:val="000000" w:themeColor="text1"/>
        </w:rPr>
        <w:t>В СООТВЕТСТВИИ С МСФО В СТРОИТЕЛЬНЫХ ОРГАНИЗАЦИЯХ</w:t>
      </w:r>
    </w:p>
    <w:p w14:paraId="65672A97" w14:textId="77777777" w:rsidR="008604B8" w:rsidRPr="00000F75" w:rsidRDefault="008604B8">
      <w:pPr>
        <w:spacing w:line="240" w:lineRule="auto"/>
        <w:jc w:val="left"/>
        <w:rPr>
          <w:rFonts w:eastAsiaTheme="majorEastAsia" w:cstheme="majorBidi"/>
          <w:color w:val="000000" w:themeColor="text1"/>
        </w:rPr>
      </w:pPr>
    </w:p>
    <w:p w14:paraId="41D9CAB5" w14:textId="77777777" w:rsidR="00BC2707" w:rsidRDefault="00BC2707">
      <w:pPr>
        <w:spacing w:line="240" w:lineRule="auto"/>
        <w:jc w:val="left"/>
        <w:rPr>
          <w:rFonts w:eastAsiaTheme="majorEastAsia" w:cstheme="majorBidi"/>
          <w:color w:val="000000" w:themeColor="text1"/>
        </w:rPr>
      </w:pPr>
    </w:p>
    <w:p w14:paraId="5B425D9D" w14:textId="77777777" w:rsidR="00BC2707" w:rsidRPr="00000F75" w:rsidRDefault="00BC2707">
      <w:pPr>
        <w:spacing w:line="240" w:lineRule="auto"/>
        <w:jc w:val="left"/>
        <w:rPr>
          <w:rFonts w:eastAsiaTheme="majorEastAsia" w:cstheme="majorBidi"/>
          <w:color w:val="000000" w:themeColor="text1"/>
        </w:rPr>
      </w:pPr>
    </w:p>
    <w:p w14:paraId="1C0E4467" w14:textId="77777777" w:rsidR="00027E80" w:rsidRDefault="00027E80" w:rsidP="00027E80">
      <w:pPr>
        <w:spacing w:line="240" w:lineRule="auto"/>
        <w:ind w:left="2552"/>
        <w:jc w:val="left"/>
        <w:rPr>
          <w:rFonts w:eastAsiaTheme="majorEastAsia" w:cstheme="majorBidi"/>
          <w:color w:val="000000" w:themeColor="text1"/>
        </w:rPr>
      </w:pPr>
    </w:p>
    <w:p w14:paraId="6A62DA43" w14:textId="77777777" w:rsidR="00027E80" w:rsidRDefault="00027E80" w:rsidP="00027E80">
      <w:pPr>
        <w:spacing w:line="240" w:lineRule="auto"/>
        <w:ind w:left="2552"/>
        <w:jc w:val="left"/>
        <w:rPr>
          <w:rFonts w:eastAsiaTheme="majorEastAsia" w:cstheme="majorBidi"/>
          <w:color w:val="000000" w:themeColor="text1"/>
        </w:rPr>
      </w:pPr>
    </w:p>
    <w:p w14:paraId="6D5C3B0B" w14:textId="77777777" w:rsidR="008604B8" w:rsidRPr="00000F75" w:rsidRDefault="008604B8" w:rsidP="007928A4">
      <w:pPr>
        <w:spacing w:line="240" w:lineRule="auto"/>
        <w:ind w:left="3402" w:firstLine="0"/>
        <w:jc w:val="left"/>
        <w:rPr>
          <w:rFonts w:eastAsiaTheme="majorEastAsia" w:cstheme="majorBidi"/>
          <w:color w:val="000000" w:themeColor="text1"/>
        </w:rPr>
      </w:pPr>
      <w:r w:rsidRPr="00000F75">
        <w:rPr>
          <w:rFonts w:eastAsiaTheme="majorEastAsia" w:cstheme="majorBidi"/>
          <w:color w:val="000000" w:themeColor="text1"/>
        </w:rPr>
        <w:t>Выполнил:</w:t>
      </w:r>
    </w:p>
    <w:p w14:paraId="0651F4C2" w14:textId="77777777" w:rsidR="008604B8" w:rsidRPr="00000F75" w:rsidRDefault="005F603A" w:rsidP="007928A4">
      <w:pPr>
        <w:spacing w:line="240" w:lineRule="auto"/>
        <w:ind w:left="3402" w:firstLine="0"/>
        <w:jc w:val="left"/>
        <w:rPr>
          <w:rFonts w:eastAsiaTheme="majorEastAsia" w:cstheme="majorBidi"/>
          <w:color w:val="000000" w:themeColor="text1"/>
        </w:rPr>
      </w:pPr>
      <w:r>
        <w:rPr>
          <w:rFonts w:eastAsiaTheme="majorEastAsia" w:cstheme="majorBidi"/>
          <w:color w:val="000000" w:themeColor="text1"/>
        </w:rPr>
        <w:t>Обучающийся</w:t>
      </w:r>
      <w:r w:rsidR="008604B8" w:rsidRPr="00000F75">
        <w:rPr>
          <w:rFonts w:eastAsiaTheme="majorEastAsia" w:cstheme="majorBidi"/>
          <w:color w:val="000000" w:themeColor="text1"/>
        </w:rPr>
        <w:t xml:space="preserve"> 4 курса, группы ФКСУ-43</w:t>
      </w:r>
    </w:p>
    <w:p w14:paraId="11276F5A" w14:textId="77777777" w:rsidR="00851D3F" w:rsidRDefault="008604B8" w:rsidP="007928A4">
      <w:pPr>
        <w:spacing w:line="240" w:lineRule="auto"/>
        <w:ind w:left="3402" w:firstLine="0"/>
        <w:jc w:val="left"/>
        <w:rPr>
          <w:rFonts w:eastAsiaTheme="majorEastAsia" w:cstheme="majorBidi"/>
          <w:color w:val="000000" w:themeColor="text1"/>
        </w:rPr>
      </w:pPr>
      <w:r w:rsidRPr="00000F75">
        <w:rPr>
          <w:rFonts w:eastAsiaTheme="majorEastAsia" w:cstheme="majorBidi"/>
          <w:color w:val="000000" w:themeColor="text1"/>
        </w:rPr>
        <w:t>Булатникова Юлия Владиславовна</w:t>
      </w:r>
    </w:p>
    <w:p w14:paraId="30E77E01" w14:textId="77777777" w:rsidR="008604B8" w:rsidRPr="00027E80" w:rsidRDefault="00027E80" w:rsidP="007928A4">
      <w:pPr>
        <w:spacing w:line="240" w:lineRule="auto"/>
        <w:ind w:left="3402" w:firstLine="0"/>
        <w:jc w:val="left"/>
        <w:rPr>
          <w:rFonts w:eastAsiaTheme="majorEastAsia" w:cstheme="majorBidi"/>
          <w:color w:val="000000" w:themeColor="text1"/>
        </w:rPr>
      </w:pPr>
      <w:r>
        <w:rPr>
          <w:rFonts w:eastAsiaTheme="majorEastAsia" w:cstheme="majorBidi"/>
          <w:color w:val="000000" w:themeColor="text1"/>
        </w:rPr>
        <w:t>__________</w:t>
      </w:r>
      <w:r w:rsidRPr="00C17331">
        <w:rPr>
          <w:rFonts w:eastAsiaTheme="majorEastAsia" w:cstheme="majorBidi"/>
          <w:color w:val="000000" w:themeColor="text1"/>
        </w:rPr>
        <w:t>/</w:t>
      </w:r>
      <w:r>
        <w:rPr>
          <w:rFonts w:eastAsiaTheme="majorEastAsia" w:cstheme="majorBidi"/>
          <w:color w:val="000000" w:themeColor="text1"/>
        </w:rPr>
        <w:t>Подпись</w:t>
      </w:r>
      <w:r w:rsidRPr="00C17331">
        <w:rPr>
          <w:rFonts w:eastAsiaTheme="majorEastAsia" w:cstheme="majorBidi"/>
          <w:color w:val="000000" w:themeColor="text1"/>
        </w:rPr>
        <w:t>/</w:t>
      </w:r>
    </w:p>
    <w:p w14:paraId="3BD9A995" w14:textId="77777777" w:rsidR="00027E80" w:rsidRDefault="00027E80" w:rsidP="007928A4">
      <w:pPr>
        <w:spacing w:line="240" w:lineRule="auto"/>
        <w:ind w:left="3402" w:firstLine="0"/>
        <w:jc w:val="left"/>
        <w:rPr>
          <w:rFonts w:eastAsiaTheme="majorEastAsia" w:cstheme="majorBidi"/>
          <w:color w:val="000000" w:themeColor="text1"/>
        </w:rPr>
      </w:pPr>
    </w:p>
    <w:p w14:paraId="284B7BF7" w14:textId="77777777" w:rsidR="008604B8" w:rsidRPr="00000F75" w:rsidRDefault="008604B8" w:rsidP="007928A4">
      <w:pPr>
        <w:spacing w:line="240" w:lineRule="auto"/>
        <w:ind w:left="3402" w:firstLine="0"/>
        <w:jc w:val="left"/>
        <w:rPr>
          <w:rFonts w:eastAsiaTheme="majorEastAsia" w:cstheme="majorBidi"/>
          <w:color w:val="000000" w:themeColor="text1"/>
        </w:rPr>
      </w:pPr>
      <w:r w:rsidRPr="00000F75">
        <w:rPr>
          <w:rFonts w:eastAsiaTheme="majorEastAsia" w:cstheme="majorBidi"/>
          <w:color w:val="000000" w:themeColor="text1"/>
        </w:rPr>
        <w:t>Научный руководитель:</w:t>
      </w:r>
    </w:p>
    <w:p w14:paraId="72DF8D77" w14:textId="77777777" w:rsidR="00851D3F" w:rsidRDefault="008604B8" w:rsidP="007928A4">
      <w:pPr>
        <w:spacing w:line="240" w:lineRule="auto"/>
        <w:ind w:left="3402" w:firstLine="0"/>
        <w:jc w:val="left"/>
        <w:rPr>
          <w:rFonts w:eastAsiaTheme="majorEastAsia" w:cstheme="majorBidi"/>
          <w:color w:val="000000" w:themeColor="text1"/>
        </w:rPr>
      </w:pPr>
      <w:r w:rsidRPr="00000F75">
        <w:rPr>
          <w:rFonts w:eastAsiaTheme="majorEastAsia" w:cstheme="majorBidi"/>
          <w:color w:val="000000" w:themeColor="text1"/>
        </w:rPr>
        <w:t xml:space="preserve">доцент, </w:t>
      </w:r>
      <w:r w:rsidR="00851D3F">
        <w:rPr>
          <w:rFonts w:eastAsiaTheme="majorEastAsia" w:cstheme="majorBidi"/>
          <w:color w:val="000000" w:themeColor="text1"/>
        </w:rPr>
        <w:t>кандидат экономических наук</w:t>
      </w:r>
      <w:r w:rsidRPr="00000F75">
        <w:rPr>
          <w:rFonts w:eastAsiaTheme="majorEastAsia" w:cstheme="majorBidi"/>
          <w:color w:val="000000" w:themeColor="text1"/>
        </w:rPr>
        <w:t xml:space="preserve">, </w:t>
      </w:r>
    </w:p>
    <w:p w14:paraId="05430D2A" w14:textId="77777777" w:rsidR="00851D3F" w:rsidRDefault="008604B8" w:rsidP="007928A4">
      <w:pPr>
        <w:spacing w:line="240" w:lineRule="auto"/>
        <w:ind w:left="3402" w:firstLine="0"/>
        <w:jc w:val="left"/>
        <w:rPr>
          <w:rFonts w:eastAsiaTheme="majorEastAsia" w:cstheme="majorBidi"/>
          <w:color w:val="000000" w:themeColor="text1"/>
        </w:rPr>
      </w:pPr>
      <w:r w:rsidRPr="00000F75">
        <w:rPr>
          <w:rFonts w:eastAsiaTheme="majorEastAsia" w:cstheme="majorBidi"/>
          <w:color w:val="000000" w:themeColor="text1"/>
        </w:rPr>
        <w:t>Генер</w:t>
      </w:r>
      <w:r w:rsidR="00027E80">
        <w:rPr>
          <w:rFonts w:eastAsiaTheme="majorEastAsia" w:cstheme="majorBidi"/>
          <w:color w:val="000000" w:themeColor="text1"/>
        </w:rPr>
        <w:t xml:space="preserve">алова Наталья </w:t>
      </w:r>
      <w:r w:rsidRPr="00000F75">
        <w:rPr>
          <w:rFonts w:eastAsiaTheme="majorEastAsia" w:cstheme="majorBidi"/>
          <w:color w:val="000000" w:themeColor="text1"/>
        </w:rPr>
        <w:t>Викторовна</w:t>
      </w:r>
    </w:p>
    <w:p w14:paraId="785CAC57" w14:textId="77777777" w:rsidR="008604B8" w:rsidRPr="00027E80" w:rsidRDefault="00027E80" w:rsidP="007928A4">
      <w:pPr>
        <w:spacing w:line="240" w:lineRule="auto"/>
        <w:ind w:left="3402" w:firstLine="0"/>
        <w:jc w:val="left"/>
        <w:rPr>
          <w:rFonts w:eastAsiaTheme="majorEastAsia" w:cstheme="majorBidi"/>
          <w:color w:val="000000" w:themeColor="text1"/>
        </w:rPr>
      </w:pPr>
      <w:r>
        <w:rPr>
          <w:rFonts w:eastAsiaTheme="majorEastAsia" w:cstheme="majorBidi"/>
          <w:color w:val="000000" w:themeColor="text1"/>
        </w:rPr>
        <w:t>__________</w:t>
      </w:r>
      <w:r w:rsidRPr="00027E80">
        <w:rPr>
          <w:rFonts w:eastAsiaTheme="majorEastAsia" w:cstheme="majorBidi"/>
          <w:color w:val="000000" w:themeColor="text1"/>
        </w:rPr>
        <w:t>/</w:t>
      </w:r>
      <w:r>
        <w:rPr>
          <w:rFonts w:eastAsiaTheme="majorEastAsia" w:cstheme="majorBidi"/>
          <w:color w:val="000000" w:themeColor="text1"/>
        </w:rPr>
        <w:t>Подпись</w:t>
      </w:r>
      <w:r w:rsidRPr="00027E80">
        <w:rPr>
          <w:rFonts w:eastAsiaTheme="majorEastAsia" w:cstheme="majorBidi"/>
          <w:color w:val="000000" w:themeColor="text1"/>
        </w:rPr>
        <w:t>/</w:t>
      </w:r>
    </w:p>
    <w:p w14:paraId="164C8CA1" w14:textId="77777777" w:rsidR="008604B8" w:rsidRPr="00000F75" w:rsidRDefault="008604B8" w:rsidP="007928A4">
      <w:pPr>
        <w:spacing w:line="240" w:lineRule="auto"/>
        <w:ind w:left="3402" w:firstLine="0"/>
        <w:jc w:val="left"/>
        <w:rPr>
          <w:rFonts w:eastAsiaTheme="majorEastAsia" w:cstheme="majorBidi"/>
          <w:color w:val="000000" w:themeColor="text1"/>
        </w:rPr>
      </w:pPr>
    </w:p>
    <w:p w14:paraId="11BBBC41" w14:textId="77777777" w:rsidR="008604B8" w:rsidRPr="00000F75" w:rsidRDefault="008604B8">
      <w:pPr>
        <w:spacing w:line="240" w:lineRule="auto"/>
        <w:jc w:val="left"/>
        <w:rPr>
          <w:rFonts w:eastAsiaTheme="majorEastAsia" w:cstheme="majorBidi"/>
          <w:color w:val="000000" w:themeColor="text1"/>
        </w:rPr>
      </w:pPr>
    </w:p>
    <w:p w14:paraId="6A31D331" w14:textId="77777777" w:rsidR="00027E80" w:rsidRDefault="00027E80" w:rsidP="00027E80">
      <w:pPr>
        <w:spacing w:line="240" w:lineRule="auto"/>
        <w:jc w:val="center"/>
        <w:rPr>
          <w:rFonts w:eastAsiaTheme="majorEastAsia" w:cstheme="majorBidi"/>
          <w:color w:val="000000" w:themeColor="text1"/>
        </w:rPr>
      </w:pPr>
    </w:p>
    <w:p w14:paraId="147FE6E1" w14:textId="77777777" w:rsidR="00027E80" w:rsidRDefault="00027E80" w:rsidP="00027E80">
      <w:pPr>
        <w:spacing w:line="240" w:lineRule="auto"/>
        <w:jc w:val="center"/>
        <w:rPr>
          <w:rFonts w:eastAsiaTheme="majorEastAsia" w:cstheme="majorBidi"/>
          <w:color w:val="000000" w:themeColor="text1"/>
        </w:rPr>
      </w:pPr>
    </w:p>
    <w:p w14:paraId="09C904AF" w14:textId="77777777" w:rsidR="00907F31" w:rsidRDefault="00907F31" w:rsidP="00027E80">
      <w:pPr>
        <w:spacing w:line="240" w:lineRule="auto"/>
        <w:jc w:val="center"/>
        <w:rPr>
          <w:rFonts w:eastAsiaTheme="majorEastAsia" w:cstheme="majorBidi"/>
          <w:color w:val="000000" w:themeColor="text1"/>
        </w:rPr>
      </w:pPr>
    </w:p>
    <w:p w14:paraId="7FC550DD" w14:textId="77777777" w:rsidR="00907F31" w:rsidRDefault="00907F31" w:rsidP="00027E80">
      <w:pPr>
        <w:spacing w:line="240" w:lineRule="auto"/>
        <w:jc w:val="center"/>
        <w:rPr>
          <w:rFonts w:eastAsiaTheme="majorEastAsia" w:cstheme="majorBidi"/>
          <w:color w:val="000000" w:themeColor="text1"/>
        </w:rPr>
      </w:pPr>
    </w:p>
    <w:p w14:paraId="4FBC1D54" w14:textId="77777777" w:rsidR="00907F31" w:rsidRDefault="00907F31" w:rsidP="00027E80">
      <w:pPr>
        <w:spacing w:line="240" w:lineRule="auto"/>
        <w:jc w:val="center"/>
        <w:rPr>
          <w:rFonts w:eastAsiaTheme="majorEastAsia" w:cstheme="majorBidi"/>
          <w:color w:val="000000" w:themeColor="text1"/>
        </w:rPr>
      </w:pPr>
    </w:p>
    <w:p w14:paraId="7EBE00D8" w14:textId="77777777" w:rsidR="00907F31" w:rsidRDefault="00907F31" w:rsidP="00027E80">
      <w:pPr>
        <w:spacing w:line="240" w:lineRule="auto"/>
        <w:jc w:val="center"/>
        <w:rPr>
          <w:rFonts w:eastAsiaTheme="majorEastAsia" w:cstheme="majorBidi"/>
          <w:color w:val="000000" w:themeColor="text1"/>
        </w:rPr>
      </w:pPr>
    </w:p>
    <w:p w14:paraId="5A335CCC" w14:textId="77777777" w:rsidR="00027E80" w:rsidRDefault="00027E80" w:rsidP="00027E80">
      <w:pPr>
        <w:spacing w:line="240" w:lineRule="auto"/>
        <w:jc w:val="center"/>
        <w:rPr>
          <w:rFonts w:eastAsiaTheme="majorEastAsia" w:cstheme="majorBidi"/>
          <w:color w:val="000000" w:themeColor="text1"/>
        </w:rPr>
      </w:pPr>
    </w:p>
    <w:p w14:paraId="7F7BE189" w14:textId="77777777" w:rsidR="00BC2707" w:rsidRDefault="00BC2707" w:rsidP="00027E80">
      <w:pPr>
        <w:spacing w:line="240" w:lineRule="auto"/>
        <w:jc w:val="center"/>
        <w:rPr>
          <w:rFonts w:eastAsiaTheme="majorEastAsia" w:cstheme="majorBidi"/>
          <w:color w:val="000000" w:themeColor="text1"/>
        </w:rPr>
      </w:pPr>
    </w:p>
    <w:p w14:paraId="4E884665" w14:textId="77777777" w:rsidR="00027E80" w:rsidRDefault="00027E80" w:rsidP="00907F31">
      <w:pPr>
        <w:spacing w:line="240" w:lineRule="auto"/>
        <w:rPr>
          <w:rFonts w:eastAsiaTheme="majorEastAsia" w:cstheme="majorBidi"/>
          <w:color w:val="000000" w:themeColor="text1"/>
        </w:rPr>
      </w:pPr>
    </w:p>
    <w:p w14:paraId="5D0173D2" w14:textId="77777777" w:rsidR="00027E80" w:rsidRDefault="00027E80" w:rsidP="00027E80">
      <w:pPr>
        <w:spacing w:line="240" w:lineRule="auto"/>
        <w:jc w:val="center"/>
        <w:rPr>
          <w:rFonts w:eastAsiaTheme="majorEastAsia" w:cstheme="majorBidi"/>
          <w:color w:val="000000" w:themeColor="text1"/>
        </w:rPr>
      </w:pPr>
    </w:p>
    <w:p w14:paraId="1BC5250B" w14:textId="77777777" w:rsidR="00027E80" w:rsidRDefault="00027E80" w:rsidP="00027E80">
      <w:pPr>
        <w:spacing w:line="240" w:lineRule="auto"/>
        <w:jc w:val="center"/>
        <w:rPr>
          <w:rFonts w:eastAsiaTheme="majorEastAsia" w:cstheme="majorBidi"/>
          <w:color w:val="000000" w:themeColor="text1"/>
        </w:rPr>
      </w:pPr>
    </w:p>
    <w:p w14:paraId="752AE418" w14:textId="77777777" w:rsidR="00027E80" w:rsidRDefault="00027E80" w:rsidP="00027E80">
      <w:pPr>
        <w:spacing w:line="240" w:lineRule="auto"/>
        <w:jc w:val="center"/>
        <w:rPr>
          <w:rFonts w:eastAsiaTheme="majorEastAsia" w:cstheme="majorBidi"/>
          <w:color w:val="000000" w:themeColor="text1"/>
        </w:rPr>
      </w:pPr>
    </w:p>
    <w:p w14:paraId="097D6967" w14:textId="77777777" w:rsidR="00027E80" w:rsidRDefault="00027E80" w:rsidP="00027E80">
      <w:pPr>
        <w:spacing w:line="240" w:lineRule="auto"/>
        <w:jc w:val="center"/>
        <w:rPr>
          <w:rFonts w:eastAsiaTheme="majorEastAsia" w:cstheme="majorBidi"/>
          <w:color w:val="000000" w:themeColor="text1"/>
        </w:rPr>
      </w:pPr>
    </w:p>
    <w:p w14:paraId="2B41517C" w14:textId="77777777" w:rsidR="00027E80" w:rsidRDefault="00027E80" w:rsidP="00027E80">
      <w:pPr>
        <w:spacing w:line="240" w:lineRule="auto"/>
        <w:jc w:val="center"/>
        <w:rPr>
          <w:rFonts w:eastAsiaTheme="majorEastAsia" w:cstheme="majorBidi"/>
          <w:color w:val="000000" w:themeColor="text1"/>
        </w:rPr>
      </w:pPr>
    </w:p>
    <w:p w14:paraId="03DFDD50" w14:textId="77777777" w:rsidR="00027E80" w:rsidRDefault="00027E80" w:rsidP="00027E80">
      <w:pPr>
        <w:spacing w:line="240" w:lineRule="auto"/>
        <w:jc w:val="center"/>
        <w:rPr>
          <w:rFonts w:eastAsiaTheme="majorEastAsia" w:cstheme="majorBidi"/>
          <w:color w:val="000000" w:themeColor="text1"/>
        </w:rPr>
      </w:pPr>
    </w:p>
    <w:p w14:paraId="3E3A02AE" w14:textId="77777777" w:rsidR="00027E80" w:rsidRDefault="00027E80" w:rsidP="00851D3F">
      <w:pPr>
        <w:spacing w:line="240" w:lineRule="auto"/>
        <w:ind w:firstLine="0"/>
        <w:jc w:val="center"/>
        <w:rPr>
          <w:rFonts w:eastAsiaTheme="majorEastAsia" w:cstheme="majorBidi"/>
          <w:color w:val="000000" w:themeColor="text1"/>
        </w:rPr>
      </w:pPr>
    </w:p>
    <w:p w14:paraId="5285A507" w14:textId="77777777" w:rsidR="008604B8" w:rsidRPr="00000F75" w:rsidRDefault="008604B8" w:rsidP="00851D3F">
      <w:pPr>
        <w:spacing w:line="240" w:lineRule="auto"/>
        <w:ind w:firstLine="0"/>
        <w:jc w:val="center"/>
        <w:rPr>
          <w:rFonts w:eastAsiaTheme="majorEastAsia" w:cstheme="majorBidi"/>
          <w:color w:val="000000" w:themeColor="text1"/>
        </w:rPr>
      </w:pPr>
      <w:r w:rsidRPr="00000F75">
        <w:rPr>
          <w:rFonts w:eastAsiaTheme="majorEastAsia" w:cstheme="majorBidi"/>
          <w:color w:val="000000" w:themeColor="text1"/>
        </w:rPr>
        <w:t>Санкт-Петербург</w:t>
      </w:r>
    </w:p>
    <w:p w14:paraId="6C18D2E2" w14:textId="77777777" w:rsidR="008604B8" w:rsidRPr="00000F75" w:rsidRDefault="005F603A" w:rsidP="00851D3F">
      <w:pPr>
        <w:spacing w:line="240" w:lineRule="auto"/>
        <w:ind w:firstLine="0"/>
        <w:jc w:val="center"/>
        <w:rPr>
          <w:rFonts w:eastAsiaTheme="majorEastAsia" w:cstheme="majorBidi"/>
          <w:color w:val="000000" w:themeColor="text1"/>
        </w:rPr>
      </w:pPr>
      <w:r>
        <w:rPr>
          <w:rFonts w:eastAsiaTheme="majorEastAsia" w:cstheme="majorBidi"/>
          <w:color w:val="000000" w:themeColor="text1"/>
        </w:rPr>
        <w:t>2016</w:t>
      </w:r>
    </w:p>
    <w:bookmarkStart w:id="0" w:name="_Toc451081004" w:displacedByCustomXml="next"/>
    <w:bookmarkStart w:id="1" w:name="_Toc449304853" w:displacedByCustomXml="next"/>
    <w:bookmarkStart w:id="2" w:name="_Toc449350093" w:displacedByCustomXml="next"/>
    <w:sdt>
      <w:sdtPr>
        <w:rPr>
          <w:rFonts w:eastAsiaTheme="minorHAnsi" w:cstheme="minorBidi"/>
          <w:b w:val="0"/>
          <w:bCs/>
          <w:color w:val="auto"/>
          <w:sz w:val="24"/>
          <w:szCs w:val="24"/>
        </w:rPr>
        <w:id w:val="1845823092"/>
        <w:docPartObj>
          <w:docPartGallery w:val="Table of Contents"/>
          <w:docPartUnique/>
        </w:docPartObj>
      </w:sdtPr>
      <w:sdtEndPr>
        <w:rPr>
          <w:bCs w:val="0"/>
        </w:rPr>
      </w:sdtEndPr>
      <w:sdtContent>
        <w:p w14:paraId="0291E9F4" w14:textId="77777777" w:rsidR="005B5F80" w:rsidRDefault="00B16FC8" w:rsidP="005B5F80">
          <w:pPr>
            <w:pStyle w:val="1"/>
            <w:spacing w:line="240" w:lineRule="auto"/>
            <w:ind w:firstLine="0"/>
            <w:rPr>
              <w:noProof/>
            </w:rPr>
          </w:pPr>
          <w:r w:rsidRPr="0045361A">
            <w:t>СОДЕРЖАНИЕ</w:t>
          </w:r>
          <w:bookmarkEnd w:id="2"/>
          <w:bookmarkEnd w:id="1"/>
          <w:bookmarkEnd w:id="0"/>
          <w:r w:rsidR="006A347C" w:rsidRPr="0045361A">
            <w:rPr>
              <w:sz w:val="24"/>
              <w:szCs w:val="24"/>
            </w:rPr>
            <w:fldChar w:fldCharType="begin"/>
          </w:r>
          <w:r w:rsidR="00A75B6D" w:rsidRPr="0045361A">
            <w:rPr>
              <w:sz w:val="24"/>
              <w:szCs w:val="24"/>
            </w:rPr>
            <w:instrText xml:space="preserve"> TOC \o "1-3" \h \z \u </w:instrText>
          </w:r>
          <w:r w:rsidR="006A347C" w:rsidRPr="0045361A">
            <w:rPr>
              <w:sz w:val="24"/>
              <w:szCs w:val="24"/>
            </w:rPr>
            <w:fldChar w:fldCharType="separate"/>
          </w:r>
        </w:p>
        <w:p w14:paraId="32C8D70F" w14:textId="77777777" w:rsidR="005B5F80" w:rsidRDefault="005B5F80" w:rsidP="005B5F80">
          <w:pPr>
            <w:pStyle w:val="11"/>
            <w:tabs>
              <w:tab w:val="right" w:leader="dot" w:pos="9622"/>
            </w:tabs>
            <w:spacing w:line="240" w:lineRule="auto"/>
            <w:rPr>
              <w:rFonts w:asciiTheme="minorHAnsi" w:eastAsiaTheme="minorEastAsia" w:hAnsiTheme="minorHAnsi"/>
              <w:noProof/>
              <w:lang w:eastAsia="ru-RU"/>
            </w:rPr>
          </w:pPr>
          <w:hyperlink w:anchor="_Toc451081004" w:history="1">
            <w:r w:rsidRPr="00182E50">
              <w:rPr>
                <w:rStyle w:val="a7"/>
                <w:noProof/>
              </w:rPr>
              <w:t>СОДЕРЖАНИЕ</w:t>
            </w:r>
            <w:r>
              <w:rPr>
                <w:noProof/>
                <w:webHidden/>
              </w:rPr>
              <w:tab/>
            </w:r>
            <w:r>
              <w:rPr>
                <w:noProof/>
                <w:webHidden/>
              </w:rPr>
              <w:fldChar w:fldCharType="begin"/>
            </w:r>
            <w:r>
              <w:rPr>
                <w:noProof/>
                <w:webHidden/>
              </w:rPr>
              <w:instrText xml:space="preserve"> PAGEREF _Toc451081004 \h </w:instrText>
            </w:r>
            <w:r>
              <w:rPr>
                <w:noProof/>
                <w:webHidden/>
              </w:rPr>
            </w:r>
            <w:r>
              <w:rPr>
                <w:noProof/>
                <w:webHidden/>
              </w:rPr>
              <w:fldChar w:fldCharType="separate"/>
            </w:r>
            <w:r>
              <w:rPr>
                <w:noProof/>
                <w:webHidden/>
              </w:rPr>
              <w:t>2</w:t>
            </w:r>
            <w:r>
              <w:rPr>
                <w:noProof/>
                <w:webHidden/>
              </w:rPr>
              <w:fldChar w:fldCharType="end"/>
            </w:r>
          </w:hyperlink>
        </w:p>
        <w:p w14:paraId="5DEF34BD" w14:textId="77777777" w:rsidR="005B5F80" w:rsidRDefault="005B5F80" w:rsidP="005B5F80">
          <w:pPr>
            <w:pStyle w:val="11"/>
            <w:tabs>
              <w:tab w:val="right" w:leader="dot" w:pos="9622"/>
            </w:tabs>
            <w:spacing w:line="240" w:lineRule="auto"/>
            <w:rPr>
              <w:rFonts w:asciiTheme="minorHAnsi" w:eastAsiaTheme="minorEastAsia" w:hAnsiTheme="minorHAnsi"/>
              <w:noProof/>
              <w:lang w:eastAsia="ru-RU"/>
            </w:rPr>
          </w:pPr>
          <w:hyperlink w:anchor="_Toc451081005" w:history="1">
            <w:r w:rsidRPr="00182E50">
              <w:rPr>
                <w:rStyle w:val="a7"/>
                <w:noProof/>
              </w:rPr>
              <w:t>Введение</w:t>
            </w:r>
            <w:r>
              <w:rPr>
                <w:noProof/>
                <w:webHidden/>
              </w:rPr>
              <w:tab/>
            </w:r>
            <w:r>
              <w:rPr>
                <w:noProof/>
                <w:webHidden/>
              </w:rPr>
              <w:fldChar w:fldCharType="begin"/>
            </w:r>
            <w:r>
              <w:rPr>
                <w:noProof/>
                <w:webHidden/>
              </w:rPr>
              <w:instrText xml:space="preserve"> PAGEREF _Toc451081005 \h </w:instrText>
            </w:r>
            <w:r>
              <w:rPr>
                <w:noProof/>
                <w:webHidden/>
              </w:rPr>
            </w:r>
            <w:r>
              <w:rPr>
                <w:noProof/>
                <w:webHidden/>
              </w:rPr>
              <w:fldChar w:fldCharType="separate"/>
            </w:r>
            <w:r>
              <w:rPr>
                <w:noProof/>
                <w:webHidden/>
              </w:rPr>
              <w:t>4</w:t>
            </w:r>
            <w:r>
              <w:rPr>
                <w:noProof/>
                <w:webHidden/>
              </w:rPr>
              <w:fldChar w:fldCharType="end"/>
            </w:r>
          </w:hyperlink>
        </w:p>
        <w:p w14:paraId="3CC722C8" w14:textId="77777777" w:rsidR="005B5F80" w:rsidRDefault="005B5F80" w:rsidP="005B5F80">
          <w:pPr>
            <w:pStyle w:val="11"/>
            <w:tabs>
              <w:tab w:val="right" w:leader="dot" w:pos="9622"/>
            </w:tabs>
            <w:spacing w:line="240" w:lineRule="auto"/>
            <w:rPr>
              <w:rFonts w:asciiTheme="minorHAnsi" w:eastAsiaTheme="minorEastAsia" w:hAnsiTheme="minorHAnsi"/>
              <w:noProof/>
              <w:lang w:eastAsia="ru-RU"/>
            </w:rPr>
          </w:pPr>
          <w:hyperlink w:anchor="_Toc451081006" w:history="1">
            <w:r w:rsidRPr="00182E50">
              <w:rPr>
                <w:rStyle w:val="a7"/>
                <w:noProof/>
              </w:rPr>
              <w:t>Глава 1 Исследование необходимости применения МСФО российскими строительными организациями</w:t>
            </w:r>
            <w:r>
              <w:rPr>
                <w:noProof/>
                <w:webHidden/>
              </w:rPr>
              <w:tab/>
            </w:r>
            <w:r>
              <w:rPr>
                <w:noProof/>
                <w:webHidden/>
              </w:rPr>
              <w:fldChar w:fldCharType="begin"/>
            </w:r>
            <w:r>
              <w:rPr>
                <w:noProof/>
                <w:webHidden/>
              </w:rPr>
              <w:instrText xml:space="preserve"> PAGEREF _Toc451081006 \h </w:instrText>
            </w:r>
            <w:r>
              <w:rPr>
                <w:noProof/>
                <w:webHidden/>
              </w:rPr>
            </w:r>
            <w:r>
              <w:rPr>
                <w:noProof/>
                <w:webHidden/>
              </w:rPr>
              <w:fldChar w:fldCharType="separate"/>
            </w:r>
            <w:r>
              <w:rPr>
                <w:noProof/>
                <w:webHidden/>
              </w:rPr>
              <w:t>8</w:t>
            </w:r>
            <w:r>
              <w:rPr>
                <w:noProof/>
                <w:webHidden/>
              </w:rPr>
              <w:fldChar w:fldCharType="end"/>
            </w:r>
          </w:hyperlink>
        </w:p>
        <w:p w14:paraId="3E8E309E"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07" w:history="1">
            <w:r w:rsidRPr="00182E50">
              <w:rPr>
                <w:rStyle w:val="a7"/>
                <w:noProof/>
              </w:rPr>
              <w:t>§1.1 Значение отрасли строительства в экономике Российской Федерации и основные тенденции ее развития</w:t>
            </w:r>
            <w:r>
              <w:rPr>
                <w:noProof/>
                <w:webHidden/>
              </w:rPr>
              <w:tab/>
            </w:r>
            <w:r>
              <w:rPr>
                <w:noProof/>
                <w:webHidden/>
              </w:rPr>
              <w:fldChar w:fldCharType="begin"/>
            </w:r>
            <w:r>
              <w:rPr>
                <w:noProof/>
                <w:webHidden/>
              </w:rPr>
              <w:instrText xml:space="preserve"> PAGEREF _Toc451081007 \h </w:instrText>
            </w:r>
            <w:r>
              <w:rPr>
                <w:noProof/>
                <w:webHidden/>
              </w:rPr>
            </w:r>
            <w:r>
              <w:rPr>
                <w:noProof/>
                <w:webHidden/>
              </w:rPr>
              <w:fldChar w:fldCharType="separate"/>
            </w:r>
            <w:r>
              <w:rPr>
                <w:noProof/>
                <w:webHidden/>
              </w:rPr>
              <w:t>8</w:t>
            </w:r>
            <w:r>
              <w:rPr>
                <w:noProof/>
                <w:webHidden/>
              </w:rPr>
              <w:fldChar w:fldCharType="end"/>
            </w:r>
          </w:hyperlink>
        </w:p>
        <w:p w14:paraId="6FEBEEB1"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08" w:history="1">
            <w:r w:rsidRPr="00182E50">
              <w:rPr>
                <w:rStyle w:val="a7"/>
                <w:noProof/>
              </w:rPr>
              <w:t>§1.2 Роль МСФО в повышении инвестиционной привлекательности отрасли строительства</w:t>
            </w:r>
            <w:r>
              <w:rPr>
                <w:noProof/>
                <w:webHidden/>
              </w:rPr>
              <w:tab/>
            </w:r>
            <w:r>
              <w:rPr>
                <w:noProof/>
                <w:webHidden/>
              </w:rPr>
              <w:fldChar w:fldCharType="begin"/>
            </w:r>
            <w:r>
              <w:rPr>
                <w:noProof/>
                <w:webHidden/>
              </w:rPr>
              <w:instrText xml:space="preserve"> PAGEREF _Toc451081008 \h </w:instrText>
            </w:r>
            <w:r>
              <w:rPr>
                <w:noProof/>
                <w:webHidden/>
              </w:rPr>
            </w:r>
            <w:r>
              <w:rPr>
                <w:noProof/>
                <w:webHidden/>
              </w:rPr>
              <w:fldChar w:fldCharType="separate"/>
            </w:r>
            <w:r>
              <w:rPr>
                <w:noProof/>
                <w:webHidden/>
              </w:rPr>
              <w:t>11</w:t>
            </w:r>
            <w:r>
              <w:rPr>
                <w:noProof/>
                <w:webHidden/>
              </w:rPr>
              <w:fldChar w:fldCharType="end"/>
            </w:r>
          </w:hyperlink>
        </w:p>
        <w:p w14:paraId="4930FF93"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09" w:history="1">
            <w:r w:rsidRPr="00182E50">
              <w:rPr>
                <w:rStyle w:val="a7"/>
                <w:noProof/>
              </w:rPr>
              <w:t>§1.3 Исследование влияния показателей отчетности по МСФО на инвестиционную привлекательность строительных организаций</w:t>
            </w:r>
            <w:r>
              <w:rPr>
                <w:noProof/>
                <w:webHidden/>
              </w:rPr>
              <w:tab/>
            </w:r>
            <w:r>
              <w:rPr>
                <w:noProof/>
                <w:webHidden/>
              </w:rPr>
              <w:fldChar w:fldCharType="begin"/>
            </w:r>
            <w:r>
              <w:rPr>
                <w:noProof/>
                <w:webHidden/>
              </w:rPr>
              <w:instrText xml:space="preserve"> PAGEREF _Toc451081009 \h </w:instrText>
            </w:r>
            <w:r>
              <w:rPr>
                <w:noProof/>
                <w:webHidden/>
              </w:rPr>
            </w:r>
            <w:r>
              <w:rPr>
                <w:noProof/>
                <w:webHidden/>
              </w:rPr>
              <w:fldChar w:fldCharType="separate"/>
            </w:r>
            <w:r>
              <w:rPr>
                <w:noProof/>
                <w:webHidden/>
              </w:rPr>
              <w:t>12</w:t>
            </w:r>
            <w:r>
              <w:rPr>
                <w:noProof/>
                <w:webHidden/>
              </w:rPr>
              <w:fldChar w:fldCharType="end"/>
            </w:r>
          </w:hyperlink>
        </w:p>
        <w:p w14:paraId="77C98D3B" w14:textId="77777777" w:rsidR="005B5F80" w:rsidRDefault="005B5F80" w:rsidP="005B5F80">
          <w:pPr>
            <w:pStyle w:val="11"/>
            <w:tabs>
              <w:tab w:val="right" w:leader="dot" w:pos="9622"/>
            </w:tabs>
            <w:spacing w:line="240" w:lineRule="auto"/>
            <w:rPr>
              <w:rFonts w:asciiTheme="minorHAnsi" w:eastAsiaTheme="minorEastAsia" w:hAnsiTheme="minorHAnsi"/>
              <w:noProof/>
              <w:lang w:eastAsia="ru-RU"/>
            </w:rPr>
          </w:pPr>
          <w:hyperlink w:anchor="_Toc451081010" w:history="1">
            <w:r w:rsidRPr="00182E50">
              <w:rPr>
                <w:rStyle w:val="a7"/>
                <w:noProof/>
              </w:rPr>
              <w:t>Глава 2 Специфика учета в соответствии с МСФО в строительных организациях</w:t>
            </w:r>
            <w:r>
              <w:rPr>
                <w:noProof/>
                <w:webHidden/>
              </w:rPr>
              <w:tab/>
            </w:r>
            <w:r>
              <w:rPr>
                <w:noProof/>
                <w:webHidden/>
              </w:rPr>
              <w:fldChar w:fldCharType="begin"/>
            </w:r>
            <w:r>
              <w:rPr>
                <w:noProof/>
                <w:webHidden/>
              </w:rPr>
              <w:instrText xml:space="preserve"> PAGEREF _Toc451081010 \h </w:instrText>
            </w:r>
            <w:r>
              <w:rPr>
                <w:noProof/>
                <w:webHidden/>
              </w:rPr>
            </w:r>
            <w:r>
              <w:rPr>
                <w:noProof/>
                <w:webHidden/>
              </w:rPr>
              <w:fldChar w:fldCharType="separate"/>
            </w:r>
            <w:r>
              <w:rPr>
                <w:noProof/>
                <w:webHidden/>
              </w:rPr>
              <w:t>18</w:t>
            </w:r>
            <w:r>
              <w:rPr>
                <w:noProof/>
                <w:webHidden/>
              </w:rPr>
              <w:fldChar w:fldCharType="end"/>
            </w:r>
          </w:hyperlink>
        </w:p>
        <w:p w14:paraId="0A3C00AE"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11" w:history="1">
            <w:r w:rsidRPr="00182E50">
              <w:rPr>
                <w:rStyle w:val="a7"/>
                <w:noProof/>
              </w:rPr>
              <w:t>§2.1 Обзор особенностей учета и представления отчетности в соответствии с МСФО</w:t>
            </w:r>
            <w:r>
              <w:rPr>
                <w:noProof/>
                <w:webHidden/>
              </w:rPr>
              <w:tab/>
            </w:r>
            <w:r>
              <w:rPr>
                <w:noProof/>
                <w:webHidden/>
              </w:rPr>
              <w:fldChar w:fldCharType="begin"/>
            </w:r>
            <w:r>
              <w:rPr>
                <w:noProof/>
                <w:webHidden/>
              </w:rPr>
              <w:instrText xml:space="preserve"> PAGEREF _Toc451081011 \h </w:instrText>
            </w:r>
            <w:r>
              <w:rPr>
                <w:noProof/>
                <w:webHidden/>
              </w:rPr>
            </w:r>
            <w:r>
              <w:rPr>
                <w:noProof/>
                <w:webHidden/>
              </w:rPr>
              <w:fldChar w:fldCharType="separate"/>
            </w:r>
            <w:r>
              <w:rPr>
                <w:noProof/>
                <w:webHidden/>
              </w:rPr>
              <w:t>18</w:t>
            </w:r>
            <w:r>
              <w:rPr>
                <w:noProof/>
                <w:webHidden/>
              </w:rPr>
              <w:fldChar w:fldCharType="end"/>
            </w:r>
          </w:hyperlink>
        </w:p>
        <w:p w14:paraId="3AF2CA95"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12" w:history="1">
            <w:r w:rsidRPr="00182E50">
              <w:rPr>
                <w:rStyle w:val="a7"/>
                <w:noProof/>
              </w:rPr>
              <w:t>§2.2 Учет в строительных организациях в соответствии с МСФО (</w:t>
            </w:r>
            <w:r w:rsidRPr="00182E50">
              <w:rPr>
                <w:rStyle w:val="a7"/>
                <w:noProof/>
                <w:lang w:val="en-US"/>
              </w:rPr>
              <w:t>IAS</w:t>
            </w:r>
            <w:r w:rsidRPr="00182E50">
              <w:rPr>
                <w:rStyle w:val="a7"/>
                <w:noProof/>
              </w:rPr>
              <w:t>) 11 «Договоры на строительство»</w:t>
            </w:r>
            <w:r>
              <w:rPr>
                <w:noProof/>
                <w:webHidden/>
              </w:rPr>
              <w:tab/>
            </w:r>
            <w:r>
              <w:rPr>
                <w:noProof/>
                <w:webHidden/>
              </w:rPr>
              <w:fldChar w:fldCharType="begin"/>
            </w:r>
            <w:r>
              <w:rPr>
                <w:noProof/>
                <w:webHidden/>
              </w:rPr>
              <w:instrText xml:space="preserve"> PAGEREF _Toc451081012 \h </w:instrText>
            </w:r>
            <w:r>
              <w:rPr>
                <w:noProof/>
                <w:webHidden/>
              </w:rPr>
            </w:r>
            <w:r>
              <w:rPr>
                <w:noProof/>
                <w:webHidden/>
              </w:rPr>
              <w:fldChar w:fldCharType="separate"/>
            </w:r>
            <w:r>
              <w:rPr>
                <w:noProof/>
                <w:webHidden/>
              </w:rPr>
              <w:t>21</w:t>
            </w:r>
            <w:r>
              <w:rPr>
                <w:noProof/>
                <w:webHidden/>
              </w:rPr>
              <w:fldChar w:fldCharType="end"/>
            </w:r>
          </w:hyperlink>
        </w:p>
        <w:p w14:paraId="0F5298E3"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13" w:history="1">
            <w:r w:rsidRPr="00182E50">
              <w:rPr>
                <w:rStyle w:val="a7"/>
                <w:noProof/>
              </w:rPr>
              <w:t>§2.3 Перспективы учета в соответствии с МСФО (</w:t>
            </w:r>
            <w:r w:rsidRPr="00182E50">
              <w:rPr>
                <w:rStyle w:val="a7"/>
                <w:noProof/>
                <w:lang w:val="en-US"/>
              </w:rPr>
              <w:t>IFRS</w:t>
            </w:r>
            <w:r w:rsidRPr="00182E50">
              <w:rPr>
                <w:rStyle w:val="a7"/>
                <w:noProof/>
              </w:rPr>
              <w:t>) 15 «Выручка по договорам с покупателями»</w:t>
            </w:r>
            <w:r>
              <w:rPr>
                <w:noProof/>
                <w:webHidden/>
              </w:rPr>
              <w:tab/>
            </w:r>
            <w:r>
              <w:rPr>
                <w:noProof/>
                <w:webHidden/>
              </w:rPr>
              <w:fldChar w:fldCharType="begin"/>
            </w:r>
            <w:r>
              <w:rPr>
                <w:noProof/>
                <w:webHidden/>
              </w:rPr>
              <w:instrText xml:space="preserve"> PAGEREF _Toc451081013 \h </w:instrText>
            </w:r>
            <w:r>
              <w:rPr>
                <w:noProof/>
                <w:webHidden/>
              </w:rPr>
            </w:r>
            <w:r>
              <w:rPr>
                <w:noProof/>
                <w:webHidden/>
              </w:rPr>
              <w:fldChar w:fldCharType="separate"/>
            </w:r>
            <w:r>
              <w:rPr>
                <w:noProof/>
                <w:webHidden/>
              </w:rPr>
              <w:t>30</w:t>
            </w:r>
            <w:r>
              <w:rPr>
                <w:noProof/>
                <w:webHidden/>
              </w:rPr>
              <w:fldChar w:fldCharType="end"/>
            </w:r>
          </w:hyperlink>
        </w:p>
        <w:p w14:paraId="6EBFFF60" w14:textId="77777777" w:rsidR="005B5F80" w:rsidRDefault="005B5F80" w:rsidP="005B5F80">
          <w:pPr>
            <w:pStyle w:val="11"/>
            <w:tabs>
              <w:tab w:val="right" w:leader="dot" w:pos="9622"/>
            </w:tabs>
            <w:spacing w:line="240" w:lineRule="auto"/>
            <w:rPr>
              <w:rFonts w:asciiTheme="minorHAnsi" w:eastAsiaTheme="minorEastAsia" w:hAnsiTheme="minorHAnsi"/>
              <w:noProof/>
              <w:lang w:eastAsia="ru-RU"/>
            </w:rPr>
          </w:pPr>
          <w:hyperlink w:anchor="_Toc451081014" w:history="1">
            <w:r w:rsidRPr="00182E50">
              <w:rPr>
                <w:rStyle w:val="a7"/>
                <w:noProof/>
              </w:rPr>
              <w:t>Глава 3. Анализ представления отчетности в соответствии с МСФО строительными организациями</w:t>
            </w:r>
            <w:r>
              <w:rPr>
                <w:noProof/>
                <w:webHidden/>
              </w:rPr>
              <w:tab/>
            </w:r>
            <w:r>
              <w:rPr>
                <w:noProof/>
                <w:webHidden/>
              </w:rPr>
              <w:fldChar w:fldCharType="begin"/>
            </w:r>
            <w:r>
              <w:rPr>
                <w:noProof/>
                <w:webHidden/>
              </w:rPr>
              <w:instrText xml:space="preserve"> PAGEREF _Toc451081014 \h </w:instrText>
            </w:r>
            <w:r>
              <w:rPr>
                <w:noProof/>
                <w:webHidden/>
              </w:rPr>
            </w:r>
            <w:r>
              <w:rPr>
                <w:noProof/>
                <w:webHidden/>
              </w:rPr>
              <w:fldChar w:fldCharType="separate"/>
            </w:r>
            <w:r>
              <w:rPr>
                <w:noProof/>
                <w:webHidden/>
              </w:rPr>
              <w:t>38</w:t>
            </w:r>
            <w:r>
              <w:rPr>
                <w:noProof/>
                <w:webHidden/>
              </w:rPr>
              <w:fldChar w:fldCharType="end"/>
            </w:r>
          </w:hyperlink>
        </w:p>
        <w:p w14:paraId="56B4E795"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15" w:history="1">
            <w:r w:rsidRPr="00182E50">
              <w:rPr>
                <w:rStyle w:val="a7"/>
                <w:noProof/>
              </w:rPr>
              <w:t>§3.1 Общая характеристика отчетности обследуемых организаций</w:t>
            </w:r>
            <w:r>
              <w:rPr>
                <w:noProof/>
                <w:webHidden/>
              </w:rPr>
              <w:tab/>
            </w:r>
            <w:r>
              <w:rPr>
                <w:noProof/>
                <w:webHidden/>
              </w:rPr>
              <w:fldChar w:fldCharType="begin"/>
            </w:r>
            <w:r>
              <w:rPr>
                <w:noProof/>
                <w:webHidden/>
              </w:rPr>
              <w:instrText xml:space="preserve"> PAGEREF _Toc451081015 \h </w:instrText>
            </w:r>
            <w:r>
              <w:rPr>
                <w:noProof/>
                <w:webHidden/>
              </w:rPr>
            </w:r>
            <w:r>
              <w:rPr>
                <w:noProof/>
                <w:webHidden/>
              </w:rPr>
              <w:fldChar w:fldCharType="separate"/>
            </w:r>
            <w:r>
              <w:rPr>
                <w:noProof/>
                <w:webHidden/>
              </w:rPr>
              <w:t>38</w:t>
            </w:r>
            <w:r>
              <w:rPr>
                <w:noProof/>
                <w:webHidden/>
              </w:rPr>
              <w:fldChar w:fldCharType="end"/>
            </w:r>
          </w:hyperlink>
        </w:p>
        <w:p w14:paraId="75251392"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16" w:history="1">
            <w:r w:rsidRPr="00182E50">
              <w:rPr>
                <w:rStyle w:val="a7"/>
                <w:noProof/>
              </w:rPr>
              <w:t>§3.2 Особенности представления отчетности в соответствии с МСФО в строительных организациях</w:t>
            </w:r>
            <w:r>
              <w:rPr>
                <w:noProof/>
                <w:webHidden/>
              </w:rPr>
              <w:tab/>
            </w:r>
            <w:r>
              <w:rPr>
                <w:noProof/>
                <w:webHidden/>
              </w:rPr>
              <w:fldChar w:fldCharType="begin"/>
            </w:r>
            <w:r>
              <w:rPr>
                <w:noProof/>
                <w:webHidden/>
              </w:rPr>
              <w:instrText xml:space="preserve"> PAGEREF _Toc451081016 \h </w:instrText>
            </w:r>
            <w:r>
              <w:rPr>
                <w:noProof/>
                <w:webHidden/>
              </w:rPr>
            </w:r>
            <w:r>
              <w:rPr>
                <w:noProof/>
                <w:webHidden/>
              </w:rPr>
              <w:fldChar w:fldCharType="separate"/>
            </w:r>
            <w:r>
              <w:rPr>
                <w:noProof/>
                <w:webHidden/>
              </w:rPr>
              <w:t>42</w:t>
            </w:r>
            <w:r>
              <w:rPr>
                <w:noProof/>
                <w:webHidden/>
              </w:rPr>
              <w:fldChar w:fldCharType="end"/>
            </w:r>
          </w:hyperlink>
        </w:p>
        <w:p w14:paraId="2A6CBD14" w14:textId="77777777" w:rsidR="005B5F80" w:rsidRDefault="005B5F80" w:rsidP="005B5F80">
          <w:pPr>
            <w:pStyle w:val="11"/>
            <w:tabs>
              <w:tab w:val="right" w:leader="dot" w:pos="9622"/>
            </w:tabs>
            <w:spacing w:line="240" w:lineRule="auto"/>
            <w:rPr>
              <w:rFonts w:asciiTheme="minorHAnsi" w:eastAsiaTheme="minorEastAsia" w:hAnsiTheme="minorHAnsi"/>
              <w:noProof/>
              <w:lang w:eastAsia="ru-RU"/>
            </w:rPr>
          </w:pPr>
          <w:hyperlink w:anchor="_Toc451081017" w:history="1">
            <w:r w:rsidRPr="00182E50">
              <w:rPr>
                <w:rStyle w:val="a7"/>
                <w:noProof/>
              </w:rPr>
              <w:t>Заключение</w:t>
            </w:r>
            <w:r>
              <w:rPr>
                <w:noProof/>
                <w:webHidden/>
              </w:rPr>
              <w:tab/>
            </w:r>
            <w:r>
              <w:rPr>
                <w:noProof/>
                <w:webHidden/>
              </w:rPr>
              <w:fldChar w:fldCharType="begin"/>
            </w:r>
            <w:r>
              <w:rPr>
                <w:noProof/>
                <w:webHidden/>
              </w:rPr>
              <w:instrText xml:space="preserve"> PAGEREF _Toc451081017 \h </w:instrText>
            </w:r>
            <w:r>
              <w:rPr>
                <w:noProof/>
                <w:webHidden/>
              </w:rPr>
            </w:r>
            <w:r>
              <w:rPr>
                <w:noProof/>
                <w:webHidden/>
              </w:rPr>
              <w:fldChar w:fldCharType="separate"/>
            </w:r>
            <w:r>
              <w:rPr>
                <w:noProof/>
                <w:webHidden/>
              </w:rPr>
              <w:t>46</w:t>
            </w:r>
            <w:r>
              <w:rPr>
                <w:noProof/>
                <w:webHidden/>
              </w:rPr>
              <w:fldChar w:fldCharType="end"/>
            </w:r>
          </w:hyperlink>
        </w:p>
        <w:p w14:paraId="289E779E" w14:textId="77777777" w:rsidR="005B5F80" w:rsidRDefault="005B5F80" w:rsidP="005B5F80">
          <w:pPr>
            <w:pStyle w:val="11"/>
            <w:tabs>
              <w:tab w:val="right" w:leader="dot" w:pos="9622"/>
            </w:tabs>
            <w:spacing w:line="240" w:lineRule="auto"/>
            <w:rPr>
              <w:rFonts w:asciiTheme="minorHAnsi" w:eastAsiaTheme="minorEastAsia" w:hAnsiTheme="minorHAnsi"/>
              <w:noProof/>
              <w:lang w:eastAsia="ru-RU"/>
            </w:rPr>
          </w:pPr>
          <w:hyperlink w:anchor="_Toc451081018" w:history="1">
            <w:r w:rsidRPr="00182E50">
              <w:rPr>
                <w:rStyle w:val="a7"/>
                <w:noProof/>
              </w:rPr>
              <w:t>Список использованных источников</w:t>
            </w:r>
            <w:r>
              <w:rPr>
                <w:noProof/>
                <w:webHidden/>
              </w:rPr>
              <w:tab/>
            </w:r>
            <w:r>
              <w:rPr>
                <w:noProof/>
                <w:webHidden/>
              </w:rPr>
              <w:fldChar w:fldCharType="begin"/>
            </w:r>
            <w:r>
              <w:rPr>
                <w:noProof/>
                <w:webHidden/>
              </w:rPr>
              <w:instrText xml:space="preserve"> PAGEREF _Toc451081018 \h </w:instrText>
            </w:r>
            <w:r>
              <w:rPr>
                <w:noProof/>
                <w:webHidden/>
              </w:rPr>
            </w:r>
            <w:r>
              <w:rPr>
                <w:noProof/>
                <w:webHidden/>
              </w:rPr>
              <w:fldChar w:fldCharType="separate"/>
            </w:r>
            <w:r>
              <w:rPr>
                <w:noProof/>
                <w:webHidden/>
              </w:rPr>
              <w:t>49</w:t>
            </w:r>
            <w:r>
              <w:rPr>
                <w:noProof/>
                <w:webHidden/>
              </w:rPr>
              <w:fldChar w:fldCharType="end"/>
            </w:r>
          </w:hyperlink>
        </w:p>
        <w:p w14:paraId="625FA996" w14:textId="77777777" w:rsidR="005B5F80" w:rsidRDefault="005B5F80" w:rsidP="005B5F80">
          <w:pPr>
            <w:pStyle w:val="11"/>
            <w:tabs>
              <w:tab w:val="right" w:leader="dot" w:pos="9622"/>
            </w:tabs>
            <w:spacing w:line="240" w:lineRule="auto"/>
            <w:rPr>
              <w:rFonts w:asciiTheme="minorHAnsi" w:eastAsiaTheme="minorEastAsia" w:hAnsiTheme="minorHAnsi"/>
              <w:noProof/>
              <w:lang w:eastAsia="ru-RU"/>
            </w:rPr>
          </w:pPr>
          <w:hyperlink w:anchor="_Toc451081019" w:history="1">
            <w:r w:rsidRPr="00182E50">
              <w:rPr>
                <w:rStyle w:val="a7"/>
                <w:noProof/>
              </w:rPr>
              <w:t>ПРИЛОЖЕНИЯ</w:t>
            </w:r>
            <w:r>
              <w:rPr>
                <w:noProof/>
                <w:webHidden/>
              </w:rPr>
              <w:tab/>
            </w:r>
            <w:r>
              <w:rPr>
                <w:noProof/>
                <w:webHidden/>
              </w:rPr>
              <w:fldChar w:fldCharType="begin"/>
            </w:r>
            <w:r>
              <w:rPr>
                <w:noProof/>
                <w:webHidden/>
              </w:rPr>
              <w:instrText xml:space="preserve"> PAGEREF _Toc451081019 \h </w:instrText>
            </w:r>
            <w:r>
              <w:rPr>
                <w:noProof/>
                <w:webHidden/>
              </w:rPr>
            </w:r>
            <w:r>
              <w:rPr>
                <w:noProof/>
                <w:webHidden/>
              </w:rPr>
              <w:fldChar w:fldCharType="separate"/>
            </w:r>
            <w:r>
              <w:rPr>
                <w:noProof/>
                <w:webHidden/>
              </w:rPr>
              <w:t>52</w:t>
            </w:r>
            <w:r>
              <w:rPr>
                <w:noProof/>
                <w:webHidden/>
              </w:rPr>
              <w:fldChar w:fldCharType="end"/>
            </w:r>
          </w:hyperlink>
        </w:p>
        <w:p w14:paraId="0AF9BA62"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20" w:history="1">
            <w:r w:rsidRPr="00182E50">
              <w:rPr>
                <w:rStyle w:val="a7"/>
                <w:noProof/>
              </w:rPr>
              <w:t>Приложение 1. Распределение занятого населения по видам экономической деятельности на основной работе, в среднем за год в РФ в 2014 году</w:t>
            </w:r>
            <w:r>
              <w:rPr>
                <w:noProof/>
                <w:webHidden/>
              </w:rPr>
              <w:tab/>
            </w:r>
            <w:r>
              <w:rPr>
                <w:noProof/>
                <w:webHidden/>
              </w:rPr>
              <w:fldChar w:fldCharType="begin"/>
            </w:r>
            <w:r>
              <w:rPr>
                <w:noProof/>
                <w:webHidden/>
              </w:rPr>
              <w:instrText xml:space="preserve"> PAGEREF _Toc451081020 \h </w:instrText>
            </w:r>
            <w:r>
              <w:rPr>
                <w:noProof/>
                <w:webHidden/>
              </w:rPr>
            </w:r>
            <w:r>
              <w:rPr>
                <w:noProof/>
                <w:webHidden/>
              </w:rPr>
              <w:fldChar w:fldCharType="separate"/>
            </w:r>
            <w:r>
              <w:rPr>
                <w:noProof/>
                <w:webHidden/>
              </w:rPr>
              <w:t>52</w:t>
            </w:r>
            <w:r>
              <w:rPr>
                <w:noProof/>
                <w:webHidden/>
              </w:rPr>
              <w:fldChar w:fldCharType="end"/>
            </w:r>
          </w:hyperlink>
        </w:p>
        <w:p w14:paraId="297001BE"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21" w:history="1">
            <w:r w:rsidRPr="00182E50">
              <w:rPr>
                <w:rStyle w:val="a7"/>
                <w:noProof/>
              </w:rPr>
              <w:t>Приложение 2 Структура валовой добавленной стоимости по видам экономической деятельности в РФ в 2014 году</w:t>
            </w:r>
            <w:r>
              <w:rPr>
                <w:noProof/>
                <w:webHidden/>
              </w:rPr>
              <w:tab/>
            </w:r>
            <w:r>
              <w:rPr>
                <w:noProof/>
                <w:webHidden/>
              </w:rPr>
              <w:fldChar w:fldCharType="begin"/>
            </w:r>
            <w:r>
              <w:rPr>
                <w:noProof/>
                <w:webHidden/>
              </w:rPr>
              <w:instrText xml:space="preserve"> PAGEREF _Toc451081021 \h </w:instrText>
            </w:r>
            <w:r>
              <w:rPr>
                <w:noProof/>
                <w:webHidden/>
              </w:rPr>
            </w:r>
            <w:r>
              <w:rPr>
                <w:noProof/>
                <w:webHidden/>
              </w:rPr>
              <w:fldChar w:fldCharType="separate"/>
            </w:r>
            <w:r>
              <w:rPr>
                <w:noProof/>
                <w:webHidden/>
              </w:rPr>
              <w:t>53</w:t>
            </w:r>
            <w:r>
              <w:rPr>
                <w:noProof/>
                <w:webHidden/>
              </w:rPr>
              <w:fldChar w:fldCharType="end"/>
            </w:r>
          </w:hyperlink>
        </w:p>
        <w:p w14:paraId="48FF9C15"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22" w:history="1">
            <w:r w:rsidRPr="00182E50">
              <w:rPr>
                <w:rStyle w:val="a7"/>
                <w:noProof/>
              </w:rPr>
              <w:t>Приложение 3 Динамика аварийного жилищного фонда В Российской Федерации</w:t>
            </w:r>
            <w:r>
              <w:rPr>
                <w:noProof/>
                <w:webHidden/>
              </w:rPr>
              <w:tab/>
            </w:r>
            <w:r>
              <w:rPr>
                <w:noProof/>
                <w:webHidden/>
              </w:rPr>
              <w:fldChar w:fldCharType="begin"/>
            </w:r>
            <w:r>
              <w:rPr>
                <w:noProof/>
                <w:webHidden/>
              </w:rPr>
              <w:instrText xml:space="preserve"> PAGEREF _Toc451081022 \h </w:instrText>
            </w:r>
            <w:r>
              <w:rPr>
                <w:noProof/>
                <w:webHidden/>
              </w:rPr>
            </w:r>
            <w:r>
              <w:rPr>
                <w:noProof/>
                <w:webHidden/>
              </w:rPr>
              <w:fldChar w:fldCharType="separate"/>
            </w:r>
            <w:r>
              <w:rPr>
                <w:noProof/>
                <w:webHidden/>
              </w:rPr>
              <w:t>54</w:t>
            </w:r>
            <w:r>
              <w:rPr>
                <w:noProof/>
                <w:webHidden/>
              </w:rPr>
              <w:fldChar w:fldCharType="end"/>
            </w:r>
          </w:hyperlink>
        </w:p>
        <w:p w14:paraId="1113A51A"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23" w:history="1">
            <w:r w:rsidRPr="00182E50">
              <w:rPr>
                <w:rStyle w:val="a7"/>
                <w:noProof/>
              </w:rPr>
              <w:t>Приложение 4 наблюдение отчетности двадцати четырех крупнейших российских строительных компаний на предмет составления отчетности по МСФО</w:t>
            </w:r>
            <w:r>
              <w:rPr>
                <w:noProof/>
                <w:webHidden/>
              </w:rPr>
              <w:tab/>
            </w:r>
            <w:r>
              <w:rPr>
                <w:noProof/>
                <w:webHidden/>
              </w:rPr>
              <w:fldChar w:fldCharType="begin"/>
            </w:r>
            <w:r>
              <w:rPr>
                <w:noProof/>
                <w:webHidden/>
              </w:rPr>
              <w:instrText xml:space="preserve"> PAGEREF _Toc451081023 \h </w:instrText>
            </w:r>
            <w:r>
              <w:rPr>
                <w:noProof/>
                <w:webHidden/>
              </w:rPr>
            </w:r>
            <w:r>
              <w:rPr>
                <w:noProof/>
                <w:webHidden/>
              </w:rPr>
              <w:fldChar w:fldCharType="separate"/>
            </w:r>
            <w:r>
              <w:rPr>
                <w:noProof/>
                <w:webHidden/>
              </w:rPr>
              <w:t>55</w:t>
            </w:r>
            <w:r>
              <w:rPr>
                <w:noProof/>
                <w:webHidden/>
              </w:rPr>
              <w:fldChar w:fldCharType="end"/>
            </w:r>
          </w:hyperlink>
        </w:p>
        <w:p w14:paraId="39B19742"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24" w:history="1">
            <w:r w:rsidRPr="00182E50">
              <w:rPr>
                <w:rStyle w:val="a7"/>
                <w:noProof/>
              </w:rPr>
              <w:t>Приложение 4 Глоссарий терминов и сокращений</w:t>
            </w:r>
            <w:r>
              <w:rPr>
                <w:noProof/>
                <w:webHidden/>
              </w:rPr>
              <w:tab/>
            </w:r>
            <w:r>
              <w:rPr>
                <w:noProof/>
                <w:webHidden/>
              </w:rPr>
              <w:fldChar w:fldCharType="begin"/>
            </w:r>
            <w:r>
              <w:rPr>
                <w:noProof/>
                <w:webHidden/>
              </w:rPr>
              <w:instrText xml:space="preserve"> PAGEREF _Toc451081024 \h </w:instrText>
            </w:r>
            <w:r>
              <w:rPr>
                <w:noProof/>
                <w:webHidden/>
              </w:rPr>
            </w:r>
            <w:r>
              <w:rPr>
                <w:noProof/>
                <w:webHidden/>
              </w:rPr>
              <w:fldChar w:fldCharType="separate"/>
            </w:r>
            <w:r>
              <w:rPr>
                <w:noProof/>
                <w:webHidden/>
              </w:rPr>
              <w:t>56</w:t>
            </w:r>
            <w:r>
              <w:rPr>
                <w:noProof/>
                <w:webHidden/>
              </w:rPr>
              <w:fldChar w:fldCharType="end"/>
            </w:r>
          </w:hyperlink>
        </w:p>
        <w:p w14:paraId="6D049D62"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25" w:history="1">
            <w:r w:rsidRPr="00182E50">
              <w:rPr>
                <w:rStyle w:val="a7"/>
                <w:noProof/>
              </w:rPr>
              <w:t>Приложение 5 Информация о компаниях-объектах исследования</w:t>
            </w:r>
            <w:r>
              <w:rPr>
                <w:noProof/>
                <w:webHidden/>
              </w:rPr>
              <w:tab/>
            </w:r>
            <w:r>
              <w:rPr>
                <w:noProof/>
                <w:webHidden/>
              </w:rPr>
              <w:fldChar w:fldCharType="begin"/>
            </w:r>
            <w:r>
              <w:rPr>
                <w:noProof/>
                <w:webHidden/>
              </w:rPr>
              <w:instrText xml:space="preserve"> PAGEREF _Toc451081025 \h </w:instrText>
            </w:r>
            <w:r>
              <w:rPr>
                <w:noProof/>
                <w:webHidden/>
              </w:rPr>
            </w:r>
            <w:r>
              <w:rPr>
                <w:noProof/>
                <w:webHidden/>
              </w:rPr>
              <w:fldChar w:fldCharType="separate"/>
            </w:r>
            <w:r>
              <w:rPr>
                <w:noProof/>
                <w:webHidden/>
              </w:rPr>
              <w:t>58</w:t>
            </w:r>
            <w:r>
              <w:rPr>
                <w:noProof/>
                <w:webHidden/>
              </w:rPr>
              <w:fldChar w:fldCharType="end"/>
            </w:r>
          </w:hyperlink>
        </w:p>
        <w:p w14:paraId="6516B3B5"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26" w:history="1">
            <w:r w:rsidRPr="00182E50">
              <w:rPr>
                <w:rStyle w:val="a7"/>
                <w:noProof/>
              </w:rPr>
              <w:t>Приложение 6 Формы КС-2, КС-3</w:t>
            </w:r>
            <w:r>
              <w:rPr>
                <w:noProof/>
                <w:webHidden/>
              </w:rPr>
              <w:tab/>
            </w:r>
            <w:r>
              <w:rPr>
                <w:noProof/>
                <w:webHidden/>
              </w:rPr>
              <w:fldChar w:fldCharType="begin"/>
            </w:r>
            <w:r>
              <w:rPr>
                <w:noProof/>
                <w:webHidden/>
              </w:rPr>
              <w:instrText xml:space="preserve"> PAGEREF _Toc451081026 \h </w:instrText>
            </w:r>
            <w:r>
              <w:rPr>
                <w:noProof/>
                <w:webHidden/>
              </w:rPr>
            </w:r>
            <w:r>
              <w:rPr>
                <w:noProof/>
                <w:webHidden/>
              </w:rPr>
              <w:fldChar w:fldCharType="separate"/>
            </w:r>
            <w:r>
              <w:rPr>
                <w:noProof/>
                <w:webHidden/>
              </w:rPr>
              <w:t>59</w:t>
            </w:r>
            <w:r>
              <w:rPr>
                <w:noProof/>
                <w:webHidden/>
              </w:rPr>
              <w:fldChar w:fldCharType="end"/>
            </w:r>
          </w:hyperlink>
        </w:p>
        <w:p w14:paraId="32F91161" w14:textId="77777777" w:rsidR="005B5F80" w:rsidRDefault="005B5F80" w:rsidP="005B5F80">
          <w:pPr>
            <w:pStyle w:val="21"/>
            <w:tabs>
              <w:tab w:val="right" w:leader="dot" w:pos="9622"/>
            </w:tabs>
            <w:spacing w:line="240" w:lineRule="auto"/>
            <w:rPr>
              <w:rFonts w:asciiTheme="minorHAnsi" w:eastAsiaTheme="minorEastAsia" w:hAnsiTheme="minorHAnsi"/>
              <w:noProof/>
              <w:lang w:eastAsia="ru-RU"/>
            </w:rPr>
          </w:pPr>
          <w:hyperlink w:anchor="_Toc451081027" w:history="1">
            <w:r w:rsidRPr="00182E50">
              <w:rPr>
                <w:rStyle w:val="a7"/>
                <w:noProof/>
              </w:rPr>
              <w:t>Приложение 7 Примеры раскрытия информации по договорам на строительство</w:t>
            </w:r>
            <w:r>
              <w:rPr>
                <w:noProof/>
                <w:webHidden/>
              </w:rPr>
              <w:tab/>
            </w:r>
            <w:r>
              <w:rPr>
                <w:noProof/>
                <w:webHidden/>
              </w:rPr>
              <w:fldChar w:fldCharType="begin"/>
            </w:r>
            <w:r>
              <w:rPr>
                <w:noProof/>
                <w:webHidden/>
              </w:rPr>
              <w:instrText xml:space="preserve"> PAGEREF _Toc451081027 \h </w:instrText>
            </w:r>
            <w:r>
              <w:rPr>
                <w:noProof/>
                <w:webHidden/>
              </w:rPr>
            </w:r>
            <w:r>
              <w:rPr>
                <w:noProof/>
                <w:webHidden/>
              </w:rPr>
              <w:fldChar w:fldCharType="separate"/>
            </w:r>
            <w:r>
              <w:rPr>
                <w:noProof/>
                <w:webHidden/>
              </w:rPr>
              <w:t>61</w:t>
            </w:r>
            <w:r>
              <w:rPr>
                <w:noProof/>
                <w:webHidden/>
              </w:rPr>
              <w:fldChar w:fldCharType="end"/>
            </w:r>
          </w:hyperlink>
        </w:p>
        <w:p w14:paraId="12D4BF3E" w14:textId="15A43CB3" w:rsidR="00752BC2" w:rsidRPr="0045361A" w:rsidRDefault="006A347C" w:rsidP="005B5F80">
          <w:pPr>
            <w:spacing w:line="240" w:lineRule="auto"/>
          </w:pPr>
          <w:r w:rsidRPr="0045361A">
            <w:rPr>
              <w:b/>
              <w:bCs/>
            </w:rPr>
            <w:fldChar w:fldCharType="end"/>
          </w:r>
        </w:p>
      </w:sdtContent>
    </w:sdt>
    <w:p w14:paraId="7C1A5998" w14:textId="77777777" w:rsidR="00542296" w:rsidRDefault="00542296" w:rsidP="005B5F80">
      <w:pPr>
        <w:spacing w:line="240" w:lineRule="auto"/>
        <w:ind w:firstLine="0"/>
        <w:jc w:val="left"/>
      </w:pPr>
      <w:bookmarkStart w:id="3" w:name="_GoBack"/>
      <w:r>
        <w:br w:type="page"/>
      </w:r>
    </w:p>
    <w:p w14:paraId="6B66CB72" w14:textId="6197BCCA" w:rsidR="002F0F7F" w:rsidRPr="002F0F7F" w:rsidRDefault="00752BC2" w:rsidP="002F0F7F">
      <w:pPr>
        <w:pStyle w:val="1"/>
        <w:ind w:firstLine="0"/>
      </w:pPr>
      <w:bookmarkStart w:id="4" w:name="_Toc451081005"/>
      <w:bookmarkEnd w:id="3"/>
      <w:r>
        <w:lastRenderedPageBreak/>
        <w:t>Введение</w:t>
      </w:r>
      <w:bookmarkEnd w:id="4"/>
    </w:p>
    <w:p w14:paraId="2246B3C4" w14:textId="77777777" w:rsidR="001F661B" w:rsidRDefault="00BC2707" w:rsidP="007928A4">
      <w:pPr>
        <w:rPr>
          <w:b/>
        </w:rPr>
      </w:pPr>
      <w:r w:rsidRPr="009E60EB">
        <w:rPr>
          <w:b/>
        </w:rPr>
        <w:t xml:space="preserve">Актуальность тематики </w:t>
      </w:r>
      <w:r>
        <w:rPr>
          <w:b/>
        </w:rPr>
        <w:t xml:space="preserve">и практическая значимость </w:t>
      </w:r>
      <w:r w:rsidRPr="00BC2707">
        <w:rPr>
          <w:b/>
        </w:rPr>
        <w:t>исследования</w:t>
      </w:r>
    </w:p>
    <w:p w14:paraId="0D6B2F7D" w14:textId="341B32AF" w:rsidR="00E86A6F" w:rsidRDefault="001370E0" w:rsidP="007928A4">
      <w:r>
        <w:t xml:space="preserve">На сегодняшний день </w:t>
      </w:r>
      <w:r w:rsidR="0098511E" w:rsidRPr="00551D6B">
        <w:rPr>
          <w:i/>
        </w:rPr>
        <w:t>актуальной</w:t>
      </w:r>
      <w:r w:rsidR="00851D3F">
        <w:t xml:space="preserve"> </w:t>
      </w:r>
      <w:r w:rsidR="0098511E">
        <w:t>проблемой является осуществление</w:t>
      </w:r>
      <w:r>
        <w:t xml:space="preserve"> переход</w:t>
      </w:r>
      <w:r w:rsidR="0098511E">
        <w:t>а</w:t>
      </w:r>
      <w:r>
        <w:t xml:space="preserve"> экономики России к устойчивому развитию. Одна из ключевых проблем</w:t>
      </w:r>
      <w:r w:rsidR="00E86A6F">
        <w:t xml:space="preserve"> на данном пути, которую необходимо решить, </w:t>
      </w:r>
      <w:r>
        <w:t xml:space="preserve">– привлечение инвестиций. </w:t>
      </w:r>
      <w:r w:rsidR="00E86A6F">
        <w:t>Эта проблема актуальна</w:t>
      </w:r>
      <w:r w:rsidR="00176C01">
        <w:t xml:space="preserve"> для компаний любых отраслей, в том числе и </w:t>
      </w:r>
      <w:r w:rsidR="008031A8">
        <w:t xml:space="preserve"> для </w:t>
      </w:r>
      <w:r w:rsidR="00176C01">
        <w:t>отрасли строительства</w:t>
      </w:r>
      <w:r w:rsidR="00EC494A">
        <w:t>, поскольку отрасль строительства играет важную роль для страны как в ее экономическом аспекте, так и в социальном</w:t>
      </w:r>
      <w:r w:rsidR="00176C01">
        <w:t xml:space="preserve">. </w:t>
      </w:r>
      <w:r w:rsidR="00E86A6F">
        <w:t>Одним из условий для открытия новых рынков капитала для российских строительных фирм является предоставление инвесторам достоверной информации об истинном финансовом положении организации и ее финансовых результатах.</w:t>
      </w:r>
      <w:r w:rsidR="009B0E88">
        <w:t xml:space="preserve"> </w:t>
      </w:r>
      <w:r w:rsidR="00BB73C2">
        <w:t>Данную</w:t>
      </w:r>
      <w:r w:rsidR="00E86A6F">
        <w:t xml:space="preserve"> проблему можно решить путем составления финансовой отчетности в соответствии с </w:t>
      </w:r>
      <w:r w:rsidR="00236F54">
        <w:t>Международными Стандартами Финансовой Отчетности (</w:t>
      </w:r>
      <w:r w:rsidR="00E86A6F">
        <w:t>МСФО</w:t>
      </w:r>
      <w:r w:rsidR="00236F54">
        <w:t>)</w:t>
      </w:r>
      <w:r w:rsidR="00E86A6F">
        <w:t>.</w:t>
      </w:r>
    </w:p>
    <w:p w14:paraId="6409743F" w14:textId="77777777" w:rsidR="006F5DDA" w:rsidRDefault="006F5DDA">
      <w:r>
        <w:t xml:space="preserve">Кроме того, </w:t>
      </w:r>
      <w:r w:rsidR="00E814EC">
        <w:t>данное исследование выявляет основные проблемы</w:t>
      </w:r>
      <w:r>
        <w:t xml:space="preserve">, с которыми столкнутся организации (особенно строительные организации) в связи с вступлением в силу нового </w:t>
      </w:r>
      <w:r w:rsidRPr="00611FA1">
        <w:t>МСФО (IFRS) 15 «Выручка по договорам с покупателями»</w:t>
      </w:r>
      <w:r>
        <w:t>.</w:t>
      </w:r>
    </w:p>
    <w:p w14:paraId="0EA10322" w14:textId="23D80D2D" w:rsidR="00C27A83" w:rsidRPr="00E443A3" w:rsidRDefault="00E443A3">
      <w:r>
        <w:rPr>
          <w:i/>
        </w:rPr>
        <w:t>Новизна</w:t>
      </w:r>
      <w:r w:rsidR="00C27A83">
        <w:t xml:space="preserve"> данного исследования заключается </w:t>
      </w:r>
      <w:r w:rsidR="00122F84">
        <w:t>в выявлении механизма</w:t>
      </w:r>
      <w:r>
        <w:t xml:space="preserve"> (в форме регрессионной модели)</w:t>
      </w:r>
      <w:r w:rsidR="00122F84">
        <w:t>, позволяющего прогнозировать влияние показателей отчетности (важным в данном случае является тот факт, что изменение показателей отчетности может произойти ввиду изменения методологии учета и составления отчетности, а не изменений функционирования организации) отдельных организаций на инвесторов.</w:t>
      </w:r>
      <w:r>
        <w:t xml:space="preserve"> </w:t>
      </w:r>
      <w:r w:rsidR="004B628F" w:rsidRPr="004B628F">
        <w:t xml:space="preserve">В ходе исследования </w:t>
      </w:r>
      <w:r w:rsidR="004B628F">
        <w:t>в</w:t>
      </w:r>
      <w:r w:rsidR="004B628F" w:rsidRPr="004B628F">
        <w:t>ыдвинута гипотеза о том, что на по</w:t>
      </w:r>
      <w:r w:rsidR="009348DC">
        <w:t xml:space="preserve">казатель рыночной капитализации </w:t>
      </w:r>
      <w:r w:rsidR="004B628F" w:rsidRPr="004B628F">
        <w:t xml:space="preserve">оказывают влияние показатели отчетности эмитента по МСФО (такие, как выручка, чистая прибыль и базовая прибыль на акцию). </w:t>
      </w:r>
      <w:r>
        <w:t xml:space="preserve">А тот факт, что с 2018 года организации </w:t>
      </w:r>
      <w:r w:rsidR="00C47448">
        <w:t>переходят</w:t>
      </w:r>
      <w:r>
        <w:t xml:space="preserve"> на новый стандарт, регламентирующий признание выручки (в том числе и выручки по договорам на строительство) и влияющий на показатели отчетности, обуславливает </w:t>
      </w:r>
      <w:r w:rsidRPr="00E443A3">
        <w:rPr>
          <w:i/>
        </w:rPr>
        <w:t xml:space="preserve">практическую </w:t>
      </w:r>
      <w:r w:rsidR="00C47448" w:rsidRPr="00E443A3">
        <w:rPr>
          <w:i/>
        </w:rPr>
        <w:t>значимость</w:t>
      </w:r>
      <w:r>
        <w:rPr>
          <w:i/>
        </w:rPr>
        <w:t xml:space="preserve"> </w:t>
      </w:r>
      <w:r>
        <w:t>исследования</w:t>
      </w:r>
      <w:r w:rsidR="008051B9">
        <w:t xml:space="preserve"> именно для строительных организаций</w:t>
      </w:r>
      <w:r>
        <w:t>.</w:t>
      </w:r>
    </w:p>
    <w:p w14:paraId="4D472493" w14:textId="3D52FE9C" w:rsidR="00804843" w:rsidRPr="00804843" w:rsidRDefault="00804843">
      <w:pPr>
        <w:rPr>
          <w:b/>
        </w:rPr>
      </w:pPr>
      <w:r w:rsidRPr="00804843">
        <w:rPr>
          <w:b/>
        </w:rPr>
        <w:t>Предмет и объект исследования</w:t>
      </w:r>
    </w:p>
    <w:p w14:paraId="517D6834" w14:textId="2BE00C5D" w:rsidR="00804843" w:rsidRDefault="00804843" w:rsidP="00804843">
      <w:r w:rsidRPr="00804843">
        <w:rPr>
          <w:i/>
        </w:rPr>
        <w:t xml:space="preserve">Объектом исследования </w:t>
      </w:r>
      <w:r w:rsidRPr="00AB45CB">
        <w:t xml:space="preserve">являются Международные Стандарты Финансовой Отчетности, </w:t>
      </w:r>
      <w:r w:rsidRPr="00804843">
        <w:rPr>
          <w:i/>
        </w:rPr>
        <w:t>предметом</w:t>
      </w:r>
      <w:r w:rsidRPr="00AB45CB">
        <w:t xml:space="preserve"> –</w:t>
      </w:r>
      <w:r>
        <w:t xml:space="preserve"> </w:t>
      </w:r>
      <w:r w:rsidRPr="00AB45CB">
        <w:t>порядок и особенности учета в соответствии с МСФО в строительных организациях.</w:t>
      </w:r>
    </w:p>
    <w:p w14:paraId="577DD701" w14:textId="77777777" w:rsidR="00BC2707" w:rsidRPr="007928A4" w:rsidRDefault="00BC2707" w:rsidP="007928A4">
      <w:pPr>
        <w:rPr>
          <w:b/>
        </w:rPr>
      </w:pPr>
      <w:r w:rsidRPr="009E60EB">
        <w:rPr>
          <w:b/>
        </w:rPr>
        <w:t>Цель и задачи исследования</w:t>
      </w:r>
      <w:r>
        <w:rPr>
          <w:b/>
        </w:rPr>
        <w:t xml:space="preserve"> </w:t>
      </w:r>
    </w:p>
    <w:p w14:paraId="11AE1822" w14:textId="4662AD75" w:rsidR="00721372" w:rsidRDefault="00721372" w:rsidP="00E86A6F">
      <w:r w:rsidRPr="00804843">
        <w:rPr>
          <w:i/>
        </w:rPr>
        <w:t>Цель</w:t>
      </w:r>
      <w:r w:rsidR="004418B0" w:rsidRPr="00804843">
        <w:rPr>
          <w:i/>
        </w:rPr>
        <w:t xml:space="preserve"> работы</w:t>
      </w:r>
      <w:r w:rsidRPr="00AB45CB">
        <w:t xml:space="preserve"> </w:t>
      </w:r>
      <w:r w:rsidR="004418B0">
        <w:t>состоит</w:t>
      </w:r>
      <w:r w:rsidRPr="00AB45CB">
        <w:t xml:space="preserve"> </w:t>
      </w:r>
      <w:r w:rsidR="004418B0">
        <w:t>в исследовании основных особенностей функциони</w:t>
      </w:r>
      <w:r w:rsidR="0072462D">
        <w:t>р</w:t>
      </w:r>
      <w:r w:rsidR="0024763C">
        <w:t>ования строительных организаций</w:t>
      </w:r>
      <w:r w:rsidR="0072462D">
        <w:t xml:space="preserve"> </w:t>
      </w:r>
      <w:r w:rsidR="00167DCE" w:rsidRPr="00AB45CB">
        <w:t xml:space="preserve"> </w:t>
      </w:r>
      <w:r w:rsidR="004B628F">
        <w:t>и их влияния</w:t>
      </w:r>
      <w:r w:rsidR="004418B0">
        <w:t xml:space="preserve"> на порядок учета, формирование </w:t>
      </w:r>
      <w:r w:rsidR="001F661B">
        <w:t xml:space="preserve">отчетности </w:t>
      </w:r>
      <w:r w:rsidR="004418B0">
        <w:t>и, в конечном итоге, на решения пользователей, принимаемых на основании такой отчетности</w:t>
      </w:r>
      <w:r w:rsidR="00DB5054">
        <w:t xml:space="preserve">. </w:t>
      </w:r>
    </w:p>
    <w:p w14:paraId="79714A66" w14:textId="0D4844CA" w:rsidR="00E70014" w:rsidRPr="00AB45CB" w:rsidRDefault="00DB5054" w:rsidP="0072462D">
      <w:r>
        <w:lastRenderedPageBreak/>
        <w:t xml:space="preserve">Для достижения цели исследования необходимо выполнить следующие </w:t>
      </w:r>
      <w:r w:rsidRPr="00804843">
        <w:rPr>
          <w:i/>
        </w:rPr>
        <w:t>задачи</w:t>
      </w:r>
      <w:r>
        <w:t>:</w:t>
      </w:r>
    </w:p>
    <w:p w14:paraId="6822572F" w14:textId="11438E49" w:rsidR="001370E0" w:rsidRPr="0072462D" w:rsidRDefault="00316CAF" w:rsidP="00A377E2">
      <w:pPr>
        <w:pStyle w:val="a"/>
        <w:numPr>
          <w:ilvl w:val="0"/>
          <w:numId w:val="9"/>
        </w:numPr>
        <w:ind w:left="284" w:hanging="283"/>
        <w:rPr>
          <w:rFonts w:cs="Times New Roman"/>
        </w:rPr>
      </w:pPr>
      <w:r>
        <w:rPr>
          <w:rFonts w:cs="Times New Roman"/>
        </w:rPr>
        <w:t xml:space="preserve">определить </w:t>
      </w:r>
      <w:r w:rsidR="00213A5C">
        <w:rPr>
          <w:rFonts w:cs="Times New Roman"/>
        </w:rPr>
        <w:t>место отрасл</w:t>
      </w:r>
      <w:r>
        <w:rPr>
          <w:rFonts w:cs="Times New Roman"/>
        </w:rPr>
        <w:t xml:space="preserve">и строительства и ее роль в экономике </w:t>
      </w:r>
      <w:r w:rsidR="00C47448">
        <w:rPr>
          <w:rFonts w:cs="Times New Roman"/>
        </w:rPr>
        <w:t>Российской</w:t>
      </w:r>
      <w:r>
        <w:rPr>
          <w:rFonts w:cs="Times New Roman"/>
        </w:rPr>
        <w:t xml:space="preserve"> Федерации, </w:t>
      </w:r>
      <w:r w:rsidR="001F661B" w:rsidRPr="0072462D">
        <w:rPr>
          <w:rFonts w:cs="Times New Roman"/>
        </w:rPr>
        <w:t xml:space="preserve">исследовать </w:t>
      </w:r>
      <w:r w:rsidR="00ED0720" w:rsidRPr="0072462D">
        <w:rPr>
          <w:rFonts w:cs="Times New Roman"/>
        </w:rPr>
        <w:t xml:space="preserve">реалии и перспективы деятельности строительных организаций </w:t>
      </w:r>
      <w:r>
        <w:rPr>
          <w:rFonts w:cs="Times New Roman"/>
        </w:rPr>
        <w:t>РФ</w:t>
      </w:r>
      <w:r w:rsidR="00ED0720" w:rsidRPr="0072462D">
        <w:rPr>
          <w:rFonts w:cs="Times New Roman"/>
        </w:rPr>
        <w:t>;</w:t>
      </w:r>
    </w:p>
    <w:p w14:paraId="48D6C9D8" w14:textId="659CAAF5" w:rsidR="007D245B" w:rsidRPr="0072462D" w:rsidRDefault="00FA44D8" w:rsidP="00A377E2">
      <w:pPr>
        <w:pStyle w:val="a"/>
        <w:numPr>
          <w:ilvl w:val="0"/>
          <w:numId w:val="9"/>
        </w:numPr>
        <w:ind w:left="284" w:hanging="283"/>
        <w:rPr>
          <w:rFonts w:cs="Times New Roman"/>
        </w:rPr>
      </w:pPr>
      <w:r w:rsidRPr="0072462D">
        <w:rPr>
          <w:rFonts w:cs="Times New Roman"/>
        </w:rPr>
        <w:t>обосновать зна</w:t>
      </w:r>
      <w:r w:rsidR="009F69C2" w:rsidRPr="0072462D">
        <w:rPr>
          <w:rFonts w:cs="Times New Roman"/>
        </w:rPr>
        <w:t>чи</w:t>
      </w:r>
      <w:r w:rsidR="002E2C4F" w:rsidRPr="0072462D">
        <w:rPr>
          <w:rFonts w:cs="Times New Roman"/>
        </w:rPr>
        <w:t>мо</w:t>
      </w:r>
      <w:r w:rsidR="009F69C2" w:rsidRPr="0072462D">
        <w:rPr>
          <w:rFonts w:cs="Times New Roman"/>
        </w:rPr>
        <w:t>с</w:t>
      </w:r>
      <w:r w:rsidR="002E2C4F" w:rsidRPr="0072462D">
        <w:rPr>
          <w:rFonts w:cs="Times New Roman"/>
        </w:rPr>
        <w:t>ть применения МСФО в строительных организациях;</w:t>
      </w:r>
    </w:p>
    <w:p w14:paraId="08778B4E" w14:textId="2A2870CE" w:rsidR="00AF7B02" w:rsidRPr="0072462D" w:rsidRDefault="001F661B" w:rsidP="00A377E2">
      <w:pPr>
        <w:pStyle w:val="a"/>
        <w:numPr>
          <w:ilvl w:val="0"/>
          <w:numId w:val="9"/>
        </w:numPr>
        <w:ind w:left="284" w:hanging="283"/>
        <w:rPr>
          <w:rFonts w:cs="Times New Roman"/>
        </w:rPr>
      </w:pPr>
      <w:r w:rsidRPr="0072462D">
        <w:rPr>
          <w:rFonts w:cs="Times New Roman"/>
        </w:rPr>
        <w:t xml:space="preserve">выявить </w:t>
      </w:r>
      <w:r w:rsidR="00ED0720" w:rsidRPr="0072462D">
        <w:rPr>
          <w:rFonts w:cs="Times New Roman"/>
        </w:rPr>
        <w:t xml:space="preserve">закономерности (или их </w:t>
      </w:r>
      <w:r w:rsidR="00851D3F" w:rsidRPr="0072462D">
        <w:rPr>
          <w:rFonts w:cs="Times New Roman"/>
        </w:rPr>
        <w:t>отсутствие</w:t>
      </w:r>
      <w:r w:rsidR="00ED0720" w:rsidRPr="0072462D">
        <w:rPr>
          <w:rFonts w:cs="Times New Roman"/>
        </w:rPr>
        <w:t xml:space="preserve">), </w:t>
      </w:r>
      <w:r w:rsidR="00851D3F" w:rsidRPr="0072462D">
        <w:rPr>
          <w:rFonts w:cs="Times New Roman"/>
        </w:rPr>
        <w:t>связанные</w:t>
      </w:r>
      <w:r w:rsidR="0094177E" w:rsidRPr="0072462D">
        <w:rPr>
          <w:rFonts w:cs="Times New Roman"/>
        </w:rPr>
        <w:t xml:space="preserve"> с влиянием отчетности</w:t>
      </w:r>
      <w:r w:rsidR="005E0D6C">
        <w:rPr>
          <w:rFonts w:cs="Times New Roman"/>
        </w:rPr>
        <w:t xml:space="preserve"> строительных организаций</w:t>
      </w:r>
      <w:r w:rsidR="0094177E" w:rsidRPr="0072462D">
        <w:rPr>
          <w:rFonts w:cs="Times New Roman"/>
        </w:rPr>
        <w:t xml:space="preserve"> и ее показателей на потенциально</w:t>
      </w:r>
      <w:r w:rsidR="00AF7B02" w:rsidRPr="0072462D">
        <w:rPr>
          <w:rFonts w:cs="Times New Roman"/>
        </w:rPr>
        <w:t>го пользователя отчетности</w:t>
      </w:r>
      <w:r w:rsidR="0072462D" w:rsidRPr="0072462D">
        <w:rPr>
          <w:rFonts w:cs="Times New Roman"/>
        </w:rPr>
        <w:t xml:space="preserve"> - инвестора</w:t>
      </w:r>
      <w:r w:rsidRPr="0072462D">
        <w:rPr>
          <w:rFonts w:cs="Times New Roman"/>
        </w:rPr>
        <w:t xml:space="preserve"> </w:t>
      </w:r>
      <w:r w:rsidR="008051B9">
        <w:rPr>
          <w:rFonts w:cs="Times New Roman"/>
        </w:rPr>
        <w:t>(такие закономерности важно выявить именно для строительных организаций, поскольку введение нового стандарта по выручке, скорее всего, окажет значительное влияние именно на отрасль строительства)</w:t>
      </w:r>
      <w:r w:rsidR="00AF7B02" w:rsidRPr="0072462D">
        <w:rPr>
          <w:rFonts w:cs="Times New Roman"/>
        </w:rPr>
        <w:t>;</w:t>
      </w:r>
    </w:p>
    <w:p w14:paraId="6D27F205" w14:textId="0C29D258" w:rsidR="00AF7B02" w:rsidRPr="0072462D" w:rsidRDefault="001F661B" w:rsidP="00A377E2">
      <w:pPr>
        <w:pStyle w:val="a"/>
        <w:numPr>
          <w:ilvl w:val="0"/>
          <w:numId w:val="9"/>
        </w:numPr>
        <w:ind w:left="284" w:hanging="283"/>
        <w:rPr>
          <w:rFonts w:cs="Times New Roman"/>
        </w:rPr>
      </w:pPr>
      <w:r w:rsidRPr="0072462D">
        <w:rPr>
          <w:rFonts w:cs="Times New Roman"/>
        </w:rPr>
        <w:t xml:space="preserve">выделить </w:t>
      </w:r>
      <w:r w:rsidR="00AF7B02" w:rsidRPr="0072462D">
        <w:rPr>
          <w:rFonts w:cs="Times New Roman"/>
        </w:rPr>
        <w:t xml:space="preserve">основные особенности функционирования строительных организаций, </w:t>
      </w:r>
      <w:r w:rsidR="00851D3F" w:rsidRPr="0072462D">
        <w:rPr>
          <w:rFonts w:cs="Times New Roman"/>
        </w:rPr>
        <w:t>влияющие</w:t>
      </w:r>
      <w:r w:rsidR="00AF7B02" w:rsidRPr="0072462D">
        <w:rPr>
          <w:rFonts w:cs="Times New Roman"/>
        </w:rPr>
        <w:t xml:space="preserve"> на процесс учета и формирования отчетности в соответствии с Международными Стандартами;</w:t>
      </w:r>
    </w:p>
    <w:p w14:paraId="307C9CFC" w14:textId="6141304C" w:rsidR="00ED0720" w:rsidRPr="0072462D" w:rsidRDefault="001F661B" w:rsidP="00A377E2">
      <w:pPr>
        <w:pStyle w:val="a"/>
        <w:numPr>
          <w:ilvl w:val="0"/>
          <w:numId w:val="9"/>
        </w:numPr>
        <w:ind w:left="284" w:hanging="283"/>
        <w:rPr>
          <w:rFonts w:cs="Times New Roman"/>
        </w:rPr>
      </w:pPr>
      <w:r w:rsidRPr="0072462D">
        <w:rPr>
          <w:rFonts w:cs="Times New Roman"/>
        </w:rPr>
        <w:t xml:space="preserve">проанализировать </w:t>
      </w:r>
      <w:r w:rsidR="00FA44D8" w:rsidRPr="0072462D">
        <w:rPr>
          <w:rFonts w:cs="Times New Roman"/>
        </w:rPr>
        <w:t xml:space="preserve">процесс учета долгосрочных </w:t>
      </w:r>
      <w:r w:rsidR="00C47448" w:rsidRPr="0072462D">
        <w:rPr>
          <w:rFonts w:cs="Times New Roman"/>
        </w:rPr>
        <w:t>договоров</w:t>
      </w:r>
      <w:r w:rsidR="00FA44D8" w:rsidRPr="0072462D">
        <w:rPr>
          <w:rFonts w:cs="Times New Roman"/>
        </w:rPr>
        <w:t xml:space="preserve"> на строительство в соответствии с МСФО (</w:t>
      </w:r>
      <w:r w:rsidR="00FA44D8" w:rsidRPr="0072462D">
        <w:rPr>
          <w:rFonts w:cs="Times New Roman"/>
          <w:lang w:val="en-US"/>
        </w:rPr>
        <w:t xml:space="preserve">IAS) 11 </w:t>
      </w:r>
      <w:r w:rsidR="00FA44D8" w:rsidRPr="0072462D">
        <w:rPr>
          <w:rFonts w:cs="Times New Roman"/>
        </w:rPr>
        <w:t>«</w:t>
      </w:r>
      <w:r w:rsidR="00C47448" w:rsidRPr="0072462D">
        <w:rPr>
          <w:rFonts w:cs="Times New Roman"/>
        </w:rPr>
        <w:t>Договоры</w:t>
      </w:r>
      <w:r w:rsidR="00FA44D8" w:rsidRPr="0072462D">
        <w:rPr>
          <w:rFonts w:cs="Times New Roman"/>
        </w:rPr>
        <w:t xml:space="preserve"> на строительство»</w:t>
      </w:r>
      <w:r w:rsidR="00AF7B02" w:rsidRPr="0072462D">
        <w:rPr>
          <w:rFonts w:cs="Times New Roman"/>
        </w:rPr>
        <w:t>;</w:t>
      </w:r>
    </w:p>
    <w:p w14:paraId="6B1B2EA7" w14:textId="7C12F486" w:rsidR="007D245B" w:rsidRDefault="0072462D" w:rsidP="00A377E2">
      <w:pPr>
        <w:pStyle w:val="a"/>
        <w:numPr>
          <w:ilvl w:val="0"/>
          <w:numId w:val="9"/>
        </w:numPr>
        <w:ind w:left="284" w:hanging="283"/>
        <w:rPr>
          <w:rFonts w:cs="Times New Roman"/>
        </w:rPr>
      </w:pPr>
      <w:r w:rsidRPr="0072462D">
        <w:rPr>
          <w:rFonts w:cs="Times New Roman"/>
        </w:rPr>
        <w:t>определить</w:t>
      </w:r>
      <w:r w:rsidR="007D245B" w:rsidRPr="0072462D">
        <w:rPr>
          <w:rFonts w:cs="Times New Roman"/>
        </w:rPr>
        <w:t xml:space="preserve"> возможное влияние введения нового стандарта МСФО (</w:t>
      </w:r>
      <w:r w:rsidR="007D245B" w:rsidRPr="0072462D">
        <w:rPr>
          <w:rFonts w:cs="Times New Roman"/>
          <w:lang w:val="en-US"/>
        </w:rPr>
        <w:t xml:space="preserve">IFRS) 15 </w:t>
      </w:r>
      <w:r w:rsidR="007D245B" w:rsidRPr="0072462D">
        <w:rPr>
          <w:rFonts w:cs="Times New Roman"/>
        </w:rPr>
        <w:t>на учет долгос</w:t>
      </w:r>
      <w:r w:rsidR="00FA44D8" w:rsidRPr="0072462D">
        <w:rPr>
          <w:rFonts w:cs="Times New Roman"/>
        </w:rPr>
        <w:t xml:space="preserve">рочных </w:t>
      </w:r>
      <w:r w:rsidR="00C47448" w:rsidRPr="0072462D">
        <w:rPr>
          <w:rFonts w:cs="Times New Roman"/>
        </w:rPr>
        <w:t>договоров</w:t>
      </w:r>
      <w:r w:rsidR="00FA44D8" w:rsidRPr="0072462D">
        <w:rPr>
          <w:rFonts w:cs="Times New Roman"/>
        </w:rPr>
        <w:t xml:space="preserve"> на строи</w:t>
      </w:r>
      <w:r w:rsidR="00ED2D0E">
        <w:rPr>
          <w:rFonts w:cs="Times New Roman"/>
        </w:rPr>
        <w:t>т</w:t>
      </w:r>
      <w:r w:rsidR="00FA44D8" w:rsidRPr="0072462D">
        <w:rPr>
          <w:rFonts w:cs="Times New Roman"/>
        </w:rPr>
        <w:t>ельство и, как следствие, на показатели отчетности компаний;</w:t>
      </w:r>
    </w:p>
    <w:p w14:paraId="200699A9" w14:textId="74B71546" w:rsidR="00ED2D0E" w:rsidRPr="0072462D" w:rsidRDefault="00ED2D0E" w:rsidP="00A377E2">
      <w:pPr>
        <w:pStyle w:val="a"/>
        <w:numPr>
          <w:ilvl w:val="0"/>
          <w:numId w:val="9"/>
        </w:numPr>
        <w:ind w:left="284" w:hanging="283"/>
        <w:rPr>
          <w:rFonts w:cs="Times New Roman"/>
        </w:rPr>
      </w:pPr>
      <w:r>
        <w:rPr>
          <w:rFonts w:cs="Times New Roman"/>
        </w:rPr>
        <w:t xml:space="preserve">исследовать отчетность российских и зарубежных строительных организаций </w:t>
      </w:r>
      <w:r w:rsidR="009F10F4">
        <w:rPr>
          <w:rFonts w:cs="Times New Roman"/>
        </w:rPr>
        <w:t>в соответствии с МСФО</w:t>
      </w:r>
      <w:r w:rsidR="00045271">
        <w:rPr>
          <w:rFonts w:cs="Times New Roman"/>
        </w:rPr>
        <w:t xml:space="preserve"> на предмет соответствия стандартам</w:t>
      </w:r>
      <w:r w:rsidR="005A4CCD">
        <w:rPr>
          <w:rFonts w:cs="Times New Roman"/>
        </w:rPr>
        <w:t xml:space="preserve">, </w:t>
      </w:r>
      <w:r w:rsidR="00045271">
        <w:rPr>
          <w:rFonts w:cs="Times New Roman"/>
        </w:rPr>
        <w:t>полноты раскрываемой информации, удобства информации для пользователей</w:t>
      </w:r>
      <w:r w:rsidR="009F10F4">
        <w:rPr>
          <w:rFonts w:cs="Times New Roman"/>
        </w:rPr>
        <w:t>;</w:t>
      </w:r>
    </w:p>
    <w:p w14:paraId="379F2A11" w14:textId="42E54C06" w:rsidR="00AF7B02" w:rsidRDefault="001F661B" w:rsidP="00A377E2">
      <w:pPr>
        <w:pStyle w:val="a"/>
        <w:numPr>
          <w:ilvl w:val="0"/>
          <w:numId w:val="9"/>
        </w:numPr>
        <w:ind w:left="284" w:hanging="283"/>
        <w:rPr>
          <w:rFonts w:cs="Times New Roman"/>
        </w:rPr>
      </w:pPr>
      <w:r w:rsidRPr="0072462D">
        <w:rPr>
          <w:rFonts w:cs="Times New Roman"/>
        </w:rPr>
        <w:t xml:space="preserve">выявить </w:t>
      </w:r>
      <w:r w:rsidR="00976B98" w:rsidRPr="0072462D">
        <w:rPr>
          <w:rFonts w:cs="Times New Roman"/>
        </w:rPr>
        <w:t xml:space="preserve">основные особенности представления отчетности в соответствии с МСФО строительными </w:t>
      </w:r>
      <w:r w:rsidR="00851D3F" w:rsidRPr="0072462D">
        <w:rPr>
          <w:rFonts w:cs="Times New Roman"/>
        </w:rPr>
        <w:t>организациями</w:t>
      </w:r>
      <w:r w:rsidR="00976B98" w:rsidRPr="0072462D">
        <w:rPr>
          <w:rFonts w:cs="Times New Roman"/>
        </w:rPr>
        <w:t xml:space="preserve"> на примере отчетности российских и зарубежных строительных организаций.</w:t>
      </w:r>
    </w:p>
    <w:p w14:paraId="322C9289" w14:textId="6A10DBB9" w:rsidR="00995099" w:rsidRDefault="00995099" w:rsidP="00995099">
      <w:pPr>
        <w:rPr>
          <w:b/>
        </w:rPr>
      </w:pPr>
      <w:r w:rsidRPr="00995099">
        <w:rPr>
          <w:b/>
        </w:rPr>
        <w:t>С</w:t>
      </w:r>
      <w:r>
        <w:rPr>
          <w:b/>
        </w:rPr>
        <w:t xml:space="preserve">труктура </w:t>
      </w:r>
      <w:r w:rsidR="00667006">
        <w:rPr>
          <w:b/>
        </w:rPr>
        <w:t>и логика</w:t>
      </w:r>
      <w:r w:rsidR="00E443A3">
        <w:rPr>
          <w:b/>
        </w:rPr>
        <w:t xml:space="preserve"> </w:t>
      </w:r>
      <w:r>
        <w:rPr>
          <w:b/>
        </w:rPr>
        <w:t>исследования</w:t>
      </w:r>
    </w:p>
    <w:p w14:paraId="552C1E59" w14:textId="515948A4" w:rsidR="00995099" w:rsidRDefault="00E443A3" w:rsidP="00995099">
      <w:r w:rsidRPr="00E443A3">
        <w:rPr>
          <w:i/>
        </w:rPr>
        <w:t>Логик</w:t>
      </w:r>
      <w:r w:rsidR="006F5FE9">
        <w:t>а исследования</w:t>
      </w:r>
      <w:r>
        <w:t xml:space="preserve"> находит свое отражение в его структуре. </w:t>
      </w:r>
      <w:r w:rsidR="00995099" w:rsidRPr="00995099">
        <w:t>При</w:t>
      </w:r>
      <w:r w:rsidR="00316CAF">
        <w:t xml:space="preserve"> </w:t>
      </w:r>
      <w:r w:rsidR="00995099">
        <w:t xml:space="preserve">разработке </w:t>
      </w:r>
      <w:r w:rsidR="00995099" w:rsidRPr="00E443A3">
        <w:rPr>
          <w:i/>
        </w:rPr>
        <w:t>структуры</w:t>
      </w:r>
      <w:r w:rsidR="00995099">
        <w:t xml:space="preserve"> исследования </w:t>
      </w:r>
      <w:r w:rsidR="00316CAF">
        <w:t xml:space="preserve">используется правило соответствия: каждой поставленной задаче соответствует параграф работы. Параграфы работы объединены в более крупные смысловые </w:t>
      </w:r>
      <w:r w:rsidR="00C47448">
        <w:t>единицы</w:t>
      </w:r>
      <w:r w:rsidR="00316CAF">
        <w:t xml:space="preserve"> – главы.</w:t>
      </w:r>
      <w:r w:rsidR="00667006">
        <w:t xml:space="preserve"> </w:t>
      </w:r>
    </w:p>
    <w:p w14:paraId="126F64D2" w14:textId="24D540B1" w:rsidR="00316CAF" w:rsidRDefault="00DD3886" w:rsidP="00995099">
      <w:r w:rsidRPr="00DD3886">
        <w:rPr>
          <w:i/>
        </w:rPr>
        <w:t>П</w:t>
      </w:r>
      <w:r w:rsidR="00316CAF" w:rsidRPr="00DD3886">
        <w:rPr>
          <w:i/>
        </w:rPr>
        <w:t>ерв</w:t>
      </w:r>
      <w:r w:rsidR="00316CAF" w:rsidRPr="00316CAF">
        <w:rPr>
          <w:i/>
        </w:rPr>
        <w:t>ая глава</w:t>
      </w:r>
      <w:r w:rsidR="00316CAF">
        <w:t xml:space="preserve"> исследования призвана решить первые три задачи исследования, описанные выше. Отчетность строительных организаций рассматривается в контексте ее влияния на инвестора</w:t>
      </w:r>
      <w:r w:rsidR="0034496E">
        <w:t xml:space="preserve"> строи</w:t>
      </w:r>
      <w:r w:rsidR="007F3801">
        <w:t>т</w:t>
      </w:r>
      <w:r w:rsidR="0034496E">
        <w:t>е</w:t>
      </w:r>
      <w:r w:rsidR="007F3801">
        <w:t>льных организаций</w:t>
      </w:r>
      <w:r w:rsidR="00316CAF">
        <w:t>, и как следствие, инвестиционную привлекательность организаций (которую ввиду сложившейся на сегодняшний ситуации</w:t>
      </w:r>
      <w:r>
        <w:t xml:space="preserve"> в отрасли и в экономике</w:t>
      </w:r>
      <w:r w:rsidR="00316CAF">
        <w:t xml:space="preserve"> необходимо существенно повысить).</w:t>
      </w:r>
      <w:r>
        <w:t xml:space="preserve"> Также проводится статистический анализ влияния показателей отчетности компаний по МСФО и РСБУ на рыночную капитализацию компаний.</w:t>
      </w:r>
    </w:p>
    <w:p w14:paraId="2E4D82EC" w14:textId="35F5131D" w:rsidR="00DD3886" w:rsidRDefault="00DD3886" w:rsidP="00995099">
      <w:r w:rsidRPr="00DD3886">
        <w:rPr>
          <w:i/>
        </w:rPr>
        <w:lastRenderedPageBreak/>
        <w:t>Вторая глава</w:t>
      </w:r>
      <w:r w:rsidR="007F3801">
        <w:rPr>
          <w:i/>
        </w:rPr>
        <w:t xml:space="preserve"> </w:t>
      </w:r>
      <w:r w:rsidR="007F3801" w:rsidRPr="007F3801">
        <w:t>(</w:t>
      </w:r>
      <w:r w:rsidR="007F3801">
        <w:t>в ней реализованы следующие три задачи исследования)</w:t>
      </w:r>
      <w:r>
        <w:t xml:space="preserve"> посвящена непосредственно особенностям функционирования строительных организаций, которые обуславливают применение </w:t>
      </w:r>
      <w:r w:rsidR="00C47448">
        <w:t>определённых</w:t>
      </w:r>
      <w:r w:rsidR="00C24963">
        <w:t xml:space="preserve"> стандартов</w:t>
      </w:r>
      <w:r w:rsidR="007F3801">
        <w:t xml:space="preserve"> и особенности процесса учета. Основные положения и особенности учета в соответствии с МСФО (</w:t>
      </w:r>
      <w:r w:rsidR="007F3801">
        <w:rPr>
          <w:lang w:val="en-US"/>
        </w:rPr>
        <w:t xml:space="preserve">IAS) 11 </w:t>
      </w:r>
      <w:r w:rsidR="007F3801">
        <w:t xml:space="preserve">«Договоры на строительство» </w:t>
      </w:r>
      <w:r w:rsidR="000D6402">
        <w:t xml:space="preserve">(по мнению автора, именно применение данного стандарта является главной особенностью учета в строительных организациях, поэтому </w:t>
      </w:r>
      <w:r w:rsidR="00503D92">
        <w:t xml:space="preserve">положения данного стандарта проанализированы в исследовании подробно) </w:t>
      </w:r>
      <w:r w:rsidR="007F3801">
        <w:t>рассмотрены на конкретных примерах автора, также автором представлен алгоритм определения финансового результата</w:t>
      </w:r>
      <w:r w:rsidR="009D0916">
        <w:t xml:space="preserve"> по </w:t>
      </w:r>
      <w:r w:rsidR="00C47448">
        <w:t>договорам</w:t>
      </w:r>
      <w:r w:rsidR="009D0916">
        <w:t xml:space="preserve"> на строительство</w:t>
      </w:r>
      <w:r w:rsidR="007F3801">
        <w:t xml:space="preserve"> в соответствии с данным стандартом в форме схемы. Кроме того, рассматриваются возможные проблемы, с которыми могут столкнуться строительные организации в </w:t>
      </w:r>
      <w:r w:rsidR="00C47448">
        <w:t>процессе</w:t>
      </w:r>
      <w:r w:rsidR="007F3801">
        <w:t xml:space="preserve"> перехода на новый МСФО </w:t>
      </w:r>
      <w:r w:rsidR="007F3801">
        <w:rPr>
          <w:lang w:val="en-US"/>
        </w:rPr>
        <w:t xml:space="preserve">(IFRS) 15 </w:t>
      </w:r>
      <w:r w:rsidR="007F3801">
        <w:t xml:space="preserve">«Выручка по </w:t>
      </w:r>
      <w:r w:rsidR="00C47448">
        <w:t>договорам</w:t>
      </w:r>
      <w:r w:rsidR="007F3801">
        <w:t xml:space="preserve"> с покупателями», который может оказать значительное влияние на ключевые показатели отчетности организаций и, как следствие, на </w:t>
      </w:r>
      <w:r w:rsidR="0034496E">
        <w:t>решения пользователей отчетности</w:t>
      </w:r>
      <w:r w:rsidR="007F3801">
        <w:t>.</w:t>
      </w:r>
    </w:p>
    <w:p w14:paraId="674790B0" w14:textId="5845FC2E" w:rsidR="0034496E" w:rsidRDefault="0034496E" w:rsidP="00995099">
      <w:r w:rsidRPr="0034496E">
        <w:rPr>
          <w:i/>
        </w:rPr>
        <w:t>Третья глава</w:t>
      </w:r>
      <w:r>
        <w:t xml:space="preserve"> представляет собой исследование отчетности российских и зарубежных строительных организаций</w:t>
      </w:r>
      <w:r w:rsidR="00620158">
        <w:t xml:space="preserve"> с целью выявления основных особенностей представления отчетн</w:t>
      </w:r>
      <w:r w:rsidR="006030F6">
        <w:t xml:space="preserve">ости в строительных </w:t>
      </w:r>
      <w:r w:rsidR="00C47448">
        <w:t>организациях</w:t>
      </w:r>
      <w:r w:rsidR="006030F6">
        <w:t xml:space="preserve"> в связи с</w:t>
      </w:r>
      <w:r w:rsidR="00213A5C">
        <w:t xml:space="preserve">о спецификой </w:t>
      </w:r>
      <w:r w:rsidR="006030F6">
        <w:t xml:space="preserve">учета, </w:t>
      </w:r>
      <w:r w:rsidR="00213A5C">
        <w:t>описанной</w:t>
      </w:r>
      <w:r w:rsidR="006030F6">
        <w:t xml:space="preserve"> во второй главе.</w:t>
      </w:r>
    </w:p>
    <w:p w14:paraId="2BC54C52" w14:textId="6C6AABFB" w:rsidR="00213A5C" w:rsidRPr="007F3801" w:rsidRDefault="00213A5C" w:rsidP="00995099">
      <w:r>
        <w:t>Далее следует заключение</w:t>
      </w:r>
      <w:r w:rsidR="00667006">
        <w:t xml:space="preserve"> (</w:t>
      </w:r>
      <w:r w:rsidR="00E66D28">
        <w:t xml:space="preserve">представляющее собой синтез всех выводов, </w:t>
      </w:r>
      <w:r w:rsidR="00667006">
        <w:t xml:space="preserve">сделанных в исследовании), список использованных источников и приложения. </w:t>
      </w:r>
    </w:p>
    <w:p w14:paraId="73294526" w14:textId="77777777" w:rsidR="002469F3" w:rsidRDefault="002C4324" w:rsidP="00DF5751">
      <w:r w:rsidRPr="00F96E44">
        <w:rPr>
          <w:b/>
        </w:rPr>
        <w:t>Теоретико-методологическая ба</w:t>
      </w:r>
      <w:r w:rsidR="002469F3" w:rsidRPr="00F96E44">
        <w:rPr>
          <w:b/>
        </w:rPr>
        <w:t>за исследования</w:t>
      </w:r>
      <w:r w:rsidR="002469F3" w:rsidRPr="00F96E44">
        <w:t xml:space="preserve"> включает в себя:</w:t>
      </w:r>
    </w:p>
    <w:p w14:paraId="114EC4A9" w14:textId="70055A86" w:rsidR="002C4324" w:rsidRDefault="002C4324" w:rsidP="00A377E2">
      <w:pPr>
        <w:pStyle w:val="a"/>
        <w:numPr>
          <w:ilvl w:val="0"/>
          <w:numId w:val="23"/>
        </w:numPr>
        <w:ind w:left="284" w:hanging="284"/>
      </w:pPr>
      <w:r>
        <w:t>статистические данные Федеральной службы государственной статистики</w:t>
      </w:r>
      <w:r w:rsidR="000C5A4C">
        <w:t xml:space="preserve"> (использованы наиболее актуальные данные</w:t>
      </w:r>
      <w:r w:rsidR="0021649F">
        <w:t xml:space="preserve">, представленные на сайте и в статистических сборниках, а также при изучении динамики явлений используются </w:t>
      </w:r>
      <w:r w:rsidR="001C443C">
        <w:t>данные за последние 15 лет)</w:t>
      </w:r>
      <w:r w:rsidR="002469F3">
        <w:t>;</w:t>
      </w:r>
    </w:p>
    <w:p w14:paraId="15DB32A2" w14:textId="71413C20" w:rsidR="00B96833" w:rsidRDefault="001B3913" w:rsidP="00A377E2">
      <w:pPr>
        <w:pStyle w:val="a"/>
        <w:numPr>
          <w:ilvl w:val="0"/>
          <w:numId w:val="23"/>
        </w:numPr>
        <w:ind w:left="284" w:hanging="284"/>
      </w:pPr>
      <w:r>
        <w:t xml:space="preserve">законы и </w:t>
      </w:r>
      <w:r w:rsidR="00D51EC9">
        <w:t>нормативно-</w:t>
      </w:r>
      <w:r w:rsidR="00B96833">
        <w:t>правовые</w:t>
      </w:r>
      <w:r>
        <w:t xml:space="preserve"> </w:t>
      </w:r>
      <w:r w:rsidR="00B96833">
        <w:t xml:space="preserve">акты </w:t>
      </w:r>
      <w:r>
        <w:t>(</w:t>
      </w:r>
      <w:r w:rsidR="00B96833">
        <w:t xml:space="preserve">Стандарты, Разъяснения, </w:t>
      </w:r>
      <w:r>
        <w:t>и пр.</w:t>
      </w:r>
      <w:r w:rsidR="00B96833">
        <w:t>);</w:t>
      </w:r>
    </w:p>
    <w:p w14:paraId="15321CEA" w14:textId="77777777" w:rsidR="00B96833" w:rsidRDefault="001B3913" w:rsidP="00A377E2">
      <w:pPr>
        <w:pStyle w:val="a"/>
        <w:numPr>
          <w:ilvl w:val="0"/>
          <w:numId w:val="23"/>
        </w:numPr>
        <w:ind w:left="284" w:hanging="284"/>
      </w:pPr>
      <w:r>
        <w:t xml:space="preserve">российские и международные </w:t>
      </w:r>
      <w:r w:rsidR="00B454F9">
        <w:t>периодические</w:t>
      </w:r>
      <w:r w:rsidR="00B454F9" w:rsidRPr="009E60EB">
        <w:t xml:space="preserve"> </w:t>
      </w:r>
      <w:r w:rsidR="00B454F9">
        <w:t>издания</w:t>
      </w:r>
      <w:r w:rsidR="00B454F9" w:rsidRPr="009E60EB">
        <w:t xml:space="preserve"> (</w:t>
      </w:r>
      <w:r w:rsidR="00B454F9">
        <w:t>например</w:t>
      </w:r>
      <w:r w:rsidR="00B454F9" w:rsidRPr="009E60EB">
        <w:t xml:space="preserve">, </w:t>
      </w:r>
      <w:r w:rsidR="00B454F9" w:rsidRPr="008C1E67">
        <w:rPr>
          <w:lang w:val="en-US"/>
        </w:rPr>
        <w:t>Journal</w:t>
      </w:r>
      <w:r w:rsidR="00B454F9" w:rsidRPr="009E60EB">
        <w:t xml:space="preserve"> </w:t>
      </w:r>
      <w:r w:rsidR="00B454F9" w:rsidRPr="008C1E67">
        <w:rPr>
          <w:lang w:val="en-US"/>
        </w:rPr>
        <w:t>of</w:t>
      </w:r>
      <w:r w:rsidR="00B454F9" w:rsidRPr="009E60EB">
        <w:t xml:space="preserve"> </w:t>
      </w:r>
      <w:r w:rsidR="00B454F9" w:rsidRPr="008C1E67">
        <w:rPr>
          <w:lang w:val="en-US"/>
        </w:rPr>
        <w:t>Business</w:t>
      </w:r>
      <w:r w:rsidR="00B454F9" w:rsidRPr="009E60EB">
        <w:t xml:space="preserve"> </w:t>
      </w:r>
      <w:r w:rsidR="00B454F9" w:rsidRPr="008C1E67">
        <w:rPr>
          <w:lang w:val="en-US"/>
        </w:rPr>
        <w:t>Finance</w:t>
      </w:r>
      <w:r w:rsidR="00B454F9" w:rsidRPr="009E60EB">
        <w:t xml:space="preserve"> &amp; </w:t>
      </w:r>
      <w:r w:rsidR="00B454F9" w:rsidRPr="008C1E67">
        <w:rPr>
          <w:lang w:val="en-US"/>
        </w:rPr>
        <w:t>Accounting</w:t>
      </w:r>
      <w:r w:rsidR="00B454F9" w:rsidRPr="009E60EB">
        <w:t>);</w:t>
      </w:r>
    </w:p>
    <w:p w14:paraId="3E7F7F36" w14:textId="398920FA" w:rsidR="00C47448" w:rsidRPr="009E60EB" w:rsidRDefault="00C47448" w:rsidP="00A377E2">
      <w:pPr>
        <w:pStyle w:val="a"/>
        <w:numPr>
          <w:ilvl w:val="0"/>
          <w:numId w:val="23"/>
        </w:numPr>
        <w:ind w:left="284" w:hanging="284"/>
      </w:pPr>
      <w:r>
        <w:t>учебники и учетные пособия по бухгалтерскому учету (таких авторов, как Генералова Н.В., Бочкарева И.И., Адамов Н.А., Левина Г.Г. и др.</w:t>
      </w:r>
    </w:p>
    <w:p w14:paraId="3E8BE8FE" w14:textId="7AD7442F" w:rsidR="00B454F9" w:rsidRDefault="00B454F9" w:rsidP="00A377E2">
      <w:pPr>
        <w:pStyle w:val="a"/>
        <w:numPr>
          <w:ilvl w:val="0"/>
          <w:numId w:val="23"/>
        </w:numPr>
        <w:ind w:left="284" w:hanging="284"/>
      </w:pPr>
      <w:r>
        <w:t>интернет-ресур</w:t>
      </w:r>
      <w:r w:rsidR="001B3913">
        <w:t>с</w:t>
      </w:r>
      <w:r>
        <w:t>ы (в основ</w:t>
      </w:r>
      <w:r w:rsidR="00EB5C2D">
        <w:t>ном, это консолидированная финансовая отчетность организаций за последние семь л</w:t>
      </w:r>
      <w:r w:rsidR="000C3C0D">
        <w:t>ет, размещенная на сайтах строи</w:t>
      </w:r>
      <w:r w:rsidR="00EB5C2D">
        <w:t>т</w:t>
      </w:r>
      <w:r w:rsidR="000C3C0D">
        <w:t>е</w:t>
      </w:r>
      <w:r w:rsidR="00EB5C2D">
        <w:t>льных организаций</w:t>
      </w:r>
      <w:r>
        <w:t>).</w:t>
      </w:r>
    </w:p>
    <w:p w14:paraId="0E37C047" w14:textId="395D51C5" w:rsidR="00F96E44" w:rsidRDefault="00667006" w:rsidP="00F96E44">
      <w:r>
        <w:t xml:space="preserve">Проблема учета в строительных организациях в соответствии с МСФО  разработана в недостаточной степени российскими учеными, главном образом отмечается нехватка публикаций </w:t>
      </w:r>
      <w:r w:rsidRPr="00F96E44">
        <w:t>по методологии и методике учета и представления отчетности</w:t>
      </w:r>
      <w:r w:rsidR="00F96E44">
        <w:t xml:space="preserve"> по МСФО</w:t>
      </w:r>
      <w:r w:rsidRPr="00F96E44">
        <w:t>, признания доходов и расходов в привязке к российском специфик</w:t>
      </w:r>
      <w:r w:rsidR="00F96E44" w:rsidRPr="00F96E44">
        <w:t>е</w:t>
      </w:r>
      <w:r w:rsidRPr="00F96E44">
        <w:t xml:space="preserve">. </w:t>
      </w:r>
      <w:r w:rsidR="00F96E44">
        <w:t xml:space="preserve">Однако, специалистами в области МСФО (такими как, Генералова Н.В., </w:t>
      </w:r>
      <w:r w:rsidR="00F96E44" w:rsidRPr="00ED155C">
        <w:t xml:space="preserve">Ширикова К. </w:t>
      </w:r>
      <w:r w:rsidR="00F96E44">
        <w:t xml:space="preserve">С., </w:t>
      </w:r>
      <w:r w:rsidR="00F96E44" w:rsidRPr="00ED155C">
        <w:t>Крупа, В. В.</w:t>
      </w:r>
      <w:r w:rsidR="00F96E44">
        <w:t xml:space="preserve">, </w:t>
      </w:r>
      <w:r w:rsidR="00F96E44" w:rsidRPr="00ED155C">
        <w:t xml:space="preserve">Крапивенцева </w:t>
      </w:r>
      <w:r w:rsidR="00F96E44" w:rsidRPr="00ED155C">
        <w:lastRenderedPageBreak/>
        <w:t xml:space="preserve">С.В. </w:t>
      </w:r>
      <w:r w:rsidR="00F96E44">
        <w:t xml:space="preserve"> и др.) рассматриваются вопросы применения отдельных стандартов, являющимися ключевыми для строительных организаций (однако, в основном, без привязки к специфике деятельности).</w:t>
      </w:r>
    </w:p>
    <w:p w14:paraId="6787212A" w14:textId="2B89CF80" w:rsidR="00667006" w:rsidRDefault="00667006" w:rsidP="00667006">
      <w:r w:rsidRPr="00F96E44">
        <w:t xml:space="preserve">Кроме того, проблемы вызывает недостаточное количество статистических данных по данному вопросу, а порой их несогласованность. </w:t>
      </w:r>
    </w:p>
    <w:p w14:paraId="5010C193" w14:textId="2C2001F5" w:rsidR="000C5A4C" w:rsidRDefault="000C5A4C" w:rsidP="000B1351">
      <w:r>
        <w:t xml:space="preserve">Для достижения поставленных перед исследователем задач в </w:t>
      </w:r>
      <w:r w:rsidR="00DD729E">
        <w:t>работе</w:t>
      </w:r>
      <w:r>
        <w:t xml:space="preserve"> применяются следующие </w:t>
      </w:r>
      <w:r w:rsidRPr="000C5A4C">
        <w:rPr>
          <w:b/>
        </w:rPr>
        <w:t>научные методы</w:t>
      </w:r>
      <w:r>
        <w:t>: анализ, систематизация, сравнение, статистический</w:t>
      </w:r>
      <w:r w:rsidR="001C443C">
        <w:t xml:space="preserve"> а</w:t>
      </w:r>
      <w:r>
        <w:t xml:space="preserve">нализ, </w:t>
      </w:r>
      <w:r w:rsidR="001C443C">
        <w:t xml:space="preserve">моделирование, </w:t>
      </w:r>
      <w:r>
        <w:t>выборочное  исследование</w:t>
      </w:r>
      <w:r w:rsidR="001C443C">
        <w:t>, формализация.</w:t>
      </w:r>
    </w:p>
    <w:p w14:paraId="273334E9" w14:textId="77777777" w:rsidR="001B3913" w:rsidRDefault="001B3913" w:rsidP="00EC494A"/>
    <w:p w14:paraId="72819F44" w14:textId="77777777" w:rsidR="00BB3469" w:rsidRPr="00BB3469" w:rsidRDefault="00BB3469" w:rsidP="00BB3469"/>
    <w:p w14:paraId="71C7DEA0" w14:textId="77777777" w:rsidR="00752BC2" w:rsidRPr="00ED1833" w:rsidRDefault="00752BC2" w:rsidP="00ED1833">
      <w:pPr>
        <w:spacing w:line="240" w:lineRule="auto"/>
        <w:jc w:val="left"/>
        <w:rPr>
          <w:rFonts w:eastAsiaTheme="majorEastAsia" w:cstheme="majorBidi"/>
          <w:b/>
          <w:color w:val="000000" w:themeColor="text1"/>
          <w:sz w:val="28"/>
          <w:szCs w:val="32"/>
        </w:rPr>
      </w:pPr>
      <w:r>
        <w:br w:type="page"/>
      </w:r>
    </w:p>
    <w:p w14:paraId="21862BA5" w14:textId="4CD949E5" w:rsidR="008373DC" w:rsidRPr="008373DC" w:rsidRDefault="00FA66F0" w:rsidP="000E21EE">
      <w:pPr>
        <w:pStyle w:val="1"/>
        <w:ind w:firstLine="0"/>
      </w:pPr>
      <w:bookmarkStart w:id="5" w:name="_Toc451081006"/>
      <w:r>
        <w:lastRenderedPageBreak/>
        <w:t>Глава 1</w:t>
      </w:r>
      <w:r w:rsidR="00851D3F">
        <w:t xml:space="preserve"> </w:t>
      </w:r>
      <w:r w:rsidR="00D04B84">
        <w:t>Исследование необходимости применения МСФО российскими строительными организациями</w:t>
      </w:r>
      <w:bookmarkEnd w:id="5"/>
    </w:p>
    <w:p w14:paraId="0BF0A78F" w14:textId="64B47174" w:rsidR="00021428" w:rsidRDefault="00052B93" w:rsidP="00021428">
      <w:pPr>
        <w:rPr>
          <w:i/>
        </w:rPr>
      </w:pPr>
      <w:r w:rsidRPr="00BA1FAD">
        <w:rPr>
          <w:i/>
        </w:rPr>
        <w:t>Анализируя особенности учета и формир</w:t>
      </w:r>
      <w:r w:rsidR="00E70014" w:rsidRPr="00BA1FAD">
        <w:rPr>
          <w:i/>
        </w:rPr>
        <w:t>ования отчетности в строи</w:t>
      </w:r>
      <w:r w:rsidRPr="00BA1FAD">
        <w:rPr>
          <w:i/>
        </w:rPr>
        <w:t>т</w:t>
      </w:r>
      <w:r w:rsidR="00E70014" w:rsidRPr="00BA1FAD">
        <w:rPr>
          <w:i/>
        </w:rPr>
        <w:t>е</w:t>
      </w:r>
      <w:r w:rsidRPr="00BA1FAD">
        <w:rPr>
          <w:i/>
        </w:rPr>
        <w:t xml:space="preserve">льных организациях в соответствии с МСФО, по мнению автора, в первую очередь необходимо </w:t>
      </w:r>
      <w:r w:rsidR="00CE78C1" w:rsidRPr="00BA1FAD">
        <w:rPr>
          <w:i/>
        </w:rPr>
        <w:t>обоснов</w:t>
      </w:r>
      <w:r w:rsidRPr="00BA1FAD">
        <w:rPr>
          <w:i/>
        </w:rPr>
        <w:t>ать</w:t>
      </w:r>
      <w:r w:rsidR="00CE78C1" w:rsidRPr="00BA1FAD">
        <w:rPr>
          <w:i/>
        </w:rPr>
        <w:t xml:space="preserve"> </w:t>
      </w:r>
      <w:r w:rsidR="00615C0E" w:rsidRPr="00BA1FAD">
        <w:rPr>
          <w:i/>
        </w:rPr>
        <w:t>необходимость составления отчетности по МСФО строительными организациями. В данной главе отчетность будет рассмотрена в контексте своего влияния на пользователя (ведь одной из ключевых целей составления отчетности является представление качественной информации пользователям отчетности).</w:t>
      </w:r>
    </w:p>
    <w:p w14:paraId="4989141A" w14:textId="77777777" w:rsidR="008F7133" w:rsidRPr="00BA1FAD" w:rsidRDefault="008F7133" w:rsidP="00021428">
      <w:pPr>
        <w:rPr>
          <w:i/>
        </w:rPr>
      </w:pPr>
    </w:p>
    <w:p w14:paraId="737A8F4E" w14:textId="5A4F5745" w:rsidR="00851D3F" w:rsidRPr="00EB794E" w:rsidRDefault="00DF53A8" w:rsidP="00EB794E">
      <w:pPr>
        <w:pStyle w:val="2"/>
        <w:ind w:firstLine="0"/>
        <w:rPr>
          <w:szCs w:val="24"/>
        </w:rPr>
      </w:pPr>
      <w:bookmarkStart w:id="6" w:name="_Toc451081007"/>
      <w:r>
        <w:rPr>
          <w:szCs w:val="24"/>
        </w:rPr>
        <w:t>§</w:t>
      </w:r>
      <w:r w:rsidR="00815532" w:rsidRPr="009E60EB">
        <w:rPr>
          <w:szCs w:val="24"/>
        </w:rPr>
        <w:t xml:space="preserve">1.1 </w:t>
      </w:r>
      <w:r w:rsidR="00690BC7">
        <w:rPr>
          <w:szCs w:val="24"/>
        </w:rPr>
        <w:t>Значение</w:t>
      </w:r>
      <w:r w:rsidR="00690BC7" w:rsidRPr="00C82BA5">
        <w:rPr>
          <w:szCs w:val="24"/>
        </w:rPr>
        <w:t xml:space="preserve"> </w:t>
      </w:r>
      <w:r w:rsidR="00D04B84" w:rsidRPr="00C82BA5">
        <w:rPr>
          <w:szCs w:val="24"/>
        </w:rPr>
        <w:t>отрасли</w:t>
      </w:r>
      <w:r w:rsidR="005111AD" w:rsidRPr="00C82BA5">
        <w:rPr>
          <w:szCs w:val="24"/>
        </w:rPr>
        <w:t xml:space="preserve"> строи</w:t>
      </w:r>
      <w:r w:rsidR="006135D9" w:rsidRPr="00C82BA5">
        <w:rPr>
          <w:szCs w:val="24"/>
        </w:rPr>
        <w:t>т</w:t>
      </w:r>
      <w:r w:rsidR="005111AD" w:rsidRPr="00C82BA5">
        <w:rPr>
          <w:szCs w:val="24"/>
        </w:rPr>
        <w:t>ельства в экономике Р</w:t>
      </w:r>
      <w:r w:rsidR="00690BC7">
        <w:rPr>
          <w:szCs w:val="24"/>
        </w:rPr>
        <w:t xml:space="preserve">оссийской </w:t>
      </w:r>
      <w:r w:rsidR="005111AD" w:rsidRPr="00C82BA5">
        <w:rPr>
          <w:szCs w:val="24"/>
        </w:rPr>
        <w:t>Ф</w:t>
      </w:r>
      <w:r w:rsidR="00690BC7">
        <w:rPr>
          <w:szCs w:val="24"/>
        </w:rPr>
        <w:t>едерации</w:t>
      </w:r>
      <w:r w:rsidR="00E611D2">
        <w:rPr>
          <w:szCs w:val="24"/>
        </w:rPr>
        <w:t xml:space="preserve"> и основные тенденции ее развития</w:t>
      </w:r>
      <w:bookmarkEnd w:id="6"/>
    </w:p>
    <w:p w14:paraId="3FD8948E" w14:textId="77777777" w:rsidR="007D34F2" w:rsidRDefault="00464188" w:rsidP="008B4556">
      <w:r>
        <w:t>Строительство – одна из системообразующих отраслей народного хозяйства. От того, насколько развита строите</w:t>
      </w:r>
      <w:r w:rsidR="00AF450F">
        <w:t>льная отрасль в стране зависит как</w:t>
      </w:r>
      <w:r>
        <w:t xml:space="preserve"> развитие всей экономики в целом, </w:t>
      </w:r>
      <w:r w:rsidR="00AF450F">
        <w:t xml:space="preserve">так и </w:t>
      </w:r>
      <w:r w:rsidR="007D34F2">
        <w:t>благосостояние населения</w:t>
      </w:r>
      <w:r w:rsidR="00155888">
        <w:t>,</w:t>
      </w:r>
      <w:r w:rsidR="00320D8A">
        <w:t xml:space="preserve"> </w:t>
      </w:r>
      <w:r w:rsidR="0090480A">
        <w:t>поскольку именно силами данной отрасли</w:t>
      </w:r>
      <w:r w:rsidR="007D34F2">
        <w:t xml:space="preserve"> вводятся в действие новые основные фонды или реконструируются и расширяются действующие.</w:t>
      </w:r>
    </w:p>
    <w:p w14:paraId="72C7D0BE" w14:textId="7EE513EB" w:rsidR="005D6C5A" w:rsidRPr="0079488B" w:rsidRDefault="007D34F2" w:rsidP="008B4556">
      <w:r>
        <w:t>Строитель</w:t>
      </w:r>
      <w:r w:rsidR="00320D8A">
        <w:t xml:space="preserve">ная отрасль призвана удовлетворять </w:t>
      </w:r>
      <w:r w:rsidR="00353D63">
        <w:t>потребности населения в жилье, служи</w:t>
      </w:r>
      <w:r w:rsidR="00320D8A">
        <w:t>ть</w:t>
      </w:r>
      <w:r w:rsidR="00353D63">
        <w:t xml:space="preserve"> на благо промышленности, здравоо</w:t>
      </w:r>
      <w:r w:rsidR="00B007C9">
        <w:t>хранению, искусству, спорту.</w:t>
      </w:r>
    </w:p>
    <w:p w14:paraId="769FFBF6" w14:textId="353A23D2" w:rsidR="0015032F" w:rsidRPr="00863F96" w:rsidRDefault="008C7CFC" w:rsidP="008B4556">
      <w:pPr>
        <w:rPr>
          <w:color w:val="000000" w:themeColor="text1"/>
        </w:rPr>
      </w:pPr>
      <w:r>
        <w:rPr>
          <w:color w:val="000000" w:themeColor="text1"/>
        </w:rPr>
        <w:t xml:space="preserve">В данном исследовании под термином </w:t>
      </w:r>
      <w:r w:rsidRPr="00021428">
        <w:rPr>
          <w:i/>
          <w:color w:val="000000" w:themeColor="text1"/>
        </w:rPr>
        <w:t>к</w:t>
      </w:r>
      <w:r w:rsidR="00A92B16" w:rsidRPr="00021428">
        <w:rPr>
          <w:i/>
          <w:color w:val="000000" w:themeColor="text1"/>
        </w:rPr>
        <w:t>апитальное строительство</w:t>
      </w:r>
      <w:r w:rsidR="00A92B16" w:rsidRPr="00863F96">
        <w:rPr>
          <w:color w:val="000000" w:themeColor="text1"/>
        </w:rPr>
        <w:t xml:space="preserve"> </w:t>
      </w:r>
      <w:r>
        <w:rPr>
          <w:color w:val="000000" w:themeColor="text1"/>
        </w:rPr>
        <w:t>понимается</w:t>
      </w:r>
      <w:r w:rsidR="00320D8A">
        <w:rPr>
          <w:color w:val="000000" w:themeColor="text1"/>
        </w:rPr>
        <w:t xml:space="preserve"> осуществление</w:t>
      </w:r>
      <w:r w:rsidR="002C7F16">
        <w:rPr>
          <w:color w:val="000000" w:themeColor="text1"/>
        </w:rPr>
        <w:t xml:space="preserve"> инвестиционного процесса и связанной с ним деятельности от стадии разработки проекта до ввода объекта в эксплуатацию.</w:t>
      </w:r>
    </w:p>
    <w:p w14:paraId="0F77D875" w14:textId="77777777" w:rsidR="00A377E2" w:rsidRDefault="006D59F7" w:rsidP="00A377E2">
      <w:r w:rsidRPr="00863F96">
        <w:t>Значительную роль в отрасли строительства</w:t>
      </w:r>
      <w:r>
        <w:t xml:space="preserve"> играет строительство здан</w:t>
      </w:r>
      <w:r w:rsidR="00250CD2">
        <w:t>ий жилого назначения. На рис.</w:t>
      </w:r>
      <w:r>
        <w:t xml:space="preserve"> 1 показано, что 93</w:t>
      </w:r>
      <w:r w:rsidRPr="008D190C">
        <w:t>%</w:t>
      </w:r>
      <w:r>
        <w:t xml:space="preserve"> зданий,</w:t>
      </w:r>
      <w:r w:rsidR="00155888">
        <w:t xml:space="preserve"> введенных в эксплуатацию в 2015</w:t>
      </w:r>
      <w:r>
        <w:t xml:space="preserve"> году, – это здания жилого назначения. Опираясь на эти данные, можно сказать, что строительство жилых зданий  - это системообразующий элемент отрасли строительства. </w:t>
      </w:r>
    </w:p>
    <w:p w14:paraId="1522CDB3" w14:textId="6B474C6F" w:rsidR="00A377E2" w:rsidRDefault="00A377E2" w:rsidP="00A377E2">
      <w:r>
        <w:t>Кроме того, нельзя не отметить значительную роль строительства в трудоустройстве населения. Как показано на рисунке в приложении 1, в 2015 года в строительстве было занято всего 8</w:t>
      </w:r>
      <w:r w:rsidRPr="008D190C">
        <w:t xml:space="preserve">% </w:t>
      </w:r>
      <w:r>
        <w:t>трудоустроенного населения, то есть компании, функционирующие в данной отрасли являются важными агентами спроса на рынке труда, что, к тому же, отражает один из аспектов социальной значимости отрасли</w:t>
      </w:r>
      <w:r w:rsidR="00610460">
        <w:t>.</w:t>
      </w:r>
    </w:p>
    <w:p w14:paraId="294C208F" w14:textId="77777777" w:rsidR="00610460" w:rsidRPr="00573790" w:rsidRDefault="00610460" w:rsidP="00610460">
      <w:r>
        <w:t>На рисунке в приложении 2 изображена структура валовой добавленной стоимости по видам экономической деятельности в РФ в 2014 году в виде диаграммы. Как видно из диаграммы, на отрасль строительства приходится 6</w:t>
      </w:r>
      <w:r w:rsidRPr="008D190C">
        <w:t xml:space="preserve">% валовой добавленной стоимости </w:t>
      </w:r>
      <w:r w:rsidRPr="008D190C">
        <w:lastRenderedPageBreak/>
        <w:t>российской экономики в 2014 году</w:t>
      </w:r>
      <w:r>
        <w:t>, что говорит о значительной роли отрасли строительства в экономике РФ.</w:t>
      </w:r>
      <w:r w:rsidRPr="005B74DE">
        <w:t xml:space="preserve"> </w:t>
      </w:r>
      <w:r>
        <w:t>Таким образом, строительная отрасль играет важную роль в экономике страны. Именно эта отрасль создает значительную часть валовой добавленной стоимости, обеспечивает население рабочими местами и жильем. Говоря об отрасли строительства стоит обратить внимание именно на строительство жилых зданий, поскольку строительство жилых зданий составляет большую часть всех построенных сооружений.</w:t>
      </w:r>
    </w:p>
    <w:p w14:paraId="747FF0D7" w14:textId="77777777" w:rsidR="00610460" w:rsidRDefault="00610460" w:rsidP="00A377E2"/>
    <w:p w14:paraId="25D73E18" w14:textId="53A3B5F6" w:rsidR="006D59F7" w:rsidRDefault="00A377E2" w:rsidP="00A377E2">
      <w:r w:rsidRPr="00863F96">
        <w:rPr>
          <w:noProof/>
          <w:lang w:eastAsia="ru-RU"/>
        </w:rPr>
        <w:drawing>
          <wp:anchor distT="0" distB="0" distL="114300" distR="114300" simplePos="0" relativeHeight="251673600" behindDoc="0" locked="0" layoutInCell="1" allowOverlap="1" wp14:anchorId="5C931D20" wp14:editId="155AF271">
            <wp:simplePos x="0" y="0"/>
            <wp:positionH relativeFrom="column">
              <wp:posOffset>7620</wp:posOffset>
            </wp:positionH>
            <wp:positionV relativeFrom="paragraph">
              <wp:posOffset>-42545</wp:posOffset>
            </wp:positionV>
            <wp:extent cx="6163945" cy="252476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4D75E108" w14:textId="576DC574" w:rsidR="006D59F7" w:rsidRPr="00154618" w:rsidRDefault="006D59F7" w:rsidP="008B4556">
      <w:pPr>
        <w:ind w:left="284" w:firstLine="0"/>
        <w:rPr>
          <w:i/>
        </w:rPr>
      </w:pPr>
      <w:r w:rsidRPr="00154618">
        <w:rPr>
          <w:i/>
        </w:rPr>
        <w:t>Рисунок 1</w:t>
      </w:r>
      <w:r w:rsidR="00320D8A" w:rsidRPr="00154618">
        <w:rPr>
          <w:i/>
        </w:rPr>
        <w:t xml:space="preserve"> </w:t>
      </w:r>
      <w:r w:rsidRPr="00154618">
        <w:rPr>
          <w:i/>
        </w:rPr>
        <w:t xml:space="preserve">Ввод в эксплуатацию зданий жилого и нежилого назначения </w:t>
      </w:r>
      <w:r w:rsidR="00155888" w:rsidRPr="00154618">
        <w:rPr>
          <w:i/>
        </w:rPr>
        <w:t>в РФ в 2015</w:t>
      </w:r>
      <w:r w:rsidRPr="00154618">
        <w:rPr>
          <w:i/>
        </w:rPr>
        <w:t xml:space="preserve"> году</w:t>
      </w:r>
    </w:p>
    <w:p w14:paraId="3E46C03B" w14:textId="0461287F" w:rsidR="00320D8A" w:rsidRPr="00A377E2" w:rsidRDefault="00274369" w:rsidP="00A377E2">
      <w:pPr>
        <w:rPr>
          <w:i/>
          <w:sz w:val="20"/>
          <w:szCs w:val="20"/>
        </w:rPr>
      </w:pPr>
      <w:r>
        <w:rPr>
          <w:i/>
          <w:sz w:val="20"/>
          <w:szCs w:val="20"/>
        </w:rPr>
        <w:t xml:space="preserve">Источник: </w:t>
      </w:r>
      <w:r w:rsidR="00851D3F" w:rsidRPr="00A377E2">
        <w:rPr>
          <w:i/>
          <w:sz w:val="20"/>
          <w:szCs w:val="20"/>
        </w:rPr>
        <w:t xml:space="preserve">рассчитано </w:t>
      </w:r>
      <w:r w:rsidR="00A0426D" w:rsidRPr="00A377E2">
        <w:rPr>
          <w:i/>
          <w:sz w:val="20"/>
          <w:szCs w:val="20"/>
        </w:rPr>
        <w:t xml:space="preserve">автором по данным Официального сайта Федеральной службы государственной статистики </w:t>
      </w:r>
      <w:r w:rsidR="00A0426D" w:rsidRPr="00A377E2">
        <w:rPr>
          <w:i/>
          <w:sz w:val="20"/>
          <w:szCs w:val="20"/>
          <w:lang w:val="en-US"/>
        </w:rPr>
        <w:t>URL</w:t>
      </w:r>
      <w:r w:rsidR="00A0426D" w:rsidRPr="00A377E2">
        <w:rPr>
          <w:i/>
          <w:sz w:val="20"/>
          <w:szCs w:val="20"/>
        </w:rPr>
        <w:t>:</w:t>
      </w:r>
      <w:r>
        <w:t xml:space="preserve"> </w:t>
      </w:r>
      <w:r w:rsidRPr="00274369">
        <w:rPr>
          <w:i/>
          <w:sz w:val="20"/>
          <w:szCs w:val="20"/>
        </w:rPr>
        <w:t>http://www.gks.ru/wps/wcm/connect/rosstat_main/rosstat/ru/</w:t>
      </w:r>
      <w:r>
        <w:rPr>
          <w:i/>
          <w:sz w:val="20"/>
          <w:szCs w:val="20"/>
        </w:rPr>
        <w:t>statistics/enterprise/building</w:t>
      </w:r>
      <w:r w:rsidR="00A0426D" w:rsidRPr="00A377E2">
        <w:rPr>
          <w:i/>
          <w:sz w:val="20"/>
          <w:szCs w:val="20"/>
        </w:rPr>
        <w:t xml:space="preserve"> (дата </w:t>
      </w:r>
      <w:r w:rsidR="00320D8A" w:rsidRPr="00A377E2">
        <w:rPr>
          <w:i/>
          <w:sz w:val="20"/>
          <w:szCs w:val="20"/>
        </w:rPr>
        <w:t>обращения</w:t>
      </w:r>
      <w:r w:rsidR="00A0426D" w:rsidRPr="00A377E2">
        <w:rPr>
          <w:i/>
          <w:sz w:val="20"/>
          <w:szCs w:val="20"/>
        </w:rPr>
        <w:t>: 04.04.2016)</w:t>
      </w:r>
    </w:p>
    <w:p w14:paraId="791B2F65" w14:textId="1D3757E3" w:rsidR="004B091B" w:rsidRDefault="005B74DE" w:rsidP="000375A1">
      <w:r>
        <w:t xml:space="preserve">Сегодня особенно важно осуществить переход экономики России к устойчивому развитию. Одной из задач, которую необходимо реализовать для достижения этой цели,  является достижение оптимального использования потенциала всех отраслей экономики, в том числе, безусловно, отрасли строительства. </w:t>
      </w:r>
      <w:r w:rsidR="000375A1">
        <w:t>О</w:t>
      </w:r>
      <w:r w:rsidR="00CD399F">
        <w:t>дна из ключевых проблем для организации любой отрасли – привлечение инвестиций. Строительные организации не являются исключением.</w:t>
      </w:r>
      <w:r w:rsidR="000375A1">
        <w:t xml:space="preserve"> </w:t>
      </w:r>
      <w:r w:rsidR="00167547">
        <w:t>Как</w:t>
      </w:r>
      <w:r w:rsidR="00C040E9">
        <w:t xml:space="preserve"> показано на рис.</w:t>
      </w:r>
      <w:r w:rsidR="00395806">
        <w:t xml:space="preserve"> 2</w:t>
      </w:r>
      <w:r w:rsidR="004B091B">
        <w:t xml:space="preserve">, </w:t>
      </w:r>
      <w:r w:rsidR="00393B22">
        <w:t xml:space="preserve">объем </w:t>
      </w:r>
      <w:r w:rsidR="004B091B">
        <w:t>инвестиц</w:t>
      </w:r>
      <w:r w:rsidR="00393B22">
        <w:t>ий</w:t>
      </w:r>
      <w:r w:rsidR="00843EA1">
        <w:t xml:space="preserve"> в строительную отрасль в 2015</w:t>
      </w:r>
      <w:r w:rsidR="00393B22">
        <w:t xml:space="preserve"> году по сравнению с 2014 годом снизился</w:t>
      </w:r>
      <w:r w:rsidR="004B091B">
        <w:t xml:space="preserve"> на </w:t>
      </w:r>
      <w:r w:rsidR="00543DDD">
        <w:t>4,4</w:t>
      </w:r>
      <w:r w:rsidR="00980204">
        <w:t>%.</w:t>
      </w:r>
    </w:p>
    <w:p w14:paraId="4DFAE067" w14:textId="77777777" w:rsidR="00610460" w:rsidRDefault="00610460" w:rsidP="00610460">
      <w:r>
        <w:t>По данным Федеральной службы государственной статистики, удельный вес ветхого и аварийного жилищного фонда в общей площади всего жилищного фонда в 2014 году составил 2,7%</w:t>
      </w:r>
      <w:r>
        <w:rPr>
          <w:rStyle w:val="a6"/>
        </w:rPr>
        <w:footnoteReference w:id="1"/>
      </w:r>
      <w:r>
        <w:t>.</w:t>
      </w:r>
    </w:p>
    <w:p w14:paraId="4002FEEF" w14:textId="77777777" w:rsidR="00610460" w:rsidRDefault="00610460" w:rsidP="008B4556"/>
    <w:p w14:paraId="22F62D21" w14:textId="77777777" w:rsidR="004B091B" w:rsidRDefault="00843EA1" w:rsidP="008B4556">
      <w:r>
        <w:rPr>
          <w:noProof/>
          <w:lang w:eastAsia="ru-RU"/>
        </w:rPr>
        <w:drawing>
          <wp:inline distT="0" distB="0" distL="0" distR="0" wp14:anchorId="640B8140" wp14:editId="286A6C5D">
            <wp:extent cx="5407025" cy="3187174"/>
            <wp:effectExtent l="0" t="0" r="3175"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2E1325" w14:textId="6F335C61" w:rsidR="00F76B9F" w:rsidRPr="00154618" w:rsidRDefault="00395806" w:rsidP="000375A1">
      <w:pPr>
        <w:rPr>
          <w:i/>
        </w:rPr>
      </w:pPr>
      <w:r w:rsidRPr="00154618">
        <w:rPr>
          <w:i/>
        </w:rPr>
        <w:t>Рисунок 2</w:t>
      </w:r>
      <w:r w:rsidR="00D43E4C" w:rsidRPr="00154618">
        <w:rPr>
          <w:i/>
        </w:rPr>
        <w:t xml:space="preserve"> </w:t>
      </w:r>
      <w:r w:rsidR="00A217C9" w:rsidRPr="00154618">
        <w:rPr>
          <w:i/>
        </w:rPr>
        <w:t>Динамика инвестиций в строительство</w:t>
      </w:r>
      <w:r w:rsidR="00445078" w:rsidRPr="00154618">
        <w:rPr>
          <w:i/>
        </w:rPr>
        <w:t xml:space="preserve"> за</w:t>
      </w:r>
      <w:r w:rsidR="000375A1" w:rsidRPr="00154618">
        <w:rPr>
          <w:i/>
        </w:rPr>
        <w:t xml:space="preserve"> 200</w:t>
      </w:r>
      <w:r w:rsidRPr="00154618">
        <w:rPr>
          <w:i/>
        </w:rPr>
        <w:t>0</w:t>
      </w:r>
      <w:r w:rsidR="000375A1" w:rsidRPr="00154618">
        <w:rPr>
          <w:i/>
        </w:rPr>
        <w:t>-2015 гг.</w:t>
      </w:r>
      <w:r w:rsidR="00445078" w:rsidRPr="00154618">
        <w:rPr>
          <w:i/>
        </w:rPr>
        <w:t xml:space="preserve"> </w:t>
      </w:r>
      <w:r w:rsidR="00A217C9" w:rsidRPr="00154618">
        <w:rPr>
          <w:i/>
        </w:rPr>
        <w:t>, миллиарды рублей</w:t>
      </w:r>
    </w:p>
    <w:p w14:paraId="61825D21" w14:textId="1FA98507" w:rsidR="00320D8A" w:rsidRPr="008B4556" w:rsidRDefault="008B4556" w:rsidP="000375A1">
      <w:pPr>
        <w:rPr>
          <w:i/>
          <w:sz w:val="20"/>
          <w:szCs w:val="20"/>
        </w:rPr>
      </w:pPr>
      <w:r>
        <w:rPr>
          <w:i/>
          <w:sz w:val="20"/>
          <w:szCs w:val="20"/>
        </w:rPr>
        <w:t xml:space="preserve">Источник: составлено автором на основании данных </w:t>
      </w:r>
      <w:r w:rsidR="00A0426D" w:rsidRPr="008B4556">
        <w:rPr>
          <w:i/>
          <w:sz w:val="20"/>
          <w:szCs w:val="20"/>
        </w:rPr>
        <w:t>Официального</w:t>
      </w:r>
      <w:r w:rsidR="00980204" w:rsidRPr="008B4556">
        <w:rPr>
          <w:i/>
          <w:sz w:val="20"/>
          <w:szCs w:val="20"/>
        </w:rPr>
        <w:t xml:space="preserve"> сайт</w:t>
      </w:r>
      <w:r w:rsidR="00A0426D" w:rsidRPr="008B4556">
        <w:rPr>
          <w:i/>
          <w:sz w:val="20"/>
          <w:szCs w:val="20"/>
        </w:rPr>
        <w:t>а</w:t>
      </w:r>
      <w:r w:rsidR="00980204" w:rsidRPr="008B4556">
        <w:rPr>
          <w:i/>
          <w:sz w:val="20"/>
          <w:szCs w:val="20"/>
        </w:rPr>
        <w:t xml:space="preserve"> Федеральной службы государственной статистики </w:t>
      </w:r>
      <w:r w:rsidR="00980204" w:rsidRPr="008B4556">
        <w:rPr>
          <w:i/>
          <w:sz w:val="20"/>
          <w:szCs w:val="20"/>
          <w:lang w:val="en-US"/>
        </w:rPr>
        <w:t>URL</w:t>
      </w:r>
      <w:r w:rsidR="00980204" w:rsidRPr="008B4556">
        <w:rPr>
          <w:i/>
          <w:sz w:val="20"/>
          <w:szCs w:val="20"/>
        </w:rPr>
        <w:t>:</w:t>
      </w:r>
      <w:r w:rsidR="00395806" w:rsidRPr="00395806">
        <w:rPr>
          <w:i/>
          <w:sz w:val="20"/>
          <w:szCs w:val="20"/>
        </w:rPr>
        <w:t>http://www.gks.ru/wps/wcm/connect/rosstat_main/rosstat/ru/statistics/ente</w:t>
      </w:r>
      <w:r w:rsidR="00395806">
        <w:rPr>
          <w:i/>
          <w:sz w:val="20"/>
          <w:szCs w:val="20"/>
        </w:rPr>
        <w:t>rprise/investment/nonfinancial</w:t>
      </w:r>
      <w:r w:rsidR="00426AF2" w:rsidRPr="008B4556">
        <w:rPr>
          <w:i/>
          <w:sz w:val="20"/>
          <w:szCs w:val="20"/>
        </w:rPr>
        <w:t xml:space="preserve"> (дата </w:t>
      </w:r>
      <w:r w:rsidR="007C5ACD" w:rsidRPr="008B4556">
        <w:rPr>
          <w:i/>
          <w:sz w:val="20"/>
          <w:szCs w:val="20"/>
        </w:rPr>
        <w:t>обращения</w:t>
      </w:r>
      <w:r w:rsidR="00426AF2" w:rsidRPr="008B4556">
        <w:rPr>
          <w:i/>
          <w:sz w:val="20"/>
          <w:szCs w:val="20"/>
        </w:rPr>
        <w:t>: 04.04.2016)</w:t>
      </w:r>
    </w:p>
    <w:p w14:paraId="480B20B1" w14:textId="1805E028" w:rsidR="00167547" w:rsidRDefault="00CC411C" w:rsidP="008B4556">
      <w:r>
        <w:t>В приложении 3</w:t>
      </w:r>
      <w:r w:rsidR="006B6BC3">
        <w:t xml:space="preserve"> </w:t>
      </w:r>
      <w:r w:rsidR="00320D8A">
        <w:t xml:space="preserve">представлена </w:t>
      </w:r>
      <w:r w:rsidR="006B6BC3">
        <w:t>динамика аварийного жилищного</w:t>
      </w:r>
      <w:r w:rsidR="006B6BC3" w:rsidRPr="00ED402D">
        <w:t xml:space="preserve"> фонд</w:t>
      </w:r>
      <w:r w:rsidR="006B6BC3">
        <w:t>а</w:t>
      </w:r>
      <w:r w:rsidR="00320D8A">
        <w:t xml:space="preserve">, так </w:t>
      </w:r>
      <w:r w:rsidR="00167547">
        <w:t>в 2014 году по сравнению с 1990 аварийный жилищный фонд (он измеряется в квадратных метрах аварийно</w:t>
      </w:r>
      <w:r w:rsidR="006B6BC3">
        <w:t>го жилья) увеличился в 7,2 раза</w:t>
      </w:r>
      <w:r w:rsidR="00167547">
        <w:t>.</w:t>
      </w:r>
    </w:p>
    <w:p w14:paraId="6DF20F59" w14:textId="77777777" w:rsidR="00167547" w:rsidRPr="00A97EA0" w:rsidRDefault="00167547" w:rsidP="00167547">
      <w:r>
        <w:t>По словам аналитиков Международной фин</w:t>
      </w:r>
      <w:r w:rsidR="00285B8F">
        <w:t>ансовой корпорации (IFC), отрасли строительства в России</w:t>
      </w:r>
      <w:r>
        <w:t xml:space="preserve"> потребуются вливания инвестиций в размере 402 миллиар</w:t>
      </w:r>
      <w:r w:rsidR="006F0EF5">
        <w:t>да рублей ежегодно до 2035 года</w:t>
      </w:r>
      <w:r w:rsidR="006F0EF5">
        <w:rPr>
          <w:rStyle w:val="a6"/>
        </w:rPr>
        <w:footnoteReference w:id="2"/>
      </w:r>
      <w:r w:rsidRPr="00B70022">
        <w:rPr>
          <w:color w:val="000000" w:themeColor="text1"/>
        </w:rPr>
        <w:t>.</w:t>
      </w:r>
    </w:p>
    <w:p w14:paraId="7A43BC7E" w14:textId="77777777" w:rsidR="00A73AF3" w:rsidRPr="00EB03FC" w:rsidRDefault="005E6722" w:rsidP="00EB03FC">
      <w:r w:rsidRPr="00A73AF3">
        <w:t>Несмотря на относительно неб</w:t>
      </w:r>
      <w:r w:rsidR="001571C2" w:rsidRPr="00A73AF3">
        <w:t>ольшую долю нежилого фонда (7</w:t>
      </w:r>
      <w:r w:rsidRPr="00A73AF3">
        <w:t xml:space="preserve">%) в общем объёме </w:t>
      </w:r>
      <w:r w:rsidR="001571C2" w:rsidRPr="00A73AF3">
        <w:t>ежегодно вводимого в эксплуатацию жилья</w:t>
      </w:r>
      <w:r w:rsidRPr="00A73AF3">
        <w:t>, этот сектор привлекателен для капи</w:t>
      </w:r>
      <w:r w:rsidR="00EB03FC">
        <w:t>таловложений крупных инвесторов</w:t>
      </w:r>
      <w:r w:rsidR="00426AF2">
        <w:rPr>
          <w:rStyle w:val="a6"/>
        </w:rPr>
        <w:footnoteReference w:id="3"/>
      </w:r>
      <w:r w:rsidR="00EB03FC" w:rsidRPr="00B70022">
        <w:t>.</w:t>
      </w:r>
    </w:p>
    <w:p w14:paraId="13A33506" w14:textId="513FDD00" w:rsidR="00A26F8F" w:rsidRDefault="005E6722" w:rsidP="00573790">
      <w:r w:rsidRPr="00A73AF3">
        <w:t xml:space="preserve">При этом, по данным </w:t>
      </w:r>
      <w:r w:rsidRPr="00EB03FC">
        <w:rPr>
          <w:rFonts w:cs="Times New Roman"/>
          <w:color w:val="394147"/>
          <w:shd w:val="clear" w:color="auto" w:fill="FFFFFF"/>
        </w:rPr>
        <w:t>столичного департамента градостроительной политики</w:t>
      </w:r>
      <w:r w:rsidR="00EB03FC" w:rsidRPr="00EB03FC">
        <w:rPr>
          <w:rFonts w:ascii="Arial" w:hAnsi="Arial" w:cs="Arial"/>
          <w:color w:val="394147"/>
          <w:sz w:val="18"/>
          <w:szCs w:val="18"/>
          <w:shd w:val="clear" w:color="auto" w:fill="FFFFFF"/>
        </w:rPr>
        <w:t>,</w:t>
      </w:r>
      <w:r w:rsidR="00320D8A">
        <w:rPr>
          <w:rFonts w:ascii="Arial" w:hAnsi="Arial" w:cs="Arial"/>
          <w:color w:val="394147"/>
          <w:sz w:val="18"/>
          <w:szCs w:val="18"/>
          <w:shd w:val="clear" w:color="auto" w:fill="FFFFFF"/>
        </w:rPr>
        <w:t xml:space="preserve"> </w:t>
      </w:r>
      <w:r w:rsidRPr="00A73AF3">
        <w:t>иностранные инвесторы по традиции интересуются почти исключительно московским рынком недвижимости, который по своей привлекательности в 2013-м году занял 9-е место в</w:t>
      </w:r>
      <w:r w:rsidR="00CC411C">
        <w:t xml:space="preserve"> </w:t>
      </w:r>
      <w:r w:rsidRPr="00A73AF3">
        <w:lastRenderedPageBreak/>
        <w:t>Европе, обогнав Брюссель, Франкфурт и Вену</w:t>
      </w:r>
      <w:r w:rsidR="00F25E9D">
        <w:rPr>
          <w:rStyle w:val="a6"/>
        </w:rPr>
        <w:footnoteReference w:id="4"/>
      </w:r>
      <w:r w:rsidR="00666C36" w:rsidRPr="00666C36">
        <w:t>.</w:t>
      </w:r>
      <w:r w:rsidR="00320D8A">
        <w:t xml:space="preserve"> </w:t>
      </w:r>
      <w:r w:rsidR="001571C2" w:rsidRPr="00A73AF3">
        <w:t xml:space="preserve">В то время как региональные рынки недвижимости </w:t>
      </w:r>
      <w:r w:rsidR="00EB03FC">
        <w:t>остро</w:t>
      </w:r>
      <w:r w:rsidR="001571C2" w:rsidRPr="00A73AF3">
        <w:t xml:space="preserve"> нуждаются в инвестициях.</w:t>
      </w:r>
    </w:p>
    <w:p w14:paraId="7735D568" w14:textId="77777777" w:rsidR="00573790" w:rsidRDefault="00573790" w:rsidP="00573790">
      <w:r>
        <w:t xml:space="preserve">Таким образом, жилищное строительство в Российской Федерации на сегодняшний день нуждается в инвестициях, поскольку потребность населения в жилье растет, а объем инвестиций, напротив, сокращаются. Кроме того, в инвестициях нуждается и </w:t>
      </w:r>
      <w:r w:rsidR="0070456E">
        <w:t>нежилищное</w:t>
      </w:r>
      <w:r>
        <w:t xml:space="preserve"> строительство, особенно </w:t>
      </w:r>
      <w:r w:rsidR="0070456E">
        <w:t>остро в инвестициях в данном секторе нуждаются региональные рынки недвижимости.</w:t>
      </w:r>
    </w:p>
    <w:p w14:paraId="6748F9C1" w14:textId="77777777" w:rsidR="00851D3F" w:rsidRPr="006A7683" w:rsidRDefault="00851D3F" w:rsidP="00573790"/>
    <w:p w14:paraId="75A24E6E" w14:textId="649ED274" w:rsidR="005B7C03" w:rsidRPr="009E60EB" w:rsidRDefault="00DF53A8" w:rsidP="009E60EB">
      <w:pPr>
        <w:pStyle w:val="2"/>
        <w:ind w:firstLine="0"/>
        <w:rPr>
          <w:szCs w:val="24"/>
        </w:rPr>
      </w:pPr>
      <w:bookmarkStart w:id="7" w:name="_Toc451081008"/>
      <w:r>
        <w:rPr>
          <w:szCs w:val="24"/>
        </w:rPr>
        <w:t>§</w:t>
      </w:r>
      <w:r w:rsidR="00D04B84" w:rsidRPr="009E60EB">
        <w:rPr>
          <w:szCs w:val="24"/>
        </w:rPr>
        <w:t xml:space="preserve">1.2 </w:t>
      </w:r>
      <w:r w:rsidR="005B7C03" w:rsidRPr="009E60EB">
        <w:rPr>
          <w:szCs w:val="24"/>
        </w:rPr>
        <w:t>Роль МСФО в повышении инвест</w:t>
      </w:r>
      <w:r w:rsidR="00573790" w:rsidRPr="009E60EB">
        <w:rPr>
          <w:szCs w:val="24"/>
        </w:rPr>
        <w:t>иционной</w:t>
      </w:r>
      <w:r w:rsidR="005B7C03" w:rsidRPr="009E60EB">
        <w:rPr>
          <w:szCs w:val="24"/>
        </w:rPr>
        <w:t xml:space="preserve"> привл</w:t>
      </w:r>
      <w:r w:rsidR="00573790" w:rsidRPr="009E60EB">
        <w:rPr>
          <w:szCs w:val="24"/>
        </w:rPr>
        <w:t>екательности</w:t>
      </w:r>
      <w:r w:rsidR="00851D3F">
        <w:rPr>
          <w:szCs w:val="24"/>
        </w:rPr>
        <w:t xml:space="preserve"> </w:t>
      </w:r>
      <w:r w:rsidR="00573790" w:rsidRPr="009E60EB">
        <w:rPr>
          <w:szCs w:val="24"/>
        </w:rPr>
        <w:t xml:space="preserve">отрасли </w:t>
      </w:r>
      <w:r w:rsidR="00C05A8B" w:rsidRPr="009E60EB">
        <w:rPr>
          <w:szCs w:val="24"/>
        </w:rPr>
        <w:t>строительства</w:t>
      </w:r>
      <w:bookmarkEnd w:id="7"/>
    </w:p>
    <w:p w14:paraId="6EA7D2AF" w14:textId="77777777" w:rsidR="00104FEB" w:rsidRDefault="0032461B" w:rsidP="00104FEB">
      <w:r>
        <w:t>Одним из условий для открытия новых рынков капитала для российских строительных фирм является предоставление инвесторам достоверной информации об истинном финансовом положении организации и ее финансовых результатах.</w:t>
      </w:r>
      <w:r w:rsidR="00320D8A">
        <w:t xml:space="preserve"> </w:t>
      </w:r>
      <w:r w:rsidR="00A078DE">
        <w:t xml:space="preserve">Эту проблему можно решить путем составления финансовой отчетности в соответствии с </w:t>
      </w:r>
      <w:r w:rsidR="00AF450F">
        <w:t>Международными стандартами финансовой отчетности (МСФО)</w:t>
      </w:r>
      <w:r w:rsidR="00A078DE">
        <w:t>.</w:t>
      </w:r>
    </w:p>
    <w:p w14:paraId="374A862D" w14:textId="09BC6E5A" w:rsidR="00AC7085" w:rsidRDefault="00AC7085" w:rsidP="00104FEB">
      <w:r>
        <w:t xml:space="preserve">На сегодняшний день существует проблема недостатка статистических данных, связанных с вопросом применения МСФО в строительных организациях. В рамках данного исследования эта проблема решается путем </w:t>
      </w:r>
      <w:r w:rsidR="005414B0">
        <w:t>сплошного наблюдения отчетности</w:t>
      </w:r>
      <w:r w:rsidR="00320D8A">
        <w:t xml:space="preserve"> </w:t>
      </w:r>
      <w:r w:rsidR="005414B0">
        <w:t>двадцати четырех крупнейших строительных копаний по итогам 201</w:t>
      </w:r>
      <w:r w:rsidR="0092376E">
        <w:t>4</w:t>
      </w:r>
      <w:r w:rsidR="005414B0">
        <w:t xml:space="preserve"> года (по показателю выручки) </w:t>
      </w:r>
      <w:r>
        <w:t>на предмет того, составляют ли организации отчетность по международным стандартам</w:t>
      </w:r>
      <w:r w:rsidR="0092376E">
        <w:t xml:space="preserve"> в 2015 году</w:t>
      </w:r>
      <w:r w:rsidR="005414B0">
        <w:t xml:space="preserve">. </w:t>
      </w:r>
      <w:r w:rsidR="005414B0" w:rsidRPr="005414B0">
        <w:t xml:space="preserve">В список включены строительные компании России, в капитале которых государство и иностранные совладельцы участвуют не более чем на 50%. </w:t>
      </w:r>
      <w:r w:rsidR="005414B0">
        <w:t>Результаты предс</w:t>
      </w:r>
      <w:r w:rsidR="00CC411C">
        <w:t>тавлены в таблице в Приложении 4</w:t>
      </w:r>
      <w:r>
        <w:t>.</w:t>
      </w:r>
      <w:r w:rsidR="005414B0">
        <w:t xml:space="preserve"> Как видно из таблицы,</w:t>
      </w:r>
      <w:r w:rsidR="0092376E">
        <w:t xml:space="preserve"> 45,8% организаций не составляли</w:t>
      </w:r>
      <w:r w:rsidR="00285CD2">
        <w:t xml:space="preserve"> отчетность по международным стандартам. </w:t>
      </w:r>
    </w:p>
    <w:p w14:paraId="410A36E7" w14:textId="79C6B3A0" w:rsidR="00014603" w:rsidRDefault="00014603" w:rsidP="00104FEB">
      <w:r>
        <w:t xml:space="preserve">Стоит отметить, что ни одна из обследованных компаний не осуществила добровольного перехода на Международные Стандарты, то есть можно сказать, что компании составляют отчетность в соответствии с Международными </w:t>
      </w:r>
      <w:r w:rsidR="007C5ACD">
        <w:t>Стандартами</w:t>
      </w:r>
      <w:r>
        <w:t xml:space="preserve"> только с целью соблюсти закон. По мнению автора, такое явление объясняется высокой стоимостью составления такой отчетность, а также высокой стоимостью аудиторских услуг.</w:t>
      </w:r>
    </w:p>
    <w:p w14:paraId="3FE90B7E" w14:textId="2A82B3EA" w:rsidR="005B7C03" w:rsidRDefault="007C110F" w:rsidP="001B16FF">
      <w:r>
        <w:t xml:space="preserve">В процессе изучения данного вопроса автору пришлось столкнуться с недостатком статистических данных по вопросу применения МСФО в Российской Федерации и в мире. Изначально планировалось проведение исследования </w:t>
      </w:r>
      <w:r w:rsidR="00C47448">
        <w:t>влияния</w:t>
      </w:r>
      <w:r>
        <w:t xml:space="preserve"> применения МСФО на приток </w:t>
      </w:r>
      <w:r>
        <w:lastRenderedPageBreak/>
        <w:t>инвестиций в различные</w:t>
      </w:r>
      <w:r w:rsidR="00746411">
        <w:t xml:space="preserve"> отрасли. Однако, статистические данные</w:t>
      </w:r>
      <w:r>
        <w:t xml:space="preserve"> относительно числа или доли компаний различных отраслей, применяющих МСФО</w:t>
      </w:r>
      <w:r w:rsidR="00746411">
        <w:t>, на сегодняшний день отсутствую как в России, так и во всем мире.</w:t>
      </w:r>
      <w:r w:rsidR="001B16FF">
        <w:t xml:space="preserve"> Однако, по мнению автора, п</w:t>
      </w:r>
      <w:r w:rsidR="005D6C0D">
        <w:t>рактически невозможно в условиях современной экономики привлечь зарубежный капитал без</w:t>
      </w:r>
      <w:r w:rsidR="00E62DAA">
        <w:t xml:space="preserve"> составления отчетности по МСФО, поскольку отчетность, составленную по РСБУ</w:t>
      </w:r>
      <w:r w:rsidR="00A078DE">
        <w:t>, потенциальный инвестор не поймет.</w:t>
      </w:r>
    </w:p>
    <w:p w14:paraId="6A6AB6DD" w14:textId="77777777" w:rsidR="00DD0B56" w:rsidRDefault="00DD0B56" w:rsidP="00DD0B56">
      <w:r>
        <w:t>Представление бухгалтерской отчетности в соответствии с МСФО является основополагающим элементом политики информационной открытости финансовой отчетности. Проведение такой политики позволит компаниям улучшить свой имидж в глазах потенциальных инвесторов.</w:t>
      </w:r>
    </w:p>
    <w:p w14:paraId="40FCB506" w14:textId="30D3E156" w:rsidR="00AC5D03" w:rsidRDefault="008B67D3" w:rsidP="00E611D2">
      <w:r>
        <w:t>Таким образом,</w:t>
      </w:r>
      <w:r w:rsidR="0012215C">
        <w:t xml:space="preserve"> составление отчетности по МСФО может помочь российским строительным компаниям улучшить инвестиционную привлекательность в целом, что может оказать положительное влияние на всю отрасль строительства в целом, которая играет важную роль в экономике Российской Федерации</w:t>
      </w:r>
      <w:r w:rsidR="00F24AC3">
        <w:t xml:space="preserve"> и влияет на качество жизни населения всей страны</w:t>
      </w:r>
      <w:r w:rsidR="0012215C">
        <w:t>.</w:t>
      </w:r>
    </w:p>
    <w:p w14:paraId="2AD518CA" w14:textId="77777777" w:rsidR="008F7133" w:rsidRDefault="008F7133" w:rsidP="00E611D2"/>
    <w:p w14:paraId="56E51E13" w14:textId="07C90676" w:rsidR="00E611D2" w:rsidRPr="00C05A8B" w:rsidRDefault="00E611D2" w:rsidP="00E611D2">
      <w:pPr>
        <w:pStyle w:val="2"/>
      </w:pPr>
      <w:bookmarkStart w:id="8" w:name="_Toc451081009"/>
      <w:r>
        <w:t>§1.3 Исследование влияния показателей отчетности по МСФО на инвестиционную привлекательность строительных организаций</w:t>
      </w:r>
      <w:bookmarkEnd w:id="8"/>
    </w:p>
    <w:p w14:paraId="71C94C9C" w14:textId="400E3301" w:rsidR="00FC10D8" w:rsidRDefault="00FC10D8" w:rsidP="00FC10D8">
      <w:r w:rsidRPr="00DE4BF0">
        <w:t>Отчетность по международным стандартам – готовый продукт, рассчитанный, в первую очередь</w:t>
      </w:r>
      <w:r>
        <w:t>,</w:t>
      </w:r>
      <w:r w:rsidRPr="00DE4BF0">
        <w:t xml:space="preserve"> на инвестора.</w:t>
      </w:r>
      <w:r>
        <w:t xml:space="preserve"> Инвестор, принимая решение о вложении средств, всегда смотрит на ключевые показатели отчетности компании. Таким образом, изменения правил учета и составления отчетности могут повлиять и на принятие инвестиционных решений в отношении компаний. Как было сказано выше, строительная отрасль в России в настоящее время остро нуждается в инвестициях (как российских, так и зарубежных), поэтому при переходе на новый стандарт</w:t>
      </w:r>
      <w:r w:rsidR="007C2AA0">
        <w:t xml:space="preserve"> МСФО</w:t>
      </w:r>
      <w:r w:rsidR="00E611D2">
        <w:t xml:space="preserve"> (</w:t>
      </w:r>
      <w:r>
        <w:rPr>
          <w:lang w:val="en-US"/>
        </w:rPr>
        <w:t>IFRS</w:t>
      </w:r>
      <w:r w:rsidR="00E611D2">
        <w:rPr>
          <w:lang w:val="en-US"/>
        </w:rPr>
        <w:t>)</w:t>
      </w:r>
      <w:r w:rsidRPr="008C1E67">
        <w:t xml:space="preserve"> 15</w:t>
      </w:r>
      <w:r w:rsidR="007C2AA0" w:rsidRPr="008C1E67">
        <w:t xml:space="preserve"> (один из важнейших стандартов, применяемых </w:t>
      </w:r>
      <w:r w:rsidR="00320D8A" w:rsidRPr="008C1E67">
        <w:t>строительными</w:t>
      </w:r>
      <w:r w:rsidR="007C2AA0" w:rsidRPr="008C1E67">
        <w:t xml:space="preserve"> организациями, речь о котором пойдет во второй главе данного исследования)</w:t>
      </w:r>
      <w:r>
        <w:t xml:space="preserve"> необходимо будет учесть, на какие показатели отчетности ориентируется инвестор и спрогнозировать возможную реакцию инвестора на изменение этих показателей(которые, безусловно, будут иметь место). </w:t>
      </w:r>
      <w:r w:rsidRPr="00DE4BF0">
        <w:t xml:space="preserve">В данном </w:t>
      </w:r>
      <w:r w:rsidR="008E373E">
        <w:t>пункте</w:t>
      </w:r>
      <w:r w:rsidRPr="00DE4BF0">
        <w:t xml:space="preserve"> проанализировано влияние таких показателей отчетности по МСФО</w:t>
      </w:r>
      <w:r w:rsidR="008E373E">
        <w:t xml:space="preserve"> (а также показателей отчетности материнских компаний по РСБУ в случае с российскими компаниями)</w:t>
      </w:r>
      <w:r w:rsidRPr="00DE4BF0">
        <w:t xml:space="preserve">, как выручка и чистая прибыль на рыночную капитализацию </w:t>
      </w:r>
      <w:r>
        <w:t>десяти</w:t>
      </w:r>
      <w:r w:rsidRPr="00DE4BF0">
        <w:t xml:space="preserve"> строительных компаний.</w:t>
      </w:r>
      <w:r w:rsidR="007B49AA">
        <w:t xml:space="preserve"> Информация об объектах данного исследования представлена в Приложении 5.</w:t>
      </w:r>
    </w:p>
    <w:p w14:paraId="528CDE87" w14:textId="77777777" w:rsidR="00FC10D8" w:rsidRDefault="00FC10D8" w:rsidP="00FC10D8">
      <w:r>
        <w:lastRenderedPageBreak/>
        <w:t>Показатель рыночной капитализации компании рассчитывается как произведение количества обыкновенных акций и рыночной стоимости одной акции. Можно сказать, что эта величина показывает, по какой цене можно купить компанию на рынке (однако, безусловно, сделать это практически невозможн</w:t>
      </w:r>
      <w:r w:rsidR="0096225C">
        <w:t xml:space="preserve">о). Рыночная капитализация </w:t>
      </w:r>
      <w:r>
        <w:t>показывает, насколько привлекательна компания для инвесторов (очевидно, если стоимость компании растет, то она привлекательна для инвесторов).</w:t>
      </w:r>
    </w:p>
    <w:p w14:paraId="0141C394" w14:textId="32263B53" w:rsidR="00FC10D8" w:rsidRDefault="00FC10D8" w:rsidP="00FC10D8">
      <w:r>
        <w:t>Исходя из сущности показателя рыночной капитализации</w:t>
      </w:r>
      <w:r w:rsidRPr="00676712">
        <w:rPr>
          <w:i/>
        </w:rPr>
        <w:t xml:space="preserve"> выдвинута гипотеза о том, что на показатель рыночной капитализации оказывают влияние показатели отчетности эмитента по МСФО (такие, как выручка, чистая прибыль и базовая прибыль на акцию). </w:t>
      </w:r>
      <w:r>
        <w:t>Однако, по мнению автора, на капитализацию компании в текущем году будут оказывать влияние показатели отчетности прошлого года, поскольку именно только такие данные имеются в распоряжении инвестора.</w:t>
      </w:r>
      <w:r w:rsidR="00320D8A">
        <w:t xml:space="preserve"> </w:t>
      </w:r>
    </w:p>
    <w:p w14:paraId="2082E942" w14:textId="0D78B4BD" w:rsidR="00FC10D8" w:rsidRPr="008C1E67" w:rsidRDefault="00FC10D8" w:rsidP="007249AA">
      <w:r>
        <w:t xml:space="preserve">Для проверки </w:t>
      </w:r>
      <w:r w:rsidRPr="00320D8A">
        <w:t>гипотезы</w:t>
      </w:r>
      <w:r>
        <w:t xml:space="preserve"> о связи рыночной капитализации с показателями отчетности компании был проведен </w:t>
      </w:r>
      <w:r w:rsidR="0096225C">
        <w:t>корреляционный</w:t>
      </w:r>
      <w:r>
        <w:t xml:space="preserve"> анализ показателей отчетности пяти публичных строительных организаций России и Европы, составляющих отчетность по МСФО</w:t>
      </w:r>
      <w:r w:rsidR="007249AA">
        <w:t xml:space="preserve">. </w:t>
      </w:r>
      <w:r w:rsidR="006F5FE9">
        <w:t xml:space="preserve">Информация о компаниях содержится в </w:t>
      </w:r>
    </w:p>
    <w:p w14:paraId="593B527B" w14:textId="77777777" w:rsidR="00FC10D8" w:rsidRDefault="00FC10D8" w:rsidP="0096225C">
      <w:r>
        <w:t>Данный статистический анализ заключается в выявления корреляции (корреляционной зависимости). Корреляция характеризует силу взаимосвязи данных. В данном исследовании речь пойдет о парной корреляции, поскольку ставится гипотеза о взаимос</w:t>
      </w:r>
      <w:r w:rsidR="00C040E9">
        <w:t>вязи двух числовых массивов. В табл.</w:t>
      </w:r>
      <w:r>
        <w:t xml:space="preserve"> 1 указано значение коэффициента корреляции между определенным показателем отчетности компании и ее рыночной капитализацией в динамике за пять лет. Значение данного коэффициента показывает, насколько заметна теснота связи между показателем, указанным в таблице и рыночной капитализацией компании. </w:t>
      </w:r>
    </w:p>
    <w:p w14:paraId="1335A554" w14:textId="3927BF5B" w:rsidR="00CC411C" w:rsidRPr="00CC411C" w:rsidRDefault="00CC411C" w:rsidP="00CC411C">
      <w:pPr>
        <w:rPr>
          <w:rFonts w:ascii="Calibri" w:eastAsia="Times New Roman" w:hAnsi="Calibri" w:cs="Times New Roman"/>
          <w:color w:val="000000"/>
          <w:sz w:val="22"/>
          <w:szCs w:val="22"/>
          <w:lang w:eastAsia="ru-RU"/>
        </w:rPr>
      </w:pPr>
      <w:r>
        <w:t xml:space="preserve">Прежде, чем делать выводы, основываясь на значениях коэффициента корреляции, необходимо дать статистическую оценку выполненных расчетов. Для этого расчетные значения необходимо сопоставить с табличным показателем </w:t>
      </w:r>
      <w:r>
        <w:rPr>
          <w:lang w:val="en-US"/>
        </w:rPr>
        <w:t>r</w:t>
      </w:r>
      <w:r>
        <w:t xml:space="preserve">-критерия. Для заданного числа измерений и уровня значимости 0,1 табличное значение </w:t>
      </w:r>
      <w:r>
        <w:rPr>
          <w:lang w:val="en-US"/>
        </w:rPr>
        <w:t>r</w:t>
      </w:r>
      <w:r>
        <w:t>-критерия составляет 0,805</w:t>
      </w:r>
      <w:r>
        <w:rPr>
          <w:rStyle w:val="a6"/>
        </w:rPr>
        <w:footnoteReference w:id="5"/>
      </w:r>
      <w:r>
        <w:t xml:space="preserve">. Расчетные показатели должны быть больше табличных для того, чтобы подтвердить гипотезу о наличии связи. Таким образом, с </w:t>
      </w:r>
      <w:r w:rsidRPr="00C05A8B">
        <w:t>90% вероятностью можно полагать, что влияние на капитализацию компании оказывают показатели отчетности по МСФО компании ЛСР, ACS и Skanska. При этом чаще всего влияние оказывает именно показатель выручки.</w:t>
      </w:r>
      <w:r w:rsidRPr="00CC411C">
        <w:rPr>
          <w:lang w:eastAsia="ru-RU"/>
        </w:rPr>
        <w:t xml:space="preserve"> </w:t>
      </w:r>
      <w:r w:rsidRPr="00F878D8">
        <w:rPr>
          <w:lang w:eastAsia="ru-RU"/>
        </w:rPr>
        <w:t xml:space="preserve">Таким образом, на основе значений коэффициента корреляции можно сделать вывод о том, что дальнейший анализ имеет смысл только в рамках отдельных компаний. То есть, взаимосвязь </w:t>
      </w:r>
      <w:r w:rsidRPr="00F878D8">
        <w:rPr>
          <w:lang w:eastAsia="ru-RU"/>
        </w:rPr>
        <w:lastRenderedPageBreak/>
        <w:t>между показателями есть, однако, только на уровне отдельных компаний, поэтому полученные результаты нельзя будет рассматривать как закономерность в отношении всей отрасли.</w:t>
      </w:r>
    </w:p>
    <w:p w14:paraId="60A5B7B9" w14:textId="0CA6F732" w:rsidR="00445078" w:rsidRPr="00154618" w:rsidRDefault="00445078" w:rsidP="00CC411C">
      <w:pPr>
        <w:rPr>
          <w:i/>
        </w:rPr>
      </w:pPr>
      <w:r w:rsidRPr="00154618">
        <w:rPr>
          <w:i/>
        </w:rPr>
        <w:t>Таблица 1 Значение расчетного  коэффициента корреляции для разных показателей отчетности</w:t>
      </w:r>
    </w:p>
    <w:tbl>
      <w:tblPr>
        <w:tblW w:w="5000" w:type="pct"/>
        <w:tblLook w:val="04A0" w:firstRow="1" w:lastRow="0" w:firstColumn="1" w:lastColumn="0" w:noHBand="0" w:noVBand="1"/>
      </w:tblPr>
      <w:tblGrid>
        <w:gridCol w:w="2003"/>
        <w:gridCol w:w="2511"/>
        <w:gridCol w:w="2452"/>
        <w:gridCol w:w="2882"/>
      </w:tblGrid>
      <w:tr w:rsidR="00320D8A" w:rsidRPr="003324F4" w14:paraId="68D0257A" w14:textId="77777777" w:rsidTr="009E60EB">
        <w:trPr>
          <w:trHeight w:val="300"/>
        </w:trPr>
        <w:tc>
          <w:tcPr>
            <w:tcW w:w="1017" w:type="pct"/>
            <w:vMerge w:val="restart"/>
            <w:tcBorders>
              <w:top w:val="single" w:sz="4" w:space="0" w:color="auto"/>
              <w:left w:val="single" w:sz="4" w:space="0" w:color="auto"/>
              <w:right w:val="single" w:sz="4" w:space="0" w:color="auto"/>
            </w:tcBorders>
            <w:shd w:val="clear" w:color="auto" w:fill="auto"/>
            <w:noWrap/>
            <w:hideMark/>
          </w:tcPr>
          <w:p w14:paraId="53D819CA" w14:textId="77777777" w:rsidR="00320D8A" w:rsidRPr="009E60EB" w:rsidRDefault="00320D8A" w:rsidP="009E60EB">
            <w:pPr>
              <w:ind w:firstLine="29"/>
              <w:jc w:val="center"/>
              <w:rPr>
                <w:b/>
                <w:lang w:eastAsia="ru-RU"/>
              </w:rPr>
            </w:pPr>
            <w:r w:rsidRPr="009E60EB">
              <w:rPr>
                <w:b/>
                <w:lang w:eastAsia="ru-RU"/>
              </w:rPr>
              <w:t>Компания</w:t>
            </w:r>
          </w:p>
        </w:tc>
        <w:tc>
          <w:tcPr>
            <w:tcW w:w="3983" w:type="pct"/>
            <w:gridSpan w:val="3"/>
            <w:tcBorders>
              <w:top w:val="single" w:sz="4" w:space="0" w:color="auto"/>
              <w:left w:val="nil"/>
              <w:bottom w:val="single" w:sz="4" w:space="0" w:color="auto"/>
              <w:right w:val="single" w:sz="4" w:space="0" w:color="auto"/>
            </w:tcBorders>
            <w:shd w:val="clear" w:color="auto" w:fill="auto"/>
            <w:noWrap/>
            <w:hideMark/>
          </w:tcPr>
          <w:p w14:paraId="246243CF" w14:textId="7FBF11FE" w:rsidR="00320D8A" w:rsidRPr="009E60EB" w:rsidRDefault="00320D8A" w:rsidP="009E60EB">
            <w:pPr>
              <w:ind w:firstLine="29"/>
              <w:jc w:val="center"/>
              <w:rPr>
                <w:b/>
                <w:lang w:eastAsia="ru-RU"/>
              </w:rPr>
            </w:pPr>
            <w:r w:rsidRPr="009E60EB">
              <w:rPr>
                <w:b/>
                <w:lang w:eastAsia="ru-RU"/>
              </w:rPr>
              <w:t>Коэффициент корреляции расчетный</w:t>
            </w:r>
            <w:r w:rsidR="008B523F">
              <w:rPr>
                <w:b/>
                <w:lang w:eastAsia="ru-RU"/>
              </w:rPr>
              <w:t>, в долях</w:t>
            </w:r>
          </w:p>
        </w:tc>
      </w:tr>
      <w:tr w:rsidR="00320D8A" w:rsidRPr="003324F4" w14:paraId="125191F1" w14:textId="77777777" w:rsidTr="009E60EB">
        <w:trPr>
          <w:trHeight w:val="860"/>
        </w:trPr>
        <w:tc>
          <w:tcPr>
            <w:tcW w:w="1017" w:type="pct"/>
            <w:vMerge/>
            <w:tcBorders>
              <w:left w:val="single" w:sz="4" w:space="0" w:color="auto"/>
              <w:bottom w:val="single" w:sz="4" w:space="0" w:color="auto"/>
              <w:right w:val="single" w:sz="4" w:space="0" w:color="auto"/>
            </w:tcBorders>
            <w:shd w:val="clear" w:color="auto" w:fill="auto"/>
            <w:noWrap/>
            <w:hideMark/>
          </w:tcPr>
          <w:p w14:paraId="143AABE3" w14:textId="77777777" w:rsidR="00320D8A" w:rsidRPr="009E60EB" w:rsidRDefault="00320D8A" w:rsidP="009E60EB">
            <w:pPr>
              <w:ind w:firstLine="29"/>
              <w:jc w:val="center"/>
              <w:rPr>
                <w:b/>
                <w:lang w:eastAsia="ru-RU"/>
              </w:rPr>
            </w:pPr>
          </w:p>
        </w:tc>
        <w:tc>
          <w:tcPr>
            <w:tcW w:w="1275" w:type="pct"/>
            <w:tcBorders>
              <w:top w:val="nil"/>
              <w:left w:val="nil"/>
              <w:bottom w:val="single" w:sz="4" w:space="0" w:color="auto"/>
              <w:right w:val="single" w:sz="4" w:space="0" w:color="auto"/>
            </w:tcBorders>
            <w:shd w:val="clear" w:color="auto" w:fill="auto"/>
            <w:hideMark/>
          </w:tcPr>
          <w:p w14:paraId="29E0F2E4" w14:textId="1E7A6D9A" w:rsidR="00320D8A" w:rsidRPr="009E60EB" w:rsidRDefault="00320D8A" w:rsidP="008B523F">
            <w:pPr>
              <w:ind w:firstLine="29"/>
              <w:jc w:val="center"/>
              <w:rPr>
                <w:b/>
                <w:lang w:eastAsia="ru-RU"/>
              </w:rPr>
            </w:pPr>
            <w:r w:rsidRPr="009E60EB">
              <w:rPr>
                <w:b/>
                <w:lang w:eastAsia="ru-RU"/>
              </w:rPr>
              <w:t>Выручка по МСФО за предыдущий год</w:t>
            </w:r>
          </w:p>
        </w:tc>
        <w:tc>
          <w:tcPr>
            <w:tcW w:w="1245" w:type="pct"/>
            <w:tcBorders>
              <w:top w:val="nil"/>
              <w:left w:val="nil"/>
              <w:bottom w:val="single" w:sz="4" w:space="0" w:color="auto"/>
              <w:right w:val="single" w:sz="4" w:space="0" w:color="auto"/>
            </w:tcBorders>
            <w:shd w:val="clear" w:color="auto" w:fill="auto"/>
            <w:hideMark/>
          </w:tcPr>
          <w:p w14:paraId="35D2DCFC" w14:textId="59CB6D62" w:rsidR="00320D8A" w:rsidRPr="009E60EB" w:rsidRDefault="00320D8A" w:rsidP="008B523F">
            <w:pPr>
              <w:ind w:firstLine="29"/>
              <w:jc w:val="center"/>
              <w:rPr>
                <w:b/>
                <w:lang w:eastAsia="ru-RU"/>
              </w:rPr>
            </w:pPr>
            <w:r w:rsidRPr="009E60EB">
              <w:rPr>
                <w:b/>
                <w:lang w:eastAsia="ru-RU"/>
              </w:rPr>
              <w:t>Чистая прибыль по МСФО за предыдущий год</w:t>
            </w:r>
          </w:p>
        </w:tc>
        <w:tc>
          <w:tcPr>
            <w:tcW w:w="1463" w:type="pct"/>
            <w:tcBorders>
              <w:top w:val="nil"/>
              <w:left w:val="nil"/>
              <w:bottom w:val="single" w:sz="4" w:space="0" w:color="auto"/>
              <w:right w:val="single" w:sz="4" w:space="0" w:color="auto"/>
            </w:tcBorders>
            <w:shd w:val="clear" w:color="auto" w:fill="auto"/>
            <w:hideMark/>
          </w:tcPr>
          <w:p w14:paraId="75748650" w14:textId="6C302A88" w:rsidR="00320D8A" w:rsidRPr="009E60EB" w:rsidRDefault="00320D8A" w:rsidP="008B523F">
            <w:pPr>
              <w:ind w:firstLine="29"/>
              <w:jc w:val="center"/>
              <w:rPr>
                <w:b/>
                <w:lang w:eastAsia="ru-RU"/>
              </w:rPr>
            </w:pPr>
            <w:r w:rsidRPr="009E60EB">
              <w:rPr>
                <w:b/>
                <w:lang w:eastAsia="ru-RU"/>
              </w:rPr>
              <w:t>Базовая прибыль на акцию по МСФО за предыдущий год</w:t>
            </w:r>
          </w:p>
        </w:tc>
      </w:tr>
      <w:tr w:rsidR="00CE16AE" w:rsidRPr="003324F4" w14:paraId="6891F419" w14:textId="77777777" w:rsidTr="009E60EB">
        <w:trPr>
          <w:trHeight w:val="30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5E588D29" w14:textId="77777777" w:rsidR="00FC10D8" w:rsidRPr="00691CFF" w:rsidRDefault="00FC10D8" w:rsidP="00CE16AE">
            <w:pPr>
              <w:ind w:firstLine="29"/>
              <w:rPr>
                <w:b/>
                <w:lang w:eastAsia="ru-RU"/>
              </w:rPr>
            </w:pPr>
            <w:r w:rsidRPr="00691CFF">
              <w:rPr>
                <w:b/>
                <w:lang w:eastAsia="ru-RU"/>
              </w:rPr>
              <w:t>ЛСР</w:t>
            </w:r>
          </w:p>
        </w:tc>
        <w:tc>
          <w:tcPr>
            <w:tcW w:w="1275" w:type="pct"/>
            <w:tcBorders>
              <w:top w:val="nil"/>
              <w:left w:val="nil"/>
              <w:bottom w:val="single" w:sz="4" w:space="0" w:color="auto"/>
              <w:right w:val="single" w:sz="4" w:space="0" w:color="auto"/>
            </w:tcBorders>
            <w:shd w:val="clear" w:color="auto" w:fill="auto"/>
            <w:noWrap/>
            <w:vAlign w:val="bottom"/>
            <w:hideMark/>
          </w:tcPr>
          <w:p w14:paraId="062C4A18" w14:textId="77777777" w:rsidR="00FC10D8" w:rsidRPr="00A93434" w:rsidRDefault="00FC10D8" w:rsidP="009E60EB">
            <w:pPr>
              <w:ind w:right="754" w:firstLine="29"/>
              <w:jc w:val="right"/>
              <w:rPr>
                <w:lang w:eastAsia="ru-RU"/>
              </w:rPr>
            </w:pPr>
            <w:r w:rsidRPr="00A93434">
              <w:rPr>
                <w:lang w:eastAsia="ru-RU"/>
              </w:rPr>
              <w:t>0,75</w:t>
            </w:r>
          </w:p>
        </w:tc>
        <w:tc>
          <w:tcPr>
            <w:tcW w:w="1245" w:type="pct"/>
            <w:tcBorders>
              <w:top w:val="nil"/>
              <w:left w:val="nil"/>
              <w:bottom w:val="single" w:sz="4" w:space="0" w:color="auto"/>
              <w:right w:val="single" w:sz="4" w:space="0" w:color="auto"/>
            </w:tcBorders>
            <w:shd w:val="clear" w:color="auto" w:fill="auto"/>
            <w:noWrap/>
            <w:vAlign w:val="bottom"/>
            <w:hideMark/>
          </w:tcPr>
          <w:p w14:paraId="6C233948" w14:textId="77777777" w:rsidR="00FC10D8" w:rsidRPr="00A93434" w:rsidRDefault="00FC10D8" w:rsidP="009E60EB">
            <w:pPr>
              <w:ind w:right="754" w:firstLine="29"/>
              <w:jc w:val="right"/>
              <w:rPr>
                <w:lang w:eastAsia="ru-RU"/>
              </w:rPr>
            </w:pPr>
            <w:r w:rsidRPr="00A93434">
              <w:rPr>
                <w:lang w:eastAsia="ru-RU"/>
              </w:rPr>
              <w:t>0,84</w:t>
            </w:r>
          </w:p>
        </w:tc>
        <w:tc>
          <w:tcPr>
            <w:tcW w:w="1463" w:type="pct"/>
            <w:tcBorders>
              <w:top w:val="nil"/>
              <w:left w:val="nil"/>
              <w:bottom w:val="single" w:sz="4" w:space="0" w:color="auto"/>
              <w:right w:val="single" w:sz="4" w:space="0" w:color="auto"/>
            </w:tcBorders>
            <w:shd w:val="clear" w:color="auto" w:fill="auto"/>
            <w:noWrap/>
            <w:vAlign w:val="bottom"/>
            <w:hideMark/>
          </w:tcPr>
          <w:p w14:paraId="1E5972B3" w14:textId="77777777" w:rsidR="00FC10D8" w:rsidRPr="00A93434" w:rsidRDefault="00FC10D8" w:rsidP="009E60EB">
            <w:pPr>
              <w:ind w:right="754" w:firstLine="29"/>
              <w:jc w:val="right"/>
              <w:rPr>
                <w:lang w:eastAsia="ru-RU"/>
              </w:rPr>
            </w:pPr>
            <w:r w:rsidRPr="00A93434">
              <w:rPr>
                <w:lang w:eastAsia="ru-RU"/>
              </w:rPr>
              <w:t>0,84</w:t>
            </w:r>
          </w:p>
        </w:tc>
      </w:tr>
      <w:tr w:rsidR="00CE16AE" w:rsidRPr="003324F4" w14:paraId="24F0E3F1" w14:textId="77777777" w:rsidTr="009E60EB">
        <w:trPr>
          <w:trHeight w:val="30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424E5054" w14:textId="77777777" w:rsidR="00FC10D8" w:rsidRPr="00691CFF" w:rsidRDefault="00FC10D8" w:rsidP="00CE16AE">
            <w:pPr>
              <w:ind w:firstLine="29"/>
              <w:rPr>
                <w:b/>
                <w:lang w:eastAsia="ru-RU"/>
              </w:rPr>
            </w:pPr>
            <w:r w:rsidRPr="00691CFF">
              <w:rPr>
                <w:b/>
                <w:lang w:eastAsia="ru-RU"/>
              </w:rPr>
              <w:t>ПИК</w:t>
            </w:r>
          </w:p>
        </w:tc>
        <w:tc>
          <w:tcPr>
            <w:tcW w:w="1275" w:type="pct"/>
            <w:tcBorders>
              <w:top w:val="nil"/>
              <w:left w:val="nil"/>
              <w:bottom w:val="single" w:sz="4" w:space="0" w:color="auto"/>
              <w:right w:val="single" w:sz="4" w:space="0" w:color="auto"/>
            </w:tcBorders>
            <w:shd w:val="clear" w:color="auto" w:fill="auto"/>
            <w:noWrap/>
            <w:vAlign w:val="bottom"/>
            <w:hideMark/>
          </w:tcPr>
          <w:p w14:paraId="516C79E9" w14:textId="77777777" w:rsidR="00FC10D8" w:rsidRPr="00A93434" w:rsidRDefault="00FC10D8" w:rsidP="009E60EB">
            <w:pPr>
              <w:ind w:right="754" w:firstLine="29"/>
              <w:jc w:val="right"/>
              <w:rPr>
                <w:lang w:eastAsia="ru-RU"/>
              </w:rPr>
            </w:pPr>
            <w:r w:rsidRPr="00A93434">
              <w:rPr>
                <w:lang w:eastAsia="ru-RU"/>
              </w:rPr>
              <w:t>0,46</w:t>
            </w:r>
          </w:p>
        </w:tc>
        <w:tc>
          <w:tcPr>
            <w:tcW w:w="1245" w:type="pct"/>
            <w:tcBorders>
              <w:top w:val="nil"/>
              <w:left w:val="nil"/>
              <w:bottom w:val="single" w:sz="4" w:space="0" w:color="auto"/>
              <w:right w:val="single" w:sz="4" w:space="0" w:color="auto"/>
            </w:tcBorders>
            <w:shd w:val="clear" w:color="auto" w:fill="auto"/>
            <w:noWrap/>
            <w:vAlign w:val="bottom"/>
            <w:hideMark/>
          </w:tcPr>
          <w:p w14:paraId="498DBFDA" w14:textId="77777777" w:rsidR="00FC10D8" w:rsidRPr="00A93434" w:rsidRDefault="00FC10D8" w:rsidP="009E60EB">
            <w:pPr>
              <w:ind w:right="754" w:firstLine="29"/>
              <w:jc w:val="right"/>
              <w:rPr>
                <w:lang w:eastAsia="ru-RU"/>
              </w:rPr>
            </w:pPr>
            <w:r w:rsidRPr="00A93434">
              <w:rPr>
                <w:lang w:eastAsia="ru-RU"/>
              </w:rPr>
              <w:t>0,34</w:t>
            </w:r>
          </w:p>
        </w:tc>
        <w:tc>
          <w:tcPr>
            <w:tcW w:w="1463" w:type="pct"/>
            <w:tcBorders>
              <w:top w:val="nil"/>
              <w:left w:val="nil"/>
              <w:bottom w:val="single" w:sz="4" w:space="0" w:color="auto"/>
              <w:right w:val="single" w:sz="4" w:space="0" w:color="auto"/>
            </w:tcBorders>
            <w:shd w:val="clear" w:color="auto" w:fill="auto"/>
            <w:noWrap/>
            <w:vAlign w:val="bottom"/>
            <w:hideMark/>
          </w:tcPr>
          <w:p w14:paraId="5E05F0B9" w14:textId="77777777" w:rsidR="00FC10D8" w:rsidRPr="00A93434" w:rsidRDefault="00FC10D8" w:rsidP="009E60EB">
            <w:pPr>
              <w:ind w:right="754" w:firstLine="29"/>
              <w:jc w:val="right"/>
              <w:rPr>
                <w:lang w:eastAsia="ru-RU"/>
              </w:rPr>
            </w:pPr>
            <w:r w:rsidRPr="00A93434">
              <w:rPr>
                <w:lang w:eastAsia="ru-RU"/>
              </w:rPr>
              <w:t>-0,09</w:t>
            </w:r>
          </w:p>
        </w:tc>
      </w:tr>
      <w:tr w:rsidR="00CE16AE" w:rsidRPr="003324F4" w14:paraId="2504F2EA" w14:textId="77777777" w:rsidTr="009E60EB">
        <w:trPr>
          <w:trHeight w:val="30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48655C42" w14:textId="77777777" w:rsidR="00FC10D8" w:rsidRPr="00691CFF" w:rsidRDefault="00FC10D8" w:rsidP="00CE16AE">
            <w:pPr>
              <w:ind w:firstLine="29"/>
              <w:rPr>
                <w:b/>
                <w:lang w:eastAsia="ru-RU"/>
              </w:rPr>
            </w:pPr>
            <w:r w:rsidRPr="00691CFF">
              <w:rPr>
                <w:b/>
                <w:lang w:eastAsia="ru-RU"/>
              </w:rPr>
              <w:t>ACS</w:t>
            </w:r>
          </w:p>
        </w:tc>
        <w:tc>
          <w:tcPr>
            <w:tcW w:w="1275" w:type="pct"/>
            <w:tcBorders>
              <w:top w:val="nil"/>
              <w:left w:val="nil"/>
              <w:bottom w:val="single" w:sz="4" w:space="0" w:color="auto"/>
              <w:right w:val="single" w:sz="4" w:space="0" w:color="auto"/>
            </w:tcBorders>
            <w:shd w:val="clear" w:color="auto" w:fill="auto"/>
            <w:noWrap/>
            <w:vAlign w:val="bottom"/>
            <w:hideMark/>
          </w:tcPr>
          <w:p w14:paraId="7391234B" w14:textId="77777777" w:rsidR="00FC10D8" w:rsidRPr="00A93434" w:rsidRDefault="00FC10D8" w:rsidP="009E60EB">
            <w:pPr>
              <w:ind w:right="754" w:firstLine="29"/>
              <w:jc w:val="right"/>
              <w:rPr>
                <w:lang w:eastAsia="ru-RU"/>
              </w:rPr>
            </w:pPr>
            <w:r w:rsidRPr="00A93434">
              <w:rPr>
                <w:lang w:eastAsia="ru-RU"/>
              </w:rPr>
              <w:t>0,87</w:t>
            </w:r>
          </w:p>
        </w:tc>
        <w:tc>
          <w:tcPr>
            <w:tcW w:w="1245" w:type="pct"/>
            <w:tcBorders>
              <w:top w:val="nil"/>
              <w:left w:val="nil"/>
              <w:bottom w:val="single" w:sz="4" w:space="0" w:color="auto"/>
              <w:right w:val="single" w:sz="4" w:space="0" w:color="auto"/>
            </w:tcBorders>
            <w:shd w:val="clear" w:color="auto" w:fill="auto"/>
            <w:noWrap/>
            <w:vAlign w:val="bottom"/>
            <w:hideMark/>
          </w:tcPr>
          <w:p w14:paraId="2203F3DA" w14:textId="77777777" w:rsidR="00FC10D8" w:rsidRPr="00A93434" w:rsidRDefault="00FC10D8" w:rsidP="009E60EB">
            <w:pPr>
              <w:ind w:right="754" w:firstLine="29"/>
              <w:jc w:val="right"/>
              <w:rPr>
                <w:lang w:eastAsia="ru-RU"/>
              </w:rPr>
            </w:pPr>
            <w:r w:rsidRPr="00A93434">
              <w:rPr>
                <w:lang w:eastAsia="ru-RU"/>
              </w:rPr>
              <w:t>0,01</w:t>
            </w:r>
          </w:p>
        </w:tc>
        <w:tc>
          <w:tcPr>
            <w:tcW w:w="1463" w:type="pct"/>
            <w:tcBorders>
              <w:top w:val="nil"/>
              <w:left w:val="nil"/>
              <w:bottom w:val="single" w:sz="4" w:space="0" w:color="auto"/>
              <w:right w:val="single" w:sz="4" w:space="0" w:color="auto"/>
            </w:tcBorders>
            <w:shd w:val="clear" w:color="auto" w:fill="auto"/>
            <w:noWrap/>
            <w:vAlign w:val="bottom"/>
            <w:hideMark/>
          </w:tcPr>
          <w:p w14:paraId="0CAEB290" w14:textId="77777777" w:rsidR="00FC10D8" w:rsidRPr="00A93434" w:rsidRDefault="00FC10D8" w:rsidP="009E60EB">
            <w:pPr>
              <w:ind w:right="754" w:firstLine="29"/>
              <w:jc w:val="right"/>
              <w:rPr>
                <w:lang w:eastAsia="ru-RU"/>
              </w:rPr>
            </w:pPr>
            <w:r w:rsidRPr="00A93434">
              <w:rPr>
                <w:lang w:eastAsia="ru-RU"/>
              </w:rPr>
              <w:t>-0,10</w:t>
            </w:r>
          </w:p>
        </w:tc>
      </w:tr>
      <w:tr w:rsidR="00CE16AE" w:rsidRPr="003324F4" w14:paraId="23CA109C" w14:textId="77777777" w:rsidTr="009E60EB">
        <w:trPr>
          <w:trHeight w:val="30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49E7C21D" w14:textId="77777777" w:rsidR="00FC10D8" w:rsidRPr="00691CFF" w:rsidRDefault="00FC10D8" w:rsidP="00CE16AE">
            <w:pPr>
              <w:ind w:firstLine="29"/>
              <w:rPr>
                <w:b/>
                <w:lang w:eastAsia="ru-RU"/>
              </w:rPr>
            </w:pPr>
            <w:r w:rsidRPr="00691CFF">
              <w:rPr>
                <w:b/>
                <w:lang w:eastAsia="ru-RU"/>
              </w:rPr>
              <w:t>Skanska</w:t>
            </w:r>
          </w:p>
        </w:tc>
        <w:tc>
          <w:tcPr>
            <w:tcW w:w="1275" w:type="pct"/>
            <w:tcBorders>
              <w:top w:val="nil"/>
              <w:left w:val="nil"/>
              <w:bottom w:val="single" w:sz="4" w:space="0" w:color="auto"/>
              <w:right w:val="single" w:sz="4" w:space="0" w:color="auto"/>
            </w:tcBorders>
            <w:shd w:val="clear" w:color="auto" w:fill="auto"/>
            <w:noWrap/>
            <w:vAlign w:val="bottom"/>
            <w:hideMark/>
          </w:tcPr>
          <w:p w14:paraId="5B0EBAD6" w14:textId="77777777" w:rsidR="00FC10D8" w:rsidRPr="00A93434" w:rsidRDefault="00FC10D8" w:rsidP="009E60EB">
            <w:pPr>
              <w:ind w:right="754" w:firstLine="29"/>
              <w:jc w:val="right"/>
              <w:rPr>
                <w:lang w:eastAsia="ru-RU"/>
              </w:rPr>
            </w:pPr>
            <w:r w:rsidRPr="00A93434">
              <w:rPr>
                <w:lang w:eastAsia="ru-RU"/>
              </w:rPr>
              <w:t>0,95</w:t>
            </w:r>
          </w:p>
        </w:tc>
        <w:tc>
          <w:tcPr>
            <w:tcW w:w="1245" w:type="pct"/>
            <w:tcBorders>
              <w:top w:val="nil"/>
              <w:left w:val="nil"/>
              <w:bottom w:val="single" w:sz="4" w:space="0" w:color="auto"/>
              <w:right w:val="single" w:sz="4" w:space="0" w:color="auto"/>
            </w:tcBorders>
            <w:shd w:val="clear" w:color="auto" w:fill="auto"/>
            <w:noWrap/>
            <w:vAlign w:val="bottom"/>
            <w:hideMark/>
          </w:tcPr>
          <w:p w14:paraId="5F227796" w14:textId="77777777" w:rsidR="00FC10D8" w:rsidRPr="00A93434" w:rsidRDefault="00FC10D8" w:rsidP="009E60EB">
            <w:pPr>
              <w:ind w:right="754" w:firstLine="29"/>
              <w:jc w:val="right"/>
              <w:rPr>
                <w:lang w:eastAsia="ru-RU"/>
              </w:rPr>
            </w:pPr>
            <w:r w:rsidRPr="00A93434">
              <w:rPr>
                <w:lang w:eastAsia="ru-RU"/>
              </w:rPr>
              <w:t>-0,69</w:t>
            </w:r>
          </w:p>
        </w:tc>
        <w:tc>
          <w:tcPr>
            <w:tcW w:w="1463" w:type="pct"/>
            <w:tcBorders>
              <w:top w:val="nil"/>
              <w:left w:val="nil"/>
              <w:bottom w:val="single" w:sz="4" w:space="0" w:color="auto"/>
              <w:right w:val="single" w:sz="4" w:space="0" w:color="auto"/>
            </w:tcBorders>
            <w:shd w:val="clear" w:color="auto" w:fill="auto"/>
            <w:noWrap/>
            <w:vAlign w:val="bottom"/>
            <w:hideMark/>
          </w:tcPr>
          <w:p w14:paraId="48529926" w14:textId="77777777" w:rsidR="00FC10D8" w:rsidRPr="00A93434" w:rsidRDefault="00FC10D8" w:rsidP="009E60EB">
            <w:pPr>
              <w:ind w:right="754" w:firstLine="29"/>
              <w:jc w:val="right"/>
              <w:rPr>
                <w:lang w:eastAsia="ru-RU"/>
              </w:rPr>
            </w:pPr>
            <w:r w:rsidRPr="00A93434">
              <w:rPr>
                <w:lang w:eastAsia="ru-RU"/>
              </w:rPr>
              <w:t>-0,69</w:t>
            </w:r>
          </w:p>
        </w:tc>
      </w:tr>
      <w:tr w:rsidR="00CE16AE" w:rsidRPr="003324F4" w14:paraId="7F1F6BC7" w14:textId="77777777" w:rsidTr="009E60EB">
        <w:trPr>
          <w:trHeight w:val="30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19EC074B" w14:textId="77777777" w:rsidR="00FC10D8" w:rsidRPr="00691CFF" w:rsidRDefault="00FC10D8" w:rsidP="00CE16AE">
            <w:pPr>
              <w:ind w:firstLine="29"/>
              <w:rPr>
                <w:b/>
                <w:lang w:eastAsia="ru-RU"/>
              </w:rPr>
            </w:pPr>
            <w:r w:rsidRPr="00691CFF">
              <w:rPr>
                <w:b/>
                <w:lang w:eastAsia="ru-RU"/>
              </w:rPr>
              <w:t>BAM</w:t>
            </w:r>
          </w:p>
        </w:tc>
        <w:tc>
          <w:tcPr>
            <w:tcW w:w="1275" w:type="pct"/>
            <w:tcBorders>
              <w:top w:val="nil"/>
              <w:left w:val="nil"/>
              <w:bottom w:val="single" w:sz="4" w:space="0" w:color="auto"/>
              <w:right w:val="single" w:sz="4" w:space="0" w:color="auto"/>
            </w:tcBorders>
            <w:shd w:val="clear" w:color="auto" w:fill="auto"/>
            <w:noWrap/>
            <w:vAlign w:val="bottom"/>
            <w:hideMark/>
          </w:tcPr>
          <w:p w14:paraId="0EE07AD3" w14:textId="77777777" w:rsidR="00FC10D8" w:rsidRPr="00A93434" w:rsidRDefault="00DD4AAB" w:rsidP="009E60EB">
            <w:pPr>
              <w:ind w:right="754" w:firstLine="29"/>
              <w:jc w:val="right"/>
              <w:rPr>
                <w:lang w:eastAsia="ru-RU"/>
              </w:rPr>
            </w:pPr>
            <w:r>
              <w:rPr>
                <w:lang w:eastAsia="ru-RU"/>
              </w:rPr>
              <w:t>-0,09</w:t>
            </w:r>
          </w:p>
        </w:tc>
        <w:tc>
          <w:tcPr>
            <w:tcW w:w="1245" w:type="pct"/>
            <w:tcBorders>
              <w:top w:val="nil"/>
              <w:left w:val="nil"/>
              <w:bottom w:val="single" w:sz="4" w:space="0" w:color="auto"/>
              <w:right w:val="single" w:sz="4" w:space="0" w:color="auto"/>
            </w:tcBorders>
            <w:shd w:val="clear" w:color="auto" w:fill="auto"/>
            <w:noWrap/>
            <w:vAlign w:val="bottom"/>
            <w:hideMark/>
          </w:tcPr>
          <w:p w14:paraId="54D4BB6E" w14:textId="77777777" w:rsidR="00FC10D8" w:rsidRPr="00A93434" w:rsidRDefault="00FC10D8" w:rsidP="009E60EB">
            <w:pPr>
              <w:ind w:right="754" w:firstLine="29"/>
              <w:jc w:val="right"/>
              <w:rPr>
                <w:lang w:eastAsia="ru-RU"/>
              </w:rPr>
            </w:pPr>
            <w:r w:rsidRPr="00A93434">
              <w:rPr>
                <w:lang w:eastAsia="ru-RU"/>
              </w:rPr>
              <w:t>-0,64</w:t>
            </w:r>
          </w:p>
        </w:tc>
        <w:tc>
          <w:tcPr>
            <w:tcW w:w="1463" w:type="pct"/>
            <w:tcBorders>
              <w:top w:val="nil"/>
              <w:left w:val="nil"/>
              <w:bottom w:val="single" w:sz="4" w:space="0" w:color="auto"/>
              <w:right w:val="single" w:sz="4" w:space="0" w:color="auto"/>
            </w:tcBorders>
            <w:shd w:val="clear" w:color="auto" w:fill="auto"/>
            <w:noWrap/>
            <w:vAlign w:val="bottom"/>
            <w:hideMark/>
          </w:tcPr>
          <w:p w14:paraId="00274F72" w14:textId="77777777" w:rsidR="00FC10D8" w:rsidRPr="00A93434" w:rsidRDefault="00FC10D8" w:rsidP="009E60EB">
            <w:pPr>
              <w:ind w:right="754" w:firstLine="29"/>
              <w:jc w:val="right"/>
              <w:rPr>
                <w:lang w:eastAsia="ru-RU"/>
              </w:rPr>
            </w:pPr>
            <w:r w:rsidRPr="00A93434">
              <w:rPr>
                <w:lang w:eastAsia="ru-RU"/>
              </w:rPr>
              <w:t>-0,61</w:t>
            </w:r>
          </w:p>
        </w:tc>
      </w:tr>
      <w:tr w:rsidR="00CE16AE" w:rsidRPr="003324F4" w14:paraId="6261C75F" w14:textId="77777777" w:rsidTr="009E60EB">
        <w:trPr>
          <w:trHeight w:val="120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7376A74E" w14:textId="77777777" w:rsidR="00FC10D8" w:rsidRPr="00691CFF" w:rsidRDefault="00FC10D8" w:rsidP="00CE16AE">
            <w:pPr>
              <w:ind w:firstLine="29"/>
              <w:rPr>
                <w:b/>
                <w:lang w:eastAsia="ru-RU"/>
              </w:rPr>
            </w:pPr>
          </w:p>
        </w:tc>
        <w:tc>
          <w:tcPr>
            <w:tcW w:w="1275" w:type="pct"/>
            <w:tcBorders>
              <w:top w:val="nil"/>
              <w:left w:val="nil"/>
              <w:bottom w:val="single" w:sz="4" w:space="0" w:color="auto"/>
              <w:right w:val="single" w:sz="4" w:space="0" w:color="auto"/>
            </w:tcBorders>
            <w:shd w:val="clear" w:color="auto" w:fill="auto"/>
            <w:hideMark/>
          </w:tcPr>
          <w:p w14:paraId="29FD46DC" w14:textId="77777777" w:rsidR="00FC10D8" w:rsidRPr="009E60EB" w:rsidRDefault="00FC10D8" w:rsidP="009E60EB">
            <w:pPr>
              <w:ind w:firstLine="29"/>
              <w:jc w:val="center"/>
              <w:rPr>
                <w:b/>
                <w:lang w:eastAsia="ru-RU"/>
              </w:rPr>
            </w:pPr>
            <w:r w:rsidRPr="009E60EB">
              <w:rPr>
                <w:b/>
                <w:lang w:eastAsia="ru-RU"/>
              </w:rPr>
              <w:t>Выручка материнской компании по РСБУ за предыдущий год</w:t>
            </w:r>
          </w:p>
        </w:tc>
        <w:tc>
          <w:tcPr>
            <w:tcW w:w="1245" w:type="pct"/>
            <w:tcBorders>
              <w:top w:val="nil"/>
              <w:left w:val="nil"/>
              <w:bottom w:val="single" w:sz="4" w:space="0" w:color="auto"/>
              <w:right w:val="single" w:sz="4" w:space="0" w:color="auto"/>
            </w:tcBorders>
            <w:shd w:val="clear" w:color="auto" w:fill="auto"/>
            <w:hideMark/>
          </w:tcPr>
          <w:p w14:paraId="74943292" w14:textId="77777777" w:rsidR="00FC10D8" w:rsidRPr="009E60EB" w:rsidRDefault="00FC10D8" w:rsidP="009E60EB">
            <w:pPr>
              <w:ind w:firstLine="29"/>
              <w:jc w:val="center"/>
              <w:rPr>
                <w:b/>
                <w:lang w:eastAsia="ru-RU"/>
              </w:rPr>
            </w:pPr>
            <w:r w:rsidRPr="009E60EB">
              <w:rPr>
                <w:b/>
                <w:lang w:eastAsia="ru-RU"/>
              </w:rPr>
              <w:t>ЧП материнской компании по РСБУ за предыдущий год</w:t>
            </w:r>
          </w:p>
        </w:tc>
        <w:tc>
          <w:tcPr>
            <w:tcW w:w="1463" w:type="pct"/>
            <w:tcBorders>
              <w:top w:val="nil"/>
              <w:left w:val="nil"/>
              <w:bottom w:val="single" w:sz="4" w:space="0" w:color="auto"/>
              <w:right w:val="single" w:sz="4" w:space="0" w:color="auto"/>
            </w:tcBorders>
            <w:shd w:val="clear" w:color="auto" w:fill="auto"/>
            <w:hideMark/>
          </w:tcPr>
          <w:p w14:paraId="74650445" w14:textId="77777777" w:rsidR="00FC10D8" w:rsidRPr="009E60EB" w:rsidRDefault="00FC10D8" w:rsidP="009E60EB">
            <w:pPr>
              <w:ind w:firstLine="29"/>
              <w:jc w:val="center"/>
              <w:rPr>
                <w:b/>
                <w:lang w:eastAsia="ru-RU"/>
              </w:rPr>
            </w:pPr>
            <w:r w:rsidRPr="009E60EB">
              <w:rPr>
                <w:b/>
                <w:lang w:eastAsia="ru-RU"/>
              </w:rPr>
              <w:t>Базовая прибыль на акцию материнской компании по РСБУ за предыдущий год</w:t>
            </w:r>
          </w:p>
        </w:tc>
      </w:tr>
      <w:tr w:rsidR="00CE16AE" w:rsidRPr="003324F4" w14:paraId="42ED101E" w14:textId="77777777" w:rsidTr="009E60EB">
        <w:trPr>
          <w:trHeight w:val="30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5C2A6E89" w14:textId="77777777" w:rsidR="00FC10D8" w:rsidRPr="00691CFF" w:rsidRDefault="00FC10D8" w:rsidP="00CE16AE">
            <w:pPr>
              <w:ind w:firstLine="29"/>
              <w:rPr>
                <w:b/>
                <w:lang w:eastAsia="ru-RU"/>
              </w:rPr>
            </w:pPr>
            <w:r w:rsidRPr="00691CFF">
              <w:rPr>
                <w:b/>
                <w:lang w:eastAsia="ru-RU"/>
              </w:rPr>
              <w:t>ЛСР</w:t>
            </w:r>
          </w:p>
        </w:tc>
        <w:tc>
          <w:tcPr>
            <w:tcW w:w="1275" w:type="pct"/>
            <w:tcBorders>
              <w:top w:val="nil"/>
              <w:left w:val="nil"/>
              <w:bottom w:val="single" w:sz="4" w:space="0" w:color="auto"/>
              <w:right w:val="single" w:sz="4" w:space="0" w:color="auto"/>
            </w:tcBorders>
            <w:shd w:val="clear" w:color="auto" w:fill="auto"/>
            <w:noWrap/>
            <w:vAlign w:val="bottom"/>
            <w:hideMark/>
          </w:tcPr>
          <w:p w14:paraId="62DF749B" w14:textId="77777777" w:rsidR="00FC10D8" w:rsidRPr="00A93434" w:rsidRDefault="00FC10D8" w:rsidP="009E60EB">
            <w:pPr>
              <w:ind w:right="754" w:firstLine="29"/>
              <w:jc w:val="right"/>
              <w:rPr>
                <w:lang w:eastAsia="ru-RU"/>
              </w:rPr>
            </w:pPr>
            <w:r w:rsidRPr="00A93434">
              <w:rPr>
                <w:lang w:eastAsia="ru-RU"/>
              </w:rPr>
              <w:t>-0,17</w:t>
            </w:r>
          </w:p>
        </w:tc>
        <w:tc>
          <w:tcPr>
            <w:tcW w:w="1245" w:type="pct"/>
            <w:tcBorders>
              <w:top w:val="nil"/>
              <w:left w:val="nil"/>
              <w:bottom w:val="single" w:sz="4" w:space="0" w:color="auto"/>
              <w:right w:val="single" w:sz="4" w:space="0" w:color="auto"/>
            </w:tcBorders>
            <w:shd w:val="clear" w:color="auto" w:fill="auto"/>
            <w:noWrap/>
            <w:vAlign w:val="bottom"/>
            <w:hideMark/>
          </w:tcPr>
          <w:p w14:paraId="31893B4C" w14:textId="77777777" w:rsidR="00FC10D8" w:rsidRPr="00A93434" w:rsidRDefault="00FC10D8" w:rsidP="009E60EB">
            <w:pPr>
              <w:ind w:right="754" w:firstLine="29"/>
              <w:jc w:val="right"/>
              <w:rPr>
                <w:lang w:eastAsia="ru-RU"/>
              </w:rPr>
            </w:pPr>
            <w:r w:rsidRPr="00A93434">
              <w:rPr>
                <w:lang w:eastAsia="ru-RU"/>
              </w:rPr>
              <w:t>-0,66</w:t>
            </w:r>
          </w:p>
        </w:tc>
        <w:tc>
          <w:tcPr>
            <w:tcW w:w="1463" w:type="pct"/>
            <w:tcBorders>
              <w:top w:val="nil"/>
              <w:left w:val="nil"/>
              <w:bottom w:val="single" w:sz="4" w:space="0" w:color="auto"/>
              <w:right w:val="single" w:sz="4" w:space="0" w:color="auto"/>
            </w:tcBorders>
            <w:shd w:val="clear" w:color="auto" w:fill="auto"/>
            <w:noWrap/>
            <w:vAlign w:val="bottom"/>
            <w:hideMark/>
          </w:tcPr>
          <w:p w14:paraId="78B4960B" w14:textId="77777777" w:rsidR="00FC10D8" w:rsidRPr="00A93434" w:rsidRDefault="00FC10D8" w:rsidP="009E60EB">
            <w:pPr>
              <w:ind w:right="754" w:firstLine="29"/>
              <w:jc w:val="right"/>
              <w:rPr>
                <w:lang w:eastAsia="ru-RU"/>
              </w:rPr>
            </w:pPr>
            <w:r w:rsidRPr="00A93434">
              <w:rPr>
                <w:lang w:eastAsia="ru-RU"/>
              </w:rPr>
              <w:t>-0,66</w:t>
            </w:r>
          </w:p>
        </w:tc>
      </w:tr>
      <w:tr w:rsidR="00CE16AE" w:rsidRPr="003324F4" w14:paraId="42B8B8AA" w14:textId="77777777" w:rsidTr="009E60EB">
        <w:trPr>
          <w:trHeight w:val="300"/>
        </w:trPr>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1B902CF0" w14:textId="77777777" w:rsidR="00FC10D8" w:rsidRPr="00691CFF" w:rsidRDefault="00FC10D8" w:rsidP="00CE16AE">
            <w:pPr>
              <w:ind w:firstLine="29"/>
              <w:rPr>
                <w:b/>
                <w:lang w:eastAsia="ru-RU"/>
              </w:rPr>
            </w:pPr>
            <w:r w:rsidRPr="00691CFF">
              <w:rPr>
                <w:b/>
                <w:lang w:eastAsia="ru-RU"/>
              </w:rPr>
              <w:t>ПИК</w:t>
            </w:r>
          </w:p>
        </w:tc>
        <w:tc>
          <w:tcPr>
            <w:tcW w:w="1275" w:type="pct"/>
            <w:tcBorders>
              <w:top w:val="nil"/>
              <w:left w:val="nil"/>
              <w:bottom w:val="single" w:sz="4" w:space="0" w:color="auto"/>
              <w:right w:val="single" w:sz="4" w:space="0" w:color="auto"/>
            </w:tcBorders>
            <w:shd w:val="clear" w:color="auto" w:fill="auto"/>
            <w:noWrap/>
            <w:vAlign w:val="bottom"/>
            <w:hideMark/>
          </w:tcPr>
          <w:p w14:paraId="0518A518" w14:textId="77777777" w:rsidR="00FC10D8" w:rsidRPr="00A93434" w:rsidRDefault="00FC10D8" w:rsidP="009E60EB">
            <w:pPr>
              <w:ind w:right="754" w:firstLine="29"/>
              <w:jc w:val="right"/>
              <w:rPr>
                <w:lang w:eastAsia="ru-RU"/>
              </w:rPr>
            </w:pPr>
            <w:r w:rsidRPr="00A93434">
              <w:rPr>
                <w:lang w:eastAsia="ru-RU"/>
              </w:rPr>
              <w:t>0,80</w:t>
            </w:r>
          </w:p>
        </w:tc>
        <w:tc>
          <w:tcPr>
            <w:tcW w:w="1245" w:type="pct"/>
            <w:tcBorders>
              <w:top w:val="nil"/>
              <w:left w:val="nil"/>
              <w:bottom w:val="single" w:sz="4" w:space="0" w:color="auto"/>
              <w:right w:val="single" w:sz="4" w:space="0" w:color="auto"/>
            </w:tcBorders>
            <w:shd w:val="clear" w:color="auto" w:fill="auto"/>
            <w:noWrap/>
            <w:vAlign w:val="bottom"/>
            <w:hideMark/>
          </w:tcPr>
          <w:p w14:paraId="1D823C26" w14:textId="77777777" w:rsidR="00FC10D8" w:rsidRPr="00A93434" w:rsidRDefault="00FC10D8" w:rsidP="009E60EB">
            <w:pPr>
              <w:ind w:right="754" w:firstLine="29"/>
              <w:jc w:val="right"/>
              <w:rPr>
                <w:lang w:eastAsia="ru-RU"/>
              </w:rPr>
            </w:pPr>
            <w:r w:rsidRPr="00A93434">
              <w:rPr>
                <w:lang w:eastAsia="ru-RU"/>
              </w:rPr>
              <w:t>0,62</w:t>
            </w:r>
          </w:p>
        </w:tc>
        <w:tc>
          <w:tcPr>
            <w:tcW w:w="1463" w:type="pct"/>
            <w:tcBorders>
              <w:top w:val="nil"/>
              <w:left w:val="nil"/>
              <w:bottom w:val="single" w:sz="4" w:space="0" w:color="auto"/>
              <w:right w:val="single" w:sz="4" w:space="0" w:color="auto"/>
            </w:tcBorders>
            <w:shd w:val="clear" w:color="auto" w:fill="auto"/>
            <w:noWrap/>
            <w:vAlign w:val="bottom"/>
            <w:hideMark/>
          </w:tcPr>
          <w:p w14:paraId="284A3AA6" w14:textId="77777777" w:rsidR="00FC10D8" w:rsidRPr="00A93434" w:rsidRDefault="00FC10D8" w:rsidP="009E60EB">
            <w:pPr>
              <w:ind w:right="754" w:firstLine="29"/>
              <w:jc w:val="right"/>
              <w:rPr>
                <w:lang w:eastAsia="ru-RU"/>
              </w:rPr>
            </w:pPr>
            <w:r w:rsidRPr="00A93434">
              <w:rPr>
                <w:lang w:eastAsia="ru-RU"/>
              </w:rPr>
              <w:t>0,57</w:t>
            </w:r>
          </w:p>
        </w:tc>
      </w:tr>
    </w:tbl>
    <w:p w14:paraId="2843AB9B" w14:textId="694D5F2C" w:rsidR="00422972" w:rsidRPr="00D0519C" w:rsidRDefault="00A7338A" w:rsidP="00CC411C">
      <w:pPr>
        <w:rPr>
          <w:i/>
          <w:sz w:val="20"/>
          <w:szCs w:val="20"/>
          <w:lang w:val="en-US"/>
        </w:rPr>
      </w:pPr>
      <w:r w:rsidRPr="00CC411C">
        <w:rPr>
          <w:i/>
          <w:sz w:val="20"/>
          <w:szCs w:val="20"/>
        </w:rPr>
        <w:t>Рассчитано</w:t>
      </w:r>
      <w:r w:rsidR="0092376E" w:rsidRPr="00CC411C">
        <w:rPr>
          <w:i/>
          <w:sz w:val="20"/>
          <w:szCs w:val="20"/>
        </w:rPr>
        <w:t xml:space="preserve"> автором на основании</w:t>
      </w:r>
      <w:r w:rsidR="00154618">
        <w:rPr>
          <w:i/>
          <w:sz w:val="20"/>
          <w:szCs w:val="20"/>
        </w:rPr>
        <w:t xml:space="preserve"> данных</w:t>
      </w:r>
      <w:r w:rsidR="00A0426D" w:rsidRPr="00CC411C">
        <w:rPr>
          <w:i/>
          <w:sz w:val="20"/>
          <w:szCs w:val="20"/>
        </w:rPr>
        <w:t xml:space="preserve"> годовой отчетности компаний</w:t>
      </w:r>
      <w:r w:rsidR="00D0519C">
        <w:rPr>
          <w:i/>
          <w:sz w:val="20"/>
          <w:szCs w:val="20"/>
        </w:rPr>
        <w:t xml:space="preserve"> за 5 лет</w:t>
      </w:r>
      <w:r w:rsidR="003125E0">
        <w:rPr>
          <w:i/>
          <w:sz w:val="20"/>
          <w:szCs w:val="20"/>
        </w:rPr>
        <w:t xml:space="preserve"> и данных Московской биржи</w:t>
      </w:r>
      <w:r w:rsidR="00320D8A" w:rsidRPr="00CC411C">
        <w:rPr>
          <w:i/>
          <w:sz w:val="20"/>
          <w:szCs w:val="20"/>
        </w:rPr>
        <w:t xml:space="preserve"> </w:t>
      </w:r>
      <w:r w:rsidR="00D0519C">
        <w:rPr>
          <w:i/>
          <w:sz w:val="20"/>
          <w:szCs w:val="20"/>
        </w:rPr>
        <w:t xml:space="preserve"> </w:t>
      </w:r>
      <w:r w:rsidR="00CE4CB5">
        <w:rPr>
          <w:i/>
          <w:sz w:val="20"/>
          <w:szCs w:val="20"/>
          <w:lang w:val="en-US"/>
        </w:rPr>
        <w:t>[39-44</w:t>
      </w:r>
      <w:r w:rsidR="00D0519C">
        <w:rPr>
          <w:i/>
          <w:sz w:val="20"/>
          <w:szCs w:val="20"/>
          <w:lang w:val="en-US"/>
        </w:rPr>
        <w:t>]</w:t>
      </w:r>
    </w:p>
    <w:p w14:paraId="5FE2DFB3" w14:textId="77777777" w:rsidR="00163084" w:rsidRDefault="00FC10D8" w:rsidP="00DC1E96">
      <w:pPr>
        <w:rPr>
          <w:lang w:eastAsia="ru-RU"/>
        </w:rPr>
      </w:pPr>
      <w:r w:rsidRPr="00F878D8">
        <w:rPr>
          <w:lang w:eastAsia="ru-RU"/>
        </w:rPr>
        <w:t>Дальнейший анализ сконцентрирован на компаниях  ЛСР, ACS и Skanska</w:t>
      </w:r>
      <w:r w:rsidR="00F878D8">
        <w:rPr>
          <w:lang w:eastAsia="ru-RU"/>
        </w:rPr>
        <w:t>.</w:t>
      </w:r>
      <w:r w:rsidR="00206103">
        <w:rPr>
          <w:lang w:eastAsia="ru-RU"/>
        </w:rPr>
        <w:t xml:space="preserve"> Кроме того, было принято увеличить размер выборки по каждой компании по каждому показателю до семи лет.</w:t>
      </w:r>
    </w:p>
    <w:p w14:paraId="28D9574A" w14:textId="77777777" w:rsidR="008B523F" w:rsidRDefault="000F5DDF" w:rsidP="008B523F">
      <w:r>
        <w:t xml:space="preserve">В табл. 2 представлены результаты расчета коэффициента рангов Спирмена. для трех компаний по разным показателем отчетности. Значение каждого коэффициента в таблице показывает влияние определенного показателя отчетности компании на ее рыночную капитализацию в </w:t>
      </w:r>
      <w:r w:rsidR="00422972">
        <w:t>последующем</w:t>
      </w:r>
      <w:r>
        <w:t xml:space="preserve"> периоде. </w:t>
      </w:r>
    </w:p>
    <w:p w14:paraId="0608DC22" w14:textId="6FBA3CA1" w:rsidR="00422972" w:rsidRDefault="008B523F" w:rsidP="008B523F">
      <w:r>
        <w:t xml:space="preserve">Для оценки результатов необходимо оценить статистическую значимость расчетного коэффициента. Для этого расчетное значение необходимо сопоставить с табличным. Табличное значение коэффициента равно </w:t>
      </w:r>
      <w:r>
        <w:rPr>
          <w:rFonts w:cs="Times New Roman"/>
          <w:sz w:val="22"/>
          <w:szCs w:val="22"/>
        </w:rPr>
        <w:t>0,679</w:t>
      </w:r>
      <w:r>
        <w:rPr>
          <w:rStyle w:val="a6"/>
          <w:rFonts w:cs="Times New Roman"/>
          <w:sz w:val="22"/>
          <w:szCs w:val="22"/>
        </w:rPr>
        <w:footnoteReference w:id="6"/>
      </w:r>
      <w:r>
        <w:t xml:space="preserve"> для данного количества наблюдений. Таким образом,  с вероятностью 90</w:t>
      </w:r>
      <w:r w:rsidRPr="009E60EB">
        <w:t xml:space="preserve">% </w:t>
      </w:r>
      <w:r>
        <w:t xml:space="preserve">можно предположить наличие заметной прямой зависимости </w:t>
      </w:r>
      <w:r>
        <w:lastRenderedPageBreak/>
        <w:t xml:space="preserve">между показателями отчетности, составленной в соответствии с Международными Стандартами и рыночной капитализацией компании ЛСР. Кроме того, в отношении компании и </w:t>
      </w:r>
      <w:r>
        <w:rPr>
          <w:lang w:val="en-US"/>
        </w:rPr>
        <w:t>Skanska</w:t>
      </w:r>
      <w:r w:rsidRPr="008C1E67">
        <w:t xml:space="preserve"> </w:t>
      </w:r>
      <w:r>
        <w:t>можно говорить о связи выручки с показателем рыночной капитализации.</w:t>
      </w:r>
    </w:p>
    <w:p w14:paraId="28C5E219" w14:textId="19D57388" w:rsidR="00445078" w:rsidRPr="00154618" w:rsidRDefault="00445078" w:rsidP="00D0519C">
      <w:pPr>
        <w:rPr>
          <w:i/>
        </w:rPr>
      </w:pPr>
      <w:r w:rsidRPr="00154618">
        <w:rPr>
          <w:i/>
        </w:rPr>
        <w:t>Таблица 2 Значение коэффициента рангов Спирмена</w:t>
      </w:r>
    </w:p>
    <w:tbl>
      <w:tblPr>
        <w:tblStyle w:val="af2"/>
        <w:tblW w:w="0" w:type="auto"/>
        <w:tblLayout w:type="fixed"/>
        <w:tblLook w:val="04A0" w:firstRow="1" w:lastRow="0" w:firstColumn="1" w:lastColumn="0" w:noHBand="0" w:noVBand="1"/>
      </w:tblPr>
      <w:tblGrid>
        <w:gridCol w:w="1384"/>
        <w:gridCol w:w="2693"/>
        <w:gridCol w:w="2694"/>
        <w:gridCol w:w="2976"/>
      </w:tblGrid>
      <w:tr w:rsidR="004F1050" w:rsidRPr="00163084" w14:paraId="33E80494" w14:textId="77777777" w:rsidTr="008B523F">
        <w:trPr>
          <w:trHeight w:val="300"/>
        </w:trPr>
        <w:tc>
          <w:tcPr>
            <w:tcW w:w="1384" w:type="dxa"/>
            <w:noWrap/>
            <w:hideMark/>
          </w:tcPr>
          <w:p w14:paraId="1CF1B907" w14:textId="77777777" w:rsidR="00163084" w:rsidRPr="00D0519C" w:rsidRDefault="00163084" w:rsidP="00D0519C">
            <w:pPr>
              <w:pStyle w:val="af3"/>
              <w:jc w:val="center"/>
              <w:rPr>
                <w:b/>
                <w:sz w:val="24"/>
              </w:rPr>
            </w:pPr>
            <w:r w:rsidRPr="00D0519C">
              <w:rPr>
                <w:b/>
                <w:sz w:val="24"/>
              </w:rPr>
              <w:t>Компания</w:t>
            </w:r>
          </w:p>
        </w:tc>
        <w:tc>
          <w:tcPr>
            <w:tcW w:w="8363" w:type="dxa"/>
            <w:gridSpan w:val="3"/>
            <w:noWrap/>
            <w:hideMark/>
          </w:tcPr>
          <w:p w14:paraId="00540F9F" w14:textId="0EDC8CC2" w:rsidR="00163084" w:rsidRPr="008B523F" w:rsidRDefault="00163084" w:rsidP="008B523F">
            <w:pPr>
              <w:pStyle w:val="af3"/>
              <w:jc w:val="center"/>
              <w:rPr>
                <w:b/>
                <w:sz w:val="24"/>
              </w:rPr>
            </w:pPr>
            <w:r w:rsidRPr="008B523F">
              <w:rPr>
                <w:b/>
                <w:sz w:val="24"/>
              </w:rPr>
              <w:t>Коэффициент рангов Спирмена</w:t>
            </w:r>
            <w:r w:rsidR="008B523F">
              <w:rPr>
                <w:b/>
                <w:sz w:val="24"/>
              </w:rPr>
              <w:t>, в долях</w:t>
            </w:r>
          </w:p>
        </w:tc>
      </w:tr>
      <w:tr w:rsidR="004F1050" w:rsidRPr="00163084" w14:paraId="59B5A392" w14:textId="77777777" w:rsidTr="008B523F">
        <w:trPr>
          <w:trHeight w:val="770"/>
        </w:trPr>
        <w:tc>
          <w:tcPr>
            <w:tcW w:w="1384" w:type="dxa"/>
            <w:noWrap/>
            <w:hideMark/>
          </w:tcPr>
          <w:p w14:paraId="670475FC" w14:textId="4B643E09" w:rsidR="00163084" w:rsidRPr="00D0519C" w:rsidRDefault="00163084" w:rsidP="00D0519C">
            <w:pPr>
              <w:pStyle w:val="af3"/>
              <w:jc w:val="center"/>
              <w:rPr>
                <w:b/>
                <w:sz w:val="24"/>
              </w:rPr>
            </w:pPr>
          </w:p>
        </w:tc>
        <w:tc>
          <w:tcPr>
            <w:tcW w:w="2693" w:type="dxa"/>
            <w:hideMark/>
          </w:tcPr>
          <w:p w14:paraId="312F3311" w14:textId="77777777" w:rsidR="00163084" w:rsidRPr="008B523F" w:rsidRDefault="00163084" w:rsidP="008B523F">
            <w:pPr>
              <w:pStyle w:val="af3"/>
              <w:jc w:val="center"/>
              <w:rPr>
                <w:b/>
                <w:sz w:val="24"/>
              </w:rPr>
            </w:pPr>
            <w:r w:rsidRPr="008B523F">
              <w:rPr>
                <w:b/>
                <w:sz w:val="24"/>
              </w:rPr>
              <w:t>Выручка по МСФО за предыдущий год</w:t>
            </w:r>
          </w:p>
        </w:tc>
        <w:tc>
          <w:tcPr>
            <w:tcW w:w="2694" w:type="dxa"/>
            <w:hideMark/>
          </w:tcPr>
          <w:p w14:paraId="7AC6E9F1" w14:textId="77777777" w:rsidR="00163084" w:rsidRPr="008B523F" w:rsidRDefault="00163084" w:rsidP="008B523F">
            <w:pPr>
              <w:pStyle w:val="af3"/>
              <w:jc w:val="center"/>
              <w:rPr>
                <w:b/>
                <w:sz w:val="24"/>
              </w:rPr>
            </w:pPr>
            <w:r w:rsidRPr="008B523F">
              <w:rPr>
                <w:b/>
                <w:sz w:val="24"/>
              </w:rPr>
              <w:t>Чистая прибыль по МСФО за предыдущий год</w:t>
            </w:r>
          </w:p>
        </w:tc>
        <w:tc>
          <w:tcPr>
            <w:tcW w:w="2976" w:type="dxa"/>
            <w:hideMark/>
          </w:tcPr>
          <w:p w14:paraId="3C09A96E" w14:textId="77777777" w:rsidR="00163084" w:rsidRPr="008B523F" w:rsidRDefault="00163084" w:rsidP="008B523F">
            <w:pPr>
              <w:pStyle w:val="af3"/>
              <w:jc w:val="center"/>
              <w:rPr>
                <w:b/>
                <w:sz w:val="24"/>
              </w:rPr>
            </w:pPr>
            <w:r w:rsidRPr="008B523F">
              <w:rPr>
                <w:b/>
                <w:sz w:val="24"/>
              </w:rPr>
              <w:t>Базовая прибыль на акцию по МСФО за предыдущий год</w:t>
            </w:r>
          </w:p>
        </w:tc>
      </w:tr>
      <w:tr w:rsidR="004F1050" w:rsidRPr="00163084" w14:paraId="38496BCB" w14:textId="77777777" w:rsidTr="008B523F">
        <w:trPr>
          <w:trHeight w:val="300"/>
        </w:trPr>
        <w:tc>
          <w:tcPr>
            <w:tcW w:w="1384" w:type="dxa"/>
            <w:noWrap/>
            <w:hideMark/>
          </w:tcPr>
          <w:p w14:paraId="2851043D" w14:textId="77777777" w:rsidR="00163084" w:rsidRPr="00D0519C" w:rsidRDefault="00163084" w:rsidP="00D0519C">
            <w:pPr>
              <w:pStyle w:val="af3"/>
              <w:jc w:val="center"/>
              <w:rPr>
                <w:b/>
                <w:sz w:val="24"/>
              </w:rPr>
            </w:pPr>
            <w:r w:rsidRPr="00D0519C">
              <w:rPr>
                <w:b/>
                <w:sz w:val="24"/>
              </w:rPr>
              <w:t>ЛСР</w:t>
            </w:r>
          </w:p>
        </w:tc>
        <w:tc>
          <w:tcPr>
            <w:tcW w:w="2693" w:type="dxa"/>
            <w:noWrap/>
            <w:hideMark/>
          </w:tcPr>
          <w:p w14:paraId="471C56BA" w14:textId="77777777" w:rsidR="00163084" w:rsidRPr="00212421" w:rsidRDefault="00163084" w:rsidP="008B523F">
            <w:pPr>
              <w:pStyle w:val="af3"/>
              <w:jc w:val="right"/>
              <w:rPr>
                <w:sz w:val="24"/>
              </w:rPr>
            </w:pPr>
            <w:r w:rsidRPr="00212421">
              <w:rPr>
                <w:sz w:val="24"/>
              </w:rPr>
              <w:t>0,7</w:t>
            </w:r>
          </w:p>
        </w:tc>
        <w:tc>
          <w:tcPr>
            <w:tcW w:w="2694" w:type="dxa"/>
            <w:noWrap/>
            <w:hideMark/>
          </w:tcPr>
          <w:p w14:paraId="2537EAC0" w14:textId="77777777" w:rsidR="00163084" w:rsidRPr="00212421" w:rsidRDefault="00163084" w:rsidP="008B523F">
            <w:pPr>
              <w:pStyle w:val="af3"/>
              <w:jc w:val="right"/>
              <w:rPr>
                <w:sz w:val="24"/>
              </w:rPr>
            </w:pPr>
            <w:r w:rsidRPr="00212421">
              <w:rPr>
                <w:sz w:val="24"/>
              </w:rPr>
              <w:t>0,7</w:t>
            </w:r>
          </w:p>
        </w:tc>
        <w:tc>
          <w:tcPr>
            <w:tcW w:w="2976" w:type="dxa"/>
            <w:noWrap/>
            <w:hideMark/>
          </w:tcPr>
          <w:p w14:paraId="6D357EAC" w14:textId="77777777" w:rsidR="00163084" w:rsidRPr="00212421" w:rsidRDefault="00163084" w:rsidP="008B523F">
            <w:pPr>
              <w:pStyle w:val="af3"/>
              <w:jc w:val="right"/>
              <w:rPr>
                <w:sz w:val="24"/>
              </w:rPr>
            </w:pPr>
            <w:r w:rsidRPr="00212421">
              <w:rPr>
                <w:sz w:val="24"/>
              </w:rPr>
              <w:t>0,7</w:t>
            </w:r>
          </w:p>
        </w:tc>
      </w:tr>
      <w:tr w:rsidR="004F1050" w:rsidRPr="00163084" w14:paraId="01948BF3" w14:textId="77777777" w:rsidTr="008B523F">
        <w:trPr>
          <w:trHeight w:val="366"/>
        </w:trPr>
        <w:tc>
          <w:tcPr>
            <w:tcW w:w="1384" w:type="dxa"/>
            <w:noWrap/>
            <w:hideMark/>
          </w:tcPr>
          <w:p w14:paraId="73B92661" w14:textId="77777777" w:rsidR="00163084" w:rsidRPr="00D0519C" w:rsidRDefault="00163084" w:rsidP="00D0519C">
            <w:pPr>
              <w:pStyle w:val="af3"/>
              <w:jc w:val="center"/>
              <w:rPr>
                <w:b/>
                <w:sz w:val="24"/>
              </w:rPr>
            </w:pPr>
            <w:r w:rsidRPr="00D0519C">
              <w:rPr>
                <w:b/>
                <w:sz w:val="24"/>
              </w:rPr>
              <w:t>ACS</w:t>
            </w:r>
          </w:p>
        </w:tc>
        <w:tc>
          <w:tcPr>
            <w:tcW w:w="2693" w:type="dxa"/>
            <w:noWrap/>
            <w:hideMark/>
          </w:tcPr>
          <w:p w14:paraId="21025D10" w14:textId="77777777" w:rsidR="00163084" w:rsidRPr="00212421" w:rsidRDefault="00163084" w:rsidP="008B523F">
            <w:pPr>
              <w:pStyle w:val="af3"/>
              <w:jc w:val="right"/>
              <w:rPr>
                <w:sz w:val="24"/>
              </w:rPr>
            </w:pPr>
            <w:r w:rsidRPr="00212421">
              <w:rPr>
                <w:sz w:val="24"/>
              </w:rPr>
              <w:t>0,6</w:t>
            </w:r>
          </w:p>
        </w:tc>
        <w:tc>
          <w:tcPr>
            <w:tcW w:w="2694" w:type="dxa"/>
            <w:noWrap/>
            <w:hideMark/>
          </w:tcPr>
          <w:p w14:paraId="72B8F22C" w14:textId="77777777" w:rsidR="00163084" w:rsidRPr="00212421" w:rsidRDefault="00163084" w:rsidP="008B523F">
            <w:pPr>
              <w:pStyle w:val="af3"/>
              <w:jc w:val="right"/>
              <w:rPr>
                <w:sz w:val="24"/>
              </w:rPr>
            </w:pPr>
            <w:r w:rsidRPr="00212421">
              <w:rPr>
                <w:sz w:val="24"/>
              </w:rPr>
              <w:t>-0,1</w:t>
            </w:r>
          </w:p>
        </w:tc>
        <w:tc>
          <w:tcPr>
            <w:tcW w:w="2976" w:type="dxa"/>
            <w:noWrap/>
            <w:hideMark/>
          </w:tcPr>
          <w:p w14:paraId="3C2F6723" w14:textId="77777777" w:rsidR="00163084" w:rsidRPr="00212421" w:rsidRDefault="00163084" w:rsidP="008B523F">
            <w:pPr>
              <w:pStyle w:val="af3"/>
              <w:jc w:val="right"/>
              <w:rPr>
                <w:sz w:val="24"/>
              </w:rPr>
            </w:pPr>
            <w:r w:rsidRPr="00212421">
              <w:rPr>
                <w:sz w:val="24"/>
              </w:rPr>
              <w:t>-0,6</w:t>
            </w:r>
          </w:p>
        </w:tc>
      </w:tr>
      <w:tr w:rsidR="004F1050" w:rsidRPr="00163084" w14:paraId="71CC9641" w14:textId="77777777" w:rsidTr="008B523F">
        <w:trPr>
          <w:trHeight w:val="300"/>
        </w:trPr>
        <w:tc>
          <w:tcPr>
            <w:tcW w:w="1384" w:type="dxa"/>
            <w:noWrap/>
            <w:hideMark/>
          </w:tcPr>
          <w:p w14:paraId="3AC9A1C6" w14:textId="77777777" w:rsidR="00163084" w:rsidRPr="00D0519C" w:rsidRDefault="00163084" w:rsidP="00D0519C">
            <w:pPr>
              <w:pStyle w:val="af3"/>
              <w:jc w:val="center"/>
              <w:rPr>
                <w:b/>
                <w:sz w:val="24"/>
              </w:rPr>
            </w:pPr>
            <w:r w:rsidRPr="00D0519C">
              <w:rPr>
                <w:b/>
                <w:sz w:val="24"/>
              </w:rPr>
              <w:t>Skanska</w:t>
            </w:r>
          </w:p>
        </w:tc>
        <w:tc>
          <w:tcPr>
            <w:tcW w:w="2693" w:type="dxa"/>
            <w:noWrap/>
            <w:hideMark/>
          </w:tcPr>
          <w:p w14:paraId="6450011F" w14:textId="77777777" w:rsidR="00163084" w:rsidRPr="00212421" w:rsidRDefault="00163084" w:rsidP="008B523F">
            <w:pPr>
              <w:pStyle w:val="af3"/>
              <w:jc w:val="right"/>
              <w:rPr>
                <w:sz w:val="24"/>
              </w:rPr>
            </w:pPr>
            <w:r w:rsidRPr="00212421">
              <w:rPr>
                <w:sz w:val="24"/>
              </w:rPr>
              <w:t>0,9</w:t>
            </w:r>
          </w:p>
        </w:tc>
        <w:tc>
          <w:tcPr>
            <w:tcW w:w="2694" w:type="dxa"/>
            <w:noWrap/>
            <w:hideMark/>
          </w:tcPr>
          <w:p w14:paraId="6C47DF8C" w14:textId="77777777" w:rsidR="00163084" w:rsidRPr="00212421" w:rsidRDefault="00163084" w:rsidP="008B523F">
            <w:pPr>
              <w:pStyle w:val="af3"/>
              <w:jc w:val="right"/>
              <w:rPr>
                <w:sz w:val="24"/>
              </w:rPr>
            </w:pPr>
            <w:r w:rsidRPr="00212421">
              <w:rPr>
                <w:sz w:val="24"/>
              </w:rPr>
              <w:t>-0,7</w:t>
            </w:r>
          </w:p>
        </w:tc>
        <w:tc>
          <w:tcPr>
            <w:tcW w:w="2976" w:type="dxa"/>
            <w:noWrap/>
            <w:hideMark/>
          </w:tcPr>
          <w:p w14:paraId="1C57DD2C" w14:textId="77777777" w:rsidR="00163084" w:rsidRPr="00212421" w:rsidRDefault="00163084" w:rsidP="008B523F">
            <w:pPr>
              <w:pStyle w:val="af3"/>
              <w:jc w:val="right"/>
              <w:rPr>
                <w:sz w:val="24"/>
              </w:rPr>
            </w:pPr>
            <w:r w:rsidRPr="00212421">
              <w:rPr>
                <w:sz w:val="24"/>
              </w:rPr>
              <w:t>-0,7</w:t>
            </w:r>
          </w:p>
        </w:tc>
      </w:tr>
      <w:tr w:rsidR="004F1050" w:rsidRPr="00163084" w14:paraId="232AF469" w14:textId="77777777" w:rsidTr="008B523F">
        <w:trPr>
          <w:trHeight w:val="952"/>
        </w:trPr>
        <w:tc>
          <w:tcPr>
            <w:tcW w:w="1384" w:type="dxa"/>
            <w:noWrap/>
            <w:hideMark/>
          </w:tcPr>
          <w:p w14:paraId="50AD416F" w14:textId="5FACCE03" w:rsidR="00163084" w:rsidRPr="00D0519C" w:rsidRDefault="00163084" w:rsidP="00D0519C">
            <w:pPr>
              <w:pStyle w:val="af3"/>
              <w:jc w:val="center"/>
              <w:rPr>
                <w:b/>
                <w:sz w:val="24"/>
              </w:rPr>
            </w:pPr>
          </w:p>
        </w:tc>
        <w:tc>
          <w:tcPr>
            <w:tcW w:w="2693" w:type="dxa"/>
            <w:hideMark/>
          </w:tcPr>
          <w:p w14:paraId="21B4290D" w14:textId="77777777" w:rsidR="00163084" w:rsidRPr="00212421" w:rsidRDefault="00163084" w:rsidP="008B523F">
            <w:pPr>
              <w:pStyle w:val="af3"/>
              <w:jc w:val="right"/>
              <w:rPr>
                <w:sz w:val="24"/>
              </w:rPr>
            </w:pPr>
            <w:r w:rsidRPr="00212421">
              <w:rPr>
                <w:sz w:val="24"/>
              </w:rPr>
              <w:t>Выручка материнской компании по РСБУ за предыдущий год</w:t>
            </w:r>
          </w:p>
        </w:tc>
        <w:tc>
          <w:tcPr>
            <w:tcW w:w="2694" w:type="dxa"/>
            <w:hideMark/>
          </w:tcPr>
          <w:p w14:paraId="17979684" w14:textId="77777777" w:rsidR="00163084" w:rsidRPr="00212421" w:rsidRDefault="00163084" w:rsidP="008B523F">
            <w:pPr>
              <w:pStyle w:val="af3"/>
              <w:jc w:val="right"/>
              <w:rPr>
                <w:sz w:val="24"/>
              </w:rPr>
            </w:pPr>
            <w:r w:rsidRPr="00212421">
              <w:rPr>
                <w:sz w:val="24"/>
              </w:rPr>
              <w:t>ЧП материнской компании по РСБУ за предыдущий год</w:t>
            </w:r>
          </w:p>
        </w:tc>
        <w:tc>
          <w:tcPr>
            <w:tcW w:w="2976" w:type="dxa"/>
            <w:hideMark/>
          </w:tcPr>
          <w:p w14:paraId="2D7601AC" w14:textId="77777777" w:rsidR="00163084" w:rsidRPr="00212421" w:rsidRDefault="00163084" w:rsidP="008B523F">
            <w:pPr>
              <w:pStyle w:val="af3"/>
              <w:jc w:val="right"/>
              <w:rPr>
                <w:sz w:val="24"/>
              </w:rPr>
            </w:pPr>
            <w:r w:rsidRPr="00212421">
              <w:rPr>
                <w:sz w:val="24"/>
              </w:rPr>
              <w:t>Базовая прибыль на акцию материнской компании по РСБУ за предыдущий год</w:t>
            </w:r>
          </w:p>
        </w:tc>
      </w:tr>
      <w:tr w:rsidR="004F1050" w:rsidRPr="00163084" w14:paraId="181254FB" w14:textId="77777777" w:rsidTr="008B523F">
        <w:trPr>
          <w:trHeight w:val="300"/>
        </w:trPr>
        <w:tc>
          <w:tcPr>
            <w:tcW w:w="1384" w:type="dxa"/>
            <w:noWrap/>
            <w:hideMark/>
          </w:tcPr>
          <w:p w14:paraId="41EF1A37" w14:textId="77777777" w:rsidR="00163084" w:rsidRPr="00D0519C" w:rsidRDefault="00163084" w:rsidP="00D0519C">
            <w:pPr>
              <w:pStyle w:val="af3"/>
              <w:jc w:val="center"/>
              <w:rPr>
                <w:b/>
                <w:sz w:val="24"/>
              </w:rPr>
            </w:pPr>
            <w:r w:rsidRPr="00D0519C">
              <w:rPr>
                <w:b/>
                <w:sz w:val="24"/>
              </w:rPr>
              <w:t>ЛСР</w:t>
            </w:r>
          </w:p>
        </w:tc>
        <w:tc>
          <w:tcPr>
            <w:tcW w:w="2693" w:type="dxa"/>
            <w:noWrap/>
            <w:hideMark/>
          </w:tcPr>
          <w:p w14:paraId="0CCD810E" w14:textId="77777777" w:rsidR="00163084" w:rsidRPr="00212421" w:rsidRDefault="00163084" w:rsidP="008B523F">
            <w:pPr>
              <w:pStyle w:val="af3"/>
              <w:jc w:val="right"/>
              <w:rPr>
                <w:sz w:val="24"/>
              </w:rPr>
            </w:pPr>
            <w:r w:rsidRPr="00212421">
              <w:rPr>
                <w:sz w:val="24"/>
              </w:rPr>
              <w:t>0,3</w:t>
            </w:r>
          </w:p>
        </w:tc>
        <w:tc>
          <w:tcPr>
            <w:tcW w:w="2694" w:type="dxa"/>
            <w:noWrap/>
            <w:hideMark/>
          </w:tcPr>
          <w:p w14:paraId="42DCBE18" w14:textId="77777777" w:rsidR="00163084" w:rsidRPr="00212421" w:rsidRDefault="00163084" w:rsidP="008B523F">
            <w:pPr>
              <w:pStyle w:val="af3"/>
              <w:jc w:val="right"/>
              <w:rPr>
                <w:sz w:val="24"/>
              </w:rPr>
            </w:pPr>
            <w:r w:rsidRPr="00212421">
              <w:rPr>
                <w:sz w:val="24"/>
              </w:rPr>
              <w:t>0,3</w:t>
            </w:r>
          </w:p>
        </w:tc>
        <w:tc>
          <w:tcPr>
            <w:tcW w:w="2976" w:type="dxa"/>
            <w:noWrap/>
            <w:hideMark/>
          </w:tcPr>
          <w:p w14:paraId="2975678D" w14:textId="77777777" w:rsidR="00163084" w:rsidRPr="00212421" w:rsidRDefault="00163084" w:rsidP="008B523F">
            <w:pPr>
              <w:pStyle w:val="af3"/>
              <w:jc w:val="right"/>
              <w:rPr>
                <w:sz w:val="24"/>
              </w:rPr>
            </w:pPr>
            <w:r w:rsidRPr="00212421">
              <w:rPr>
                <w:sz w:val="24"/>
              </w:rPr>
              <w:t>0,3</w:t>
            </w:r>
          </w:p>
        </w:tc>
      </w:tr>
    </w:tbl>
    <w:p w14:paraId="576846DD" w14:textId="1541A3DF" w:rsidR="003125E0" w:rsidRPr="00D0519C" w:rsidRDefault="003125E0" w:rsidP="003125E0">
      <w:pPr>
        <w:rPr>
          <w:i/>
          <w:sz w:val="20"/>
          <w:szCs w:val="20"/>
          <w:lang w:val="en-US"/>
        </w:rPr>
      </w:pPr>
      <w:r w:rsidRPr="00CC411C">
        <w:rPr>
          <w:i/>
          <w:sz w:val="20"/>
          <w:szCs w:val="20"/>
        </w:rPr>
        <w:t>Рассчитано автором на основании</w:t>
      </w:r>
      <w:r>
        <w:rPr>
          <w:i/>
          <w:sz w:val="20"/>
          <w:szCs w:val="20"/>
        </w:rPr>
        <w:t xml:space="preserve"> данных</w:t>
      </w:r>
      <w:r w:rsidRPr="00CC411C">
        <w:rPr>
          <w:i/>
          <w:sz w:val="20"/>
          <w:szCs w:val="20"/>
        </w:rPr>
        <w:t xml:space="preserve"> годовой отчетности компаний</w:t>
      </w:r>
      <w:r>
        <w:rPr>
          <w:i/>
          <w:sz w:val="20"/>
          <w:szCs w:val="20"/>
        </w:rPr>
        <w:t xml:space="preserve"> за 5 лет и данных Московской биржи</w:t>
      </w:r>
      <w:r w:rsidRPr="00CC411C">
        <w:rPr>
          <w:i/>
          <w:sz w:val="20"/>
          <w:szCs w:val="20"/>
        </w:rPr>
        <w:t xml:space="preserve"> </w:t>
      </w:r>
      <w:r>
        <w:rPr>
          <w:i/>
          <w:sz w:val="20"/>
          <w:szCs w:val="20"/>
        </w:rPr>
        <w:t xml:space="preserve"> </w:t>
      </w:r>
      <w:r w:rsidR="00CE4CB5">
        <w:rPr>
          <w:i/>
          <w:sz w:val="20"/>
          <w:szCs w:val="20"/>
          <w:lang w:val="en-US"/>
        </w:rPr>
        <w:t>[39, 40, 41, 43</w:t>
      </w:r>
      <w:r>
        <w:rPr>
          <w:i/>
          <w:sz w:val="20"/>
          <w:szCs w:val="20"/>
          <w:lang w:val="en-US"/>
        </w:rPr>
        <w:t>]</w:t>
      </w:r>
    </w:p>
    <w:p w14:paraId="112A41A2" w14:textId="4EFEFA28" w:rsidR="001137C7" w:rsidRDefault="001137C7" w:rsidP="00C5109E">
      <w:r>
        <w:t xml:space="preserve">Для показателей, между которыми выявлена </w:t>
      </w:r>
      <w:r w:rsidR="007C5ACD">
        <w:t>корреляционная</w:t>
      </w:r>
      <w:r>
        <w:t xml:space="preserve"> взаимосвязь</w:t>
      </w:r>
      <w:r w:rsidR="00633902">
        <w:t xml:space="preserve"> был также проведен регрессионный анализ, выявляющий характер </w:t>
      </w:r>
      <w:r w:rsidR="00607B52">
        <w:t>связи.</w:t>
      </w:r>
    </w:p>
    <w:p w14:paraId="6CE21233" w14:textId="77777777" w:rsidR="00445078" w:rsidRDefault="00D641D5" w:rsidP="00445078">
      <w:r>
        <w:t xml:space="preserve">В табл. 3 представлены результаты регрессионного анализа влияния показателей отчетности ЛСР и </w:t>
      </w:r>
      <w:r>
        <w:rPr>
          <w:lang w:val="en-US"/>
        </w:rPr>
        <w:t>Skanska</w:t>
      </w:r>
      <w:r w:rsidRPr="009E60EB">
        <w:t xml:space="preserve"> </w:t>
      </w:r>
      <w:r>
        <w:t>по Международным Стандартам на рыночную капитализацию компаний</w:t>
      </w:r>
      <w:r w:rsidR="00422972">
        <w:t xml:space="preserve"> </w:t>
      </w:r>
      <w:r>
        <w:t xml:space="preserve">в </w:t>
      </w:r>
      <w:r w:rsidR="007C5ACD">
        <w:t>последующем</w:t>
      </w:r>
      <w:r>
        <w:t xml:space="preserve"> периоде. Для этого было составлено уравнение регрессии для каждого показателя и выявлено значение достоверности аппроксимации (она показывает </w:t>
      </w:r>
      <w:r w:rsidR="007C5ACD">
        <w:t>качество</w:t>
      </w:r>
      <w:r>
        <w:t xml:space="preserve"> составленной модели). Модель, описывающую влияние выручки по МСФО Группы ЛСР нельзя назвать качественной и использовать в дальнейших расчетах ввиду того, что в</w:t>
      </w:r>
      <w:r w:rsidRPr="00A56C70">
        <w:t>ели</w:t>
      </w:r>
      <w:r>
        <w:t xml:space="preserve">чина достоверности </w:t>
      </w:r>
      <w:r w:rsidR="007C5ACD">
        <w:t>аппроксимации</w:t>
      </w:r>
      <w:r>
        <w:t xml:space="preserve"> имеет слишком маленькое значение. Остальные три модели имеют довольно высокое значение величины достоверности аппроксимации и могут быть использованы для прогнозирования величины рыночной капитализации компании на основании показателей ее отчетности. </w:t>
      </w:r>
    </w:p>
    <w:p w14:paraId="318C1CB3" w14:textId="5F731AED" w:rsidR="007B49AA" w:rsidRDefault="007B49AA" w:rsidP="007B49AA">
      <w:r>
        <w:t xml:space="preserve">Коэффициент при переменной </w:t>
      </w:r>
      <w:r>
        <w:rPr>
          <w:lang w:val="en-US"/>
        </w:rPr>
        <w:t>x</w:t>
      </w:r>
      <w:r>
        <w:t xml:space="preserve"> уравнения регрессии можно интерпретировать следующим образом: при увеличении выручки компании </w:t>
      </w:r>
      <w:r>
        <w:rPr>
          <w:lang w:val="en-US"/>
        </w:rPr>
        <w:t>Skanska</w:t>
      </w:r>
      <w:r w:rsidRPr="008C1E67">
        <w:t xml:space="preserve"> </w:t>
      </w:r>
      <w:r>
        <w:t>на 1 миллион шведских крон рыночная капитализация компании увеличится на 0,0011миллиарда шведских крон или же 1,1 миллион шведских крон (изначально выручка была выражена в миллионах, а капитализация – в миллиардах); или же: при увеличении показателя базовая прибыль на акцию Группы ЛСР рыночная капитализация увеличится на 286 миллионов рублей.</w:t>
      </w:r>
    </w:p>
    <w:p w14:paraId="7E3E3808" w14:textId="6253939A" w:rsidR="007B49AA" w:rsidRDefault="007B49AA" w:rsidP="007B49AA">
      <w:r>
        <w:t xml:space="preserve">Таким образом, на основании данного анализа выявлено наличие статистической взаимосвязи между показателями чистой прибыли и базовой прибыли по МСФО на акцию </w:t>
      </w:r>
      <w:r>
        <w:lastRenderedPageBreak/>
        <w:t xml:space="preserve">Группы ЛСР на рыночную капитализацию компании в последующей периоде, а также влияние выручки компании </w:t>
      </w:r>
      <w:r>
        <w:rPr>
          <w:lang w:val="en-US"/>
        </w:rPr>
        <w:t>Skanska</w:t>
      </w:r>
      <w:r w:rsidRPr="009E60EB">
        <w:t xml:space="preserve"> </w:t>
      </w:r>
      <w:r>
        <w:t>по Международным Стандартам на ее рыночную капитализацию в последующем периоде. Однако, данную закономерность нельзя распространить на всю отрасль.</w:t>
      </w:r>
    </w:p>
    <w:p w14:paraId="1D249B27" w14:textId="431A9F8A" w:rsidR="00D641D5" w:rsidRPr="00154618" w:rsidRDefault="00445078" w:rsidP="00676712">
      <w:pPr>
        <w:rPr>
          <w:i/>
        </w:rPr>
      </w:pPr>
      <w:r w:rsidRPr="00154618">
        <w:rPr>
          <w:i/>
        </w:rPr>
        <w:t>Таблица 3 Результат регрессионного анализа влияния показателей отчетности по МСФО на рыночную капитализацию компаний</w:t>
      </w:r>
    </w:p>
    <w:tbl>
      <w:tblPr>
        <w:tblStyle w:val="af2"/>
        <w:tblW w:w="0" w:type="auto"/>
        <w:tblLook w:val="04A0" w:firstRow="1" w:lastRow="0" w:firstColumn="1" w:lastColumn="0" w:noHBand="0" w:noVBand="1"/>
      </w:tblPr>
      <w:tblGrid>
        <w:gridCol w:w="1701"/>
        <w:gridCol w:w="1999"/>
        <w:gridCol w:w="2362"/>
        <w:gridCol w:w="3538"/>
      </w:tblGrid>
      <w:tr w:rsidR="00E220EF" w:rsidRPr="00E220EF" w14:paraId="52D511FF" w14:textId="77777777" w:rsidTr="00154618">
        <w:trPr>
          <w:trHeight w:val="300"/>
        </w:trPr>
        <w:tc>
          <w:tcPr>
            <w:tcW w:w="1701" w:type="dxa"/>
            <w:noWrap/>
            <w:hideMark/>
          </w:tcPr>
          <w:p w14:paraId="2060DC98" w14:textId="77777777" w:rsidR="00E220EF" w:rsidRPr="008B523F" w:rsidRDefault="00E220EF" w:rsidP="008B523F">
            <w:pPr>
              <w:pStyle w:val="af3"/>
              <w:jc w:val="center"/>
              <w:rPr>
                <w:b/>
                <w:sz w:val="24"/>
              </w:rPr>
            </w:pPr>
            <w:r w:rsidRPr="008B523F">
              <w:rPr>
                <w:b/>
                <w:sz w:val="24"/>
              </w:rPr>
              <w:t>Компания</w:t>
            </w:r>
          </w:p>
        </w:tc>
        <w:tc>
          <w:tcPr>
            <w:tcW w:w="1999" w:type="dxa"/>
            <w:noWrap/>
            <w:hideMark/>
          </w:tcPr>
          <w:p w14:paraId="3EFB7A40" w14:textId="77777777" w:rsidR="00E220EF" w:rsidRPr="008B523F" w:rsidRDefault="00E220EF" w:rsidP="008B523F">
            <w:pPr>
              <w:pStyle w:val="af3"/>
              <w:jc w:val="center"/>
              <w:rPr>
                <w:b/>
                <w:sz w:val="24"/>
              </w:rPr>
            </w:pPr>
            <w:r w:rsidRPr="008B523F">
              <w:rPr>
                <w:b/>
                <w:sz w:val="24"/>
              </w:rPr>
              <w:t>Показатель</w:t>
            </w:r>
          </w:p>
        </w:tc>
        <w:tc>
          <w:tcPr>
            <w:tcW w:w="2362" w:type="dxa"/>
            <w:noWrap/>
            <w:hideMark/>
          </w:tcPr>
          <w:p w14:paraId="508DCA95" w14:textId="77777777" w:rsidR="00E220EF" w:rsidRPr="008B523F" w:rsidRDefault="00E220EF" w:rsidP="008B523F">
            <w:pPr>
              <w:pStyle w:val="af3"/>
              <w:jc w:val="center"/>
              <w:rPr>
                <w:b/>
                <w:sz w:val="24"/>
              </w:rPr>
            </w:pPr>
            <w:r w:rsidRPr="008B523F">
              <w:rPr>
                <w:b/>
                <w:sz w:val="24"/>
              </w:rPr>
              <w:t>Уравнение регрессии</w:t>
            </w:r>
          </w:p>
        </w:tc>
        <w:tc>
          <w:tcPr>
            <w:tcW w:w="3538" w:type="dxa"/>
            <w:noWrap/>
            <w:hideMark/>
          </w:tcPr>
          <w:p w14:paraId="6AA18E18" w14:textId="77777777" w:rsidR="00E220EF" w:rsidRPr="008B523F" w:rsidRDefault="00E220EF" w:rsidP="008B523F">
            <w:pPr>
              <w:pStyle w:val="af3"/>
              <w:jc w:val="center"/>
              <w:rPr>
                <w:b/>
                <w:sz w:val="24"/>
              </w:rPr>
            </w:pPr>
            <w:r w:rsidRPr="008B523F">
              <w:rPr>
                <w:b/>
                <w:sz w:val="24"/>
              </w:rPr>
              <w:t>Величина достоверности аппроксимации</w:t>
            </w:r>
          </w:p>
        </w:tc>
      </w:tr>
      <w:tr w:rsidR="00E220EF" w:rsidRPr="00E220EF" w14:paraId="4164D39A" w14:textId="77777777" w:rsidTr="00154618">
        <w:trPr>
          <w:trHeight w:val="300"/>
        </w:trPr>
        <w:tc>
          <w:tcPr>
            <w:tcW w:w="1701" w:type="dxa"/>
            <w:noWrap/>
            <w:hideMark/>
          </w:tcPr>
          <w:p w14:paraId="53205753" w14:textId="77777777" w:rsidR="00E220EF" w:rsidRPr="008B523F" w:rsidRDefault="00E220EF" w:rsidP="008B523F">
            <w:pPr>
              <w:pStyle w:val="af3"/>
              <w:jc w:val="center"/>
              <w:rPr>
                <w:b/>
                <w:sz w:val="24"/>
              </w:rPr>
            </w:pPr>
            <w:r w:rsidRPr="008B523F">
              <w:rPr>
                <w:b/>
                <w:sz w:val="24"/>
              </w:rPr>
              <w:t>Skanska</w:t>
            </w:r>
          </w:p>
        </w:tc>
        <w:tc>
          <w:tcPr>
            <w:tcW w:w="1999" w:type="dxa"/>
            <w:noWrap/>
            <w:hideMark/>
          </w:tcPr>
          <w:p w14:paraId="1AC2F661" w14:textId="77777777" w:rsidR="00E220EF" w:rsidRPr="008B523F" w:rsidRDefault="00E220EF" w:rsidP="008B523F">
            <w:pPr>
              <w:pStyle w:val="af3"/>
              <w:jc w:val="center"/>
              <w:rPr>
                <w:b/>
                <w:sz w:val="24"/>
              </w:rPr>
            </w:pPr>
            <w:r w:rsidRPr="008B523F">
              <w:rPr>
                <w:b/>
                <w:sz w:val="24"/>
              </w:rPr>
              <w:t>Выручка по МСФО</w:t>
            </w:r>
          </w:p>
        </w:tc>
        <w:tc>
          <w:tcPr>
            <w:tcW w:w="2362" w:type="dxa"/>
            <w:noWrap/>
            <w:hideMark/>
          </w:tcPr>
          <w:p w14:paraId="447297F1" w14:textId="77777777" w:rsidR="00E220EF" w:rsidRPr="00212421" w:rsidRDefault="00E220EF" w:rsidP="008B523F">
            <w:pPr>
              <w:pStyle w:val="af3"/>
              <w:jc w:val="right"/>
              <w:rPr>
                <w:sz w:val="24"/>
              </w:rPr>
            </w:pPr>
            <w:r w:rsidRPr="00212421">
              <w:rPr>
                <w:sz w:val="24"/>
              </w:rPr>
              <w:t>y = 0,0011x - 87,58</w:t>
            </w:r>
          </w:p>
        </w:tc>
        <w:tc>
          <w:tcPr>
            <w:tcW w:w="3538" w:type="dxa"/>
            <w:noWrap/>
            <w:hideMark/>
          </w:tcPr>
          <w:p w14:paraId="7B3BD4EF" w14:textId="77777777" w:rsidR="00E220EF" w:rsidRPr="00212421" w:rsidRDefault="00E220EF" w:rsidP="008B523F">
            <w:pPr>
              <w:pStyle w:val="af3"/>
              <w:jc w:val="right"/>
              <w:rPr>
                <w:sz w:val="24"/>
              </w:rPr>
            </w:pPr>
            <w:r w:rsidRPr="00212421">
              <w:rPr>
                <w:sz w:val="24"/>
              </w:rPr>
              <w:t>R² = 0,91989</w:t>
            </w:r>
          </w:p>
        </w:tc>
      </w:tr>
      <w:tr w:rsidR="00E220EF" w:rsidRPr="00E220EF" w14:paraId="26517045" w14:textId="77777777" w:rsidTr="00154618">
        <w:trPr>
          <w:trHeight w:val="300"/>
        </w:trPr>
        <w:tc>
          <w:tcPr>
            <w:tcW w:w="1701" w:type="dxa"/>
            <w:noWrap/>
            <w:hideMark/>
          </w:tcPr>
          <w:p w14:paraId="5416A1AC" w14:textId="77777777" w:rsidR="00E220EF" w:rsidRPr="008B523F" w:rsidRDefault="00E220EF" w:rsidP="008B523F">
            <w:pPr>
              <w:pStyle w:val="af3"/>
              <w:jc w:val="center"/>
              <w:rPr>
                <w:b/>
                <w:sz w:val="24"/>
              </w:rPr>
            </w:pPr>
            <w:r w:rsidRPr="008B523F">
              <w:rPr>
                <w:b/>
                <w:sz w:val="24"/>
              </w:rPr>
              <w:t>ЛСР</w:t>
            </w:r>
          </w:p>
        </w:tc>
        <w:tc>
          <w:tcPr>
            <w:tcW w:w="1999" w:type="dxa"/>
            <w:noWrap/>
            <w:hideMark/>
          </w:tcPr>
          <w:p w14:paraId="03451E74" w14:textId="77777777" w:rsidR="00E220EF" w:rsidRPr="008B523F" w:rsidRDefault="00E220EF" w:rsidP="008B523F">
            <w:pPr>
              <w:pStyle w:val="af3"/>
              <w:jc w:val="center"/>
              <w:rPr>
                <w:b/>
                <w:sz w:val="24"/>
              </w:rPr>
            </w:pPr>
            <w:r w:rsidRPr="008B523F">
              <w:rPr>
                <w:b/>
                <w:sz w:val="24"/>
              </w:rPr>
              <w:t>Выручка по МСФО</w:t>
            </w:r>
          </w:p>
        </w:tc>
        <w:tc>
          <w:tcPr>
            <w:tcW w:w="2362" w:type="dxa"/>
            <w:noWrap/>
            <w:hideMark/>
          </w:tcPr>
          <w:p w14:paraId="0DADE8E3" w14:textId="77777777" w:rsidR="00E220EF" w:rsidRPr="00212421" w:rsidRDefault="00E220EF" w:rsidP="008B523F">
            <w:pPr>
              <w:pStyle w:val="af3"/>
              <w:jc w:val="right"/>
              <w:rPr>
                <w:sz w:val="24"/>
              </w:rPr>
            </w:pPr>
            <w:r w:rsidRPr="00212421">
              <w:rPr>
                <w:sz w:val="24"/>
              </w:rPr>
              <w:t>y = 0,43x + 3E+07</w:t>
            </w:r>
          </w:p>
        </w:tc>
        <w:tc>
          <w:tcPr>
            <w:tcW w:w="3538" w:type="dxa"/>
            <w:noWrap/>
            <w:hideMark/>
          </w:tcPr>
          <w:p w14:paraId="63CC0E67" w14:textId="77777777" w:rsidR="00E220EF" w:rsidRPr="00212421" w:rsidRDefault="00E220EF" w:rsidP="008B523F">
            <w:pPr>
              <w:pStyle w:val="af3"/>
              <w:jc w:val="right"/>
              <w:rPr>
                <w:sz w:val="24"/>
              </w:rPr>
            </w:pPr>
            <w:r w:rsidRPr="00212421">
              <w:rPr>
                <w:sz w:val="24"/>
              </w:rPr>
              <w:t>R² = 0,56</w:t>
            </w:r>
          </w:p>
        </w:tc>
      </w:tr>
      <w:tr w:rsidR="00E220EF" w:rsidRPr="00E220EF" w14:paraId="4C2EF0DE" w14:textId="77777777" w:rsidTr="00154618">
        <w:trPr>
          <w:trHeight w:val="300"/>
        </w:trPr>
        <w:tc>
          <w:tcPr>
            <w:tcW w:w="1701" w:type="dxa"/>
            <w:noWrap/>
            <w:hideMark/>
          </w:tcPr>
          <w:p w14:paraId="1D4CBB4B" w14:textId="77777777" w:rsidR="00E220EF" w:rsidRPr="008B523F" w:rsidRDefault="00E220EF" w:rsidP="008B523F">
            <w:pPr>
              <w:pStyle w:val="af3"/>
              <w:jc w:val="center"/>
              <w:rPr>
                <w:b/>
                <w:sz w:val="24"/>
              </w:rPr>
            </w:pPr>
            <w:r w:rsidRPr="008B523F">
              <w:rPr>
                <w:b/>
                <w:sz w:val="24"/>
              </w:rPr>
              <w:t>ЛСР</w:t>
            </w:r>
          </w:p>
        </w:tc>
        <w:tc>
          <w:tcPr>
            <w:tcW w:w="1999" w:type="dxa"/>
            <w:noWrap/>
            <w:hideMark/>
          </w:tcPr>
          <w:p w14:paraId="23B9F6E0" w14:textId="77777777" w:rsidR="00E220EF" w:rsidRPr="008B523F" w:rsidRDefault="00E220EF" w:rsidP="008B523F">
            <w:pPr>
              <w:pStyle w:val="af3"/>
              <w:jc w:val="center"/>
              <w:rPr>
                <w:b/>
                <w:sz w:val="24"/>
              </w:rPr>
            </w:pPr>
            <w:r w:rsidRPr="008B523F">
              <w:rPr>
                <w:b/>
                <w:sz w:val="24"/>
              </w:rPr>
              <w:t>ЧП по МСФО</w:t>
            </w:r>
          </w:p>
        </w:tc>
        <w:tc>
          <w:tcPr>
            <w:tcW w:w="2362" w:type="dxa"/>
            <w:noWrap/>
            <w:hideMark/>
          </w:tcPr>
          <w:p w14:paraId="3040C5EB" w14:textId="77777777" w:rsidR="00E220EF" w:rsidRPr="00212421" w:rsidRDefault="00E220EF" w:rsidP="008B523F">
            <w:pPr>
              <w:pStyle w:val="af3"/>
              <w:jc w:val="right"/>
              <w:rPr>
                <w:sz w:val="24"/>
              </w:rPr>
            </w:pPr>
            <w:r w:rsidRPr="00212421">
              <w:rPr>
                <w:sz w:val="24"/>
              </w:rPr>
              <w:t>y = 2,7676x + 4E+07</w:t>
            </w:r>
          </w:p>
        </w:tc>
        <w:tc>
          <w:tcPr>
            <w:tcW w:w="3538" w:type="dxa"/>
            <w:noWrap/>
            <w:hideMark/>
          </w:tcPr>
          <w:p w14:paraId="3FF59A58" w14:textId="77777777" w:rsidR="00E220EF" w:rsidRPr="00212421" w:rsidRDefault="00E220EF" w:rsidP="008B523F">
            <w:pPr>
              <w:pStyle w:val="af3"/>
              <w:jc w:val="right"/>
              <w:rPr>
                <w:sz w:val="24"/>
              </w:rPr>
            </w:pPr>
            <w:r w:rsidRPr="00212421">
              <w:rPr>
                <w:sz w:val="24"/>
              </w:rPr>
              <w:t>R² = 0,70541</w:t>
            </w:r>
          </w:p>
        </w:tc>
      </w:tr>
      <w:tr w:rsidR="00E220EF" w:rsidRPr="00E220EF" w14:paraId="5126EF4D" w14:textId="77777777" w:rsidTr="00154618">
        <w:trPr>
          <w:trHeight w:val="300"/>
        </w:trPr>
        <w:tc>
          <w:tcPr>
            <w:tcW w:w="1701" w:type="dxa"/>
            <w:noWrap/>
            <w:hideMark/>
          </w:tcPr>
          <w:p w14:paraId="3FDB58C1" w14:textId="77777777" w:rsidR="00E220EF" w:rsidRPr="008B523F" w:rsidRDefault="00E220EF" w:rsidP="008B523F">
            <w:pPr>
              <w:pStyle w:val="af3"/>
              <w:jc w:val="center"/>
              <w:rPr>
                <w:b/>
                <w:sz w:val="24"/>
              </w:rPr>
            </w:pPr>
            <w:r w:rsidRPr="008B523F">
              <w:rPr>
                <w:b/>
                <w:sz w:val="24"/>
              </w:rPr>
              <w:t>ЛСР</w:t>
            </w:r>
          </w:p>
        </w:tc>
        <w:tc>
          <w:tcPr>
            <w:tcW w:w="1999" w:type="dxa"/>
            <w:noWrap/>
            <w:hideMark/>
          </w:tcPr>
          <w:p w14:paraId="5CE8B15D" w14:textId="77777777" w:rsidR="00E220EF" w:rsidRPr="008B523F" w:rsidRDefault="00E220EF" w:rsidP="008B523F">
            <w:pPr>
              <w:pStyle w:val="af3"/>
              <w:jc w:val="center"/>
              <w:rPr>
                <w:b/>
                <w:sz w:val="24"/>
              </w:rPr>
            </w:pPr>
            <w:r w:rsidRPr="008B523F">
              <w:rPr>
                <w:b/>
                <w:sz w:val="24"/>
              </w:rPr>
              <w:t>БПА по МСФО</w:t>
            </w:r>
          </w:p>
        </w:tc>
        <w:tc>
          <w:tcPr>
            <w:tcW w:w="2362" w:type="dxa"/>
            <w:noWrap/>
            <w:hideMark/>
          </w:tcPr>
          <w:p w14:paraId="65E9210A" w14:textId="77777777" w:rsidR="00E220EF" w:rsidRPr="00212421" w:rsidRDefault="00E220EF" w:rsidP="008B523F">
            <w:pPr>
              <w:pStyle w:val="af3"/>
              <w:jc w:val="right"/>
              <w:rPr>
                <w:sz w:val="24"/>
              </w:rPr>
            </w:pPr>
            <w:r w:rsidRPr="00212421">
              <w:rPr>
                <w:sz w:val="24"/>
              </w:rPr>
              <w:t>y = 286057x + 4E+07</w:t>
            </w:r>
          </w:p>
        </w:tc>
        <w:tc>
          <w:tcPr>
            <w:tcW w:w="3538" w:type="dxa"/>
            <w:noWrap/>
            <w:hideMark/>
          </w:tcPr>
          <w:p w14:paraId="3BA557D2" w14:textId="77777777" w:rsidR="00E220EF" w:rsidRPr="00212421" w:rsidRDefault="00E220EF" w:rsidP="008B523F">
            <w:pPr>
              <w:pStyle w:val="af3"/>
              <w:jc w:val="right"/>
              <w:rPr>
                <w:sz w:val="24"/>
              </w:rPr>
            </w:pPr>
            <w:r w:rsidRPr="00212421">
              <w:rPr>
                <w:sz w:val="24"/>
              </w:rPr>
              <w:t>R² = 0,70967</w:t>
            </w:r>
          </w:p>
        </w:tc>
      </w:tr>
    </w:tbl>
    <w:p w14:paraId="48AE00BB" w14:textId="1517DAE3" w:rsidR="003125E0" w:rsidRPr="00D0519C" w:rsidRDefault="003125E0" w:rsidP="003125E0">
      <w:pPr>
        <w:rPr>
          <w:i/>
          <w:sz w:val="20"/>
          <w:szCs w:val="20"/>
          <w:lang w:val="en-US"/>
        </w:rPr>
      </w:pPr>
      <w:r w:rsidRPr="00CC411C">
        <w:rPr>
          <w:i/>
          <w:sz w:val="20"/>
          <w:szCs w:val="20"/>
        </w:rPr>
        <w:t>Рассчитано автором на основании</w:t>
      </w:r>
      <w:r>
        <w:rPr>
          <w:i/>
          <w:sz w:val="20"/>
          <w:szCs w:val="20"/>
        </w:rPr>
        <w:t xml:space="preserve"> данных</w:t>
      </w:r>
      <w:r w:rsidRPr="00CC411C">
        <w:rPr>
          <w:i/>
          <w:sz w:val="20"/>
          <w:szCs w:val="20"/>
        </w:rPr>
        <w:t xml:space="preserve"> годовой отчетности компаний</w:t>
      </w:r>
      <w:r>
        <w:rPr>
          <w:i/>
          <w:sz w:val="20"/>
          <w:szCs w:val="20"/>
        </w:rPr>
        <w:t xml:space="preserve"> за 5 лет и данных Московской биржи</w:t>
      </w:r>
      <w:r w:rsidRPr="00CC411C">
        <w:rPr>
          <w:i/>
          <w:sz w:val="20"/>
          <w:szCs w:val="20"/>
        </w:rPr>
        <w:t xml:space="preserve"> </w:t>
      </w:r>
      <w:r>
        <w:rPr>
          <w:i/>
          <w:sz w:val="20"/>
          <w:szCs w:val="20"/>
        </w:rPr>
        <w:t xml:space="preserve"> </w:t>
      </w:r>
      <w:r>
        <w:rPr>
          <w:i/>
          <w:sz w:val="20"/>
          <w:szCs w:val="20"/>
          <w:lang w:val="en-US"/>
        </w:rPr>
        <w:t>[</w:t>
      </w:r>
      <w:r w:rsidR="00CE4CB5">
        <w:rPr>
          <w:i/>
          <w:sz w:val="20"/>
          <w:szCs w:val="20"/>
          <w:lang w:val="en-US"/>
        </w:rPr>
        <w:t>39-41</w:t>
      </w:r>
      <w:r>
        <w:rPr>
          <w:i/>
          <w:sz w:val="20"/>
          <w:szCs w:val="20"/>
          <w:lang w:val="en-US"/>
        </w:rPr>
        <w:t>]</w:t>
      </w:r>
    </w:p>
    <w:p w14:paraId="558D4CD7" w14:textId="1AF4A565" w:rsidR="001E7AF3" w:rsidRPr="00F1115A" w:rsidRDefault="00011665" w:rsidP="00C5109E">
      <w:pPr>
        <w:rPr>
          <w:lang w:val="en-US"/>
        </w:rPr>
      </w:pPr>
      <w:r>
        <w:t xml:space="preserve">Несмотря на отсутствие закономерности в рамках отрасли, в рамках данного исследования были выявлены </w:t>
      </w:r>
      <w:r w:rsidR="00422972">
        <w:t>модели</w:t>
      </w:r>
      <w:r>
        <w:t>, отражающие, каким образом отдельные показатели отчетности влияют на рыночную капитализацию отдельных компаний. Такие модели могут использоваться самими компаниями для прогнозирования. Например, компания ЛСР недавно опубликовала годовую консолидированную отчетность за 2015 год. На основании показателей этой отчетности можно попытаться сделать вывод о рыночной капитализации компании в текущем году. Подставив величину чистой прибыли компании за 2015 год (она составляет 10645711 тысяч рублей</w:t>
      </w:r>
      <w:r>
        <w:rPr>
          <w:rStyle w:val="a6"/>
        </w:rPr>
        <w:footnoteReference w:id="7"/>
      </w:r>
      <w:r w:rsidR="00635191">
        <w:t>)</w:t>
      </w:r>
      <w:r w:rsidR="002856F7">
        <w:t xml:space="preserve"> в уравнение </w:t>
      </w:r>
      <w:r w:rsidR="002856F7" w:rsidRPr="00212421">
        <w:t>y = 2,7676x + 4E+07</w:t>
      </w:r>
      <w:r w:rsidR="00635191">
        <w:t xml:space="preserve"> получаем величину рыночной капитализации</w:t>
      </w:r>
      <w:r w:rsidR="002856F7">
        <w:t xml:space="preserve">, равную </w:t>
      </w:r>
      <w:r w:rsidR="006030B4" w:rsidRPr="009E60EB">
        <w:t xml:space="preserve">69463069,8 </w:t>
      </w:r>
      <w:r w:rsidR="006030B4">
        <w:t>тысяч рублей.</w:t>
      </w:r>
      <w:r w:rsidR="00422972">
        <w:t xml:space="preserve"> </w:t>
      </w:r>
      <w:r w:rsidR="00735537">
        <w:t xml:space="preserve">Данное значение можно сравнить с имеющимися на сегодняшний день данными. </w:t>
      </w:r>
      <w:r w:rsidR="00DE61DE">
        <w:t>Рыночная капитализация компании на 25 апреля 2015 года по данным Московской биржи составила 66402973,6 тысяч рублей</w:t>
      </w:r>
      <w:r w:rsidR="00DE61DE">
        <w:rPr>
          <w:rStyle w:val="a6"/>
        </w:rPr>
        <w:footnoteReference w:id="8"/>
      </w:r>
      <w:r w:rsidR="00DE61DE">
        <w:t>.</w:t>
      </w:r>
      <w:r w:rsidR="00F1115A">
        <w:t xml:space="preserve"> Таким образом, ошибка прогноза составила на более 5</w:t>
      </w:r>
      <w:r w:rsidR="00F1115A">
        <w:rPr>
          <w:lang w:val="en-US"/>
        </w:rPr>
        <w:t>%.</w:t>
      </w:r>
    </w:p>
    <w:p w14:paraId="5CFCDF93" w14:textId="207FCF33" w:rsidR="00422972" w:rsidRDefault="00E90C2D" w:rsidP="008F7133">
      <w:r w:rsidRPr="00E90C2D">
        <w:t>Безусловно, данная статистическая взаимосвязь может оказаться случайной. К</w:t>
      </w:r>
      <w:r w:rsidR="000002D0" w:rsidRPr="00E90C2D">
        <w:t xml:space="preserve">орреляция − лишь число, которое указывает на то, что большим значениям одной переменной соответствуют большие (или же меньшие) значения другой переменной. Корреляция не может объяснить, почему эти две переменные связаны между собой. </w:t>
      </w:r>
      <w:r>
        <w:t>Однако, данное исследование показывает, что статистическая связь присутствует в рамках отдельных компаний и отдельных показателе</w:t>
      </w:r>
      <w:r w:rsidR="001E328B">
        <w:t xml:space="preserve">й и может быть описана в рамках математических моделей для последующего прогноза значения показателя рыночной капитализации (однако </w:t>
      </w:r>
      <w:r w:rsidR="001E328B">
        <w:lastRenderedPageBreak/>
        <w:t>необходимо будет относить с осторожностью к результатам таких прогнозов, поскольку тенденция не является закономерностью в рамках всех отрасли). Например, компания ЛСР на основе данных о влиянии применения новых стандартов на показатели отчетности может выяснить, в какой степени данные показатели могут повлиять на рыночную капитализацию.</w:t>
      </w:r>
    </w:p>
    <w:p w14:paraId="78A3AB69" w14:textId="77777777" w:rsidR="005A3110" w:rsidRDefault="00404795" w:rsidP="00D73427">
      <w:r w:rsidRPr="00AB2ED2">
        <w:rPr>
          <w:i/>
        </w:rPr>
        <w:t>Подвод</w:t>
      </w:r>
      <w:r w:rsidR="005A3110" w:rsidRPr="00AB2ED2">
        <w:rPr>
          <w:i/>
        </w:rPr>
        <w:t>я итог сказанному в данной главе,</w:t>
      </w:r>
      <w:r w:rsidR="005A3110">
        <w:t xml:space="preserve"> необходимо отметить, что, </w:t>
      </w:r>
      <w:r w:rsidR="005A3110" w:rsidRPr="005A3110">
        <w:rPr>
          <w:i/>
        </w:rPr>
        <w:t>во-первых</w:t>
      </w:r>
      <w:r w:rsidR="005A3110">
        <w:t>,</w:t>
      </w:r>
      <w:r w:rsidR="00D73427">
        <w:t xml:space="preserve"> отрасль строительства в Российской Федерации нуждается в привлечении инвестиций, поскольку она является одной из ключевых отраслей экономики страны, а также играет важную роль в процессе улучшения качества жизни населения. </w:t>
      </w:r>
    </w:p>
    <w:p w14:paraId="43041D12" w14:textId="77777777" w:rsidR="00AB2ED2" w:rsidRDefault="005A3110" w:rsidP="00AB2ED2">
      <w:r w:rsidRPr="005A3110">
        <w:rPr>
          <w:i/>
        </w:rPr>
        <w:t>Во-вторых</w:t>
      </w:r>
      <w:r>
        <w:t>, н</w:t>
      </w:r>
      <w:r w:rsidR="00D73427">
        <w:t xml:space="preserve">есмотря на то, что в рамках данного исследования не выявлено зависимости между ключевыми показателями отчетности организаций и ее инвестиционной привлекательностью на уровне отрасли, составление строительными организациями финансовой отчетности в соответствии с международными стандартами финансовой отчетности необходимо для выхода организаций на международные рынки капитала (например, при </w:t>
      </w:r>
      <w:r w:rsidR="00D73427" w:rsidRPr="008C1E67">
        <w:t xml:space="preserve">проведении </w:t>
      </w:r>
      <w:r w:rsidR="00D73427">
        <w:rPr>
          <w:lang w:val="en-US"/>
        </w:rPr>
        <w:t>IPO</w:t>
      </w:r>
      <w:r w:rsidR="00D73427" w:rsidRPr="008C1E67">
        <w:t xml:space="preserve"> </w:t>
      </w:r>
      <w:r w:rsidR="00D73427">
        <w:t>или же само наличие отчетности улучшает имидж компании в глазах потенциального инвестора).</w:t>
      </w:r>
    </w:p>
    <w:p w14:paraId="1D8CC2AA" w14:textId="0FDC0E43" w:rsidR="0092376E" w:rsidRPr="0092376E" w:rsidRDefault="0092376E" w:rsidP="00AB2ED2">
      <w:r w:rsidRPr="0092376E">
        <w:rPr>
          <w:i/>
        </w:rPr>
        <w:t xml:space="preserve">Кроме того, </w:t>
      </w:r>
      <w:r>
        <w:t xml:space="preserve">статистический анализ в рамках отдельных организаций позволяет оценивать влияние учетных показателей на рыночную капитализацию компании. Однако, </w:t>
      </w:r>
      <w:r w:rsidR="00F4349E">
        <w:t>безусловно, к результатам такого анализа необходимо относиться с осторожностью.</w:t>
      </w:r>
    </w:p>
    <w:p w14:paraId="6FDFA2F3" w14:textId="77777777" w:rsidR="00D73427" w:rsidRDefault="00D73427" w:rsidP="00D73427">
      <w:r w:rsidRPr="00B42C9D">
        <w:rPr>
          <w:color w:val="000000" w:themeColor="text1"/>
        </w:rPr>
        <w:t>Основные особенности деятельности</w:t>
      </w:r>
      <w:r>
        <w:rPr>
          <w:color w:val="000000" w:themeColor="text1"/>
        </w:rPr>
        <w:t xml:space="preserve"> </w:t>
      </w:r>
      <w:r w:rsidRPr="00B42C9D">
        <w:rPr>
          <w:color w:val="000000" w:themeColor="text1"/>
        </w:rPr>
        <w:t>строительных</w:t>
      </w:r>
      <w:r>
        <w:t xml:space="preserve"> организаций, которые обуславливают необходимость применения определенных Стандартов и основные положения этих стандартов рассмотрены в следующей главе.</w:t>
      </w:r>
    </w:p>
    <w:p w14:paraId="40B4A1A9" w14:textId="761CE12D" w:rsidR="00947C26" w:rsidRDefault="00947C26">
      <w:pPr>
        <w:spacing w:line="240" w:lineRule="auto"/>
        <w:ind w:firstLine="0"/>
        <w:jc w:val="left"/>
        <w:rPr>
          <w:rFonts w:eastAsiaTheme="majorEastAsia" w:cstheme="majorBidi"/>
          <w:b/>
          <w:color w:val="000000" w:themeColor="text1"/>
          <w:sz w:val="28"/>
          <w:szCs w:val="32"/>
        </w:rPr>
      </w:pPr>
    </w:p>
    <w:p w14:paraId="31A7A76C" w14:textId="77777777" w:rsidR="00AB2ED2" w:rsidRDefault="00AB2ED2">
      <w:pPr>
        <w:spacing w:line="240" w:lineRule="auto"/>
        <w:ind w:firstLine="0"/>
        <w:jc w:val="left"/>
        <w:rPr>
          <w:rFonts w:eastAsiaTheme="majorEastAsia" w:cstheme="majorBidi"/>
          <w:b/>
          <w:color w:val="000000" w:themeColor="text1"/>
          <w:sz w:val="28"/>
          <w:szCs w:val="32"/>
        </w:rPr>
      </w:pPr>
      <w:r>
        <w:br w:type="page"/>
      </w:r>
    </w:p>
    <w:p w14:paraId="1357B05C" w14:textId="081BE833" w:rsidR="00C626FD" w:rsidRDefault="00A237CF" w:rsidP="009E60EB">
      <w:pPr>
        <w:pStyle w:val="1"/>
        <w:ind w:firstLine="0"/>
      </w:pPr>
      <w:bookmarkStart w:id="9" w:name="_Toc451081010"/>
      <w:r>
        <w:lastRenderedPageBreak/>
        <w:t xml:space="preserve">Глава 2 </w:t>
      </w:r>
      <w:r w:rsidR="00472C75">
        <w:t>Специфика</w:t>
      </w:r>
      <w:r w:rsidR="002C43B8">
        <w:t xml:space="preserve"> учета в соответствии с МСФО в строительных организациях</w:t>
      </w:r>
      <w:bookmarkEnd w:id="9"/>
    </w:p>
    <w:p w14:paraId="261581A8" w14:textId="05EB6CDD" w:rsidR="00472C75" w:rsidRPr="00BA1FAD" w:rsidRDefault="00F4349E" w:rsidP="003F5E81">
      <w:pPr>
        <w:rPr>
          <w:i/>
        </w:rPr>
      </w:pPr>
      <w:r w:rsidRPr="00BA1FAD">
        <w:rPr>
          <w:i/>
        </w:rPr>
        <w:t xml:space="preserve">После того как была обоснована необходимость изучения вопроса учета и составления отчетности в соответствии с МСФО в строительных организациях, а также проанализировано непосредственное влияние показателей отчетности по МСФО на инвестиционную привлекательность копаний, необходимо перейти к рассмотрению основных особенностей деятельности строительных организаций, </w:t>
      </w:r>
      <w:r w:rsidR="00472C75" w:rsidRPr="00BA1FAD">
        <w:rPr>
          <w:i/>
        </w:rPr>
        <w:t xml:space="preserve"> </w:t>
      </w:r>
      <w:r w:rsidRPr="00BA1FAD">
        <w:rPr>
          <w:i/>
        </w:rPr>
        <w:t>которые обуславливают применение тех или иных стандартов, а также основных положений этих стандартов.</w:t>
      </w:r>
    </w:p>
    <w:p w14:paraId="221BC168" w14:textId="77777777" w:rsidR="00472C75" w:rsidRDefault="00472C75" w:rsidP="003F5E81"/>
    <w:p w14:paraId="6CD0D442" w14:textId="07CEAB3C" w:rsidR="00472C75" w:rsidRPr="00AB2ED2" w:rsidRDefault="00E46B04" w:rsidP="00AB2ED2">
      <w:pPr>
        <w:pStyle w:val="2"/>
        <w:ind w:firstLine="0"/>
        <w:rPr>
          <w:szCs w:val="24"/>
        </w:rPr>
      </w:pPr>
      <w:bookmarkStart w:id="10" w:name="_Toc451081011"/>
      <w:r>
        <w:rPr>
          <w:szCs w:val="24"/>
        </w:rPr>
        <w:t>§</w:t>
      </w:r>
      <w:r w:rsidR="00472C75" w:rsidRPr="00472C75">
        <w:rPr>
          <w:szCs w:val="24"/>
        </w:rPr>
        <w:t xml:space="preserve">2.1 </w:t>
      </w:r>
      <w:r w:rsidR="00472C75">
        <w:rPr>
          <w:szCs w:val="24"/>
        </w:rPr>
        <w:t xml:space="preserve">Обзор особенностей учета и представления отчетности </w:t>
      </w:r>
      <w:r w:rsidR="00472C75" w:rsidRPr="00472C75">
        <w:rPr>
          <w:szCs w:val="24"/>
        </w:rPr>
        <w:t>в соответствии</w:t>
      </w:r>
      <w:r w:rsidR="000D645C">
        <w:rPr>
          <w:szCs w:val="24"/>
        </w:rPr>
        <w:t xml:space="preserve"> с МСФО</w:t>
      </w:r>
      <w:bookmarkEnd w:id="10"/>
      <w:r w:rsidR="00472C75" w:rsidRPr="00472C75">
        <w:rPr>
          <w:szCs w:val="24"/>
        </w:rPr>
        <w:t xml:space="preserve"> </w:t>
      </w:r>
    </w:p>
    <w:p w14:paraId="1C251305" w14:textId="4AC1B19A" w:rsidR="00472C75" w:rsidRDefault="008D5E20" w:rsidP="00445078">
      <w:r>
        <w:t xml:space="preserve">Отрасль строительства </w:t>
      </w:r>
      <w:r w:rsidR="00472C75">
        <w:t xml:space="preserve">наравне </w:t>
      </w:r>
      <w:r>
        <w:t xml:space="preserve">с другими </w:t>
      </w:r>
      <w:r w:rsidR="003E469A">
        <w:t xml:space="preserve">отраслями экономики имеет свои отличительные особенности, </w:t>
      </w:r>
      <w:r w:rsidR="00422972">
        <w:t>влияющие</w:t>
      </w:r>
      <w:r w:rsidR="003E469A">
        <w:t xml:space="preserve"> на </w:t>
      </w:r>
      <w:r w:rsidR="00472C75">
        <w:t xml:space="preserve">бухгалтерский </w:t>
      </w:r>
      <w:r w:rsidR="003E469A">
        <w:t>учет</w:t>
      </w:r>
      <w:r w:rsidR="00472C75">
        <w:t xml:space="preserve"> организаций, вовлеченных в нее</w:t>
      </w:r>
      <w:r w:rsidR="003E469A">
        <w:t xml:space="preserve">. В данной главе </w:t>
      </w:r>
      <w:r w:rsidR="00BF0ADC">
        <w:t xml:space="preserve">выделены основные особенности функционирования </w:t>
      </w:r>
      <w:r w:rsidR="00422972">
        <w:t>строительных</w:t>
      </w:r>
      <w:r w:rsidR="00BF0ADC">
        <w:t xml:space="preserve"> организаций</w:t>
      </w:r>
      <w:r w:rsidR="003E469A">
        <w:t xml:space="preserve">, а также основные </w:t>
      </w:r>
      <w:r w:rsidR="00422972">
        <w:t>документы МСФО</w:t>
      </w:r>
      <w:r w:rsidR="003E469A">
        <w:t>, применение которых обуславливается главными особенностями отрасли строительства.</w:t>
      </w:r>
    </w:p>
    <w:p w14:paraId="5557757D" w14:textId="03C746C7" w:rsidR="007D46AC" w:rsidRDefault="007D46AC" w:rsidP="003F5E81">
      <w:r>
        <w:t xml:space="preserve">На рис. 4 подробно изображены особенности деятельности строительной организации, выделяемые автором, и их влияние на применение организацией определенных </w:t>
      </w:r>
      <w:r w:rsidR="00422972">
        <w:t>стандартов</w:t>
      </w:r>
      <w:r w:rsidR="00594CCB">
        <w:t>.</w:t>
      </w:r>
    </w:p>
    <w:p w14:paraId="174331FA" w14:textId="36366873" w:rsidR="000D313A" w:rsidRDefault="000D313A" w:rsidP="003F5E81">
      <w:r>
        <w:t xml:space="preserve">Наличие долгосрочных договоров на строительство объектов – одна из </w:t>
      </w:r>
      <w:r w:rsidR="000C446F">
        <w:t>главных</w:t>
      </w:r>
      <w:r>
        <w:t xml:space="preserve"> особенностей учета в строительных организациях в соответствии с МСФО. </w:t>
      </w:r>
      <w:r w:rsidR="00764F71">
        <w:t>Кроме того, сумма затрат и выручки по договору может меняться в ходе исполнения обязательств по данному договору.</w:t>
      </w:r>
      <w:r w:rsidR="007D46AC">
        <w:t xml:space="preserve"> Именно эта </w:t>
      </w:r>
      <w:r w:rsidR="007C5ACD">
        <w:t>особенность</w:t>
      </w:r>
      <w:r w:rsidR="007D46AC">
        <w:t xml:space="preserve"> обуславливает применение главного «отраслевого» стандарта </w:t>
      </w:r>
      <w:r w:rsidR="007D46AC" w:rsidRPr="003F42E1">
        <w:t>МСФО (IAS) 11 «Договоры на строительство»</w:t>
      </w:r>
      <w:r w:rsidR="00994E92">
        <w:rPr>
          <w:rStyle w:val="a6"/>
        </w:rPr>
        <w:footnoteReference w:id="9"/>
      </w:r>
      <w:r w:rsidR="00445078">
        <w:t>.</w:t>
      </w:r>
    </w:p>
    <w:p w14:paraId="07E0F713" w14:textId="0E3C1477" w:rsidR="003F42E1" w:rsidRDefault="003F42E1" w:rsidP="003F5E81">
      <w:r w:rsidRPr="003F42E1">
        <w:t xml:space="preserve">Вторая особенность – сложность учета договоров на строительство. </w:t>
      </w:r>
      <w:r w:rsidR="00D72C76">
        <w:t xml:space="preserve">Часть из них попадает под действие </w:t>
      </w:r>
      <w:r w:rsidRPr="003F42E1">
        <w:t>стандарт</w:t>
      </w:r>
      <w:r w:rsidR="00D72C76">
        <w:t>а</w:t>
      </w:r>
      <w:r w:rsidR="007D46AC">
        <w:t xml:space="preserve"> IAS</w:t>
      </w:r>
      <w:r w:rsidRPr="003F42E1">
        <w:t xml:space="preserve"> 11 «Договоры на строительство», а другие – под стандарт МСФО (IAS) 18 «Выручка»</w:t>
      </w:r>
      <w:r w:rsidR="00994E92">
        <w:rPr>
          <w:rStyle w:val="a6"/>
        </w:rPr>
        <w:footnoteReference w:id="10"/>
      </w:r>
      <w:r w:rsidRPr="003F42E1">
        <w:t xml:space="preserve">. </w:t>
      </w:r>
      <w:r w:rsidR="00D72C76">
        <w:t xml:space="preserve">В связи в этой особенностью перед </w:t>
      </w:r>
      <w:r w:rsidR="007C5ACD">
        <w:t>организацией</w:t>
      </w:r>
      <w:r w:rsidR="00024B99">
        <w:t xml:space="preserve"> встает вопрос о правильном определении стандарта (данный вопрос подробнее рассмотрен в данной главе).</w:t>
      </w:r>
    </w:p>
    <w:p w14:paraId="5C29EED0" w14:textId="77777777" w:rsidR="00994E92" w:rsidRDefault="00994E92" w:rsidP="00024B99"/>
    <w:p w14:paraId="7F87EC6E" w14:textId="531A0353" w:rsidR="00994E92" w:rsidRDefault="00F45D00" w:rsidP="00994E92">
      <w:r>
        <w:rPr>
          <w:noProof/>
          <w:lang w:eastAsia="ru-RU"/>
        </w:rPr>
        <w:lastRenderedPageBreak/>
        <mc:AlternateContent>
          <mc:Choice Requires="wpg">
            <w:drawing>
              <wp:anchor distT="0" distB="0" distL="114300" distR="114300" simplePos="0" relativeHeight="251700224" behindDoc="0" locked="0" layoutInCell="1" allowOverlap="1" wp14:anchorId="4A3AF3C3" wp14:editId="6D78EC9C">
                <wp:simplePos x="0" y="0"/>
                <wp:positionH relativeFrom="column">
                  <wp:posOffset>6350</wp:posOffset>
                </wp:positionH>
                <wp:positionV relativeFrom="paragraph">
                  <wp:posOffset>-29845</wp:posOffset>
                </wp:positionV>
                <wp:extent cx="6054090" cy="5598795"/>
                <wp:effectExtent l="6350" t="0" r="10160" b="19050"/>
                <wp:wrapTopAndBottom/>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090" cy="5598795"/>
                          <a:chOff x="0" y="0"/>
                          <a:chExt cx="6171609" cy="6061623"/>
                        </a:xfrm>
                      </wpg:grpSpPr>
                      <wpg:grpSp>
                        <wpg:cNvPr id="19" name="Группа 62"/>
                        <wpg:cNvGrpSpPr>
                          <a:grpSpLocks/>
                        </wpg:cNvGrpSpPr>
                        <wpg:grpSpPr bwMode="auto">
                          <a:xfrm>
                            <a:off x="0" y="0"/>
                            <a:ext cx="6171609" cy="1940899"/>
                            <a:chOff x="0" y="0"/>
                            <a:chExt cx="6171609" cy="1940899"/>
                          </a:xfrm>
                        </wpg:grpSpPr>
                        <wps:wsp>
                          <wps:cNvPr id="22" name="Скругленный прямоугольник 48"/>
                          <wps:cNvSpPr>
                            <a:spLocks noChangeArrowheads="1"/>
                          </wps:cNvSpPr>
                          <wps:spPr bwMode="auto">
                            <a:xfrm>
                              <a:off x="12526" y="0"/>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DD6CA4F" w14:textId="77777777" w:rsidR="002E21F4" w:rsidRPr="00445078" w:rsidRDefault="002E21F4" w:rsidP="008F765A">
                                <w:pPr>
                                  <w:spacing w:line="240" w:lineRule="auto"/>
                                  <w:ind w:right="-249" w:hanging="284"/>
                                  <w:jc w:val="center"/>
                                </w:pPr>
                                <w:r w:rsidRPr="00445078">
                                  <w:t>Долгосрочные договоры       на строительство</w:t>
                                </w:r>
                              </w:p>
                            </w:txbxContent>
                          </wps:txbx>
                          <wps:bodyPr rot="0" vert="horz" wrap="square" lIns="91440" tIns="45720" rIns="91440" bIns="45720" anchor="ctr" anchorCtr="0" upright="1">
                            <a:noAutofit/>
                          </wps:bodyPr>
                        </wps:wsp>
                        <wps:wsp>
                          <wps:cNvPr id="23" name="Скругленный прямоугольник 49"/>
                          <wps:cNvSpPr>
                            <a:spLocks noChangeArrowheads="1"/>
                          </wps:cNvSpPr>
                          <wps:spPr bwMode="auto">
                            <a:xfrm>
                              <a:off x="3883069" y="0"/>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5E2F415" w14:textId="1BD84A76" w:rsidR="002E21F4" w:rsidRPr="009E60EB" w:rsidRDefault="002E21F4" w:rsidP="009E60EB">
                                <w:pPr>
                                  <w:spacing w:line="480" w:lineRule="auto"/>
                                  <w:ind w:hanging="142"/>
                                  <w:jc w:val="center"/>
                                </w:pPr>
                                <w:r w:rsidRPr="00585D72">
                                  <w:t>МСФО (</w:t>
                                </w:r>
                                <w:r w:rsidRPr="00585D72">
                                  <w:rPr>
                                    <w:lang w:val="en-US"/>
                                  </w:rPr>
                                  <w:t>IAS</w:t>
                                </w:r>
                                <w:r w:rsidRPr="009E60EB">
                                  <w:t xml:space="preserve">) 11 </w:t>
                                </w:r>
                                <w:r w:rsidRPr="00D67F10">
                                  <w:t>«</w:t>
                                </w:r>
                                <w:r>
                                  <w:t>Д</w:t>
                                </w:r>
                                <w:r w:rsidRPr="009E60EB">
                                  <w:t>оговоры на строительство</w:t>
                                </w:r>
                                <w:r w:rsidRPr="00D67F10">
                                  <w:t>»</w:t>
                                </w:r>
                              </w:p>
                            </w:txbxContent>
                          </wps:txbx>
                          <wps:bodyPr rot="0" vert="horz" wrap="square" lIns="91440" tIns="45720" rIns="91440" bIns="45720" anchor="ctr" anchorCtr="0" upright="1">
                            <a:noAutofit/>
                          </wps:bodyPr>
                        </wps:wsp>
                        <wps:wsp>
                          <wps:cNvPr id="24" name="Стрелка вправо 50"/>
                          <wps:cNvSpPr>
                            <a:spLocks noChangeArrowheads="1"/>
                          </wps:cNvSpPr>
                          <wps:spPr bwMode="auto">
                            <a:xfrm>
                              <a:off x="2292263" y="112734"/>
                              <a:ext cx="1596390" cy="686435"/>
                            </a:xfrm>
                            <a:prstGeom prst="rightArrow">
                              <a:avLst>
                                <a:gd name="adj1" fmla="val 50000"/>
                                <a:gd name="adj2" fmla="val 50001"/>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25" name="Скругленный прямоугольник 52"/>
                          <wps:cNvSpPr>
                            <a:spLocks noChangeArrowheads="1"/>
                          </wps:cNvSpPr>
                          <wps:spPr bwMode="auto">
                            <a:xfrm>
                              <a:off x="0" y="1027134"/>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3080A5D" w14:textId="77777777" w:rsidR="002E21F4" w:rsidRPr="00445078" w:rsidRDefault="002E21F4" w:rsidP="00D67F10">
                                <w:pPr>
                                  <w:ind w:right="-247" w:hanging="142"/>
                                  <w:jc w:val="center"/>
                                </w:pPr>
                                <w:r w:rsidRPr="00445078">
                                  <w:t>Сложность учета договоров на строительство</w:t>
                                </w:r>
                              </w:p>
                            </w:txbxContent>
                          </wps:txbx>
                          <wps:bodyPr rot="0" vert="horz" wrap="square" lIns="91440" tIns="45720" rIns="91440" bIns="45720" anchor="ctr" anchorCtr="0" upright="1">
                            <a:noAutofit/>
                          </wps:bodyPr>
                        </wps:wsp>
                        <wps:wsp>
                          <wps:cNvPr id="26" name="Скругленный прямоугольник 53"/>
                          <wps:cNvSpPr>
                            <a:spLocks noChangeArrowheads="1"/>
                          </wps:cNvSpPr>
                          <wps:spPr bwMode="auto">
                            <a:xfrm>
                              <a:off x="3883069" y="1027134"/>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FDE5F0B" w14:textId="77777777" w:rsidR="002E21F4" w:rsidRPr="009E60EB" w:rsidRDefault="002E21F4" w:rsidP="00D67F10">
                                <w:pPr>
                                  <w:ind w:right="-106" w:hanging="142"/>
                                  <w:jc w:val="center"/>
                                </w:pPr>
                                <w:r w:rsidRPr="00585D72">
                                  <w:t>МСФО (</w:t>
                                </w:r>
                                <w:r w:rsidRPr="00585D72">
                                  <w:rPr>
                                    <w:lang w:val="en-US"/>
                                  </w:rPr>
                                  <w:t>IAS</w:t>
                                </w:r>
                                <w:r w:rsidRPr="009E60EB">
                                  <w:t xml:space="preserve">) 11 </w:t>
                                </w:r>
                                <w:r w:rsidRPr="00585D72">
                                  <w:t>или МСФО (IAS) 18</w:t>
                                </w:r>
                              </w:p>
                            </w:txbxContent>
                          </wps:txbx>
                          <wps:bodyPr rot="0" vert="horz" wrap="square" lIns="91440" tIns="45720" rIns="91440" bIns="45720" anchor="ctr" anchorCtr="0" upright="1">
                            <a:noAutofit/>
                          </wps:bodyPr>
                        </wps:wsp>
                        <wps:wsp>
                          <wps:cNvPr id="27" name="Стрелка вправо 54"/>
                          <wps:cNvSpPr>
                            <a:spLocks noChangeArrowheads="1"/>
                          </wps:cNvSpPr>
                          <wps:spPr bwMode="auto">
                            <a:xfrm>
                              <a:off x="2292263" y="1164920"/>
                              <a:ext cx="1596390" cy="686435"/>
                            </a:xfrm>
                            <a:prstGeom prst="rightArrow">
                              <a:avLst>
                                <a:gd name="adj1" fmla="val 50000"/>
                                <a:gd name="adj2" fmla="val 50001"/>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g:grpSp>
                      <wps:wsp>
                        <wps:cNvPr id="28" name="Скругленный прямоугольник 55"/>
                        <wps:cNvSpPr>
                          <a:spLocks noChangeArrowheads="1"/>
                        </wps:cNvSpPr>
                        <wps:spPr bwMode="auto">
                          <a:xfrm>
                            <a:off x="3883069" y="2054268"/>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B3FC3CF" w14:textId="77777777" w:rsidR="002E21F4" w:rsidRPr="00D67F10" w:rsidRDefault="002E21F4" w:rsidP="00D67F10">
                              <w:pPr>
                                <w:ind w:left="-142" w:right="36" w:firstLine="0"/>
                                <w:jc w:val="center"/>
                              </w:pPr>
                              <w:r w:rsidRPr="00D67F10">
                                <w:t>МСФО (</w:t>
                              </w:r>
                              <w:r w:rsidRPr="00D67F10">
                                <w:rPr>
                                  <w:lang w:val="en-US"/>
                                </w:rPr>
                                <w:t>IFRS</w:t>
                              </w:r>
                              <w:r w:rsidRPr="009E60EB">
                                <w:t xml:space="preserve">) 10 </w:t>
                              </w:r>
                              <w:r w:rsidRPr="00D67F10">
                                <w:t>«Консолидированная финансовая отчетность»</w:t>
                              </w:r>
                            </w:p>
                          </w:txbxContent>
                        </wps:txbx>
                        <wps:bodyPr rot="0" vert="horz" wrap="square" lIns="91440" tIns="45720" rIns="91440" bIns="45720" anchor="ctr" anchorCtr="0" upright="1">
                          <a:noAutofit/>
                        </wps:bodyPr>
                      </wps:wsp>
                      <wps:wsp>
                        <wps:cNvPr id="29" name="Скругленный прямоугольник 56"/>
                        <wps:cNvSpPr>
                          <a:spLocks noChangeArrowheads="1"/>
                        </wps:cNvSpPr>
                        <wps:spPr bwMode="auto">
                          <a:xfrm>
                            <a:off x="3883069" y="3093928"/>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08181EE" w14:textId="77777777" w:rsidR="002E21F4" w:rsidRDefault="002E21F4" w:rsidP="00DA7C2D">
                              <w:pPr>
                                <w:ind w:firstLine="0"/>
                                <w:jc w:val="center"/>
                              </w:pPr>
                              <w:r>
                                <w:t xml:space="preserve">МСФО </w:t>
                              </w:r>
                              <w:r>
                                <w:rPr>
                                  <w:lang w:val="en-US"/>
                                </w:rPr>
                                <w:t xml:space="preserve">(IFRS) 8 </w:t>
                              </w:r>
                              <w:r>
                                <w:t>«Операционные сегменты»</w:t>
                              </w:r>
                            </w:p>
                          </w:txbxContent>
                        </wps:txbx>
                        <wps:bodyPr rot="0" vert="horz" wrap="square" lIns="91440" tIns="45720" rIns="91440" bIns="45720" anchor="ctr" anchorCtr="0" upright="1">
                          <a:noAutofit/>
                        </wps:bodyPr>
                      </wps:wsp>
                      <wps:wsp>
                        <wps:cNvPr id="30" name="Скругленный прямоугольник 57"/>
                        <wps:cNvSpPr>
                          <a:spLocks noChangeArrowheads="1"/>
                        </wps:cNvSpPr>
                        <wps:spPr bwMode="auto">
                          <a:xfrm>
                            <a:off x="0" y="2279736"/>
                            <a:ext cx="2288540" cy="13709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D1C7C9A" w14:textId="53AD5BA5" w:rsidR="002E21F4" w:rsidRPr="00445078" w:rsidRDefault="002E21F4" w:rsidP="00D67F10">
                              <w:pPr>
                                <w:ind w:hanging="142"/>
                                <w:jc w:val="center"/>
                              </w:pPr>
                              <w:r w:rsidRPr="00445078">
                                <w:t>Холдинговая структура</w:t>
                              </w:r>
                            </w:p>
                          </w:txbxContent>
                        </wps:txbx>
                        <wps:bodyPr rot="0" vert="horz" wrap="square" lIns="91440" tIns="45720" rIns="91440" bIns="45720" anchor="ctr" anchorCtr="0" upright="1">
                          <a:noAutofit/>
                        </wps:bodyPr>
                      </wps:wsp>
                      <wps:wsp>
                        <wps:cNvPr id="31" name="Стрелка вправо 59"/>
                        <wps:cNvSpPr>
                          <a:spLocks noChangeArrowheads="1"/>
                        </wps:cNvSpPr>
                        <wps:spPr bwMode="auto">
                          <a:xfrm rot="747173">
                            <a:off x="2292263" y="3081402"/>
                            <a:ext cx="1596390" cy="343535"/>
                          </a:xfrm>
                          <a:prstGeom prst="rightArrow">
                            <a:avLst>
                              <a:gd name="adj1" fmla="val 50000"/>
                              <a:gd name="adj2" fmla="val 49998"/>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32" name="Стрелка вправо 60"/>
                        <wps:cNvSpPr>
                          <a:spLocks noChangeArrowheads="1"/>
                        </wps:cNvSpPr>
                        <wps:spPr bwMode="auto">
                          <a:xfrm rot="-732239">
                            <a:off x="2292263" y="2517731"/>
                            <a:ext cx="1596390" cy="343535"/>
                          </a:xfrm>
                          <a:prstGeom prst="rightArrow">
                            <a:avLst>
                              <a:gd name="adj1" fmla="val 50000"/>
                              <a:gd name="adj2" fmla="val 49998"/>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g:grpSp>
                        <wpg:cNvPr id="33" name="Группа 63"/>
                        <wpg:cNvGrpSpPr>
                          <a:grpSpLocks/>
                        </wpg:cNvGrpSpPr>
                        <wpg:grpSpPr bwMode="auto">
                          <a:xfrm>
                            <a:off x="0" y="4121063"/>
                            <a:ext cx="6171565" cy="1940560"/>
                            <a:chOff x="0" y="0"/>
                            <a:chExt cx="6171609" cy="1940899"/>
                          </a:xfrm>
                        </wpg:grpSpPr>
                        <wps:wsp>
                          <wps:cNvPr id="34" name="Скругленный прямоугольник 64"/>
                          <wps:cNvSpPr>
                            <a:spLocks noChangeArrowheads="1"/>
                          </wps:cNvSpPr>
                          <wps:spPr bwMode="auto">
                            <a:xfrm>
                              <a:off x="12526" y="0"/>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CB531BD" w14:textId="77777777" w:rsidR="002E21F4" w:rsidRDefault="002E21F4" w:rsidP="00376F94">
                                <w:pPr>
                                  <w:ind w:firstLine="0"/>
                                  <w:jc w:val="center"/>
                                </w:pPr>
                                <w:r>
                                  <w:t>Иностранные поставщики</w:t>
                                </w:r>
                              </w:p>
                            </w:txbxContent>
                          </wps:txbx>
                          <wps:bodyPr rot="0" vert="horz" wrap="square" lIns="91440" tIns="45720" rIns="91440" bIns="45720" anchor="ctr" anchorCtr="0" upright="1">
                            <a:noAutofit/>
                          </wps:bodyPr>
                        </wps:wsp>
                        <wps:wsp>
                          <wps:cNvPr id="35" name="Скругленный прямоугольник 65"/>
                          <wps:cNvSpPr>
                            <a:spLocks noChangeArrowheads="1"/>
                          </wps:cNvSpPr>
                          <wps:spPr bwMode="auto">
                            <a:xfrm>
                              <a:off x="3883069" y="0"/>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F2DED4C" w14:textId="77777777" w:rsidR="002E21F4" w:rsidRDefault="002E21F4" w:rsidP="00376F94">
                                <w:pPr>
                                  <w:ind w:firstLine="0"/>
                                  <w:jc w:val="center"/>
                                </w:pPr>
                                <w:r w:rsidRPr="00AB7CC6">
                                  <w:t>МСФО (IAS) 21</w:t>
                                </w:r>
                                <w:r>
                                  <w:t xml:space="preserve"> «Влияние изменения валютных курсов»</w:t>
                                </w:r>
                              </w:p>
                            </w:txbxContent>
                          </wps:txbx>
                          <wps:bodyPr rot="0" vert="horz" wrap="square" lIns="91440" tIns="45720" rIns="91440" bIns="45720" anchor="ctr" anchorCtr="0" upright="1">
                            <a:noAutofit/>
                          </wps:bodyPr>
                        </wps:wsp>
                        <wps:wsp>
                          <wps:cNvPr id="36" name="Стрелка вправо 66"/>
                          <wps:cNvSpPr>
                            <a:spLocks noChangeArrowheads="1"/>
                          </wps:cNvSpPr>
                          <wps:spPr bwMode="auto">
                            <a:xfrm>
                              <a:off x="2292263" y="112734"/>
                              <a:ext cx="1596390" cy="686435"/>
                            </a:xfrm>
                            <a:prstGeom prst="rightArrow">
                              <a:avLst>
                                <a:gd name="adj1" fmla="val 50000"/>
                                <a:gd name="adj2" fmla="val 50001"/>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37" name="Скругленный прямоугольник 67"/>
                          <wps:cNvSpPr>
                            <a:spLocks noChangeArrowheads="1"/>
                          </wps:cNvSpPr>
                          <wps:spPr bwMode="auto">
                            <a:xfrm>
                              <a:off x="0" y="1027134"/>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583232D" w14:textId="3CA1AD6C" w:rsidR="002E21F4" w:rsidRDefault="002E21F4" w:rsidP="00376F94">
                                <w:pPr>
                                  <w:ind w:firstLine="0"/>
                                  <w:jc w:val="center"/>
                                </w:pPr>
                                <w:r>
                                  <w:t>Взносы в саморегулируемые организации</w:t>
                                </w:r>
                              </w:p>
                            </w:txbxContent>
                          </wps:txbx>
                          <wps:bodyPr rot="0" vert="horz" wrap="square" lIns="91440" tIns="45720" rIns="91440" bIns="45720" anchor="ctr" anchorCtr="0" upright="1">
                            <a:noAutofit/>
                          </wps:bodyPr>
                        </wps:wsp>
                        <wps:wsp>
                          <wps:cNvPr id="38" name="Скругленный прямоугольник 68"/>
                          <wps:cNvSpPr>
                            <a:spLocks noChangeArrowheads="1"/>
                          </wps:cNvSpPr>
                          <wps:spPr bwMode="auto">
                            <a:xfrm>
                              <a:off x="3883069" y="1027134"/>
                              <a:ext cx="2288540" cy="913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992ED00" w14:textId="2186D1F7" w:rsidR="002E21F4" w:rsidRDefault="002E21F4" w:rsidP="00104805">
                                <w:pPr>
                                  <w:ind w:firstLine="0"/>
                                  <w:jc w:val="center"/>
                                </w:pPr>
                                <w:r w:rsidRPr="00614376">
                                  <w:t>МСФО (IAS) 37 «</w:t>
                                </w:r>
                                <w:r>
                                  <w:t>Оценочные обязательства</w:t>
                                </w:r>
                                <w:r w:rsidRPr="00614376">
                                  <w:t>, условные активы и условные обязательства»</w:t>
                                </w:r>
                              </w:p>
                            </w:txbxContent>
                          </wps:txbx>
                          <wps:bodyPr rot="0" vert="horz" wrap="square" lIns="91440" tIns="45720" rIns="91440" bIns="45720" anchor="ctr" anchorCtr="0" upright="1">
                            <a:noAutofit/>
                          </wps:bodyPr>
                        </wps:wsp>
                        <wps:wsp>
                          <wps:cNvPr id="39" name="Стрелка вправо 69"/>
                          <wps:cNvSpPr>
                            <a:spLocks noChangeArrowheads="1"/>
                          </wps:cNvSpPr>
                          <wps:spPr bwMode="auto">
                            <a:xfrm>
                              <a:off x="2292263" y="1164920"/>
                              <a:ext cx="1596390" cy="686435"/>
                            </a:xfrm>
                            <a:prstGeom prst="rightArrow">
                              <a:avLst>
                                <a:gd name="adj1" fmla="val 50000"/>
                                <a:gd name="adj2" fmla="val 50001"/>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A3AF3C3" id="Group_x0020_33" o:spid="_x0000_s1026" style="position:absolute;left:0;text-align:left;margin-left:.5pt;margin-top:-2.3pt;width:476.7pt;height:440.85pt;z-index:251700224;mso-width-relative:margin;mso-height-relative:margin" coordsize="6171609,6061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">
                <v:group id="_x0413__x0440__x0443__x043f__x043f__x0430__x0020_62" o:spid="_x0000_s1027" style="position:absolute;width:6171609;height:1940899" coordsize="6171609,19408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oundrect id="_x0421__x043a__x0440__x0443__x0433__x043b__x0435__x043d__x043d__x044b__x0439__x0020__x043f__x0440__x044f__x043c__x043e__x0443__x0433__x043e__x043b__x044c__x043d__x0438__x043a__x0020_48" o:spid="_x0000_s1028" style="position:absolute;left:12526;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71VuwwAA&#10;ANsAAAAPAAAAZHJzL2Rvd25yZXYueG1sRI9BawIxFITvhf6H8ArearYrFlmNYiuC0JNrL95eN8/N&#10;tpuXJUk1/vtGEHocZuYbZrFKthdn8qFzrOBlXIAgbpzuuFXwedg+z0CEiKyxd0wKrhRgtXx8WGCl&#10;3YX3dK5jKzKEQ4UKTIxDJWVoDFkMYzcQZ+/kvMWYpW+l9njJcNvLsihepcWO84LBgd4NNT/1r1Vg&#10;9SRtvnF9pO2sfjtO08fGmy+lRk9pPQcRKcX/8L290wrKEm5f8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71VuwwAAANsAAAAPAAAAAAAAAAAAAAAAAJcCAABkcnMvZG93&#10;bnJldi54bWxQSwUGAAAAAAQABAD1AAAAhwMAAAAA&#10;" fillcolor="#5b9bd5 [3204]" strokecolor="#1f4d78 [1604]" strokeweight="1pt">
                    <v:stroke joinstyle="miter"/>
                    <v:textbox>
                      <w:txbxContent>
                        <w:p w14:paraId="5DD6CA4F" w14:textId="77777777" w:rsidR="002E21F4" w:rsidRPr="00445078" w:rsidRDefault="002E21F4" w:rsidP="008F765A">
                          <w:pPr>
                            <w:spacing w:line="240" w:lineRule="auto"/>
                            <w:ind w:right="-249" w:hanging="284"/>
                            <w:jc w:val="center"/>
                          </w:pPr>
                          <w:r w:rsidRPr="00445078">
                            <w:t>Долгосрочные договоры       на строительство</w:t>
                          </w:r>
                        </w:p>
                      </w:txbxContent>
                    </v:textbox>
                  </v:roundrect>
                  <v:roundrect id="_x0421__x043a__x0440__x0443__x0433__x043b__x0435__x043d__x043d__x044b__x0439__x0020__x043f__x0440__x044f__x043c__x043e__x0443__x0433__x043e__x043b__x044c__x043d__x0438__x043a__x0020_49" o:spid="_x0000_s1029" style="position:absolute;left:3883069;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D1wwAA&#10;ANsAAAAPAAAAZHJzL2Rvd25yZXYueG1sRI9PawIxFMTvBb9DeIK3mlVpka1R/IMg9NTVi7fXzetm&#10;6+ZlSaLGb98UCj0OM/MbZrFKthM38qF1rGAyLkAQ10633Cg4HffPcxAhImvsHJOCBwVYLQdPCyy1&#10;u/MH3arYiAzhUKICE2NfShlqQxbD2PXE2fty3mLM0jdSe7xnuO3ktChepcWW84LBnraG6kt1tQqs&#10;nqXdN67PtJ9Xm/NLet9586nUaJjWbyAipfgf/msftILpDH6/5B8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o/D1wwAAANsAAAAPAAAAAAAAAAAAAAAAAJcCAABkcnMvZG93&#10;bnJldi54bWxQSwUGAAAAAAQABAD1AAAAhwMAAAAA&#10;" fillcolor="#5b9bd5 [3204]" strokecolor="#1f4d78 [1604]" strokeweight="1pt">
                    <v:stroke joinstyle="miter"/>
                    <v:textbox>
                      <w:txbxContent>
                        <w:p w14:paraId="15E2F415" w14:textId="1BD84A76" w:rsidR="002E21F4" w:rsidRPr="009E60EB" w:rsidRDefault="002E21F4" w:rsidP="009E60EB">
                          <w:pPr>
                            <w:spacing w:line="480" w:lineRule="auto"/>
                            <w:ind w:hanging="142"/>
                            <w:jc w:val="center"/>
                          </w:pPr>
                          <w:r w:rsidRPr="00585D72">
                            <w:t>МСФО (</w:t>
                          </w:r>
                          <w:r w:rsidRPr="00585D72">
                            <w:rPr>
                              <w:lang w:val="en-US"/>
                            </w:rPr>
                            <w:t>IAS</w:t>
                          </w:r>
                          <w:r w:rsidRPr="009E60EB">
                            <w:t xml:space="preserve">) 11 </w:t>
                          </w:r>
                          <w:r w:rsidRPr="00D67F10">
                            <w:t>«</w:t>
                          </w:r>
                          <w:r>
                            <w:t>Д</w:t>
                          </w:r>
                          <w:r w:rsidRPr="009E60EB">
                            <w:t>оговоры на строительство</w:t>
                          </w:r>
                          <w:r w:rsidRPr="00D67F10">
                            <w:t>»</w:t>
                          </w:r>
                        </w:p>
                      </w:txbxContent>
                    </v:textbox>
                  </v:round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421__x0442__x0440__x0435__x043b__x043a__x0430__x0020__x0432__x043f__x0440__x0430__x0432__x043e__x0020_50" o:spid="_x0000_s1030" type="#_x0000_t13" style="position:absolute;left:2292263;top:112734;width:1596390;height:686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pD40wwAA&#10;ANsAAAAPAAAAZHJzL2Rvd25yZXYueG1sRI9Pi8IwFMTvC36H8IS9renKKlKNsgiCiB78s9vro3m2&#10;xealJNHWb28EweMwM79hZovO1OJGzleWFXwPEhDEudUVFwpOx9XXBIQPyBpry6TgTh4W897HDFNt&#10;W97T7RAKESHsU1RQhtCkUvq8JIN+YBvi6J2tMxiidIXUDtsIN7UcJslYGqw4LpTY0LKk/HK4GgVm&#10;VV/I/Wf3Xd5mIy+3+2zz1yn12e9+pyACdeEdfrXXWsHwB55f4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pD40wwAAANsAAAAPAAAAAAAAAAAAAAAAAJcCAABkcnMvZG93&#10;bnJldi54bWxQSwUGAAAAAAQABAD1AAAAhwMAAAAA&#10;" adj="16956" fillcolor="#b1cbe9" strokecolor="#5b9bd5 [3204]" strokeweight=".5pt">
                    <v:fill color2="#92b9e4" rotate="t" colors="0 #b1cbe9;.5 #a3c1e5;1 #92b9e4" focus="100%" type="gradient">
                      <o:fill v:ext="view" type="gradientUnscaled"/>
                    </v:fill>
                  </v:shape>
                  <v:roundrect id="_x0421__x043a__x0440__x0443__x0433__x043b__x0435__x043d__x043d__x044b__x0439__x0020__x043f__x0440__x044f__x043c__x043e__x0443__x0433__x043e__x043b__x044c__x043d__x0438__x043a__x0020_52" o:spid="_x0000_s1031" style="position:absolute;top:1027134;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s0awwAA&#10;ANsAAAAPAAAAZHJzL2Rvd25yZXYueG1sRI9PawIxFMTvBb9DeIK3mlWxyNYo/kEQeuq2F2+vm9fN&#10;1s3LkkSN394UCj0OM/MbZrlOthNX8qF1rGAyLkAQ10633Cj4/Dg8L0CEiKyxc0wK7hRgvRo8LbHU&#10;7sbvdK1iIzKEQ4kKTIx9KWWoDVkMY9cTZ+/beYsxS99I7fGW4baT06J4kRZbzgsGe9oZqs/VxSqw&#10;epb2P7g50WFRbU/z9Lb35kup0TBtXkFESvE//Nc+agXTOfx+yT9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Bs0awwAAANsAAAAPAAAAAAAAAAAAAAAAAJcCAABkcnMvZG93&#10;bnJldi54bWxQSwUGAAAAAAQABAD1AAAAhwMAAAAA&#10;" fillcolor="#5b9bd5 [3204]" strokecolor="#1f4d78 [1604]" strokeweight="1pt">
                    <v:stroke joinstyle="miter"/>
                    <v:textbox>
                      <w:txbxContent>
                        <w:p w14:paraId="13080A5D" w14:textId="77777777" w:rsidR="002E21F4" w:rsidRPr="00445078" w:rsidRDefault="002E21F4" w:rsidP="00D67F10">
                          <w:pPr>
                            <w:ind w:right="-247" w:hanging="142"/>
                            <w:jc w:val="center"/>
                          </w:pPr>
                          <w:r w:rsidRPr="00445078">
                            <w:t>Сложность учета договоров на строительство</w:t>
                          </w:r>
                        </w:p>
                      </w:txbxContent>
                    </v:textbox>
                  </v:roundrect>
                  <v:roundrect id="_x0421__x043a__x0440__x0443__x0433__x043b__x0435__x043d__x043d__x044b__x0439__x0020__x043f__x0440__x044f__x043c__x043e__x0443__x0433__x043e__x043b__x044c__x043d__x0438__x043a__x0020_53" o:spid="_x0000_s1032" style="position:absolute;left:3883069;top:1027134;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1FNtwwAA&#10;ANsAAAAPAAAAZHJzL2Rvd25yZXYueG1sRI9PawIxFMTvBb9DeIK3mlWpyNYo/kEQeuq2F2+vm9fN&#10;1s3LkkSN394UCj0OM/MbZrlOthNX8qF1rGAyLkAQ10633Cj4/Dg8L0CEiKyxc0wK7hRgvRo8LbHU&#10;7sbvdK1iIzKEQ4kKTIx9KWWoDVkMY9cTZ+/beYsxS99I7fGW4baT06KYS4st5wWDPe0M1efqYhVY&#10;PUv7H9yc6LCotqeX9Lb35kup0TBtXkFESvE//Nc+agXTOfx+yT9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1FNtwwAAANsAAAAPAAAAAAAAAAAAAAAAAJcCAABkcnMvZG93&#10;bnJldi54bWxQSwUGAAAAAAQABAD1AAAAhwMAAAAA&#10;" fillcolor="#5b9bd5 [3204]" strokecolor="#1f4d78 [1604]" strokeweight="1pt">
                    <v:stroke joinstyle="miter"/>
                    <v:textbox>
                      <w:txbxContent>
                        <w:p w14:paraId="3FDE5F0B" w14:textId="77777777" w:rsidR="002E21F4" w:rsidRPr="009E60EB" w:rsidRDefault="002E21F4" w:rsidP="00D67F10">
                          <w:pPr>
                            <w:ind w:right="-106" w:hanging="142"/>
                            <w:jc w:val="center"/>
                          </w:pPr>
                          <w:r w:rsidRPr="00585D72">
                            <w:t>МСФО (</w:t>
                          </w:r>
                          <w:r w:rsidRPr="00585D72">
                            <w:rPr>
                              <w:lang w:val="en-US"/>
                            </w:rPr>
                            <w:t>IAS</w:t>
                          </w:r>
                          <w:r w:rsidRPr="009E60EB">
                            <w:t xml:space="preserve">) 11 </w:t>
                          </w:r>
                          <w:r w:rsidRPr="00585D72">
                            <w:t>или МСФО (IAS) 18</w:t>
                          </w:r>
                        </w:p>
                      </w:txbxContent>
                    </v:textbox>
                  </v:roundrect>
                  <v:shape id="_x0421__x0442__x0440__x0435__x043b__x043a__x0430__x0020__x0432__x043f__x0440__x0430__x0432__x043e__x0020_54" o:spid="_x0000_s1033" type="#_x0000_t13" style="position:absolute;left:2292263;top:1164920;width:1596390;height:686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qBDwwAA&#10;ANsAAAAPAAAAZHJzL2Rvd25yZXYueG1sRI9Pi8IwFMTvC36H8IS9rekKq1KNsgiCiB78s9vro3m2&#10;xealJNHWb28EweMwM79hZovO1OJGzleWFXwPEhDEudUVFwpOx9XXBIQPyBpry6TgTh4W897HDFNt&#10;W97T7RAKESHsU1RQhtCkUvq8JIN+YBvi6J2tMxiidIXUDtsIN7UcJslIGqw4LpTY0LKk/HK4GgVm&#10;VV/I/Wf3Xd5mP15u99nmr1Pqs9/9TkEE6sI7/GqvtYLhGJ5f4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dqBDwwAAANsAAAAPAAAAAAAAAAAAAAAAAJcCAABkcnMvZG93&#10;bnJldi54bWxQSwUGAAAAAAQABAD1AAAAhwMAAAAA&#10;" adj="16956" fillcolor="#b1cbe9" strokecolor="#5b9bd5 [3204]" strokeweight=".5pt">
                    <v:fill color2="#92b9e4" rotate="t" colors="0 #b1cbe9;.5 #a3c1e5;1 #92b9e4" focus="100%" type="gradient">
                      <o:fill v:ext="view" type="gradientUnscaled"/>
                    </v:fill>
                  </v:shape>
                </v:group>
                <v:roundrect id="_x0421__x043a__x0440__x0443__x0433__x043b__x0435__x043d__x043d__x044b__x0439__x0020__x043f__x0440__x044f__x043c__x043e__x0443__x0433__x043e__x043b__x044c__x043d__x0438__x043a__x0020_55" o:spid="_x0000_s1034" style="position:absolute;left:3883069;top:2054268;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2KEwAAA&#10;ANsAAAAPAAAAZHJzL2Rvd25yZXYueG1sRE/LagIxFN0X/IdwBXc1o6Uio1F8IAhdddqNu+vkOhmd&#10;3AxJqunfN4uCy8N5L9fJduJOPrSOFUzGBQji2umWGwXfX4fXOYgQkTV2jknBLwVYrwYvSyy1e/An&#10;3avYiBzCoUQFJsa+lDLUhiyGseuJM3dx3mLM0DdSe3zkcNvJaVHMpMWWc4PBnnaG6lv1YxVY/Zb2&#10;V9yc6DCvtqf39LH35qzUaJg2CxCRUnyK/91HrWCax+Yv+QfI1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B2KEwAAAANsAAAAPAAAAAAAAAAAAAAAAAJcCAABkcnMvZG93bnJl&#10;di54bWxQSwUGAAAAAAQABAD1AAAAhAMAAAAA&#10;" fillcolor="#5b9bd5 [3204]" strokecolor="#1f4d78 [1604]" strokeweight="1pt">
                  <v:stroke joinstyle="miter"/>
                  <v:textbox>
                    <w:txbxContent>
                      <w:p w14:paraId="4B3FC3CF" w14:textId="77777777" w:rsidR="002E21F4" w:rsidRPr="00D67F10" w:rsidRDefault="002E21F4" w:rsidP="00D67F10">
                        <w:pPr>
                          <w:ind w:left="-142" w:right="36" w:firstLine="0"/>
                          <w:jc w:val="center"/>
                        </w:pPr>
                        <w:r w:rsidRPr="00D67F10">
                          <w:t>МСФО (</w:t>
                        </w:r>
                        <w:r w:rsidRPr="00D67F10">
                          <w:rPr>
                            <w:lang w:val="en-US"/>
                          </w:rPr>
                          <w:t>IFRS</w:t>
                        </w:r>
                        <w:r w:rsidRPr="009E60EB">
                          <w:t xml:space="preserve">) 10 </w:t>
                        </w:r>
                        <w:r w:rsidRPr="00D67F10">
                          <w:t>«Консолидированная финансовая отчетность»</w:t>
                        </w:r>
                      </w:p>
                    </w:txbxContent>
                  </v:textbox>
                </v:roundrect>
                <v:roundrect id="_x0421__x043a__x0440__x0443__x0433__x043b__x0435__x043d__x043d__x044b__x0439__x0020__x043f__x0440__x044f__x043c__x043e__x0443__x0433__x043e__x043b__x044c__x043d__x0438__x043a__x0020_56" o:spid="_x0000_s1035" style="position:absolute;left:3883069;top:3093928;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8cfwwAA&#10;ANsAAAAPAAAAZHJzL2Rvd25yZXYueG1sRI9PawIxFMTvhX6H8Aq91ayWFrsaxT8IhZ669uLtuXlu&#10;VjcvS5Jq+u0bQfA4zMxvmOk82U6cyYfWsYLhoABBXDvdcqPgZ7t5GYMIEVlj55gU/FGA+ezxYYql&#10;dhf+pnMVG5EhHEpUYGLsSylDbchiGLieOHsH5y3GLH0jtcdLhttOjoriXVpsOS8Y7GllqD5Vv1aB&#10;1a9pfcTFjjbjarl7S19rb/ZKPT+lxQREpBTv4Vv7UysYfcD1S/4Bcv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S8cfwwAAANsAAAAPAAAAAAAAAAAAAAAAAJcCAABkcnMvZG93&#10;bnJldi54bWxQSwUGAAAAAAQABAD1AAAAhwMAAAAA&#10;" fillcolor="#5b9bd5 [3204]" strokecolor="#1f4d78 [1604]" strokeweight="1pt">
                  <v:stroke joinstyle="miter"/>
                  <v:textbox>
                    <w:txbxContent>
                      <w:p w14:paraId="208181EE" w14:textId="77777777" w:rsidR="002E21F4" w:rsidRDefault="002E21F4" w:rsidP="00DA7C2D">
                        <w:pPr>
                          <w:ind w:firstLine="0"/>
                          <w:jc w:val="center"/>
                        </w:pPr>
                        <w:r>
                          <w:t xml:space="preserve">МСФО </w:t>
                        </w:r>
                        <w:r>
                          <w:rPr>
                            <w:lang w:val="en-US"/>
                          </w:rPr>
                          <w:t xml:space="preserve">(IFRS) 8 </w:t>
                        </w:r>
                        <w:r>
                          <w:t>«Операционные сегменты»</w:t>
                        </w:r>
                      </w:p>
                    </w:txbxContent>
                  </v:textbox>
                </v:roundrect>
                <v:roundrect id="_x0421__x043a__x0440__x0443__x0433__x043b__x0435__x043d__x043d__x044b__x0439__x0020__x043f__x0440__x044f__x043c__x043e__x0443__x0433__x043e__x043b__x044c__x043d__x0438__x043a__x0020_57" o:spid="_x0000_s1036" style="position:absolute;top:2279736;width:2288540;height:1370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PhfwAAA&#10;ANsAAAAPAAAAZHJzL2Rvd25yZXYueG1sRE/LagIxFN0X/IdwBXc1o9Iio1F8IAhdddqNu+vkOhmd&#10;3AxJ1PTvm0Why8N5L9fJduJBPrSOFUzGBQji2umWGwXfX4fXOYgQkTV2jknBDwVYrwYvSyy1e/In&#10;ParYiBzCoUQFJsa+lDLUhiyGseuJM3dx3mLM0DdSe3zmcNvJaVG8S4st5waDPe0M1bfqbhVYPUv7&#10;K25OdJhX29Nb+th7c1ZqNEybBYhIKf6L/9xHrWCW1+cv+QfI1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qPhfwAAAANsAAAAPAAAAAAAAAAAAAAAAAJcCAABkcnMvZG93bnJl&#10;di54bWxQSwUGAAAAAAQABAD1AAAAhAMAAAAA&#10;" fillcolor="#5b9bd5 [3204]" strokecolor="#1f4d78 [1604]" strokeweight="1pt">
                  <v:stroke joinstyle="miter"/>
                  <v:textbox>
                    <w:txbxContent>
                      <w:p w14:paraId="0D1C7C9A" w14:textId="53AD5BA5" w:rsidR="002E21F4" w:rsidRPr="00445078" w:rsidRDefault="002E21F4" w:rsidP="00D67F10">
                        <w:pPr>
                          <w:ind w:hanging="142"/>
                          <w:jc w:val="center"/>
                        </w:pPr>
                        <w:r w:rsidRPr="00445078">
                          <w:t>Холдинговая структура</w:t>
                        </w:r>
                      </w:p>
                    </w:txbxContent>
                  </v:textbox>
                </v:roundrect>
                <v:shape id="_x0421__x0442__x0440__x0435__x043b__x043a__x0430__x0020__x0432__x043f__x0440__x0430__x0432__x043e__x0020_59" o:spid="_x0000_s1037" type="#_x0000_t13" style="position:absolute;left:2292263;top:3081402;width:1596390;height:343535;rotation:81611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MJJxQAA&#10;ANsAAAAPAAAAZHJzL2Rvd25yZXYueG1sRI9Ba8JAFITvBf/D8oTezEaFImk20hYKYg9i7KW31+zb&#10;JG32bciuGv31XUHocZiZb5h8PdpOnGjwrWMF8yQFQVw53XKt4PPwPluB8AFZY+eYFFzIw7qYPOSY&#10;aXfmPZ3KUIsIYZ+hgiaEPpPSVw1Z9InriaNn3GAxRDnUUg94jnDbyUWaPkmLLceFBnt6a6j6LY9W&#10;wbU0ZrXV3cYsd/bjx369fi8uo1KP0/HlGUSgMfyH7+2NVrCcw+1L/AGy+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AwknFAAAA2wAAAA8AAAAAAAAAAAAAAAAAlwIAAGRycy9k&#10;b3ducmV2LnhtbFBLBQYAAAAABAAEAPUAAACJAwAAAAA=&#10;" adj="19276" fillcolor="#b1cbe9" strokecolor="#5b9bd5 [3204]" strokeweight=".5pt">
                  <v:fill color2="#92b9e4" rotate="t" colors="0 #b1cbe9;.5 #a3c1e5;1 #92b9e4" focus="100%" type="gradient">
                    <o:fill v:ext="view" type="gradientUnscaled"/>
                  </v:fill>
                </v:shape>
                <v:shape id="_x0421__x0442__x0440__x0435__x043b__x043a__x0430__x0020__x0432__x043f__x0440__x0430__x0432__x043e__x0020_60" o:spid="_x0000_s1038" type="#_x0000_t13" style="position:absolute;left:2292263;top:2517731;width:1596390;height:343535;rotation:-79980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WPzxAAA&#10;ANsAAAAPAAAAZHJzL2Rvd25yZXYueG1sRI9Bi8IwFITvgv8hPGEvoqkKslajiLKwushSFb0+mmdb&#10;bF5Kk9X67zeC4HGYmW+Y2aIxpbhR7QrLCgb9CARxanXBmYLj4av3CcJ5ZI2lZVLwIAeLebs1w1jb&#10;Oyd02/tMBAi7GBXk3lexlC7NyaDr24o4eBdbG/RB1pnUNd4D3JRyGEVjabDgsJBjRauc0uv+zyjY&#10;/J7WpmxW53WV/EzcyR233d1VqY9Os5yC8NT4d/jV/tYKRkN4fg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2Vj88QAAADbAAAADwAAAAAAAAAAAAAAAACXAgAAZHJzL2Rv&#10;d25yZXYueG1sUEsFBgAAAAAEAAQA9QAAAIgDAAAAAA==&#10;" adj="19276" fillcolor="#b1cbe9" strokecolor="#5b9bd5 [3204]" strokeweight=".5pt">
                  <v:fill color2="#92b9e4" rotate="t" colors="0 #b1cbe9;.5 #a3c1e5;1 #92b9e4" focus="100%" type="gradient">
                    <o:fill v:ext="view" type="gradientUnscaled"/>
                  </v:fill>
                </v:shape>
                <v:group id="_x0413__x0440__x0443__x043f__x043f__x0430__x0020_63" o:spid="_x0000_s1039" style="position:absolute;top:4121063;width:6171565;height:1940560" coordsize="6171609,19408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roundrect id="_x0421__x043a__x0440__x0443__x0433__x043b__x0435__x043d__x043d__x044b__x0439__x0020__x043f__x0440__x044f__x043c__x043e__x0443__x0433__x043e__x043b__x044c__x043d__x0438__x043a__x0020_64" o:spid="_x0000_s1040" style="position:absolute;left:12526;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5cwwAA&#10;ANsAAAAPAAAAZHJzL2Rvd25yZXYueG1sRI9BawIxFITvgv8hPKE3zVZrkdUoWhEKPbntxdtz89ys&#10;3bwsSarpv28KhR6HmfmGWW2S7cSNfGgdK3icFCCIa6dbbhR8vB/GCxAhImvsHJOCbwqwWQ8HKyy1&#10;u/ORblVsRIZwKFGBibEvpQy1IYth4nri7F2ctxiz9I3UHu8Zbjs5LYpnabHlvGCwpxdD9Wf1ZRVY&#10;PUv7K25PdFhUu9M8ve29OSv1MErbJYhIKf6H/9qvWsHsCX6/5B8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k/5cwwAAANsAAAAPAAAAAAAAAAAAAAAAAJcCAABkcnMvZG93&#10;bnJldi54bWxQSwUGAAAAAAQABAD1AAAAhwMAAAAA&#10;" fillcolor="#5b9bd5 [3204]" strokecolor="#1f4d78 [1604]" strokeweight="1pt">
                    <v:stroke joinstyle="miter"/>
                    <v:textbox>
                      <w:txbxContent>
                        <w:p w14:paraId="1CB531BD" w14:textId="77777777" w:rsidR="002E21F4" w:rsidRDefault="002E21F4" w:rsidP="00376F94">
                          <w:pPr>
                            <w:ind w:firstLine="0"/>
                            <w:jc w:val="center"/>
                          </w:pPr>
                          <w:r>
                            <w:t>Иностранные поставщики</w:t>
                          </w:r>
                        </w:p>
                      </w:txbxContent>
                    </v:textbox>
                  </v:roundrect>
                  <v:roundrect id="_x0421__x043a__x0440__x0443__x0433__x043b__x0435__x043d__x043d__x044b__x0439__x0020__x043f__x0440__x044f__x043c__x043e__x0443__x0433__x043e__x043b__x044c__x043d__x0438__x043a__x0020_65" o:spid="_x0000_s1041" style="position:absolute;left:3883069;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31vHwwAA&#10;ANsAAAAPAAAAZHJzL2Rvd25yZXYueG1sRI9PawIxFMTvBb9DeIK3mlWxyNYo/kEQeuq2F2+vm9fN&#10;1s3LkkSN394UCj0OM/MbZrlOthNX8qF1rGAyLkAQ10633Cj4/Dg8L0CEiKyxc0wK7hRgvRo8LbHU&#10;7sbvdK1iIzKEQ4kKTIx9KWWoDVkMY9cTZ+/beYsxS99I7fGW4baT06J4kRZbzgsGe9oZqs/VxSqw&#10;epb2P7g50WFRbU/z9Lb35kup0TBtXkFESvE//Nc+agWzOfx+yT9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31vHwwAAANsAAAAPAAAAAAAAAAAAAAAAAJcCAABkcnMvZG93&#10;bnJldi54bWxQSwUGAAAAAAQABAD1AAAAhwMAAAAA&#10;" fillcolor="#5b9bd5 [3204]" strokecolor="#1f4d78 [1604]" strokeweight="1pt">
                    <v:stroke joinstyle="miter"/>
                    <v:textbox>
                      <w:txbxContent>
                        <w:p w14:paraId="6F2DED4C" w14:textId="77777777" w:rsidR="002E21F4" w:rsidRDefault="002E21F4" w:rsidP="00376F94">
                          <w:pPr>
                            <w:ind w:firstLine="0"/>
                            <w:jc w:val="center"/>
                          </w:pPr>
                          <w:r w:rsidRPr="00AB7CC6">
                            <w:t>МСФО (IAS) 21</w:t>
                          </w:r>
                          <w:r>
                            <w:t xml:space="preserve"> «Влияние изменения валютных курсов»</w:t>
                          </w:r>
                        </w:p>
                      </w:txbxContent>
                    </v:textbox>
                  </v:roundrect>
                  <v:shape id="_x0421__x0442__x0440__x0435__x043b__x043a__x0430__x0020__x0432__x043f__x0440__x0430__x0432__x043e__x0020_66" o:spid="_x0000_s1042" type="#_x0000_t13" style="position:absolute;left:2292263;top:112734;width:1596390;height:686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45MFwgAA&#10;ANsAAAAPAAAAZHJzL2Rvd25yZXYueG1sRI9Pi8IwFMTvC/sdwlvwtqa6KFKNIoIgi3vwb6+P5tkW&#10;m5eSRFu//UYQPA4z8xtmtuhMLe7kfGVZwaCfgCDOra64UHA8rL8nIHxA1lhbJgUP8rCYf37MMNW2&#10;5R3d96EQEcI+RQVlCE0qpc9LMuj7tiGO3sU6gyFKV0jtsI1wU8thkoylwYrjQokNrUrKr/ubUWDW&#10;9ZXcOXv85W028nK7y35PnVK9r245BRGoC+/wq73RCn7G8PwSf4C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jkwXCAAAA2wAAAA8AAAAAAAAAAAAAAAAAlwIAAGRycy9kb3du&#10;cmV2LnhtbFBLBQYAAAAABAAEAPUAAACGAwAAAAA=&#10;" adj="16956" fillcolor="#b1cbe9" strokecolor="#5b9bd5 [3204]" strokeweight=".5pt">
                    <v:fill color2="#92b9e4" rotate="t" colors="0 #b1cbe9;.5 #a3c1e5;1 #92b9e4" focus="100%" type="gradient">
                      <o:fill v:ext="view" type="gradientUnscaled"/>
                    </v:fill>
                  </v:shape>
                  <v:roundrect id="_x0421__x043a__x0440__x0443__x0433__x043b__x0435__x043d__x043d__x044b__x0439__x0020__x043f__x0440__x044f__x043c__x043e__x0443__x0433__x043e__x043b__x044c__x043d__x0438__x043a__x0020_67" o:spid="_x0000_s1043" style="position:absolute;top:1027134;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QWArwwAA&#10;ANsAAAAPAAAAZHJzL2Rvd25yZXYueG1sRI9BawIxFITvgv8hPKE3zVapldUoWhEKPbntxdtz89ys&#10;3bwsSarpv28KhR6HmfmGWW2S7cSNfGgdK3icFCCIa6dbbhR8vB/GCxAhImvsHJOCbwqwWQ8HKyy1&#10;u/ORblVsRIZwKFGBibEvpQy1IYth4nri7F2ctxiz9I3UHu8Zbjs5LYq5tNhyXjDY04uh+rP6sgqs&#10;nqX9FbcnOiyq3ekpve29OSv1MErbJYhIKf6H/9qvWsHsGX6/5B8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QWArwwAAANsAAAAPAAAAAAAAAAAAAAAAAJcCAABkcnMvZG93&#10;bnJldi54bWxQSwUGAAAAAAQABAD1AAAAhwMAAAAA&#10;" fillcolor="#5b9bd5 [3204]" strokecolor="#1f4d78 [1604]" strokeweight="1pt">
                    <v:stroke joinstyle="miter"/>
                    <v:textbox>
                      <w:txbxContent>
                        <w:p w14:paraId="1583232D" w14:textId="3CA1AD6C" w:rsidR="002E21F4" w:rsidRDefault="002E21F4" w:rsidP="00376F94">
                          <w:pPr>
                            <w:ind w:firstLine="0"/>
                            <w:jc w:val="center"/>
                          </w:pPr>
                          <w:r>
                            <w:t>Взносы в саморегулируемые организации</w:t>
                          </w:r>
                        </w:p>
                      </w:txbxContent>
                    </v:textbox>
                  </v:roundrect>
                  <v:roundrect id="_x0421__x043a__x0440__x0443__x0433__x043b__x0435__x043d__x043d__x044b__x0439__x0020__x043f__x0440__x044f__x043c__x043e__x0443__x0433__x043e__x043b__x044c__x043d__x0438__x043a__x0020_68" o:spid="_x0000_s1044" style="position:absolute;left:3883069;top:1027134;width:2288540;height:9137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3vRZwAAA&#10;ANsAAAAPAAAAZHJzL2Rvd25yZXYueG1sRE/LagIxFN0X/IdwBXc1o9Iio1F8IAhdddqNu+vkOhmd&#10;3AxJ1PTvm0Why8N5L9fJduJBPrSOFUzGBQji2umWGwXfX4fXOYgQkTV2jknBDwVYrwYvSyy1e/In&#10;ParYiBzCoUQFJsa+lDLUhiyGseuJM3dx3mLM0DdSe3zmcNvJaVG8S4st5waDPe0M1bfqbhVYPUv7&#10;K25OdJhX29Nb+th7c1ZqNEybBYhIKf6L/9xHrWCWx+Yv+QfI1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3vRZwAAAANsAAAAPAAAAAAAAAAAAAAAAAJcCAABkcnMvZG93bnJl&#10;di54bWxQSwUGAAAAAAQABAD1AAAAhAMAAAAA&#10;" fillcolor="#5b9bd5 [3204]" strokecolor="#1f4d78 [1604]" strokeweight="1pt">
                    <v:stroke joinstyle="miter"/>
                    <v:textbox>
                      <w:txbxContent>
                        <w:p w14:paraId="2992ED00" w14:textId="2186D1F7" w:rsidR="002E21F4" w:rsidRDefault="002E21F4" w:rsidP="00104805">
                          <w:pPr>
                            <w:ind w:firstLine="0"/>
                            <w:jc w:val="center"/>
                          </w:pPr>
                          <w:r w:rsidRPr="00614376">
                            <w:t>МСФО (IAS) 37 «</w:t>
                          </w:r>
                          <w:r>
                            <w:t>Оценочные обязательства</w:t>
                          </w:r>
                          <w:r w:rsidRPr="00614376">
                            <w:t>, условные активы и условные обязательства»</w:t>
                          </w:r>
                        </w:p>
                      </w:txbxContent>
                    </v:textbox>
                  </v:roundrect>
                  <v:shape id="_x0421__x0442__x0440__x0435__x043b__x043a__x0430__x0020__x0432__x043f__x0440__x0430__x0432__x043e__x0020_69" o:spid="_x0000_s1045" type="#_x0000_t13" style="position:absolute;left:2292263;top:1164920;width:1596390;height:686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Ad3xAAA&#10;ANsAAAAPAAAAZHJzL2Rvd25yZXYueG1sRI9Ba8JAFITvQv/D8gq9mU0tSk1dpQiBIvagbc31kX1N&#10;gtm3YXebxH/vFgSPw8x8w6w2o2lFT843lhU8JykI4tLqhisF31/59BWED8gaW8uk4EIeNuuHyQoz&#10;bQc+UH8MlYgQ9hkqqEPoMil9WZNBn9iOOHq/1hkMUbpKaodDhJtWztJ0IQ02HBdq7GhbU3k+/hkF&#10;Jm/P5E7F5bMcirmX+0Ox+xmVenoc399ABBrDPXxrf2gFL0v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wHd8QAAADbAAAADwAAAAAAAAAAAAAAAACXAgAAZHJzL2Rv&#10;d25yZXYueG1sUEsFBgAAAAAEAAQA9QAAAIgDAAAAAA==&#10;" adj="16956" fillcolor="#b1cbe9" strokecolor="#5b9bd5 [3204]" strokeweight=".5pt">
                    <v:fill color2="#92b9e4" rotate="t" colors="0 #b1cbe9;.5 #a3c1e5;1 #92b9e4" focus="100%" type="gradient">
                      <o:fill v:ext="view" type="gradientUnscaled"/>
                    </v:fill>
                  </v:shape>
                </v:group>
                <w10:wrap type="topAndBottom"/>
              </v:group>
            </w:pict>
          </mc:Fallback>
        </mc:AlternateContent>
      </w:r>
    </w:p>
    <w:p w14:paraId="042CBD41" w14:textId="1FB07F43" w:rsidR="00994E92" w:rsidRPr="000E4C3D" w:rsidRDefault="000E4C3D" w:rsidP="000E4C3D">
      <w:pPr>
        <w:rPr>
          <w:i/>
        </w:rPr>
      </w:pPr>
      <w:r w:rsidRPr="000E4C3D">
        <w:rPr>
          <w:i/>
        </w:rPr>
        <w:t>Рисунок 3</w:t>
      </w:r>
      <w:r w:rsidR="00994E92" w:rsidRPr="000E4C3D">
        <w:rPr>
          <w:i/>
        </w:rPr>
        <w:t xml:space="preserve"> Особенности учета в строительных организациях в соответствии с Международными Стандартами Финансовой Отчетности</w:t>
      </w:r>
    </w:p>
    <w:p w14:paraId="43652B79" w14:textId="52A66853" w:rsidR="00994E92" w:rsidRPr="00161528" w:rsidRDefault="00994E92" w:rsidP="000E4C3D">
      <w:pPr>
        <w:rPr>
          <w:i/>
          <w:sz w:val="20"/>
          <w:szCs w:val="20"/>
        </w:rPr>
      </w:pPr>
      <w:r w:rsidRPr="00161528">
        <w:rPr>
          <w:i/>
          <w:sz w:val="20"/>
          <w:szCs w:val="20"/>
        </w:rPr>
        <w:t>Источник: Составлено автором</w:t>
      </w:r>
    </w:p>
    <w:p w14:paraId="5C7350AB" w14:textId="0102BDED" w:rsidR="00DB12E9" w:rsidRPr="00A65460" w:rsidRDefault="00FD09DD" w:rsidP="00024B99">
      <w:r>
        <w:t>З</w:t>
      </w:r>
      <w:r w:rsidR="00323BDC">
        <w:t xml:space="preserve">ачастую строительные компании имеют структуру холдингов, обусловленную </w:t>
      </w:r>
      <w:r w:rsidR="00A86EDF">
        <w:t>сложной</w:t>
      </w:r>
      <w:r w:rsidR="00A65460">
        <w:t xml:space="preserve"> организационной стр</w:t>
      </w:r>
      <w:r w:rsidR="00323BDC">
        <w:t>уктурой, основанной на географическом принципе и</w:t>
      </w:r>
      <w:r w:rsidR="00904430">
        <w:t xml:space="preserve">ли же по производимому продукту, </w:t>
      </w:r>
      <w:r w:rsidR="00A65460" w:rsidRPr="00A65460">
        <w:t>участие</w:t>
      </w:r>
      <w:r w:rsidR="00904430">
        <w:t>м</w:t>
      </w:r>
      <w:r w:rsidR="00A65460" w:rsidRPr="00A65460">
        <w:t xml:space="preserve"> различных организаций в производстве строительной продукции</w:t>
      </w:r>
      <w:r w:rsidR="00D4623D">
        <w:t>, желанием снизить транзакционные издержки и повысить рентабельность</w:t>
      </w:r>
      <w:r w:rsidR="00904430">
        <w:t xml:space="preserve">. </w:t>
      </w:r>
      <w:r w:rsidR="001B742F">
        <w:t xml:space="preserve">Холдинговая структура компаний обуславливает необходимость составления консолидированной отчетности, которая </w:t>
      </w:r>
      <w:r w:rsidR="007C5ACD">
        <w:t>должна</w:t>
      </w:r>
      <w:r w:rsidR="001B742F">
        <w:t xml:space="preserve"> быть составлена в </w:t>
      </w:r>
      <w:r w:rsidR="007C5ACD">
        <w:t>соответствии</w:t>
      </w:r>
      <w:r w:rsidR="001B742F">
        <w:t xml:space="preserve"> с Международными Стандартами</w:t>
      </w:r>
      <w:r w:rsidR="005B6780">
        <w:rPr>
          <w:rStyle w:val="a6"/>
        </w:rPr>
        <w:footnoteReference w:id="11"/>
      </w:r>
      <w:r w:rsidR="001B742F">
        <w:t>.</w:t>
      </w:r>
      <w:r w:rsidR="00166650">
        <w:t xml:space="preserve"> Принципы представления </w:t>
      </w:r>
      <w:r w:rsidR="007C5ACD">
        <w:t>и подготовки</w:t>
      </w:r>
      <w:r w:rsidR="00166650">
        <w:t xml:space="preserve"> </w:t>
      </w:r>
      <w:r w:rsidR="00166650">
        <w:lastRenderedPageBreak/>
        <w:t xml:space="preserve">консолидированной отчетности установлены МСФО </w:t>
      </w:r>
      <w:r w:rsidR="00D4623D" w:rsidRPr="008C1E67">
        <w:t>(</w:t>
      </w:r>
      <w:r w:rsidR="00D4623D">
        <w:rPr>
          <w:lang w:val="en-US"/>
        </w:rPr>
        <w:t>IFRS</w:t>
      </w:r>
      <w:r w:rsidR="00D4623D" w:rsidRPr="008C1E67">
        <w:t>) 10</w:t>
      </w:r>
      <w:r w:rsidR="00D67F10" w:rsidRPr="008C1E67">
        <w:t xml:space="preserve"> “Консолидированная финансовая отчетность”</w:t>
      </w:r>
      <w:r w:rsidR="00994E92">
        <w:rPr>
          <w:rStyle w:val="a6"/>
        </w:rPr>
        <w:footnoteReference w:id="12"/>
      </w:r>
      <w:r w:rsidR="00D4623D" w:rsidRPr="008C1E67">
        <w:t>.</w:t>
      </w:r>
    </w:p>
    <w:p w14:paraId="4EEA95E0" w14:textId="472C4438" w:rsidR="00FD09DD" w:rsidRDefault="00FD09DD" w:rsidP="00024B99">
      <w:r>
        <w:t>Эта же особенность обуславливает</w:t>
      </w:r>
      <w:r w:rsidR="00D4623D">
        <w:t xml:space="preserve"> необходимость наличия информационного обеспечения управления строительным холдингом, что</w:t>
      </w:r>
      <w:r w:rsidR="00562B28">
        <w:t xml:space="preserve">, по мнению многих специалистов, </w:t>
      </w:r>
      <w:r w:rsidR="00D4623D">
        <w:t xml:space="preserve"> решается путем составления сегментарной отчетности</w:t>
      </w:r>
      <w:r w:rsidR="008A0F31">
        <w:rPr>
          <w:rStyle w:val="a6"/>
        </w:rPr>
        <w:footnoteReference w:id="13"/>
      </w:r>
      <w:r w:rsidR="008A0F31">
        <w:t>. Такая отчетность составляется</w:t>
      </w:r>
      <w:r w:rsidR="00D4623D">
        <w:t xml:space="preserve"> в соответствии с МСФО </w:t>
      </w:r>
      <w:r w:rsidR="00D4623D" w:rsidRPr="008C1E67">
        <w:t>(</w:t>
      </w:r>
      <w:r w:rsidR="00D4623D">
        <w:rPr>
          <w:lang w:val="en-US"/>
        </w:rPr>
        <w:t>IFRS</w:t>
      </w:r>
      <w:r w:rsidR="00D4623D" w:rsidRPr="008C1E67">
        <w:t xml:space="preserve">) 8 </w:t>
      </w:r>
      <w:r w:rsidR="00D4623D">
        <w:t>«Операционные сегменты»</w:t>
      </w:r>
      <w:r w:rsidR="000E5DDB">
        <w:rPr>
          <w:rStyle w:val="a6"/>
        </w:rPr>
        <w:footnoteReference w:id="14"/>
      </w:r>
      <w:r w:rsidR="00D4623D">
        <w:t>.</w:t>
      </w:r>
    </w:p>
    <w:p w14:paraId="2A26219A" w14:textId="743E60D5" w:rsidR="00994E92" w:rsidRDefault="00994E92" w:rsidP="00994E92">
      <w:r>
        <w:t xml:space="preserve">Стоит отметить, что строительные услуги и работы являются материалоемкими, что обуславливает необходимость организации сотрудничать с множеством поставщиков, в том числе и с зарубежными поставщиками. Данная особенность обусловливает необходимость применения </w:t>
      </w:r>
      <w:r w:rsidRPr="00AB7CC6">
        <w:t>МСФО (IAS) 21</w:t>
      </w:r>
      <w:r>
        <w:t xml:space="preserve"> «Влияние изменения валютных курсов».</w:t>
      </w:r>
      <w:r w:rsidR="002F5BB3">
        <w:rPr>
          <w:rStyle w:val="a6"/>
        </w:rPr>
        <w:footnoteReference w:id="15"/>
      </w:r>
    </w:p>
    <w:p w14:paraId="717F6B37" w14:textId="432D22F1" w:rsidR="005B6780" w:rsidRPr="000373FB" w:rsidRDefault="00994E92" w:rsidP="000373FB">
      <w:r>
        <w:t xml:space="preserve">Специфика законодательного регулирования отрасли обуславливает необходимость учета взносов в саморегулируемые организации, который регламентирован </w:t>
      </w:r>
      <w:r w:rsidRPr="00614376">
        <w:t>МСФО (IAS) 37 «</w:t>
      </w:r>
      <w:r>
        <w:t>Оценочные обязательства</w:t>
      </w:r>
      <w:r w:rsidRPr="00614376">
        <w:t>, условные активы и условные обязательства»</w:t>
      </w:r>
      <w:r w:rsidR="002F5BB3">
        <w:rPr>
          <w:rStyle w:val="a6"/>
        </w:rPr>
        <w:footnoteReference w:id="16"/>
      </w:r>
      <w:r w:rsidRPr="00614376">
        <w:t xml:space="preserve">, а также Разъяснением </w:t>
      </w:r>
      <w:r>
        <w:t>Комитета</w:t>
      </w:r>
      <w:r w:rsidRPr="00614376">
        <w:t xml:space="preserve"> по разъяснениям международной финансовой отчетности IFRIC 2</w:t>
      </w:r>
      <w:r w:rsidRPr="008C1E67">
        <w:t>1 “Обязательные платежи”</w:t>
      </w:r>
      <w:r>
        <w:rPr>
          <w:rStyle w:val="a6"/>
        </w:rPr>
        <w:footnoteReference w:id="17"/>
      </w:r>
      <w:r>
        <w:t xml:space="preserve">. Таким образом, основные особенности деятельности строительных организаций, влияющих на учет по международным стандартам обусловлены наличием долгосрочных договоров на строительство и сложностью их учета, холдинговой структурой, наличием иностранных поставщиков и необходимостью учета взносов в СРО. </w:t>
      </w:r>
    </w:p>
    <w:p w14:paraId="562BD1FD" w14:textId="5F9CF6A0" w:rsidR="00851D3F" w:rsidRDefault="00690BC7" w:rsidP="000373FB">
      <w:r>
        <w:t>П</w:t>
      </w:r>
      <w:r w:rsidR="005C0411">
        <w:t>о мнению автора</w:t>
      </w:r>
      <w:r>
        <w:t>,</w:t>
      </w:r>
      <w:r w:rsidR="005C0411">
        <w:t xml:space="preserve"> </w:t>
      </w:r>
      <w:r>
        <w:t>ключевая учетная проблематика в</w:t>
      </w:r>
      <w:r w:rsidR="005C0411">
        <w:t xml:space="preserve"> строительстве </w:t>
      </w:r>
      <w:r>
        <w:t xml:space="preserve">обусловлена </w:t>
      </w:r>
      <w:r w:rsidR="005C0411">
        <w:t>применение</w:t>
      </w:r>
      <w:r>
        <w:t>м</w:t>
      </w:r>
      <w:r w:rsidR="005C0411">
        <w:t xml:space="preserve"> стандарта </w:t>
      </w:r>
      <w:r w:rsidR="005C0411" w:rsidRPr="005C0411">
        <w:t>МСФО (IAS) 11 «Договоры на строительство»</w:t>
      </w:r>
      <w:r>
        <w:t>. Более того, особую актуальность вопросам признании доходов и как следствие расходов привнесло то обстоятельство, что с 01 января 2018 года взамен указанного стандарта в обязательном</w:t>
      </w:r>
      <w:r w:rsidR="00A35344">
        <w:t xml:space="preserve"> </w:t>
      </w:r>
      <w:r>
        <w:t>порядке нужно будет приме</w:t>
      </w:r>
      <w:r w:rsidR="00A35344">
        <w:t>ня</w:t>
      </w:r>
      <w:r>
        <w:t>ть</w:t>
      </w:r>
      <w:r w:rsidR="005C0411">
        <w:t xml:space="preserve"> новый стандарт </w:t>
      </w:r>
      <w:r w:rsidR="005C0411" w:rsidRPr="005C0411">
        <w:t>МСФО (IFRS) 15 «Выручка по договорам с покупателями»</w:t>
      </w:r>
      <w:r w:rsidR="002F5BB3">
        <w:rPr>
          <w:rStyle w:val="a6"/>
        </w:rPr>
        <w:footnoteReference w:id="18"/>
      </w:r>
      <w:r>
        <w:t>. Эти вопросы во будут рассмотрены далее в д</w:t>
      </w:r>
      <w:r w:rsidR="005C0411">
        <w:t>анн</w:t>
      </w:r>
      <w:r>
        <w:t>ой</w:t>
      </w:r>
      <w:r w:rsidR="005C0411">
        <w:t xml:space="preserve"> глав</w:t>
      </w:r>
      <w:r>
        <w:t>е</w:t>
      </w:r>
      <w:r w:rsidR="005C0411">
        <w:t>.</w:t>
      </w:r>
    </w:p>
    <w:p w14:paraId="5F6FDB9C" w14:textId="77777777" w:rsidR="000373FB" w:rsidRPr="008C1E67" w:rsidRDefault="000373FB" w:rsidP="000373FB"/>
    <w:p w14:paraId="78BEAAB5" w14:textId="1E8BDDD6" w:rsidR="00851D3F" w:rsidRPr="00AB2ED2" w:rsidRDefault="00AE33DC" w:rsidP="00AB2ED2">
      <w:pPr>
        <w:pStyle w:val="2"/>
        <w:ind w:firstLine="0"/>
        <w:rPr>
          <w:szCs w:val="24"/>
        </w:rPr>
      </w:pPr>
      <w:bookmarkStart w:id="11" w:name="_Toc451081012"/>
      <w:r>
        <w:rPr>
          <w:szCs w:val="24"/>
        </w:rPr>
        <w:lastRenderedPageBreak/>
        <w:t>§</w:t>
      </w:r>
      <w:r w:rsidR="00A118E6" w:rsidRPr="009E60EB">
        <w:rPr>
          <w:szCs w:val="24"/>
        </w:rPr>
        <w:t>2.</w:t>
      </w:r>
      <w:r w:rsidR="00472C75">
        <w:rPr>
          <w:szCs w:val="24"/>
        </w:rPr>
        <w:t>2</w:t>
      </w:r>
      <w:r w:rsidR="00851D3F" w:rsidRPr="009E60EB">
        <w:rPr>
          <w:szCs w:val="24"/>
        </w:rPr>
        <w:t xml:space="preserve"> </w:t>
      </w:r>
      <w:r w:rsidR="00BD45E4" w:rsidRPr="009E60EB">
        <w:rPr>
          <w:szCs w:val="24"/>
        </w:rPr>
        <w:t>Учет в</w:t>
      </w:r>
      <w:r w:rsidR="001F0D31" w:rsidRPr="009E60EB">
        <w:rPr>
          <w:szCs w:val="24"/>
        </w:rPr>
        <w:t xml:space="preserve"> строительных организациях в</w:t>
      </w:r>
      <w:r w:rsidR="00BD45E4" w:rsidRPr="009E60EB">
        <w:rPr>
          <w:szCs w:val="24"/>
        </w:rPr>
        <w:t xml:space="preserve"> соответствии с МСФО (</w:t>
      </w:r>
      <w:r w:rsidR="00BD45E4" w:rsidRPr="009E60EB">
        <w:rPr>
          <w:szCs w:val="24"/>
          <w:lang w:val="en-US"/>
        </w:rPr>
        <w:t>IAS</w:t>
      </w:r>
      <w:r w:rsidR="00BD45E4" w:rsidRPr="009E60EB">
        <w:rPr>
          <w:szCs w:val="24"/>
        </w:rPr>
        <w:t>) 11</w:t>
      </w:r>
      <w:r w:rsidR="00D67F10" w:rsidRPr="009E60EB">
        <w:rPr>
          <w:szCs w:val="24"/>
        </w:rPr>
        <w:t xml:space="preserve"> «Договоры на строительство»</w:t>
      </w:r>
      <w:bookmarkEnd w:id="11"/>
    </w:p>
    <w:p w14:paraId="55633C70" w14:textId="721F9235" w:rsidR="001B2591" w:rsidRPr="008D190C" w:rsidRDefault="008B7AB2" w:rsidP="00636BA2">
      <w:r>
        <w:t>МСФО (</w:t>
      </w:r>
      <w:r>
        <w:rPr>
          <w:lang w:val="en-US"/>
        </w:rPr>
        <w:t>IAS</w:t>
      </w:r>
      <w:r w:rsidRPr="008D190C">
        <w:t xml:space="preserve">) 11 – </w:t>
      </w:r>
      <w:r>
        <w:t>стандарт, регламентирующий показатели отчета о финансовых результатах. Данный стандарт может применяться н</w:t>
      </w:r>
      <w:r w:rsidR="00807C00">
        <w:t>е только к строительным договора</w:t>
      </w:r>
      <w:r>
        <w:t>м, но и к любым долгосрочным контрактам.</w:t>
      </w:r>
      <w:r w:rsidR="00764F71">
        <w:t xml:space="preserve"> Основной принцип учета для данного стандарта – </w:t>
      </w:r>
      <w:r w:rsidR="00764F71" w:rsidRPr="00204CCC">
        <w:rPr>
          <w:i/>
        </w:rPr>
        <w:t>учет по мере готовности.</w:t>
      </w:r>
    </w:p>
    <w:p w14:paraId="6FA805DF" w14:textId="77777777" w:rsidR="00085586" w:rsidRDefault="00085586" w:rsidP="00F96F83">
      <w:r>
        <w:t>Необходимость введения данного стандарта объясняется особенностью деятельности строительных организаций: контракты на строительство могут осуществляться в течение нескольких лет,</w:t>
      </w:r>
      <w:r w:rsidR="00260D53">
        <w:t xml:space="preserve"> и, следовательно,</w:t>
      </w:r>
      <w:r w:rsidR="008A104A">
        <w:t xml:space="preserve"> перед бухгалтером стоит задача распределить доходы и затраты по договору на строительство по отчетным периодам.</w:t>
      </w:r>
    </w:p>
    <w:p w14:paraId="1BF63D7E" w14:textId="77777777" w:rsidR="007D01AA" w:rsidRDefault="006A4372" w:rsidP="009F4B8C">
      <w:r>
        <w:t>Согласно МСФО (IAS) 11 затраты и выручка, связанные с выполнением договора подряда, должны признаваться в отчетности (а именно в отчете о прибылях и убытках организации) по мере выполнения договора.</w:t>
      </w:r>
    </w:p>
    <w:p w14:paraId="4127DE68" w14:textId="3DB037EF" w:rsidR="00876051" w:rsidRPr="00876051" w:rsidRDefault="00696E84" w:rsidP="009E60EB">
      <w:pPr>
        <w:rPr>
          <w:lang w:val="en-US"/>
        </w:rPr>
      </w:pPr>
      <w:r>
        <w:t>О</w:t>
      </w:r>
      <w:r w:rsidR="00876051">
        <w:t>пределения</w:t>
      </w:r>
      <w:r>
        <w:t xml:space="preserve"> видов договров на строительство</w:t>
      </w:r>
      <w:r w:rsidR="00876051">
        <w:t xml:space="preserve"> целесообразно проиллюстрировать примерами: в табл. 4 описаны </w:t>
      </w:r>
      <w:r w:rsidR="00CA4988">
        <w:t>условия двух контрактов</w:t>
      </w:r>
      <w:r w:rsidR="00876051">
        <w:t xml:space="preserve"> на строительство, договор №1 – это договор «затраты плюс»</w:t>
      </w:r>
      <w:r w:rsidR="00AB5C00">
        <w:t>, так как</w:t>
      </w:r>
      <w:r w:rsidR="00876051">
        <w:t xml:space="preserve"> прибыль определяется в виде процента от</w:t>
      </w:r>
      <w:r w:rsidR="00AB5C00">
        <w:t xml:space="preserve"> затрат по договору</w:t>
      </w:r>
      <w:r w:rsidR="00553619">
        <w:t xml:space="preserve">, а договор </w:t>
      </w:r>
      <w:r w:rsidR="00876051">
        <w:t xml:space="preserve">№2 – это договор с фиксированной ценой, поскольку </w:t>
      </w:r>
      <w:r w:rsidR="0098350B">
        <w:t>в условиях договора указана фиксированная цена за определенный объем работ.</w:t>
      </w:r>
    </w:p>
    <w:p w14:paraId="54BC764C" w14:textId="5291DE8B" w:rsidR="00876051" w:rsidRPr="00337434" w:rsidRDefault="00876051" w:rsidP="00337434">
      <w:pPr>
        <w:rPr>
          <w:i/>
        </w:rPr>
      </w:pPr>
      <w:r w:rsidRPr="00337434">
        <w:rPr>
          <w:i/>
        </w:rPr>
        <w:t xml:space="preserve">Таблица 4 Примеры </w:t>
      </w:r>
      <w:r w:rsidR="00CA4988" w:rsidRPr="00337434">
        <w:rPr>
          <w:i/>
        </w:rPr>
        <w:t>контрактов</w:t>
      </w:r>
      <w:r w:rsidRPr="00337434">
        <w:rPr>
          <w:i/>
        </w:rPr>
        <w:t xml:space="preserve"> на строительство</w:t>
      </w:r>
    </w:p>
    <w:tbl>
      <w:tblPr>
        <w:tblStyle w:val="af2"/>
        <w:tblW w:w="9639" w:type="dxa"/>
        <w:tblInd w:w="108" w:type="dxa"/>
        <w:tblLayout w:type="fixed"/>
        <w:tblLook w:val="04A0" w:firstRow="1" w:lastRow="0" w:firstColumn="1" w:lastColumn="0" w:noHBand="0" w:noVBand="1"/>
      </w:tblPr>
      <w:tblGrid>
        <w:gridCol w:w="1867"/>
        <w:gridCol w:w="4087"/>
        <w:gridCol w:w="3685"/>
      </w:tblGrid>
      <w:tr w:rsidR="00876051" w:rsidRPr="00861DA3" w14:paraId="0DA23C6D" w14:textId="77777777" w:rsidTr="0038276C">
        <w:trPr>
          <w:trHeight w:val="320"/>
        </w:trPr>
        <w:tc>
          <w:tcPr>
            <w:tcW w:w="1867" w:type="dxa"/>
            <w:noWrap/>
            <w:hideMark/>
          </w:tcPr>
          <w:p w14:paraId="5D131561" w14:textId="77777777" w:rsidR="00876051" w:rsidRPr="00861DA3" w:rsidRDefault="00876051" w:rsidP="0038276C"/>
        </w:tc>
        <w:tc>
          <w:tcPr>
            <w:tcW w:w="4087" w:type="dxa"/>
            <w:noWrap/>
            <w:hideMark/>
          </w:tcPr>
          <w:p w14:paraId="402806ED" w14:textId="77777777" w:rsidR="00876051" w:rsidRPr="00B6081E" w:rsidRDefault="00876051" w:rsidP="0038276C">
            <w:pPr>
              <w:jc w:val="center"/>
              <w:rPr>
                <w:b/>
              </w:rPr>
            </w:pPr>
            <w:r w:rsidRPr="00B6081E">
              <w:rPr>
                <w:b/>
              </w:rPr>
              <w:t>Договор №1</w:t>
            </w:r>
          </w:p>
        </w:tc>
        <w:tc>
          <w:tcPr>
            <w:tcW w:w="3685" w:type="dxa"/>
            <w:noWrap/>
            <w:hideMark/>
          </w:tcPr>
          <w:p w14:paraId="5A9E8006" w14:textId="77777777" w:rsidR="00876051" w:rsidRPr="00B6081E" w:rsidRDefault="00876051" w:rsidP="0038276C">
            <w:pPr>
              <w:jc w:val="center"/>
              <w:rPr>
                <w:b/>
              </w:rPr>
            </w:pPr>
            <w:r w:rsidRPr="00B6081E">
              <w:rPr>
                <w:b/>
              </w:rPr>
              <w:t>Договор №2</w:t>
            </w:r>
          </w:p>
        </w:tc>
      </w:tr>
      <w:tr w:rsidR="00876051" w:rsidRPr="00861DA3" w14:paraId="46843412" w14:textId="77777777" w:rsidTr="0038276C">
        <w:trPr>
          <w:trHeight w:val="1600"/>
        </w:trPr>
        <w:tc>
          <w:tcPr>
            <w:tcW w:w="1867" w:type="dxa"/>
            <w:hideMark/>
          </w:tcPr>
          <w:p w14:paraId="23F4D7B3" w14:textId="77777777" w:rsidR="00876051" w:rsidRPr="00B6081E" w:rsidRDefault="00876051" w:rsidP="0038276C">
            <w:pPr>
              <w:jc w:val="center"/>
              <w:rPr>
                <w:b/>
              </w:rPr>
            </w:pPr>
            <w:r w:rsidRPr="00B6081E">
              <w:rPr>
                <w:b/>
              </w:rPr>
              <w:t>Объект строительства по договору</w:t>
            </w:r>
          </w:p>
        </w:tc>
        <w:tc>
          <w:tcPr>
            <w:tcW w:w="4087" w:type="dxa"/>
            <w:hideMark/>
          </w:tcPr>
          <w:p w14:paraId="0303A70D" w14:textId="77777777" w:rsidR="00876051" w:rsidRPr="00861DA3" w:rsidRDefault="00876051" w:rsidP="00337434">
            <w:r w:rsidRPr="00861DA3">
              <w:t xml:space="preserve">Планируется заключить договор на строительство нескольких салонов связи на территории Северо-западного Федерального округа. </w:t>
            </w:r>
          </w:p>
        </w:tc>
        <w:tc>
          <w:tcPr>
            <w:tcW w:w="3685" w:type="dxa"/>
            <w:hideMark/>
          </w:tcPr>
          <w:p w14:paraId="3E2C59F7" w14:textId="77777777" w:rsidR="00876051" w:rsidRPr="00861DA3" w:rsidRDefault="00876051" w:rsidP="00337434">
            <w:r w:rsidRPr="00861DA3">
              <w:t xml:space="preserve">Планируется заключить договор на строительство </w:t>
            </w:r>
            <w:r>
              <w:t>пяти стандартных коттеджей.</w:t>
            </w:r>
          </w:p>
        </w:tc>
      </w:tr>
      <w:tr w:rsidR="00876051" w:rsidRPr="00861DA3" w14:paraId="26EF5787" w14:textId="77777777" w:rsidTr="0038276C">
        <w:trPr>
          <w:trHeight w:val="2960"/>
        </w:trPr>
        <w:tc>
          <w:tcPr>
            <w:tcW w:w="1867" w:type="dxa"/>
            <w:hideMark/>
          </w:tcPr>
          <w:p w14:paraId="58CE7120" w14:textId="77777777" w:rsidR="00876051" w:rsidRPr="00B6081E" w:rsidRDefault="00876051" w:rsidP="0038276C">
            <w:pPr>
              <w:jc w:val="center"/>
              <w:rPr>
                <w:b/>
              </w:rPr>
            </w:pPr>
            <w:r w:rsidRPr="00B6081E">
              <w:rPr>
                <w:b/>
              </w:rPr>
              <w:t>Условия заключения договора</w:t>
            </w:r>
          </w:p>
        </w:tc>
        <w:tc>
          <w:tcPr>
            <w:tcW w:w="4087" w:type="dxa"/>
            <w:hideMark/>
          </w:tcPr>
          <w:p w14:paraId="02D6C99F" w14:textId="03C568B9" w:rsidR="00876051" w:rsidRPr="00861DA3" w:rsidRDefault="00876051" w:rsidP="00337434">
            <w:r w:rsidRPr="00861DA3">
              <w:t xml:space="preserve">Переговоры о стоимости каждого объекта (салона связи) ведутся по отдельности. Подрядчик получает прибыль (в </w:t>
            </w:r>
            <w:r w:rsidR="00761961">
              <w:t>раз</w:t>
            </w:r>
            <w:r w:rsidRPr="00861DA3">
              <w:t>мере 10%) от суммы затрат (согласованных с заказчиком) по каждому  объекту.</w:t>
            </w:r>
          </w:p>
        </w:tc>
        <w:tc>
          <w:tcPr>
            <w:tcW w:w="3685" w:type="dxa"/>
            <w:hideMark/>
          </w:tcPr>
          <w:p w14:paraId="050188F2" w14:textId="77777777" w:rsidR="00876051" w:rsidRPr="00861DA3" w:rsidRDefault="00876051" w:rsidP="00337434">
            <w:r>
              <w:t>Подготовка участков под строительство производится заказчиком, следовательно, затраты на строительство каждого коттеджа одинаковые. Стоимость контракта – 50 миллионов рублей.</w:t>
            </w:r>
          </w:p>
        </w:tc>
      </w:tr>
    </w:tbl>
    <w:p w14:paraId="5C50EB24" w14:textId="021BF90C" w:rsidR="00876051" w:rsidRDefault="00876051" w:rsidP="00337434">
      <w:pPr>
        <w:rPr>
          <w:i/>
          <w:sz w:val="20"/>
          <w:szCs w:val="20"/>
        </w:rPr>
      </w:pPr>
      <w:r w:rsidRPr="00337434">
        <w:rPr>
          <w:i/>
          <w:sz w:val="20"/>
          <w:szCs w:val="20"/>
        </w:rPr>
        <w:t>Источник: составлено автором</w:t>
      </w:r>
    </w:p>
    <w:p w14:paraId="5674DAE9" w14:textId="77777777" w:rsidR="00696E84" w:rsidRDefault="00696E84" w:rsidP="00815532">
      <w:pPr>
        <w:pStyle w:val="ad"/>
      </w:pPr>
    </w:p>
    <w:p w14:paraId="5BFF1295" w14:textId="77777777" w:rsidR="00696E84" w:rsidRDefault="00696E84" w:rsidP="00815532">
      <w:pPr>
        <w:pStyle w:val="ad"/>
      </w:pPr>
    </w:p>
    <w:p w14:paraId="41A3E5E0" w14:textId="7F78B75C" w:rsidR="00C1519C" w:rsidRDefault="002925E5" w:rsidP="00815532">
      <w:pPr>
        <w:pStyle w:val="ad"/>
      </w:pPr>
      <w:r>
        <w:lastRenderedPageBreak/>
        <w:t>2.</w:t>
      </w:r>
      <w:r w:rsidR="006A7683">
        <w:t>2</w:t>
      </w:r>
      <w:r w:rsidR="00423375">
        <w:t>.</w:t>
      </w:r>
      <w:r w:rsidR="003E1EF6">
        <w:t>1</w:t>
      </w:r>
      <w:r w:rsidR="00C1519C">
        <w:t xml:space="preserve"> Объединение и разделение договоров на строительство</w:t>
      </w:r>
    </w:p>
    <w:p w14:paraId="47B68955" w14:textId="77777777" w:rsidR="00533258" w:rsidRPr="008D190C" w:rsidRDefault="001A4410" w:rsidP="00C376A2">
      <w:r>
        <w:t>Согласно</w:t>
      </w:r>
      <w:r w:rsidR="00EF3510">
        <w:t xml:space="preserve"> МСФО </w:t>
      </w:r>
      <w:r w:rsidR="0023051F" w:rsidRPr="0023051F">
        <w:t>(</w:t>
      </w:r>
      <w:r>
        <w:rPr>
          <w:lang w:val="en-US"/>
        </w:rPr>
        <w:t>IAS</w:t>
      </w:r>
      <w:r w:rsidR="0023051F" w:rsidRPr="0023051F">
        <w:t>)</w:t>
      </w:r>
      <w:r w:rsidRPr="008D190C">
        <w:t xml:space="preserve"> 11</w:t>
      </w:r>
      <w:r w:rsidR="00533258" w:rsidRPr="008D190C">
        <w:t>,</w:t>
      </w:r>
      <w:r w:rsidRPr="008D190C">
        <w:t xml:space="preserve"> при заключении договора на сооружение нескольких объектов, они могут отражаться как единый договор на строительство, так и по отдельности. Сооружение каждого объекта необходимо отражать как отдельный договор на строительство, в случаях, если:  </w:t>
      </w:r>
    </w:p>
    <w:p w14:paraId="40BF5C3E" w14:textId="77777777" w:rsidR="00533258" w:rsidRPr="008D190C" w:rsidRDefault="00533258" w:rsidP="00450A5B">
      <w:pPr>
        <w:pStyle w:val="a"/>
        <w:numPr>
          <w:ilvl w:val="0"/>
          <w:numId w:val="10"/>
        </w:numPr>
        <w:ind w:left="284" w:hanging="284"/>
      </w:pPr>
      <w:r w:rsidRPr="008D190C">
        <w:t>на сооружение каждого объекта было представлено отдельное коммерческое предложение;</w:t>
      </w:r>
    </w:p>
    <w:p w14:paraId="0842929D" w14:textId="77777777" w:rsidR="00533258" w:rsidRPr="008D190C" w:rsidRDefault="00533258" w:rsidP="00450A5B">
      <w:pPr>
        <w:pStyle w:val="a"/>
        <w:numPr>
          <w:ilvl w:val="0"/>
          <w:numId w:val="10"/>
        </w:numPr>
        <w:ind w:left="284" w:hanging="284"/>
      </w:pPr>
      <w:r w:rsidRPr="008D190C">
        <w:t>по каждому объекту велись отдельные переговоры, как подрядчик, так и заказчик имели возможность принять или отклонить часть договора, относящуюся к каждому объекту;</w:t>
      </w:r>
    </w:p>
    <w:p w14:paraId="7CFF4D93" w14:textId="77777777" w:rsidR="00EF3510" w:rsidRPr="008D190C" w:rsidRDefault="00533258" w:rsidP="00450A5B">
      <w:pPr>
        <w:pStyle w:val="a"/>
        <w:numPr>
          <w:ilvl w:val="0"/>
          <w:numId w:val="10"/>
        </w:numPr>
        <w:ind w:left="284" w:hanging="284"/>
      </w:pPr>
      <w:r w:rsidRPr="008D190C">
        <w:t>затраты и доходы по каждому объекту могут быть определены.</w:t>
      </w:r>
    </w:p>
    <w:p w14:paraId="694FF79C" w14:textId="77777777" w:rsidR="00533258" w:rsidRDefault="00B33573" w:rsidP="004A642E">
      <w:r>
        <w:t>Договоры должны отражаться как единый договор, если:</w:t>
      </w:r>
    </w:p>
    <w:p w14:paraId="3BDB1B93" w14:textId="77777777" w:rsidR="00D70943" w:rsidRDefault="00D70943" w:rsidP="00450A5B">
      <w:pPr>
        <w:pStyle w:val="a"/>
        <w:numPr>
          <w:ilvl w:val="0"/>
          <w:numId w:val="11"/>
        </w:numPr>
        <w:ind w:left="284" w:hanging="284"/>
      </w:pPr>
      <w:r>
        <w:t>переговоры велись по пакету, состоящему из совокупности договоров</w:t>
      </w:r>
      <w:r w:rsidR="00354DDD" w:rsidRPr="008D190C">
        <w:t>;</w:t>
      </w:r>
    </w:p>
    <w:p w14:paraId="5FBDB290" w14:textId="77777777" w:rsidR="00811BD8" w:rsidRDefault="00811BD8" w:rsidP="00450A5B">
      <w:pPr>
        <w:pStyle w:val="a"/>
        <w:numPr>
          <w:ilvl w:val="0"/>
          <w:numId w:val="11"/>
        </w:numPr>
        <w:ind w:left="284" w:hanging="284"/>
      </w:pPr>
      <w:r>
        <w:t>договоры тесно связаны (фактически являются одним проектом)</w:t>
      </w:r>
      <w:r w:rsidR="00354DDD">
        <w:t>;</w:t>
      </w:r>
    </w:p>
    <w:p w14:paraId="0B782831" w14:textId="77777777" w:rsidR="00811BD8" w:rsidRDefault="00811BD8" w:rsidP="00450A5B">
      <w:pPr>
        <w:pStyle w:val="a"/>
        <w:numPr>
          <w:ilvl w:val="0"/>
          <w:numId w:val="11"/>
        </w:numPr>
        <w:ind w:left="284" w:hanging="284"/>
      </w:pPr>
      <w:r>
        <w:t>договоры выполняются одновременно или последовательно без перерывов</w:t>
      </w:r>
      <w:r w:rsidR="00354DDD">
        <w:t>.</w:t>
      </w:r>
    </w:p>
    <w:p w14:paraId="1BAA862B" w14:textId="77777777" w:rsidR="00DC1804" w:rsidRDefault="00DC1804" w:rsidP="003C0915">
      <w:pPr>
        <w:ind w:firstLine="709"/>
      </w:pPr>
      <w:r>
        <w:t xml:space="preserve">Сооружение дополнительного объекта </w:t>
      </w:r>
      <w:r w:rsidR="00C5266C">
        <w:t>отражается</w:t>
      </w:r>
      <w:r>
        <w:t xml:space="preserve"> как отдельный договор на строительство, </w:t>
      </w:r>
      <w:r w:rsidR="00C5266C">
        <w:t>если</w:t>
      </w:r>
      <w:r>
        <w:t>:</w:t>
      </w:r>
    </w:p>
    <w:p w14:paraId="77E9D318" w14:textId="77777777" w:rsidR="00DC1804" w:rsidRDefault="00DC1804" w:rsidP="00450A5B">
      <w:pPr>
        <w:pStyle w:val="a"/>
        <w:numPr>
          <w:ilvl w:val="0"/>
          <w:numId w:val="12"/>
        </w:numPr>
        <w:ind w:left="284" w:hanging="283"/>
      </w:pPr>
      <w:r>
        <w:t>объект по своей конструкции, технологии или функциям значительно отличается от объекта или объектов, предусмотренных первоначальным договором; или</w:t>
      </w:r>
    </w:p>
    <w:p w14:paraId="605437C1" w14:textId="77777777" w:rsidR="00DC1804" w:rsidRDefault="00DC1804" w:rsidP="00450A5B">
      <w:pPr>
        <w:pStyle w:val="a"/>
        <w:numPr>
          <w:ilvl w:val="0"/>
          <w:numId w:val="12"/>
        </w:numPr>
        <w:ind w:left="284" w:hanging="283"/>
      </w:pPr>
      <w:r>
        <w:t>переговоры о цене объекта ведутся независимо от цены первоначального договора.</w:t>
      </w:r>
    </w:p>
    <w:p w14:paraId="044AA2D5" w14:textId="76CA27B1" w:rsidR="00690BC7" w:rsidRPr="007E43E2" w:rsidRDefault="00A6708A" w:rsidP="00AB2ED2">
      <w:pPr>
        <w:rPr>
          <w:lang w:val="en-US"/>
        </w:rPr>
      </w:pPr>
      <w:r>
        <w:t>Сложность вопроса разделения и объединения контрактов на строительство можно проиллюстрировать при</w:t>
      </w:r>
      <w:r w:rsidR="00B6081E">
        <w:t>мером, представленным в табл. 4: в случае с договором №1</w:t>
      </w:r>
      <w:r w:rsidR="00B30CC5">
        <w:t xml:space="preserve"> строительство каждого объекта (салона связи) будет отражено в отчетности как отдельный договор, поскольку</w:t>
      </w:r>
      <w:r w:rsidR="003B0EA8">
        <w:t xml:space="preserve"> переговоры по стоимости каждого объекта велись отдельно, можно выделить затраты и доходы по каждому конкретному салону связи; в случае с договором №2 ситуация противоположная: </w:t>
      </w:r>
      <w:r w:rsidR="001E749A">
        <w:t>в данном случае строительство пяти коттеджей отражается как единый договор.</w:t>
      </w:r>
    </w:p>
    <w:p w14:paraId="3E5588E4" w14:textId="28F864EC" w:rsidR="00CE4B21" w:rsidRDefault="002925E5" w:rsidP="00815532">
      <w:pPr>
        <w:pStyle w:val="ad"/>
      </w:pPr>
      <w:r>
        <w:t>2.</w:t>
      </w:r>
      <w:r w:rsidR="00464253">
        <w:t>2</w:t>
      </w:r>
      <w:r w:rsidR="00423375">
        <w:t>.</w:t>
      </w:r>
      <w:r w:rsidR="003E1EF6">
        <w:t xml:space="preserve">2 </w:t>
      </w:r>
      <w:r w:rsidR="00CE4B21">
        <w:t>Выручка по договору на строительство</w:t>
      </w:r>
    </w:p>
    <w:p w14:paraId="72715F8D" w14:textId="77777777" w:rsidR="008E1D93" w:rsidRDefault="008E1D93" w:rsidP="00C376A2">
      <w:r>
        <w:t xml:space="preserve">Согласно МСФО </w:t>
      </w:r>
      <w:r w:rsidR="0023051F" w:rsidRPr="0023051F">
        <w:t>(</w:t>
      </w:r>
      <w:r>
        <w:rPr>
          <w:lang w:val="en-US"/>
        </w:rPr>
        <w:t>IAS</w:t>
      </w:r>
      <w:r w:rsidR="0023051F" w:rsidRPr="0023051F">
        <w:t>)</w:t>
      </w:r>
      <w:r w:rsidRPr="008D190C">
        <w:t xml:space="preserve"> 11 </w:t>
      </w:r>
      <w:r>
        <w:t>выручка по договору на строительство должна включать:</w:t>
      </w:r>
    </w:p>
    <w:p w14:paraId="026BA46E" w14:textId="77777777" w:rsidR="008E1D93" w:rsidRDefault="00045620" w:rsidP="004B628F">
      <w:pPr>
        <w:pStyle w:val="a"/>
        <w:numPr>
          <w:ilvl w:val="0"/>
          <w:numId w:val="13"/>
        </w:numPr>
        <w:ind w:left="1134" w:hanging="283"/>
      </w:pPr>
      <w:r>
        <w:t>первоначально согласованную в договоре сумму</w:t>
      </w:r>
      <w:r w:rsidR="00BF10FC">
        <w:t>;</w:t>
      </w:r>
    </w:p>
    <w:p w14:paraId="768FBB57" w14:textId="0C9FF092" w:rsidR="00045620" w:rsidRDefault="00045620" w:rsidP="004B628F">
      <w:pPr>
        <w:pStyle w:val="a"/>
        <w:numPr>
          <w:ilvl w:val="0"/>
          <w:numId w:val="13"/>
        </w:numPr>
        <w:ind w:left="1134" w:hanging="283"/>
      </w:pPr>
      <w:r>
        <w:t>суммы отклонений от условий контракта, претензии и поощрительные платежи</w:t>
      </w:r>
      <w:r w:rsidR="00BF10FC">
        <w:t xml:space="preserve"> (в то</w:t>
      </w:r>
      <w:r w:rsidR="002A6C78">
        <w:t>й</w:t>
      </w:r>
      <w:r w:rsidR="00BF10FC">
        <w:t xml:space="preserve"> степени, в которо</w:t>
      </w:r>
      <w:r w:rsidR="002A6C78">
        <w:t>й</w:t>
      </w:r>
      <w:r w:rsidR="00BF10FC">
        <w:t xml:space="preserve"> существует вероятность получения выручки и если суммы этих отклонени</w:t>
      </w:r>
      <w:r w:rsidR="002A6C78">
        <w:t>й</w:t>
      </w:r>
      <w:r w:rsidR="00BF10FC">
        <w:t xml:space="preserve"> могут быть надежно оценены)</w:t>
      </w:r>
      <w:r w:rsidR="003C0915">
        <w:t>.</w:t>
      </w:r>
      <w:r w:rsidR="0082495F">
        <w:rPr>
          <w:rStyle w:val="a6"/>
        </w:rPr>
        <w:footnoteReference w:id="19"/>
      </w:r>
    </w:p>
    <w:p w14:paraId="0ADA1AB4" w14:textId="3CBC14C5" w:rsidR="00303D12" w:rsidRDefault="006E0C3A" w:rsidP="00C376A2">
      <w:r>
        <w:lastRenderedPageBreak/>
        <w:t>По мнению автора, важно отметить, что в</w:t>
      </w:r>
      <w:r w:rsidR="00303D12">
        <w:t>еличина выручки по договору на строительство подвержена воздействию различных факторов</w:t>
      </w:r>
      <w:r w:rsidR="00CD40CA">
        <w:t xml:space="preserve"> (например, отклонений</w:t>
      </w:r>
      <w:r w:rsidR="004B0475">
        <w:t>,</w:t>
      </w:r>
      <w:r w:rsidR="00CD40CA">
        <w:t xml:space="preserve"> </w:t>
      </w:r>
      <w:r w:rsidR="004B0475">
        <w:t>компенсаций</w:t>
      </w:r>
      <w:r w:rsidR="00CD40CA">
        <w:t>, поощрительных платежей</w:t>
      </w:r>
      <w:r w:rsidR="00303D12">
        <w:t>), которые определяются результатом будущих событий. По мере наступления этих событий может возникнуть необходимость в пересмотре суммы выручки в большую или меньшую сторону.</w:t>
      </w:r>
    </w:p>
    <w:p w14:paraId="37A14422" w14:textId="77777777" w:rsidR="0094383C" w:rsidRDefault="00553619" w:rsidP="007B57A6">
      <w:r>
        <w:t>Наиболее наглядно эти факторы можно проиллюстрировать примерами</w:t>
      </w:r>
      <w:r w:rsidR="007B57A6">
        <w:t>, представленными в табл. 5</w:t>
      </w:r>
      <w:r>
        <w:t>:</w:t>
      </w:r>
      <w:r w:rsidR="007B57A6">
        <w:t xml:space="preserve"> </w:t>
      </w:r>
    </w:p>
    <w:p w14:paraId="2D5E2BBE" w14:textId="3381D8F2" w:rsidR="0094383C" w:rsidRDefault="007B57A6" w:rsidP="00450A5B">
      <w:pPr>
        <w:pStyle w:val="a"/>
        <w:numPr>
          <w:ilvl w:val="0"/>
          <w:numId w:val="26"/>
        </w:numPr>
        <w:ind w:left="284" w:hanging="283"/>
      </w:pPr>
      <w:r>
        <w:t>в случае с отклонением имеет место значительного</w:t>
      </w:r>
      <w:r w:rsidR="0094383C">
        <w:t xml:space="preserve"> </w:t>
      </w:r>
      <w:r w:rsidR="007C5ACD">
        <w:t>изменения</w:t>
      </w:r>
      <w:r w:rsidR="0094383C">
        <w:t xml:space="preserve"> диапазона работ</w:t>
      </w:r>
      <w:r w:rsidR="005B52B6">
        <w:t>, следовательно, данное отклонение необходимо включить в выручку</w:t>
      </w:r>
      <w:r w:rsidR="0094383C">
        <w:t>;</w:t>
      </w:r>
    </w:p>
    <w:p w14:paraId="51F50085" w14:textId="529A19C9" w:rsidR="0094383C" w:rsidRDefault="0094383C" w:rsidP="00450A5B">
      <w:pPr>
        <w:pStyle w:val="a"/>
        <w:numPr>
          <w:ilvl w:val="0"/>
          <w:numId w:val="26"/>
        </w:numPr>
        <w:ind w:left="284" w:hanging="283"/>
      </w:pPr>
      <w:r>
        <w:t xml:space="preserve">в случае с </w:t>
      </w:r>
      <w:r w:rsidR="004B0475">
        <w:t>компенсацией</w:t>
      </w:r>
      <w:r>
        <w:t xml:space="preserve"> имеет место задержка (а, следовательно, простой у подрядчика)</w:t>
      </w:r>
      <w:r w:rsidR="005B52B6">
        <w:t xml:space="preserve">, подрядчик имеет право </w:t>
      </w:r>
      <w:r w:rsidR="004B0475">
        <w:t>требовать возмещения потерь</w:t>
      </w:r>
      <w:r>
        <w:t>;</w:t>
      </w:r>
    </w:p>
    <w:p w14:paraId="479EBC22" w14:textId="15572872" w:rsidR="00337434" w:rsidRPr="00A86EDF" w:rsidRDefault="0094383C" w:rsidP="00A86EDF">
      <w:pPr>
        <w:pStyle w:val="a"/>
        <w:numPr>
          <w:ilvl w:val="0"/>
          <w:numId w:val="26"/>
        </w:numPr>
        <w:ind w:left="284" w:hanging="283"/>
      </w:pPr>
      <w:r>
        <w:t xml:space="preserve">в </w:t>
      </w:r>
      <w:r w:rsidR="007B57A6">
        <w:t xml:space="preserve">случае с поощрительным платежом </w:t>
      </w:r>
      <w:r>
        <w:t>з</w:t>
      </w:r>
      <w:r w:rsidR="00A019F8" w:rsidRPr="00F479F0">
        <w:t>аказчик сможет перевести свои материалы с арендованного склада и сэкономить на с</w:t>
      </w:r>
      <w:r w:rsidR="005B52B6">
        <w:t>тоимости аренды за два месяца, п</w:t>
      </w:r>
      <w:r w:rsidR="00A019F8" w:rsidRPr="00F479F0">
        <w:t>одрядчик в данной ситуации может получить бонус (поощрительный платеж).</w:t>
      </w:r>
    </w:p>
    <w:p w14:paraId="0A086303" w14:textId="018BEEAB" w:rsidR="00A019F8" w:rsidRPr="00337434" w:rsidRDefault="00A019F8" w:rsidP="00337434">
      <w:pPr>
        <w:rPr>
          <w:i/>
        </w:rPr>
      </w:pPr>
      <w:r w:rsidRPr="00337434">
        <w:rPr>
          <w:i/>
        </w:rPr>
        <w:t xml:space="preserve">Таблица 5 </w:t>
      </w:r>
      <w:r w:rsidR="00931237" w:rsidRPr="00337434">
        <w:rPr>
          <w:i/>
        </w:rPr>
        <w:t>Примеры факторов, воздействующих</w:t>
      </w:r>
      <w:r w:rsidRPr="00337434">
        <w:rPr>
          <w:i/>
        </w:rPr>
        <w:t xml:space="preserve"> на величину выручки по договору на строительство</w:t>
      </w:r>
    </w:p>
    <w:tbl>
      <w:tblPr>
        <w:tblStyle w:val="af2"/>
        <w:tblW w:w="9889" w:type="dxa"/>
        <w:tblLayout w:type="fixed"/>
        <w:tblLook w:val="04A0" w:firstRow="1" w:lastRow="0" w:firstColumn="1" w:lastColumn="0" w:noHBand="0" w:noVBand="1"/>
      </w:tblPr>
      <w:tblGrid>
        <w:gridCol w:w="3936"/>
        <w:gridCol w:w="3543"/>
        <w:gridCol w:w="2410"/>
      </w:tblGrid>
      <w:tr w:rsidR="00A019F8" w:rsidRPr="00F479F0" w14:paraId="2F7317F6" w14:textId="77777777" w:rsidTr="004B0475">
        <w:trPr>
          <w:trHeight w:val="320"/>
        </w:trPr>
        <w:tc>
          <w:tcPr>
            <w:tcW w:w="3936" w:type="dxa"/>
            <w:noWrap/>
            <w:hideMark/>
          </w:tcPr>
          <w:p w14:paraId="26154AD1" w14:textId="77777777" w:rsidR="00F479F0" w:rsidRPr="00A019F8" w:rsidRDefault="00F479F0" w:rsidP="00197748">
            <w:pPr>
              <w:jc w:val="center"/>
              <w:rPr>
                <w:b/>
              </w:rPr>
            </w:pPr>
            <w:r w:rsidRPr="00A019F8">
              <w:rPr>
                <w:b/>
              </w:rPr>
              <w:t>Отклонение</w:t>
            </w:r>
          </w:p>
        </w:tc>
        <w:tc>
          <w:tcPr>
            <w:tcW w:w="3543" w:type="dxa"/>
            <w:noWrap/>
            <w:hideMark/>
          </w:tcPr>
          <w:p w14:paraId="19E3FE8F" w14:textId="47F5E300" w:rsidR="00F479F0" w:rsidRPr="00A019F8" w:rsidRDefault="00C47448" w:rsidP="00197748">
            <w:pPr>
              <w:jc w:val="center"/>
              <w:rPr>
                <w:b/>
              </w:rPr>
            </w:pPr>
            <w:r>
              <w:rPr>
                <w:b/>
              </w:rPr>
              <w:t>Компенсация</w:t>
            </w:r>
          </w:p>
        </w:tc>
        <w:tc>
          <w:tcPr>
            <w:tcW w:w="2410" w:type="dxa"/>
            <w:noWrap/>
            <w:hideMark/>
          </w:tcPr>
          <w:p w14:paraId="5AA96420" w14:textId="77777777" w:rsidR="00F479F0" w:rsidRPr="00A019F8" w:rsidRDefault="00F479F0" w:rsidP="00197748">
            <w:pPr>
              <w:jc w:val="center"/>
              <w:rPr>
                <w:b/>
              </w:rPr>
            </w:pPr>
            <w:r w:rsidRPr="00A019F8">
              <w:rPr>
                <w:b/>
              </w:rPr>
              <w:t>Поощрительный платеж</w:t>
            </w:r>
          </w:p>
        </w:tc>
      </w:tr>
      <w:tr w:rsidR="00A019F8" w:rsidRPr="00F479F0" w14:paraId="3BA74108" w14:textId="77777777" w:rsidTr="004B0475">
        <w:trPr>
          <w:trHeight w:val="1920"/>
        </w:trPr>
        <w:tc>
          <w:tcPr>
            <w:tcW w:w="3936" w:type="dxa"/>
            <w:hideMark/>
          </w:tcPr>
          <w:p w14:paraId="6D6B0744" w14:textId="02B56B79" w:rsidR="00F479F0" w:rsidRPr="00F479F0" w:rsidRDefault="00F479F0">
            <w:r w:rsidRPr="00F479F0">
              <w:t>Организация является подрядчиком на строительство дороги. Первоначально предполагалось строительство дороги длинной 10 километров, однако, в последствии региональные власти сочли необходимым отдалить один из участков дороги от населенного пункта, что повлекло за собой изменение протяженности дорог</w:t>
            </w:r>
            <w:r w:rsidR="007B57A6">
              <w:t xml:space="preserve"> до 13 километров</w:t>
            </w:r>
            <w:r w:rsidRPr="00F479F0">
              <w:t>.</w:t>
            </w:r>
          </w:p>
        </w:tc>
        <w:tc>
          <w:tcPr>
            <w:tcW w:w="3543" w:type="dxa"/>
            <w:hideMark/>
          </w:tcPr>
          <w:p w14:paraId="3E029FCF" w14:textId="77777777" w:rsidR="00F479F0" w:rsidRPr="00F479F0" w:rsidRDefault="00F479F0">
            <w:r w:rsidRPr="00F479F0">
              <w:t>Организация является подрядчиком на строительство домов в коттеджном поселке. Заказчик самостоятельно осуществляет подготовку участков для строительство. К моменту начала работ выясняется, что заказчик не выполнил все подготовительные работы. Имеет место задержка начала работ на пять недель.</w:t>
            </w:r>
          </w:p>
        </w:tc>
        <w:tc>
          <w:tcPr>
            <w:tcW w:w="2410" w:type="dxa"/>
            <w:hideMark/>
          </w:tcPr>
          <w:p w14:paraId="05B99574" w14:textId="2E14A0D3" w:rsidR="00F479F0" w:rsidRPr="00F479F0" w:rsidRDefault="00F479F0" w:rsidP="00A019F8">
            <w:r w:rsidRPr="00F479F0">
              <w:t xml:space="preserve">Организация является подрядчиком на строительство здания склада. Работы завершены раньше запланированного (на два месяца). </w:t>
            </w:r>
          </w:p>
        </w:tc>
      </w:tr>
    </w:tbl>
    <w:p w14:paraId="338E6734" w14:textId="7288ED66" w:rsidR="00553619" w:rsidRPr="00337434" w:rsidRDefault="00A019F8" w:rsidP="00337434">
      <w:pPr>
        <w:rPr>
          <w:i/>
          <w:sz w:val="20"/>
          <w:szCs w:val="20"/>
        </w:rPr>
      </w:pPr>
      <w:r w:rsidRPr="00337434">
        <w:rPr>
          <w:i/>
          <w:sz w:val="20"/>
          <w:szCs w:val="20"/>
        </w:rPr>
        <w:t>Источник: составлено автором</w:t>
      </w:r>
    </w:p>
    <w:p w14:paraId="15470624" w14:textId="77777777" w:rsidR="00EE7184" w:rsidRDefault="002925E5" w:rsidP="00815532">
      <w:pPr>
        <w:pStyle w:val="ad"/>
      </w:pPr>
      <w:r>
        <w:t>2.</w:t>
      </w:r>
      <w:r w:rsidR="00A118E6">
        <w:t>1</w:t>
      </w:r>
      <w:r w:rsidR="00423375">
        <w:t>.</w:t>
      </w:r>
      <w:r w:rsidR="003E1EF6">
        <w:t>3</w:t>
      </w:r>
      <w:r w:rsidR="00EE7184">
        <w:t xml:space="preserve"> Затраты по договору на строительство</w:t>
      </w:r>
    </w:p>
    <w:p w14:paraId="2BCC1D9E" w14:textId="514926A8" w:rsidR="00056CB8" w:rsidRDefault="00CF4AD5" w:rsidP="002E21F4">
      <w:r>
        <w:t>В</w:t>
      </w:r>
      <w:r w:rsidR="00BD67BF">
        <w:t xml:space="preserve"> МСФО </w:t>
      </w:r>
      <w:r w:rsidR="00BD67BF">
        <w:rPr>
          <w:lang w:val="en-US"/>
        </w:rPr>
        <w:t xml:space="preserve">(IAS) 11 </w:t>
      </w:r>
      <w:r>
        <w:rPr>
          <w:lang w:val="en-US"/>
        </w:rPr>
        <w:t xml:space="preserve"> </w:t>
      </w:r>
      <w:r w:rsidR="00062602">
        <w:rPr>
          <w:lang w:val="en-US"/>
        </w:rPr>
        <w:t>выдел</w:t>
      </w:r>
      <w:r w:rsidR="00062602">
        <w:t>ено</w:t>
      </w:r>
      <w:r>
        <w:rPr>
          <w:lang w:val="en-US"/>
        </w:rPr>
        <w:t xml:space="preserve"> три группы затрат, включаемых </w:t>
      </w:r>
      <w:r w:rsidR="00BD67BF">
        <w:t>в</w:t>
      </w:r>
      <w:r w:rsidR="00903A14">
        <w:t xml:space="preserve"> состав затрат по договору н</w:t>
      </w:r>
      <w:r>
        <w:t>а строительство</w:t>
      </w:r>
      <w:r w:rsidR="002E21F4">
        <w:t xml:space="preserve">. </w:t>
      </w:r>
      <w:r>
        <w:t>Виды</w:t>
      </w:r>
      <w:r w:rsidR="00056CB8">
        <w:t xml:space="preserve"> затрат, включаемых в состав затрат по договору приведены в табл. 6.</w:t>
      </w:r>
      <w:r w:rsidR="00EF1517">
        <w:t xml:space="preserve"> </w:t>
      </w:r>
    </w:p>
    <w:p w14:paraId="52E70B48" w14:textId="09E97131" w:rsidR="007B28E3" w:rsidRDefault="007B28E3" w:rsidP="005B4BC8">
      <w:pPr>
        <w:tabs>
          <w:tab w:val="left" w:pos="5972"/>
        </w:tabs>
      </w:pPr>
      <w:r>
        <w:lastRenderedPageBreak/>
        <w:t xml:space="preserve">Приведенные в табл. затраты, согласно стандарту, могут быть уменьшены на сумму </w:t>
      </w:r>
      <w:r w:rsidRPr="00BF372D">
        <w:rPr>
          <w:i/>
        </w:rPr>
        <w:t>случайного дохода</w:t>
      </w:r>
      <w:r>
        <w:t xml:space="preserve">, который не был включен в выручку по договору. </w:t>
      </w:r>
      <w:r w:rsidRPr="008F4938">
        <w:rPr>
          <w:i/>
        </w:rPr>
        <w:t>Например:</w:t>
      </w:r>
      <w:r>
        <w:t xml:space="preserve"> организация является подрядчиком на строительство здания офиса на месте здания склада (данное здание необходимо снести), при этом был получен доход от продажи материалов, полученных организацией в результате сноса старого здания, который и будет являться случайным доходом. </w:t>
      </w:r>
    </w:p>
    <w:p w14:paraId="71B5FF67" w14:textId="6880DA8C" w:rsidR="00914074" w:rsidRPr="007B28E3" w:rsidRDefault="00914074" w:rsidP="007B28E3">
      <w:pPr>
        <w:rPr>
          <w:i/>
        </w:rPr>
      </w:pPr>
      <w:r w:rsidRPr="007B28E3">
        <w:rPr>
          <w:i/>
        </w:rPr>
        <w:t xml:space="preserve">Таблица 6 </w:t>
      </w:r>
      <w:r w:rsidR="007004BA" w:rsidRPr="007B28E3">
        <w:rPr>
          <w:i/>
        </w:rPr>
        <w:t>Виды</w:t>
      </w:r>
      <w:r w:rsidRPr="007B28E3">
        <w:rPr>
          <w:i/>
        </w:rPr>
        <w:t xml:space="preserve"> затрат, включаемых в состав затрат по договору на строительство</w:t>
      </w:r>
    </w:p>
    <w:tbl>
      <w:tblPr>
        <w:tblStyle w:val="af2"/>
        <w:tblW w:w="0" w:type="auto"/>
        <w:tblLayout w:type="fixed"/>
        <w:tblLook w:val="04A0" w:firstRow="1" w:lastRow="0" w:firstColumn="1" w:lastColumn="0" w:noHBand="0" w:noVBand="1"/>
      </w:tblPr>
      <w:tblGrid>
        <w:gridCol w:w="1101"/>
        <w:gridCol w:w="4110"/>
        <w:gridCol w:w="2586"/>
        <w:gridCol w:w="2034"/>
      </w:tblGrid>
      <w:tr w:rsidR="007E3D65" w:rsidRPr="000C5D21" w14:paraId="69A85B87" w14:textId="77777777" w:rsidTr="007E3D65">
        <w:trPr>
          <w:trHeight w:val="320"/>
        </w:trPr>
        <w:tc>
          <w:tcPr>
            <w:tcW w:w="1101" w:type="dxa"/>
            <w:noWrap/>
            <w:hideMark/>
          </w:tcPr>
          <w:p w14:paraId="7CB6AC8B" w14:textId="71F4C5AC" w:rsidR="000C5D21" w:rsidRPr="000C5D21" w:rsidRDefault="00CF4AD5" w:rsidP="00197748">
            <w:pPr>
              <w:ind w:firstLine="0"/>
              <w:jc w:val="center"/>
              <w:rPr>
                <w:b/>
              </w:rPr>
            </w:pPr>
            <w:r>
              <w:rPr>
                <w:b/>
              </w:rPr>
              <w:t>Группа</w:t>
            </w:r>
            <w:r w:rsidR="000C5D21" w:rsidRPr="000C5D21">
              <w:rPr>
                <w:b/>
              </w:rPr>
              <w:t xml:space="preserve"> затрат</w:t>
            </w:r>
          </w:p>
        </w:tc>
        <w:tc>
          <w:tcPr>
            <w:tcW w:w="4110" w:type="dxa"/>
            <w:noWrap/>
            <w:hideMark/>
          </w:tcPr>
          <w:p w14:paraId="07065499" w14:textId="6C7BA44D" w:rsidR="000C5D21" w:rsidRPr="00EF69E9" w:rsidRDefault="00EF69E9" w:rsidP="00197748">
            <w:pPr>
              <w:ind w:firstLine="0"/>
              <w:jc w:val="center"/>
              <w:rPr>
                <w:b/>
              </w:rPr>
            </w:pPr>
            <w:r w:rsidRPr="00EF69E9">
              <w:rPr>
                <w:b/>
              </w:rPr>
              <w:t xml:space="preserve">Затраты, </w:t>
            </w:r>
            <w:r w:rsidR="000C5D21" w:rsidRPr="00EF69E9">
              <w:rPr>
                <w:b/>
              </w:rPr>
              <w:t xml:space="preserve">связанные с конкретным договором </w:t>
            </w:r>
            <w:r w:rsidRPr="00EF69E9">
              <w:rPr>
                <w:b/>
              </w:rPr>
              <w:t>на строительство</w:t>
            </w:r>
          </w:p>
        </w:tc>
        <w:tc>
          <w:tcPr>
            <w:tcW w:w="2586" w:type="dxa"/>
            <w:noWrap/>
            <w:hideMark/>
          </w:tcPr>
          <w:p w14:paraId="18E82E0D" w14:textId="5549F2DB" w:rsidR="000C5D21" w:rsidRPr="00EF69E9" w:rsidRDefault="00EF69E9" w:rsidP="00197748">
            <w:pPr>
              <w:ind w:firstLine="0"/>
              <w:jc w:val="center"/>
              <w:rPr>
                <w:b/>
              </w:rPr>
            </w:pPr>
            <w:r w:rsidRPr="00EF69E9">
              <w:rPr>
                <w:b/>
              </w:rPr>
              <w:t>О</w:t>
            </w:r>
            <w:r w:rsidR="000C5D21" w:rsidRPr="00EF69E9">
              <w:rPr>
                <w:b/>
              </w:rPr>
              <w:t>тносящиеся к мероприятиям по договорной деятельности</w:t>
            </w:r>
          </w:p>
        </w:tc>
        <w:tc>
          <w:tcPr>
            <w:tcW w:w="2034" w:type="dxa"/>
            <w:noWrap/>
            <w:hideMark/>
          </w:tcPr>
          <w:p w14:paraId="1E3B729B" w14:textId="10F6A6C9" w:rsidR="000C5D21" w:rsidRPr="00EF69E9" w:rsidRDefault="00EF69E9" w:rsidP="00197748">
            <w:pPr>
              <w:ind w:firstLine="0"/>
              <w:jc w:val="center"/>
              <w:rPr>
                <w:b/>
              </w:rPr>
            </w:pPr>
            <w:r w:rsidRPr="00EF69E9">
              <w:rPr>
                <w:b/>
              </w:rPr>
              <w:t>П</w:t>
            </w:r>
            <w:r w:rsidR="000C5D21" w:rsidRPr="00EF69E9">
              <w:rPr>
                <w:b/>
              </w:rPr>
              <w:t>рочие затраты</w:t>
            </w:r>
          </w:p>
        </w:tc>
      </w:tr>
      <w:tr w:rsidR="007E3D65" w:rsidRPr="000C5D21" w14:paraId="148A514D" w14:textId="77777777" w:rsidTr="007E3D65">
        <w:trPr>
          <w:trHeight w:val="2394"/>
        </w:trPr>
        <w:tc>
          <w:tcPr>
            <w:tcW w:w="1101" w:type="dxa"/>
            <w:noWrap/>
            <w:hideMark/>
          </w:tcPr>
          <w:p w14:paraId="7ACC4539" w14:textId="4AB2E596" w:rsidR="000C5D21" w:rsidRPr="000C5D21" w:rsidRDefault="00CF4AD5" w:rsidP="00197748">
            <w:pPr>
              <w:ind w:firstLine="0"/>
              <w:jc w:val="center"/>
              <w:rPr>
                <w:b/>
              </w:rPr>
            </w:pPr>
            <w:r>
              <w:rPr>
                <w:b/>
              </w:rPr>
              <w:t>Виды затрат</w:t>
            </w:r>
          </w:p>
        </w:tc>
        <w:tc>
          <w:tcPr>
            <w:tcW w:w="4110" w:type="dxa"/>
            <w:noWrap/>
            <w:hideMark/>
          </w:tcPr>
          <w:p w14:paraId="2301E84A" w14:textId="77777777" w:rsidR="000C5D21" w:rsidRDefault="00AD7754" w:rsidP="004B628F">
            <w:pPr>
              <w:pStyle w:val="a"/>
              <w:numPr>
                <w:ilvl w:val="0"/>
                <w:numId w:val="29"/>
              </w:numPr>
              <w:ind w:left="176" w:hanging="176"/>
            </w:pPr>
            <w:r>
              <w:t>амортизация и аренда основных средств;</w:t>
            </w:r>
          </w:p>
          <w:p w14:paraId="45F6B12F" w14:textId="77777777" w:rsidR="00AD7754" w:rsidRDefault="00AD7754" w:rsidP="004B628F">
            <w:pPr>
              <w:pStyle w:val="a"/>
              <w:numPr>
                <w:ilvl w:val="0"/>
                <w:numId w:val="29"/>
              </w:numPr>
              <w:ind w:left="176" w:hanging="176"/>
            </w:pPr>
            <w:r>
              <w:t>заработная плата рабочих;</w:t>
            </w:r>
          </w:p>
          <w:p w14:paraId="45442321" w14:textId="77777777" w:rsidR="00AD7754" w:rsidRDefault="00AD7754" w:rsidP="004B628F">
            <w:pPr>
              <w:pStyle w:val="a"/>
              <w:numPr>
                <w:ilvl w:val="0"/>
                <w:numId w:val="29"/>
              </w:numPr>
              <w:ind w:left="176" w:hanging="176"/>
            </w:pPr>
            <w:r>
              <w:t>стоимость материалов</w:t>
            </w:r>
            <w:r w:rsidR="009414A6">
              <w:t>;</w:t>
            </w:r>
          </w:p>
          <w:p w14:paraId="6166B8D5" w14:textId="77777777" w:rsidR="009414A6" w:rsidRDefault="009414A6" w:rsidP="004B628F">
            <w:pPr>
              <w:pStyle w:val="a"/>
              <w:numPr>
                <w:ilvl w:val="0"/>
                <w:numId w:val="29"/>
              </w:numPr>
              <w:ind w:left="176" w:hanging="176"/>
            </w:pPr>
            <w:r>
              <w:t>затраты на перемещение основных средств и материалов;</w:t>
            </w:r>
          </w:p>
          <w:p w14:paraId="5A3022C1" w14:textId="77777777" w:rsidR="009414A6" w:rsidRDefault="009414A6" w:rsidP="004B628F">
            <w:pPr>
              <w:pStyle w:val="a"/>
              <w:numPr>
                <w:ilvl w:val="0"/>
                <w:numId w:val="29"/>
              </w:numPr>
              <w:ind w:left="176" w:hanging="176"/>
            </w:pPr>
            <w:r>
              <w:t>затраты на конструкторскую и техническую поддержку, непосредственно связанную с договором;</w:t>
            </w:r>
          </w:p>
          <w:p w14:paraId="6F8C14AB" w14:textId="77777777" w:rsidR="009414A6" w:rsidRDefault="009414A6" w:rsidP="004B628F">
            <w:pPr>
              <w:pStyle w:val="a"/>
              <w:numPr>
                <w:ilvl w:val="0"/>
                <w:numId w:val="29"/>
              </w:numPr>
              <w:ind w:left="176" w:hanging="176"/>
            </w:pPr>
            <w:r>
              <w:t>предполагаемые затраты на устранение ошибок и выполнение гарантированного объема работ;</w:t>
            </w:r>
          </w:p>
          <w:p w14:paraId="09888D3A" w14:textId="6C01C42E" w:rsidR="009414A6" w:rsidRPr="000C5D21" w:rsidRDefault="009414A6" w:rsidP="004B628F">
            <w:pPr>
              <w:pStyle w:val="a"/>
              <w:numPr>
                <w:ilvl w:val="0"/>
                <w:numId w:val="29"/>
              </w:numPr>
              <w:ind w:left="176" w:hanging="176"/>
            </w:pPr>
            <w:r>
              <w:t xml:space="preserve"> претензии третьих лиц.</w:t>
            </w:r>
          </w:p>
        </w:tc>
        <w:tc>
          <w:tcPr>
            <w:tcW w:w="2586" w:type="dxa"/>
            <w:noWrap/>
            <w:hideMark/>
          </w:tcPr>
          <w:p w14:paraId="655EB0FC" w14:textId="77777777" w:rsidR="00AD7754" w:rsidRDefault="00AD7754" w:rsidP="004B628F">
            <w:pPr>
              <w:pStyle w:val="a"/>
              <w:numPr>
                <w:ilvl w:val="0"/>
                <w:numId w:val="28"/>
              </w:numPr>
              <w:ind w:left="197" w:right="-24" w:hanging="197"/>
            </w:pPr>
            <w:r>
              <w:t>страховые платежи;</w:t>
            </w:r>
          </w:p>
          <w:p w14:paraId="26EFCF95" w14:textId="71281A3C" w:rsidR="00AD7754" w:rsidRDefault="00AD7754" w:rsidP="004B628F">
            <w:pPr>
              <w:pStyle w:val="a"/>
              <w:numPr>
                <w:ilvl w:val="0"/>
                <w:numId w:val="28"/>
              </w:numPr>
              <w:ind w:left="197" w:right="-24" w:hanging="197"/>
            </w:pPr>
            <w:r>
              <w:t>затраты на техническую и конструкторскую поддержку</w:t>
            </w:r>
            <w:r w:rsidR="009414A6">
              <w:t xml:space="preserve"> (не </w:t>
            </w:r>
            <w:r w:rsidR="00062602">
              <w:t>связные</w:t>
            </w:r>
            <w:r w:rsidR="009414A6">
              <w:t xml:space="preserve"> непосредственно с отдельным договором)</w:t>
            </w:r>
            <w:r>
              <w:t>;</w:t>
            </w:r>
          </w:p>
          <w:p w14:paraId="569EA4BD" w14:textId="7B23C5A8" w:rsidR="00AD7754" w:rsidRPr="000C5D21" w:rsidRDefault="00AD7754" w:rsidP="004B628F">
            <w:pPr>
              <w:pStyle w:val="a"/>
              <w:numPr>
                <w:ilvl w:val="0"/>
                <w:numId w:val="28"/>
              </w:numPr>
              <w:ind w:left="197" w:right="-24" w:hanging="197"/>
            </w:pPr>
            <w:r>
              <w:t>затраты по займам</w:t>
            </w:r>
            <w:r w:rsidR="00B051C3">
              <w:t xml:space="preserve"> (данный вопрос подробно рассматривается </w:t>
            </w:r>
            <w:r w:rsidR="009E6329">
              <w:t>в МСФО (</w:t>
            </w:r>
            <w:r w:rsidR="009E6329">
              <w:rPr>
                <w:lang w:val="en-US"/>
              </w:rPr>
              <w:t>IAS) 23</w:t>
            </w:r>
            <w:r w:rsidR="009E6329">
              <w:rPr>
                <w:rStyle w:val="a6"/>
                <w:lang w:val="en-US"/>
              </w:rPr>
              <w:footnoteReference w:id="20"/>
            </w:r>
            <w:r>
              <w:t>.</w:t>
            </w:r>
          </w:p>
        </w:tc>
        <w:tc>
          <w:tcPr>
            <w:tcW w:w="2034" w:type="dxa"/>
            <w:noWrap/>
            <w:hideMark/>
          </w:tcPr>
          <w:p w14:paraId="08555943" w14:textId="02DEA9DB" w:rsidR="00EC7EDB" w:rsidRDefault="004C31B4" w:rsidP="004B628F">
            <w:pPr>
              <w:pStyle w:val="a"/>
              <w:numPr>
                <w:ilvl w:val="0"/>
                <w:numId w:val="27"/>
              </w:numPr>
              <w:ind w:left="142" w:hanging="142"/>
            </w:pPr>
            <w:r>
              <w:t>управленческие расходы;</w:t>
            </w:r>
          </w:p>
          <w:p w14:paraId="1F22C91E" w14:textId="3326EC22" w:rsidR="000C5D21" w:rsidRPr="000C5D21" w:rsidRDefault="000C5D21" w:rsidP="004B628F">
            <w:pPr>
              <w:pStyle w:val="a"/>
              <w:numPr>
                <w:ilvl w:val="0"/>
                <w:numId w:val="27"/>
              </w:numPr>
              <w:ind w:left="142" w:hanging="142"/>
            </w:pPr>
            <w:r w:rsidRPr="000C5D21">
              <w:t>затраты на разработки</w:t>
            </w:r>
            <w:r w:rsidR="004C31B4">
              <w:t>.</w:t>
            </w:r>
          </w:p>
        </w:tc>
      </w:tr>
    </w:tbl>
    <w:p w14:paraId="3031A5E1" w14:textId="04F5DAE3" w:rsidR="00E200BF" w:rsidRPr="007B28E3" w:rsidRDefault="00914074" w:rsidP="007B28E3">
      <w:pPr>
        <w:rPr>
          <w:i/>
          <w:sz w:val="20"/>
          <w:szCs w:val="20"/>
        </w:rPr>
      </w:pPr>
      <w:r w:rsidRPr="007B28E3">
        <w:rPr>
          <w:i/>
          <w:sz w:val="20"/>
          <w:szCs w:val="20"/>
        </w:rPr>
        <w:t>Источник: составлено автором</w:t>
      </w:r>
      <w:r w:rsidR="00885982" w:rsidRPr="007B28E3">
        <w:rPr>
          <w:i/>
          <w:sz w:val="20"/>
          <w:szCs w:val="20"/>
        </w:rPr>
        <w:t xml:space="preserve"> на основании положений</w:t>
      </w:r>
      <w:r w:rsidR="00244F04" w:rsidRPr="007B28E3">
        <w:rPr>
          <w:i/>
          <w:sz w:val="20"/>
          <w:szCs w:val="20"/>
        </w:rPr>
        <w:t xml:space="preserve"> </w:t>
      </w:r>
      <w:r w:rsidR="00AA22B2" w:rsidRPr="007B28E3">
        <w:rPr>
          <w:i/>
          <w:sz w:val="20"/>
          <w:szCs w:val="20"/>
        </w:rPr>
        <w:t>Международного</w:t>
      </w:r>
      <w:r w:rsidR="00A80151" w:rsidRPr="007B28E3">
        <w:rPr>
          <w:i/>
          <w:sz w:val="20"/>
          <w:szCs w:val="20"/>
        </w:rPr>
        <w:t xml:space="preserve"> стандарт</w:t>
      </w:r>
      <w:r w:rsidR="00AA22B2" w:rsidRPr="007B28E3">
        <w:rPr>
          <w:i/>
          <w:sz w:val="20"/>
          <w:szCs w:val="20"/>
        </w:rPr>
        <w:t>а</w:t>
      </w:r>
      <w:r w:rsidR="00A80151" w:rsidRPr="007B28E3">
        <w:rPr>
          <w:i/>
          <w:sz w:val="20"/>
          <w:szCs w:val="20"/>
        </w:rPr>
        <w:t xml:space="preserve"> финансовой отчетности (IAS) 11 "Договоры на строительство"</w:t>
      </w:r>
    </w:p>
    <w:p w14:paraId="5DE84519" w14:textId="153BBD47" w:rsidR="00EE7184" w:rsidRDefault="00815532" w:rsidP="00815532">
      <w:pPr>
        <w:pStyle w:val="ad"/>
      </w:pPr>
      <w:r>
        <w:t>2.</w:t>
      </w:r>
      <w:r w:rsidR="00FE602A">
        <w:t>2</w:t>
      </w:r>
      <w:r w:rsidR="00423375">
        <w:t>.</w:t>
      </w:r>
      <w:r w:rsidR="003E1EF6">
        <w:t>4</w:t>
      </w:r>
      <w:r w:rsidR="00EE7184">
        <w:t xml:space="preserve"> Признание </w:t>
      </w:r>
      <w:r w:rsidR="007A03B4">
        <w:t>доходов</w:t>
      </w:r>
      <w:r w:rsidR="00873BAB">
        <w:t xml:space="preserve">, </w:t>
      </w:r>
      <w:r w:rsidR="00EE7184">
        <w:t>расходов</w:t>
      </w:r>
      <w:r w:rsidR="00873BAB">
        <w:t xml:space="preserve"> и убытков</w:t>
      </w:r>
      <w:r w:rsidR="00EE7184">
        <w:t xml:space="preserve"> по договору на строительство</w:t>
      </w:r>
    </w:p>
    <w:p w14:paraId="483CBBDE" w14:textId="73A744E1" w:rsidR="008A35D5" w:rsidRDefault="008F4938" w:rsidP="00C376A2">
      <w:r>
        <w:t>Согласно МСФО (</w:t>
      </w:r>
      <w:r>
        <w:rPr>
          <w:lang w:val="en-US"/>
        </w:rPr>
        <w:t xml:space="preserve">IAS) 11, </w:t>
      </w:r>
      <w:r>
        <w:t>в</w:t>
      </w:r>
      <w:r w:rsidR="0069412B">
        <w:t>ыручку</w:t>
      </w:r>
      <w:r w:rsidR="00AF2E0C">
        <w:t xml:space="preserve"> и</w:t>
      </w:r>
      <w:r w:rsidR="00765F45">
        <w:t xml:space="preserve"> </w:t>
      </w:r>
      <w:r w:rsidR="0069412B">
        <w:t xml:space="preserve">затраты по договору на строительство необходимо отражать в отчете о финансовых результатах (отчете о прибылях и убытках) в составе доходов и расходов по </w:t>
      </w:r>
      <w:r w:rsidR="0069412B" w:rsidRPr="009E60EB">
        <w:rPr>
          <w:i/>
        </w:rPr>
        <w:t>мере готовности</w:t>
      </w:r>
      <w:r w:rsidR="00307FB8">
        <w:t xml:space="preserve">, а ожидаемые убытки по договору необходимо </w:t>
      </w:r>
      <w:r w:rsidR="00307FB8" w:rsidRPr="00002793">
        <w:rPr>
          <w:i/>
        </w:rPr>
        <w:t>немедленно</w:t>
      </w:r>
      <w:r w:rsidR="00307FB8">
        <w:t xml:space="preserve"> признать в составе расходов</w:t>
      </w:r>
      <w:r w:rsidR="00002793">
        <w:rPr>
          <w:rStyle w:val="a6"/>
        </w:rPr>
        <w:footnoteReference w:id="21"/>
      </w:r>
      <w:r w:rsidR="00307FB8">
        <w:t>.</w:t>
      </w:r>
      <w:r w:rsidR="00955079">
        <w:t xml:space="preserve"> </w:t>
      </w:r>
      <w:r w:rsidR="007C5ACD">
        <w:t xml:space="preserve">В данном случае можно наблюдать пример </w:t>
      </w:r>
      <w:r w:rsidR="007C5ACD">
        <w:lastRenderedPageBreak/>
        <w:t xml:space="preserve">реализации одного из основополагающих </w:t>
      </w:r>
      <w:r w:rsidR="00955079">
        <w:t xml:space="preserve">принципов </w:t>
      </w:r>
      <w:r w:rsidR="00C47448">
        <w:t>бухгалтерской</w:t>
      </w:r>
      <w:r w:rsidR="00955079">
        <w:t xml:space="preserve"> отчетности – </w:t>
      </w:r>
      <w:r w:rsidR="00C47448">
        <w:t>принципа</w:t>
      </w:r>
      <w:r w:rsidR="00955079">
        <w:t xml:space="preserve"> осмотрительности</w:t>
      </w:r>
      <w:r w:rsidR="00955079">
        <w:rPr>
          <w:rStyle w:val="a6"/>
        </w:rPr>
        <w:footnoteReference w:id="22"/>
      </w:r>
      <w:r w:rsidR="00955079">
        <w:t xml:space="preserve">. </w:t>
      </w:r>
    </w:p>
    <w:p w14:paraId="32AFC8DE" w14:textId="68B72B6F" w:rsidR="0069412B" w:rsidRDefault="008A35D5" w:rsidP="00C376A2">
      <w:r>
        <w:rPr>
          <w:b/>
          <w:noProof/>
          <w:lang w:eastAsia="ru-RU"/>
        </w:rPr>
        <w:drawing>
          <wp:anchor distT="0" distB="0" distL="114300" distR="114300" simplePos="0" relativeHeight="251701248" behindDoc="0" locked="0" layoutInCell="1" allowOverlap="1" wp14:anchorId="48452557" wp14:editId="446B1EB7">
            <wp:simplePos x="0" y="0"/>
            <wp:positionH relativeFrom="column">
              <wp:posOffset>-114935</wp:posOffset>
            </wp:positionH>
            <wp:positionV relativeFrom="paragraph">
              <wp:posOffset>1395730</wp:posOffset>
            </wp:positionV>
            <wp:extent cx="6274435" cy="5704840"/>
            <wp:effectExtent l="0" t="0" r="0" b="10160"/>
            <wp:wrapTopAndBottom/>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t>Алгоритм признания финансового результата по договорам на строительство согласно МСФО (</w:t>
      </w:r>
      <w:r>
        <w:rPr>
          <w:lang w:val="en-US"/>
        </w:rPr>
        <w:t xml:space="preserve">IAS) </w:t>
      </w:r>
      <w:r>
        <w:t>11 представлен на рис. 4: первоначально необходимо определить, есть ли возможность надежно оценить финансовый результат по договору, далее, в случае, если финансовый результат можно определить, в зависимости от того, получена ли прибыль или убыток, рассчитывается выручка, затраты и финансовый результат по договору.</w:t>
      </w:r>
    </w:p>
    <w:p w14:paraId="3C942F28" w14:textId="77777777" w:rsidR="00DF7799" w:rsidRDefault="00DF7799" w:rsidP="008A35D5">
      <w:pPr>
        <w:rPr>
          <w:i/>
        </w:rPr>
      </w:pPr>
    </w:p>
    <w:p w14:paraId="274BBD2B" w14:textId="0FE89560" w:rsidR="008A35D5" w:rsidRPr="008A35D5" w:rsidRDefault="008A35D5" w:rsidP="008A35D5">
      <w:pPr>
        <w:rPr>
          <w:i/>
          <w:lang w:val="en-US"/>
        </w:rPr>
      </w:pPr>
      <w:r w:rsidRPr="008A35D5">
        <w:rPr>
          <w:i/>
        </w:rPr>
        <w:t>Рисунок 4 Алгоритм признания финансового результата по договорам на строительство согласно МСФО (</w:t>
      </w:r>
      <w:r w:rsidRPr="008A35D5">
        <w:rPr>
          <w:i/>
          <w:lang w:val="en-US"/>
        </w:rPr>
        <w:t>IAS) 11</w:t>
      </w:r>
    </w:p>
    <w:p w14:paraId="15A1C4C2" w14:textId="7687B9AA" w:rsidR="008A35D5" w:rsidRPr="005B4BC8" w:rsidRDefault="008A35D5" w:rsidP="005B4BC8">
      <w:pPr>
        <w:ind w:right="-7"/>
        <w:rPr>
          <w:i/>
          <w:sz w:val="20"/>
          <w:szCs w:val="20"/>
        </w:rPr>
      </w:pPr>
      <w:r w:rsidRPr="008A35D5">
        <w:rPr>
          <w:i/>
          <w:sz w:val="20"/>
          <w:szCs w:val="20"/>
        </w:rPr>
        <w:t>Источник: составлено автором на основании положений Международного стандарта финансовой отчетности (IAS) 11 "Договоры на строительство"</w:t>
      </w:r>
    </w:p>
    <w:p w14:paraId="69121E49" w14:textId="595D4094" w:rsidR="009E60EB" w:rsidRDefault="009E60EB" w:rsidP="009E60EB">
      <w:r>
        <w:lastRenderedPageBreak/>
        <w:t xml:space="preserve">По мнению специалистов в области МСФО, подтверждение заказчиком – один из наиболее надежных способов оценить процент выполненных работ. Кроме того, в российской практике это возможно осуществить с помощью составления форм </w:t>
      </w:r>
      <w:r w:rsidRPr="003258BC">
        <w:t>КС-2, КС-3, утвержденных Госкомстатом России от 11 ноября 1999 года № 100.</w:t>
      </w:r>
      <w:r>
        <w:rPr>
          <w:rStyle w:val="a6"/>
        </w:rPr>
        <w:footnoteReference w:id="23"/>
      </w:r>
      <w:r>
        <w:t xml:space="preserve"> Данные ф</w:t>
      </w:r>
      <w:r w:rsidR="008A35D5">
        <w:t>ормы представлены в Приложении 6</w:t>
      </w:r>
      <w:r>
        <w:t>.</w:t>
      </w:r>
    </w:p>
    <w:p w14:paraId="6A84E3B5" w14:textId="77777777" w:rsidR="0003243B" w:rsidRDefault="0003243B" w:rsidP="0003243B">
      <w:pPr>
        <w:pStyle w:val="ad"/>
      </w:pPr>
      <w:r>
        <w:t>2.2.5 Определение степени завершенности работ по договору</w:t>
      </w:r>
    </w:p>
    <w:p w14:paraId="07209709" w14:textId="77777777" w:rsidR="0003243B" w:rsidRDefault="0003243B" w:rsidP="0003243B">
      <w:r>
        <w:t xml:space="preserve">Согласно </w:t>
      </w:r>
      <w:r w:rsidRPr="003C21B8">
        <w:t>МСФО (IAS) 11</w:t>
      </w:r>
      <w:r>
        <w:t xml:space="preserve"> степень завершенности работ по договору может устанавливаться несколькими способами:</w:t>
      </w:r>
    </w:p>
    <w:p w14:paraId="084EE68D" w14:textId="77777777" w:rsidR="0003243B" w:rsidRDefault="0003243B" w:rsidP="00450A5B">
      <w:pPr>
        <w:pStyle w:val="a"/>
        <w:numPr>
          <w:ilvl w:val="0"/>
          <w:numId w:val="15"/>
        </w:numPr>
        <w:ind w:left="284" w:hanging="283"/>
      </w:pPr>
      <w:r>
        <w:t>определение отношения уже понесенных затрат к общему количеству затрат по договору;</w:t>
      </w:r>
    </w:p>
    <w:p w14:paraId="55EF5E20" w14:textId="77777777" w:rsidR="0003243B" w:rsidRDefault="0003243B" w:rsidP="00450A5B">
      <w:pPr>
        <w:pStyle w:val="a"/>
        <w:numPr>
          <w:ilvl w:val="0"/>
          <w:numId w:val="15"/>
        </w:numPr>
        <w:ind w:left="284" w:hanging="283"/>
      </w:pPr>
      <w:r>
        <w:t>оценка выполненных работы экспертом;</w:t>
      </w:r>
    </w:p>
    <w:p w14:paraId="3F2E7D55" w14:textId="059BCD20" w:rsidR="00D87A66" w:rsidRDefault="0003243B" w:rsidP="00450A5B">
      <w:pPr>
        <w:pStyle w:val="a"/>
        <w:numPr>
          <w:ilvl w:val="0"/>
          <w:numId w:val="15"/>
        </w:numPr>
        <w:ind w:left="284" w:hanging="283"/>
      </w:pPr>
      <w:r>
        <w:t>определение доли выполненных работ по договору в натуральном выражении (по отношению к согласованному объему работ)</w:t>
      </w:r>
      <w:r w:rsidR="005B4BC8">
        <w:rPr>
          <w:rStyle w:val="a6"/>
        </w:rPr>
        <w:footnoteReference w:id="24"/>
      </w:r>
      <w:r>
        <w:t>.</w:t>
      </w:r>
    </w:p>
    <w:p w14:paraId="6869AA5C" w14:textId="4005489A" w:rsidR="0044320C" w:rsidRDefault="0044320C" w:rsidP="0044320C">
      <w:r>
        <w:t xml:space="preserve">Алгоритм признания финансового результата по </w:t>
      </w:r>
      <w:r w:rsidR="00C47448">
        <w:t>договору</w:t>
      </w:r>
      <w:r>
        <w:t>, а также процесс определения степени зав</w:t>
      </w:r>
      <w:r w:rsidR="00674DBD">
        <w:t>ершенности работ по договору це</w:t>
      </w:r>
      <w:r>
        <w:t xml:space="preserve">лесообразно </w:t>
      </w:r>
      <w:r w:rsidR="00674DBD">
        <w:t>проиллюстрировать примером.</w:t>
      </w:r>
    </w:p>
    <w:p w14:paraId="7A6D7AB5" w14:textId="7936C3FD" w:rsidR="00471667" w:rsidRPr="00DF7799" w:rsidRDefault="00860B2C" w:rsidP="00DF7799">
      <w:pPr>
        <w:rPr>
          <w:i/>
        </w:rPr>
      </w:pPr>
      <w:r w:rsidRPr="00684B52">
        <w:rPr>
          <w:i/>
        </w:rPr>
        <w:t xml:space="preserve">Пример расчета финансового результата по договору </w:t>
      </w:r>
      <w:r w:rsidR="00C47448" w:rsidRPr="00684B52">
        <w:rPr>
          <w:i/>
        </w:rPr>
        <w:t>подряда:</w:t>
      </w:r>
      <w:r w:rsidR="00C47448">
        <w:rPr>
          <w:i/>
        </w:rPr>
        <w:t xml:space="preserve"> </w:t>
      </w:r>
      <w:r w:rsidR="00C47448">
        <w:t>Организация-подрядчик</w:t>
      </w:r>
      <w:r>
        <w:t xml:space="preserve"> </w:t>
      </w:r>
      <w:r w:rsidR="00FB1C28">
        <w:t xml:space="preserve">занимается строительством зданий коммерческого </w:t>
      </w:r>
      <w:r w:rsidR="00C47448">
        <w:t>назначения</w:t>
      </w:r>
      <w:r w:rsidR="00FB1C28">
        <w:t xml:space="preserve">. В табл. 7 приведена информация по трем договорам за 2015 год. </w:t>
      </w:r>
    </w:p>
    <w:p w14:paraId="70908A67" w14:textId="5509722E" w:rsidR="006D36A0" w:rsidRPr="00A401DD" w:rsidRDefault="00471667" w:rsidP="00A401DD">
      <w:pPr>
        <w:rPr>
          <w:i/>
        </w:rPr>
      </w:pPr>
      <w:r w:rsidRPr="00A401DD">
        <w:rPr>
          <w:i/>
        </w:rPr>
        <w:t>Таблица 7 Исходная информация по договорам на строительство</w:t>
      </w:r>
    </w:p>
    <w:tbl>
      <w:tblPr>
        <w:tblStyle w:val="af2"/>
        <w:tblW w:w="9889" w:type="dxa"/>
        <w:tblLayout w:type="fixed"/>
        <w:tblLook w:val="04A0" w:firstRow="1" w:lastRow="0" w:firstColumn="1" w:lastColumn="0" w:noHBand="0" w:noVBand="1"/>
      </w:tblPr>
      <w:tblGrid>
        <w:gridCol w:w="4219"/>
        <w:gridCol w:w="1843"/>
        <w:gridCol w:w="1701"/>
        <w:gridCol w:w="2126"/>
      </w:tblGrid>
      <w:tr w:rsidR="00DF7799" w:rsidRPr="003D5719" w14:paraId="42331EDC" w14:textId="77777777" w:rsidTr="00DF7799">
        <w:trPr>
          <w:trHeight w:val="320"/>
        </w:trPr>
        <w:tc>
          <w:tcPr>
            <w:tcW w:w="4219" w:type="dxa"/>
            <w:noWrap/>
            <w:hideMark/>
          </w:tcPr>
          <w:p w14:paraId="553EA525" w14:textId="77777777" w:rsidR="003D5719" w:rsidRPr="00FC17EF" w:rsidRDefault="003D5719" w:rsidP="00197748">
            <w:pPr>
              <w:ind w:right="-7" w:firstLine="0"/>
              <w:jc w:val="left"/>
              <w:rPr>
                <w:b/>
                <w:sz w:val="22"/>
                <w:szCs w:val="22"/>
              </w:rPr>
            </w:pPr>
            <w:r w:rsidRPr="00FC17EF">
              <w:rPr>
                <w:b/>
                <w:sz w:val="22"/>
                <w:szCs w:val="22"/>
              </w:rPr>
              <w:t>Показатель</w:t>
            </w:r>
          </w:p>
        </w:tc>
        <w:tc>
          <w:tcPr>
            <w:tcW w:w="1843" w:type="dxa"/>
            <w:noWrap/>
            <w:hideMark/>
          </w:tcPr>
          <w:p w14:paraId="5F5257B4" w14:textId="77777777" w:rsidR="003D5719" w:rsidRPr="00FC17EF" w:rsidRDefault="003D5719" w:rsidP="006D36A0">
            <w:pPr>
              <w:ind w:right="-7" w:firstLine="0"/>
              <w:rPr>
                <w:b/>
                <w:sz w:val="22"/>
                <w:szCs w:val="22"/>
              </w:rPr>
            </w:pPr>
            <w:r w:rsidRPr="00FC17EF">
              <w:rPr>
                <w:b/>
                <w:sz w:val="22"/>
                <w:szCs w:val="22"/>
              </w:rPr>
              <w:t>Договор №1</w:t>
            </w:r>
          </w:p>
        </w:tc>
        <w:tc>
          <w:tcPr>
            <w:tcW w:w="1701" w:type="dxa"/>
            <w:noWrap/>
            <w:hideMark/>
          </w:tcPr>
          <w:p w14:paraId="74FB775E" w14:textId="77777777" w:rsidR="003D5719" w:rsidRPr="00FC17EF" w:rsidRDefault="003D5719" w:rsidP="006D36A0">
            <w:pPr>
              <w:ind w:right="-7" w:firstLine="0"/>
              <w:rPr>
                <w:b/>
                <w:sz w:val="22"/>
                <w:szCs w:val="22"/>
              </w:rPr>
            </w:pPr>
            <w:r w:rsidRPr="00FC17EF">
              <w:rPr>
                <w:b/>
                <w:sz w:val="22"/>
                <w:szCs w:val="22"/>
              </w:rPr>
              <w:t>Договор №2</w:t>
            </w:r>
          </w:p>
        </w:tc>
        <w:tc>
          <w:tcPr>
            <w:tcW w:w="2126" w:type="dxa"/>
            <w:noWrap/>
            <w:hideMark/>
          </w:tcPr>
          <w:p w14:paraId="6E1F4F53" w14:textId="77777777" w:rsidR="003D5719" w:rsidRPr="00FC17EF" w:rsidRDefault="003D5719" w:rsidP="006D36A0">
            <w:pPr>
              <w:ind w:right="-7" w:firstLine="0"/>
              <w:rPr>
                <w:b/>
                <w:sz w:val="22"/>
                <w:szCs w:val="22"/>
              </w:rPr>
            </w:pPr>
            <w:r w:rsidRPr="00FC17EF">
              <w:rPr>
                <w:b/>
                <w:sz w:val="22"/>
                <w:szCs w:val="22"/>
              </w:rPr>
              <w:t>Договор №3</w:t>
            </w:r>
          </w:p>
        </w:tc>
      </w:tr>
      <w:tr w:rsidR="00DF7799" w:rsidRPr="003D5719" w14:paraId="662DAD3B" w14:textId="77777777" w:rsidTr="00DF7799">
        <w:trPr>
          <w:trHeight w:val="320"/>
        </w:trPr>
        <w:tc>
          <w:tcPr>
            <w:tcW w:w="4219" w:type="dxa"/>
            <w:noWrap/>
            <w:hideMark/>
          </w:tcPr>
          <w:p w14:paraId="3E33B391" w14:textId="66DEE68A" w:rsidR="003D5719" w:rsidRPr="00FC17EF" w:rsidRDefault="003D5719" w:rsidP="00197748">
            <w:pPr>
              <w:ind w:right="-7" w:firstLine="0"/>
              <w:jc w:val="left"/>
              <w:rPr>
                <w:b/>
                <w:sz w:val="22"/>
                <w:szCs w:val="22"/>
              </w:rPr>
            </w:pPr>
            <w:r w:rsidRPr="00FC17EF">
              <w:rPr>
                <w:b/>
                <w:sz w:val="22"/>
                <w:szCs w:val="22"/>
              </w:rPr>
              <w:t>Стоимость договора</w:t>
            </w:r>
            <w:r w:rsidR="00581933" w:rsidRPr="00FC17EF">
              <w:rPr>
                <w:b/>
                <w:sz w:val="22"/>
                <w:szCs w:val="22"/>
              </w:rPr>
              <w:t>, млн. рублей</w:t>
            </w:r>
          </w:p>
        </w:tc>
        <w:tc>
          <w:tcPr>
            <w:tcW w:w="1843" w:type="dxa"/>
            <w:noWrap/>
            <w:hideMark/>
          </w:tcPr>
          <w:p w14:paraId="607C8CC1" w14:textId="77777777" w:rsidR="003D5719" w:rsidRPr="00FC17EF" w:rsidRDefault="003D5719" w:rsidP="006D36A0">
            <w:pPr>
              <w:ind w:right="-7" w:firstLine="0"/>
              <w:rPr>
                <w:sz w:val="22"/>
                <w:szCs w:val="22"/>
              </w:rPr>
            </w:pPr>
            <w:r w:rsidRPr="00FC17EF">
              <w:rPr>
                <w:sz w:val="22"/>
                <w:szCs w:val="22"/>
              </w:rPr>
              <w:t>300</w:t>
            </w:r>
          </w:p>
        </w:tc>
        <w:tc>
          <w:tcPr>
            <w:tcW w:w="1701" w:type="dxa"/>
            <w:noWrap/>
            <w:hideMark/>
          </w:tcPr>
          <w:p w14:paraId="2530A21B" w14:textId="77777777" w:rsidR="003D5719" w:rsidRPr="00FC17EF" w:rsidRDefault="003D5719" w:rsidP="006D36A0">
            <w:pPr>
              <w:ind w:right="-7" w:firstLine="0"/>
              <w:rPr>
                <w:sz w:val="22"/>
                <w:szCs w:val="22"/>
              </w:rPr>
            </w:pPr>
            <w:r w:rsidRPr="00FC17EF">
              <w:rPr>
                <w:sz w:val="22"/>
                <w:szCs w:val="22"/>
              </w:rPr>
              <w:t>90</w:t>
            </w:r>
          </w:p>
        </w:tc>
        <w:tc>
          <w:tcPr>
            <w:tcW w:w="2126" w:type="dxa"/>
            <w:noWrap/>
            <w:hideMark/>
          </w:tcPr>
          <w:p w14:paraId="55C79F0E" w14:textId="77777777" w:rsidR="003D5719" w:rsidRPr="00FC17EF" w:rsidRDefault="003D5719" w:rsidP="006D36A0">
            <w:pPr>
              <w:ind w:right="-7" w:firstLine="0"/>
              <w:rPr>
                <w:sz w:val="22"/>
                <w:szCs w:val="22"/>
              </w:rPr>
            </w:pPr>
            <w:r w:rsidRPr="00FC17EF">
              <w:rPr>
                <w:sz w:val="22"/>
                <w:szCs w:val="22"/>
              </w:rPr>
              <w:t>150</w:t>
            </w:r>
          </w:p>
        </w:tc>
      </w:tr>
      <w:tr w:rsidR="00DF7799" w:rsidRPr="003D5719" w14:paraId="0EC0586B" w14:textId="77777777" w:rsidTr="00DF7799">
        <w:trPr>
          <w:trHeight w:val="320"/>
        </w:trPr>
        <w:tc>
          <w:tcPr>
            <w:tcW w:w="4219" w:type="dxa"/>
            <w:noWrap/>
            <w:hideMark/>
          </w:tcPr>
          <w:p w14:paraId="015BA5C7" w14:textId="12CFC867" w:rsidR="003D5719" w:rsidRPr="00FC17EF" w:rsidRDefault="003D5719" w:rsidP="00197748">
            <w:pPr>
              <w:ind w:right="-7" w:firstLine="0"/>
              <w:jc w:val="left"/>
              <w:rPr>
                <w:b/>
                <w:sz w:val="22"/>
                <w:szCs w:val="22"/>
              </w:rPr>
            </w:pPr>
            <w:r w:rsidRPr="00FC17EF">
              <w:rPr>
                <w:b/>
                <w:sz w:val="22"/>
                <w:szCs w:val="22"/>
              </w:rPr>
              <w:t>Понес</w:t>
            </w:r>
            <w:r w:rsidR="00DF7799" w:rsidRPr="00FC17EF">
              <w:rPr>
                <w:b/>
                <w:sz w:val="22"/>
                <w:szCs w:val="22"/>
              </w:rPr>
              <w:t>енные затраты</w:t>
            </w:r>
            <w:r w:rsidR="00581933" w:rsidRPr="00FC17EF">
              <w:rPr>
                <w:b/>
                <w:sz w:val="22"/>
                <w:szCs w:val="22"/>
              </w:rPr>
              <w:t>, млн. рублей</w:t>
            </w:r>
          </w:p>
        </w:tc>
        <w:tc>
          <w:tcPr>
            <w:tcW w:w="1843" w:type="dxa"/>
            <w:noWrap/>
            <w:hideMark/>
          </w:tcPr>
          <w:p w14:paraId="33F361A4" w14:textId="77777777" w:rsidR="003D5719" w:rsidRPr="00FC17EF" w:rsidRDefault="003D5719" w:rsidP="006D36A0">
            <w:pPr>
              <w:ind w:right="-7" w:firstLine="0"/>
              <w:rPr>
                <w:sz w:val="22"/>
                <w:szCs w:val="22"/>
              </w:rPr>
            </w:pPr>
            <w:r w:rsidRPr="00FC17EF">
              <w:rPr>
                <w:sz w:val="22"/>
                <w:szCs w:val="22"/>
              </w:rPr>
              <w:t>150</w:t>
            </w:r>
          </w:p>
        </w:tc>
        <w:tc>
          <w:tcPr>
            <w:tcW w:w="1701" w:type="dxa"/>
            <w:noWrap/>
            <w:hideMark/>
          </w:tcPr>
          <w:p w14:paraId="1AF599B6" w14:textId="77777777" w:rsidR="003D5719" w:rsidRPr="00FC17EF" w:rsidRDefault="003D5719" w:rsidP="006D36A0">
            <w:pPr>
              <w:ind w:right="-7" w:firstLine="0"/>
              <w:rPr>
                <w:sz w:val="22"/>
                <w:szCs w:val="22"/>
              </w:rPr>
            </w:pPr>
            <w:r w:rsidRPr="00FC17EF">
              <w:rPr>
                <w:sz w:val="22"/>
                <w:szCs w:val="22"/>
              </w:rPr>
              <w:t>15</w:t>
            </w:r>
          </w:p>
        </w:tc>
        <w:tc>
          <w:tcPr>
            <w:tcW w:w="2126" w:type="dxa"/>
            <w:noWrap/>
            <w:hideMark/>
          </w:tcPr>
          <w:p w14:paraId="5B16A4E2" w14:textId="77777777" w:rsidR="003D5719" w:rsidRPr="00FC17EF" w:rsidRDefault="003D5719" w:rsidP="006D36A0">
            <w:pPr>
              <w:ind w:right="-7" w:firstLine="0"/>
              <w:rPr>
                <w:sz w:val="22"/>
                <w:szCs w:val="22"/>
              </w:rPr>
            </w:pPr>
            <w:r w:rsidRPr="00FC17EF">
              <w:rPr>
                <w:sz w:val="22"/>
                <w:szCs w:val="22"/>
              </w:rPr>
              <w:t>0,6</w:t>
            </w:r>
          </w:p>
        </w:tc>
      </w:tr>
      <w:tr w:rsidR="00DF7799" w:rsidRPr="003D5719" w14:paraId="1F27576F" w14:textId="77777777" w:rsidTr="00DF7799">
        <w:trPr>
          <w:trHeight w:val="320"/>
        </w:trPr>
        <w:tc>
          <w:tcPr>
            <w:tcW w:w="4219" w:type="dxa"/>
            <w:noWrap/>
            <w:hideMark/>
          </w:tcPr>
          <w:p w14:paraId="040CC8A8" w14:textId="6E859509" w:rsidR="003D5719" w:rsidRPr="00FC17EF" w:rsidRDefault="003D5719" w:rsidP="00197748">
            <w:pPr>
              <w:ind w:right="-7" w:firstLine="0"/>
              <w:jc w:val="left"/>
              <w:rPr>
                <w:b/>
                <w:sz w:val="22"/>
                <w:szCs w:val="22"/>
              </w:rPr>
            </w:pPr>
            <w:r w:rsidRPr="00FC17EF">
              <w:rPr>
                <w:b/>
                <w:sz w:val="22"/>
                <w:szCs w:val="22"/>
              </w:rPr>
              <w:t>Расчетные затраты на завершение</w:t>
            </w:r>
            <w:r w:rsidR="00581933" w:rsidRPr="00FC17EF">
              <w:rPr>
                <w:b/>
                <w:sz w:val="22"/>
                <w:szCs w:val="22"/>
              </w:rPr>
              <w:t>, млн. рублей</w:t>
            </w:r>
          </w:p>
        </w:tc>
        <w:tc>
          <w:tcPr>
            <w:tcW w:w="1843" w:type="dxa"/>
            <w:noWrap/>
            <w:hideMark/>
          </w:tcPr>
          <w:p w14:paraId="797A88F4" w14:textId="77777777" w:rsidR="003D5719" w:rsidRPr="00FC17EF" w:rsidRDefault="003D5719" w:rsidP="006D36A0">
            <w:pPr>
              <w:ind w:right="-7" w:firstLine="0"/>
              <w:rPr>
                <w:sz w:val="22"/>
                <w:szCs w:val="22"/>
              </w:rPr>
            </w:pPr>
            <w:r w:rsidRPr="00FC17EF">
              <w:rPr>
                <w:sz w:val="22"/>
                <w:szCs w:val="22"/>
              </w:rPr>
              <w:t>60</w:t>
            </w:r>
          </w:p>
        </w:tc>
        <w:tc>
          <w:tcPr>
            <w:tcW w:w="1701" w:type="dxa"/>
            <w:noWrap/>
            <w:hideMark/>
          </w:tcPr>
          <w:p w14:paraId="6CE4F41F" w14:textId="77777777" w:rsidR="003D5719" w:rsidRPr="00FC17EF" w:rsidRDefault="003D5719" w:rsidP="006D36A0">
            <w:pPr>
              <w:ind w:right="-7" w:firstLine="0"/>
              <w:rPr>
                <w:sz w:val="22"/>
                <w:szCs w:val="22"/>
              </w:rPr>
            </w:pPr>
            <w:r w:rsidRPr="00FC17EF">
              <w:rPr>
                <w:sz w:val="22"/>
                <w:szCs w:val="22"/>
              </w:rPr>
              <w:t>84</w:t>
            </w:r>
          </w:p>
        </w:tc>
        <w:tc>
          <w:tcPr>
            <w:tcW w:w="2126" w:type="dxa"/>
            <w:noWrap/>
            <w:hideMark/>
          </w:tcPr>
          <w:p w14:paraId="2676304A" w14:textId="77777777" w:rsidR="003D5719" w:rsidRPr="00FC17EF" w:rsidRDefault="003D5719" w:rsidP="006D36A0">
            <w:pPr>
              <w:ind w:right="-7" w:firstLine="0"/>
              <w:rPr>
                <w:sz w:val="22"/>
                <w:szCs w:val="22"/>
              </w:rPr>
            </w:pPr>
            <w:r w:rsidRPr="00FC17EF">
              <w:rPr>
                <w:sz w:val="22"/>
                <w:szCs w:val="22"/>
              </w:rPr>
              <w:t>нельзя определить</w:t>
            </w:r>
          </w:p>
        </w:tc>
      </w:tr>
      <w:tr w:rsidR="00DF7799" w:rsidRPr="003D5719" w14:paraId="450DF3E0" w14:textId="77777777" w:rsidTr="00DF7799">
        <w:trPr>
          <w:trHeight w:val="320"/>
        </w:trPr>
        <w:tc>
          <w:tcPr>
            <w:tcW w:w="4219" w:type="dxa"/>
            <w:noWrap/>
            <w:hideMark/>
          </w:tcPr>
          <w:p w14:paraId="4351FAEA" w14:textId="21FB1F4B" w:rsidR="003D5719" w:rsidRPr="00FC17EF" w:rsidRDefault="003D5719" w:rsidP="00197748">
            <w:pPr>
              <w:ind w:right="-7" w:firstLine="0"/>
              <w:jc w:val="left"/>
              <w:rPr>
                <w:b/>
                <w:sz w:val="22"/>
                <w:szCs w:val="22"/>
              </w:rPr>
            </w:pPr>
            <w:r w:rsidRPr="00FC17EF">
              <w:rPr>
                <w:b/>
                <w:sz w:val="22"/>
                <w:szCs w:val="22"/>
              </w:rPr>
              <w:t>Принятая заказчиком работа (на отчетную дату)</w:t>
            </w:r>
            <w:r w:rsidR="00581933" w:rsidRPr="00FC17EF">
              <w:rPr>
                <w:b/>
                <w:sz w:val="22"/>
                <w:szCs w:val="22"/>
              </w:rPr>
              <w:t>, млн. рублей</w:t>
            </w:r>
          </w:p>
        </w:tc>
        <w:tc>
          <w:tcPr>
            <w:tcW w:w="1843" w:type="dxa"/>
            <w:noWrap/>
            <w:hideMark/>
          </w:tcPr>
          <w:p w14:paraId="3B13C8B0" w14:textId="77777777" w:rsidR="003D5719" w:rsidRPr="00FC17EF" w:rsidRDefault="003D5719" w:rsidP="006D36A0">
            <w:pPr>
              <w:ind w:right="-7" w:firstLine="0"/>
              <w:rPr>
                <w:sz w:val="22"/>
                <w:szCs w:val="22"/>
              </w:rPr>
            </w:pPr>
            <w:r w:rsidRPr="00FC17EF">
              <w:rPr>
                <w:sz w:val="22"/>
                <w:szCs w:val="22"/>
              </w:rPr>
              <w:t>90</w:t>
            </w:r>
          </w:p>
        </w:tc>
        <w:tc>
          <w:tcPr>
            <w:tcW w:w="1701" w:type="dxa"/>
            <w:noWrap/>
            <w:hideMark/>
          </w:tcPr>
          <w:p w14:paraId="0106CE13" w14:textId="77777777" w:rsidR="003D5719" w:rsidRPr="00FC17EF" w:rsidRDefault="003D5719" w:rsidP="006D36A0">
            <w:pPr>
              <w:ind w:right="-7" w:firstLine="0"/>
              <w:rPr>
                <w:sz w:val="22"/>
                <w:szCs w:val="22"/>
              </w:rPr>
            </w:pPr>
            <w:r w:rsidRPr="00FC17EF">
              <w:rPr>
                <w:sz w:val="22"/>
                <w:szCs w:val="22"/>
              </w:rPr>
              <w:t>18</w:t>
            </w:r>
          </w:p>
        </w:tc>
        <w:tc>
          <w:tcPr>
            <w:tcW w:w="2126" w:type="dxa"/>
            <w:noWrap/>
            <w:hideMark/>
          </w:tcPr>
          <w:p w14:paraId="7D1C62F9" w14:textId="77777777" w:rsidR="003D5719" w:rsidRPr="00FC17EF" w:rsidRDefault="003D5719" w:rsidP="006D36A0">
            <w:pPr>
              <w:ind w:right="-7" w:firstLine="0"/>
              <w:rPr>
                <w:sz w:val="22"/>
                <w:szCs w:val="22"/>
              </w:rPr>
            </w:pPr>
            <w:r w:rsidRPr="00FC17EF">
              <w:rPr>
                <w:sz w:val="22"/>
                <w:szCs w:val="22"/>
              </w:rPr>
              <w:t>0,75</w:t>
            </w:r>
          </w:p>
        </w:tc>
      </w:tr>
      <w:tr w:rsidR="00DF7799" w:rsidRPr="003D5719" w14:paraId="315403C8" w14:textId="77777777" w:rsidTr="00DF7799">
        <w:trPr>
          <w:trHeight w:val="320"/>
        </w:trPr>
        <w:tc>
          <w:tcPr>
            <w:tcW w:w="4219" w:type="dxa"/>
            <w:noWrap/>
            <w:hideMark/>
          </w:tcPr>
          <w:p w14:paraId="4351C2B3" w14:textId="77777777" w:rsidR="003D5719" w:rsidRPr="00FC17EF" w:rsidRDefault="003D5719" w:rsidP="00197748">
            <w:pPr>
              <w:ind w:right="-7" w:firstLine="0"/>
              <w:jc w:val="left"/>
              <w:rPr>
                <w:b/>
                <w:sz w:val="22"/>
                <w:szCs w:val="22"/>
              </w:rPr>
            </w:pPr>
            <w:r w:rsidRPr="00FC17EF">
              <w:rPr>
                <w:b/>
                <w:sz w:val="22"/>
                <w:szCs w:val="22"/>
              </w:rPr>
              <w:t>Начало работ</w:t>
            </w:r>
          </w:p>
        </w:tc>
        <w:tc>
          <w:tcPr>
            <w:tcW w:w="1843" w:type="dxa"/>
            <w:noWrap/>
            <w:hideMark/>
          </w:tcPr>
          <w:p w14:paraId="32A71D34" w14:textId="77777777" w:rsidR="003D5719" w:rsidRPr="00FC17EF" w:rsidRDefault="003D5719" w:rsidP="006D36A0">
            <w:pPr>
              <w:ind w:right="-7" w:firstLine="0"/>
              <w:rPr>
                <w:sz w:val="22"/>
                <w:szCs w:val="22"/>
              </w:rPr>
            </w:pPr>
            <w:r w:rsidRPr="00FC17EF">
              <w:rPr>
                <w:sz w:val="22"/>
                <w:szCs w:val="22"/>
              </w:rPr>
              <w:t>июнь 2013</w:t>
            </w:r>
          </w:p>
        </w:tc>
        <w:tc>
          <w:tcPr>
            <w:tcW w:w="1701" w:type="dxa"/>
            <w:noWrap/>
            <w:hideMark/>
          </w:tcPr>
          <w:p w14:paraId="50181501" w14:textId="77777777" w:rsidR="003D5719" w:rsidRPr="00FC17EF" w:rsidRDefault="003D5719" w:rsidP="006D36A0">
            <w:pPr>
              <w:ind w:right="-7" w:firstLine="0"/>
              <w:rPr>
                <w:sz w:val="22"/>
                <w:szCs w:val="22"/>
              </w:rPr>
            </w:pPr>
            <w:r w:rsidRPr="00FC17EF">
              <w:rPr>
                <w:sz w:val="22"/>
                <w:szCs w:val="22"/>
              </w:rPr>
              <w:t>февраль 2014</w:t>
            </w:r>
          </w:p>
        </w:tc>
        <w:tc>
          <w:tcPr>
            <w:tcW w:w="2126" w:type="dxa"/>
            <w:noWrap/>
            <w:hideMark/>
          </w:tcPr>
          <w:p w14:paraId="46EA9B48" w14:textId="77777777" w:rsidR="003D5719" w:rsidRPr="00FC17EF" w:rsidRDefault="003D5719" w:rsidP="006D36A0">
            <w:pPr>
              <w:ind w:right="-7" w:firstLine="0"/>
              <w:rPr>
                <w:sz w:val="22"/>
                <w:szCs w:val="22"/>
              </w:rPr>
            </w:pPr>
            <w:r w:rsidRPr="00FC17EF">
              <w:rPr>
                <w:sz w:val="22"/>
                <w:szCs w:val="22"/>
              </w:rPr>
              <w:t>декабрь 2014</w:t>
            </w:r>
          </w:p>
        </w:tc>
      </w:tr>
      <w:tr w:rsidR="003D5719" w:rsidRPr="003D5719" w14:paraId="50024199" w14:textId="77777777" w:rsidTr="00DF7799">
        <w:trPr>
          <w:trHeight w:val="320"/>
        </w:trPr>
        <w:tc>
          <w:tcPr>
            <w:tcW w:w="9889" w:type="dxa"/>
            <w:gridSpan w:val="4"/>
            <w:noWrap/>
            <w:hideMark/>
          </w:tcPr>
          <w:p w14:paraId="7F21D556" w14:textId="77777777" w:rsidR="003D5719" w:rsidRPr="00FC17EF" w:rsidRDefault="003D5719" w:rsidP="002E6C91">
            <w:pPr>
              <w:ind w:right="-7" w:firstLine="0"/>
              <w:jc w:val="center"/>
              <w:rPr>
                <w:b/>
                <w:sz w:val="22"/>
                <w:szCs w:val="22"/>
              </w:rPr>
            </w:pPr>
            <w:r w:rsidRPr="00FC17EF">
              <w:rPr>
                <w:b/>
                <w:sz w:val="22"/>
                <w:szCs w:val="22"/>
              </w:rPr>
              <w:t>В отчете о прибылях и убытках за 2014 год признаны:</w:t>
            </w:r>
          </w:p>
        </w:tc>
      </w:tr>
      <w:tr w:rsidR="00DF7799" w:rsidRPr="003D5719" w14:paraId="5A5FBFAE" w14:textId="77777777" w:rsidTr="00DF7799">
        <w:trPr>
          <w:trHeight w:val="320"/>
        </w:trPr>
        <w:tc>
          <w:tcPr>
            <w:tcW w:w="4219" w:type="dxa"/>
            <w:noWrap/>
            <w:hideMark/>
          </w:tcPr>
          <w:p w14:paraId="019B6014" w14:textId="39B381E6" w:rsidR="003D5719" w:rsidRPr="00FC17EF" w:rsidRDefault="003D5719" w:rsidP="00197748">
            <w:pPr>
              <w:ind w:right="-7" w:firstLine="0"/>
              <w:jc w:val="left"/>
              <w:rPr>
                <w:b/>
                <w:sz w:val="22"/>
                <w:szCs w:val="22"/>
              </w:rPr>
            </w:pPr>
            <w:r w:rsidRPr="00FC17EF">
              <w:rPr>
                <w:b/>
                <w:sz w:val="22"/>
                <w:szCs w:val="22"/>
              </w:rPr>
              <w:t>Выручка</w:t>
            </w:r>
            <w:r w:rsidR="00581933" w:rsidRPr="00FC17EF">
              <w:rPr>
                <w:b/>
                <w:sz w:val="22"/>
                <w:szCs w:val="22"/>
              </w:rPr>
              <w:t>, млн. рублей</w:t>
            </w:r>
          </w:p>
        </w:tc>
        <w:tc>
          <w:tcPr>
            <w:tcW w:w="1843" w:type="dxa"/>
            <w:noWrap/>
            <w:hideMark/>
          </w:tcPr>
          <w:p w14:paraId="40C19C68" w14:textId="77777777" w:rsidR="003D5719" w:rsidRPr="00FC17EF" w:rsidRDefault="003D5719" w:rsidP="006D36A0">
            <w:pPr>
              <w:ind w:right="-7" w:firstLine="0"/>
              <w:rPr>
                <w:sz w:val="22"/>
                <w:szCs w:val="22"/>
              </w:rPr>
            </w:pPr>
            <w:r w:rsidRPr="00FC17EF">
              <w:rPr>
                <w:sz w:val="22"/>
                <w:szCs w:val="22"/>
              </w:rPr>
              <w:t>16,5</w:t>
            </w:r>
          </w:p>
        </w:tc>
        <w:tc>
          <w:tcPr>
            <w:tcW w:w="1701" w:type="dxa"/>
            <w:noWrap/>
            <w:hideMark/>
          </w:tcPr>
          <w:p w14:paraId="5E9A2403" w14:textId="77777777" w:rsidR="003D5719" w:rsidRPr="00FC17EF" w:rsidRDefault="003D5719" w:rsidP="006D36A0">
            <w:pPr>
              <w:ind w:right="-7" w:firstLine="0"/>
              <w:rPr>
                <w:sz w:val="22"/>
                <w:szCs w:val="22"/>
              </w:rPr>
            </w:pPr>
            <w:r w:rsidRPr="00FC17EF">
              <w:rPr>
                <w:sz w:val="22"/>
                <w:szCs w:val="22"/>
              </w:rPr>
              <w:t>-</w:t>
            </w:r>
          </w:p>
        </w:tc>
        <w:tc>
          <w:tcPr>
            <w:tcW w:w="2126" w:type="dxa"/>
            <w:noWrap/>
            <w:hideMark/>
          </w:tcPr>
          <w:p w14:paraId="5A647169" w14:textId="77777777" w:rsidR="003D5719" w:rsidRPr="00FC17EF" w:rsidRDefault="003D5719" w:rsidP="006D36A0">
            <w:pPr>
              <w:ind w:right="-7" w:firstLine="0"/>
              <w:rPr>
                <w:sz w:val="22"/>
                <w:szCs w:val="22"/>
              </w:rPr>
            </w:pPr>
            <w:r w:rsidRPr="00FC17EF">
              <w:rPr>
                <w:sz w:val="22"/>
                <w:szCs w:val="22"/>
              </w:rPr>
              <w:t>-</w:t>
            </w:r>
          </w:p>
        </w:tc>
      </w:tr>
      <w:tr w:rsidR="00DF7799" w:rsidRPr="003D5719" w14:paraId="57DD0178" w14:textId="77777777" w:rsidTr="00DF7799">
        <w:trPr>
          <w:trHeight w:val="320"/>
        </w:trPr>
        <w:tc>
          <w:tcPr>
            <w:tcW w:w="4219" w:type="dxa"/>
            <w:noWrap/>
            <w:hideMark/>
          </w:tcPr>
          <w:p w14:paraId="26495DB0" w14:textId="15460171" w:rsidR="003D5719" w:rsidRPr="00FC17EF" w:rsidRDefault="003D5719" w:rsidP="00197748">
            <w:pPr>
              <w:ind w:right="-7" w:firstLine="0"/>
              <w:jc w:val="left"/>
              <w:rPr>
                <w:b/>
                <w:sz w:val="22"/>
                <w:szCs w:val="22"/>
              </w:rPr>
            </w:pPr>
            <w:r w:rsidRPr="00FC17EF">
              <w:rPr>
                <w:b/>
                <w:sz w:val="22"/>
                <w:szCs w:val="22"/>
              </w:rPr>
              <w:t>Расходы</w:t>
            </w:r>
            <w:r w:rsidR="00581933" w:rsidRPr="00FC17EF">
              <w:rPr>
                <w:b/>
                <w:sz w:val="22"/>
                <w:szCs w:val="22"/>
              </w:rPr>
              <w:t>, млн. рублей</w:t>
            </w:r>
          </w:p>
        </w:tc>
        <w:tc>
          <w:tcPr>
            <w:tcW w:w="1843" w:type="dxa"/>
            <w:noWrap/>
            <w:hideMark/>
          </w:tcPr>
          <w:p w14:paraId="679BFCDB" w14:textId="77777777" w:rsidR="003D5719" w:rsidRPr="00FC17EF" w:rsidRDefault="003D5719" w:rsidP="006D36A0">
            <w:pPr>
              <w:ind w:right="-7" w:firstLine="0"/>
              <w:rPr>
                <w:sz w:val="22"/>
                <w:szCs w:val="22"/>
              </w:rPr>
            </w:pPr>
            <w:r w:rsidRPr="00FC17EF">
              <w:rPr>
                <w:sz w:val="22"/>
                <w:szCs w:val="22"/>
              </w:rPr>
              <w:t>13,5</w:t>
            </w:r>
          </w:p>
        </w:tc>
        <w:tc>
          <w:tcPr>
            <w:tcW w:w="1701" w:type="dxa"/>
            <w:noWrap/>
            <w:hideMark/>
          </w:tcPr>
          <w:p w14:paraId="6640482E" w14:textId="77777777" w:rsidR="003D5719" w:rsidRPr="00FC17EF" w:rsidRDefault="003D5719" w:rsidP="006D36A0">
            <w:pPr>
              <w:ind w:right="-7" w:firstLine="0"/>
              <w:rPr>
                <w:sz w:val="22"/>
                <w:szCs w:val="22"/>
              </w:rPr>
            </w:pPr>
            <w:r w:rsidRPr="00FC17EF">
              <w:rPr>
                <w:sz w:val="22"/>
                <w:szCs w:val="22"/>
              </w:rPr>
              <w:t>-</w:t>
            </w:r>
          </w:p>
        </w:tc>
        <w:tc>
          <w:tcPr>
            <w:tcW w:w="2126" w:type="dxa"/>
            <w:noWrap/>
            <w:hideMark/>
          </w:tcPr>
          <w:p w14:paraId="4B1DF8C2" w14:textId="77777777" w:rsidR="003D5719" w:rsidRPr="00FC17EF" w:rsidRDefault="003D5719" w:rsidP="006D36A0">
            <w:pPr>
              <w:ind w:right="-7" w:firstLine="0"/>
              <w:rPr>
                <w:sz w:val="22"/>
                <w:szCs w:val="22"/>
              </w:rPr>
            </w:pPr>
            <w:r w:rsidRPr="00FC17EF">
              <w:rPr>
                <w:sz w:val="22"/>
                <w:szCs w:val="22"/>
              </w:rPr>
              <w:t>-</w:t>
            </w:r>
          </w:p>
        </w:tc>
      </w:tr>
      <w:tr w:rsidR="00DF7799" w:rsidRPr="003D5719" w14:paraId="450A414A" w14:textId="77777777" w:rsidTr="00DF7799">
        <w:trPr>
          <w:trHeight w:val="320"/>
        </w:trPr>
        <w:tc>
          <w:tcPr>
            <w:tcW w:w="4219" w:type="dxa"/>
            <w:noWrap/>
            <w:hideMark/>
          </w:tcPr>
          <w:p w14:paraId="548E2E03" w14:textId="0B15E1D8" w:rsidR="003D5719" w:rsidRPr="00FC17EF" w:rsidRDefault="003D5719" w:rsidP="00197748">
            <w:pPr>
              <w:ind w:right="-7" w:firstLine="0"/>
              <w:jc w:val="left"/>
              <w:rPr>
                <w:b/>
                <w:sz w:val="22"/>
                <w:szCs w:val="22"/>
              </w:rPr>
            </w:pPr>
            <w:r w:rsidRPr="00FC17EF">
              <w:rPr>
                <w:b/>
                <w:sz w:val="22"/>
                <w:szCs w:val="22"/>
              </w:rPr>
              <w:t>Выставленные счета на отчетную дату</w:t>
            </w:r>
            <w:r w:rsidR="00581933" w:rsidRPr="00FC17EF">
              <w:rPr>
                <w:b/>
                <w:sz w:val="22"/>
                <w:szCs w:val="22"/>
              </w:rPr>
              <w:t>, млн. рублей</w:t>
            </w:r>
          </w:p>
        </w:tc>
        <w:tc>
          <w:tcPr>
            <w:tcW w:w="1843" w:type="dxa"/>
            <w:noWrap/>
            <w:hideMark/>
          </w:tcPr>
          <w:p w14:paraId="6D8805A0" w14:textId="77777777" w:rsidR="003D5719" w:rsidRPr="00FC17EF" w:rsidRDefault="003D5719" w:rsidP="006D36A0">
            <w:pPr>
              <w:ind w:right="-7" w:firstLine="0"/>
              <w:rPr>
                <w:sz w:val="22"/>
                <w:szCs w:val="22"/>
              </w:rPr>
            </w:pPr>
            <w:r w:rsidRPr="00FC17EF">
              <w:rPr>
                <w:sz w:val="22"/>
                <w:szCs w:val="22"/>
              </w:rPr>
              <w:t>75</w:t>
            </w:r>
          </w:p>
        </w:tc>
        <w:tc>
          <w:tcPr>
            <w:tcW w:w="1701" w:type="dxa"/>
            <w:noWrap/>
            <w:hideMark/>
          </w:tcPr>
          <w:p w14:paraId="164CB17B" w14:textId="77777777" w:rsidR="003D5719" w:rsidRPr="00FC17EF" w:rsidRDefault="003D5719" w:rsidP="006D36A0">
            <w:pPr>
              <w:ind w:right="-7" w:firstLine="0"/>
              <w:rPr>
                <w:sz w:val="22"/>
                <w:szCs w:val="22"/>
              </w:rPr>
            </w:pPr>
            <w:r w:rsidRPr="00FC17EF">
              <w:rPr>
                <w:sz w:val="22"/>
                <w:szCs w:val="22"/>
              </w:rPr>
              <w:t>19,5</w:t>
            </w:r>
          </w:p>
        </w:tc>
        <w:tc>
          <w:tcPr>
            <w:tcW w:w="2126" w:type="dxa"/>
            <w:noWrap/>
            <w:hideMark/>
          </w:tcPr>
          <w:p w14:paraId="174173F5" w14:textId="77777777" w:rsidR="003D5719" w:rsidRPr="00FC17EF" w:rsidRDefault="003D5719" w:rsidP="006D36A0">
            <w:pPr>
              <w:ind w:right="-7" w:firstLine="0"/>
              <w:rPr>
                <w:sz w:val="22"/>
                <w:szCs w:val="22"/>
              </w:rPr>
            </w:pPr>
            <w:r w:rsidRPr="00FC17EF">
              <w:rPr>
                <w:sz w:val="22"/>
                <w:szCs w:val="22"/>
              </w:rPr>
              <w:t>3</w:t>
            </w:r>
          </w:p>
        </w:tc>
      </w:tr>
    </w:tbl>
    <w:p w14:paraId="5C9325C4" w14:textId="2C2708FD" w:rsidR="006D36A0" w:rsidRPr="00A401DD" w:rsidRDefault="006D36A0" w:rsidP="00FB1C28">
      <w:pPr>
        <w:ind w:right="-7"/>
        <w:rPr>
          <w:i/>
          <w:sz w:val="20"/>
          <w:szCs w:val="20"/>
        </w:rPr>
      </w:pPr>
      <w:r w:rsidRPr="00A401DD">
        <w:rPr>
          <w:i/>
          <w:sz w:val="20"/>
          <w:szCs w:val="20"/>
        </w:rPr>
        <w:t>Источник: составлено автором</w:t>
      </w:r>
    </w:p>
    <w:p w14:paraId="09FDAD63" w14:textId="0C19A808" w:rsidR="00DF7799" w:rsidRDefault="00DF7799" w:rsidP="006D36A0">
      <w:r>
        <w:lastRenderedPageBreak/>
        <w:t xml:space="preserve">Организация определяет степень завершенности работ по договору как процент принятых </w:t>
      </w:r>
      <w:r w:rsidR="00C47448">
        <w:t>заказчиком</w:t>
      </w:r>
      <w:r>
        <w:t xml:space="preserve"> работ в общей сумме договора. Как видно из табл. 7, расчетные затраты по договору </w:t>
      </w:r>
      <w:r>
        <w:rPr>
          <w:lang w:val="en-US"/>
        </w:rPr>
        <w:t xml:space="preserve">№ 3 </w:t>
      </w:r>
      <w:r w:rsidR="00062602">
        <w:rPr>
          <w:lang w:val="en-US"/>
        </w:rPr>
        <w:t>еще</w:t>
      </w:r>
      <w:r>
        <w:rPr>
          <w:lang w:val="en-US"/>
        </w:rPr>
        <w:t xml:space="preserve"> не определены</w:t>
      </w:r>
      <w:r>
        <w:t xml:space="preserve">. </w:t>
      </w:r>
    </w:p>
    <w:p w14:paraId="071AF0EA" w14:textId="759C8CA0" w:rsidR="006D36A0" w:rsidRDefault="006D36A0" w:rsidP="006D36A0">
      <w:r>
        <w:t xml:space="preserve">Далее необходимо рассчитать процент завершенности работ по договорам на отчетную дату, а также определить, к какому из типов относится каждый контракт. Процент завершенности работ определяется путем деления суммы </w:t>
      </w:r>
      <w:r w:rsidR="00DC420F">
        <w:t xml:space="preserve">принятых заказчиком работ на стоимость </w:t>
      </w:r>
      <w:r w:rsidR="00C47448">
        <w:t>договора</w:t>
      </w:r>
      <w:r w:rsidR="00DC420F">
        <w:t>. Результаты расчетов представлены в табл. 8.</w:t>
      </w:r>
    </w:p>
    <w:p w14:paraId="2E69F948" w14:textId="669527E1" w:rsidR="00471667" w:rsidRPr="00A401DD" w:rsidRDefault="00471667" w:rsidP="00A401DD">
      <w:pPr>
        <w:rPr>
          <w:i/>
        </w:rPr>
      </w:pPr>
      <w:r w:rsidRPr="00A401DD">
        <w:rPr>
          <w:i/>
        </w:rPr>
        <w:t>Таблица 8 Определение типа договора и процента завершенности работ по договорам на строительство</w:t>
      </w:r>
    </w:p>
    <w:tbl>
      <w:tblPr>
        <w:tblStyle w:val="af2"/>
        <w:tblW w:w="0" w:type="auto"/>
        <w:tblLayout w:type="fixed"/>
        <w:tblLook w:val="04A0" w:firstRow="1" w:lastRow="0" w:firstColumn="1" w:lastColumn="0" w:noHBand="0" w:noVBand="1"/>
      </w:tblPr>
      <w:tblGrid>
        <w:gridCol w:w="3794"/>
        <w:gridCol w:w="1559"/>
        <w:gridCol w:w="1559"/>
        <w:gridCol w:w="2745"/>
      </w:tblGrid>
      <w:tr w:rsidR="00376EBA" w:rsidRPr="00DC420F" w14:paraId="017F600F" w14:textId="77777777" w:rsidTr="00376EBA">
        <w:trPr>
          <w:trHeight w:val="320"/>
        </w:trPr>
        <w:tc>
          <w:tcPr>
            <w:tcW w:w="3794" w:type="dxa"/>
            <w:noWrap/>
            <w:hideMark/>
          </w:tcPr>
          <w:p w14:paraId="219A9B2E" w14:textId="77777777" w:rsidR="00DC420F" w:rsidRPr="002E6C91" w:rsidRDefault="00DC420F" w:rsidP="002E6C91">
            <w:pPr>
              <w:ind w:firstLine="0"/>
              <w:jc w:val="center"/>
              <w:rPr>
                <w:b/>
              </w:rPr>
            </w:pPr>
            <w:r w:rsidRPr="002E6C91">
              <w:rPr>
                <w:b/>
              </w:rPr>
              <w:t>Показатель</w:t>
            </w:r>
          </w:p>
        </w:tc>
        <w:tc>
          <w:tcPr>
            <w:tcW w:w="1559" w:type="dxa"/>
            <w:noWrap/>
            <w:hideMark/>
          </w:tcPr>
          <w:p w14:paraId="43400ADA" w14:textId="77777777" w:rsidR="00DC420F" w:rsidRPr="002E6C91" w:rsidRDefault="00DC420F" w:rsidP="002E6C91">
            <w:pPr>
              <w:ind w:firstLine="0"/>
              <w:jc w:val="center"/>
              <w:rPr>
                <w:b/>
              </w:rPr>
            </w:pPr>
            <w:r w:rsidRPr="002E6C91">
              <w:rPr>
                <w:b/>
              </w:rPr>
              <w:t>Договор №1</w:t>
            </w:r>
          </w:p>
        </w:tc>
        <w:tc>
          <w:tcPr>
            <w:tcW w:w="1559" w:type="dxa"/>
            <w:noWrap/>
            <w:hideMark/>
          </w:tcPr>
          <w:p w14:paraId="0AED308E" w14:textId="77777777" w:rsidR="00DC420F" w:rsidRPr="002E6C91" w:rsidRDefault="00DC420F" w:rsidP="002E6C91">
            <w:pPr>
              <w:ind w:firstLine="0"/>
              <w:jc w:val="center"/>
              <w:rPr>
                <w:b/>
              </w:rPr>
            </w:pPr>
            <w:r w:rsidRPr="002E6C91">
              <w:rPr>
                <w:b/>
              </w:rPr>
              <w:t>Договор №2</w:t>
            </w:r>
          </w:p>
        </w:tc>
        <w:tc>
          <w:tcPr>
            <w:tcW w:w="2745" w:type="dxa"/>
            <w:noWrap/>
            <w:hideMark/>
          </w:tcPr>
          <w:p w14:paraId="486C6584" w14:textId="77777777" w:rsidR="00DC420F" w:rsidRPr="002E6C91" w:rsidRDefault="00DC420F" w:rsidP="002E6C91">
            <w:pPr>
              <w:ind w:firstLine="0"/>
              <w:jc w:val="center"/>
              <w:rPr>
                <w:b/>
              </w:rPr>
            </w:pPr>
            <w:r w:rsidRPr="002E6C91">
              <w:rPr>
                <w:b/>
              </w:rPr>
              <w:t>Договор №3</w:t>
            </w:r>
          </w:p>
        </w:tc>
      </w:tr>
      <w:tr w:rsidR="00376EBA" w:rsidRPr="00DC420F" w14:paraId="3FF3BF67" w14:textId="77777777" w:rsidTr="00376EBA">
        <w:trPr>
          <w:trHeight w:val="320"/>
        </w:trPr>
        <w:tc>
          <w:tcPr>
            <w:tcW w:w="3794" w:type="dxa"/>
            <w:noWrap/>
            <w:hideMark/>
          </w:tcPr>
          <w:p w14:paraId="0E94D088" w14:textId="6563CB74" w:rsidR="00DC420F" w:rsidRPr="002E6C91" w:rsidRDefault="00DC420F" w:rsidP="002E6C91">
            <w:pPr>
              <w:ind w:firstLine="0"/>
              <w:jc w:val="center"/>
              <w:rPr>
                <w:b/>
              </w:rPr>
            </w:pPr>
            <w:r w:rsidRPr="002E6C91">
              <w:rPr>
                <w:b/>
              </w:rPr>
              <w:t>Стоимость договора</w:t>
            </w:r>
            <w:r w:rsidR="00581933" w:rsidRPr="002E6C91">
              <w:rPr>
                <w:b/>
              </w:rPr>
              <w:t>, млн. рублей</w:t>
            </w:r>
          </w:p>
        </w:tc>
        <w:tc>
          <w:tcPr>
            <w:tcW w:w="1559" w:type="dxa"/>
            <w:noWrap/>
            <w:hideMark/>
          </w:tcPr>
          <w:p w14:paraId="7E10A3E8" w14:textId="77777777" w:rsidR="00DC420F" w:rsidRPr="00DC420F" w:rsidRDefault="00DC420F" w:rsidP="002E6C91">
            <w:pPr>
              <w:ind w:firstLine="0"/>
              <w:jc w:val="right"/>
            </w:pPr>
            <w:r w:rsidRPr="00DC420F">
              <w:t>300</w:t>
            </w:r>
          </w:p>
        </w:tc>
        <w:tc>
          <w:tcPr>
            <w:tcW w:w="1559" w:type="dxa"/>
            <w:noWrap/>
            <w:hideMark/>
          </w:tcPr>
          <w:p w14:paraId="5F6CF0F4" w14:textId="77777777" w:rsidR="00DC420F" w:rsidRPr="00DC420F" w:rsidRDefault="00DC420F" w:rsidP="002E6C91">
            <w:pPr>
              <w:ind w:firstLine="0"/>
              <w:jc w:val="right"/>
            </w:pPr>
            <w:r w:rsidRPr="00DC420F">
              <w:t>90</w:t>
            </w:r>
          </w:p>
        </w:tc>
        <w:tc>
          <w:tcPr>
            <w:tcW w:w="2745" w:type="dxa"/>
            <w:noWrap/>
            <w:hideMark/>
          </w:tcPr>
          <w:p w14:paraId="7164B800" w14:textId="77777777" w:rsidR="00DC420F" w:rsidRPr="00DC420F" w:rsidRDefault="00DC420F" w:rsidP="002E6C91">
            <w:pPr>
              <w:ind w:firstLine="0"/>
              <w:jc w:val="right"/>
            </w:pPr>
            <w:r w:rsidRPr="00DC420F">
              <w:t>150</w:t>
            </w:r>
          </w:p>
        </w:tc>
      </w:tr>
      <w:tr w:rsidR="00376EBA" w:rsidRPr="00DC420F" w14:paraId="3000CB1D" w14:textId="77777777" w:rsidTr="00376EBA">
        <w:trPr>
          <w:trHeight w:val="320"/>
        </w:trPr>
        <w:tc>
          <w:tcPr>
            <w:tcW w:w="3794" w:type="dxa"/>
            <w:noWrap/>
            <w:hideMark/>
          </w:tcPr>
          <w:p w14:paraId="05029F60" w14:textId="3439A688" w:rsidR="00DC420F" w:rsidRPr="002E6C91" w:rsidRDefault="00DC420F" w:rsidP="002E6C91">
            <w:pPr>
              <w:ind w:firstLine="0"/>
              <w:jc w:val="center"/>
              <w:rPr>
                <w:b/>
              </w:rPr>
            </w:pPr>
            <w:r w:rsidRPr="002E6C91">
              <w:rPr>
                <w:b/>
              </w:rPr>
              <w:t>Понесенные затраты (на отчетную дату)</w:t>
            </w:r>
            <w:r w:rsidR="00581933" w:rsidRPr="002E6C91">
              <w:rPr>
                <w:b/>
              </w:rPr>
              <w:t>, млн. рублей</w:t>
            </w:r>
          </w:p>
        </w:tc>
        <w:tc>
          <w:tcPr>
            <w:tcW w:w="1559" w:type="dxa"/>
            <w:noWrap/>
            <w:hideMark/>
          </w:tcPr>
          <w:p w14:paraId="50A8C7E4" w14:textId="77777777" w:rsidR="00DC420F" w:rsidRPr="00DC420F" w:rsidRDefault="00DC420F" w:rsidP="002E6C91">
            <w:pPr>
              <w:ind w:firstLine="0"/>
              <w:jc w:val="right"/>
            </w:pPr>
            <w:r w:rsidRPr="00DC420F">
              <w:t>-150</w:t>
            </w:r>
          </w:p>
        </w:tc>
        <w:tc>
          <w:tcPr>
            <w:tcW w:w="1559" w:type="dxa"/>
            <w:noWrap/>
            <w:hideMark/>
          </w:tcPr>
          <w:p w14:paraId="7609617F" w14:textId="77777777" w:rsidR="00DC420F" w:rsidRPr="00DC420F" w:rsidRDefault="00DC420F" w:rsidP="002E6C91">
            <w:pPr>
              <w:ind w:firstLine="0"/>
              <w:jc w:val="right"/>
            </w:pPr>
            <w:r w:rsidRPr="00DC420F">
              <w:t>-15</w:t>
            </w:r>
          </w:p>
        </w:tc>
        <w:tc>
          <w:tcPr>
            <w:tcW w:w="2745" w:type="dxa"/>
            <w:noWrap/>
            <w:hideMark/>
          </w:tcPr>
          <w:p w14:paraId="60EE4603" w14:textId="77777777" w:rsidR="00DC420F" w:rsidRPr="00DC420F" w:rsidRDefault="00DC420F" w:rsidP="002E6C91">
            <w:pPr>
              <w:ind w:firstLine="0"/>
              <w:jc w:val="right"/>
            </w:pPr>
            <w:r w:rsidRPr="00DC420F">
              <w:t>-0,6</w:t>
            </w:r>
          </w:p>
        </w:tc>
      </w:tr>
      <w:tr w:rsidR="00376EBA" w:rsidRPr="00DC420F" w14:paraId="695C3F21" w14:textId="77777777" w:rsidTr="00376EBA">
        <w:trPr>
          <w:trHeight w:val="320"/>
        </w:trPr>
        <w:tc>
          <w:tcPr>
            <w:tcW w:w="3794" w:type="dxa"/>
            <w:noWrap/>
            <w:hideMark/>
          </w:tcPr>
          <w:p w14:paraId="297CF233" w14:textId="4D1885F3" w:rsidR="00DC420F" w:rsidRPr="002E6C91" w:rsidRDefault="00DC420F" w:rsidP="002E6C91">
            <w:pPr>
              <w:ind w:firstLine="0"/>
              <w:jc w:val="center"/>
              <w:rPr>
                <w:b/>
              </w:rPr>
            </w:pPr>
            <w:r w:rsidRPr="002E6C91">
              <w:rPr>
                <w:b/>
              </w:rPr>
              <w:t>Расчетные затраты на завершение</w:t>
            </w:r>
            <w:r w:rsidR="00581933" w:rsidRPr="002E6C91">
              <w:rPr>
                <w:b/>
              </w:rPr>
              <w:t>, млн. рублей</w:t>
            </w:r>
          </w:p>
        </w:tc>
        <w:tc>
          <w:tcPr>
            <w:tcW w:w="1559" w:type="dxa"/>
            <w:noWrap/>
            <w:hideMark/>
          </w:tcPr>
          <w:p w14:paraId="39646020" w14:textId="77777777" w:rsidR="00DC420F" w:rsidRPr="00DC420F" w:rsidRDefault="00DC420F" w:rsidP="002E6C91">
            <w:pPr>
              <w:ind w:firstLine="0"/>
              <w:jc w:val="right"/>
            </w:pPr>
            <w:r w:rsidRPr="00DC420F">
              <w:t>-60</w:t>
            </w:r>
          </w:p>
        </w:tc>
        <w:tc>
          <w:tcPr>
            <w:tcW w:w="1559" w:type="dxa"/>
            <w:noWrap/>
            <w:hideMark/>
          </w:tcPr>
          <w:p w14:paraId="5AC87E0B" w14:textId="77777777" w:rsidR="00DC420F" w:rsidRPr="00DC420F" w:rsidRDefault="00DC420F" w:rsidP="002E6C91">
            <w:pPr>
              <w:ind w:firstLine="0"/>
              <w:jc w:val="right"/>
            </w:pPr>
            <w:r w:rsidRPr="00DC420F">
              <w:t>-84</w:t>
            </w:r>
          </w:p>
        </w:tc>
        <w:tc>
          <w:tcPr>
            <w:tcW w:w="2745" w:type="dxa"/>
            <w:noWrap/>
            <w:hideMark/>
          </w:tcPr>
          <w:p w14:paraId="589864B4" w14:textId="77777777" w:rsidR="00DC420F" w:rsidRPr="00DC420F" w:rsidRDefault="00DC420F" w:rsidP="002E6C91">
            <w:pPr>
              <w:ind w:firstLine="0"/>
              <w:jc w:val="right"/>
            </w:pPr>
            <w:r w:rsidRPr="00DC420F">
              <w:t>нельзя определить</w:t>
            </w:r>
          </w:p>
        </w:tc>
      </w:tr>
      <w:tr w:rsidR="00376EBA" w:rsidRPr="00DC420F" w14:paraId="7105D9A6" w14:textId="77777777" w:rsidTr="00376EBA">
        <w:trPr>
          <w:trHeight w:val="320"/>
        </w:trPr>
        <w:tc>
          <w:tcPr>
            <w:tcW w:w="3794" w:type="dxa"/>
            <w:noWrap/>
            <w:hideMark/>
          </w:tcPr>
          <w:p w14:paraId="12EECADB" w14:textId="2AD6822F" w:rsidR="00DC420F" w:rsidRPr="002E6C91" w:rsidRDefault="00DC420F" w:rsidP="002E6C91">
            <w:pPr>
              <w:ind w:firstLine="0"/>
              <w:jc w:val="center"/>
              <w:rPr>
                <w:b/>
              </w:rPr>
            </w:pPr>
            <w:r w:rsidRPr="002E6C91">
              <w:rPr>
                <w:b/>
              </w:rPr>
              <w:t>Общие расходы по договору</w:t>
            </w:r>
            <w:r w:rsidR="00581933" w:rsidRPr="002E6C91">
              <w:rPr>
                <w:b/>
              </w:rPr>
              <w:t>, млн. рублей</w:t>
            </w:r>
          </w:p>
        </w:tc>
        <w:tc>
          <w:tcPr>
            <w:tcW w:w="1559" w:type="dxa"/>
            <w:noWrap/>
            <w:hideMark/>
          </w:tcPr>
          <w:p w14:paraId="6DE8DC51" w14:textId="77777777" w:rsidR="00DC420F" w:rsidRPr="00DC420F" w:rsidRDefault="00DC420F" w:rsidP="002E6C91">
            <w:pPr>
              <w:ind w:firstLine="0"/>
              <w:jc w:val="right"/>
            </w:pPr>
            <w:r w:rsidRPr="00DC420F">
              <w:t>-210</w:t>
            </w:r>
          </w:p>
        </w:tc>
        <w:tc>
          <w:tcPr>
            <w:tcW w:w="1559" w:type="dxa"/>
            <w:noWrap/>
            <w:hideMark/>
          </w:tcPr>
          <w:p w14:paraId="19590870" w14:textId="77777777" w:rsidR="00DC420F" w:rsidRPr="00DC420F" w:rsidRDefault="00DC420F" w:rsidP="002E6C91">
            <w:pPr>
              <w:ind w:firstLine="0"/>
              <w:jc w:val="right"/>
            </w:pPr>
            <w:r w:rsidRPr="00DC420F">
              <w:t>-99</w:t>
            </w:r>
          </w:p>
        </w:tc>
        <w:tc>
          <w:tcPr>
            <w:tcW w:w="2745" w:type="dxa"/>
            <w:noWrap/>
            <w:hideMark/>
          </w:tcPr>
          <w:p w14:paraId="07A571A7" w14:textId="5738B04C" w:rsidR="00DC420F" w:rsidRPr="00DC420F" w:rsidRDefault="00376EBA" w:rsidP="002E6C91">
            <w:pPr>
              <w:ind w:firstLine="0"/>
              <w:jc w:val="right"/>
            </w:pPr>
            <w:r w:rsidRPr="00DC420F">
              <w:t>нельзя определить</w:t>
            </w:r>
          </w:p>
        </w:tc>
      </w:tr>
      <w:tr w:rsidR="00376EBA" w:rsidRPr="00DC420F" w14:paraId="5C115C5A" w14:textId="77777777" w:rsidTr="00376EBA">
        <w:trPr>
          <w:trHeight w:val="320"/>
        </w:trPr>
        <w:tc>
          <w:tcPr>
            <w:tcW w:w="3794" w:type="dxa"/>
            <w:noWrap/>
            <w:hideMark/>
          </w:tcPr>
          <w:p w14:paraId="087BA82C" w14:textId="5F15DD50" w:rsidR="00DC420F" w:rsidRPr="002E6C91" w:rsidRDefault="00DC420F" w:rsidP="002E6C91">
            <w:pPr>
              <w:ind w:firstLine="0"/>
              <w:jc w:val="center"/>
              <w:rPr>
                <w:b/>
              </w:rPr>
            </w:pPr>
            <w:r w:rsidRPr="002E6C91">
              <w:rPr>
                <w:b/>
              </w:rPr>
              <w:t>Ожидаемая прибыль (убыток) по договору</w:t>
            </w:r>
            <w:r w:rsidR="00581933" w:rsidRPr="002E6C91">
              <w:rPr>
                <w:b/>
              </w:rPr>
              <w:t>, млн. рублей</w:t>
            </w:r>
          </w:p>
        </w:tc>
        <w:tc>
          <w:tcPr>
            <w:tcW w:w="1559" w:type="dxa"/>
            <w:noWrap/>
            <w:hideMark/>
          </w:tcPr>
          <w:p w14:paraId="0AEF64FF" w14:textId="77777777" w:rsidR="00DC420F" w:rsidRPr="00DC420F" w:rsidRDefault="00DC420F" w:rsidP="002E6C91">
            <w:pPr>
              <w:ind w:firstLine="0"/>
              <w:jc w:val="right"/>
            </w:pPr>
            <w:r w:rsidRPr="00DC420F">
              <w:t>90</w:t>
            </w:r>
          </w:p>
        </w:tc>
        <w:tc>
          <w:tcPr>
            <w:tcW w:w="1559" w:type="dxa"/>
            <w:noWrap/>
            <w:hideMark/>
          </w:tcPr>
          <w:p w14:paraId="1D024947" w14:textId="77777777" w:rsidR="00DC420F" w:rsidRPr="00DC420F" w:rsidRDefault="00DC420F" w:rsidP="002E6C91">
            <w:pPr>
              <w:ind w:firstLine="0"/>
              <w:jc w:val="right"/>
            </w:pPr>
            <w:r w:rsidRPr="00DC420F">
              <w:t>-9</w:t>
            </w:r>
          </w:p>
        </w:tc>
        <w:tc>
          <w:tcPr>
            <w:tcW w:w="2745" w:type="dxa"/>
            <w:noWrap/>
            <w:hideMark/>
          </w:tcPr>
          <w:p w14:paraId="7BC1FCEF" w14:textId="34D02CC6" w:rsidR="00DC420F" w:rsidRPr="00DC420F" w:rsidRDefault="00376EBA" w:rsidP="002E6C91">
            <w:pPr>
              <w:ind w:firstLine="0"/>
              <w:jc w:val="right"/>
            </w:pPr>
            <w:r w:rsidRPr="00DC420F">
              <w:t>нельзя определить</w:t>
            </w:r>
          </w:p>
        </w:tc>
      </w:tr>
      <w:tr w:rsidR="00376EBA" w:rsidRPr="00DC420F" w14:paraId="5D2B8D10" w14:textId="77777777" w:rsidTr="00376EBA">
        <w:trPr>
          <w:trHeight w:val="320"/>
        </w:trPr>
        <w:tc>
          <w:tcPr>
            <w:tcW w:w="3794" w:type="dxa"/>
            <w:noWrap/>
            <w:hideMark/>
          </w:tcPr>
          <w:p w14:paraId="2110C888" w14:textId="77777777" w:rsidR="00DC420F" w:rsidRPr="002E6C91" w:rsidRDefault="00DC420F" w:rsidP="002E6C91">
            <w:pPr>
              <w:ind w:firstLine="0"/>
              <w:jc w:val="center"/>
              <w:rPr>
                <w:b/>
              </w:rPr>
            </w:pPr>
            <w:r w:rsidRPr="002E6C91">
              <w:rPr>
                <w:b/>
              </w:rPr>
              <w:t>Тип договора</w:t>
            </w:r>
          </w:p>
        </w:tc>
        <w:tc>
          <w:tcPr>
            <w:tcW w:w="1559" w:type="dxa"/>
            <w:noWrap/>
            <w:hideMark/>
          </w:tcPr>
          <w:p w14:paraId="1BE9C919" w14:textId="77777777" w:rsidR="00DC420F" w:rsidRPr="00DC420F" w:rsidRDefault="00DC420F" w:rsidP="002E6C91">
            <w:pPr>
              <w:ind w:firstLine="0"/>
              <w:jc w:val="right"/>
            </w:pPr>
            <w:r w:rsidRPr="00DC420F">
              <w:t>прибыльный</w:t>
            </w:r>
          </w:p>
        </w:tc>
        <w:tc>
          <w:tcPr>
            <w:tcW w:w="1559" w:type="dxa"/>
            <w:noWrap/>
            <w:hideMark/>
          </w:tcPr>
          <w:p w14:paraId="72D486B1" w14:textId="77777777" w:rsidR="00DC420F" w:rsidRPr="00DC420F" w:rsidRDefault="00DC420F" w:rsidP="002E6C91">
            <w:pPr>
              <w:ind w:firstLine="0"/>
              <w:jc w:val="right"/>
            </w:pPr>
            <w:r w:rsidRPr="00DC420F">
              <w:t>убыточный</w:t>
            </w:r>
          </w:p>
        </w:tc>
        <w:tc>
          <w:tcPr>
            <w:tcW w:w="2745" w:type="dxa"/>
            <w:noWrap/>
            <w:hideMark/>
          </w:tcPr>
          <w:p w14:paraId="5E40207F" w14:textId="3152879D" w:rsidR="00DC420F" w:rsidRPr="00DC420F" w:rsidRDefault="00DC420F" w:rsidP="002E6C91">
            <w:pPr>
              <w:ind w:firstLine="0"/>
              <w:jc w:val="right"/>
            </w:pPr>
            <w:r w:rsidRPr="00DC420F">
              <w:t>результат не может быть надежно оценен</w:t>
            </w:r>
          </w:p>
        </w:tc>
      </w:tr>
      <w:tr w:rsidR="00376EBA" w:rsidRPr="00DC420F" w14:paraId="2D67F97F" w14:textId="77777777" w:rsidTr="00376EBA">
        <w:trPr>
          <w:trHeight w:val="320"/>
        </w:trPr>
        <w:tc>
          <w:tcPr>
            <w:tcW w:w="3794" w:type="dxa"/>
            <w:noWrap/>
            <w:hideMark/>
          </w:tcPr>
          <w:p w14:paraId="6ACF925A" w14:textId="6200D58E" w:rsidR="00DC420F" w:rsidRPr="002E6C91" w:rsidRDefault="00DC420F" w:rsidP="002E6C91">
            <w:pPr>
              <w:ind w:firstLine="0"/>
              <w:jc w:val="center"/>
              <w:rPr>
                <w:b/>
              </w:rPr>
            </w:pPr>
            <w:r w:rsidRPr="002E6C91">
              <w:rPr>
                <w:b/>
              </w:rPr>
              <w:t>Процент завершенности на отчетную дату</w:t>
            </w:r>
          </w:p>
        </w:tc>
        <w:tc>
          <w:tcPr>
            <w:tcW w:w="1559" w:type="dxa"/>
            <w:noWrap/>
            <w:hideMark/>
          </w:tcPr>
          <w:p w14:paraId="382E63FB" w14:textId="77777777" w:rsidR="00DC420F" w:rsidRPr="00DC420F" w:rsidRDefault="00DC420F" w:rsidP="002E6C91">
            <w:pPr>
              <w:ind w:firstLine="0"/>
              <w:jc w:val="right"/>
            </w:pPr>
            <w:r w:rsidRPr="00DC420F">
              <w:t>30%</w:t>
            </w:r>
          </w:p>
        </w:tc>
        <w:tc>
          <w:tcPr>
            <w:tcW w:w="1559" w:type="dxa"/>
            <w:noWrap/>
            <w:hideMark/>
          </w:tcPr>
          <w:p w14:paraId="66BE7391" w14:textId="77777777" w:rsidR="00DC420F" w:rsidRPr="00DC420F" w:rsidRDefault="00DC420F" w:rsidP="002E6C91">
            <w:pPr>
              <w:ind w:firstLine="0"/>
              <w:jc w:val="right"/>
            </w:pPr>
            <w:r w:rsidRPr="00DC420F">
              <w:t>20%</w:t>
            </w:r>
          </w:p>
        </w:tc>
        <w:tc>
          <w:tcPr>
            <w:tcW w:w="2745" w:type="dxa"/>
            <w:noWrap/>
            <w:hideMark/>
          </w:tcPr>
          <w:p w14:paraId="33646448" w14:textId="77777777" w:rsidR="00DC420F" w:rsidRPr="00DC420F" w:rsidRDefault="00DC420F" w:rsidP="002E6C91">
            <w:pPr>
              <w:ind w:firstLine="0"/>
              <w:jc w:val="right"/>
            </w:pPr>
            <w:r w:rsidRPr="00DC420F">
              <w:t>1%</w:t>
            </w:r>
          </w:p>
        </w:tc>
      </w:tr>
    </w:tbl>
    <w:p w14:paraId="64D83B1A" w14:textId="56603AA5" w:rsidR="00581933" w:rsidRPr="00A401DD" w:rsidRDefault="00581933" w:rsidP="006D36A0">
      <w:pPr>
        <w:rPr>
          <w:i/>
          <w:sz w:val="20"/>
          <w:szCs w:val="20"/>
        </w:rPr>
      </w:pPr>
      <w:r w:rsidRPr="00A401DD">
        <w:rPr>
          <w:i/>
          <w:sz w:val="20"/>
          <w:szCs w:val="20"/>
        </w:rPr>
        <w:t>Источник: составлено автором</w:t>
      </w:r>
    </w:p>
    <w:p w14:paraId="44B6C2DA" w14:textId="7E359218" w:rsidR="00581933" w:rsidRPr="0003431A" w:rsidRDefault="00581933" w:rsidP="006D36A0">
      <w:pPr>
        <w:rPr>
          <w:lang w:val="en-US"/>
        </w:rPr>
      </w:pPr>
      <w:r>
        <w:t>Далее, руководствуясь а</w:t>
      </w:r>
      <w:r w:rsidR="00DF7799">
        <w:t>лгоритмом, изображенным на рис.4</w:t>
      </w:r>
      <w:r>
        <w:t xml:space="preserve">, можно определить суммы выручки, </w:t>
      </w:r>
      <w:r w:rsidR="00364EF0">
        <w:t>затрат</w:t>
      </w:r>
      <w:r>
        <w:t xml:space="preserve"> и прибыли (или же убытка), которые организация имеет право признать на отчетную дату (31 декабря 2015 года). </w:t>
      </w:r>
      <w:r w:rsidR="00364EF0">
        <w:t xml:space="preserve">Результаты </w:t>
      </w:r>
      <w:r w:rsidR="00C47448">
        <w:t>представлены</w:t>
      </w:r>
      <w:r w:rsidR="00364EF0">
        <w:t xml:space="preserve"> в табл. 9. </w:t>
      </w:r>
      <w:r w:rsidR="00E77171">
        <w:t xml:space="preserve">Показатели по </w:t>
      </w:r>
      <w:r w:rsidR="00C47448">
        <w:t>договору</w:t>
      </w:r>
      <w:r w:rsidR="00E77171">
        <w:t xml:space="preserve"> №1 были скорректированы на уже признанные в 2014 году суммы. </w:t>
      </w:r>
      <w:r w:rsidR="00364EF0">
        <w:t>Величина затрат на отчетную дату по убыточному договору (договор №2) была рассчитана путем суммирования величины выручки и убытка</w:t>
      </w:r>
      <w:r w:rsidR="00E77171">
        <w:t xml:space="preserve"> (выручка по данному договору составила 18 миллионов рублей, а затраты – 27 миллионов рублей).</w:t>
      </w:r>
      <w:r w:rsidR="00017475">
        <w:t xml:space="preserve"> Финансовый результат по договору №3 нулевой, поскольку в данном случае выручка признается в соответствии с признанными затратами по дог</w:t>
      </w:r>
      <w:r w:rsidR="0003431A">
        <w:t>о</w:t>
      </w:r>
      <w:r w:rsidR="00017475">
        <w:t>вору.</w:t>
      </w:r>
    </w:p>
    <w:p w14:paraId="15C91815" w14:textId="72AACBDB" w:rsidR="00BE6E8B" w:rsidRPr="00A401DD" w:rsidRDefault="00BE6E8B" w:rsidP="00A401DD">
      <w:pPr>
        <w:rPr>
          <w:i/>
        </w:rPr>
      </w:pPr>
      <w:r w:rsidRPr="00A401DD">
        <w:rPr>
          <w:i/>
        </w:rPr>
        <w:lastRenderedPageBreak/>
        <w:t xml:space="preserve">Таблица 9 Выручка, затраты и финансовый результат по </w:t>
      </w:r>
      <w:r w:rsidR="00C47448" w:rsidRPr="00A401DD">
        <w:rPr>
          <w:i/>
        </w:rPr>
        <w:t>договорам</w:t>
      </w:r>
      <w:r w:rsidRPr="00A401DD">
        <w:rPr>
          <w:i/>
        </w:rPr>
        <w:t xml:space="preserve"> на строительство на отчетную дату</w:t>
      </w:r>
    </w:p>
    <w:tbl>
      <w:tblPr>
        <w:tblStyle w:val="af2"/>
        <w:tblW w:w="0" w:type="auto"/>
        <w:tblLayout w:type="fixed"/>
        <w:tblLook w:val="04A0" w:firstRow="1" w:lastRow="0" w:firstColumn="1" w:lastColumn="0" w:noHBand="0" w:noVBand="1"/>
      </w:tblPr>
      <w:tblGrid>
        <w:gridCol w:w="4219"/>
        <w:gridCol w:w="1877"/>
        <w:gridCol w:w="1809"/>
        <w:gridCol w:w="1842"/>
      </w:tblGrid>
      <w:tr w:rsidR="00DF7799" w:rsidRPr="00364EF0" w14:paraId="31D7588C" w14:textId="77777777" w:rsidTr="00DF7799">
        <w:trPr>
          <w:trHeight w:val="320"/>
        </w:trPr>
        <w:tc>
          <w:tcPr>
            <w:tcW w:w="4219" w:type="dxa"/>
            <w:noWrap/>
            <w:hideMark/>
          </w:tcPr>
          <w:p w14:paraId="7DAF8E8C" w14:textId="77777777" w:rsidR="00364EF0" w:rsidRPr="002E6C91" w:rsidRDefault="00364EF0" w:rsidP="002E6C91">
            <w:pPr>
              <w:jc w:val="center"/>
              <w:rPr>
                <w:b/>
              </w:rPr>
            </w:pPr>
            <w:r w:rsidRPr="002E6C91">
              <w:rPr>
                <w:b/>
              </w:rPr>
              <w:t>Показатель</w:t>
            </w:r>
          </w:p>
        </w:tc>
        <w:tc>
          <w:tcPr>
            <w:tcW w:w="1877" w:type="dxa"/>
            <w:noWrap/>
            <w:hideMark/>
          </w:tcPr>
          <w:p w14:paraId="52FC927C" w14:textId="77777777" w:rsidR="00364EF0" w:rsidRPr="002E6C91" w:rsidRDefault="00364EF0">
            <w:pPr>
              <w:rPr>
                <w:b/>
              </w:rPr>
            </w:pPr>
            <w:r w:rsidRPr="002E6C91">
              <w:rPr>
                <w:b/>
              </w:rPr>
              <w:t>Договор №1</w:t>
            </w:r>
          </w:p>
        </w:tc>
        <w:tc>
          <w:tcPr>
            <w:tcW w:w="1809" w:type="dxa"/>
            <w:noWrap/>
            <w:hideMark/>
          </w:tcPr>
          <w:p w14:paraId="3E8C822D" w14:textId="77777777" w:rsidR="00364EF0" w:rsidRPr="002E6C91" w:rsidRDefault="00364EF0">
            <w:pPr>
              <w:rPr>
                <w:b/>
              </w:rPr>
            </w:pPr>
            <w:r w:rsidRPr="002E6C91">
              <w:rPr>
                <w:b/>
              </w:rPr>
              <w:t>Договор №2</w:t>
            </w:r>
          </w:p>
        </w:tc>
        <w:tc>
          <w:tcPr>
            <w:tcW w:w="1842" w:type="dxa"/>
            <w:noWrap/>
            <w:hideMark/>
          </w:tcPr>
          <w:p w14:paraId="2F6ADE1A" w14:textId="77777777" w:rsidR="00364EF0" w:rsidRPr="002E6C91" w:rsidRDefault="00364EF0">
            <w:pPr>
              <w:rPr>
                <w:b/>
              </w:rPr>
            </w:pPr>
            <w:r w:rsidRPr="002E6C91">
              <w:rPr>
                <w:b/>
              </w:rPr>
              <w:t>Договор №3</w:t>
            </w:r>
          </w:p>
        </w:tc>
      </w:tr>
      <w:tr w:rsidR="00DF7799" w:rsidRPr="00364EF0" w14:paraId="7CDBE77D" w14:textId="77777777" w:rsidTr="00DF7799">
        <w:trPr>
          <w:trHeight w:val="320"/>
        </w:trPr>
        <w:tc>
          <w:tcPr>
            <w:tcW w:w="4219" w:type="dxa"/>
            <w:noWrap/>
            <w:hideMark/>
          </w:tcPr>
          <w:p w14:paraId="2D6CC92E" w14:textId="77777777" w:rsidR="00364EF0" w:rsidRPr="002E6C91" w:rsidRDefault="00364EF0" w:rsidP="002E6C91">
            <w:pPr>
              <w:jc w:val="center"/>
              <w:rPr>
                <w:b/>
              </w:rPr>
            </w:pPr>
            <w:r w:rsidRPr="002E6C91">
              <w:rPr>
                <w:b/>
              </w:rPr>
              <w:t>Выручка на отчетную дату, млн. рублей</w:t>
            </w:r>
          </w:p>
        </w:tc>
        <w:tc>
          <w:tcPr>
            <w:tcW w:w="1877" w:type="dxa"/>
            <w:noWrap/>
            <w:hideMark/>
          </w:tcPr>
          <w:p w14:paraId="416EA6C7" w14:textId="77777777" w:rsidR="00364EF0" w:rsidRPr="00364EF0" w:rsidRDefault="00364EF0" w:rsidP="002E6C91">
            <w:pPr>
              <w:jc w:val="right"/>
            </w:pPr>
            <w:r w:rsidRPr="00364EF0">
              <w:t>90</w:t>
            </w:r>
          </w:p>
        </w:tc>
        <w:tc>
          <w:tcPr>
            <w:tcW w:w="1809" w:type="dxa"/>
            <w:noWrap/>
            <w:hideMark/>
          </w:tcPr>
          <w:p w14:paraId="4D00FB8E" w14:textId="77777777" w:rsidR="00364EF0" w:rsidRPr="00364EF0" w:rsidRDefault="00364EF0" w:rsidP="002E6C91">
            <w:pPr>
              <w:jc w:val="right"/>
            </w:pPr>
            <w:r w:rsidRPr="00364EF0">
              <w:t>18</w:t>
            </w:r>
          </w:p>
        </w:tc>
        <w:tc>
          <w:tcPr>
            <w:tcW w:w="1842" w:type="dxa"/>
            <w:noWrap/>
            <w:hideMark/>
          </w:tcPr>
          <w:p w14:paraId="39BF5991" w14:textId="77777777" w:rsidR="00364EF0" w:rsidRPr="00364EF0" w:rsidRDefault="00364EF0" w:rsidP="002E6C91">
            <w:pPr>
              <w:jc w:val="right"/>
            </w:pPr>
            <w:r w:rsidRPr="00364EF0">
              <w:t>0,6</w:t>
            </w:r>
          </w:p>
        </w:tc>
      </w:tr>
      <w:tr w:rsidR="00DF7799" w:rsidRPr="00364EF0" w14:paraId="10AB55F1" w14:textId="77777777" w:rsidTr="00DF7799">
        <w:trPr>
          <w:trHeight w:val="320"/>
        </w:trPr>
        <w:tc>
          <w:tcPr>
            <w:tcW w:w="4219" w:type="dxa"/>
            <w:noWrap/>
            <w:hideMark/>
          </w:tcPr>
          <w:p w14:paraId="1B4CA21F" w14:textId="17BC6F98" w:rsidR="00364EF0" w:rsidRPr="002E6C91" w:rsidRDefault="00364EF0" w:rsidP="002E6C91">
            <w:pPr>
              <w:jc w:val="center"/>
              <w:rPr>
                <w:b/>
              </w:rPr>
            </w:pPr>
            <w:r w:rsidRPr="002E6C91">
              <w:rPr>
                <w:b/>
              </w:rPr>
              <w:t>Затраты на отчетную дату</w:t>
            </w:r>
            <w:r w:rsidR="00F5756D" w:rsidRPr="002E6C91">
              <w:rPr>
                <w:b/>
              </w:rPr>
              <w:t>,</w:t>
            </w:r>
            <w:r w:rsidRPr="002E6C91">
              <w:rPr>
                <w:b/>
              </w:rPr>
              <w:t xml:space="preserve"> млн. рублей</w:t>
            </w:r>
          </w:p>
        </w:tc>
        <w:tc>
          <w:tcPr>
            <w:tcW w:w="1877" w:type="dxa"/>
            <w:noWrap/>
            <w:hideMark/>
          </w:tcPr>
          <w:p w14:paraId="65F42E8A" w14:textId="34D37A63" w:rsidR="00364EF0" w:rsidRPr="00364EF0" w:rsidRDefault="00364EF0" w:rsidP="002E6C91">
            <w:pPr>
              <w:jc w:val="right"/>
            </w:pPr>
            <w:r w:rsidRPr="00364EF0">
              <w:t>-</w:t>
            </w:r>
            <w:r w:rsidR="00BE6E8B">
              <w:t>63</w:t>
            </w:r>
          </w:p>
        </w:tc>
        <w:tc>
          <w:tcPr>
            <w:tcW w:w="1809" w:type="dxa"/>
            <w:noWrap/>
            <w:hideMark/>
          </w:tcPr>
          <w:p w14:paraId="63AA5593" w14:textId="5100C9D0" w:rsidR="00364EF0" w:rsidRPr="00364EF0" w:rsidRDefault="00F5756D" w:rsidP="002E6C91">
            <w:pPr>
              <w:jc w:val="right"/>
            </w:pPr>
            <w:r>
              <w:t>-</w:t>
            </w:r>
            <w:r w:rsidR="00364EF0" w:rsidRPr="00364EF0">
              <w:t>27</w:t>
            </w:r>
          </w:p>
        </w:tc>
        <w:tc>
          <w:tcPr>
            <w:tcW w:w="1842" w:type="dxa"/>
            <w:noWrap/>
            <w:hideMark/>
          </w:tcPr>
          <w:p w14:paraId="18A1C265" w14:textId="77777777" w:rsidR="00364EF0" w:rsidRPr="00364EF0" w:rsidRDefault="00364EF0" w:rsidP="002E6C91">
            <w:pPr>
              <w:jc w:val="right"/>
            </w:pPr>
            <w:r w:rsidRPr="00364EF0">
              <w:t>-0,6</w:t>
            </w:r>
          </w:p>
        </w:tc>
      </w:tr>
      <w:tr w:rsidR="00DF7799" w:rsidRPr="00364EF0" w14:paraId="49D0E09C" w14:textId="77777777" w:rsidTr="00DF7799">
        <w:trPr>
          <w:trHeight w:val="320"/>
        </w:trPr>
        <w:tc>
          <w:tcPr>
            <w:tcW w:w="4219" w:type="dxa"/>
            <w:noWrap/>
            <w:hideMark/>
          </w:tcPr>
          <w:p w14:paraId="180CA956" w14:textId="3311E812" w:rsidR="00364EF0" w:rsidRPr="002E6C91" w:rsidRDefault="00364EF0" w:rsidP="002E6C91">
            <w:pPr>
              <w:jc w:val="center"/>
              <w:rPr>
                <w:b/>
              </w:rPr>
            </w:pPr>
            <w:r w:rsidRPr="002E6C91">
              <w:rPr>
                <w:b/>
              </w:rPr>
              <w:t>Прибыль (убыток) на отчетную дату</w:t>
            </w:r>
            <w:r w:rsidR="00F5756D" w:rsidRPr="002E6C91">
              <w:rPr>
                <w:b/>
              </w:rPr>
              <w:t>,</w:t>
            </w:r>
            <w:r w:rsidRPr="002E6C91">
              <w:rPr>
                <w:b/>
              </w:rPr>
              <w:t xml:space="preserve"> млн. рублей</w:t>
            </w:r>
          </w:p>
        </w:tc>
        <w:tc>
          <w:tcPr>
            <w:tcW w:w="1877" w:type="dxa"/>
            <w:noWrap/>
            <w:hideMark/>
          </w:tcPr>
          <w:p w14:paraId="38C91738" w14:textId="2B00536E" w:rsidR="00364EF0" w:rsidRPr="00BE6E8B" w:rsidRDefault="00BE6E8B" w:rsidP="002E6C91">
            <w:pPr>
              <w:jc w:val="right"/>
              <w:rPr>
                <w:lang w:val="en-US"/>
              </w:rPr>
            </w:pPr>
            <w:r>
              <w:t>27</w:t>
            </w:r>
          </w:p>
        </w:tc>
        <w:tc>
          <w:tcPr>
            <w:tcW w:w="1809" w:type="dxa"/>
            <w:noWrap/>
            <w:hideMark/>
          </w:tcPr>
          <w:p w14:paraId="158C840E" w14:textId="77777777" w:rsidR="00364EF0" w:rsidRPr="00364EF0" w:rsidRDefault="00364EF0" w:rsidP="002E6C91">
            <w:pPr>
              <w:jc w:val="right"/>
            </w:pPr>
            <w:r w:rsidRPr="00364EF0">
              <w:t>-9</w:t>
            </w:r>
          </w:p>
        </w:tc>
        <w:tc>
          <w:tcPr>
            <w:tcW w:w="1842" w:type="dxa"/>
            <w:noWrap/>
            <w:hideMark/>
          </w:tcPr>
          <w:p w14:paraId="4AB2D637" w14:textId="77777777" w:rsidR="00364EF0" w:rsidRPr="00364EF0" w:rsidRDefault="00364EF0" w:rsidP="002E6C91">
            <w:pPr>
              <w:jc w:val="right"/>
            </w:pPr>
            <w:r w:rsidRPr="00364EF0">
              <w:t>-</w:t>
            </w:r>
          </w:p>
        </w:tc>
      </w:tr>
    </w:tbl>
    <w:p w14:paraId="40853FA8" w14:textId="77777777" w:rsidR="00364EF0" w:rsidRPr="00A401DD" w:rsidRDefault="00364EF0" w:rsidP="00364EF0">
      <w:pPr>
        <w:rPr>
          <w:i/>
          <w:sz w:val="20"/>
          <w:szCs w:val="20"/>
        </w:rPr>
      </w:pPr>
      <w:r w:rsidRPr="00A401DD">
        <w:rPr>
          <w:i/>
          <w:sz w:val="20"/>
          <w:szCs w:val="20"/>
        </w:rPr>
        <w:t>Источник: составлено автором</w:t>
      </w:r>
    </w:p>
    <w:p w14:paraId="52AA464F" w14:textId="77777777" w:rsidR="00B7638E" w:rsidRDefault="003166EF" w:rsidP="00B7638E">
      <w:r>
        <w:rPr>
          <w:lang w:val="en-US"/>
        </w:rPr>
        <w:t>Таким образом, учитывая тот факт, что по одному из дог</w:t>
      </w:r>
      <w:r w:rsidR="00B7638E">
        <w:rPr>
          <w:lang w:val="en-US"/>
        </w:rPr>
        <w:t>о</w:t>
      </w:r>
      <w:r>
        <w:rPr>
          <w:lang w:val="en-US"/>
        </w:rPr>
        <w:t>воров (договор №1) часть выручки и расходов уже была признана в прошлом отчетном периоде, можно сформировать выписку из отчета о прибылях и убытках за 2015 год. Данная выписка представлена в табл. 10.</w:t>
      </w:r>
      <w:r w:rsidR="00B7638E" w:rsidRPr="00B7638E">
        <w:t xml:space="preserve"> </w:t>
      </w:r>
    </w:p>
    <w:p w14:paraId="18DF8BB3" w14:textId="75561D44" w:rsidR="00364EF0" w:rsidRPr="000336FD" w:rsidRDefault="00B7638E" w:rsidP="00DF7799">
      <w:pPr>
        <w:rPr>
          <w:i/>
        </w:rPr>
      </w:pPr>
      <w:r w:rsidRPr="000336FD">
        <w:rPr>
          <w:i/>
        </w:rPr>
        <w:t>Таблица 10 Выписка из отчета о прибылях и убытках Организации за 2015 год</w:t>
      </w:r>
    </w:p>
    <w:tbl>
      <w:tblPr>
        <w:tblStyle w:val="af2"/>
        <w:tblW w:w="0" w:type="auto"/>
        <w:tblLook w:val="04A0" w:firstRow="1" w:lastRow="0" w:firstColumn="1" w:lastColumn="0" w:noHBand="0" w:noVBand="1"/>
      </w:tblPr>
      <w:tblGrid>
        <w:gridCol w:w="4631"/>
        <w:gridCol w:w="1259"/>
        <w:gridCol w:w="1459"/>
        <w:gridCol w:w="1295"/>
        <w:gridCol w:w="1204"/>
      </w:tblGrid>
      <w:tr w:rsidR="00BE6E8B" w:rsidRPr="00BE6E8B" w14:paraId="5CD08121" w14:textId="77777777" w:rsidTr="00BE6E8B">
        <w:trPr>
          <w:trHeight w:val="320"/>
        </w:trPr>
        <w:tc>
          <w:tcPr>
            <w:tcW w:w="4631" w:type="dxa"/>
            <w:noWrap/>
            <w:hideMark/>
          </w:tcPr>
          <w:p w14:paraId="65F8EAEE" w14:textId="77777777" w:rsidR="00BE6E8B" w:rsidRPr="002E6C91" w:rsidRDefault="00BE6E8B" w:rsidP="002E6C91">
            <w:pPr>
              <w:jc w:val="center"/>
              <w:rPr>
                <w:b/>
              </w:rPr>
            </w:pPr>
            <w:r w:rsidRPr="002E6C91">
              <w:rPr>
                <w:b/>
              </w:rPr>
              <w:t>Показатель</w:t>
            </w:r>
          </w:p>
        </w:tc>
        <w:tc>
          <w:tcPr>
            <w:tcW w:w="1259" w:type="dxa"/>
            <w:noWrap/>
            <w:hideMark/>
          </w:tcPr>
          <w:p w14:paraId="19598BB3" w14:textId="77777777" w:rsidR="00BE6E8B" w:rsidRPr="002E6C91" w:rsidRDefault="00BE6E8B" w:rsidP="002E6C91">
            <w:pPr>
              <w:jc w:val="center"/>
              <w:rPr>
                <w:b/>
              </w:rPr>
            </w:pPr>
            <w:r w:rsidRPr="002E6C91">
              <w:rPr>
                <w:b/>
              </w:rPr>
              <w:t>Договор №1</w:t>
            </w:r>
          </w:p>
        </w:tc>
        <w:tc>
          <w:tcPr>
            <w:tcW w:w="1459" w:type="dxa"/>
            <w:noWrap/>
            <w:hideMark/>
          </w:tcPr>
          <w:p w14:paraId="1B510056" w14:textId="77777777" w:rsidR="00BE6E8B" w:rsidRPr="002E6C91" w:rsidRDefault="00BE6E8B" w:rsidP="002E6C91">
            <w:pPr>
              <w:jc w:val="center"/>
              <w:rPr>
                <w:b/>
              </w:rPr>
            </w:pPr>
            <w:r w:rsidRPr="002E6C91">
              <w:rPr>
                <w:b/>
              </w:rPr>
              <w:t>Договор №2</w:t>
            </w:r>
          </w:p>
        </w:tc>
        <w:tc>
          <w:tcPr>
            <w:tcW w:w="1295" w:type="dxa"/>
            <w:noWrap/>
            <w:hideMark/>
          </w:tcPr>
          <w:p w14:paraId="0D86A076" w14:textId="77777777" w:rsidR="00BE6E8B" w:rsidRPr="002E6C91" w:rsidRDefault="00BE6E8B" w:rsidP="002E6C91">
            <w:pPr>
              <w:jc w:val="center"/>
              <w:rPr>
                <w:b/>
              </w:rPr>
            </w:pPr>
            <w:r w:rsidRPr="002E6C91">
              <w:rPr>
                <w:b/>
              </w:rPr>
              <w:t>Договор №3</w:t>
            </w:r>
          </w:p>
        </w:tc>
        <w:tc>
          <w:tcPr>
            <w:tcW w:w="1204" w:type="dxa"/>
            <w:noWrap/>
            <w:hideMark/>
          </w:tcPr>
          <w:p w14:paraId="00C691B5" w14:textId="77777777" w:rsidR="00BE6E8B" w:rsidRPr="002E6C91" w:rsidRDefault="00BE6E8B" w:rsidP="002E6C91">
            <w:pPr>
              <w:jc w:val="center"/>
              <w:rPr>
                <w:b/>
              </w:rPr>
            </w:pPr>
            <w:r w:rsidRPr="002E6C91">
              <w:rPr>
                <w:b/>
              </w:rPr>
              <w:t>Итого</w:t>
            </w:r>
          </w:p>
        </w:tc>
      </w:tr>
      <w:tr w:rsidR="00BE6E8B" w:rsidRPr="00BE6E8B" w14:paraId="02203752" w14:textId="77777777" w:rsidTr="00BE6E8B">
        <w:trPr>
          <w:trHeight w:val="320"/>
        </w:trPr>
        <w:tc>
          <w:tcPr>
            <w:tcW w:w="4631" w:type="dxa"/>
            <w:noWrap/>
            <w:hideMark/>
          </w:tcPr>
          <w:p w14:paraId="45F6A78E" w14:textId="77777777" w:rsidR="00BE6E8B" w:rsidRPr="002E6C91" w:rsidRDefault="00BE6E8B" w:rsidP="002E6C91">
            <w:pPr>
              <w:jc w:val="center"/>
              <w:rPr>
                <w:b/>
              </w:rPr>
            </w:pPr>
            <w:r w:rsidRPr="002E6C91">
              <w:rPr>
                <w:b/>
              </w:rPr>
              <w:t>Выручка, млн. рублей</w:t>
            </w:r>
          </w:p>
        </w:tc>
        <w:tc>
          <w:tcPr>
            <w:tcW w:w="1259" w:type="dxa"/>
            <w:noWrap/>
            <w:hideMark/>
          </w:tcPr>
          <w:p w14:paraId="2286CC5A" w14:textId="77777777" w:rsidR="00BE6E8B" w:rsidRPr="00BE6E8B" w:rsidRDefault="00BE6E8B" w:rsidP="002E6C91">
            <w:pPr>
              <w:jc w:val="right"/>
            </w:pPr>
            <w:r w:rsidRPr="00BE6E8B">
              <w:t>73,5</w:t>
            </w:r>
          </w:p>
        </w:tc>
        <w:tc>
          <w:tcPr>
            <w:tcW w:w="1459" w:type="dxa"/>
            <w:noWrap/>
            <w:hideMark/>
          </w:tcPr>
          <w:p w14:paraId="285A6367" w14:textId="77777777" w:rsidR="00BE6E8B" w:rsidRPr="00BE6E8B" w:rsidRDefault="00BE6E8B" w:rsidP="002E6C91">
            <w:pPr>
              <w:jc w:val="right"/>
            </w:pPr>
            <w:r w:rsidRPr="00BE6E8B">
              <w:t>18</w:t>
            </w:r>
          </w:p>
        </w:tc>
        <w:tc>
          <w:tcPr>
            <w:tcW w:w="1295" w:type="dxa"/>
            <w:noWrap/>
            <w:hideMark/>
          </w:tcPr>
          <w:p w14:paraId="2EA41D91" w14:textId="77777777" w:rsidR="00BE6E8B" w:rsidRPr="00BE6E8B" w:rsidRDefault="00BE6E8B" w:rsidP="002E6C91">
            <w:pPr>
              <w:jc w:val="right"/>
            </w:pPr>
            <w:r w:rsidRPr="00BE6E8B">
              <w:t>0,6</w:t>
            </w:r>
          </w:p>
        </w:tc>
        <w:tc>
          <w:tcPr>
            <w:tcW w:w="1204" w:type="dxa"/>
            <w:noWrap/>
            <w:hideMark/>
          </w:tcPr>
          <w:p w14:paraId="690F1186" w14:textId="77777777" w:rsidR="00BE6E8B" w:rsidRPr="00BE6E8B" w:rsidRDefault="00BE6E8B" w:rsidP="002E6C91">
            <w:pPr>
              <w:jc w:val="right"/>
            </w:pPr>
            <w:r w:rsidRPr="00BE6E8B">
              <w:t>92,1</w:t>
            </w:r>
          </w:p>
        </w:tc>
      </w:tr>
      <w:tr w:rsidR="00BE6E8B" w:rsidRPr="00BE6E8B" w14:paraId="13016FCA" w14:textId="77777777" w:rsidTr="00BE6E8B">
        <w:trPr>
          <w:trHeight w:val="320"/>
        </w:trPr>
        <w:tc>
          <w:tcPr>
            <w:tcW w:w="4631" w:type="dxa"/>
            <w:noWrap/>
            <w:hideMark/>
          </w:tcPr>
          <w:p w14:paraId="28F6FF03" w14:textId="77777777" w:rsidR="00BE6E8B" w:rsidRPr="002E6C91" w:rsidRDefault="00BE6E8B" w:rsidP="002E6C91">
            <w:pPr>
              <w:jc w:val="center"/>
              <w:rPr>
                <w:b/>
              </w:rPr>
            </w:pPr>
            <w:r w:rsidRPr="002E6C91">
              <w:rPr>
                <w:b/>
              </w:rPr>
              <w:t>Затраты, млн. рублей</w:t>
            </w:r>
          </w:p>
        </w:tc>
        <w:tc>
          <w:tcPr>
            <w:tcW w:w="1259" w:type="dxa"/>
            <w:noWrap/>
            <w:hideMark/>
          </w:tcPr>
          <w:p w14:paraId="26A1CEBD" w14:textId="77777777" w:rsidR="00BE6E8B" w:rsidRPr="00BE6E8B" w:rsidRDefault="00BE6E8B" w:rsidP="002E6C91">
            <w:pPr>
              <w:jc w:val="right"/>
            </w:pPr>
            <w:r w:rsidRPr="00BE6E8B">
              <w:t>-49,5</w:t>
            </w:r>
          </w:p>
        </w:tc>
        <w:tc>
          <w:tcPr>
            <w:tcW w:w="1459" w:type="dxa"/>
            <w:noWrap/>
            <w:hideMark/>
          </w:tcPr>
          <w:p w14:paraId="2884FF6E" w14:textId="77777777" w:rsidR="00BE6E8B" w:rsidRPr="00BE6E8B" w:rsidRDefault="00BE6E8B" w:rsidP="002E6C91">
            <w:pPr>
              <w:jc w:val="right"/>
            </w:pPr>
            <w:r w:rsidRPr="00BE6E8B">
              <w:t>-27</w:t>
            </w:r>
          </w:p>
        </w:tc>
        <w:tc>
          <w:tcPr>
            <w:tcW w:w="1295" w:type="dxa"/>
            <w:noWrap/>
            <w:hideMark/>
          </w:tcPr>
          <w:p w14:paraId="1147DF7A" w14:textId="77777777" w:rsidR="00BE6E8B" w:rsidRPr="00BE6E8B" w:rsidRDefault="00BE6E8B" w:rsidP="002E6C91">
            <w:pPr>
              <w:jc w:val="right"/>
            </w:pPr>
            <w:r w:rsidRPr="00BE6E8B">
              <w:t>-0,6</w:t>
            </w:r>
          </w:p>
        </w:tc>
        <w:tc>
          <w:tcPr>
            <w:tcW w:w="1204" w:type="dxa"/>
            <w:noWrap/>
            <w:hideMark/>
          </w:tcPr>
          <w:p w14:paraId="0D550DDC" w14:textId="77777777" w:rsidR="00BE6E8B" w:rsidRPr="00BE6E8B" w:rsidRDefault="00BE6E8B" w:rsidP="002E6C91">
            <w:pPr>
              <w:jc w:val="right"/>
            </w:pPr>
            <w:r w:rsidRPr="00BE6E8B">
              <w:t>-77,1</w:t>
            </w:r>
          </w:p>
        </w:tc>
      </w:tr>
      <w:tr w:rsidR="00BE6E8B" w:rsidRPr="00BE6E8B" w14:paraId="2DD8CDD6" w14:textId="77777777" w:rsidTr="00BE6E8B">
        <w:trPr>
          <w:trHeight w:val="320"/>
        </w:trPr>
        <w:tc>
          <w:tcPr>
            <w:tcW w:w="4631" w:type="dxa"/>
            <w:noWrap/>
            <w:hideMark/>
          </w:tcPr>
          <w:p w14:paraId="392A5B12" w14:textId="77777777" w:rsidR="00BE6E8B" w:rsidRPr="002E6C91" w:rsidRDefault="00BE6E8B" w:rsidP="002E6C91">
            <w:pPr>
              <w:jc w:val="center"/>
              <w:rPr>
                <w:b/>
              </w:rPr>
            </w:pPr>
            <w:r w:rsidRPr="002E6C91">
              <w:rPr>
                <w:b/>
              </w:rPr>
              <w:t>Прибыль (убыток), млн. рублей</w:t>
            </w:r>
          </w:p>
        </w:tc>
        <w:tc>
          <w:tcPr>
            <w:tcW w:w="1259" w:type="dxa"/>
            <w:noWrap/>
            <w:hideMark/>
          </w:tcPr>
          <w:p w14:paraId="28F48E58" w14:textId="77777777" w:rsidR="00BE6E8B" w:rsidRPr="00BE6E8B" w:rsidRDefault="00BE6E8B" w:rsidP="002E6C91">
            <w:pPr>
              <w:jc w:val="right"/>
            </w:pPr>
            <w:r w:rsidRPr="00BE6E8B">
              <w:t>24</w:t>
            </w:r>
          </w:p>
        </w:tc>
        <w:tc>
          <w:tcPr>
            <w:tcW w:w="1459" w:type="dxa"/>
            <w:noWrap/>
            <w:hideMark/>
          </w:tcPr>
          <w:p w14:paraId="4905806A" w14:textId="77777777" w:rsidR="00BE6E8B" w:rsidRPr="00BE6E8B" w:rsidRDefault="00BE6E8B" w:rsidP="002E6C91">
            <w:pPr>
              <w:jc w:val="right"/>
            </w:pPr>
            <w:r w:rsidRPr="00BE6E8B">
              <w:t>-9</w:t>
            </w:r>
          </w:p>
        </w:tc>
        <w:tc>
          <w:tcPr>
            <w:tcW w:w="1295" w:type="dxa"/>
            <w:noWrap/>
            <w:hideMark/>
          </w:tcPr>
          <w:p w14:paraId="731C300E" w14:textId="77777777" w:rsidR="00BE6E8B" w:rsidRPr="00BE6E8B" w:rsidRDefault="00BE6E8B" w:rsidP="002E6C91">
            <w:pPr>
              <w:jc w:val="right"/>
            </w:pPr>
            <w:r w:rsidRPr="00BE6E8B">
              <w:t>-</w:t>
            </w:r>
          </w:p>
        </w:tc>
        <w:tc>
          <w:tcPr>
            <w:tcW w:w="1204" w:type="dxa"/>
            <w:noWrap/>
            <w:hideMark/>
          </w:tcPr>
          <w:p w14:paraId="1B6C8937" w14:textId="77777777" w:rsidR="00BE6E8B" w:rsidRPr="00BE6E8B" w:rsidRDefault="00BE6E8B" w:rsidP="002E6C91">
            <w:pPr>
              <w:jc w:val="right"/>
            </w:pPr>
            <w:r w:rsidRPr="00BE6E8B">
              <w:t>15</w:t>
            </w:r>
          </w:p>
        </w:tc>
      </w:tr>
    </w:tbl>
    <w:p w14:paraId="07304A0C" w14:textId="77777777" w:rsidR="00BE6E8B" w:rsidRPr="00A401DD" w:rsidRDefault="00BE6E8B" w:rsidP="00BE6E8B">
      <w:pPr>
        <w:rPr>
          <w:i/>
          <w:sz w:val="20"/>
          <w:szCs w:val="20"/>
        </w:rPr>
      </w:pPr>
      <w:r w:rsidRPr="00A401DD">
        <w:rPr>
          <w:i/>
          <w:sz w:val="20"/>
          <w:szCs w:val="20"/>
        </w:rPr>
        <w:t>Источник: составлено автором</w:t>
      </w:r>
    </w:p>
    <w:p w14:paraId="468D78AE" w14:textId="39765CA6" w:rsidR="00BE6E8B" w:rsidRPr="00C47448" w:rsidRDefault="00FE467D" w:rsidP="006D36A0">
      <w:r w:rsidRPr="00C47448">
        <w:t>Данный пример наглядно иллюстрирует алгоритм признания финансового результата по договорам на строительство согласно МСФО (IAS) 11. В примере представлены все три типа договоров (прибыльный, убыточный и договор, финансовый результат по которому надежно определить нельзя). По мнению автора, наибольшую трудность в расчетах вызывает расчет финансового результата по убыточному договору: в данном случае необходимо правильно определить сумму затрат (путем суммирования выручки и ожидаемого убытка по договору).</w:t>
      </w:r>
    </w:p>
    <w:p w14:paraId="10C7CDBB" w14:textId="6520368B" w:rsidR="00EE7184" w:rsidRPr="00A208EF" w:rsidRDefault="00815532" w:rsidP="00815532">
      <w:pPr>
        <w:pStyle w:val="ad"/>
      </w:pPr>
      <w:r>
        <w:t>2.</w:t>
      </w:r>
      <w:r w:rsidR="00894FFC">
        <w:t>2</w:t>
      </w:r>
      <w:r w:rsidR="00423375">
        <w:t>.</w:t>
      </w:r>
      <w:r w:rsidR="00894FFC">
        <w:t>6</w:t>
      </w:r>
      <w:r w:rsidR="00EE7184">
        <w:t xml:space="preserve"> Раскрытие информации</w:t>
      </w:r>
    </w:p>
    <w:p w14:paraId="5C2C49B6" w14:textId="77777777" w:rsidR="00B33573" w:rsidRPr="001B2790" w:rsidRDefault="0069412B" w:rsidP="00C376A2">
      <w:r w:rsidRPr="001B2790">
        <w:t xml:space="preserve">Согласно МСФО  </w:t>
      </w:r>
      <w:r w:rsidR="0023051F" w:rsidRPr="001B2790">
        <w:t>(</w:t>
      </w:r>
      <w:r w:rsidRPr="001B2790">
        <w:rPr>
          <w:lang w:val="en-US"/>
        </w:rPr>
        <w:t>IAS</w:t>
      </w:r>
      <w:r w:rsidR="0023051F" w:rsidRPr="001B2790">
        <w:t>)</w:t>
      </w:r>
      <w:r w:rsidRPr="001B2790">
        <w:t xml:space="preserve"> 11  организация должна раскрыть:</w:t>
      </w:r>
    </w:p>
    <w:p w14:paraId="2A14AF99" w14:textId="704E2572" w:rsidR="0069412B" w:rsidRPr="001B2790" w:rsidRDefault="0069412B" w:rsidP="00450A5B">
      <w:pPr>
        <w:pStyle w:val="a"/>
        <w:numPr>
          <w:ilvl w:val="0"/>
          <w:numId w:val="24"/>
        </w:numPr>
        <w:ind w:left="284" w:hanging="284"/>
      </w:pPr>
      <w:r w:rsidRPr="001B2790">
        <w:t>сумму выручки по договору строительства, признанную в качестве выручки в отчетном периоде;</w:t>
      </w:r>
    </w:p>
    <w:p w14:paraId="76A14A4F" w14:textId="1D2D35BF" w:rsidR="00905A1A" w:rsidRPr="001B2790" w:rsidRDefault="00905A1A" w:rsidP="00450A5B">
      <w:pPr>
        <w:pStyle w:val="a"/>
        <w:numPr>
          <w:ilvl w:val="0"/>
          <w:numId w:val="24"/>
        </w:numPr>
        <w:ind w:left="284" w:hanging="284"/>
      </w:pPr>
      <w:r w:rsidRPr="001B2790">
        <w:t>какими способами определяется выручка по договору, признаваемая в течение периода;</w:t>
      </w:r>
    </w:p>
    <w:p w14:paraId="24ACAEB7" w14:textId="00AB9A9F" w:rsidR="00905A1A" w:rsidRPr="001B2790" w:rsidRDefault="00905A1A" w:rsidP="00450A5B">
      <w:pPr>
        <w:pStyle w:val="a"/>
        <w:numPr>
          <w:ilvl w:val="0"/>
          <w:numId w:val="24"/>
        </w:numPr>
        <w:ind w:left="284" w:hanging="284"/>
      </w:pPr>
      <w:r w:rsidRPr="001B2790">
        <w:lastRenderedPageBreak/>
        <w:t>какими способами определяется стадия выполнен</w:t>
      </w:r>
      <w:r w:rsidR="00AF2E0C" w:rsidRPr="001B2790">
        <w:t>ия находящихся в процессе выпол</w:t>
      </w:r>
      <w:r w:rsidRPr="001B2790">
        <w:t>нения договоров.</w:t>
      </w:r>
      <w:r w:rsidR="00D5143C">
        <w:rPr>
          <w:rStyle w:val="a6"/>
        </w:rPr>
        <w:footnoteReference w:id="25"/>
      </w:r>
    </w:p>
    <w:p w14:paraId="0FB75942" w14:textId="4DBEEB9E" w:rsidR="00905A1A" w:rsidRPr="001B2790" w:rsidRDefault="00905A1A" w:rsidP="00FC17EF">
      <w:r w:rsidRPr="001B2790">
        <w:t>Кроме того, в отношении незавершенных договоров стоит раскрыть следующее:</w:t>
      </w:r>
    </w:p>
    <w:p w14:paraId="07E7E3FD" w14:textId="2DE162EE" w:rsidR="00905A1A" w:rsidRPr="001B2790" w:rsidRDefault="00905A1A" w:rsidP="00450A5B">
      <w:pPr>
        <w:pStyle w:val="a"/>
        <w:numPr>
          <w:ilvl w:val="0"/>
          <w:numId w:val="20"/>
        </w:numPr>
        <w:ind w:left="284" w:hanging="284"/>
      </w:pPr>
      <w:r w:rsidRPr="001B2790">
        <w:t>сумму затрат и прибыли на текущую дату;</w:t>
      </w:r>
    </w:p>
    <w:p w14:paraId="66221E6D" w14:textId="1C5B2D50" w:rsidR="00905A1A" w:rsidRPr="001B2790" w:rsidRDefault="00905A1A" w:rsidP="00450A5B">
      <w:pPr>
        <w:pStyle w:val="a"/>
        <w:numPr>
          <w:ilvl w:val="0"/>
          <w:numId w:val="20"/>
        </w:numPr>
        <w:ind w:left="284" w:hanging="284"/>
      </w:pPr>
      <w:r w:rsidRPr="001B2790">
        <w:t>сумму полученных авансов;</w:t>
      </w:r>
    </w:p>
    <w:p w14:paraId="45F61A4F" w14:textId="62D336F4" w:rsidR="00905A1A" w:rsidRPr="001B2790" w:rsidRDefault="00905A1A" w:rsidP="00450A5B">
      <w:pPr>
        <w:pStyle w:val="a"/>
        <w:numPr>
          <w:ilvl w:val="0"/>
          <w:numId w:val="20"/>
        </w:numPr>
        <w:ind w:left="284" w:hanging="284"/>
      </w:pPr>
      <w:r w:rsidRPr="001B2790">
        <w:t>сумму удержаний.</w:t>
      </w:r>
    </w:p>
    <w:p w14:paraId="204FF4B5" w14:textId="1CAC3533" w:rsidR="00B053EC" w:rsidRPr="001B2790" w:rsidRDefault="00B053EC" w:rsidP="00FC17EF">
      <w:r w:rsidRPr="001B2790">
        <w:t>В отчете о финансовом положении признается</w:t>
      </w:r>
      <w:r w:rsidR="00760C4E" w:rsidRPr="001B2790">
        <w:t xml:space="preserve"> (в нетто-оценке)</w:t>
      </w:r>
      <w:r w:rsidRPr="001B2790">
        <w:t>:</w:t>
      </w:r>
    </w:p>
    <w:p w14:paraId="366B83F8" w14:textId="7FE6B763" w:rsidR="00B053EC" w:rsidRPr="001B2790" w:rsidRDefault="00A725B9" w:rsidP="00450A5B">
      <w:pPr>
        <w:pStyle w:val="a"/>
        <w:numPr>
          <w:ilvl w:val="0"/>
          <w:numId w:val="16"/>
        </w:numPr>
        <w:ind w:left="284" w:hanging="284"/>
      </w:pPr>
      <w:r w:rsidRPr="001B2790">
        <w:t xml:space="preserve">валовая </w:t>
      </w:r>
      <w:r w:rsidR="00B053EC" w:rsidRPr="001B2790">
        <w:t>сумма, причитающаяся с заказчиков за работу по договору (</w:t>
      </w:r>
      <w:r w:rsidR="007C5ACD" w:rsidRPr="001B2790">
        <w:t>как</w:t>
      </w:r>
      <w:r w:rsidR="007C5ACD" w:rsidRPr="001B2790">
        <w:rPr>
          <w:i/>
        </w:rPr>
        <w:t xml:space="preserve"> актив</w:t>
      </w:r>
      <w:r w:rsidR="00B053EC" w:rsidRPr="001B2790">
        <w:t>);</w:t>
      </w:r>
    </w:p>
    <w:p w14:paraId="55B28E1E" w14:textId="29B01D66" w:rsidR="00A725B9" w:rsidRPr="001B2790" w:rsidRDefault="00A725B9" w:rsidP="00450A5B">
      <w:pPr>
        <w:pStyle w:val="a"/>
        <w:numPr>
          <w:ilvl w:val="0"/>
          <w:numId w:val="16"/>
        </w:numPr>
        <w:ind w:left="284" w:hanging="284"/>
      </w:pPr>
      <w:r w:rsidRPr="001B2790">
        <w:t>валовая сумма полученных за непринятую работу авансов (</w:t>
      </w:r>
      <w:r w:rsidRPr="001B2790">
        <w:rPr>
          <w:i/>
        </w:rPr>
        <w:t>как обязательство</w:t>
      </w:r>
      <w:r w:rsidRPr="001B2790">
        <w:t>)</w:t>
      </w:r>
      <w:r w:rsidR="00760C4E" w:rsidRPr="001B2790">
        <w:t>.</w:t>
      </w:r>
    </w:p>
    <w:p w14:paraId="3E030A9C" w14:textId="1904A069" w:rsidR="00B053EC" w:rsidRDefault="00760C4E" w:rsidP="00C376A2">
      <w:r w:rsidRPr="001B2790">
        <w:t>Кроме того, согласно МСФО (</w:t>
      </w:r>
      <w:r w:rsidRPr="001B2790">
        <w:rPr>
          <w:lang w:val="en-US"/>
        </w:rPr>
        <w:t>IAS</w:t>
      </w:r>
      <w:r w:rsidRPr="001B2790">
        <w:t>) 37 «Резервы, условные обязательства и условные активы»</w:t>
      </w:r>
      <w:r w:rsidR="00D5143C">
        <w:rPr>
          <w:rStyle w:val="a6"/>
        </w:rPr>
        <w:footnoteReference w:id="26"/>
      </w:r>
      <w:r w:rsidRPr="001B2790">
        <w:t xml:space="preserve"> компания обязана раскрыть все условные обязательства и все условные активы. </w:t>
      </w:r>
      <w:r w:rsidRPr="001B2790">
        <w:rPr>
          <w:i/>
        </w:rPr>
        <w:t>Например</w:t>
      </w:r>
      <w:r w:rsidRPr="001B2790">
        <w:t>, претензии заказчиков, штрафы, вероятные потери.</w:t>
      </w:r>
    </w:p>
    <w:p w14:paraId="436B18B9" w14:textId="0345B648" w:rsidR="000D645C" w:rsidRPr="00AB2ED2" w:rsidRDefault="0044320C" w:rsidP="00AB2ED2">
      <w:pPr>
        <w:rPr>
          <w:color w:val="000000" w:themeColor="text1"/>
        </w:rPr>
      </w:pPr>
      <w:r>
        <w:t>Пример раскрытия информации приведен в Прилож</w:t>
      </w:r>
      <w:r w:rsidR="002E6C91">
        <w:t>ении 7</w:t>
      </w:r>
      <w:r w:rsidR="004A6CBF">
        <w:t xml:space="preserve"> (на примере годовой консо</w:t>
      </w:r>
      <w:r>
        <w:t>лидированной отчетности Группы ЛСР).</w:t>
      </w:r>
      <w:r w:rsidR="000D645C" w:rsidRPr="00F76C69">
        <w:rPr>
          <w:color w:val="000000" w:themeColor="text1"/>
        </w:rPr>
        <w:t xml:space="preserve"> </w:t>
      </w:r>
    </w:p>
    <w:p w14:paraId="6374FF2C" w14:textId="7045B1D1" w:rsidR="000D645C" w:rsidRDefault="00815532" w:rsidP="00AB2ED2">
      <w:pPr>
        <w:pStyle w:val="ad"/>
        <w:ind w:firstLine="0"/>
      </w:pPr>
      <w:r>
        <w:t>2.</w:t>
      </w:r>
      <w:r w:rsidR="00AE33DC">
        <w:t>2.7</w:t>
      </w:r>
      <w:r w:rsidR="002A6C78">
        <w:t xml:space="preserve"> </w:t>
      </w:r>
      <w:r w:rsidR="000D645C">
        <w:t xml:space="preserve">Проблематика определения необходимости применения </w:t>
      </w:r>
      <w:r w:rsidR="002A6C78">
        <w:t>МСФО</w:t>
      </w:r>
      <w:r w:rsidR="00ED54DE">
        <w:t xml:space="preserve"> (</w:t>
      </w:r>
      <w:r w:rsidR="00ED54DE">
        <w:rPr>
          <w:lang w:val="en-US"/>
        </w:rPr>
        <w:t>IAS</w:t>
      </w:r>
      <w:r w:rsidR="00ED54DE" w:rsidRPr="0023051F">
        <w:t>)</w:t>
      </w:r>
      <w:r w:rsidR="002A6C78">
        <w:t xml:space="preserve"> 11 </w:t>
      </w:r>
      <w:r w:rsidR="000D645C">
        <w:t xml:space="preserve">или </w:t>
      </w:r>
      <w:r w:rsidR="002A6C78">
        <w:t xml:space="preserve"> </w:t>
      </w:r>
      <w:r w:rsidR="00ED54DE">
        <w:t>МСФО (</w:t>
      </w:r>
      <w:r w:rsidR="00ED54DE">
        <w:rPr>
          <w:lang w:val="en-US"/>
        </w:rPr>
        <w:t>IAS</w:t>
      </w:r>
      <w:r w:rsidR="00ED54DE" w:rsidRPr="0023051F">
        <w:t>)</w:t>
      </w:r>
      <w:r w:rsidR="002A6C78">
        <w:t>18</w:t>
      </w:r>
    </w:p>
    <w:p w14:paraId="1A6E2250" w14:textId="4CBF71C1" w:rsidR="00D713EF" w:rsidRPr="009716FC" w:rsidRDefault="00555E51" w:rsidP="00D713EF">
      <w:r>
        <w:t>Дополнительная</w:t>
      </w:r>
      <w:r w:rsidR="009934E0">
        <w:t xml:space="preserve"> сложность учета договоров на строительство заключается в том, что о</w:t>
      </w:r>
      <w:r w:rsidR="00D713EF">
        <w:t xml:space="preserve">дни договоры попадают под действие стандарта МСФО </w:t>
      </w:r>
      <w:r w:rsidR="0023051F" w:rsidRPr="0023051F">
        <w:t>(</w:t>
      </w:r>
      <w:r w:rsidR="00D713EF">
        <w:rPr>
          <w:lang w:val="en-US"/>
        </w:rPr>
        <w:t>IAS</w:t>
      </w:r>
      <w:r w:rsidR="0023051F" w:rsidRPr="0023051F">
        <w:t>)</w:t>
      </w:r>
      <w:r w:rsidR="00D5143C">
        <w:t xml:space="preserve"> 11 «Договоры на строительство»</w:t>
      </w:r>
      <w:r w:rsidR="00D713EF" w:rsidRPr="008D190C">
        <w:t xml:space="preserve">, другие же – под действие стандарта МСФО </w:t>
      </w:r>
      <w:r w:rsidR="0023051F" w:rsidRPr="0023051F">
        <w:t>(</w:t>
      </w:r>
      <w:r w:rsidR="00D713EF">
        <w:rPr>
          <w:lang w:val="en-US"/>
        </w:rPr>
        <w:t>IAS</w:t>
      </w:r>
      <w:r w:rsidR="0023051F" w:rsidRPr="0023051F">
        <w:t>)</w:t>
      </w:r>
      <w:r w:rsidR="00D713EF" w:rsidRPr="008D190C">
        <w:t xml:space="preserve"> 18 </w:t>
      </w:r>
      <w:r w:rsidR="00D713EF">
        <w:t>«Выручка». Главная сложность состоит в определении стандарта, который нужно использовать для каждого конкретного договора.</w:t>
      </w:r>
      <w:r w:rsidR="00C27454">
        <w:t xml:space="preserve"> Данный вопрос рассмотрен в Разъяснении</w:t>
      </w:r>
      <w:r w:rsidR="00C27454" w:rsidRPr="00C27454">
        <w:t xml:space="preserve"> КРМФО (IFRIC) 15 "Соглашения на строит</w:t>
      </w:r>
      <w:r w:rsidR="00C27454">
        <w:t xml:space="preserve">ельство объектов недвижимости", </w:t>
      </w:r>
      <w:r w:rsidR="007C5ACD" w:rsidRPr="00C27454">
        <w:t>введённ</w:t>
      </w:r>
      <w:r w:rsidR="007C5ACD">
        <w:t>ом</w:t>
      </w:r>
      <w:r w:rsidR="00C27454" w:rsidRPr="00C27454">
        <w:t xml:space="preserve"> в действие на территории Российской Федерации Приказом Минф</w:t>
      </w:r>
      <w:r w:rsidR="00C27454">
        <w:t>ина России от 28.12.2015 N 217н.</w:t>
      </w:r>
    </w:p>
    <w:p w14:paraId="0E271D0D" w14:textId="0F4591CC" w:rsidR="00D713EF" w:rsidRDefault="00C27454" w:rsidP="00D713EF">
      <w:r>
        <w:t xml:space="preserve">Согласно </w:t>
      </w:r>
      <w:r>
        <w:rPr>
          <w:lang w:val="en-US"/>
        </w:rPr>
        <w:t xml:space="preserve">IFRIC 15, </w:t>
      </w:r>
      <w:r>
        <w:t xml:space="preserve"> у</w:t>
      </w:r>
      <w:r w:rsidR="00D713EF">
        <w:t>чет выручки по тому или иному стандарту зависит от того, кто определяет форму и дизайн помещения – заказчик или покупате</w:t>
      </w:r>
      <w:r w:rsidR="00502E8D">
        <w:t>ль</w:t>
      </w:r>
      <w:r>
        <w:rPr>
          <w:rStyle w:val="a6"/>
        </w:rPr>
        <w:footnoteReference w:id="27"/>
      </w:r>
      <w:r w:rsidR="00502E8D">
        <w:t xml:space="preserve">. </w:t>
      </w:r>
      <w:r w:rsidR="00D713EF">
        <w:t xml:space="preserve">В первом случае это будет </w:t>
      </w:r>
      <w:r w:rsidR="0023051F">
        <w:t>МСФО (</w:t>
      </w:r>
      <w:r w:rsidR="00D713EF">
        <w:rPr>
          <w:lang w:val="en-US"/>
        </w:rPr>
        <w:t>IAS</w:t>
      </w:r>
      <w:r w:rsidR="0023051F">
        <w:t xml:space="preserve">) </w:t>
      </w:r>
      <w:r w:rsidR="00D713EF">
        <w:t xml:space="preserve">18 , а во втором – </w:t>
      </w:r>
      <w:r w:rsidR="00A01FCE">
        <w:t>МСФО (</w:t>
      </w:r>
      <w:r w:rsidR="00D713EF">
        <w:t>IAS</w:t>
      </w:r>
      <w:r w:rsidR="00A01FCE">
        <w:t>)</w:t>
      </w:r>
      <w:r w:rsidR="00D713EF">
        <w:t xml:space="preserve"> 11. В данном случае очень важно определить, под действие какого стандарта попадает тот или иной договор, поскольку это отразится на признании выручки. По МСФО </w:t>
      </w:r>
      <w:r w:rsidR="0023051F" w:rsidRPr="0023051F">
        <w:t>(</w:t>
      </w:r>
      <w:r w:rsidR="00D713EF">
        <w:rPr>
          <w:lang w:val="en-US"/>
        </w:rPr>
        <w:t>IAS</w:t>
      </w:r>
      <w:r w:rsidR="0023051F" w:rsidRPr="0023051F">
        <w:t>)</w:t>
      </w:r>
      <w:r w:rsidR="00D713EF" w:rsidRPr="008D190C">
        <w:t xml:space="preserve"> 11 </w:t>
      </w:r>
      <w:r w:rsidR="00D713EF">
        <w:t xml:space="preserve">выручка будет признаваться на протяжении всего строительства, а в случае с МСФО </w:t>
      </w:r>
      <w:r w:rsidR="0023051F" w:rsidRPr="0023051F">
        <w:t>(</w:t>
      </w:r>
      <w:r w:rsidR="00D713EF">
        <w:rPr>
          <w:lang w:val="en-US"/>
        </w:rPr>
        <w:t>IAS</w:t>
      </w:r>
      <w:r w:rsidR="0023051F" w:rsidRPr="0023051F">
        <w:t>)</w:t>
      </w:r>
      <w:r w:rsidR="00D713EF" w:rsidRPr="008D190C">
        <w:t xml:space="preserve"> 18 – </w:t>
      </w:r>
      <w:r w:rsidR="00D713EF">
        <w:t xml:space="preserve">в момент продажи. </w:t>
      </w:r>
    </w:p>
    <w:p w14:paraId="0D9221DD" w14:textId="77777777" w:rsidR="00D713EF" w:rsidRPr="002A6C78" w:rsidRDefault="00D713EF" w:rsidP="002A6C78">
      <w:r>
        <w:lastRenderedPageBreak/>
        <w:t>Для специалиста, составляющего отчетность по МСФО в строительной организации важны знания обоих стандартов для того, чтобы сформулировать профессиональное суждение о применимости того или иного стандарта к конкретному договору.</w:t>
      </w:r>
    </w:p>
    <w:p w14:paraId="3A29E038" w14:textId="450219D8" w:rsidR="0069412B" w:rsidRDefault="002A6C78" w:rsidP="002A6C78">
      <w:r>
        <w:t xml:space="preserve">МСФО </w:t>
      </w:r>
      <w:r w:rsidRPr="002A6C78">
        <w:t>(</w:t>
      </w:r>
      <w:r>
        <w:rPr>
          <w:lang w:val="en-US"/>
        </w:rPr>
        <w:t>IAS</w:t>
      </w:r>
      <w:r w:rsidRPr="002A6C78">
        <w:t>) 11</w:t>
      </w:r>
      <w:r w:rsidR="001E3166">
        <w:t xml:space="preserve"> </w:t>
      </w:r>
      <w:r w:rsidR="001E7D19">
        <w:t>с</w:t>
      </w:r>
      <w:r w:rsidR="003E5B98" w:rsidRPr="002A6C78">
        <w:t xml:space="preserve"> 201</w:t>
      </w:r>
      <w:r w:rsidR="00700CE0">
        <w:t>8</w:t>
      </w:r>
      <w:r w:rsidR="003E5B98" w:rsidRPr="002A6C78">
        <w:t xml:space="preserve"> года будет заменен единым</w:t>
      </w:r>
      <w:r w:rsidR="00814971">
        <w:t xml:space="preserve"> </w:t>
      </w:r>
      <w:r w:rsidR="003E5B98" w:rsidRPr="002A6C78">
        <w:t xml:space="preserve">стандартом по учету выручки МСФО (IFRS) 15 «Выручка </w:t>
      </w:r>
      <w:r w:rsidR="007C5ACD" w:rsidRPr="002A6C78">
        <w:t>по</w:t>
      </w:r>
      <w:r w:rsidR="007C5ACD">
        <w:t xml:space="preserve"> </w:t>
      </w:r>
      <w:r w:rsidR="007C5ACD" w:rsidRPr="002A6C78">
        <w:t>договорам</w:t>
      </w:r>
      <w:r w:rsidR="003E5B98" w:rsidRPr="002A6C78">
        <w:t xml:space="preserve"> с покупателями»</w:t>
      </w:r>
      <w:r>
        <w:t xml:space="preserve">, </w:t>
      </w:r>
      <w:r w:rsidR="00CF1686">
        <w:t>основные принципы которого буду</w:t>
      </w:r>
      <w:r>
        <w:t>т рассмотрен</w:t>
      </w:r>
      <w:r w:rsidR="00CF1686">
        <w:t>ы</w:t>
      </w:r>
      <w:r>
        <w:t xml:space="preserve"> в следующей главе.</w:t>
      </w:r>
    </w:p>
    <w:p w14:paraId="738BA260" w14:textId="6757683D" w:rsidR="007A03B4" w:rsidRDefault="0051462B" w:rsidP="004526B8">
      <w:r>
        <w:t xml:space="preserve">Таким образом, </w:t>
      </w:r>
      <w:r w:rsidR="003700C5">
        <w:t>основной особенностью учета в строительных организациях, которая обусловила создание МСФО (</w:t>
      </w:r>
      <w:r w:rsidR="003700C5">
        <w:rPr>
          <w:lang w:val="en-US"/>
        </w:rPr>
        <w:t>IAS</w:t>
      </w:r>
      <w:r w:rsidR="003700C5" w:rsidRPr="003700C5">
        <w:t>) 11</w:t>
      </w:r>
      <w:r w:rsidR="00827AA3" w:rsidRPr="00827AA3">
        <w:t>,</w:t>
      </w:r>
      <w:r w:rsidR="0007743C">
        <w:t xml:space="preserve"> </w:t>
      </w:r>
      <w:r w:rsidR="003700C5">
        <w:t>является</w:t>
      </w:r>
      <w:r w:rsidR="004526B8">
        <w:t xml:space="preserve"> то, что контракты на строительство могут осуществляться в течение нескольких лет, и, следовательно, перед бухгалтером стоит задача распределить доходы и затраты по договору на строительство по отчетным периодам.</w:t>
      </w:r>
    </w:p>
    <w:p w14:paraId="4EE13B81" w14:textId="77777777" w:rsidR="004526B8" w:rsidRDefault="007A03B4" w:rsidP="004526B8">
      <w:r>
        <w:t>Стандарт определяет особенности:</w:t>
      </w:r>
    </w:p>
    <w:p w14:paraId="31B49CCE" w14:textId="77777777" w:rsidR="007A03B4" w:rsidRDefault="007A03B4" w:rsidP="00450A5B">
      <w:pPr>
        <w:pStyle w:val="a"/>
        <w:numPr>
          <w:ilvl w:val="0"/>
          <w:numId w:val="25"/>
        </w:numPr>
        <w:ind w:left="284" w:hanging="284"/>
      </w:pPr>
      <w:r>
        <w:t>порядка объединения и разделения договоров на строительство</w:t>
      </w:r>
      <w:r w:rsidR="00A264D4" w:rsidRPr="00A264D4">
        <w:t>;</w:t>
      </w:r>
    </w:p>
    <w:p w14:paraId="78F0559C" w14:textId="77777777" w:rsidR="007A03B4" w:rsidRDefault="007A03B4" w:rsidP="00450A5B">
      <w:pPr>
        <w:pStyle w:val="a"/>
        <w:numPr>
          <w:ilvl w:val="0"/>
          <w:numId w:val="25"/>
        </w:numPr>
        <w:ind w:left="284" w:hanging="284"/>
      </w:pPr>
      <w:r>
        <w:t>порядка признания выручки</w:t>
      </w:r>
      <w:r w:rsidR="000D645C">
        <w:t xml:space="preserve"> </w:t>
      </w:r>
      <w:r>
        <w:t>по договору</w:t>
      </w:r>
      <w:r w:rsidR="00A264D4" w:rsidRPr="00A264D4">
        <w:t>;</w:t>
      </w:r>
    </w:p>
    <w:p w14:paraId="37114C84" w14:textId="77777777" w:rsidR="007A03B4" w:rsidRDefault="007A03B4" w:rsidP="00450A5B">
      <w:pPr>
        <w:pStyle w:val="a"/>
        <w:numPr>
          <w:ilvl w:val="0"/>
          <w:numId w:val="25"/>
        </w:numPr>
        <w:ind w:left="284" w:hanging="284"/>
      </w:pPr>
      <w:r>
        <w:t>порядка признания затрат по договору</w:t>
      </w:r>
      <w:r w:rsidR="00A264D4" w:rsidRPr="00A264D4">
        <w:t>;</w:t>
      </w:r>
    </w:p>
    <w:p w14:paraId="2DB12DC2" w14:textId="77777777" w:rsidR="007A03B4" w:rsidRDefault="007A03B4" w:rsidP="00450A5B">
      <w:pPr>
        <w:pStyle w:val="a"/>
        <w:numPr>
          <w:ilvl w:val="0"/>
          <w:numId w:val="25"/>
        </w:numPr>
        <w:ind w:left="284" w:hanging="284"/>
      </w:pPr>
      <w:r>
        <w:t>порядка признания доходов, расходов и убытков по договору</w:t>
      </w:r>
      <w:r w:rsidR="00A264D4" w:rsidRPr="00A264D4">
        <w:t>;</w:t>
      </w:r>
    </w:p>
    <w:p w14:paraId="01354219" w14:textId="77777777" w:rsidR="007A03B4" w:rsidRDefault="00A264D4" w:rsidP="00450A5B">
      <w:pPr>
        <w:pStyle w:val="a"/>
        <w:numPr>
          <w:ilvl w:val="0"/>
          <w:numId w:val="25"/>
        </w:numPr>
        <w:ind w:left="284" w:hanging="284"/>
      </w:pPr>
      <w:r>
        <w:t>надежности оценки результатов исполнения договора</w:t>
      </w:r>
      <w:r w:rsidRPr="00A264D4">
        <w:t>;</w:t>
      </w:r>
    </w:p>
    <w:p w14:paraId="73356BA8" w14:textId="77777777" w:rsidR="00A264D4" w:rsidRDefault="00A264D4" w:rsidP="00450A5B">
      <w:pPr>
        <w:pStyle w:val="a"/>
        <w:numPr>
          <w:ilvl w:val="0"/>
          <w:numId w:val="25"/>
        </w:numPr>
        <w:ind w:left="284" w:hanging="284"/>
      </w:pPr>
      <w:r>
        <w:t>изменения в оценках</w:t>
      </w:r>
      <w:r>
        <w:rPr>
          <w:lang w:val="en-US"/>
        </w:rPr>
        <w:t>;</w:t>
      </w:r>
    </w:p>
    <w:p w14:paraId="636FFD2C" w14:textId="77777777" w:rsidR="00A264D4" w:rsidRDefault="00A264D4" w:rsidP="00450A5B">
      <w:pPr>
        <w:pStyle w:val="a"/>
        <w:numPr>
          <w:ilvl w:val="0"/>
          <w:numId w:val="25"/>
        </w:numPr>
        <w:ind w:left="284" w:hanging="284"/>
      </w:pPr>
      <w:r>
        <w:t>раскрытия информации.</w:t>
      </w:r>
    </w:p>
    <w:p w14:paraId="5A507100" w14:textId="77777777" w:rsidR="0051462B" w:rsidRDefault="001E6DD2" w:rsidP="00153684">
      <w:r>
        <w:t xml:space="preserve">В основе данного стандарта лежит принцип </w:t>
      </w:r>
      <w:r w:rsidRPr="000524AC">
        <w:rPr>
          <w:i/>
        </w:rPr>
        <w:t>учета по мере готовности</w:t>
      </w:r>
      <w:r>
        <w:t xml:space="preserve">. </w:t>
      </w:r>
    </w:p>
    <w:p w14:paraId="5B0BFC0B" w14:textId="78E7C464" w:rsidR="00153684" w:rsidRDefault="00153684" w:rsidP="00153684">
      <w:r>
        <w:t xml:space="preserve">Однако, стоит отметить, что не все долгосрочные контракты </w:t>
      </w:r>
      <w:r w:rsidR="002F5ADE">
        <w:t>на строительство</w:t>
      </w:r>
      <w:r>
        <w:t xml:space="preserve"> попадают под действие данного стандарта: в зависимости от особенностей контракта он также может попасть под действие стандарта, регламентирующего признание выручки</w:t>
      </w:r>
      <w:r w:rsidR="00C974C3">
        <w:t xml:space="preserve"> (и в таком случае учет по мере готовности не предусмотрен)</w:t>
      </w:r>
      <w:r>
        <w:t>.</w:t>
      </w:r>
    </w:p>
    <w:p w14:paraId="3CC38760" w14:textId="77777777" w:rsidR="00AB2ED2" w:rsidRDefault="00AB2ED2" w:rsidP="00153684"/>
    <w:p w14:paraId="66525F2E" w14:textId="342D4FCF" w:rsidR="00851D3F" w:rsidRPr="00AB2ED2" w:rsidRDefault="00AE33DC" w:rsidP="00AB2ED2">
      <w:pPr>
        <w:pStyle w:val="2"/>
        <w:ind w:firstLine="0"/>
        <w:rPr>
          <w:szCs w:val="24"/>
        </w:rPr>
      </w:pPr>
      <w:bookmarkStart w:id="12" w:name="_Toc451081013"/>
      <w:r>
        <w:rPr>
          <w:rFonts w:eastAsiaTheme="minorHAnsi" w:cstheme="minorBidi"/>
          <w:b w:val="0"/>
          <w:color w:val="auto"/>
          <w:szCs w:val="24"/>
        </w:rPr>
        <w:t>§</w:t>
      </w:r>
      <w:r w:rsidR="00407F5B" w:rsidRPr="009E60EB">
        <w:rPr>
          <w:szCs w:val="24"/>
        </w:rPr>
        <w:t>2.</w:t>
      </w:r>
      <w:r w:rsidR="00472C75" w:rsidRPr="009E60EB">
        <w:rPr>
          <w:szCs w:val="24"/>
        </w:rPr>
        <w:t>3</w:t>
      </w:r>
      <w:r w:rsidR="00851D3F" w:rsidRPr="009E60EB">
        <w:rPr>
          <w:szCs w:val="24"/>
        </w:rPr>
        <w:t xml:space="preserve"> </w:t>
      </w:r>
      <w:r w:rsidR="00131B7A" w:rsidRPr="009E60EB">
        <w:rPr>
          <w:szCs w:val="24"/>
        </w:rPr>
        <w:t>Перспективы учета в соответствии с</w:t>
      </w:r>
      <w:r w:rsidR="00154E41" w:rsidRPr="009E60EB">
        <w:rPr>
          <w:szCs w:val="24"/>
        </w:rPr>
        <w:t xml:space="preserve"> МСФО (</w:t>
      </w:r>
      <w:r w:rsidR="00154E41" w:rsidRPr="009E60EB">
        <w:rPr>
          <w:szCs w:val="24"/>
          <w:lang w:val="en-US"/>
        </w:rPr>
        <w:t>IFRS</w:t>
      </w:r>
      <w:r w:rsidR="00154E41" w:rsidRPr="009E60EB">
        <w:rPr>
          <w:szCs w:val="24"/>
        </w:rPr>
        <w:t>) 15</w:t>
      </w:r>
      <w:r w:rsidR="000D645C">
        <w:rPr>
          <w:szCs w:val="24"/>
        </w:rPr>
        <w:t xml:space="preserve"> </w:t>
      </w:r>
      <w:r w:rsidR="002A469D" w:rsidRPr="009E60EB">
        <w:rPr>
          <w:szCs w:val="24"/>
        </w:rPr>
        <w:t>«Выручка по договорам с покупателями»</w:t>
      </w:r>
      <w:bookmarkEnd w:id="12"/>
    </w:p>
    <w:p w14:paraId="011A5ABB" w14:textId="28EB8D41" w:rsidR="00154E41" w:rsidRDefault="003C5061" w:rsidP="002A469D">
      <w:r>
        <w:t>В</w:t>
      </w:r>
      <w:r w:rsidR="00E923AE">
        <w:t xml:space="preserve"> данном </w:t>
      </w:r>
      <w:r w:rsidR="00385358">
        <w:t>параграфе</w:t>
      </w:r>
      <w:r w:rsidR="00E923AE">
        <w:t xml:space="preserve"> </w:t>
      </w:r>
      <w:r w:rsidR="007E799D">
        <w:t>рассмотрено влияние введения нового МСФО (</w:t>
      </w:r>
      <w:r w:rsidR="007E799D">
        <w:rPr>
          <w:lang w:val="en-US"/>
        </w:rPr>
        <w:t>IFRS</w:t>
      </w:r>
      <w:r w:rsidR="007E799D">
        <w:t>)</w:t>
      </w:r>
      <w:r w:rsidR="007E799D" w:rsidRPr="007E799D">
        <w:t xml:space="preserve"> 15 </w:t>
      </w:r>
      <w:r w:rsidR="007E799D">
        <w:t xml:space="preserve">на признание выручки по договорам </w:t>
      </w:r>
      <w:r w:rsidR="00A92D6C">
        <w:t>на строите</w:t>
      </w:r>
      <w:r w:rsidR="008C1507">
        <w:t>л</w:t>
      </w:r>
      <w:r w:rsidR="00A92D6C">
        <w:t>ьство</w:t>
      </w:r>
      <w:r w:rsidR="007E799D">
        <w:t>. Кроме того, проводится сра</w:t>
      </w:r>
      <w:r w:rsidR="00BB0F46">
        <w:t>в</w:t>
      </w:r>
      <w:r w:rsidR="007E799D">
        <w:t>нительный анализ уже действующего МСФО (</w:t>
      </w:r>
      <w:r w:rsidR="007E799D">
        <w:rPr>
          <w:lang w:val="en-US"/>
        </w:rPr>
        <w:t>IAS</w:t>
      </w:r>
      <w:r w:rsidR="007E799D">
        <w:t>)</w:t>
      </w:r>
      <w:r w:rsidR="007E799D" w:rsidRPr="00BB0F46">
        <w:t xml:space="preserve"> 11 </w:t>
      </w:r>
      <w:r w:rsidR="007E799D">
        <w:t xml:space="preserve">и </w:t>
      </w:r>
      <w:r w:rsidR="00BB0F46">
        <w:t>МСФО (</w:t>
      </w:r>
      <w:r w:rsidR="00BB0F46">
        <w:rPr>
          <w:lang w:val="en-US"/>
        </w:rPr>
        <w:t>IFRS</w:t>
      </w:r>
      <w:r w:rsidR="00BB0F46">
        <w:t>)</w:t>
      </w:r>
      <w:r w:rsidR="00BB0F46" w:rsidRPr="007E799D">
        <w:t xml:space="preserve"> 15</w:t>
      </w:r>
      <w:r w:rsidR="00BB0F46">
        <w:t>.</w:t>
      </w:r>
    </w:p>
    <w:p w14:paraId="6B176470" w14:textId="7DC12A2F" w:rsidR="009361C8" w:rsidRDefault="00BB0F46" w:rsidP="002A469D">
      <w:r>
        <w:t>МСФО (</w:t>
      </w:r>
      <w:r>
        <w:rPr>
          <w:lang w:val="en-US"/>
        </w:rPr>
        <w:t>IFRS</w:t>
      </w:r>
      <w:r>
        <w:t>)</w:t>
      </w:r>
      <w:r w:rsidRPr="007E799D">
        <w:t xml:space="preserve"> 15</w:t>
      </w:r>
      <w:r w:rsidR="00D92C25">
        <w:t xml:space="preserve"> </w:t>
      </w:r>
      <w:r w:rsidRPr="00BB0F46">
        <w:t>«Выручка по договорам с покупателями»</w:t>
      </w:r>
      <w:r w:rsidR="00030FCB">
        <w:t xml:space="preserve"> - новый, пока еще не действующий стандарт. Данный стандарт был введен в действие на территории Российской Федерации </w:t>
      </w:r>
      <w:r w:rsidR="00030FCB" w:rsidRPr="00030FCB">
        <w:t>Приказом Министерства финансов РФ от 21.01.2015 № 9</w:t>
      </w:r>
      <w:r w:rsidR="00030FCB">
        <w:t>.</w:t>
      </w:r>
    </w:p>
    <w:p w14:paraId="7B7518D7" w14:textId="2EEA459D" w:rsidR="00BB0F46" w:rsidRDefault="009361C8" w:rsidP="002A469D">
      <w:r>
        <w:t>МСФО (</w:t>
      </w:r>
      <w:r>
        <w:rPr>
          <w:lang w:val="en-US"/>
        </w:rPr>
        <w:t>IFRS</w:t>
      </w:r>
      <w:r>
        <w:t>)</w:t>
      </w:r>
      <w:r w:rsidRPr="007E799D">
        <w:t xml:space="preserve"> 15</w:t>
      </w:r>
      <w:r w:rsidR="00E070E4">
        <w:t xml:space="preserve"> с 2018 года</w:t>
      </w:r>
      <w:r w:rsidR="006921AD">
        <w:t xml:space="preserve"> заменит действующий на сегодняшний день </w:t>
      </w:r>
      <w:r w:rsidR="006921AD" w:rsidRPr="006921AD">
        <w:t>МСФО (IAS) 11 «Договоры на строительство»</w:t>
      </w:r>
      <w:r w:rsidR="006921AD">
        <w:t>.</w:t>
      </w:r>
    </w:p>
    <w:p w14:paraId="5646FB19" w14:textId="62522F37" w:rsidR="006921AD" w:rsidRDefault="006921AD" w:rsidP="002A469D">
      <w:r>
        <w:lastRenderedPageBreak/>
        <w:t>Стандарт обязателен к применению на территории Российской Федерации всеми составляющими отчетность по М</w:t>
      </w:r>
      <w:r w:rsidR="002F5ADE">
        <w:t>СФО организациями при подготовке</w:t>
      </w:r>
      <w:r>
        <w:t xml:space="preserve"> годовой фина</w:t>
      </w:r>
      <w:r w:rsidR="00760076">
        <w:t>нсовой отчетности начиная с 2018</w:t>
      </w:r>
      <w:r>
        <w:t xml:space="preserve"> года. Также возможно досрочное применение Стандарта, при этом необходимо указать данный факт в примечаниях к финансовой отчетности.</w:t>
      </w:r>
    </w:p>
    <w:p w14:paraId="7C1BC5D2" w14:textId="77777777" w:rsidR="007A2B23" w:rsidRDefault="007A2B23" w:rsidP="007A2B23">
      <w:r>
        <w:t>В стандарте рассмотрены вопросы, касающиеся признания выручки по договорам на строительство.</w:t>
      </w:r>
    </w:p>
    <w:p w14:paraId="5080FE07" w14:textId="77777777" w:rsidR="002A469D" w:rsidRPr="00ED54DE" w:rsidRDefault="002925E5" w:rsidP="009E60EB">
      <w:pPr>
        <w:pStyle w:val="ad"/>
        <w:ind w:firstLine="0"/>
      </w:pPr>
      <w:r>
        <w:t>2.</w:t>
      </w:r>
      <w:r w:rsidR="0051110E">
        <w:t>2</w:t>
      </w:r>
      <w:r w:rsidR="001441F8">
        <w:t xml:space="preserve">.1 </w:t>
      </w:r>
      <w:r w:rsidR="002A469D">
        <w:t>Цель</w:t>
      </w:r>
      <w:r w:rsidR="00851D3F">
        <w:t xml:space="preserve"> </w:t>
      </w:r>
      <w:r w:rsidR="00ED54DE">
        <w:t>стандарта</w:t>
      </w:r>
    </w:p>
    <w:p w14:paraId="7F9E2C61" w14:textId="53A2C279" w:rsidR="002A469D" w:rsidRPr="00DF1DCA" w:rsidRDefault="002A469D" w:rsidP="002A469D">
      <w:r>
        <w:t>По мнению директора Агентства по МСФО</w:t>
      </w:r>
      <w:r w:rsidR="00312288">
        <w:t xml:space="preserve"> Е.В. Харл</w:t>
      </w:r>
      <w:r w:rsidR="00684B52">
        <w:t>а</w:t>
      </w:r>
      <w:r w:rsidR="00312288">
        <w:t>мовой</w:t>
      </w:r>
      <w:r>
        <w:t>, основная цель стандарта – «</w:t>
      </w:r>
      <w:r w:rsidR="008C1507">
        <w:t>повысить качество «</w:t>
      </w:r>
      <w:r w:rsidRPr="002A469D">
        <w:t>перв</w:t>
      </w:r>
      <w:r w:rsidR="008C1507">
        <w:t>ой строки финансовой отчетности»</w:t>
      </w:r>
      <w:r w:rsidRPr="002A469D">
        <w:t>, ведь традиционно МСФО-отчетность начинается именно с Отчета о прибылях и убытках и прочем совокупном доходе, отправной точкой которого служит именно выручка. Основополагающим принципом МСФО (IFRS) 15 является признание выручки по факту передачи товара или услуг потребителю, причем в размере, соответствующем ожидаемой сумме оплаты за факт передачи этого товара или оказания услуги. Новый стандарт увеличивает количество раскрытий по выручке, содержит детальные указания по ранее не жестко регламентированным сделкам (например, выручка от продажи услуг и изменения в контрактных условиях). МСФО (IFRS) 15 существенно улучшает руководство для многокомпонентных сделок</w:t>
      </w:r>
      <w:r w:rsidRPr="00DF1DCA">
        <w:t>»</w:t>
      </w:r>
      <w:r w:rsidR="006E265D">
        <w:rPr>
          <w:rStyle w:val="a6"/>
        </w:rPr>
        <w:footnoteReference w:id="28"/>
      </w:r>
      <w:r w:rsidR="00DF1DCA" w:rsidRPr="00DF1DCA">
        <w:t>.</w:t>
      </w:r>
    </w:p>
    <w:p w14:paraId="72197D45" w14:textId="3E47A389" w:rsidR="0051140A" w:rsidRDefault="009C1127" w:rsidP="002A469D">
      <w:r>
        <w:t xml:space="preserve">По мнению специалистов компании  </w:t>
      </w:r>
      <w:r>
        <w:rPr>
          <w:lang w:val="en-US"/>
        </w:rPr>
        <w:t>KPMG</w:t>
      </w:r>
      <w:r w:rsidR="0051140A">
        <w:t>, данный стандарт является одной из ключевых составляющих проекта конвергенции систем учета, поскольку он сближает МСФО и ГААП США.</w:t>
      </w:r>
      <w:r>
        <w:rPr>
          <w:rStyle w:val="a6"/>
        </w:rPr>
        <w:footnoteReference w:id="29"/>
      </w:r>
    </w:p>
    <w:p w14:paraId="56E7BFF8" w14:textId="77777777" w:rsidR="00FF77E7" w:rsidRPr="0051140A" w:rsidRDefault="00FF77E7" w:rsidP="00FF77E7">
      <w:r>
        <w:t>Стандарт призван установить принципы отражения информации о характере, величине, распределении во времени и неопределенности выручки и денежных потоков, обусловленных договором с покупателем.</w:t>
      </w:r>
    </w:p>
    <w:p w14:paraId="13BC6955" w14:textId="77777777" w:rsidR="002A469D" w:rsidRDefault="001B5037" w:rsidP="002A469D">
      <w:r>
        <w:t xml:space="preserve">Таким образом, </w:t>
      </w:r>
      <w:r w:rsidR="002A469D">
        <w:t xml:space="preserve">Стандарт призван содействовать установлению единой концептуальной основы для признания дохода, </w:t>
      </w:r>
      <w:r w:rsidR="008C01B1">
        <w:t>сделать отчетность во всем мире более сопоставимой.</w:t>
      </w:r>
    </w:p>
    <w:p w14:paraId="3E21AC5C" w14:textId="39DE38BA" w:rsidR="007A2B23" w:rsidRDefault="002925E5" w:rsidP="009E60EB">
      <w:pPr>
        <w:pStyle w:val="ad"/>
        <w:ind w:firstLine="0"/>
      </w:pPr>
      <w:r>
        <w:t>2.</w:t>
      </w:r>
      <w:r w:rsidR="0051110E">
        <w:t>2</w:t>
      </w:r>
      <w:r w:rsidR="00F7074D">
        <w:t xml:space="preserve">.2 </w:t>
      </w:r>
      <w:r w:rsidR="00122A72">
        <w:t>Модель пятиступенчатого анализа</w:t>
      </w:r>
    </w:p>
    <w:p w14:paraId="2CDE0E07" w14:textId="62BE34A3" w:rsidR="004E0A39" w:rsidRDefault="00A845C4" w:rsidP="00953CE0">
      <w:r w:rsidRPr="002A469D">
        <w:t>МСФО (IFRS) 15</w:t>
      </w:r>
      <w:r>
        <w:t xml:space="preserve"> содержит набор принципов для принятия самостоятельных решений, который специалисты назвали «мод</w:t>
      </w:r>
      <w:r w:rsidR="0001591A">
        <w:t>ель пятиступенчатого анализа» (р</w:t>
      </w:r>
      <w:r>
        <w:t>ис</w:t>
      </w:r>
      <w:r w:rsidR="000336FD">
        <w:t>. 5</w:t>
      </w:r>
      <w:r>
        <w:t>).</w:t>
      </w:r>
    </w:p>
    <w:p w14:paraId="5DCCFCC1" w14:textId="77777777" w:rsidR="0094240D" w:rsidRDefault="0094240D" w:rsidP="00953CE0">
      <w:r>
        <w:t xml:space="preserve">Согласно этой модели, выручка признается в момент передачи организацией контроля над товарами (услугами) покупателю и в той сумме, которую организация по ее оценкам будет </w:t>
      </w:r>
      <w:r>
        <w:lastRenderedPageBreak/>
        <w:t>иметь право получить. Выручка признается на протяжении определенного времени или в конкретный момент времени.</w:t>
      </w:r>
    </w:p>
    <w:p w14:paraId="15B27CD6" w14:textId="77777777" w:rsidR="000336FD" w:rsidRPr="00E6638B" w:rsidRDefault="000336FD" w:rsidP="000336FD">
      <w:pPr>
        <w:pStyle w:val="ad"/>
        <w:jc w:val="left"/>
      </w:pPr>
      <w:r>
        <w:t>Шаг 1. Идентификация договора</w:t>
      </w:r>
    </w:p>
    <w:p w14:paraId="62814EA2" w14:textId="333843E6" w:rsidR="000336FD" w:rsidRDefault="000336FD" w:rsidP="000336FD">
      <w:r>
        <w:t xml:space="preserve">Согласно </w:t>
      </w:r>
      <w:r w:rsidRPr="00E6638B">
        <w:t xml:space="preserve">МСФО (IAS) 11 </w:t>
      </w:r>
      <w:r>
        <w:t>договор на строительство -</w:t>
      </w:r>
      <w:r w:rsidRPr="00E6638B">
        <w:t xml:space="preserve"> «договор, заключаемый с целью строительства объекта или группы объектов, которые тесно взаимосвязаны или взаимозависимы по конструкции, технологии и функциям или по конечному назна</w:t>
      </w:r>
      <w:r>
        <w:t>чению или использованию</w:t>
      </w:r>
      <w:r w:rsidRPr="00666C36">
        <w:t>»</w:t>
      </w:r>
      <w:r>
        <w:rPr>
          <w:rStyle w:val="a6"/>
        </w:rPr>
        <w:footnoteReference w:id="30"/>
      </w:r>
      <w:r w:rsidRPr="00666C36">
        <w:t>.</w:t>
      </w:r>
      <w:r>
        <w:t xml:space="preserve"> А в МСФО </w:t>
      </w:r>
      <w:r w:rsidRPr="00877A0F">
        <w:t>(</w:t>
      </w:r>
      <w:r>
        <w:rPr>
          <w:lang w:val="en-US"/>
        </w:rPr>
        <w:t>IFRS</w:t>
      </w:r>
      <w:r w:rsidRPr="00877A0F">
        <w:t>) 15</w:t>
      </w:r>
      <w:r>
        <w:t xml:space="preserve"> понятие договора трактуется как</w:t>
      </w:r>
      <w:r w:rsidRPr="00E6638B">
        <w:t xml:space="preserve"> «соглашение</w:t>
      </w:r>
      <w:r>
        <w:t xml:space="preserve"> </w:t>
      </w:r>
      <w:r w:rsidRPr="00E6638B">
        <w:t>между двумя или несколькими сторонами, которое обуславливает обеспеченные правовой защитой права и обязательства»</w:t>
      </w:r>
      <w:r>
        <w:rPr>
          <w:rStyle w:val="a6"/>
        </w:rPr>
        <w:footnoteReference w:id="31"/>
      </w:r>
      <w:r>
        <w:t>. Стоит обратить внимание на то, что в новом стандарте отсутствуют отдельные критерии идентификации договора на строительство, что еще раз свидетельствует о</w:t>
      </w:r>
      <w:r w:rsidR="002E2648">
        <w:t>б</w:t>
      </w:r>
      <w:r>
        <w:t xml:space="preserve"> </w:t>
      </w:r>
      <w:r w:rsidR="002E2648">
        <w:t>унификации</w:t>
      </w:r>
      <w:r>
        <w:t xml:space="preserve"> подхода к признанию выручки по всем типам договоров.</w:t>
      </w:r>
    </w:p>
    <w:p w14:paraId="1C096CA1" w14:textId="50B3053E" w:rsidR="003436ED" w:rsidRPr="00A845C4" w:rsidRDefault="00F45D00" w:rsidP="00A845C4">
      <w:r>
        <w:rPr>
          <w:noProof/>
          <w:lang w:eastAsia="ru-RU"/>
        </w:rPr>
        <mc:AlternateContent>
          <mc:Choice Requires="wpg">
            <w:drawing>
              <wp:anchor distT="0" distB="0" distL="114300" distR="114300" simplePos="0" relativeHeight="251672576" behindDoc="0" locked="0" layoutInCell="1" allowOverlap="1" wp14:anchorId="52A64BF7" wp14:editId="6F3EA0FD">
                <wp:simplePos x="0" y="0"/>
                <wp:positionH relativeFrom="column">
                  <wp:posOffset>434340</wp:posOffset>
                </wp:positionH>
                <wp:positionV relativeFrom="paragraph">
                  <wp:posOffset>301625</wp:posOffset>
                </wp:positionV>
                <wp:extent cx="4562475" cy="3251200"/>
                <wp:effectExtent l="2540" t="0" r="6985" b="15875"/>
                <wp:wrapTopAndBottom/>
                <wp:docPr id="2"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3251200"/>
                          <a:chOff x="0" y="0"/>
                          <a:chExt cx="4562475" cy="3251200"/>
                        </a:xfrm>
                      </wpg:grpSpPr>
                      <wps:wsp>
                        <wps:cNvPr id="5" name="Прямоугольник 4"/>
                        <wps:cNvSpPr>
                          <a:spLocks noChangeArrowheads="1"/>
                        </wps:cNvSpPr>
                        <wps:spPr bwMode="auto">
                          <a:xfrm>
                            <a:off x="0" y="0"/>
                            <a:ext cx="4562475" cy="40322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765D3A6" w14:textId="77777777" w:rsidR="002E21F4" w:rsidRPr="008F57BB" w:rsidRDefault="002E21F4" w:rsidP="00863F96">
                              <w:pPr>
                                <w:pStyle w:val="a"/>
                                <w:numPr>
                                  <w:ilvl w:val="0"/>
                                  <w:numId w:val="2"/>
                                </w:numPr>
                                <w:jc w:val="center"/>
                              </w:pPr>
                              <w:r w:rsidRPr="008F57BB">
                                <w:t>Идентификация договора</w:t>
                              </w:r>
                            </w:p>
                          </w:txbxContent>
                        </wps:txbx>
                        <wps:bodyPr rot="0" vert="horz" wrap="square" lIns="91440" tIns="45720" rIns="91440" bIns="45720" anchor="ctr" anchorCtr="0" upright="1">
                          <a:noAutofit/>
                        </wps:bodyPr>
                      </wps:wsp>
                      <wps:wsp>
                        <wps:cNvPr id="7" name="Прямоугольник 5"/>
                        <wps:cNvSpPr>
                          <a:spLocks noChangeArrowheads="1"/>
                        </wps:cNvSpPr>
                        <wps:spPr bwMode="auto">
                          <a:xfrm>
                            <a:off x="0" y="704850"/>
                            <a:ext cx="4562475" cy="40322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96D4201" w14:textId="77777777" w:rsidR="002E21F4" w:rsidRDefault="002E21F4" w:rsidP="003436ED">
                              <w:pPr>
                                <w:jc w:val="center"/>
                              </w:pPr>
                              <w:r>
                                <w:t>2. Идентификация обязанностей к исполнению</w:t>
                              </w:r>
                            </w:p>
                          </w:txbxContent>
                        </wps:txbx>
                        <wps:bodyPr rot="0" vert="horz" wrap="square" lIns="91440" tIns="45720" rIns="91440" bIns="45720" anchor="ctr" anchorCtr="0" upright="1">
                          <a:noAutofit/>
                        </wps:bodyPr>
                      </wps:wsp>
                      <wps:wsp>
                        <wps:cNvPr id="8" name="Прямоугольник 8"/>
                        <wps:cNvSpPr>
                          <a:spLocks noChangeArrowheads="1"/>
                        </wps:cNvSpPr>
                        <wps:spPr bwMode="auto">
                          <a:xfrm>
                            <a:off x="0" y="1409700"/>
                            <a:ext cx="4562475" cy="40322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8ACECF4" w14:textId="77777777" w:rsidR="002E21F4" w:rsidRPr="00F01B6C" w:rsidRDefault="002E21F4" w:rsidP="003436ED">
                              <w:pPr>
                                <w:jc w:val="center"/>
                              </w:pPr>
                              <w:r w:rsidRPr="00F01B6C">
                                <w:t>3. Определение цены операции</w:t>
                              </w:r>
                            </w:p>
                          </w:txbxContent>
                        </wps:txbx>
                        <wps:bodyPr rot="0" vert="horz" wrap="square" lIns="91440" tIns="45720" rIns="91440" bIns="45720" anchor="ctr" anchorCtr="0" upright="1">
                          <a:noAutofit/>
                        </wps:bodyPr>
                      </wps:wsp>
                      <wps:wsp>
                        <wps:cNvPr id="9" name="Прямоугольник 9"/>
                        <wps:cNvSpPr>
                          <a:spLocks noChangeArrowheads="1"/>
                        </wps:cNvSpPr>
                        <wps:spPr bwMode="auto">
                          <a:xfrm>
                            <a:off x="0" y="2124075"/>
                            <a:ext cx="4562475" cy="40322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1261EF8" w14:textId="77777777" w:rsidR="002E21F4" w:rsidRPr="00F01B6C" w:rsidRDefault="002E21F4" w:rsidP="003436ED">
                              <w:pPr>
                                <w:jc w:val="center"/>
                              </w:pPr>
                              <w:r w:rsidRPr="00F01B6C">
                                <w:t>4. Распределение цены операции на обязанности к исполнению</w:t>
                              </w:r>
                            </w:p>
                          </w:txbxContent>
                        </wps:txbx>
                        <wps:bodyPr rot="0" vert="horz" wrap="square" lIns="91440" tIns="45720" rIns="91440" bIns="45720" anchor="ctr" anchorCtr="0" upright="1">
                          <a:noAutofit/>
                        </wps:bodyPr>
                      </wps:wsp>
                      <wps:wsp>
                        <wps:cNvPr id="12" name="Прямоугольник 10"/>
                        <wps:cNvSpPr>
                          <a:spLocks noChangeArrowheads="1"/>
                        </wps:cNvSpPr>
                        <wps:spPr bwMode="auto">
                          <a:xfrm>
                            <a:off x="0" y="2847975"/>
                            <a:ext cx="4562475" cy="40322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1523C02" w14:textId="77777777" w:rsidR="002E21F4" w:rsidRDefault="002E21F4" w:rsidP="003436ED">
                              <w:pPr>
                                <w:jc w:val="center"/>
                              </w:pPr>
                              <w:r>
                                <w:t>5. Признание выручки</w:t>
                              </w:r>
                            </w:p>
                          </w:txbxContent>
                        </wps:txbx>
                        <wps:bodyPr rot="0" vert="horz" wrap="square" lIns="91440" tIns="45720" rIns="91440" bIns="45720" anchor="ctr" anchorCtr="0" upright="1">
                          <a:noAutofit/>
                        </wps:bodyPr>
                      </wps:wsp>
                      <wps:wsp>
                        <wps:cNvPr id="13" name="Стрелка вниз 11"/>
                        <wps:cNvSpPr>
                          <a:spLocks noChangeArrowheads="1"/>
                        </wps:cNvSpPr>
                        <wps:spPr bwMode="auto">
                          <a:xfrm>
                            <a:off x="2105025" y="400050"/>
                            <a:ext cx="297910" cy="302611"/>
                          </a:xfrm>
                          <a:prstGeom prst="downArrow">
                            <a:avLst>
                              <a:gd name="adj1" fmla="val 50000"/>
                              <a:gd name="adj2" fmla="val 49999"/>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4" name="Стрелка вниз 12"/>
                        <wps:cNvSpPr>
                          <a:spLocks noChangeArrowheads="1"/>
                        </wps:cNvSpPr>
                        <wps:spPr bwMode="auto">
                          <a:xfrm>
                            <a:off x="2105025" y="1104900"/>
                            <a:ext cx="297910" cy="302611"/>
                          </a:xfrm>
                          <a:prstGeom prst="downArrow">
                            <a:avLst>
                              <a:gd name="adj1" fmla="val 50000"/>
                              <a:gd name="adj2" fmla="val 49999"/>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6" name="Стрелка вниз 13"/>
                        <wps:cNvSpPr>
                          <a:spLocks noChangeArrowheads="1"/>
                        </wps:cNvSpPr>
                        <wps:spPr bwMode="auto">
                          <a:xfrm>
                            <a:off x="2105025" y="1828800"/>
                            <a:ext cx="297910" cy="302611"/>
                          </a:xfrm>
                          <a:prstGeom prst="downArrow">
                            <a:avLst>
                              <a:gd name="adj1" fmla="val 50000"/>
                              <a:gd name="adj2" fmla="val 49999"/>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7" name="Стрелка вниз 14"/>
                        <wps:cNvSpPr>
                          <a:spLocks noChangeArrowheads="1"/>
                        </wps:cNvSpPr>
                        <wps:spPr bwMode="auto">
                          <a:xfrm>
                            <a:off x="2105025" y="2543175"/>
                            <a:ext cx="297910" cy="302611"/>
                          </a:xfrm>
                          <a:prstGeom prst="downArrow">
                            <a:avLst>
                              <a:gd name="adj1" fmla="val 50000"/>
                              <a:gd name="adj2" fmla="val 49999"/>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64BF7" id="_x0413__x0440__x0443__x043f__x043f__x0430__x0020_16" o:spid="_x0000_s1046" style="position:absolute;left:0;text-align:left;margin-left:34.2pt;margin-top:23.75pt;width:359.25pt;height:256pt;z-index:251672576" coordsize="4562475,325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">
                <v:rect id="_x041f__x0440__x044f__x043c__x043e__x0443__x0433__x043e__x043b__x044c__x043d__x0438__x043a__x0020_4" o:spid="_x0000_s1047" style="position:absolute;width:4562475;height:4032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XiQvgAA&#10;ANoAAAAPAAAAZHJzL2Rvd25yZXYueG1sRI/disIwEIXvBd8hjOCdTRV0pRpFBEGEvdD1AYZmbKrN&#10;pDTRtm+/EQQvD+fn46y3na3EixpfOlYwTVIQxLnTJRcKrn+HyRKED8gaK8ekoCcP281wsMZMu5bP&#10;9LqEQsQR9hkqMCHUmZQ+N2TRJ64mjt7NNRZDlE0hdYNtHLeVnKXpQlosORIM1rQ3lD8uTxshSOd+&#10;+tPuH7+mO5VU9Xd69kqNR91uBSJQF77hT/uoFczhfSXeALn5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14kL4AAADaAAAADwAAAAAAAAAAAAAAAACXAgAAZHJzL2Rvd25yZXYu&#10;eG1sUEsFBgAAAAAEAAQA9QAAAIIDAAAAAA==&#10;" fillcolor="#5b9bd5 [3204]" strokecolor="#1f4d78 [1604]" strokeweight="1pt">
                  <v:textbox>
                    <w:txbxContent>
                      <w:p w14:paraId="4765D3A6" w14:textId="77777777" w:rsidR="002E21F4" w:rsidRPr="008F57BB" w:rsidRDefault="002E21F4" w:rsidP="00863F96">
                        <w:pPr>
                          <w:pStyle w:val="a"/>
                          <w:numPr>
                            <w:ilvl w:val="0"/>
                            <w:numId w:val="2"/>
                          </w:numPr>
                          <w:jc w:val="center"/>
                        </w:pPr>
                        <w:r w:rsidRPr="008F57BB">
                          <w:t>Идентификация договора</w:t>
                        </w:r>
                      </w:p>
                    </w:txbxContent>
                  </v:textbox>
                </v:rect>
                <v:rect id="_x041f__x0440__x044f__x043c__x043e__x0443__x0433__x043e__x043b__x044c__x043d__x0438__x043a__x0020_5" o:spid="_x0000_s1048" style="position:absolute;top:704850;width:4562475;height:4032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0N8vAAA&#10;ANoAAAAPAAAAZHJzL2Rvd25yZXYueG1sRI/LCsIwEEX3gv8QRnCnqS5UqlFEEERw4eMDhmZsqs2k&#10;NNG2f28EweXlPg53tWltKd5U+8Kxgsk4AUGcOV1wruB23Y8WIHxA1lg6JgUdedis+70Vpto1fKb3&#10;JeQijrBPUYEJoUql9Jkhi37sKuLo3V1tMURZ51LX2MRxW8ppksykxYIjwWBFO0PZ8/KyEYJ07ibz&#10;Zvc8mfZYUNk96NUpNRy02yWIQG34h3/tg1Ywh++VeAPk+gM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N3TQ3y8AAAA2gAAAA8AAAAAAAAAAAAAAAAAlwIAAGRycy9kb3ducmV2Lnht&#10;bFBLBQYAAAAABAAEAPUAAACAAwAAAAA=&#10;" fillcolor="#5b9bd5 [3204]" strokecolor="#1f4d78 [1604]" strokeweight="1pt">
                  <v:textbox>
                    <w:txbxContent>
                      <w:p w14:paraId="396D4201" w14:textId="77777777" w:rsidR="002E21F4" w:rsidRDefault="002E21F4" w:rsidP="003436ED">
                        <w:pPr>
                          <w:jc w:val="center"/>
                        </w:pPr>
                        <w:r>
                          <w:t>2. Идентификация обязанностей к исполнению</w:t>
                        </w:r>
                      </w:p>
                    </w:txbxContent>
                  </v:textbox>
                </v:rect>
                <v:rect id="_x041f__x0440__x044f__x043c__x043e__x0443__x0433__x043e__x043b__x044c__x043d__x0438__x043a__x0020_8" o:spid="_x0000_s1049" style="position:absolute;top:1409700;width:4562475;height:4032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NcOvQAA&#10;ANoAAAAPAAAAZHJzL2Rvd25yZXYueG1sRE/NisIwEL4v+A5hhL1tUz24SzWKCIIIHnT3AYZmbKrN&#10;pDTRtm/vHBY8fnz/q83gG/WkLtaBDcyyHBRxGWzNlYG/3/3XD6iYkC02gcnASBE268nHCgsbej7T&#10;85IqJSEcCzTgUmoLrWPpyGPMQkss3DV0HpPArtK2w17CfaPneb7QHmuWBoct7RyV98vDSwnSeZx9&#10;97v7yQ3HmprxRo/RmM/psF2CSjSkt/jffbAGZKtckRug1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sTNcOvQAAANoAAAAPAAAAAAAAAAAAAAAAAJcCAABkcnMvZG93bnJldi54&#10;bWxQSwUGAAAAAAQABAD1AAAAgQMAAAAA&#10;" fillcolor="#5b9bd5 [3204]" strokecolor="#1f4d78 [1604]" strokeweight="1pt">
                  <v:textbox>
                    <w:txbxContent>
                      <w:p w14:paraId="58ACECF4" w14:textId="77777777" w:rsidR="002E21F4" w:rsidRPr="00F01B6C" w:rsidRDefault="002E21F4" w:rsidP="003436ED">
                        <w:pPr>
                          <w:jc w:val="center"/>
                        </w:pPr>
                        <w:r w:rsidRPr="00F01B6C">
                          <w:t>3. Определение цены операции</w:t>
                        </w:r>
                      </w:p>
                    </w:txbxContent>
                  </v:textbox>
                </v:rect>
                <v:rect id="_x041f__x0440__x044f__x043c__x043e__x0443__x0433__x043e__x043b__x044c__x043d__x0438__x043a__x0020_9" o:spid="_x0000_s1050" style="position:absolute;top:2124075;width:4562475;height:4032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HKVvgAA&#10;ANoAAAAPAAAAZHJzL2Rvd25yZXYueG1sRI/NisIwFIX3gu8QruDOprrQsRpFBEGEWej4AJfm2lSb&#10;m9JE2779RBBcHs7Px1lvO1uJFzW+dKxgmqQgiHOnSy4UXP8Okx8QPiBrrByTgp48bDfDwRoz7Vo+&#10;0+sSChFH2GeowIRQZ1L63JBFn7iaOHo311gMUTaF1A22cdxWcpamc2mx5EgwWNPeUP64PG2EIJ37&#10;6aLdP35Ndyqp6u/07JUaj7rdCkSgLnzDn/ZRK1jC+0q8AXLz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Bylb4AAADaAAAADwAAAAAAAAAAAAAAAACXAgAAZHJzL2Rvd25yZXYu&#10;eG1sUEsFBgAAAAAEAAQA9QAAAIIDAAAAAA==&#10;" fillcolor="#5b9bd5 [3204]" strokecolor="#1f4d78 [1604]" strokeweight="1pt">
                  <v:textbox>
                    <w:txbxContent>
                      <w:p w14:paraId="31261EF8" w14:textId="77777777" w:rsidR="002E21F4" w:rsidRPr="00F01B6C" w:rsidRDefault="002E21F4" w:rsidP="003436ED">
                        <w:pPr>
                          <w:jc w:val="center"/>
                        </w:pPr>
                        <w:r w:rsidRPr="00F01B6C">
                          <w:t>4. Распределение цены операции на обязанности к исполнению</w:t>
                        </w:r>
                      </w:p>
                    </w:txbxContent>
                  </v:textbox>
                </v:rect>
                <v:rect id="_x041f__x0440__x044f__x043c__x043e__x0443__x0433__x043e__x043b__x044c__x043d__x0438__x043a__x0020_10" o:spid="_x0000_s1051" style="position:absolute;top:2847975;width:4562475;height:4032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Ps2vgAA&#10;ANsAAAAPAAAAZHJzL2Rvd25yZXYueG1sRI/NCsIwEITvgu8QVvCmqR5UqlFEEETw4M8DLM3aVJtN&#10;aaJt394IgrddZna+2dWmtaV4U+0Lxwom4wQEceZ0wbmC23U/WoDwAVlj6ZgUdORhs+73Vphq1/CZ&#10;3peQixjCPkUFJoQqldJnhiz6sauIo3Z3tcUQ1zqXusYmhttSTpNkJi0WHAkGK9oZyp6Xl40QpHM3&#10;mTe758m0x4LK7kGvTqnhoN0uQQRqw9/8uz7oWH8K31/iAHL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SzT7Nr4AAADbAAAADwAAAAAAAAAAAAAAAACXAgAAZHJzL2Rvd25yZXYu&#10;eG1sUEsFBgAAAAAEAAQA9QAAAIIDAAAAAA==&#10;" fillcolor="#5b9bd5 [3204]" strokecolor="#1f4d78 [1604]" strokeweight="1pt">
                  <v:textbox>
                    <w:txbxContent>
                      <w:p w14:paraId="01523C02" w14:textId="77777777" w:rsidR="002E21F4" w:rsidRDefault="002E21F4" w:rsidP="003436ED">
                        <w:pPr>
                          <w:jc w:val="center"/>
                        </w:pPr>
                        <w:r>
                          <w:t>5. Признание выручки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421__x0442__x0440__x0435__x043b__x043a__x0430__x0020__x0432__x043d__x0438__x0437__x0020_11" o:spid="_x0000_s1052" type="#_x0000_t67" style="position:absolute;left:2105025;top:400050;width:297910;height:3026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jdXwwAA&#10;ANsAAAAPAAAAZHJzL2Rvd25yZXYueG1sRE9La8JAEL4X/A/LFHoR3aRCKamrFGmKwV7qC3obstNs&#10;aHY2ZFcT/70rCL3Nx/ec+XKwjThT52vHCtJpAoK4dLrmSsF+l09eQfiArLFxTAou5GG5GD3MMdOu&#10;5286b0MlYgj7DBWYENpMSl8asuinriWO3K/rLIYIu0rqDvsYbhv5nCQv0mLNscFgSytD5d/2ZBUc&#10;ZWGK9ivHT+o3Y3dc/6SHj0Kpp8fh/Q1EoCH8i+/utY7zZ3D7JR4gF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CjdXwwAAANsAAAAPAAAAAAAAAAAAAAAAAJcCAABkcnMvZG93&#10;bnJldi54bWxQSwUGAAAAAAQABAD1AAAAhwMAAAAA&#10;" adj="10968" fillcolor="white [3212]" strokecolor="#1f4d78 [1604]" strokeweight="1pt"/>
                <v:shape id="_x0421__x0442__x0440__x0435__x043b__x043a__x0430__x0020__x0432__x043d__x0438__x0437__x0020_12" o:spid="_x0000_s1053" type="#_x0000_t67" style="position:absolute;left:2105025;top:1104900;width:297910;height:3026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68jwwAA&#10;ANsAAAAPAAAAZHJzL2Rvd25yZXYueG1sRE9La8JAEL4X/A/LFHoR3aRIKamrFGmKwV7qC3obstNs&#10;aHY2ZFcT/70rCL3Nx/ec+XKwjThT52vHCtJpAoK4dLrmSsF+l09eQfiArLFxTAou5GG5GD3MMdOu&#10;5286b0MlYgj7DBWYENpMSl8asuinriWO3K/rLIYIu0rqDvsYbhv5nCQv0mLNscFgSytD5d/2ZBUc&#10;ZWGK9ivHT+o3Y3dc/6SHj0Kpp8fh/Q1EoCH8i+/utY7zZ3D7JR4gF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468jwwAAANsAAAAPAAAAAAAAAAAAAAAAAJcCAABkcnMvZG93&#10;bnJldi54bWxQSwUGAAAAAAQABAD1AAAAhwMAAAAA&#10;" adj="10968" fillcolor="white [3212]" strokecolor="#1f4d78 [1604]" strokeweight="1pt"/>
                <v:shape id="_x0421__x0442__x0440__x0435__x043b__x043a__x0430__x0020__x0432__x043d__x0438__x0437__x0020_13" o:spid="_x0000_s1054" type="#_x0000_t67" style="position:absolute;left:2105025;top:1828800;width:297910;height:3026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ZTPwgAA&#10;ANsAAAAPAAAAZHJzL2Rvd25yZXYueG1sRE9Na8JAEL0L/odlBC+iGz2IRFcposVQL1oN9DZkp9nQ&#10;7GzIbk36791Cobd5vM/Z7Hpbiwe1vnKsYD5LQBAXTldcKri9H6crED4ga6wdk4If8rDbDgcbTLXr&#10;+EKPayhFDGGfogITQpNK6QtDFv3MNcSR+3StxRBhW0rdYhfDbS0XSbKUFiuODQYb2hsqvq7fVkEu&#10;M5M15yO+Uvc2cfnpY34/ZEqNR/3LGkSgPvyL/9wnHecv4feXeID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9lM/CAAAA2wAAAA8AAAAAAAAAAAAAAAAAlwIAAGRycy9kb3du&#10;cmV2LnhtbFBLBQYAAAAABAAEAPUAAACGAwAAAAA=&#10;" adj="10968" fillcolor="white [3212]" strokecolor="#1f4d78 [1604]" strokeweight="1pt"/>
                <v:shape id="_x0421__x0442__x0440__x0435__x043b__x043a__x0430__x0020__x0432__x043d__x0438__x0437__x0020_14" o:spid="_x0000_s1055" type="#_x0000_t67" style="position:absolute;left:2105025;top:2543175;width:297910;height:3026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TFUwwAA&#10;ANsAAAAPAAAAZHJzL2Rvd25yZXYueG1sRE9La8JAEL4X/A/LFHoR3aQHW1JXKdIUg73UF/Q2ZKfZ&#10;0OxsyK4m/ntXEHqbj+858+VgG3GmzteOFaTTBARx6XTNlYL9Lp+8gvABWWPjmBRcyMNyMXqYY6Zd&#10;z9903oZKxBD2GSowIbSZlL40ZNFPXUscuV/XWQwRdpXUHfYx3DbyOUlm0mLNscFgSytD5d/2ZBUc&#10;ZWGK9ivHT+o3Y3dc/6SHj0Kpp8fh/Q1EoCH8i+/utY7zX+D2SzxAL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MTFUwwAAANsAAAAPAAAAAAAAAAAAAAAAAJcCAABkcnMvZG93&#10;bnJldi54bWxQSwUGAAAAAAQABAD1AAAAhwMAAAAA&#10;" adj="10968" fillcolor="white [3212]" strokecolor="#1f4d78 [1604]" strokeweight="1pt"/>
                <w10:wrap type="topAndBottom"/>
              </v:group>
            </w:pict>
          </mc:Fallback>
        </mc:AlternateContent>
      </w:r>
    </w:p>
    <w:p w14:paraId="30992146" w14:textId="77777777" w:rsidR="00BB0F46" w:rsidRPr="007E799D" w:rsidRDefault="00BB0F46" w:rsidP="003C5061"/>
    <w:p w14:paraId="7D9E4A86" w14:textId="6CBB433F" w:rsidR="008E4F0B" w:rsidRPr="000336FD" w:rsidRDefault="000336FD" w:rsidP="000336FD">
      <w:pPr>
        <w:rPr>
          <w:i/>
        </w:rPr>
      </w:pPr>
      <w:r w:rsidRPr="000336FD">
        <w:rPr>
          <w:i/>
        </w:rPr>
        <w:t>Рисунок 5</w:t>
      </w:r>
      <w:r w:rsidR="008E4F0B" w:rsidRPr="000336FD">
        <w:rPr>
          <w:i/>
        </w:rPr>
        <w:t xml:space="preserve"> «Модель пятиступенчатого анализа».</w:t>
      </w:r>
    </w:p>
    <w:p w14:paraId="7B67ABCD" w14:textId="21A39D18" w:rsidR="00E460DB" w:rsidRPr="000336FD" w:rsidRDefault="00E460DB" w:rsidP="000336FD">
      <w:pPr>
        <w:rPr>
          <w:i/>
          <w:sz w:val="20"/>
          <w:szCs w:val="20"/>
        </w:rPr>
      </w:pPr>
      <w:bookmarkStart w:id="13" w:name="_Toc436654269"/>
      <w:r w:rsidRPr="000336FD">
        <w:rPr>
          <w:i/>
          <w:sz w:val="20"/>
          <w:szCs w:val="20"/>
        </w:rPr>
        <w:t>Источник: составлено автором на основании положений Международного стандарта финансовой отчетности (I</w:t>
      </w:r>
      <w:r w:rsidRPr="000336FD">
        <w:rPr>
          <w:i/>
          <w:sz w:val="20"/>
          <w:szCs w:val="20"/>
          <w:lang w:val="en-US"/>
        </w:rPr>
        <w:t>FRS</w:t>
      </w:r>
      <w:r w:rsidRPr="000336FD">
        <w:rPr>
          <w:i/>
          <w:sz w:val="20"/>
          <w:szCs w:val="20"/>
        </w:rPr>
        <w:t>) 15</w:t>
      </w:r>
      <w:r w:rsidR="002D7622" w:rsidRPr="000336FD">
        <w:rPr>
          <w:i/>
          <w:sz w:val="20"/>
          <w:szCs w:val="20"/>
        </w:rPr>
        <w:t xml:space="preserve"> «Выручка по договорам с покупателями» </w:t>
      </w:r>
    </w:p>
    <w:bookmarkEnd w:id="13"/>
    <w:p w14:paraId="4323217D" w14:textId="56D0D4EF" w:rsidR="004C55FE" w:rsidRDefault="0010405E" w:rsidP="00385358">
      <w:r>
        <w:t>Также в</w:t>
      </w:r>
      <w:r w:rsidR="000D645C">
        <w:t xml:space="preserve"> </w:t>
      </w:r>
      <w:r w:rsidR="00E74090">
        <w:t xml:space="preserve">МСФО </w:t>
      </w:r>
      <w:r w:rsidR="00E74090" w:rsidRPr="00877A0F">
        <w:t>(</w:t>
      </w:r>
      <w:r w:rsidR="00E74090">
        <w:rPr>
          <w:lang w:val="en-US"/>
        </w:rPr>
        <w:t>IFRS</w:t>
      </w:r>
      <w:r w:rsidR="00E74090" w:rsidRPr="00877A0F">
        <w:t>) 15</w:t>
      </w:r>
      <w:r>
        <w:t xml:space="preserve"> нет разделения договоров на строительство на два вида </w:t>
      </w:r>
      <w:r w:rsidR="00E74090">
        <w:t>как это было в МСФО (</w:t>
      </w:r>
      <w:r w:rsidR="00E74090">
        <w:rPr>
          <w:lang w:val="en-US"/>
        </w:rPr>
        <w:t>IAS</w:t>
      </w:r>
      <w:r w:rsidR="00E74090" w:rsidRPr="00E74090">
        <w:t>)</w:t>
      </w:r>
      <w:r w:rsidR="00E74090">
        <w:t xml:space="preserve"> 11 </w:t>
      </w:r>
      <w:r w:rsidR="00E460DB">
        <w:t>(как было упомянуто ранее</w:t>
      </w:r>
      <w:r>
        <w:t>, это договор «затраты плюс» и договор с фиксированной ценой)</w:t>
      </w:r>
      <w:r w:rsidR="00432600">
        <w:t>. О</w:t>
      </w:r>
      <w:r w:rsidR="003C396D">
        <w:t>днако</w:t>
      </w:r>
      <w:r w:rsidR="000D645C">
        <w:t xml:space="preserve"> </w:t>
      </w:r>
      <w:r w:rsidR="00E74090">
        <w:t xml:space="preserve">фактически </w:t>
      </w:r>
      <w:r w:rsidR="003C396D">
        <w:t xml:space="preserve">это разделение присутствует в качестве варианта </w:t>
      </w:r>
      <w:r w:rsidR="003C396D">
        <w:lastRenderedPageBreak/>
        <w:t>ценообразования и рассматривается в рамках третьего этапа «Модели пятиступенчатого анализа» (определение цены операции).</w:t>
      </w:r>
    </w:p>
    <w:p w14:paraId="35C8861D" w14:textId="77777777" w:rsidR="00432600" w:rsidRDefault="00432600" w:rsidP="00E74090">
      <w:r>
        <w:t>Как и МСФО (</w:t>
      </w:r>
      <w:r>
        <w:rPr>
          <w:lang w:val="en-US"/>
        </w:rPr>
        <w:t>IAS</w:t>
      </w:r>
      <w:r w:rsidRPr="00E74090">
        <w:t>)</w:t>
      </w:r>
      <w:r>
        <w:t xml:space="preserve"> 11, новый стандарт выделяет критерии объединения договоров:</w:t>
      </w:r>
    </w:p>
    <w:p w14:paraId="68CDC7DF" w14:textId="77777777" w:rsidR="00432600" w:rsidRDefault="00432600" w:rsidP="00450A5B">
      <w:pPr>
        <w:pStyle w:val="a"/>
        <w:numPr>
          <w:ilvl w:val="0"/>
          <w:numId w:val="17"/>
        </w:numPr>
        <w:ind w:left="284" w:hanging="284"/>
      </w:pPr>
      <w:r>
        <w:t>договоры согласовывались как пакет с одной коммерческой целью — этот критерий сопоставляется со всеми условиями, представленными в МСФО (IAS) 11;</w:t>
      </w:r>
    </w:p>
    <w:p w14:paraId="39799ED6" w14:textId="77777777" w:rsidR="00432600" w:rsidRDefault="00432600" w:rsidP="00450A5B">
      <w:pPr>
        <w:pStyle w:val="a"/>
        <w:numPr>
          <w:ilvl w:val="0"/>
          <w:numId w:val="17"/>
        </w:numPr>
        <w:ind w:left="284" w:hanging="284"/>
      </w:pPr>
      <w:r>
        <w:t>сумма выручки по одному договору зависит от цены или выполнения другого договора; либо</w:t>
      </w:r>
    </w:p>
    <w:p w14:paraId="09CF5601" w14:textId="012884FA" w:rsidR="00432600" w:rsidRDefault="00432600" w:rsidP="00450A5B">
      <w:pPr>
        <w:pStyle w:val="a"/>
        <w:numPr>
          <w:ilvl w:val="0"/>
          <w:numId w:val="17"/>
        </w:numPr>
        <w:ind w:left="284" w:hanging="284"/>
      </w:pPr>
      <w:r>
        <w:t>товары или услуги по договору (или некоторые товары или услуги по каждому договору) представляют собой одну обязанность к исполнению.</w:t>
      </w:r>
      <w:r w:rsidR="00684B52">
        <w:rPr>
          <w:rStyle w:val="a6"/>
        </w:rPr>
        <w:footnoteReference w:id="32"/>
      </w:r>
    </w:p>
    <w:p w14:paraId="72232B2B" w14:textId="77777777" w:rsidR="000C2235" w:rsidRDefault="000C2235" w:rsidP="000C2235">
      <w:r>
        <w:t>Нельзя не отметить, что последние два критерия существенно отличаются от критериев объединения договоров действующего стандарта.</w:t>
      </w:r>
    </w:p>
    <w:p w14:paraId="4A3C0369" w14:textId="3FF0111D" w:rsidR="000C2235" w:rsidRDefault="000C2235" w:rsidP="000C2235">
      <w:r>
        <w:t xml:space="preserve">Кроме того, примечательно, что </w:t>
      </w:r>
      <w:r w:rsidRPr="000C2235">
        <w:t xml:space="preserve">МСФО (IFRS) 15 не требует одновременного выполнения всех трех критериев. </w:t>
      </w:r>
      <w:r w:rsidR="00385358">
        <w:t>По мнению автора, э</w:t>
      </w:r>
      <w:r>
        <w:t xml:space="preserve">то может отразиться на </w:t>
      </w:r>
      <w:r w:rsidRPr="000C2235">
        <w:t xml:space="preserve">отдельно учитываемых на сегодняшний день договорах </w:t>
      </w:r>
      <w:r>
        <w:t>на строительство</w:t>
      </w:r>
      <w:r w:rsidRPr="000C2235">
        <w:t xml:space="preserve">, которые </w:t>
      </w:r>
      <w:r w:rsidR="002E2648">
        <w:t>необходимо будет объединить</w:t>
      </w:r>
      <w:r>
        <w:t xml:space="preserve"> в дальнейшем</w:t>
      </w:r>
      <w:r w:rsidRPr="000C2235">
        <w:t xml:space="preserve"> для признания выручки</w:t>
      </w:r>
      <w:r>
        <w:t>, что приведет к различным суммам и периодам признаваемой выручки в силу вариативности процедуры объединения договоров.</w:t>
      </w:r>
    </w:p>
    <w:p w14:paraId="7B5BB778" w14:textId="77777777" w:rsidR="00970089" w:rsidRDefault="00970089" w:rsidP="00A43A42">
      <w:pPr>
        <w:pStyle w:val="ad"/>
        <w:jc w:val="left"/>
      </w:pPr>
      <w:bookmarkStart w:id="14" w:name="_Toc436654270"/>
      <w:r>
        <w:t>Шаг 2. Идентификация обязанностей к исполнению</w:t>
      </w:r>
      <w:bookmarkEnd w:id="14"/>
    </w:p>
    <w:p w14:paraId="089A7F1E" w14:textId="77777777" w:rsidR="00FE291F" w:rsidRDefault="008B4532" w:rsidP="002B2DDF">
      <w:r>
        <w:t>Согласно МСФО (</w:t>
      </w:r>
      <w:r>
        <w:rPr>
          <w:lang w:val="en-US"/>
        </w:rPr>
        <w:t>IFRS</w:t>
      </w:r>
      <w:r w:rsidRPr="008B4532">
        <w:t xml:space="preserve">) 15, </w:t>
      </w:r>
      <w:r>
        <w:t>о</w:t>
      </w:r>
      <w:r w:rsidRPr="008B4532">
        <w:t>бязанность к исполнению — эт</w:t>
      </w:r>
      <w:r w:rsidR="00FE291F">
        <w:t>о «обещание передать покупателю</w:t>
      </w:r>
    </w:p>
    <w:p w14:paraId="2A0B5394" w14:textId="77777777" w:rsidR="00FE291F" w:rsidRDefault="008B4532" w:rsidP="00450A5B">
      <w:pPr>
        <w:pStyle w:val="a"/>
        <w:numPr>
          <w:ilvl w:val="0"/>
          <w:numId w:val="3"/>
        </w:numPr>
        <w:ind w:left="284" w:hanging="284"/>
      </w:pPr>
      <w:r w:rsidRPr="008B4532">
        <w:t xml:space="preserve">товар или услугу (или пакет товаров или услуг), которые являются отличимыми; либо </w:t>
      </w:r>
    </w:p>
    <w:p w14:paraId="0F9218A7" w14:textId="77777777" w:rsidR="008B4532" w:rsidRDefault="008B4532" w:rsidP="00450A5B">
      <w:pPr>
        <w:pStyle w:val="a"/>
        <w:numPr>
          <w:ilvl w:val="0"/>
          <w:numId w:val="3"/>
        </w:numPr>
        <w:ind w:left="284" w:hanging="284"/>
      </w:pPr>
      <w:r w:rsidRPr="008B4532">
        <w:t xml:space="preserve">ряд отличимых товаров или услуг, которые являются практически одинаковыми и </w:t>
      </w:r>
      <w:r w:rsidR="00FE291F">
        <w:t>передаются по одинаковой схеме»</w:t>
      </w:r>
      <w:r w:rsidR="00FC0F63">
        <w:rPr>
          <w:rStyle w:val="a6"/>
        </w:rPr>
        <w:footnoteReference w:id="33"/>
      </w:r>
      <w:r w:rsidR="00FE291F">
        <w:t>.</w:t>
      </w:r>
    </w:p>
    <w:p w14:paraId="72C887DF" w14:textId="77777777" w:rsidR="002B2DDF" w:rsidRDefault="002B2DDF" w:rsidP="008F774B">
      <w:r>
        <w:t>Суть данного этапа – определить учетную единицу, для которой будет признаваться выручка.</w:t>
      </w:r>
    </w:p>
    <w:p w14:paraId="1211619D" w14:textId="77777777" w:rsidR="002B2DDF" w:rsidRDefault="002B2DDF" w:rsidP="008F774B">
      <w:r>
        <w:t xml:space="preserve">Первое, что необходимо сделать для реализации данного этапа – произвести оценку </w:t>
      </w:r>
      <w:r w:rsidRPr="002B2DDF">
        <w:t>всех товаров или услуг, обещанных покупателю, в соответствии с договором и одновременным выполнением</w:t>
      </w:r>
      <w:r w:rsidR="00A4687E">
        <w:t xml:space="preserve"> двух</w:t>
      </w:r>
      <w:r w:rsidRPr="002B2DDF">
        <w:t xml:space="preserve"> критериев</w:t>
      </w:r>
      <w:r w:rsidR="00DE6202">
        <w:t>, необходимых для признания товара или услуги отличимой</w:t>
      </w:r>
      <w:r w:rsidR="00A4687E">
        <w:t>:</w:t>
      </w:r>
    </w:p>
    <w:p w14:paraId="3FDA7138" w14:textId="77777777" w:rsidR="00A4687E" w:rsidRPr="00A4687E" w:rsidRDefault="00A4687E" w:rsidP="00450A5B">
      <w:pPr>
        <w:pStyle w:val="a"/>
        <w:numPr>
          <w:ilvl w:val="0"/>
          <w:numId w:val="4"/>
        </w:numPr>
        <w:ind w:left="284" w:hanging="284"/>
      </w:pPr>
      <w:r>
        <w:t>наличие выгоды</w:t>
      </w:r>
      <w:r>
        <w:rPr>
          <w:lang w:val="en-US"/>
        </w:rPr>
        <w:t>;</w:t>
      </w:r>
    </w:p>
    <w:p w14:paraId="3A363920" w14:textId="77777777" w:rsidR="00A4687E" w:rsidRDefault="00A4687E" w:rsidP="00450A5B">
      <w:pPr>
        <w:pStyle w:val="a"/>
        <w:numPr>
          <w:ilvl w:val="0"/>
          <w:numId w:val="4"/>
        </w:numPr>
        <w:ind w:left="284" w:hanging="284"/>
      </w:pPr>
      <w:r>
        <w:t>идентификация от других обязанностей по договору.</w:t>
      </w:r>
    </w:p>
    <w:p w14:paraId="4D3A5AEA" w14:textId="77777777" w:rsidR="00A4687E" w:rsidRDefault="005273AE" w:rsidP="008F774B">
      <w:r>
        <w:t xml:space="preserve">Если же товар или услуга неотличимы, </w:t>
      </w:r>
      <w:r w:rsidR="00A4687E">
        <w:t>они объединяются до момента определения этой группы отличимой.</w:t>
      </w:r>
    </w:p>
    <w:p w14:paraId="52BE9820" w14:textId="5F983F07" w:rsidR="005273AE" w:rsidRPr="005273AE" w:rsidRDefault="00C47448" w:rsidP="008F774B">
      <w:r>
        <w:lastRenderedPageBreak/>
        <w:t xml:space="preserve">Приведенные выше критерии можно </w:t>
      </w:r>
      <w:r>
        <w:rPr>
          <w:lang w:val="en-US"/>
        </w:rPr>
        <w:t>с</w:t>
      </w:r>
      <w:r>
        <w:t>опоставить с требованием по дроблению договоров, определенном в МСФО (</w:t>
      </w:r>
      <w:r>
        <w:rPr>
          <w:lang w:val="en-US"/>
        </w:rPr>
        <w:t>IAS</w:t>
      </w:r>
      <w:r w:rsidRPr="005273AE">
        <w:t>) 11</w:t>
      </w:r>
      <w:r>
        <w:t>.</w:t>
      </w:r>
    </w:p>
    <w:p w14:paraId="74DEEAA6" w14:textId="77777777" w:rsidR="00A4687E" w:rsidRDefault="007035FE" w:rsidP="008F774B">
      <w:r>
        <w:t>Таким образом</w:t>
      </w:r>
      <w:r w:rsidR="00A4687E">
        <w:t>, можно сказать, что усл</w:t>
      </w:r>
      <w:r w:rsidR="00016393">
        <w:t xml:space="preserve">овия и требования, содержащиеся </w:t>
      </w:r>
      <w:r w:rsidR="00A4687E">
        <w:t>в МСФО (IAS) 11</w:t>
      </w:r>
      <w:r w:rsidR="00016393">
        <w:t>,</w:t>
      </w:r>
      <w:r w:rsidR="00A4687E">
        <w:t xml:space="preserve"> отличаются от критериев нового стандарта, которые в силу своей четкой формулировки да</w:t>
      </w:r>
      <w:r w:rsidR="002C0F18">
        <w:t>ют</w:t>
      </w:r>
      <w:r w:rsidR="00A4687E">
        <w:t xml:space="preserve"> возможность определять объекты и услуги в договорах подряда</w:t>
      </w:r>
      <w:r w:rsidR="002C0F18">
        <w:t xml:space="preserve"> в соответствии с единым</w:t>
      </w:r>
      <w:r w:rsidR="00A4687E">
        <w:t xml:space="preserve"> подход</w:t>
      </w:r>
      <w:r w:rsidR="002C0F18">
        <w:t>ом</w:t>
      </w:r>
      <w:r w:rsidR="00A4687E">
        <w:t>.</w:t>
      </w:r>
      <w:r w:rsidR="00F54E27">
        <w:t xml:space="preserve"> Второй критерий концептуально отличается от требования по дроблению договоров, определенного в действующем стандарте, что может привести к увеличению количества учетных единиц (договор, что следует из написанного выше, учетной единицей не является). Однако новый стандарт также дает больше возможностей для объединения </w:t>
      </w:r>
      <w:r w:rsidR="004865F0">
        <w:t>договоров</w:t>
      </w:r>
      <w:r w:rsidR="00F54E27" w:rsidRPr="00F54E27">
        <w:t>.</w:t>
      </w:r>
    </w:p>
    <w:p w14:paraId="26DCD925" w14:textId="77777777" w:rsidR="00F01B6C" w:rsidRDefault="00F01B6C" w:rsidP="00A43A42">
      <w:pPr>
        <w:pStyle w:val="ad"/>
        <w:jc w:val="left"/>
      </w:pPr>
      <w:bookmarkStart w:id="15" w:name="_Toc436654271"/>
      <w:r>
        <w:t xml:space="preserve">Шаг 3. Определение цены </w:t>
      </w:r>
      <w:r w:rsidR="00920D75">
        <w:t>операции</w:t>
      </w:r>
      <w:bookmarkEnd w:id="15"/>
    </w:p>
    <w:p w14:paraId="01831738" w14:textId="77777777" w:rsidR="003B79F4" w:rsidRPr="00666C36" w:rsidRDefault="003B79F4" w:rsidP="003B79F4">
      <w:r w:rsidRPr="003B79F4">
        <w:t>«Цена операции — это сумма возмещения, право на которое организация ожидает получить в обмен на передачу обещанных товаров или услуг покупателю, исключая суммы, полу</w:t>
      </w:r>
      <w:r>
        <w:t>ченные от имени третьих сторон</w:t>
      </w:r>
      <w:r w:rsidRPr="00666C36">
        <w:t>»</w:t>
      </w:r>
      <w:r w:rsidR="009324EB">
        <w:rPr>
          <w:rStyle w:val="a6"/>
        </w:rPr>
        <w:footnoteReference w:id="34"/>
      </w:r>
      <w:r w:rsidR="00666C36" w:rsidRPr="00666C36">
        <w:t>.</w:t>
      </w:r>
    </w:p>
    <w:p w14:paraId="1D1E6A5B" w14:textId="77777777" w:rsidR="003B79F4" w:rsidRDefault="003B79F4" w:rsidP="003B79F4">
      <w:r w:rsidRPr="003B79F4">
        <w:t>При определении цены</w:t>
      </w:r>
      <w:r w:rsidR="00920D75">
        <w:t xml:space="preserve"> операции</w:t>
      </w:r>
      <w:r w:rsidRPr="003B79F4">
        <w:t xml:space="preserve"> в соответствии с МСФО (IFRS) 15 </w:t>
      </w:r>
      <w:r>
        <w:t>необходимо учитывать следующие факторы:</w:t>
      </w:r>
    </w:p>
    <w:p w14:paraId="32E2E294" w14:textId="2D81D02D" w:rsidR="00636070" w:rsidRDefault="00925276" w:rsidP="00450A5B">
      <w:pPr>
        <w:pStyle w:val="a"/>
        <w:numPr>
          <w:ilvl w:val="0"/>
          <w:numId w:val="8"/>
        </w:numPr>
        <w:ind w:left="284" w:hanging="284"/>
      </w:pPr>
      <w:r>
        <w:t>переменное возмещение: и</w:t>
      </w:r>
      <w:r w:rsidR="00636070">
        <w:t xml:space="preserve">зменения из-за скидок, специальных скидок, возврата средств, кредитов, уступок в цене, стимулов, бонусов за результаты, штрафов или других аналогичных статей, а также в зависимости от наступления будущего события (право на возврат, бонус за завершение этапа и т.п.). </w:t>
      </w:r>
    </w:p>
    <w:p w14:paraId="451B0B9D" w14:textId="77777777" w:rsidR="00636070" w:rsidRDefault="005D6D44" w:rsidP="00450A5B">
      <w:pPr>
        <w:pStyle w:val="a"/>
        <w:numPr>
          <w:ilvl w:val="0"/>
          <w:numId w:val="8"/>
        </w:numPr>
        <w:ind w:left="284" w:hanging="284"/>
      </w:pPr>
      <w:r>
        <w:t>о</w:t>
      </w:r>
      <w:r w:rsidR="00636070">
        <w:t xml:space="preserve">граничение </w:t>
      </w:r>
      <w:r>
        <w:t>оценок переменного возмещения (п</w:t>
      </w:r>
      <w:r w:rsidR="00636070">
        <w:t xml:space="preserve">еременное возмещение признается с учетом </w:t>
      </w:r>
      <w:r>
        <w:t>того</w:t>
      </w:r>
      <w:r w:rsidR="00636070">
        <w:t xml:space="preserve">, что при разрешении неопределенности не произойдет существенного </w:t>
      </w:r>
      <w:r>
        <w:t>уменьшения признанной выручки);</w:t>
      </w:r>
    </w:p>
    <w:p w14:paraId="39995EF0" w14:textId="77777777" w:rsidR="00636070" w:rsidRDefault="00A67156" w:rsidP="00450A5B">
      <w:pPr>
        <w:pStyle w:val="a"/>
        <w:numPr>
          <w:ilvl w:val="0"/>
          <w:numId w:val="8"/>
        </w:numPr>
        <w:ind w:left="284" w:hanging="284"/>
      </w:pPr>
      <w:r>
        <w:t>н</w:t>
      </w:r>
      <w:r w:rsidR="00636070">
        <w:t>аличие значительного компонента финансирования в д</w:t>
      </w:r>
      <w:r>
        <w:t>оговоре (ц</w:t>
      </w:r>
      <w:r w:rsidR="00636070">
        <w:t xml:space="preserve">ена операции корректируется с учетом влияния временной стоимости денег, </w:t>
      </w:r>
      <w:r>
        <w:t>если это влияние значимо)</w:t>
      </w:r>
      <w:r w:rsidRPr="00A67156">
        <w:t>;</w:t>
      </w:r>
    </w:p>
    <w:p w14:paraId="4BDBF7B3" w14:textId="77777777" w:rsidR="00D11109" w:rsidRDefault="00636070" w:rsidP="00450A5B">
      <w:pPr>
        <w:pStyle w:val="a"/>
        <w:numPr>
          <w:ilvl w:val="0"/>
          <w:numId w:val="8"/>
        </w:numPr>
        <w:ind w:left="284" w:hanging="284"/>
      </w:pPr>
      <w:r>
        <w:t>возмещение, подлежащее уплате покупателю(уменьшает цену операции, а следовательно, выручку).</w:t>
      </w:r>
    </w:p>
    <w:p w14:paraId="50BA780D" w14:textId="65EC0884" w:rsidR="00920D75" w:rsidRDefault="00920D75" w:rsidP="00920D75">
      <w:r w:rsidRPr="00920D75">
        <w:t>При рассмотрении</w:t>
      </w:r>
      <w:r>
        <w:t xml:space="preserve"> компонентов</w:t>
      </w:r>
      <w:r w:rsidRPr="00920D75">
        <w:t xml:space="preserve"> выручки значительных отличий от МСФО (IAS) 11</w:t>
      </w:r>
      <w:r w:rsidR="000524AC">
        <w:t xml:space="preserve"> </w:t>
      </w:r>
      <w:r w:rsidRPr="00920D75">
        <w:t>не наблюдается</w:t>
      </w:r>
      <w:r>
        <w:t xml:space="preserve"> (</w:t>
      </w:r>
      <w:r w:rsidRPr="00920D75">
        <w:t>кроме более широкого содержания ее компонентов</w:t>
      </w:r>
      <w:r>
        <w:t>)</w:t>
      </w:r>
      <w:r w:rsidRPr="00920D75">
        <w:t xml:space="preserve">. </w:t>
      </w:r>
      <w:r>
        <w:t xml:space="preserve">Однако из-за требования </w:t>
      </w:r>
      <w:r w:rsidRPr="00920D75">
        <w:t xml:space="preserve">МСФО (IFRS) </w:t>
      </w:r>
      <w:r>
        <w:t>к проведению оценки цены операции в конце каждого периода цена операции</w:t>
      </w:r>
      <w:r w:rsidRPr="00920D75">
        <w:t xml:space="preserve"> будет варьироваться от одного отчетного периода к другому</w:t>
      </w:r>
    </w:p>
    <w:p w14:paraId="1C9C6563" w14:textId="77777777" w:rsidR="00F01B6C" w:rsidRDefault="00F01B6C" w:rsidP="00A43A42">
      <w:pPr>
        <w:pStyle w:val="ad"/>
        <w:jc w:val="left"/>
      </w:pPr>
      <w:bookmarkStart w:id="16" w:name="_Toc436654272"/>
      <w:r>
        <w:t>Шаг 4. Распределение цены операции на обязанности к исполнению</w:t>
      </w:r>
      <w:bookmarkEnd w:id="16"/>
    </w:p>
    <w:p w14:paraId="36EA5890" w14:textId="77777777" w:rsidR="00947A21" w:rsidRDefault="00947A21" w:rsidP="00130A0A">
      <w:r>
        <w:lastRenderedPageBreak/>
        <w:t>В случае, если договор содержит две или более обязанности к исп</w:t>
      </w:r>
      <w:r w:rsidR="00130A0A">
        <w:t>олнению, необходимо распределять</w:t>
      </w:r>
      <w:r>
        <w:t xml:space="preserve"> цену операции на обязанности </w:t>
      </w:r>
      <w:r w:rsidR="00130A0A">
        <w:t>к исполнению.</w:t>
      </w:r>
    </w:p>
    <w:p w14:paraId="57545EBC" w14:textId="77777777" w:rsidR="00130A0A" w:rsidRDefault="00130A0A" w:rsidP="00130A0A">
      <w:r>
        <w:t xml:space="preserve">Распределение цены операции заключается в </w:t>
      </w:r>
      <w:r w:rsidRPr="00130A0A">
        <w:t>идентификации цены каждого отличимого товара или услуги в том размере, в котором возможны ожидаемые выгоды от передачи этих товаров или услуг покупателю.</w:t>
      </w:r>
    </w:p>
    <w:p w14:paraId="5AC324A4" w14:textId="77777777" w:rsidR="00130A0A" w:rsidRPr="009E60EB" w:rsidRDefault="0052099A" w:rsidP="00130A0A">
      <w:r>
        <w:t>Согласно МСФО (</w:t>
      </w:r>
      <w:r>
        <w:rPr>
          <w:lang w:val="en-US"/>
        </w:rPr>
        <w:t>IFRS</w:t>
      </w:r>
      <w:r w:rsidRPr="0052099A">
        <w:t xml:space="preserve">) </w:t>
      </w:r>
      <w:r>
        <w:t xml:space="preserve">15, цена </w:t>
      </w:r>
      <w:r w:rsidR="00130A0A">
        <w:t>обособленной продажи – «</w:t>
      </w:r>
      <w:r w:rsidR="00130A0A" w:rsidRPr="00130A0A">
        <w:t>цена, по которой организация продала бы покупателю обещанные товар или услугу в отдельности</w:t>
      </w:r>
      <w:r w:rsidR="00130A0A">
        <w:t>»</w:t>
      </w:r>
      <w:r w:rsidR="00666C36" w:rsidRPr="00666C36">
        <w:t>.</w:t>
      </w:r>
      <w:r w:rsidR="0073293F">
        <w:rPr>
          <w:rStyle w:val="a6"/>
        </w:rPr>
        <w:footnoteReference w:id="35"/>
      </w:r>
    </w:p>
    <w:p w14:paraId="0B619953" w14:textId="77777777" w:rsidR="0052099A" w:rsidRDefault="0052099A" w:rsidP="00130A0A">
      <w:r>
        <w:t xml:space="preserve">Новый стандарт также определяет </w:t>
      </w:r>
      <w:r w:rsidR="003B5E19">
        <w:t xml:space="preserve">подходы для расчета цены, которые применяются в случае, если </w:t>
      </w:r>
      <w:r w:rsidR="004E413A">
        <w:t>невозможно определить цену обособленной продажи</w:t>
      </w:r>
      <w:r w:rsidR="008B2016">
        <w:t xml:space="preserve"> путем наблюдения (то есть согласно определению, представленному выше)</w:t>
      </w:r>
      <w:r w:rsidR="00996BCE">
        <w:t>:</w:t>
      </w:r>
    </w:p>
    <w:p w14:paraId="3A43AE4A" w14:textId="77777777" w:rsidR="00C10F9E" w:rsidRDefault="005C19D0" w:rsidP="00450A5B">
      <w:pPr>
        <w:pStyle w:val="a"/>
        <w:numPr>
          <w:ilvl w:val="0"/>
          <w:numId w:val="7"/>
        </w:numPr>
        <w:ind w:left="284" w:hanging="284"/>
      </w:pPr>
      <w:r>
        <w:t>п</w:t>
      </w:r>
      <w:r w:rsidR="00C10F9E" w:rsidRPr="00C10F9E">
        <w:t>одход, основанный на скорректированной рыночной оценке</w:t>
      </w:r>
      <w:r>
        <w:t>;</w:t>
      </w:r>
    </w:p>
    <w:p w14:paraId="51821C02" w14:textId="77777777" w:rsidR="00C10F9E" w:rsidRDefault="005C19D0" w:rsidP="00450A5B">
      <w:pPr>
        <w:pStyle w:val="a"/>
        <w:numPr>
          <w:ilvl w:val="0"/>
          <w:numId w:val="7"/>
        </w:numPr>
        <w:ind w:left="284" w:hanging="284"/>
      </w:pPr>
      <w:r>
        <w:t>п</w:t>
      </w:r>
      <w:r w:rsidR="00C10F9E" w:rsidRPr="00C10F9E">
        <w:t>одход, основанный на ожидаемых затратах с учетом маржи</w:t>
      </w:r>
      <w:r>
        <w:t xml:space="preserve"> (необходимо составить прогноз по затратам и прибавить маржу для конкретного товара или услуги);</w:t>
      </w:r>
    </w:p>
    <w:p w14:paraId="07794B60" w14:textId="77777777" w:rsidR="00C10F9E" w:rsidRDefault="005C19D0" w:rsidP="00450A5B">
      <w:pPr>
        <w:pStyle w:val="a"/>
        <w:numPr>
          <w:ilvl w:val="0"/>
          <w:numId w:val="7"/>
        </w:numPr>
        <w:ind w:left="284" w:hanging="284"/>
      </w:pPr>
      <w:r>
        <w:t xml:space="preserve">остаточный подход (оценка </w:t>
      </w:r>
      <w:r w:rsidR="00C10F9E" w:rsidRPr="00C10F9E">
        <w:t>на основе общей цены операции за вычетом суммы наблюдаемых цен обособленной продажи других товаров или услуг, обещанных по договору</w:t>
      </w:r>
      <w:r>
        <w:t>).</w:t>
      </w:r>
    </w:p>
    <w:p w14:paraId="534D62C3" w14:textId="77777777" w:rsidR="00802A61" w:rsidRDefault="00802A61" w:rsidP="00802A61">
      <w:r>
        <w:t>Кроме того, существует возможность комбинирования вышеперечисленных подходов.</w:t>
      </w:r>
    </w:p>
    <w:p w14:paraId="5AD2B837" w14:textId="2388E17B" w:rsidR="00996BCE" w:rsidRPr="0052099A" w:rsidRDefault="00350951" w:rsidP="00523227">
      <w:r>
        <w:t>Действующий МСФО (</w:t>
      </w:r>
      <w:r>
        <w:rPr>
          <w:lang w:val="en-US"/>
        </w:rPr>
        <w:t>IAS</w:t>
      </w:r>
      <w:r w:rsidRPr="00350951">
        <w:t>) 11</w:t>
      </w:r>
      <w:r>
        <w:t xml:space="preserve">, в отличие от нового стандарта не содержит рекомендаций по распределению цен сделки между компонентами договора на строительство. </w:t>
      </w:r>
    </w:p>
    <w:p w14:paraId="60F20CF7" w14:textId="77777777" w:rsidR="00F01B6C" w:rsidRDefault="00F01B6C" w:rsidP="000C73E0">
      <w:pPr>
        <w:pStyle w:val="ad"/>
        <w:jc w:val="left"/>
      </w:pPr>
      <w:bookmarkStart w:id="17" w:name="_Toc436654273"/>
      <w:r>
        <w:t>Шаг 5. Признание выручки</w:t>
      </w:r>
      <w:bookmarkEnd w:id="17"/>
    </w:p>
    <w:p w14:paraId="40E84AA7" w14:textId="77777777" w:rsidR="007D7C6B" w:rsidRDefault="0033302A" w:rsidP="0033302A">
      <w:r>
        <w:t xml:space="preserve">Ключевую роль в процессе признания выручки играет передача контроля над активами покупателю. Организация признает выручку, </w:t>
      </w:r>
      <w:r w:rsidR="007D7C6B">
        <w:t>если:</w:t>
      </w:r>
    </w:p>
    <w:p w14:paraId="2A84CA3A" w14:textId="77777777" w:rsidR="007D7C6B" w:rsidRDefault="0033302A" w:rsidP="00450A5B">
      <w:pPr>
        <w:pStyle w:val="a"/>
        <w:numPr>
          <w:ilvl w:val="0"/>
          <w:numId w:val="5"/>
        </w:numPr>
        <w:ind w:left="284" w:hanging="284"/>
      </w:pPr>
      <w:r>
        <w:t>осуществила выполнение своих обязанностей перед покупателем</w:t>
      </w:r>
      <w:r w:rsidR="007D7C6B">
        <w:t>;</w:t>
      </w:r>
      <w:r>
        <w:t xml:space="preserve"> либо </w:t>
      </w:r>
    </w:p>
    <w:p w14:paraId="434ED994" w14:textId="77777777" w:rsidR="0033302A" w:rsidRDefault="0033302A" w:rsidP="00450A5B">
      <w:pPr>
        <w:pStyle w:val="a"/>
        <w:numPr>
          <w:ilvl w:val="0"/>
          <w:numId w:val="5"/>
        </w:numPr>
        <w:ind w:left="284" w:hanging="284"/>
      </w:pPr>
      <w:r>
        <w:t>находится в процессе их выполнения</w:t>
      </w:r>
      <w:r w:rsidR="007D7C6B">
        <w:t>.</w:t>
      </w:r>
    </w:p>
    <w:p w14:paraId="42FDD9AF" w14:textId="77777777" w:rsidR="00970089" w:rsidRDefault="0033302A" w:rsidP="0033302A">
      <w:r>
        <w:t>МСФО (IFRS) 15 устанавливает следующие критерии, при соблюдении любого из которых выручка должна признаваться в течение периода времени:</w:t>
      </w:r>
    </w:p>
    <w:p w14:paraId="1F94DD07" w14:textId="77777777" w:rsidR="0033302A" w:rsidRDefault="0033302A" w:rsidP="00E428DA">
      <w:pPr>
        <w:pStyle w:val="a"/>
        <w:numPr>
          <w:ilvl w:val="0"/>
          <w:numId w:val="6"/>
        </w:numPr>
        <w:ind w:left="284" w:hanging="284"/>
      </w:pPr>
      <w:r>
        <w:t>одновременное получение и потребление заказчиком выгод от имущ</w:t>
      </w:r>
      <w:r w:rsidR="006423C0">
        <w:t>е</w:t>
      </w:r>
      <w:r>
        <w:t>ства по мере исполнения обязанностей;</w:t>
      </w:r>
    </w:p>
    <w:p w14:paraId="2CF00FD7" w14:textId="77777777" w:rsidR="0033302A" w:rsidRDefault="0033302A" w:rsidP="00E428DA">
      <w:pPr>
        <w:pStyle w:val="a"/>
        <w:numPr>
          <w:ilvl w:val="0"/>
          <w:numId w:val="6"/>
        </w:numPr>
        <w:ind w:left="284" w:hanging="284"/>
      </w:pPr>
      <w:r>
        <w:t>получение заказчиком контроля над имуществом по мере его создания или реконструкции;</w:t>
      </w:r>
    </w:p>
    <w:p w14:paraId="109C6AB9" w14:textId="04AC1BDE" w:rsidR="0033302A" w:rsidRDefault="0033302A" w:rsidP="00E428DA">
      <w:pPr>
        <w:pStyle w:val="a"/>
        <w:numPr>
          <w:ilvl w:val="0"/>
          <w:numId w:val="6"/>
        </w:numPr>
        <w:ind w:left="284" w:hanging="284"/>
      </w:pPr>
      <w:r>
        <w:t>создание актива без альтернативных вариантов использования с правом на получение платы за выполненную часть работ на конкретный момент времени</w:t>
      </w:r>
      <w:r w:rsidR="002E2648">
        <w:rPr>
          <w:rStyle w:val="a6"/>
        </w:rPr>
        <w:footnoteReference w:id="36"/>
      </w:r>
      <w:r>
        <w:t>.</w:t>
      </w:r>
    </w:p>
    <w:p w14:paraId="5BB6F6D9" w14:textId="77777777" w:rsidR="00990DA2" w:rsidRDefault="006423C0" w:rsidP="00985EC5">
      <w:r>
        <w:lastRenderedPageBreak/>
        <w:t xml:space="preserve">Однако, в силу специфики отрасли строительства, соблюдение первого критерия (одновременное получение и потребление заказчиком выгод от имущества по мере исполнения обязанностей) практически не осуществимо. </w:t>
      </w:r>
    </w:p>
    <w:p w14:paraId="1528D327" w14:textId="12451866" w:rsidR="006423C0" w:rsidRDefault="00987C33" w:rsidP="00985EC5">
      <w:r>
        <w:t>Что же кас</w:t>
      </w:r>
      <w:r w:rsidR="00990DA2">
        <w:t xml:space="preserve">ается </w:t>
      </w:r>
      <w:r w:rsidR="00385358">
        <w:t>второго</w:t>
      </w:r>
      <w:r w:rsidR="00990DA2">
        <w:t xml:space="preserve"> критерия, он вполне осуществим </w:t>
      </w:r>
      <w:r w:rsidR="006423C0">
        <w:t>применительно к договорам, согласно которым предусмотрена передача контроля над частью актива</w:t>
      </w:r>
    </w:p>
    <w:p w14:paraId="5A393D5B" w14:textId="77777777" w:rsidR="00985EC5" w:rsidRDefault="00985EC5" w:rsidP="00985EC5">
      <w:r>
        <w:t>Третий критерий подразумевает строительство объекта по заказу покупателя, поэтому является наиболее подходящим для отрасли строительства.</w:t>
      </w:r>
    </w:p>
    <w:p w14:paraId="60F3C31E" w14:textId="77777777" w:rsidR="004D7837" w:rsidRDefault="004D7837" w:rsidP="004D7837">
      <w:r>
        <w:t>Кроме того, МСФО (</w:t>
      </w:r>
      <w:r>
        <w:rPr>
          <w:lang w:val="en-US"/>
        </w:rPr>
        <w:t>IFRS</w:t>
      </w:r>
      <w:r w:rsidRPr="004D7837">
        <w:t>) 15</w:t>
      </w:r>
      <w:r>
        <w:t>, в отличие от действующего стандарта, предлагает расширенное количество показателей расчета в рамках уже используемых для определения степени выполнения обязанностей к исполнению методов (метод результатов и метод ресурсов).</w:t>
      </w:r>
    </w:p>
    <w:p w14:paraId="029147CB" w14:textId="041475FC" w:rsidR="00985EC5" w:rsidRDefault="00986FD5" w:rsidP="00985EC5">
      <w:r>
        <w:t xml:space="preserve">Подводя итоги, </w:t>
      </w:r>
      <w:r w:rsidR="00985EC5">
        <w:t xml:space="preserve">можно сделать вывод о том, что </w:t>
      </w:r>
      <w:r w:rsidR="009C6E2A">
        <w:t>для строительных организаций существенно изменится порядок признания выручки и затрат.</w:t>
      </w:r>
      <w:r w:rsidR="000421BE">
        <w:t xml:space="preserve"> </w:t>
      </w:r>
      <w:r w:rsidR="00796F65" w:rsidRPr="00796F65">
        <w:rPr>
          <w:i/>
        </w:rPr>
        <w:t>Например</w:t>
      </w:r>
      <w:r w:rsidR="00796F65">
        <w:t>, организация может оказаться в ситуации, когда согласно МСФО (</w:t>
      </w:r>
      <w:r w:rsidR="00796F65">
        <w:rPr>
          <w:lang w:val="en-US"/>
        </w:rPr>
        <w:t xml:space="preserve">IAS) 11 </w:t>
      </w:r>
      <w:r w:rsidR="00796F65">
        <w:t xml:space="preserve">выручка может признаваться на протяжении всего периода, а по новому стандарту – только после </w:t>
      </w:r>
      <w:r w:rsidR="00C47448">
        <w:t>исполнения</w:t>
      </w:r>
      <w:r w:rsidR="00796F65">
        <w:t xml:space="preserve"> контракта. Показательной может быть следующая ситуация: организация по договору на строительство изготавливает специализированное оборудование для заказчика и передает его заказчику по окончанию работ (права на получение платы за выполненную часть работ на конкретный момент времени у подрядчика нет). В соответствии с действующим стандартом  выручка будет признаваться по мере </w:t>
      </w:r>
      <w:r w:rsidR="00C47448">
        <w:t>завершённости</w:t>
      </w:r>
      <w:r w:rsidR="00796F65">
        <w:t xml:space="preserve"> (предположим, что договор прибыльный), а по новому стандарту – одномоментно, в момент передачи оборудования. В случае, если сумма контракта существенна для компании, или же таких контрактов много, </w:t>
      </w:r>
      <w:r w:rsidR="000E2C4E">
        <w:t xml:space="preserve">показатели отчета о прибылях и убытках такой </w:t>
      </w:r>
      <w:r w:rsidR="00C47448">
        <w:t>компании</w:t>
      </w:r>
      <w:r w:rsidR="000E2C4E">
        <w:t xml:space="preserve"> существенно изменятся. </w:t>
      </w:r>
      <w:r w:rsidR="00817D51">
        <w:t>Также</w:t>
      </w:r>
      <w:r w:rsidR="009C6E2A">
        <w:t>, по мнению автора, новый стандарт гораздо более подробно определяет весь процесс признания выручки, затрат и убытков по договорам</w:t>
      </w:r>
    </w:p>
    <w:p w14:paraId="1A7BEDD2" w14:textId="77777777" w:rsidR="00970089" w:rsidRDefault="0001611C" w:rsidP="0001611C">
      <w:r>
        <w:t xml:space="preserve">В заключение нельзя не сказать, что </w:t>
      </w:r>
      <w:r w:rsidR="00030FDE">
        <w:t xml:space="preserve">не все отрасли будут подвержены значительным изменениям вследствие вступления в силу </w:t>
      </w:r>
      <w:r w:rsidR="004C1018">
        <w:t>нового стандарта, однако отрасль строительства не входит</w:t>
      </w:r>
      <w:r w:rsidR="002F4C82">
        <w:t xml:space="preserve"> в группу таких отраслей.</w:t>
      </w:r>
      <w:r w:rsidR="00030FDE">
        <w:t xml:space="preserve"> Кроме того, весь процесс признания выручки по договорам </w:t>
      </w:r>
      <w:r>
        <w:t xml:space="preserve">требует </w:t>
      </w:r>
      <w:r w:rsidRPr="0001611C">
        <w:t>использования профессионального суждения, согласованности с аудиторами и юристами организации, в особенности на этапе передачи контроля над объектом, что, несомненно, может привести к возникновению значительных вариаций в порядке признания выручки по договорам подряда</w:t>
      </w:r>
      <w:r w:rsidR="00A37110">
        <w:t>.</w:t>
      </w:r>
    </w:p>
    <w:p w14:paraId="1F5F582D" w14:textId="77777777" w:rsidR="005E6125" w:rsidRDefault="002F4C82" w:rsidP="0001611C">
      <w:r>
        <w:t xml:space="preserve">Кроме того, </w:t>
      </w:r>
      <w:r w:rsidRPr="002F4C82">
        <w:t xml:space="preserve">в начале перехода на новые правила у </w:t>
      </w:r>
      <w:r>
        <w:t>компаний</w:t>
      </w:r>
      <w:r w:rsidRPr="002F4C82">
        <w:t xml:space="preserve"> возник</w:t>
      </w:r>
      <w:r>
        <w:t xml:space="preserve">нут </w:t>
      </w:r>
      <w:r w:rsidRPr="002F4C82">
        <w:t xml:space="preserve">дополнительные затраты </w:t>
      </w:r>
      <w:r>
        <w:t>на обучение</w:t>
      </w:r>
      <w:r w:rsidRPr="002F4C82">
        <w:t xml:space="preserve"> сотрудников, </w:t>
      </w:r>
      <w:r>
        <w:t>получение</w:t>
      </w:r>
      <w:r w:rsidRPr="002F4C82">
        <w:t xml:space="preserve"> консультаций, </w:t>
      </w:r>
      <w:r>
        <w:t xml:space="preserve">однако переход на новый </w:t>
      </w:r>
      <w:r>
        <w:lastRenderedPageBreak/>
        <w:t xml:space="preserve">Стандарт </w:t>
      </w:r>
      <w:r w:rsidRPr="002F4C82">
        <w:t xml:space="preserve">позволит повысить понятность информации </w:t>
      </w:r>
      <w:r w:rsidR="001C677B">
        <w:t>всех пользователей финансовой отчетности.</w:t>
      </w:r>
    </w:p>
    <w:p w14:paraId="2942895E" w14:textId="3CAF1243" w:rsidR="00AE33DC" w:rsidRDefault="00AB2ED2" w:rsidP="0001611C">
      <w:r w:rsidRPr="00AB2ED2">
        <w:rPr>
          <w:i/>
        </w:rPr>
        <w:t xml:space="preserve">Резюмируя </w:t>
      </w:r>
      <w:r w:rsidR="00C47448" w:rsidRPr="00AB2ED2">
        <w:rPr>
          <w:i/>
        </w:rPr>
        <w:t>проделанную</w:t>
      </w:r>
      <w:r w:rsidRPr="00AB2ED2">
        <w:rPr>
          <w:i/>
        </w:rPr>
        <w:t xml:space="preserve"> в данной главе работу</w:t>
      </w:r>
      <w:r>
        <w:t xml:space="preserve"> следует отметить, что в</w:t>
      </w:r>
      <w:r w:rsidR="00986FD5">
        <w:t xml:space="preserve"> качестве основной особенности уч</w:t>
      </w:r>
      <w:r w:rsidR="000D645C">
        <w:t>е</w:t>
      </w:r>
      <w:r w:rsidR="00986FD5">
        <w:t>та в соответствии с Междуна</w:t>
      </w:r>
      <w:r w:rsidR="001C677B">
        <w:t>родными Стандартами Финансовой О</w:t>
      </w:r>
      <w:r w:rsidR="00986FD5">
        <w:t xml:space="preserve">тчетности в строительных организациях в данном исследовании выделяется наличие долгосрочных договоров на строительство. </w:t>
      </w:r>
      <w:r w:rsidR="00AE33DC">
        <w:t xml:space="preserve">Именно данная особенность повлекла за </w:t>
      </w:r>
      <w:r w:rsidR="00C47448">
        <w:t>собой</w:t>
      </w:r>
      <w:r w:rsidR="00AE33DC">
        <w:t xml:space="preserve"> необходимость создания отраслевого стандарт МСФО (</w:t>
      </w:r>
      <w:r w:rsidR="00AE33DC">
        <w:rPr>
          <w:lang w:val="en-US"/>
        </w:rPr>
        <w:t xml:space="preserve">IAS) 11 </w:t>
      </w:r>
      <w:r w:rsidR="00AE33DC">
        <w:t xml:space="preserve">«Выручка по договорам подряда», в основе которого лежит принцип </w:t>
      </w:r>
      <w:r w:rsidR="00AE33DC" w:rsidRPr="00052B93">
        <w:rPr>
          <w:i/>
        </w:rPr>
        <w:t>учета по мере готовности.</w:t>
      </w:r>
      <w:r w:rsidR="00AE33DC" w:rsidRPr="00AE33DC">
        <w:rPr>
          <w:i/>
        </w:rPr>
        <w:t xml:space="preserve"> </w:t>
      </w:r>
    </w:p>
    <w:p w14:paraId="1B340DA7" w14:textId="77777777" w:rsidR="00AE33DC" w:rsidRDefault="00AE33DC" w:rsidP="0001611C">
      <w:r>
        <w:t>Однако, дополнительная</w:t>
      </w:r>
      <w:r w:rsidR="00986FD5">
        <w:t xml:space="preserve"> сложность учета таких договоров</w:t>
      </w:r>
      <w:r>
        <w:t xml:space="preserve"> заключается в том, что не все долгосрочные контракты попадают под действие данного стандарта</w:t>
      </w:r>
      <w:r w:rsidR="00986FD5">
        <w:t xml:space="preserve"> (</w:t>
      </w:r>
      <w:r>
        <w:t>некоторые попадают под действие стандарта, регламентирующего признание выручки).</w:t>
      </w:r>
    </w:p>
    <w:p w14:paraId="27C67A62" w14:textId="6EDFB38E" w:rsidR="00986FD5" w:rsidRDefault="00AE33DC" w:rsidP="0001611C">
      <w:r>
        <w:t>Кроме того,</w:t>
      </w:r>
      <w:r w:rsidR="00986FD5">
        <w:t xml:space="preserve"> вопрос перехода на </w:t>
      </w:r>
      <w:r w:rsidR="00145250">
        <w:t xml:space="preserve">МСФО </w:t>
      </w:r>
      <w:r w:rsidR="00145250" w:rsidRPr="009E60EB">
        <w:t>(</w:t>
      </w:r>
      <w:r w:rsidR="00145250">
        <w:rPr>
          <w:lang w:val="en-US"/>
        </w:rPr>
        <w:t>IFRS</w:t>
      </w:r>
      <w:r w:rsidR="00145250" w:rsidRPr="009E60EB">
        <w:t>) 15</w:t>
      </w:r>
      <w:r w:rsidR="00145250">
        <w:t>, который может значительно повлиять на учет</w:t>
      </w:r>
      <w:r w:rsidR="00976FE1">
        <w:t xml:space="preserve"> </w:t>
      </w:r>
      <w:r w:rsidR="00C47448">
        <w:t>договоров</w:t>
      </w:r>
      <w:r w:rsidR="00976FE1">
        <w:t xml:space="preserve"> на строительство</w:t>
      </w:r>
      <w:r w:rsidR="00145250">
        <w:t xml:space="preserve"> и</w:t>
      </w:r>
      <w:r w:rsidR="00976FE1">
        <w:t>, как следствие, на</w:t>
      </w:r>
      <w:r w:rsidR="00145250">
        <w:t xml:space="preserve"> отчетность строительных </w:t>
      </w:r>
      <w:r w:rsidR="000D645C">
        <w:t>организаций</w:t>
      </w:r>
      <w:r>
        <w:t xml:space="preserve">, остается одной из главных проблем для организаций ввиду того, что может значительно повлиять на </w:t>
      </w:r>
      <w:r w:rsidR="00976FE1">
        <w:t>решения пользователей данной отчетности</w:t>
      </w:r>
      <w:r w:rsidR="00A85F95">
        <w:t>.</w:t>
      </w:r>
      <w:r>
        <w:t xml:space="preserve"> Именно поэтому организациям важно как можно раньше определить не только влияние нового </w:t>
      </w:r>
      <w:r w:rsidR="00C47448">
        <w:t>стандарта</w:t>
      </w:r>
      <w:r>
        <w:t xml:space="preserve"> на свою отчетность, но и последующее влияние изменений показателей отчетности на пользователя (</w:t>
      </w:r>
      <w:r w:rsidR="004E175D">
        <w:t>один из способов, которым можно это осуществить описан в первой главе данного исследования).</w:t>
      </w:r>
    </w:p>
    <w:p w14:paraId="0451D8BF" w14:textId="76E24A2F" w:rsidR="00F73F53" w:rsidRDefault="001C677B" w:rsidP="0001611C">
      <w:r>
        <w:t>Описанные в данной главе особенности учета</w:t>
      </w:r>
      <w:r w:rsidR="00AE33DC">
        <w:t xml:space="preserve"> (наличие долгосрочных договоров на строительство и сложность их учета, холдинговая структура, наличие иностранных поставщиков и необходимость учета взносов в СРО)</w:t>
      </w:r>
      <w:r>
        <w:t xml:space="preserve"> </w:t>
      </w:r>
      <w:r w:rsidR="000D645C">
        <w:t>влияют</w:t>
      </w:r>
      <w:r w:rsidR="00AB3FD6">
        <w:t xml:space="preserve"> непосредственно</w:t>
      </w:r>
      <w:r>
        <w:t xml:space="preserve"> на отчетность строительной организации</w:t>
      </w:r>
      <w:r w:rsidR="00E4174B">
        <w:t>, на основе которой пользователи отчет</w:t>
      </w:r>
      <w:r w:rsidR="000D645C">
        <w:t>но</w:t>
      </w:r>
      <w:r w:rsidR="00E4174B">
        <w:t>сти принимают решения об инвестициях, управленческие решения, решения о выдаче кредита заемщику и так далее.</w:t>
      </w:r>
    </w:p>
    <w:p w14:paraId="52F4D461" w14:textId="0B5C7AE4" w:rsidR="001C677B" w:rsidRPr="00145250" w:rsidRDefault="00F73F53" w:rsidP="0001611C">
      <w:r>
        <w:t>Рассмотренные особенности учета влияют и</w:t>
      </w:r>
      <w:r w:rsidR="00923ECA">
        <w:t xml:space="preserve"> на то, как данные представлены в отчетности. Именно исследованию </w:t>
      </w:r>
      <w:r w:rsidR="000D645C">
        <w:t>представления</w:t>
      </w:r>
      <w:r w:rsidR="00923ECA">
        <w:t xml:space="preserve"> отчетности в строительных организациях и посвящена </w:t>
      </w:r>
      <w:r w:rsidR="00052B93">
        <w:t>заключительная</w:t>
      </w:r>
      <w:r w:rsidR="00923ECA">
        <w:t xml:space="preserve"> глава данного исследования.</w:t>
      </w:r>
    </w:p>
    <w:p w14:paraId="15846189" w14:textId="4300347C" w:rsidR="00266C81" w:rsidRDefault="005E6125" w:rsidP="009E60EB">
      <w:pPr>
        <w:pStyle w:val="1"/>
        <w:ind w:firstLine="0"/>
      </w:pPr>
      <w:r>
        <w:br w:type="page"/>
      </w:r>
      <w:bookmarkStart w:id="18" w:name="_Toc451081014"/>
      <w:r w:rsidR="00851D3F">
        <w:lastRenderedPageBreak/>
        <w:t xml:space="preserve">Глава </w:t>
      </w:r>
      <w:r w:rsidR="00E923AE">
        <w:t>3</w:t>
      </w:r>
      <w:r w:rsidR="009F485F">
        <w:t>.</w:t>
      </w:r>
      <w:r w:rsidR="000D645C">
        <w:t xml:space="preserve"> </w:t>
      </w:r>
      <w:r w:rsidR="002C43B8">
        <w:t>Анализ представления отчетности в соответствии с МСФО строительными организациями</w:t>
      </w:r>
      <w:bookmarkEnd w:id="18"/>
    </w:p>
    <w:p w14:paraId="58E740B8" w14:textId="4B1C595C" w:rsidR="000D645C" w:rsidRPr="00BA1FAD" w:rsidRDefault="00052B93" w:rsidP="00052B93">
      <w:pPr>
        <w:rPr>
          <w:i/>
        </w:rPr>
      </w:pPr>
      <w:r w:rsidRPr="00BA1FAD">
        <w:rPr>
          <w:i/>
        </w:rPr>
        <w:t xml:space="preserve">После рассмотрения вопросов влияния показателей отчетности по МСФО на пользователей отчетности, а также ключевых вопросов учета по МСФО в строительных организациях в связи со спецификой деятельности строительных организаций, </w:t>
      </w:r>
      <w:r w:rsidR="00C47448" w:rsidRPr="00BA1FAD">
        <w:rPr>
          <w:i/>
        </w:rPr>
        <w:t>необходимо</w:t>
      </w:r>
      <w:r w:rsidRPr="00BA1FAD">
        <w:rPr>
          <w:i/>
        </w:rPr>
        <w:t xml:space="preserve"> проанализировать, каким образом особенности учета находят отражение в готовом продукте учета – отчетности.</w:t>
      </w:r>
    </w:p>
    <w:p w14:paraId="3AAABB72" w14:textId="06A38104" w:rsidR="00E923AE" w:rsidRPr="00AB2ED2" w:rsidRDefault="00B7333A" w:rsidP="00496C8B">
      <w:pPr>
        <w:rPr>
          <w:i/>
        </w:rPr>
      </w:pPr>
      <w:r w:rsidRPr="00AB2ED2">
        <w:rPr>
          <w:i/>
        </w:rPr>
        <w:t xml:space="preserve">Отчетность – конечный </w:t>
      </w:r>
      <w:r w:rsidR="00180307" w:rsidRPr="00AB2ED2">
        <w:rPr>
          <w:i/>
        </w:rPr>
        <w:t>результат процесса учета и формирования отчетности.</w:t>
      </w:r>
      <w:r w:rsidR="000D645C" w:rsidRPr="00AB2ED2">
        <w:rPr>
          <w:i/>
        </w:rPr>
        <w:t xml:space="preserve"> </w:t>
      </w:r>
      <w:r w:rsidR="00CF4DD0" w:rsidRPr="00AB2ED2">
        <w:rPr>
          <w:i/>
        </w:rPr>
        <w:t>В данной главе автором представлены результаты ознакомления с финансовой отчетностью по МСФО российских и зарубе</w:t>
      </w:r>
      <w:r w:rsidR="00110A3E" w:rsidRPr="00AB2ED2">
        <w:rPr>
          <w:i/>
        </w:rPr>
        <w:t xml:space="preserve">жных строительных организаций </w:t>
      </w:r>
      <w:r w:rsidR="00CF4DD0" w:rsidRPr="00AB2ED2">
        <w:rPr>
          <w:i/>
        </w:rPr>
        <w:t xml:space="preserve"> в виде таблиц. </w:t>
      </w:r>
      <w:r w:rsidR="00817AB6" w:rsidRPr="00AB2ED2">
        <w:rPr>
          <w:i/>
        </w:rPr>
        <w:t xml:space="preserve">Делаются выводы о соответствии финансовой </w:t>
      </w:r>
      <w:r w:rsidR="000D645C" w:rsidRPr="00AB2ED2">
        <w:rPr>
          <w:i/>
        </w:rPr>
        <w:t>отчетности</w:t>
      </w:r>
      <w:r w:rsidR="00817AB6" w:rsidRPr="00AB2ED2">
        <w:rPr>
          <w:i/>
        </w:rPr>
        <w:t xml:space="preserve"> принципам МСФО. </w:t>
      </w:r>
    </w:p>
    <w:p w14:paraId="6FE57C1C" w14:textId="77777777" w:rsidR="00AB2ED2" w:rsidRDefault="00AB2ED2" w:rsidP="00496C8B"/>
    <w:p w14:paraId="66B10CCC" w14:textId="593CFD96" w:rsidR="000D036C" w:rsidRPr="009E60EB" w:rsidRDefault="000D036C" w:rsidP="000D036C">
      <w:pPr>
        <w:pStyle w:val="2"/>
      </w:pPr>
      <w:bookmarkStart w:id="19" w:name="_Toc451081015"/>
      <w:r>
        <w:t xml:space="preserve">§3.1 </w:t>
      </w:r>
      <w:r w:rsidR="00E812B6">
        <w:t>Общая характеристика отчетности обследуемых организаций</w:t>
      </w:r>
      <w:bookmarkEnd w:id="19"/>
    </w:p>
    <w:p w14:paraId="42E5CDC5" w14:textId="4935B9A4" w:rsidR="004A4C69" w:rsidRPr="009E60EB" w:rsidRDefault="004A4C69" w:rsidP="004A4C69">
      <w:r w:rsidRPr="009E60EB">
        <w:t>В таб</w:t>
      </w:r>
      <w:r w:rsidR="0007798A">
        <w:t>л. 11</w:t>
      </w:r>
      <w:r w:rsidRPr="009E60EB">
        <w:t xml:space="preserve"> представлены данные об объектах исследования. Три из пяти рассматриваемых в данном исследовании компаний – российские</w:t>
      </w:r>
      <w:r w:rsidR="00C65B03" w:rsidRPr="009E60EB">
        <w:t xml:space="preserve"> (ПАО "Группа ЛСР”, ПАО "Группа Компаний ПИК" и Группа компаний "ЛенСпецСМУ")</w:t>
      </w:r>
      <w:r w:rsidRPr="009E60EB">
        <w:t>, одна – шведская</w:t>
      </w:r>
      <w:r w:rsidR="00C65B03" w:rsidRPr="009E60EB">
        <w:t xml:space="preserve"> (</w:t>
      </w:r>
      <w:r w:rsidR="00C65B03" w:rsidRPr="003418D2">
        <w:rPr>
          <w:rFonts w:cs="Times New Roman"/>
          <w:sz w:val="22"/>
          <w:szCs w:val="22"/>
        </w:rPr>
        <w:t>Skanska AB</w:t>
      </w:r>
      <w:r w:rsidR="00C65B03">
        <w:rPr>
          <w:rFonts w:cs="Times New Roman"/>
          <w:sz w:val="22"/>
          <w:szCs w:val="22"/>
        </w:rPr>
        <w:t>)</w:t>
      </w:r>
      <w:r w:rsidRPr="009E60EB">
        <w:t xml:space="preserve"> и одна компания – испанская</w:t>
      </w:r>
      <w:r w:rsidR="00C65B03" w:rsidRPr="00C65B03">
        <w:t>(ACS, Actividades de Construccion y Servicios, S.A. and Subsidiaries)</w:t>
      </w:r>
      <w:r w:rsidRPr="00C65B03">
        <w:t>.</w:t>
      </w:r>
      <w:r w:rsidRPr="009E60EB">
        <w:t xml:space="preserve"> Такой выбор объектов </w:t>
      </w:r>
      <w:r w:rsidR="00E5289F" w:rsidRPr="009E60EB">
        <w:t xml:space="preserve">исследования </w:t>
      </w:r>
      <w:r w:rsidRPr="009E60EB">
        <w:t>обусловлен, прежде всего, необходимостью исследования отчетности российских компаний, однако, включение иностранных компаний в исследование обусловлено желанием провести сравнение и выявить возможные недостатки отчетности российских компаний по сравнению с зарубежными.</w:t>
      </w:r>
    </w:p>
    <w:p w14:paraId="0513D1BE" w14:textId="77777777" w:rsidR="004A4C69" w:rsidRPr="009E60EB" w:rsidRDefault="004A4C69" w:rsidP="004A4C69">
      <w:r w:rsidRPr="009E60EB">
        <w:t>Стоит отметить, что Группа компаний “ЛенСпецСМУ” – единственная из всех пяти компани</w:t>
      </w:r>
      <w:r w:rsidR="00F3535E" w:rsidRPr="009E60EB">
        <w:t>й, применяющая Международные С</w:t>
      </w:r>
      <w:r w:rsidRPr="009E60EB">
        <w:t>тандарты</w:t>
      </w:r>
      <w:r w:rsidR="00F3535E" w:rsidRPr="009E60EB">
        <w:t xml:space="preserve"> Финансовой Отчетности</w:t>
      </w:r>
      <w:r w:rsidRPr="009E60EB">
        <w:t xml:space="preserve"> не только для консолидированной отчетность, но и для индивидуальной отчетности одной из компаний Группы - </w:t>
      </w:r>
      <w:r>
        <w:t>ЗАО ССМО «ЛенСпецСМУ»</w:t>
      </w:r>
      <w:r w:rsidRPr="009E60EB">
        <w:t>. Однако, компания представляла такую отчетность только до 2012 года. В данном случае имел место добровольный переход на МСФО. Компания не комментирует данный факт. Это могло быть связано с тем, что данная компания является ключевой компанией Группы и наличие отчетности по МСФО было важно для потенциальных пользователей отчетности, в том числе и для инвесторов.</w:t>
      </w:r>
    </w:p>
    <w:p w14:paraId="1455CEB3" w14:textId="3F168AF5" w:rsidR="00107880" w:rsidRDefault="004A4C69" w:rsidP="000336FD">
      <w:r w:rsidRPr="009E60EB">
        <w:t xml:space="preserve">Также примечательно, что в случае с российскими строительными компаниями аудитором консолидированной отчетности всегда выступает одна из компаний “Большой четверки” (а именно – </w:t>
      </w:r>
      <w:r>
        <w:rPr>
          <w:lang w:val="en-US"/>
        </w:rPr>
        <w:t>KPMG</w:t>
      </w:r>
      <w:r w:rsidRPr="009E60EB">
        <w:t>)</w:t>
      </w:r>
      <w:r>
        <w:t xml:space="preserve">, а индивидуальной – менее известная компания. По мнению автора, это </w:t>
      </w:r>
      <w:r>
        <w:lastRenderedPageBreak/>
        <w:t xml:space="preserve">связано с тем, что консолидированная отчетность имеет больший вес для пользователей, а следовательно, необходимо наличие доверия пользователя к отчетности, что </w:t>
      </w:r>
      <w:r w:rsidR="000D645C">
        <w:t>частично</w:t>
      </w:r>
      <w:r>
        <w:t xml:space="preserve"> достигается за счет имиджа аудиторской компании.</w:t>
      </w:r>
    </w:p>
    <w:p w14:paraId="204B6E43" w14:textId="48481979" w:rsidR="000D645C" w:rsidRPr="00E564C4" w:rsidRDefault="00062602" w:rsidP="00E564C4">
      <w:pPr>
        <w:rPr>
          <w:i/>
          <w:lang w:val="en-US"/>
        </w:rPr>
      </w:pPr>
      <w:r>
        <w:rPr>
          <w:i/>
          <w:lang w:val="en-US"/>
        </w:rPr>
        <w:t>Таблица</w:t>
      </w:r>
      <w:r w:rsidR="00107880" w:rsidRPr="00E564C4">
        <w:rPr>
          <w:i/>
          <w:lang w:val="en-US"/>
        </w:rPr>
        <w:t xml:space="preserve"> 11 Объекты исследования</w:t>
      </w:r>
    </w:p>
    <w:tbl>
      <w:tblPr>
        <w:tblStyle w:val="af2"/>
        <w:tblW w:w="0" w:type="auto"/>
        <w:tblInd w:w="-34" w:type="dxa"/>
        <w:tblLayout w:type="fixed"/>
        <w:tblLook w:val="04A0" w:firstRow="1" w:lastRow="0" w:firstColumn="1" w:lastColumn="0" w:noHBand="0" w:noVBand="1"/>
      </w:tblPr>
      <w:tblGrid>
        <w:gridCol w:w="1985"/>
        <w:gridCol w:w="1418"/>
        <w:gridCol w:w="1417"/>
        <w:gridCol w:w="1548"/>
        <w:gridCol w:w="1867"/>
        <w:gridCol w:w="1647"/>
      </w:tblGrid>
      <w:tr w:rsidR="00E564C4" w:rsidRPr="005076E9" w14:paraId="2DED633E" w14:textId="77777777" w:rsidTr="00E564C4">
        <w:trPr>
          <w:trHeight w:val="1162"/>
        </w:trPr>
        <w:tc>
          <w:tcPr>
            <w:tcW w:w="1985" w:type="dxa"/>
            <w:hideMark/>
          </w:tcPr>
          <w:p w14:paraId="08D1D397" w14:textId="77777777" w:rsidR="005076E9" w:rsidRPr="009E60EB" w:rsidRDefault="005076E9" w:rsidP="001A2D71">
            <w:pPr>
              <w:pStyle w:val="af3"/>
              <w:jc w:val="center"/>
              <w:rPr>
                <w:rFonts w:cs="Times New Roman"/>
                <w:b/>
                <w:sz w:val="22"/>
                <w:szCs w:val="22"/>
              </w:rPr>
            </w:pPr>
            <w:r w:rsidRPr="009E60EB">
              <w:rPr>
                <w:rFonts w:cs="Times New Roman"/>
                <w:b/>
                <w:sz w:val="22"/>
                <w:szCs w:val="22"/>
              </w:rPr>
              <w:t>Наименование организации</w:t>
            </w:r>
          </w:p>
        </w:tc>
        <w:tc>
          <w:tcPr>
            <w:tcW w:w="1418" w:type="dxa"/>
            <w:hideMark/>
          </w:tcPr>
          <w:p w14:paraId="74AEF3C3" w14:textId="77777777" w:rsidR="005076E9" w:rsidRPr="009E60EB" w:rsidRDefault="005076E9" w:rsidP="001A2D71">
            <w:pPr>
              <w:pStyle w:val="af3"/>
              <w:jc w:val="center"/>
              <w:rPr>
                <w:rFonts w:cs="Times New Roman"/>
                <w:b/>
                <w:sz w:val="22"/>
                <w:szCs w:val="22"/>
              </w:rPr>
            </w:pPr>
            <w:r w:rsidRPr="009E60EB">
              <w:rPr>
                <w:rFonts w:cs="Times New Roman"/>
                <w:b/>
                <w:sz w:val="22"/>
                <w:szCs w:val="22"/>
              </w:rPr>
              <w:t>ПАО "Группа ЛСР"</w:t>
            </w:r>
          </w:p>
        </w:tc>
        <w:tc>
          <w:tcPr>
            <w:tcW w:w="1417" w:type="dxa"/>
            <w:hideMark/>
          </w:tcPr>
          <w:p w14:paraId="76CA6A9C" w14:textId="77777777" w:rsidR="005076E9" w:rsidRPr="009E60EB" w:rsidRDefault="005076E9" w:rsidP="001A2D71">
            <w:pPr>
              <w:pStyle w:val="af3"/>
              <w:jc w:val="center"/>
              <w:rPr>
                <w:rFonts w:cs="Times New Roman"/>
                <w:b/>
                <w:sz w:val="22"/>
                <w:szCs w:val="22"/>
              </w:rPr>
            </w:pPr>
            <w:r w:rsidRPr="009E60EB">
              <w:rPr>
                <w:rFonts w:cs="Times New Roman"/>
                <w:b/>
                <w:sz w:val="22"/>
                <w:szCs w:val="22"/>
              </w:rPr>
              <w:t>ПАО "Группа Компаний ПИК"</w:t>
            </w:r>
          </w:p>
        </w:tc>
        <w:tc>
          <w:tcPr>
            <w:tcW w:w="1548" w:type="dxa"/>
            <w:hideMark/>
          </w:tcPr>
          <w:p w14:paraId="4E68DCBB" w14:textId="77777777" w:rsidR="005076E9" w:rsidRPr="009E60EB" w:rsidRDefault="005076E9" w:rsidP="001A2D71">
            <w:pPr>
              <w:pStyle w:val="af3"/>
              <w:jc w:val="center"/>
              <w:rPr>
                <w:rFonts w:cs="Times New Roman"/>
                <w:b/>
                <w:sz w:val="22"/>
                <w:szCs w:val="22"/>
                <w:lang w:val="en-US"/>
              </w:rPr>
            </w:pPr>
            <w:r w:rsidRPr="009E60EB">
              <w:rPr>
                <w:rFonts w:cs="Times New Roman"/>
                <w:b/>
                <w:sz w:val="22"/>
                <w:szCs w:val="22"/>
                <w:lang w:val="en-US"/>
              </w:rPr>
              <w:t>ACS, Actividades de Construccion y Servicios, S.A. and Subsidiaries</w:t>
            </w:r>
          </w:p>
        </w:tc>
        <w:tc>
          <w:tcPr>
            <w:tcW w:w="1867" w:type="dxa"/>
            <w:hideMark/>
          </w:tcPr>
          <w:p w14:paraId="27E8C7BA" w14:textId="77777777" w:rsidR="005076E9" w:rsidRPr="009E60EB" w:rsidRDefault="005076E9" w:rsidP="001A2D71">
            <w:pPr>
              <w:pStyle w:val="af3"/>
              <w:jc w:val="center"/>
              <w:rPr>
                <w:rFonts w:cs="Times New Roman"/>
                <w:b/>
                <w:sz w:val="22"/>
                <w:szCs w:val="22"/>
              </w:rPr>
            </w:pPr>
            <w:r w:rsidRPr="009E60EB">
              <w:rPr>
                <w:rFonts w:cs="Times New Roman"/>
                <w:b/>
                <w:sz w:val="22"/>
                <w:szCs w:val="22"/>
              </w:rPr>
              <w:t>Группа компаний "ЛенСпецСМУ"</w:t>
            </w:r>
          </w:p>
        </w:tc>
        <w:tc>
          <w:tcPr>
            <w:tcW w:w="1647" w:type="dxa"/>
            <w:noWrap/>
            <w:hideMark/>
          </w:tcPr>
          <w:p w14:paraId="28430396" w14:textId="77777777" w:rsidR="005076E9" w:rsidRPr="009E60EB" w:rsidRDefault="005076E9" w:rsidP="001A2D71">
            <w:pPr>
              <w:pStyle w:val="af3"/>
              <w:jc w:val="center"/>
              <w:rPr>
                <w:rFonts w:cs="Times New Roman"/>
                <w:b/>
                <w:sz w:val="22"/>
                <w:szCs w:val="22"/>
              </w:rPr>
            </w:pPr>
            <w:r w:rsidRPr="009E60EB">
              <w:rPr>
                <w:rFonts w:cs="Times New Roman"/>
                <w:b/>
                <w:sz w:val="22"/>
                <w:szCs w:val="22"/>
              </w:rPr>
              <w:t>Skanska AB</w:t>
            </w:r>
          </w:p>
        </w:tc>
      </w:tr>
      <w:tr w:rsidR="00E564C4" w:rsidRPr="005076E9" w14:paraId="7F6C42AE" w14:textId="77777777" w:rsidTr="00E564C4">
        <w:trPr>
          <w:trHeight w:val="226"/>
        </w:trPr>
        <w:tc>
          <w:tcPr>
            <w:tcW w:w="1985" w:type="dxa"/>
            <w:hideMark/>
          </w:tcPr>
          <w:p w14:paraId="0704FB86" w14:textId="77777777" w:rsidR="005076E9" w:rsidRPr="009E60EB" w:rsidRDefault="005076E9" w:rsidP="001A2D71">
            <w:pPr>
              <w:pStyle w:val="af3"/>
              <w:jc w:val="center"/>
              <w:rPr>
                <w:rFonts w:cs="Times New Roman"/>
                <w:b/>
                <w:sz w:val="22"/>
                <w:szCs w:val="22"/>
              </w:rPr>
            </w:pPr>
            <w:r w:rsidRPr="009E60EB">
              <w:rPr>
                <w:rFonts w:cs="Times New Roman"/>
                <w:b/>
                <w:sz w:val="22"/>
                <w:szCs w:val="22"/>
              </w:rPr>
              <w:t>Страна</w:t>
            </w:r>
          </w:p>
        </w:tc>
        <w:tc>
          <w:tcPr>
            <w:tcW w:w="1418" w:type="dxa"/>
            <w:hideMark/>
          </w:tcPr>
          <w:p w14:paraId="6531E76B" w14:textId="77777777" w:rsidR="005076E9" w:rsidRPr="00E564C4" w:rsidRDefault="005076E9" w:rsidP="005076E9">
            <w:pPr>
              <w:pStyle w:val="af3"/>
              <w:rPr>
                <w:rFonts w:cs="Times New Roman"/>
                <w:szCs w:val="20"/>
              </w:rPr>
            </w:pPr>
            <w:r w:rsidRPr="00E564C4">
              <w:rPr>
                <w:rFonts w:cs="Times New Roman"/>
                <w:szCs w:val="20"/>
              </w:rPr>
              <w:t>Россия</w:t>
            </w:r>
          </w:p>
        </w:tc>
        <w:tc>
          <w:tcPr>
            <w:tcW w:w="1417" w:type="dxa"/>
            <w:hideMark/>
          </w:tcPr>
          <w:p w14:paraId="4687E65D" w14:textId="77777777" w:rsidR="005076E9" w:rsidRPr="00E564C4" w:rsidRDefault="005076E9" w:rsidP="005076E9">
            <w:pPr>
              <w:pStyle w:val="af3"/>
              <w:rPr>
                <w:rFonts w:cs="Times New Roman"/>
                <w:szCs w:val="20"/>
              </w:rPr>
            </w:pPr>
            <w:r w:rsidRPr="00E564C4">
              <w:rPr>
                <w:rFonts w:cs="Times New Roman"/>
                <w:szCs w:val="20"/>
              </w:rPr>
              <w:t>Россия</w:t>
            </w:r>
          </w:p>
        </w:tc>
        <w:tc>
          <w:tcPr>
            <w:tcW w:w="1548" w:type="dxa"/>
            <w:hideMark/>
          </w:tcPr>
          <w:p w14:paraId="669D463D" w14:textId="77777777" w:rsidR="005076E9" w:rsidRPr="00E564C4" w:rsidRDefault="005076E9" w:rsidP="005076E9">
            <w:pPr>
              <w:pStyle w:val="af3"/>
              <w:rPr>
                <w:rFonts w:cs="Times New Roman"/>
                <w:szCs w:val="20"/>
              </w:rPr>
            </w:pPr>
            <w:r w:rsidRPr="00E564C4">
              <w:rPr>
                <w:rFonts w:cs="Times New Roman"/>
                <w:szCs w:val="20"/>
              </w:rPr>
              <w:t>Испания</w:t>
            </w:r>
          </w:p>
        </w:tc>
        <w:tc>
          <w:tcPr>
            <w:tcW w:w="1867" w:type="dxa"/>
            <w:hideMark/>
          </w:tcPr>
          <w:p w14:paraId="3A9C84CD" w14:textId="77777777" w:rsidR="005076E9" w:rsidRPr="00E564C4" w:rsidRDefault="005076E9" w:rsidP="005076E9">
            <w:pPr>
              <w:pStyle w:val="af3"/>
              <w:rPr>
                <w:rFonts w:cs="Times New Roman"/>
                <w:szCs w:val="20"/>
              </w:rPr>
            </w:pPr>
            <w:r w:rsidRPr="00E564C4">
              <w:rPr>
                <w:rFonts w:cs="Times New Roman"/>
                <w:szCs w:val="20"/>
              </w:rPr>
              <w:t>Россия</w:t>
            </w:r>
          </w:p>
        </w:tc>
        <w:tc>
          <w:tcPr>
            <w:tcW w:w="1647" w:type="dxa"/>
            <w:hideMark/>
          </w:tcPr>
          <w:p w14:paraId="219F82DE" w14:textId="77777777" w:rsidR="005076E9" w:rsidRPr="00E564C4" w:rsidRDefault="005076E9" w:rsidP="005076E9">
            <w:pPr>
              <w:pStyle w:val="af3"/>
              <w:rPr>
                <w:rFonts w:cs="Times New Roman"/>
                <w:szCs w:val="20"/>
              </w:rPr>
            </w:pPr>
            <w:r w:rsidRPr="00E564C4">
              <w:rPr>
                <w:rFonts w:cs="Times New Roman"/>
                <w:szCs w:val="20"/>
              </w:rPr>
              <w:t>Швеция</w:t>
            </w:r>
          </w:p>
        </w:tc>
      </w:tr>
      <w:tr w:rsidR="00E564C4" w:rsidRPr="005076E9" w14:paraId="75471CF7" w14:textId="77777777" w:rsidTr="00E564C4">
        <w:trPr>
          <w:trHeight w:val="952"/>
        </w:trPr>
        <w:tc>
          <w:tcPr>
            <w:tcW w:w="1985" w:type="dxa"/>
            <w:hideMark/>
          </w:tcPr>
          <w:p w14:paraId="7AD2662B" w14:textId="77777777" w:rsidR="005076E9" w:rsidRPr="009E60EB" w:rsidRDefault="005076E9" w:rsidP="001A2D71">
            <w:pPr>
              <w:pStyle w:val="af3"/>
              <w:jc w:val="center"/>
              <w:rPr>
                <w:rFonts w:cs="Times New Roman"/>
                <w:b/>
                <w:sz w:val="22"/>
                <w:szCs w:val="22"/>
              </w:rPr>
            </w:pPr>
            <w:r w:rsidRPr="009E60EB">
              <w:rPr>
                <w:rFonts w:cs="Times New Roman"/>
                <w:b/>
                <w:sz w:val="22"/>
                <w:szCs w:val="22"/>
              </w:rPr>
              <w:t>Раздел сайта, на котором представлена отчетность</w:t>
            </w:r>
          </w:p>
        </w:tc>
        <w:tc>
          <w:tcPr>
            <w:tcW w:w="1418" w:type="dxa"/>
            <w:hideMark/>
          </w:tcPr>
          <w:p w14:paraId="74A66D3D" w14:textId="77777777" w:rsidR="005076E9" w:rsidRPr="00E564C4" w:rsidRDefault="005076E9" w:rsidP="005076E9">
            <w:pPr>
              <w:pStyle w:val="af3"/>
              <w:rPr>
                <w:rFonts w:cs="Times New Roman"/>
                <w:szCs w:val="20"/>
              </w:rPr>
            </w:pPr>
            <w:r w:rsidRPr="00E564C4">
              <w:rPr>
                <w:rFonts w:cs="Times New Roman"/>
                <w:szCs w:val="20"/>
              </w:rPr>
              <w:t>Инвесторам и акционерам (раскрытие информации)</w:t>
            </w:r>
          </w:p>
        </w:tc>
        <w:tc>
          <w:tcPr>
            <w:tcW w:w="1417" w:type="dxa"/>
            <w:hideMark/>
          </w:tcPr>
          <w:p w14:paraId="2FB9C1DC" w14:textId="77777777" w:rsidR="005076E9" w:rsidRPr="00E564C4" w:rsidRDefault="005076E9" w:rsidP="005076E9">
            <w:pPr>
              <w:pStyle w:val="af3"/>
              <w:rPr>
                <w:rFonts w:cs="Times New Roman"/>
                <w:szCs w:val="20"/>
              </w:rPr>
            </w:pPr>
            <w:r w:rsidRPr="00E564C4">
              <w:rPr>
                <w:rFonts w:cs="Times New Roman"/>
                <w:szCs w:val="20"/>
              </w:rPr>
              <w:t>Инвесторам (финансовые отчеты)</w:t>
            </w:r>
          </w:p>
        </w:tc>
        <w:tc>
          <w:tcPr>
            <w:tcW w:w="1548" w:type="dxa"/>
            <w:hideMark/>
          </w:tcPr>
          <w:p w14:paraId="044EE2C7" w14:textId="77777777" w:rsidR="005076E9" w:rsidRPr="00E564C4" w:rsidRDefault="005076E9" w:rsidP="005076E9">
            <w:pPr>
              <w:pStyle w:val="af3"/>
              <w:rPr>
                <w:rFonts w:cs="Times New Roman"/>
                <w:szCs w:val="20"/>
              </w:rPr>
            </w:pPr>
            <w:r w:rsidRPr="00E564C4">
              <w:rPr>
                <w:rFonts w:cs="Times New Roman"/>
                <w:szCs w:val="20"/>
              </w:rPr>
              <w:t>Инвесторам (аудированная финансовая отчетность)</w:t>
            </w:r>
          </w:p>
        </w:tc>
        <w:tc>
          <w:tcPr>
            <w:tcW w:w="1867" w:type="dxa"/>
            <w:hideMark/>
          </w:tcPr>
          <w:p w14:paraId="615E9534" w14:textId="77777777" w:rsidR="005076E9" w:rsidRPr="00E564C4" w:rsidRDefault="005076E9" w:rsidP="005076E9">
            <w:pPr>
              <w:pStyle w:val="af3"/>
              <w:rPr>
                <w:rFonts w:cs="Times New Roman"/>
                <w:szCs w:val="20"/>
              </w:rPr>
            </w:pPr>
            <w:r w:rsidRPr="00E564C4">
              <w:rPr>
                <w:rFonts w:cs="Times New Roman"/>
                <w:szCs w:val="20"/>
              </w:rPr>
              <w:t>Инвесторам (отчетность)</w:t>
            </w:r>
          </w:p>
        </w:tc>
        <w:tc>
          <w:tcPr>
            <w:tcW w:w="1647" w:type="dxa"/>
            <w:hideMark/>
          </w:tcPr>
          <w:p w14:paraId="048ECC7A" w14:textId="77777777" w:rsidR="005076E9" w:rsidRPr="00E564C4" w:rsidRDefault="005076E9" w:rsidP="005076E9">
            <w:pPr>
              <w:pStyle w:val="af3"/>
              <w:rPr>
                <w:rFonts w:cs="Times New Roman"/>
                <w:szCs w:val="20"/>
              </w:rPr>
            </w:pPr>
            <w:r w:rsidRPr="00E564C4">
              <w:rPr>
                <w:rFonts w:cs="Times New Roman"/>
                <w:szCs w:val="20"/>
              </w:rPr>
              <w:t>Инвесторам (отчетность)</w:t>
            </w:r>
          </w:p>
        </w:tc>
      </w:tr>
      <w:tr w:rsidR="00E564C4" w:rsidRPr="005076E9" w14:paraId="7EBCF3BD" w14:textId="77777777" w:rsidTr="00E564C4">
        <w:trPr>
          <w:trHeight w:val="2113"/>
        </w:trPr>
        <w:tc>
          <w:tcPr>
            <w:tcW w:w="1985" w:type="dxa"/>
            <w:hideMark/>
          </w:tcPr>
          <w:p w14:paraId="442F15DC" w14:textId="741B7F1B" w:rsidR="001A341E" w:rsidRPr="009E60EB" w:rsidRDefault="00E564C4" w:rsidP="001A2D71">
            <w:pPr>
              <w:pStyle w:val="af3"/>
              <w:jc w:val="center"/>
              <w:rPr>
                <w:rFonts w:cs="Times New Roman"/>
                <w:b/>
                <w:sz w:val="22"/>
                <w:szCs w:val="22"/>
              </w:rPr>
            </w:pPr>
            <w:r>
              <w:rPr>
                <w:rFonts w:cs="Times New Roman"/>
                <w:b/>
                <w:sz w:val="22"/>
                <w:szCs w:val="22"/>
              </w:rPr>
              <w:t>Финансовая отчетность, представленная на сайте</w:t>
            </w:r>
          </w:p>
        </w:tc>
        <w:tc>
          <w:tcPr>
            <w:tcW w:w="1418" w:type="dxa"/>
            <w:hideMark/>
          </w:tcPr>
          <w:p w14:paraId="5D666293" w14:textId="77777777" w:rsidR="001A341E" w:rsidRPr="00E564C4" w:rsidRDefault="001A341E" w:rsidP="001A341E">
            <w:pPr>
              <w:pStyle w:val="af3"/>
              <w:rPr>
                <w:rFonts w:cs="Times New Roman"/>
                <w:szCs w:val="20"/>
              </w:rPr>
            </w:pPr>
            <w:r w:rsidRPr="00E564C4">
              <w:rPr>
                <w:rFonts w:cs="Times New Roman"/>
                <w:szCs w:val="20"/>
              </w:rPr>
              <w:t xml:space="preserve">Консолидированная отчетность по МСФО и отчетность материнской компании по РСБУ </w:t>
            </w:r>
          </w:p>
        </w:tc>
        <w:tc>
          <w:tcPr>
            <w:tcW w:w="1417" w:type="dxa"/>
            <w:hideMark/>
          </w:tcPr>
          <w:p w14:paraId="3BE09072" w14:textId="77777777" w:rsidR="001A341E" w:rsidRPr="00E564C4" w:rsidRDefault="001A341E" w:rsidP="005076E9">
            <w:pPr>
              <w:pStyle w:val="af3"/>
              <w:rPr>
                <w:rFonts w:cs="Times New Roman"/>
                <w:szCs w:val="20"/>
              </w:rPr>
            </w:pPr>
            <w:r w:rsidRPr="00E564C4">
              <w:rPr>
                <w:rFonts w:cs="Times New Roman"/>
                <w:szCs w:val="20"/>
              </w:rPr>
              <w:t>Консолидированная отчетность по МСФО и отчетность материнской компании по РСБУ</w:t>
            </w:r>
          </w:p>
        </w:tc>
        <w:tc>
          <w:tcPr>
            <w:tcW w:w="1548" w:type="dxa"/>
            <w:hideMark/>
          </w:tcPr>
          <w:p w14:paraId="31124699" w14:textId="77777777" w:rsidR="001A341E" w:rsidRPr="00E564C4" w:rsidRDefault="001A341E" w:rsidP="001A341E">
            <w:pPr>
              <w:pStyle w:val="af3"/>
              <w:rPr>
                <w:rFonts w:cs="Times New Roman"/>
                <w:szCs w:val="20"/>
              </w:rPr>
            </w:pPr>
            <w:r w:rsidRPr="00E564C4">
              <w:rPr>
                <w:rFonts w:cs="Times New Roman"/>
                <w:szCs w:val="20"/>
              </w:rPr>
              <w:t>Консолидированная отчетность по МСФО и отчетность материнской компании в соответствии с национальными стандартами</w:t>
            </w:r>
          </w:p>
        </w:tc>
        <w:tc>
          <w:tcPr>
            <w:tcW w:w="1867" w:type="dxa"/>
            <w:hideMark/>
          </w:tcPr>
          <w:p w14:paraId="252B259D" w14:textId="77777777" w:rsidR="001A341E" w:rsidRPr="00E564C4" w:rsidRDefault="001A341E" w:rsidP="001A341E">
            <w:pPr>
              <w:pStyle w:val="af3"/>
              <w:rPr>
                <w:rFonts w:cs="Times New Roman"/>
                <w:szCs w:val="20"/>
              </w:rPr>
            </w:pPr>
            <w:r w:rsidRPr="00E564C4">
              <w:rPr>
                <w:rFonts w:cs="Times New Roman"/>
                <w:szCs w:val="20"/>
              </w:rPr>
              <w:t xml:space="preserve">Консолидированная отчетность по МСФО и отчетность ЗАО ССМО «ЛенСпецСМУ» по РСБУ и МСФО </w:t>
            </w:r>
          </w:p>
        </w:tc>
        <w:tc>
          <w:tcPr>
            <w:tcW w:w="1647" w:type="dxa"/>
            <w:hideMark/>
          </w:tcPr>
          <w:p w14:paraId="034EBD33" w14:textId="77777777" w:rsidR="001A341E" w:rsidRPr="00E564C4" w:rsidRDefault="001A341E" w:rsidP="005076E9">
            <w:pPr>
              <w:pStyle w:val="af3"/>
              <w:rPr>
                <w:rFonts w:cs="Times New Roman"/>
                <w:szCs w:val="20"/>
              </w:rPr>
            </w:pPr>
            <w:r w:rsidRPr="00E564C4">
              <w:rPr>
                <w:rFonts w:cs="Times New Roman"/>
                <w:szCs w:val="20"/>
              </w:rPr>
              <w:t>Консолидированная отчетность по МСФО и отчетность материнской компании в соответствии с национальными стандартами</w:t>
            </w:r>
          </w:p>
        </w:tc>
      </w:tr>
      <w:tr w:rsidR="00E564C4" w:rsidRPr="005076E9" w14:paraId="290C3E61" w14:textId="77777777" w:rsidTr="00E564C4">
        <w:trPr>
          <w:trHeight w:val="1020"/>
        </w:trPr>
        <w:tc>
          <w:tcPr>
            <w:tcW w:w="1985" w:type="dxa"/>
            <w:hideMark/>
          </w:tcPr>
          <w:p w14:paraId="31DF8BEE" w14:textId="77777777" w:rsidR="001A341E" w:rsidRPr="009E60EB" w:rsidRDefault="001A341E" w:rsidP="001A2D71">
            <w:pPr>
              <w:pStyle w:val="af3"/>
              <w:jc w:val="center"/>
              <w:rPr>
                <w:rFonts w:cs="Times New Roman"/>
                <w:b/>
                <w:sz w:val="22"/>
                <w:szCs w:val="22"/>
              </w:rPr>
            </w:pPr>
            <w:r w:rsidRPr="009E60EB">
              <w:rPr>
                <w:rFonts w:cs="Times New Roman"/>
                <w:b/>
                <w:sz w:val="22"/>
                <w:szCs w:val="22"/>
              </w:rPr>
              <w:t>Период, за который исследовалась отчетность</w:t>
            </w:r>
          </w:p>
        </w:tc>
        <w:tc>
          <w:tcPr>
            <w:tcW w:w="1418" w:type="dxa"/>
            <w:hideMark/>
          </w:tcPr>
          <w:p w14:paraId="6807F403" w14:textId="77777777" w:rsidR="001A341E" w:rsidRPr="00E564C4" w:rsidRDefault="001A341E" w:rsidP="005076E9">
            <w:pPr>
              <w:pStyle w:val="af3"/>
              <w:rPr>
                <w:rFonts w:cs="Times New Roman"/>
                <w:szCs w:val="20"/>
              </w:rPr>
            </w:pPr>
            <w:r w:rsidRPr="00E564C4">
              <w:rPr>
                <w:rFonts w:cs="Times New Roman"/>
                <w:szCs w:val="20"/>
              </w:rPr>
              <w:t>12 месяцев 2015 года</w:t>
            </w:r>
          </w:p>
        </w:tc>
        <w:tc>
          <w:tcPr>
            <w:tcW w:w="1417" w:type="dxa"/>
            <w:hideMark/>
          </w:tcPr>
          <w:p w14:paraId="14290D08" w14:textId="77777777" w:rsidR="001A341E" w:rsidRPr="00E564C4" w:rsidRDefault="001A341E" w:rsidP="005076E9">
            <w:pPr>
              <w:pStyle w:val="af3"/>
              <w:rPr>
                <w:rFonts w:cs="Times New Roman"/>
                <w:szCs w:val="20"/>
              </w:rPr>
            </w:pPr>
            <w:r w:rsidRPr="00E564C4">
              <w:rPr>
                <w:rFonts w:cs="Times New Roman"/>
                <w:szCs w:val="20"/>
              </w:rPr>
              <w:t>12 месяцев 2015 года</w:t>
            </w:r>
          </w:p>
        </w:tc>
        <w:tc>
          <w:tcPr>
            <w:tcW w:w="1548" w:type="dxa"/>
            <w:hideMark/>
          </w:tcPr>
          <w:p w14:paraId="05E59BA4" w14:textId="77777777" w:rsidR="001A341E" w:rsidRPr="00E564C4" w:rsidRDefault="001A341E" w:rsidP="005076E9">
            <w:pPr>
              <w:pStyle w:val="af3"/>
              <w:rPr>
                <w:rFonts w:cs="Times New Roman"/>
                <w:szCs w:val="20"/>
              </w:rPr>
            </w:pPr>
            <w:r w:rsidRPr="00E564C4">
              <w:rPr>
                <w:rFonts w:cs="Times New Roman"/>
                <w:szCs w:val="20"/>
              </w:rPr>
              <w:t>12 месяцев 2015 года</w:t>
            </w:r>
          </w:p>
        </w:tc>
        <w:tc>
          <w:tcPr>
            <w:tcW w:w="1867" w:type="dxa"/>
            <w:hideMark/>
          </w:tcPr>
          <w:p w14:paraId="54908ABD" w14:textId="77777777" w:rsidR="001A341E" w:rsidRPr="00E564C4" w:rsidRDefault="001A341E" w:rsidP="005076E9">
            <w:pPr>
              <w:pStyle w:val="af3"/>
              <w:rPr>
                <w:rFonts w:cs="Times New Roman"/>
                <w:szCs w:val="20"/>
              </w:rPr>
            </w:pPr>
            <w:r w:rsidRPr="00E564C4">
              <w:rPr>
                <w:rFonts w:cs="Times New Roman"/>
                <w:szCs w:val="20"/>
              </w:rPr>
              <w:t>12 месяцев 2015 года</w:t>
            </w:r>
          </w:p>
        </w:tc>
        <w:tc>
          <w:tcPr>
            <w:tcW w:w="1647" w:type="dxa"/>
            <w:hideMark/>
          </w:tcPr>
          <w:p w14:paraId="48275C49" w14:textId="77777777" w:rsidR="001A341E" w:rsidRPr="00E564C4" w:rsidRDefault="001A341E" w:rsidP="005076E9">
            <w:pPr>
              <w:pStyle w:val="af3"/>
              <w:rPr>
                <w:rFonts w:cs="Times New Roman"/>
                <w:szCs w:val="20"/>
              </w:rPr>
            </w:pPr>
            <w:r w:rsidRPr="00E564C4">
              <w:rPr>
                <w:rFonts w:cs="Times New Roman"/>
                <w:szCs w:val="20"/>
              </w:rPr>
              <w:t>12 месяцев 2015 года</w:t>
            </w:r>
          </w:p>
        </w:tc>
      </w:tr>
      <w:tr w:rsidR="00E564C4" w:rsidRPr="005076E9" w14:paraId="46472D98" w14:textId="77777777" w:rsidTr="00E564C4">
        <w:trPr>
          <w:trHeight w:val="924"/>
        </w:trPr>
        <w:tc>
          <w:tcPr>
            <w:tcW w:w="1985" w:type="dxa"/>
            <w:hideMark/>
          </w:tcPr>
          <w:p w14:paraId="55C1CB41" w14:textId="77777777" w:rsidR="001A341E" w:rsidRPr="009E60EB" w:rsidRDefault="001A341E" w:rsidP="001A2D71">
            <w:pPr>
              <w:pStyle w:val="af3"/>
              <w:jc w:val="center"/>
              <w:rPr>
                <w:rFonts w:cs="Times New Roman"/>
                <w:b/>
                <w:sz w:val="22"/>
                <w:szCs w:val="22"/>
              </w:rPr>
            </w:pPr>
            <w:r w:rsidRPr="009E60EB">
              <w:rPr>
                <w:rFonts w:cs="Times New Roman"/>
                <w:b/>
                <w:sz w:val="22"/>
                <w:szCs w:val="22"/>
              </w:rPr>
              <w:t>Вид исследуемой отчетности</w:t>
            </w:r>
          </w:p>
        </w:tc>
        <w:tc>
          <w:tcPr>
            <w:tcW w:w="1418" w:type="dxa"/>
            <w:hideMark/>
          </w:tcPr>
          <w:p w14:paraId="069F696A" w14:textId="77777777" w:rsidR="001A341E" w:rsidRPr="00E564C4" w:rsidRDefault="001A341E" w:rsidP="005076E9">
            <w:pPr>
              <w:pStyle w:val="af3"/>
              <w:rPr>
                <w:rFonts w:cs="Times New Roman"/>
                <w:szCs w:val="20"/>
              </w:rPr>
            </w:pPr>
            <w:r w:rsidRPr="00E564C4">
              <w:rPr>
                <w:rFonts w:cs="Times New Roman"/>
                <w:szCs w:val="20"/>
              </w:rPr>
              <w:t>Консолидированная (МСФО)</w:t>
            </w:r>
          </w:p>
        </w:tc>
        <w:tc>
          <w:tcPr>
            <w:tcW w:w="1417" w:type="dxa"/>
            <w:hideMark/>
          </w:tcPr>
          <w:p w14:paraId="2C9BB118" w14:textId="77777777" w:rsidR="001A341E" w:rsidRPr="00E564C4" w:rsidRDefault="001A341E" w:rsidP="005076E9">
            <w:pPr>
              <w:pStyle w:val="af3"/>
              <w:rPr>
                <w:rFonts w:cs="Times New Roman"/>
                <w:szCs w:val="20"/>
              </w:rPr>
            </w:pPr>
            <w:r w:rsidRPr="00E564C4">
              <w:rPr>
                <w:rFonts w:cs="Times New Roman"/>
                <w:szCs w:val="20"/>
              </w:rPr>
              <w:t>Консолидированная (МСФО)</w:t>
            </w:r>
          </w:p>
        </w:tc>
        <w:tc>
          <w:tcPr>
            <w:tcW w:w="1548" w:type="dxa"/>
            <w:hideMark/>
          </w:tcPr>
          <w:p w14:paraId="6BE5B84A" w14:textId="77777777" w:rsidR="001A341E" w:rsidRPr="00E564C4" w:rsidRDefault="001A341E" w:rsidP="005076E9">
            <w:pPr>
              <w:pStyle w:val="af3"/>
              <w:rPr>
                <w:rFonts w:cs="Times New Roman"/>
                <w:szCs w:val="20"/>
              </w:rPr>
            </w:pPr>
            <w:r w:rsidRPr="00E564C4">
              <w:rPr>
                <w:rFonts w:cs="Times New Roman"/>
                <w:szCs w:val="20"/>
              </w:rPr>
              <w:t>Консолидированная (МСФО)</w:t>
            </w:r>
          </w:p>
        </w:tc>
        <w:tc>
          <w:tcPr>
            <w:tcW w:w="1867" w:type="dxa"/>
            <w:hideMark/>
          </w:tcPr>
          <w:p w14:paraId="66DBCF2A" w14:textId="77777777" w:rsidR="001A341E" w:rsidRPr="00E564C4" w:rsidRDefault="001A341E" w:rsidP="005076E9">
            <w:pPr>
              <w:pStyle w:val="af3"/>
              <w:rPr>
                <w:rFonts w:cs="Times New Roman"/>
                <w:szCs w:val="20"/>
              </w:rPr>
            </w:pPr>
            <w:r w:rsidRPr="00E564C4">
              <w:rPr>
                <w:rFonts w:cs="Times New Roman"/>
                <w:szCs w:val="20"/>
              </w:rPr>
              <w:t>Консолидированная  и индивидуальная (МСФО)</w:t>
            </w:r>
          </w:p>
        </w:tc>
        <w:tc>
          <w:tcPr>
            <w:tcW w:w="1647" w:type="dxa"/>
            <w:hideMark/>
          </w:tcPr>
          <w:p w14:paraId="19A767D6" w14:textId="77777777" w:rsidR="001A341E" w:rsidRPr="00E564C4" w:rsidRDefault="001A341E" w:rsidP="005076E9">
            <w:pPr>
              <w:pStyle w:val="af3"/>
              <w:rPr>
                <w:rFonts w:cs="Times New Roman"/>
                <w:szCs w:val="20"/>
              </w:rPr>
            </w:pPr>
            <w:r w:rsidRPr="00E564C4">
              <w:rPr>
                <w:rFonts w:cs="Times New Roman"/>
                <w:szCs w:val="20"/>
              </w:rPr>
              <w:t>Консолидированная (МСФО)</w:t>
            </w:r>
          </w:p>
        </w:tc>
      </w:tr>
      <w:tr w:rsidR="00E564C4" w:rsidRPr="005076E9" w14:paraId="6683C5B0" w14:textId="77777777" w:rsidTr="00E564C4">
        <w:trPr>
          <w:trHeight w:val="1148"/>
        </w:trPr>
        <w:tc>
          <w:tcPr>
            <w:tcW w:w="1985" w:type="dxa"/>
            <w:hideMark/>
          </w:tcPr>
          <w:p w14:paraId="33AD0A8B" w14:textId="77777777" w:rsidR="001A341E" w:rsidRPr="009E60EB" w:rsidRDefault="001A341E" w:rsidP="001A2D71">
            <w:pPr>
              <w:pStyle w:val="af3"/>
              <w:jc w:val="center"/>
              <w:rPr>
                <w:rFonts w:cs="Times New Roman"/>
                <w:b/>
                <w:sz w:val="22"/>
                <w:szCs w:val="22"/>
              </w:rPr>
            </w:pPr>
            <w:r w:rsidRPr="009E60EB">
              <w:rPr>
                <w:rFonts w:cs="Times New Roman"/>
                <w:b/>
                <w:sz w:val="22"/>
                <w:szCs w:val="22"/>
              </w:rPr>
              <w:t>Аудитор МСФО-отчетности</w:t>
            </w:r>
          </w:p>
        </w:tc>
        <w:tc>
          <w:tcPr>
            <w:tcW w:w="1418" w:type="dxa"/>
            <w:hideMark/>
          </w:tcPr>
          <w:p w14:paraId="107A46AC" w14:textId="77777777" w:rsidR="001A341E" w:rsidRPr="00E564C4" w:rsidRDefault="001A341E" w:rsidP="005076E9">
            <w:pPr>
              <w:pStyle w:val="af3"/>
              <w:rPr>
                <w:rFonts w:cs="Times New Roman"/>
                <w:szCs w:val="20"/>
              </w:rPr>
            </w:pPr>
            <w:r w:rsidRPr="00E564C4">
              <w:rPr>
                <w:rFonts w:cs="Times New Roman"/>
                <w:szCs w:val="20"/>
              </w:rPr>
              <w:t>KPMG</w:t>
            </w:r>
          </w:p>
        </w:tc>
        <w:tc>
          <w:tcPr>
            <w:tcW w:w="1417" w:type="dxa"/>
            <w:hideMark/>
          </w:tcPr>
          <w:p w14:paraId="3DF5F599" w14:textId="77777777" w:rsidR="001A341E" w:rsidRPr="00E564C4" w:rsidRDefault="001A341E" w:rsidP="005076E9">
            <w:pPr>
              <w:pStyle w:val="af3"/>
              <w:rPr>
                <w:rFonts w:cs="Times New Roman"/>
                <w:szCs w:val="20"/>
              </w:rPr>
            </w:pPr>
            <w:r w:rsidRPr="00E564C4">
              <w:rPr>
                <w:rFonts w:cs="Times New Roman"/>
                <w:szCs w:val="20"/>
              </w:rPr>
              <w:t>KPMG</w:t>
            </w:r>
          </w:p>
        </w:tc>
        <w:tc>
          <w:tcPr>
            <w:tcW w:w="1548" w:type="dxa"/>
            <w:hideMark/>
          </w:tcPr>
          <w:p w14:paraId="1FDBC281" w14:textId="77777777" w:rsidR="001A341E" w:rsidRPr="00E564C4" w:rsidRDefault="001A341E" w:rsidP="005076E9">
            <w:pPr>
              <w:pStyle w:val="af3"/>
              <w:rPr>
                <w:rFonts w:cs="Times New Roman"/>
                <w:szCs w:val="20"/>
              </w:rPr>
            </w:pPr>
            <w:r w:rsidRPr="00E564C4">
              <w:rPr>
                <w:rFonts w:cs="Times New Roman"/>
                <w:szCs w:val="20"/>
              </w:rPr>
              <w:t>Delloite</w:t>
            </w:r>
          </w:p>
        </w:tc>
        <w:tc>
          <w:tcPr>
            <w:tcW w:w="1867" w:type="dxa"/>
            <w:hideMark/>
          </w:tcPr>
          <w:p w14:paraId="4CC1931F" w14:textId="77777777" w:rsidR="001A341E" w:rsidRPr="00E564C4" w:rsidRDefault="001A341E" w:rsidP="005076E9">
            <w:pPr>
              <w:pStyle w:val="af3"/>
              <w:rPr>
                <w:rFonts w:cs="Times New Roman"/>
                <w:szCs w:val="20"/>
              </w:rPr>
            </w:pPr>
            <w:r w:rsidRPr="00E564C4">
              <w:rPr>
                <w:rFonts w:cs="Times New Roman"/>
                <w:szCs w:val="20"/>
              </w:rPr>
              <w:t>KPMG - для консолидированной, ЗАО "МКПЦН" - для индивидуальной</w:t>
            </w:r>
          </w:p>
        </w:tc>
        <w:tc>
          <w:tcPr>
            <w:tcW w:w="1647" w:type="dxa"/>
            <w:hideMark/>
          </w:tcPr>
          <w:p w14:paraId="3935F84F" w14:textId="77777777" w:rsidR="001A341E" w:rsidRPr="00E564C4" w:rsidRDefault="001A341E" w:rsidP="005076E9">
            <w:pPr>
              <w:pStyle w:val="af3"/>
              <w:rPr>
                <w:rFonts w:cs="Times New Roman"/>
                <w:szCs w:val="20"/>
              </w:rPr>
            </w:pPr>
            <w:r w:rsidRPr="00E564C4">
              <w:rPr>
                <w:rFonts w:cs="Times New Roman"/>
                <w:szCs w:val="20"/>
              </w:rPr>
              <w:t>KPMG</w:t>
            </w:r>
          </w:p>
        </w:tc>
      </w:tr>
      <w:tr w:rsidR="00E564C4" w:rsidRPr="005076E9" w14:paraId="284E8BA6" w14:textId="77777777" w:rsidTr="00E564C4">
        <w:trPr>
          <w:trHeight w:val="241"/>
        </w:trPr>
        <w:tc>
          <w:tcPr>
            <w:tcW w:w="1985" w:type="dxa"/>
            <w:hideMark/>
          </w:tcPr>
          <w:p w14:paraId="6843ECB8" w14:textId="77777777" w:rsidR="001A341E" w:rsidRPr="009E60EB" w:rsidRDefault="001A341E" w:rsidP="001A2D71">
            <w:pPr>
              <w:pStyle w:val="af3"/>
              <w:jc w:val="center"/>
              <w:rPr>
                <w:rFonts w:cs="Times New Roman"/>
                <w:b/>
                <w:sz w:val="22"/>
                <w:szCs w:val="22"/>
              </w:rPr>
            </w:pPr>
            <w:r w:rsidRPr="009E60EB">
              <w:rPr>
                <w:rFonts w:cs="Times New Roman"/>
                <w:b/>
                <w:sz w:val="22"/>
                <w:szCs w:val="22"/>
              </w:rPr>
              <w:t>Аудитор отчетности, составленной в соответствии с национальными стандартами</w:t>
            </w:r>
          </w:p>
        </w:tc>
        <w:tc>
          <w:tcPr>
            <w:tcW w:w="1418" w:type="dxa"/>
            <w:hideMark/>
          </w:tcPr>
          <w:p w14:paraId="10DD2B62" w14:textId="77777777" w:rsidR="001A341E" w:rsidRPr="00E564C4" w:rsidRDefault="001A341E" w:rsidP="005076E9">
            <w:pPr>
              <w:pStyle w:val="af3"/>
              <w:rPr>
                <w:rFonts w:cs="Times New Roman"/>
                <w:szCs w:val="20"/>
              </w:rPr>
            </w:pPr>
            <w:r w:rsidRPr="00E564C4">
              <w:rPr>
                <w:rFonts w:cs="Times New Roman"/>
                <w:szCs w:val="20"/>
              </w:rPr>
              <w:t>ООО "Аудит-сервис СПб"</w:t>
            </w:r>
          </w:p>
        </w:tc>
        <w:tc>
          <w:tcPr>
            <w:tcW w:w="1417" w:type="dxa"/>
            <w:hideMark/>
          </w:tcPr>
          <w:p w14:paraId="0FD60E98" w14:textId="77777777" w:rsidR="001A341E" w:rsidRPr="00E564C4" w:rsidRDefault="001A341E" w:rsidP="005076E9">
            <w:pPr>
              <w:pStyle w:val="af3"/>
              <w:rPr>
                <w:rFonts w:cs="Times New Roman"/>
                <w:szCs w:val="20"/>
              </w:rPr>
            </w:pPr>
            <w:r w:rsidRPr="00E564C4">
              <w:rPr>
                <w:rFonts w:cs="Times New Roman"/>
                <w:szCs w:val="20"/>
              </w:rPr>
              <w:t>ЗАО "Эйч Эл Би Внешаудит"</w:t>
            </w:r>
          </w:p>
        </w:tc>
        <w:tc>
          <w:tcPr>
            <w:tcW w:w="1548" w:type="dxa"/>
            <w:hideMark/>
          </w:tcPr>
          <w:p w14:paraId="21FA9558" w14:textId="77777777" w:rsidR="001A341E" w:rsidRPr="00E564C4" w:rsidRDefault="001A341E" w:rsidP="005076E9">
            <w:pPr>
              <w:pStyle w:val="af3"/>
              <w:rPr>
                <w:rFonts w:cs="Times New Roman"/>
                <w:szCs w:val="20"/>
              </w:rPr>
            </w:pPr>
            <w:r w:rsidRPr="00E564C4">
              <w:rPr>
                <w:rFonts w:cs="Times New Roman"/>
                <w:szCs w:val="20"/>
              </w:rPr>
              <w:t>Delloite</w:t>
            </w:r>
          </w:p>
        </w:tc>
        <w:tc>
          <w:tcPr>
            <w:tcW w:w="1867" w:type="dxa"/>
            <w:hideMark/>
          </w:tcPr>
          <w:p w14:paraId="25400652" w14:textId="77777777" w:rsidR="001A341E" w:rsidRPr="00E564C4" w:rsidRDefault="001A341E" w:rsidP="005076E9">
            <w:pPr>
              <w:pStyle w:val="af3"/>
              <w:rPr>
                <w:rFonts w:cs="Times New Roman"/>
                <w:szCs w:val="20"/>
              </w:rPr>
            </w:pPr>
            <w:r w:rsidRPr="00E564C4">
              <w:rPr>
                <w:rFonts w:cs="Times New Roman"/>
                <w:szCs w:val="20"/>
              </w:rPr>
              <w:t>ЗАО "Аудиторская Компания Институт Проблем Предпринимательства"</w:t>
            </w:r>
          </w:p>
        </w:tc>
        <w:tc>
          <w:tcPr>
            <w:tcW w:w="1647" w:type="dxa"/>
            <w:hideMark/>
          </w:tcPr>
          <w:p w14:paraId="243F37DB" w14:textId="77777777" w:rsidR="001A341E" w:rsidRPr="00E564C4" w:rsidRDefault="001A341E" w:rsidP="005076E9">
            <w:pPr>
              <w:pStyle w:val="af3"/>
              <w:rPr>
                <w:rFonts w:cs="Times New Roman"/>
                <w:szCs w:val="20"/>
              </w:rPr>
            </w:pPr>
            <w:r w:rsidRPr="00E564C4">
              <w:rPr>
                <w:rFonts w:cs="Times New Roman"/>
                <w:szCs w:val="20"/>
              </w:rPr>
              <w:t>KPMG</w:t>
            </w:r>
          </w:p>
        </w:tc>
      </w:tr>
    </w:tbl>
    <w:p w14:paraId="7B698D84" w14:textId="77777777" w:rsidR="00CE4CB5" w:rsidRPr="003125E0" w:rsidRDefault="00CE4CB5" w:rsidP="00CE4CB5">
      <w:pPr>
        <w:rPr>
          <w:i/>
          <w:sz w:val="20"/>
          <w:szCs w:val="20"/>
          <w:lang w:val="en-US"/>
        </w:rPr>
      </w:pPr>
      <w:r w:rsidRPr="00E564C4">
        <w:rPr>
          <w:i/>
          <w:sz w:val="20"/>
          <w:szCs w:val="20"/>
        </w:rPr>
        <w:t xml:space="preserve">Составлено автором на основе данных, представленных на официальных сайтах </w:t>
      </w:r>
      <w:r w:rsidRPr="003125E0">
        <w:rPr>
          <w:i/>
          <w:sz w:val="20"/>
          <w:szCs w:val="20"/>
        </w:rPr>
        <w:t>компаний</w:t>
      </w:r>
      <w:r>
        <w:rPr>
          <w:i/>
          <w:sz w:val="20"/>
          <w:szCs w:val="20"/>
        </w:rPr>
        <w:t xml:space="preserve"> </w:t>
      </w:r>
      <w:r>
        <w:rPr>
          <w:i/>
          <w:sz w:val="20"/>
          <w:szCs w:val="20"/>
          <w:lang w:val="en-US"/>
        </w:rPr>
        <w:t>[</w:t>
      </w:r>
      <w:r>
        <w:rPr>
          <w:i/>
          <w:sz w:val="20"/>
          <w:szCs w:val="20"/>
        </w:rPr>
        <w:t>40, 41, 42, 43 45</w:t>
      </w:r>
      <w:r>
        <w:rPr>
          <w:i/>
          <w:sz w:val="20"/>
          <w:szCs w:val="20"/>
          <w:lang w:val="en-US"/>
        </w:rPr>
        <w:t>]</w:t>
      </w:r>
    </w:p>
    <w:p w14:paraId="665C5334" w14:textId="33E59AAE" w:rsidR="00F92614" w:rsidRDefault="0007798A" w:rsidP="004A4C69">
      <w:r>
        <w:t>В табл. 12</w:t>
      </w:r>
      <w:r w:rsidR="004A4C69">
        <w:t xml:space="preserve"> представлены виды отчетности, которые представляют компании. Безусловно, все пять компаний представляют консолидированную </w:t>
      </w:r>
      <w:r w:rsidR="007C5ACD">
        <w:t>отчётность</w:t>
      </w:r>
      <w:r w:rsidR="004A4C69">
        <w:t xml:space="preserve"> </w:t>
      </w:r>
      <w:r w:rsidR="007C5ACD">
        <w:t>согласно</w:t>
      </w:r>
      <w:r w:rsidR="004A4C69">
        <w:t xml:space="preserve"> МСФО, отчетность в </w:t>
      </w:r>
      <w:r w:rsidR="007C5ACD">
        <w:t>соответствии</w:t>
      </w:r>
      <w:r w:rsidR="004A4C69">
        <w:t xml:space="preserve"> с национальными стандартами учета и годовые отчеты, ввиду того, что она обязаны это делать по </w:t>
      </w:r>
      <w:r w:rsidR="007C5ACD">
        <w:t>закону</w:t>
      </w:r>
      <w:r w:rsidR="004A4C69">
        <w:t xml:space="preserve">. Однако, также всеми компаниями опубликованы </w:t>
      </w:r>
      <w:r w:rsidR="004A4C69">
        <w:lastRenderedPageBreak/>
        <w:t>пресс-релизы, поскольку для крупных публичных компаний это является неотъемлемой частью процесса создания и поддержания хорошего имиджа компании.</w:t>
      </w:r>
    </w:p>
    <w:p w14:paraId="647EA83E" w14:textId="74C39927" w:rsidR="0007798A" w:rsidRPr="00E564C4" w:rsidRDefault="0007798A" w:rsidP="00E564C4">
      <w:pPr>
        <w:rPr>
          <w:i/>
        </w:rPr>
      </w:pPr>
      <w:r w:rsidRPr="00E564C4">
        <w:rPr>
          <w:i/>
        </w:rPr>
        <w:t>Таблица 12  Виды отчетности, представленные компаниями</w:t>
      </w:r>
    </w:p>
    <w:tbl>
      <w:tblPr>
        <w:tblStyle w:val="af2"/>
        <w:tblW w:w="0" w:type="auto"/>
        <w:tblLayout w:type="fixed"/>
        <w:tblLook w:val="04A0" w:firstRow="1" w:lastRow="0" w:firstColumn="1" w:lastColumn="0" w:noHBand="0" w:noVBand="1"/>
      </w:tblPr>
      <w:tblGrid>
        <w:gridCol w:w="4044"/>
        <w:gridCol w:w="1027"/>
        <w:gridCol w:w="849"/>
        <w:gridCol w:w="884"/>
        <w:gridCol w:w="1809"/>
        <w:gridCol w:w="34"/>
        <w:gridCol w:w="1201"/>
      </w:tblGrid>
      <w:tr w:rsidR="007E7D55" w:rsidRPr="007E7D55" w14:paraId="22BA650E" w14:textId="77777777" w:rsidTr="00E564C4">
        <w:trPr>
          <w:trHeight w:val="320"/>
        </w:trPr>
        <w:tc>
          <w:tcPr>
            <w:tcW w:w="4044" w:type="dxa"/>
            <w:noWrap/>
            <w:hideMark/>
          </w:tcPr>
          <w:p w14:paraId="7EF0DB3C" w14:textId="3E8EA48E" w:rsidR="007E7D55" w:rsidRPr="00E564C4" w:rsidRDefault="008068E8" w:rsidP="00E564C4">
            <w:pPr>
              <w:pStyle w:val="af3"/>
              <w:jc w:val="center"/>
              <w:rPr>
                <w:b/>
                <w:sz w:val="24"/>
              </w:rPr>
            </w:pPr>
            <w:r w:rsidRPr="00E564C4">
              <w:rPr>
                <w:b/>
                <w:sz w:val="24"/>
              </w:rPr>
              <w:t>Вид отчетности / Наименование компании</w:t>
            </w:r>
          </w:p>
        </w:tc>
        <w:tc>
          <w:tcPr>
            <w:tcW w:w="1027" w:type="dxa"/>
            <w:noWrap/>
            <w:hideMark/>
          </w:tcPr>
          <w:p w14:paraId="79179BD5" w14:textId="77777777" w:rsidR="007E7D55" w:rsidRPr="00E564C4" w:rsidRDefault="007E7D55" w:rsidP="007E7D55">
            <w:pPr>
              <w:pStyle w:val="af3"/>
              <w:rPr>
                <w:b/>
                <w:sz w:val="24"/>
              </w:rPr>
            </w:pPr>
            <w:r w:rsidRPr="00E564C4">
              <w:rPr>
                <w:b/>
                <w:sz w:val="24"/>
              </w:rPr>
              <w:t>ЛСР</w:t>
            </w:r>
          </w:p>
        </w:tc>
        <w:tc>
          <w:tcPr>
            <w:tcW w:w="849" w:type="dxa"/>
            <w:noWrap/>
            <w:hideMark/>
          </w:tcPr>
          <w:p w14:paraId="19C23125" w14:textId="77777777" w:rsidR="007E7D55" w:rsidRPr="00E564C4" w:rsidRDefault="007E7D55" w:rsidP="007E7D55">
            <w:pPr>
              <w:pStyle w:val="af3"/>
              <w:rPr>
                <w:b/>
                <w:sz w:val="24"/>
              </w:rPr>
            </w:pPr>
            <w:r w:rsidRPr="00E564C4">
              <w:rPr>
                <w:b/>
                <w:sz w:val="24"/>
              </w:rPr>
              <w:t>ПИК</w:t>
            </w:r>
          </w:p>
        </w:tc>
        <w:tc>
          <w:tcPr>
            <w:tcW w:w="884" w:type="dxa"/>
            <w:noWrap/>
            <w:hideMark/>
          </w:tcPr>
          <w:p w14:paraId="49E4082C" w14:textId="77777777" w:rsidR="007E7D55" w:rsidRPr="00E564C4" w:rsidRDefault="007E7D55" w:rsidP="007E7D55">
            <w:pPr>
              <w:pStyle w:val="af3"/>
              <w:rPr>
                <w:b/>
                <w:sz w:val="24"/>
              </w:rPr>
            </w:pPr>
            <w:r w:rsidRPr="00E564C4">
              <w:rPr>
                <w:b/>
                <w:sz w:val="24"/>
              </w:rPr>
              <w:t>ACS</w:t>
            </w:r>
          </w:p>
        </w:tc>
        <w:tc>
          <w:tcPr>
            <w:tcW w:w="1809" w:type="dxa"/>
            <w:noWrap/>
            <w:hideMark/>
          </w:tcPr>
          <w:p w14:paraId="4C1A4E82" w14:textId="77777777" w:rsidR="007E7D55" w:rsidRPr="00E564C4" w:rsidRDefault="007E7D55" w:rsidP="007E7D55">
            <w:pPr>
              <w:pStyle w:val="af3"/>
              <w:rPr>
                <w:b/>
                <w:sz w:val="24"/>
              </w:rPr>
            </w:pPr>
            <w:r w:rsidRPr="00E564C4">
              <w:rPr>
                <w:b/>
                <w:sz w:val="24"/>
              </w:rPr>
              <w:t>ЛенСпецСМУ</w:t>
            </w:r>
          </w:p>
        </w:tc>
        <w:tc>
          <w:tcPr>
            <w:tcW w:w="1235" w:type="dxa"/>
            <w:gridSpan w:val="2"/>
            <w:noWrap/>
            <w:hideMark/>
          </w:tcPr>
          <w:p w14:paraId="2842B8DB" w14:textId="77777777" w:rsidR="007E7D55" w:rsidRPr="00E564C4" w:rsidRDefault="007E7D55" w:rsidP="007E7D55">
            <w:pPr>
              <w:pStyle w:val="af3"/>
              <w:rPr>
                <w:b/>
                <w:sz w:val="24"/>
              </w:rPr>
            </w:pPr>
            <w:r w:rsidRPr="00E564C4">
              <w:rPr>
                <w:b/>
                <w:sz w:val="24"/>
              </w:rPr>
              <w:t>Skanska</w:t>
            </w:r>
          </w:p>
        </w:tc>
      </w:tr>
      <w:tr w:rsidR="00E564C4" w:rsidRPr="007E7D55" w14:paraId="0AFCDCEB" w14:textId="77777777" w:rsidTr="00E564C4">
        <w:trPr>
          <w:trHeight w:val="320"/>
        </w:trPr>
        <w:tc>
          <w:tcPr>
            <w:tcW w:w="4044" w:type="dxa"/>
            <w:noWrap/>
            <w:hideMark/>
          </w:tcPr>
          <w:p w14:paraId="63C3861A" w14:textId="77777777" w:rsidR="007E7D55" w:rsidRPr="00E564C4" w:rsidRDefault="007E7D55" w:rsidP="00E564C4">
            <w:pPr>
              <w:pStyle w:val="af3"/>
              <w:jc w:val="center"/>
              <w:rPr>
                <w:b/>
                <w:sz w:val="24"/>
              </w:rPr>
            </w:pPr>
            <w:r w:rsidRPr="00E564C4">
              <w:rPr>
                <w:b/>
                <w:sz w:val="24"/>
              </w:rPr>
              <w:t>МСФО</w:t>
            </w:r>
          </w:p>
        </w:tc>
        <w:tc>
          <w:tcPr>
            <w:tcW w:w="1027" w:type="dxa"/>
            <w:shd w:val="clear" w:color="auto" w:fill="A5A5A5" w:themeFill="accent3"/>
            <w:noWrap/>
          </w:tcPr>
          <w:p w14:paraId="5EFC803D" w14:textId="77777777" w:rsidR="007E7D55" w:rsidRPr="001A0CDB" w:rsidRDefault="007E7D55" w:rsidP="007E7D55">
            <w:pPr>
              <w:pStyle w:val="af3"/>
              <w:rPr>
                <w:sz w:val="24"/>
              </w:rPr>
            </w:pPr>
          </w:p>
        </w:tc>
        <w:tc>
          <w:tcPr>
            <w:tcW w:w="849" w:type="dxa"/>
            <w:shd w:val="clear" w:color="auto" w:fill="A5A5A5" w:themeFill="accent3"/>
            <w:noWrap/>
          </w:tcPr>
          <w:p w14:paraId="17D09A7A" w14:textId="77777777" w:rsidR="007E7D55" w:rsidRPr="001A0CDB" w:rsidRDefault="007E7D55" w:rsidP="007E7D55">
            <w:pPr>
              <w:pStyle w:val="af3"/>
              <w:rPr>
                <w:sz w:val="24"/>
              </w:rPr>
            </w:pPr>
          </w:p>
        </w:tc>
        <w:tc>
          <w:tcPr>
            <w:tcW w:w="884" w:type="dxa"/>
            <w:shd w:val="clear" w:color="auto" w:fill="A5A5A5" w:themeFill="accent3"/>
            <w:noWrap/>
          </w:tcPr>
          <w:p w14:paraId="38C2E687" w14:textId="77777777" w:rsidR="007E7D55" w:rsidRPr="001A0CDB" w:rsidRDefault="007E7D55" w:rsidP="007E7D55">
            <w:pPr>
              <w:pStyle w:val="af3"/>
              <w:rPr>
                <w:sz w:val="24"/>
              </w:rPr>
            </w:pPr>
          </w:p>
        </w:tc>
        <w:tc>
          <w:tcPr>
            <w:tcW w:w="1843" w:type="dxa"/>
            <w:gridSpan w:val="2"/>
            <w:shd w:val="clear" w:color="auto" w:fill="A5A5A5" w:themeFill="accent3"/>
            <w:noWrap/>
          </w:tcPr>
          <w:p w14:paraId="2812A954" w14:textId="77777777" w:rsidR="007E7D55" w:rsidRPr="001A0CDB" w:rsidRDefault="007E7D55" w:rsidP="007E7D55">
            <w:pPr>
              <w:pStyle w:val="af3"/>
              <w:rPr>
                <w:sz w:val="24"/>
              </w:rPr>
            </w:pPr>
          </w:p>
        </w:tc>
        <w:tc>
          <w:tcPr>
            <w:tcW w:w="1201" w:type="dxa"/>
            <w:shd w:val="clear" w:color="auto" w:fill="A5A5A5" w:themeFill="accent3"/>
            <w:noWrap/>
          </w:tcPr>
          <w:p w14:paraId="6EF6BEA6" w14:textId="77777777" w:rsidR="007E7D55" w:rsidRPr="001A0CDB" w:rsidRDefault="007E7D55" w:rsidP="007E7D55">
            <w:pPr>
              <w:pStyle w:val="af3"/>
              <w:rPr>
                <w:sz w:val="24"/>
              </w:rPr>
            </w:pPr>
          </w:p>
        </w:tc>
      </w:tr>
      <w:tr w:rsidR="00E564C4" w:rsidRPr="007E7D55" w14:paraId="520F7E11" w14:textId="77777777" w:rsidTr="00E564C4">
        <w:trPr>
          <w:trHeight w:val="505"/>
        </w:trPr>
        <w:tc>
          <w:tcPr>
            <w:tcW w:w="4044" w:type="dxa"/>
            <w:hideMark/>
          </w:tcPr>
          <w:p w14:paraId="21B3EB87" w14:textId="77777777" w:rsidR="007E7D55" w:rsidRPr="00E564C4" w:rsidRDefault="007E7D55" w:rsidP="00E564C4">
            <w:pPr>
              <w:pStyle w:val="af3"/>
              <w:jc w:val="center"/>
              <w:rPr>
                <w:b/>
                <w:sz w:val="24"/>
              </w:rPr>
            </w:pPr>
            <w:r w:rsidRPr="00E564C4">
              <w:rPr>
                <w:b/>
                <w:sz w:val="24"/>
              </w:rPr>
              <w:t>Отчетность в соответствии с национальными стандартами</w:t>
            </w:r>
          </w:p>
        </w:tc>
        <w:tc>
          <w:tcPr>
            <w:tcW w:w="1027" w:type="dxa"/>
            <w:shd w:val="clear" w:color="auto" w:fill="A5A5A5" w:themeFill="accent3"/>
            <w:noWrap/>
          </w:tcPr>
          <w:p w14:paraId="0E5F70D0" w14:textId="77777777" w:rsidR="007E7D55" w:rsidRPr="001A0CDB" w:rsidRDefault="007E7D55" w:rsidP="007E7D55">
            <w:pPr>
              <w:pStyle w:val="af3"/>
              <w:rPr>
                <w:sz w:val="24"/>
              </w:rPr>
            </w:pPr>
          </w:p>
        </w:tc>
        <w:tc>
          <w:tcPr>
            <w:tcW w:w="849" w:type="dxa"/>
            <w:shd w:val="clear" w:color="auto" w:fill="A5A5A5" w:themeFill="accent3"/>
            <w:noWrap/>
          </w:tcPr>
          <w:p w14:paraId="7E779C13" w14:textId="77777777" w:rsidR="007E7D55" w:rsidRPr="001A0CDB" w:rsidRDefault="007E7D55" w:rsidP="007E7D55">
            <w:pPr>
              <w:pStyle w:val="af3"/>
              <w:rPr>
                <w:sz w:val="24"/>
              </w:rPr>
            </w:pPr>
          </w:p>
        </w:tc>
        <w:tc>
          <w:tcPr>
            <w:tcW w:w="884" w:type="dxa"/>
            <w:shd w:val="clear" w:color="auto" w:fill="A5A5A5" w:themeFill="accent3"/>
            <w:noWrap/>
          </w:tcPr>
          <w:p w14:paraId="4DAB6DCD" w14:textId="77777777" w:rsidR="007E7D55" w:rsidRPr="001A0CDB" w:rsidRDefault="007E7D55" w:rsidP="007E7D55">
            <w:pPr>
              <w:pStyle w:val="af3"/>
              <w:rPr>
                <w:sz w:val="24"/>
              </w:rPr>
            </w:pPr>
          </w:p>
        </w:tc>
        <w:tc>
          <w:tcPr>
            <w:tcW w:w="1843" w:type="dxa"/>
            <w:gridSpan w:val="2"/>
            <w:shd w:val="clear" w:color="auto" w:fill="A5A5A5" w:themeFill="accent3"/>
            <w:noWrap/>
          </w:tcPr>
          <w:p w14:paraId="44A036B3" w14:textId="77777777" w:rsidR="007E7D55" w:rsidRPr="001A0CDB" w:rsidRDefault="007E7D55" w:rsidP="007E7D55">
            <w:pPr>
              <w:pStyle w:val="af3"/>
              <w:rPr>
                <w:sz w:val="24"/>
              </w:rPr>
            </w:pPr>
          </w:p>
        </w:tc>
        <w:tc>
          <w:tcPr>
            <w:tcW w:w="1201" w:type="dxa"/>
            <w:shd w:val="clear" w:color="auto" w:fill="A5A5A5" w:themeFill="accent3"/>
            <w:noWrap/>
          </w:tcPr>
          <w:p w14:paraId="515F5A13" w14:textId="77777777" w:rsidR="007E7D55" w:rsidRPr="001A0CDB" w:rsidRDefault="007E7D55" w:rsidP="007E7D55">
            <w:pPr>
              <w:pStyle w:val="af3"/>
              <w:rPr>
                <w:sz w:val="24"/>
              </w:rPr>
            </w:pPr>
          </w:p>
        </w:tc>
      </w:tr>
      <w:tr w:rsidR="00E564C4" w:rsidRPr="007E7D55" w14:paraId="3CFC6313" w14:textId="77777777" w:rsidTr="00E564C4">
        <w:trPr>
          <w:trHeight w:val="320"/>
        </w:trPr>
        <w:tc>
          <w:tcPr>
            <w:tcW w:w="4044" w:type="dxa"/>
            <w:noWrap/>
            <w:hideMark/>
          </w:tcPr>
          <w:p w14:paraId="376432FC" w14:textId="77777777" w:rsidR="007E7D55" w:rsidRPr="00E564C4" w:rsidRDefault="007E7D55" w:rsidP="00E564C4">
            <w:pPr>
              <w:pStyle w:val="af3"/>
              <w:jc w:val="center"/>
              <w:rPr>
                <w:b/>
                <w:sz w:val="24"/>
              </w:rPr>
            </w:pPr>
            <w:r w:rsidRPr="00E564C4">
              <w:rPr>
                <w:b/>
                <w:sz w:val="24"/>
              </w:rPr>
              <w:t>Социальный отчет</w:t>
            </w:r>
          </w:p>
        </w:tc>
        <w:tc>
          <w:tcPr>
            <w:tcW w:w="1027" w:type="dxa"/>
            <w:noWrap/>
          </w:tcPr>
          <w:p w14:paraId="1A04BB1A" w14:textId="77777777" w:rsidR="007E7D55" w:rsidRPr="001A0CDB" w:rsidRDefault="007E7D55" w:rsidP="007E7D55">
            <w:pPr>
              <w:pStyle w:val="af3"/>
              <w:rPr>
                <w:sz w:val="24"/>
              </w:rPr>
            </w:pPr>
          </w:p>
        </w:tc>
        <w:tc>
          <w:tcPr>
            <w:tcW w:w="849" w:type="dxa"/>
            <w:noWrap/>
          </w:tcPr>
          <w:p w14:paraId="428A87D9" w14:textId="77777777" w:rsidR="007E7D55" w:rsidRPr="001A0CDB" w:rsidRDefault="007E7D55" w:rsidP="007E7D55">
            <w:pPr>
              <w:pStyle w:val="af3"/>
              <w:rPr>
                <w:sz w:val="24"/>
              </w:rPr>
            </w:pPr>
          </w:p>
        </w:tc>
        <w:tc>
          <w:tcPr>
            <w:tcW w:w="884" w:type="dxa"/>
            <w:shd w:val="clear" w:color="auto" w:fill="A5A5A5" w:themeFill="accent3"/>
            <w:noWrap/>
          </w:tcPr>
          <w:p w14:paraId="578A5A89" w14:textId="77777777" w:rsidR="007E7D55" w:rsidRPr="001A0CDB" w:rsidRDefault="007E7D55" w:rsidP="007E7D55">
            <w:pPr>
              <w:pStyle w:val="af3"/>
              <w:rPr>
                <w:sz w:val="24"/>
              </w:rPr>
            </w:pPr>
          </w:p>
        </w:tc>
        <w:tc>
          <w:tcPr>
            <w:tcW w:w="1843" w:type="dxa"/>
            <w:gridSpan w:val="2"/>
            <w:noWrap/>
          </w:tcPr>
          <w:p w14:paraId="71C01747" w14:textId="77777777" w:rsidR="007E7D55" w:rsidRPr="001A0CDB" w:rsidRDefault="007E7D55" w:rsidP="007E7D55">
            <w:pPr>
              <w:pStyle w:val="af3"/>
              <w:rPr>
                <w:sz w:val="24"/>
              </w:rPr>
            </w:pPr>
          </w:p>
        </w:tc>
        <w:tc>
          <w:tcPr>
            <w:tcW w:w="1201" w:type="dxa"/>
            <w:shd w:val="clear" w:color="auto" w:fill="A5A5A5" w:themeFill="accent3"/>
            <w:noWrap/>
          </w:tcPr>
          <w:p w14:paraId="7149F301" w14:textId="77777777" w:rsidR="007E7D55" w:rsidRPr="001A0CDB" w:rsidRDefault="007E7D55" w:rsidP="007E7D55">
            <w:pPr>
              <w:pStyle w:val="af3"/>
              <w:rPr>
                <w:sz w:val="24"/>
              </w:rPr>
            </w:pPr>
          </w:p>
        </w:tc>
      </w:tr>
      <w:tr w:rsidR="00E564C4" w:rsidRPr="007E7D55" w14:paraId="3079F82B" w14:textId="77777777" w:rsidTr="00E564C4">
        <w:trPr>
          <w:trHeight w:val="320"/>
        </w:trPr>
        <w:tc>
          <w:tcPr>
            <w:tcW w:w="4044" w:type="dxa"/>
            <w:noWrap/>
            <w:hideMark/>
          </w:tcPr>
          <w:p w14:paraId="3971B787" w14:textId="77777777" w:rsidR="007E7D55" w:rsidRPr="00E564C4" w:rsidRDefault="007E7D55" w:rsidP="00E564C4">
            <w:pPr>
              <w:pStyle w:val="af3"/>
              <w:jc w:val="center"/>
              <w:rPr>
                <w:b/>
                <w:sz w:val="24"/>
              </w:rPr>
            </w:pPr>
            <w:r w:rsidRPr="00E564C4">
              <w:rPr>
                <w:b/>
                <w:sz w:val="24"/>
              </w:rPr>
              <w:t>Экологический отчет</w:t>
            </w:r>
          </w:p>
        </w:tc>
        <w:tc>
          <w:tcPr>
            <w:tcW w:w="1027" w:type="dxa"/>
            <w:noWrap/>
          </w:tcPr>
          <w:p w14:paraId="5A9A97E6" w14:textId="77777777" w:rsidR="007E7D55" w:rsidRPr="001A0CDB" w:rsidRDefault="007E7D55" w:rsidP="007E7D55">
            <w:pPr>
              <w:pStyle w:val="af3"/>
              <w:rPr>
                <w:sz w:val="24"/>
              </w:rPr>
            </w:pPr>
          </w:p>
        </w:tc>
        <w:tc>
          <w:tcPr>
            <w:tcW w:w="849" w:type="dxa"/>
            <w:noWrap/>
          </w:tcPr>
          <w:p w14:paraId="77C234EF" w14:textId="77777777" w:rsidR="007E7D55" w:rsidRPr="001A0CDB" w:rsidRDefault="007E7D55" w:rsidP="007E7D55">
            <w:pPr>
              <w:pStyle w:val="af3"/>
              <w:rPr>
                <w:sz w:val="24"/>
              </w:rPr>
            </w:pPr>
          </w:p>
        </w:tc>
        <w:tc>
          <w:tcPr>
            <w:tcW w:w="884" w:type="dxa"/>
            <w:shd w:val="clear" w:color="auto" w:fill="A5A5A5" w:themeFill="accent3"/>
            <w:noWrap/>
          </w:tcPr>
          <w:p w14:paraId="7075A19E" w14:textId="77777777" w:rsidR="007E7D55" w:rsidRPr="001A0CDB" w:rsidRDefault="007E7D55" w:rsidP="007E7D55">
            <w:pPr>
              <w:pStyle w:val="af3"/>
              <w:rPr>
                <w:sz w:val="24"/>
              </w:rPr>
            </w:pPr>
          </w:p>
        </w:tc>
        <w:tc>
          <w:tcPr>
            <w:tcW w:w="1843" w:type="dxa"/>
            <w:gridSpan w:val="2"/>
            <w:noWrap/>
          </w:tcPr>
          <w:p w14:paraId="6BC620B5" w14:textId="77777777" w:rsidR="007E7D55" w:rsidRPr="001A0CDB" w:rsidRDefault="007E7D55" w:rsidP="007E7D55">
            <w:pPr>
              <w:pStyle w:val="af3"/>
              <w:rPr>
                <w:sz w:val="24"/>
              </w:rPr>
            </w:pPr>
          </w:p>
        </w:tc>
        <w:tc>
          <w:tcPr>
            <w:tcW w:w="1201" w:type="dxa"/>
            <w:shd w:val="clear" w:color="auto" w:fill="A5A5A5" w:themeFill="accent3"/>
            <w:noWrap/>
          </w:tcPr>
          <w:p w14:paraId="2AE1B8C4" w14:textId="77777777" w:rsidR="007E7D55" w:rsidRPr="001A0CDB" w:rsidRDefault="007E7D55" w:rsidP="007E7D55">
            <w:pPr>
              <w:pStyle w:val="af3"/>
              <w:rPr>
                <w:sz w:val="24"/>
              </w:rPr>
            </w:pPr>
          </w:p>
        </w:tc>
      </w:tr>
      <w:tr w:rsidR="00E564C4" w:rsidRPr="007E7D55" w14:paraId="5DA81FBA" w14:textId="77777777" w:rsidTr="00E564C4">
        <w:trPr>
          <w:trHeight w:val="320"/>
        </w:trPr>
        <w:tc>
          <w:tcPr>
            <w:tcW w:w="4044" w:type="dxa"/>
            <w:noWrap/>
            <w:hideMark/>
          </w:tcPr>
          <w:p w14:paraId="52324F9A" w14:textId="77777777" w:rsidR="007E7D55" w:rsidRPr="00E564C4" w:rsidRDefault="007E7D55" w:rsidP="00E564C4">
            <w:pPr>
              <w:pStyle w:val="af3"/>
              <w:jc w:val="center"/>
              <w:rPr>
                <w:b/>
                <w:sz w:val="24"/>
              </w:rPr>
            </w:pPr>
            <w:r w:rsidRPr="00E564C4">
              <w:rPr>
                <w:b/>
                <w:sz w:val="24"/>
              </w:rPr>
              <w:t>Пресс-релизы</w:t>
            </w:r>
          </w:p>
        </w:tc>
        <w:tc>
          <w:tcPr>
            <w:tcW w:w="1027" w:type="dxa"/>
            <w:shd w:val="clear" w:color="auto" w:fill="A5A5A5" w:themeFill="accent3"/>
            <w:noWrap/>
          </w:tcPr>
          <w:p w14:paraId="6F24B9CF" w14:textId="77777777" w:rsidR="007E7D55" w:rsidRPr="001A0CDB" w:rsidRDefault="007E7D55" w:rsidP="007E7D55">
            <w:pPr>
              <w:pStyle w:val="af3"/>
              <w:rPr>
                <w:sz w:val="24"/>
              </w:rPr>
            </w:pPr>
          </w:p>
        </w:tc>
        <w:tc>
          <w:tcPr>
            <w:tcW w:w="849" w:type="dxa"/>
            <w:shd w:val="clear" w:color="auto" w:fill="A5A5A5" w:themeFill="accent3"/>
            <w:noWrap/>
          </w:tcPr>
          <w:p w14:paraId="6EF9257E" w14:textId="77777777" w:rsidR="007E7D55" w:rsidRPr="001A0CDB" w:rsidRDefault="007E7D55" w:rsidP="007E7D55">
            <w:pPr>
              <w:pStyle w:val="af3"/>
              <w:rPr>
                <w:sz w:val="24"/>
              </w:rPr>
            </w:pPr>
          </w:p>
        </w:tc>
        <w:tc>
          <w:tcPr>
            <w:tcW w:w="884" w:type="dxa"/>
            <w:shd w:val="clear" w:color="auto" w:fill="A5A5A5" w:themeFill="accent3"/>
            <w:noWrap/>
          </w:tcPr>
          <w:p w14:paraId="6720572B" w14:textId="77777777" w:rsidR="007E7D55" w:rsidRPr="001A0CDB" w:rsidRDefault="007E7D55" w:rsidP="007E7D55">
            <w:pPr>
              <w:pStyle w:val="af3"/>
              <w:rPr>
                <w:sz w:val="24"/>
              </w:rPr>
            </w:pPr>
          </w:p>
        </w:tc>
        <w:tc>
          <w:tcPr>
            <w:tcW w:w="1843" w:type="dxa"/>
            <w:gridSpan w:val="2"/>
            <w:shd w:val="clear" w:color="auto" w:fill="A5A5A5" w:themeFill="accent3"/>
            <w:noWrap/>
          </w:tcPr>
          <w:p w14:paraId="5EBD0B53" w14:textId="77777777" w:rsidR="007E7D55" w:rsidRPr="001A0CDB" w:rsidRDefault="007E7D55" w:rsidP="007E7D55">
            <w:pPr>
              <w:pStyle w:val="af3"/>
              <w:rPr>
                <w:sz w:val="24"/>
              </w:rPr>
            </w:pPr>
          </w:p>
        </w:tc>
        <w:tc>
          <w:tcPr>
            <w:tcW w:w="1201" w:type="dxa"/>
            <w:shd w:val="clear" w:color="auto" w:fill="A5A5A5" w:themeFill="accent3"/>
            <w:noWrap/>
          </w:tcPr>
          <w:p w14:paraId="15684EEA" w14:textId="77777777" w:rsidR="007E7D55" w:rsidRPr="001A0CDB" w:rsidRDefault="007E7D55" w:rsidP="007E7D55">
            <w:pPr>
              <w:pStyle w:val="af3"/>
              <w:rPr>
                <w:sz w:val="24"/>
              </w:rPr>
            </w:pPr>
          </w:p>
        </w:tc>
      </w:tr>
      <w:tr w:rsidR="00E564C4" w:rsidRPr="007E7D55" w14:paraId="092FE633" w14:textId="77777777" w:rsidTr="00E564C4">
        <w:trPr>
          <w:trHeight w:val="320"/>
        </w:trPr>
        <w:tc>
          <w:tcPr>
            <w:tcW w:w="4044" w:type="dxa"/>
            <w:noWrap/>
            <w:hideMark/>
          </w:tcPr>
          <w:p w14:paraId="15D60FAB" w14:textId="77777777" w:rsidR="007E7D55" w:rsidRPr="00E564C4" w:rsidRDefault="007E7D55" w:rsidP="00E564C4">
            <w:pPr>
              <w:pStyle w:val="af3"/>
              <w:jc w:val="center"/>
              <w:rPr>
                <w:b/>
                <w:sz w:val="24"/>
              </w:rPr>
            </w:pPr>
            <w:r w:rsidRPr="00E564C4">
              <w:rPr>
                <w:b/>
                <w:sz w:val="24"/>
              </w:rPr>
              <w:t>Годовой отчет</w:t>
            </w:r>
          </w:p>
        </w:tc>
        <w:tc>
          <w:tcPr>
            <w:tcW w:w="1027" w:type="dxa"/>
            <w:shd w:val="clear" w:color="auto" w:fill="A5A5A5" w:themeFill="accent3"/>
            <w:noWrap/>
          </w:tcPr>
          <w:p w14:paraId="5023D894" w14:textId="77777777" w:rsidR="007E7D55" w:rsidRPr="001A0CDB" w:rsidRDefault="007E7D55" w:rsidP="007E7D55">
            <w:pPr>
              <w:pStyle w:val="af3"/>
              <w:rPr>
                <w:sz w:val="24"/>
              </w:rPr>
            </w:pPr>
          </w:p>
        </w:tc>
        <w:tc>
          <w:tcPr>
            <w:tcW w:w="849" w:type="dxa"/>
            <w:shd w:val="clear" w:color="auto" w:fill="A5A5A5" w:themeFill="accent3"/>
            <w:noWrap/>
          </w:tcPr>
          <w:p w14:paraId="0A388E38" w14:textId="77777777" w:rsidR="007E7D55" w:rsidRPr="001A0CDB" w:rsidRDefault="007E7D55" w:rsidP="007E7D55">
            <w:pPr>
              <w:pStyle w:val="af3"/>
              <w:rPr>
                <w:sz w:val="24"/>
              </w:rPr>
            </w:pPr>
          </w:p>
        </w:tc>
        <w:tc>
          <w:tcPr>
            <w:tcW w:w="884" w:type="dxa"/>
            <w:shd w:val="clear" w:color="auto" w:fill="A5A5A5" w:themeFill="accent3"/>
            <w:noWrap/>
          </w:tcPr>
          <w:p w14:paraId="36B4B5C3" w14:textId="77777777" w:rsidR="007E7D55" w:rsidRPr="001A0CDB" w:rsidRDefault="007E7D55" w:rsidP="007E7D55">
            <w:pPr>
              <w:pStyle w:val="af3"/>
              <w:rPr>
                <w:sz w:val="24"/>
              </w:rPr>
            </w:pPr>
          </w:p>
        </w:tc>
        <w:tc>
          <w:tcPr>
            <w:tcW w:w="1843" w:type="dxa"/>
            <w:gridSpan w:val="2"/>
            <w:shd w:val="clear" w:color="auto" w:fill="A5A5A5" w:themeFill="accent3"/>
            <w:noWrap/>
          </w:tcPr>
          <w:p w14:paraId="4DADD540" w14:textId="77777777" w:rsidR="007E7D55" w:rsidRPr="001A0CDB" w:rsidRDefault="007E7D55" w:rsidP="007E7D55">
            <w:pPr>
              <w:pStyle w:val="af3"/>
              <w:rPr>
                <w:sz w:val="24"/>
              </w:rPr>
            </w:pPr>
          </w:p>
        </w:tc>
        <w:tc>
          <w:tcPr>
            <w:tcW w:w="1201" w:type="dxa"/>
            <w:shd w:val="clear" w:color="auto" w:fill="A5A5A5" w:themeFill="accent3"/>
            <w:noWrap/>
          </w:tcPr>
          <w:p w14:paraId="20DAE92B" w14:textId="77777777" w:rsidR="007E7D55" w:rsidRPr="001A0CDB" w:rsidRDefault="007E7D55" w:rsidP="007E7D55">
            <w:pPr>
              <w:pStyle w:val="af3"/>
              <w:rPr>
                <w:sz w:val="24"/>
              </w:rPr>
            </w:pPr>
          </w:p>
        </w:tc>
      </w:tr>
      <w:tr w:rsidR="00E564C4" w:rsidRPr="007E7D55" w14:paraId="383C9A67" w14:textId="77777777" w:rsidTr="00E564C4">
        <w:trPr>
          <w:trHeight w:val="320"/>
        </w:trPr>
        <w:tc>
          <w:tcPr>
            <w:tcW w:w="4044" w:type="dxa"/>
            <w:noWrap/>
            <w:hideMark/>
          </w:tcPr>
          <w:p w14:paraId="0D9EE243" w14:textId="77777777" w:rsidR="007E7D55" w:rsidRPr="00E564C4" w:rsidRDefault="007E7D55" w:rsidP="00E564C4">
            <w:pPr>
              <w:pStyle w:val="af3"/>
              <w:jc w:val="center"/>
              <w:rPr>
                <w:b/>
                <w:sz w:val="24"/>
              </w:rPr>
            </w:pPr>
            <w:r w:rsidRPr="00E564C4">
              <w:rPr>
                <w:b/>
                <w:sz w:val="24"/>
              </w:rPr>
              <w:t>Отчет об оценке портфеля объектов недвижимости</w:t>
            </w:r>
          </w:p>
        </w:tc>
        <w:tc>
          <w:tcPr>
            <w:tcW w:w="1027" w:type="dxa"/>
            <w:shd w:val="clear" w:color="auto" w:fill="A5A5A5" w:themeFill="accent3"/>
            <w:noWrap/>
          </w:tcPr>
          <w:p w14:paraId="235ACC81" w14:textId="77777777" w:rsidR="007E7D55" w:rsidRPr="001A0CDB" w:rsidRDefault="007E7D55" w:rsidP="007E7D55">
            <w:pPr>
              <w:pStyle w:val="af3"/>
              <w:rPr>
                <w:sz w:val="24"/>
              </w:rPr>
            </w:pPr>
          </w:p>
        </w:tc>
        <w:tc>
          <w:tcPr>
            <w:tcW w:w="849" w:type="dxa"/>
            <w:shd w:val="clear" w:color="auto" w:fill="A5A5A5" w:themeFill="accent3"/>
            <w:noWrap/>
          </w:tcPr>
          <w:p w14:paraId="6D643220" w14:textId="77777777" w:rsidR="007E7D55" w:rsidRPr="001A0CDB" w:rsidRDefault="007E7D55" w:rsidP="007E7D55">
            <w:pPr>
              <w:pStyle w:val="af3"/>
              <w:rPr>
                <w:sz w:val="24"/>
              </w:rPr>
            </w:pPr>
          </w:p>
        </w:tc>
        <w:tc>
          <w:tcPr>
            <w:tcW w:w="884" w:type="dxa"/>
            <w:noWrap/>
          </w:tcPr>
          <w:p w14:paraId="37E3D77B" w14:textId="77777777" w:rsidR="007E7D55" w:rsidRPr="001A0CDB" w:rsidRDefault="007E7D55" w:rsidP="007E7D55">
            <w:pPr>
              <w:pStyle w:val="af3"/>
              <w:rPr>
                <w:sz w:val="24"/>
              </w:rPr>
            </w:pPr>
          </w:p>
        </w:tc>
        <w:tc>
          <w:tcPr>
            <w:tcW w:w="1843" w:type="dxa"/>
            <w:gridSpan w:val="2"/>
            <w:noWrap/>
          </w:tcPr>
          <w:p w14:paraId="3ACE6C37" w14:textId="77777777" w:rsidR="007E7D55" w:rsidRPr="001A0CDB" w:rsidRDefault="007E7D55" w:rsidP="007E7D55">
            <w:pPr>
              <w:pStyle w:val="af3"/>
              <w:rPr>
                <w:sz w:val="24"/>
              </w:rPr>
            </w:pPr>
          </w:p>
        </w:tc>
        <w:tc>
          <w:tcPr>
            <w:tcW w:w="1201" w:type="dxa"/>
            <w:noWrap/>
          </w:tcPr>
          <w:p w14:paraId="1C1A4E5A" w14:textId="77777777" w:rsidR="007E7D55" w:rsidRPr="001A0CDB" w:rsidRDefault="007E7D55" w:rsidP="007E7D55">
            <w:pPr>
              <w:pStyle w:val="af3"/>
              <w:rPr>
                <w:sz w:val="24"/>
              </w:rPr>
            </w:pPr>
          </w:p>
        </w:tc>
      </w:tr>
    </w:tbl>
    <w:p w14:paraId="73F43A32" w14:textId="77777777" w:rsidR="00CE4CB5" w:rsidRPr="003125E0" w:rsidRDefault="00CE4CB5" w:rsidP="00CE4CB5">
      <w:pPr>
        <w:rPr>
          <w:i/>
          <w:sz w:val="20"/>
          <w:szCs w:val="20"/>
          <w:lang w:val="en-US"/>
        </w:rPr>
      </w:pPr>
      <w:r w:rsidRPr="00E564C4">
        <w:rPr>
          <w:i/>
          <w:sz w:val="20"/>
          <w:szCs w:val="20"/>
        </w:rPr>
        <w:t xml:space="preserve">Составлено автором на основе данных, представленных на официальных сайтах </w:t>
      </w:r>
      <w:r w:rsidRPr="003125E0">
        <w:rPr>
          <w:i/>
          <w:sz w:val="20"/>
          <w:szCs w:val="20"/>
        </w:rPr>
        <w:t>компаний</w:t>
      </w:r>
      <w:r>
        <w:rPr>
          <w:i/>
          <w:sz w:val="20"/>
          <w:szCs w:val="20"/>
        </w:rPr>
        <w:t xml:space="preserve"> </w:t>
      </w:r>
      <w:r>
        <w:rPr>
          <w:i/>
          <w:sz w:val="20"/>
          <w:szCs w:val="20"/>
          <w:lang w:val="en-US"/>
        </w:rPr>
        <w:t>[</w:t>
      </w:r>
      <w:r>
        <w:rPr>
          <w:i/>
          <w:sz w:val="20"/>
          <w:szCs w:val="20"/>
        </w:rPr>
        <w:t>40, 41, 42, 43 45</w:t>
      </w:r>
      <w:r>
        <w:rPr>
          <w:i/>
          <w:sz w:val="20"/>
          <w:szCs w:val="20"/>
          <w:lang w:val="en-US"/>
        </w:rPr>
        <w:t>]</w:t>
      </w:r>
    </w:p>
    <w:p w14:paraId="58EED135" w14:textId="36A6F7A7" w:rsidR="00465598" w:rsidRPr="009E60EB" w:rsidRDefault="004E4338" w:rsidP="00D815AD">
      <w:r>
        <w:t>Кроме того, стоит отметить, что зарубежные компании (</w:t>
      </w:r>
      <w:r>
        <w:rPr>
          <w:lang w:val="en-US"/>
        </w:rPr>
        <w:t>ACS</w:t>
      </w:r>
      <w:r w:rsidRPr="009E60EB">
        <w:t xml:space="preserve"> </w:t>
      </w:r>
      <w:r>
        <w:t xml:space="preserve">и </w:t>
      </w:r>
      <w:r>
        <w:rPr>
          <w:lang w:val="en-US"/>
        </w:rPr>
        <w:t>Skanska</w:t>
      </w:r>
      <w:r w:rsidRPr="009E60EB">
        <w:t xml:space="preserve">) составляют и представляют </w:t>
      </w:r>
      <w:r w:rsidR="00EC5960" w:rsidRPr="009E60EB">
        <w:t xml:space="preserve">социальный </w:t>
      </w:r>
      <w:r w:rsidR="0053404E" w:rsidRPr="009E60EB">
        <w:t xml:space="preserve">отчет и экологический. </w:t>
      </w:r>
      <w:r w:rsidR="00084408" w:rsidRPr="009E60EB">
        <w:t>Социальные отчеты компаний представляют собой документ, в котором компании отражают</w:t>
      </w:r>
      <w:r w:rsidR="00465598" w:rsidRPr="009E60EB">
        <w:t xml:space="preserve"> информацию о социальных аспектах</w:t>
      </w:r>
      <w:r w:rsidR="00B9261D" w:rsidRPr="009E60EB">
        <w:t xml:space="preserve"> совей</w:t>
      </w:r>
      <w:r w:rsidR="00465598" w:rsidRPr="009E60EB">
        <w:t xml:space="preserve"> деятельности</w:t>
      </w:r>
      <w:r w:rsidR="00B9261D" w:rsidRPr="009E60EB">
        <w:t>. Д</w:t>
      </w:r>
      <w:r w:rsidR="00465598" w:rsidRPr="009E60EB">
        <w:t xml:space="preserve">ля строительных организаций одним из основных аспектов является развитие инфраструктуры в </w:t>
      </w:r>
      <w:r w:rsidR="007C5ACD" w:rsidRPr="007C5ACD">
        <w:t>районах</w:t>
      </w:r>
      <w:r w:rsidR="00465598" w:rsidRPr="009E60EB">
        <w:t>, где компании осуществляют свою деятельность.</w:t>
      </w:r>
    </w:p>
    <w:p w14:paraId="5CDCB266" w14:textId="77777777" w:rsidR="00FC6D45" w:rsidRPr="009E60EB" w:rsidRDefault="00FC6D45" w:rsidP="00D815AD">
      <w:r w:rsidRPr="009E60EB">
        <w:t>Экологический отчет, также представленный только зарубежными компаниями, описывает основные результаты деятельности компаний, направленные на защиту окружающей среды. По мнению автора, представление двух видов отчетов (экологического и социального) только зарубежными компаниями вызвано тем, что на Западе данные аспекты деятельности компаний гораздо важнее для общественности, нежели в России.</w:t>
      </w:r>
    </w:p>
    <w:p w14:paraId="19B4CC39" w14:textId="77777777" w:rsidR="00B9261D" w:rsidRDefault="00465598" w:rsidP="00E90E48">
      <w:r w:rsidRPr="009E60EB">
        <w:t xml:space="preserve">Также две российские компании, Группа Компаний ПИК и Группа ЛСР представляют </w:t>
      </w:r>
      <w:r>
        <w:t>о</w:t>
      </w:r>
      <w:r w:rsidRPr="00465598">
        <w:t>тчет об оценке портфеля объектов недвижимости</w:t>
      </w:r>
      <w:r w:rsidR="005128BB">
        <w:t>, в котором раскрывается оценка стоимости всех проектов компании.</w:t>
      </w:r>
      <w:r w:rsidR="00FC6D45">
        <w:t xml:space="preserve"> Такой отчет используется топ-менеджментом компании в управленческих целях, а также инвесторами и кредиторами компаний для принятия решений в отношении компании.</w:t>
      </w:r>
    </w:p>
    <w:p w14:paraId="480B6007" w14:textId="75BA533A" w:rsidR="00F03853" w:rsidRDefault="0007798A" w:rsidP="00E90E48">
      <w:r>
        <w:t>Табл. 13</w:t>
      </w:r>
      <w:r w:rsidR="00F03853">
        <w:t xml:space="preserve"> показывает, за какие сроки какую отчетность представляли строительные организации. Раньше </w:t>
      </w:r>
      <w:r w:rsidR="00811E52">
        <w:t xml:space="preserve">остальных </w:t>
      </w:r>
      <w:r w:rsidR="00F03853">
        <w:t xml:space="preserve">компаний составлять отчетность </w:t>
      </w:r>
      <w:r w:rsidR="00811E52">
        <w:t xml:space="preserve">по </w:t>
      </w:r>
      <w:r w:rsidR="00F03853">
        <w:t xml:space="preserve">МСФО начала российская компания ЛенСпецСМУ, что было </w:t>
      </w:r>
      <w:r w:rsidR="00811E52">
        <w:t>добровольным</w:t>
      </w:r>
      <w:r w:rsidR="00F03853">
        <w:t xml:space="preserve"> переходом компании на МСФО.</w:t>
      </w:r>
    </w:p>
    <w:p w14:paraId="776FC4A8" w14:textId="77777777" w:rsidR="006425E7" w:rsidRDefault="006425E7" w:rsidP="006425E7">
      <w:r>
        <w:lastRenderedPageBreak/>
        <w:t>Аудиторские заключения всех пяти компаний – немодифицированные и подготовлены компаниями «Большой Четверки», поэтому данные отчетности всех компаний можно считать достоверными и соответствующими принципам МСФО в полной мере.</w:t>
      </w:r>
    </w:p>
    <w:p w14:paraId="15D85240" w14:textId="77777777" w:rsidR="006425E7" w:rsidRDefault="006425E7" w:rsidP="006425E7">
      <w:r>
        <w:t xml:space="preserve">Все организации представляют </w:t>
      </w:r>
      <w:r w:rsidRPr="00701736">
        <w:rPr>
          <w:i/>
        </w:rPr>
        <w:t>аудиторское заключение</w:t>
      </w:r>
      <w:r>
        <w:t xml:space="preserve"> и полный комплект форм отчетности: </w:t>
      </w:r>
    </w:p>
    <w:p w14:paraId="26D82669" w14:textId="0E649297" w:rsidR="006425E7" w:rsidRDefault="006425E7" w:rsidP="004B628F">
      <w:pPr>
        <w:pStyle w:val="a"/>
        <w:numPr>
          <w:ilvl w:val="0"/>
          <w:numId w:val="18"/>
        </w:numPr>
        <w:ind w:left="1134" w:hanging="283"/>
      </w:pPr>
      <w:r>
        <w:t xml:space="preserve">консолидированный отчет о прибыли или убытке и прочем </w:t>
      </w:r>
      <w:r w:rsidR="007C5ACD">
        <w:t>совокупном</w:t>
      </w:r>
      <w:r>
        <w:t xml:space="preserve"> доходе;</w:t>
      </w:r>
    </w:p>
    <w:p w14:paraId="4D4656B9" w14:textId="77777777" w:rsidR="006425E7" w:rsidRDefault="006425E7" w:rsidP="004B628F">
      <w:pPr>
        <w:pStyle w:val="a"/>
        <w:numPr>
          <w:ilvl w:val="0"/>
          <w:numId w:val="18"/>
        </w:numPr>
        <w:ind w:left="1134" w:hanging="283"/>
      </w:pPr>
      <w:r>
        <w:t>консолидированный отчет о финансовом положении;</w:t>
      </w:r>
    </w:p>
    <w:p w14:paraId="1E79C31D" w14:textId="77777777" w:rsidR="006425E7" w:rsidRDefault="006425E7" w:rsidP="004B628F">
      <w:pPr>
        <w:pStyle w:val="a"/>
        <w:numPr>
          <w:ilvl w:val="0"/>
          <w:numId w:val="18"/>
        </w:numPr>
        <w:ind w:left="1134" w:hanging="283"/>
      </w:pPr>
      <w:r>
        <w:t>консолидированный отчет о движении денежных средств;</w:t>
      </w:r>
    </w:p>
    <w:p w14:paraId="403EE316" w14:textId="77777777" w:rsidR="006425E7" w:rsidRDefault="006425E7" w:rsidP="004B628F">
      <w:pPr>
        <w:pStyle w:val="a"/>
        <w:numPr>
          <w:ilvl w:val="0"/>
          <w:numId w:val="18"/>
        </w:numPr>
        <w:ind w:left="1134" w:hanging="283"/>
      </w:pPr>
      <w:r>
        <w:t>консолидированный отчет об изменениях в капитале;</w:t>
      </w:r>
    </w:p>
    <w:p w14:paraId="479A9BA2" w14:textId="77777777" w:rsidR="006425E7" w:rsidRDefault="006425E7" w:rsidP="004B628F">
      <w:pPr>
        <w:pStyle w:val="a"/>
        <w:numPr>
          <w:ilvl w:val="0"/>
          <w:numId w:val="18"/>
        </w:numPr>
        <w:ind w:left="1134" w:hanging="283"/>
      </w:pPr>
      <w:r>
        <w:t>примечания к консолидированной финансовой отчетности.</w:t>
      </w:r>
    </w:p>
    <w:p w14:paraId="140D7B8F" w14:textId="05A7A1A3" w:rsidR="0007798A" w:rsidRPr="00E564C4" w:rsidRDefault="0007798A" w:rsidP="00E564C4">
      <w:pPr>
        <w:rPr>
          <w:i/>
        </w:rPr>
      </w:pPr>
      <w:r w:rsidRPr="00E564C4">
        <w:rPr>
          <w:i/>
        </w:rPr>
        <w:t>Таблица 13 Периоды представления отчетности</w:t>
      </w:r>
    </w:p>
    <w:tbl>
      <w:tblPr>
        <w:tblStyle w:val="af2"/>
        <w:tblW w:w="0" w:type="auto"/>
        <w:tblLook w:val="04A0" w:firstRow="1" w:lastRow="0" w:firstColumn="1" w:lastColumn="0" w:noHBand="0" w:noVBand="1"/>
      </w:tblPr>
      <w:tblGrid>
        <w:gridCol w:w="1822"/>
        <w:gridCol w:w="2859"/>
        <w:gridCol w:w="2702"/>
        <w:gridCol w:w="2465"/>
      </w:tblGrid>
      <w:tr w:rsidR="007A5F24" w:rsidRPr="007A5F24" w14:paraId="5A0D63B1" w14:textId="77777777" w:rsidTr="00C0300A">
        <w:trPr>
          <w:trHeight w:val="826"/>
        </w:trPr>
        <w:tc>
          <w:tcPr>
            <w:tcW w:w="1822" w:type="dxa"/>
            <w:noWrap/>
            <w:hideMark/>
          </w:tcPr>
          <w:p w14:paraId="11516B20" w14:textId="77777777" w:rsidR="007A5F24" w:rsidRPr="001A2D71" w:rsidRDefault="00811E52" w:rsidP="001A2D71">
            <w:pPr>
              <w:pStyle w:val="af3"/>
              <w:jc w:val="center"/>
              <w:rPr>
                <w:b/>
                <w:sz w:val="24"/>
              </w:rPr>
            </w:pPr>
            <w:r w:rsidRPr="001A2D71">
              <w:rPr>
                <w:b/>
                <w:sz w:val="24"/>
              </w:rPr>
              <w:t>Наименование компании / Показатель</w:t>
            </w:r>
          </w:p>
        </w:tc>
        <w:tc>
          <w:tcPr>
            <w:tcW w:w="2859" w:type="dxa"/>
            <w:hideMark/>
          </w:tcPr>
          <w:p w14:paraId="7B8752DC" w14:textId="77777777" w:rsidR="007A5F24" w:rsidRPr="001A2D71" w:rsidRDefault="007A5F24" w:rsidP="001A2D71">
            <w:pPr>
              <w:pStyle w:val="af3"/>
              <w:jc w:val="center"/>
              <w:rPr>
                <w:b/>
                <w:sz w:val="24"/>
              </w:rPr>
            </w:pPr>
            <w:r w:rsidRPr="001A2D71">
              <w:rPr>
                <w:b/>
                <w:sz w:val="24"/>
              </w:rPr>
              <w:t>Отчетность в соответствии с национальными стандартами</w:t>
            </w:r>
          </w:p>
        </w:tc>
        <w:tc>
          <w:tcPr>
            <w:tcW w:w="2702" w:type="dxa"/>
            <w:hideMark/>
          </w:tcPr>
          <w:p w14:paraId="1182B085" w14:textId="77777777" w:rsidR="007A5F24" w:rsidRPr="001A2D71" w:rsidRDefault="007A5F24" w:rsidP="001A2D71">
            <w:pPr>
              <w:pStyle w:val="af3"/>
              <w:jc w:val="center"/>
              <w:rPr>
                <w:b/>
                <w:sz w:val="24"/>
              </w:rPr>
            </w:pPr>
            <w:r w:rsidRPr="001A2D71">
              <w:rPr>
                <w:b/>
                <w:sz w:val="24"/>
              </w:rPr>
              <w:t>Консолидированная отчетность в соответствии с МСФО</w:t>
            </w:r>
          </w:p>
        </w:tc>
        <w:tc>
          <w:tcPr>
            <w:tcW w:w="2465" w:type="dxa"/>
            <w:hideMark/>
          </w:tcPr>
          <w:p w14:paraId="5DBA95B0" w14:textId="77777777" w:rsidR="007A5F24" w:rsidRPr="001A2D71" w:rsidRDefault="007A5F24" w:rsidP="001A2D71">
            <w:pPr>
              <w:pStyle w:val="af3"/>
              <w:jc w:val="center"/>
              <w:rPr>
                <w:b/>
                <w:sz w:val="24"/>
              </w:rPr>
            </w:pPr>
            <w:r w:rsidRPr="001A2D71">
              <w:rPr>
                <w:b/>
                <w:sz w:val="24"/>
              </w:rPr>
              <w:t>Индивидуальная отчетность в соответствии с МСФО</w:t>
            </w:r>
          </w:p>
        </w:tc>
      </w:tr>
      <w:tr w:rsidR="007A5F24" w:rsidRPr="007A5F24" w14:paraId="6C2E3D19" w14:textId="77777777" w:rsidTr="00C0300A">
        <w:trPr>
          <w:trHeight w:val="320"/>
        </w:trPr>
        <w:tc>
          <w:tcPr>
            <w:tcW w:w="1822" w:type="dxa"/>
            <w:noWrap/>
            <w:hideMark/>
          </w:tcPr>
          <w:p w14:paraId="4EB66693" w14:textId="77777777" w:rsidR="007A5F24" w:rsidRPr="001A2D71" w:rsidRDefault="007A5F24" w:rsidP="001A2D71">
            <w:pPr>
              <w:pStyle w:val="af3"/>
              <w:jc w:val="center"/>
              <w:rPr>
                <w:b/>
                <w:sz w:val="24"/>
              </w:rPr>
            </w:pPr>
            <w:r w:rsidRPr="001A2D71">
              <w:rPr>
                <w:b/>
                <w:sz w:val="24"/>
              </w:rPr>
              <w:t>ЛСР</w:t>
            </w:r>
          </w:p>
        </w:tc>
        <w:tc>
          <w:tcPr>
            <w:tcW w:w="2859" w:type="dxa"/>
            <w:noWrap/>
            <w:hideMark/>
          </w:tcPr>
          <w:p w14:paraId="4689F71C" w14:textId="77777777" w:rsidR="007A5F24" w:rsidRPr="001A0CDB" w:rsidRDefault="007A5F24" w:rsidP="00A5033C">
            <w:pPr>
              <w:pStyle w:val="af3"/>
              <w:rPr>
                <w:sz w:val="24"/>
              </w:rPr>
            </w:pPr>
            <w:r w:rsidRPr="001A0CDB">
              <w:rPr>
                <w:sz w:val="24"/>
              </w:rPr>
              <w:t>2011-2015</w:t>
            </w:r>
            <w:r w:rsidR="00DE795E" w:rsidRPr="001A0CDB">
              <w:rPr>
                <w:sz w:val="24"/>
              </w:rPr>
              <w:t xml:space="preserve"> (5 лет)</w:t>
            </w:r>
          </w:p>
        </w:tc>
        <w:tc>
          <w:tcPr>
            <w:tcW w:w="2702" w:type="dxa"/>
            <w:noWrap/>
            <w:hideMark/>
          </w:tcPr>
          <w:p w14:paraId="35D9C19E" w14:textId="77777777" w:rsidR="007A5F24" w:rsidRPr="001A0CDB" w:rsidRDefault="007A5F24" w:rsidP="00A5033C">
            <w:pPr>
              <w:pStyle w:val="af3"/>
              <w:rPr>
                <w:sz w:val="24"/>
              </w:rPr>
            </w:pPr>
            <w:r w:rsidRPr="001A0CDB">
              <w:rPr>
                <w:sz w:val="24"/>
              </w:rPr>
              <w:t>2010-2015</w:t>
            </w:r>
            <w:r w:rsidR="00DE795E" w:rsidRPr="001A0CDB">
              <w:rPr>
                <w:sz w:val="24"/>
              </w:rPr>
              <w:t xml:space="preserve"> (6 лет)</w:t>
            </w:r>
          </w:p>
        </w:tc>
        <w:tc>
          <w:tcPr>
            <w:tcW w:w="2465" w:type="dxa"/>
            <w:noWrap/>
            <w:hideMark/>
          </w:tcPr>
          <w:p w14:paraId="7DE59912" w14:textId="77777777" w:rsidR="007A5F24" w:rsidRPr="001A0CDB" w:rsidRDefault="004767F2" w:rsidP="004767F2">
            <w:pPr>
              <w:pStyle w:val="af3"/>
              <w:rPr>
                <w:sz w:val="24"/>
              </w:rPr>
            </w:pPr>
            <w:r w:rsidRPr="001A0CDB">
              <w:rPr>
                <w:sz w:val="24"/>
              </w:rPr>
              <w:t>н</w:t>
            </w:r>
            <w:r w:rsidR="007A5F24" w:rsidRPr="001A0CDB">
              <w:rPr>
                <w:sz w:val="24"/>
              </w:rPr>
              <w:t>е</w:t>
            </w:r>
            <w:r w:rsidRPr="001A0CDB">
              <w:rPr>
                <w:sz w:val="24"/>
              </w:rPr>
              <w:t xml:space="preserve"> представлена</w:t>
            </w:r>
          </w:p>
        </w:tc>
      </w:tr>
      <w:tr w:rsidR="007A5F24" w:rsidRPr="007A5F24" w14:paraId="633C09C3" w14:textId="77777777" w:rsidTr="00C0300A">
        <w:trPr>
          <w:trHeight w:val="320"/>
        </w:trPr>
        <w:tc>
          <w:tcPr>
            <w:tcW w:w="1822" w:type="dxa"/>
            <w:noWrap/>
            <w:hideMark/>
          </w:tcPr>
          <w:p w14:paraId="44EAE822" w14:textId="77777777" w:rsidR="007A5F24" w:rsidRPr="001A2D71" w:rsidRDefault="007A5F24" w:rsidP="001A2D71">
            <w:pPr>
              <w:pStyle w:val="af3"/>
              <w:jc w:val="center"/>
              <w:rPr>
                <w:b/>
                <w:sz w:val="24"/>
              </w:rPr>
            </w:pPr>
            <w:r w:rsidRPr="001A2D71">
              <w:rPr>
                <w:b/>
                <w:sz w:val="24"/>
              </w:rPr>
              <w:t>ПИК</w:t>
            </w:r>
          </w:p>
        </w:tc>
        <w:tc>
          <w:tcPr>
            <w:tcW w:w="2859" w:type="dxa"/>
            <w:noWrap/>
            <w:hideMark/>
          </w:tcPr>
          <w:p w14:paraId="02D84A87" w14:textId="77777777" w:rsidR="007A5F24" w:rsidRPr="001A0CDB" w:rsidRDefault="007A5F24" w:rsidP="00A5033C">
            <w:pPr>
              <w:pStyle w:val="af3"/>
              <w:rPr>
                <w:sz w:val="24"/>
              </w:rPr>
            </w:pPr>
            <w:r w:rsidRPr="001A0CDB">
              <w:rPr>
                <w:sz w:val="24"/>
              </w:rPr>
              <w:t>2010-2015</w:t>
            </w:r>
            <w:r w:rsidR="00DE795E" w:rsidRPr="001A0CDB">
              <w:rPr>
                <w:sz w:val="24"/>
              </w:rPr>
              <w:t xml:space="preserve"> (6 лет)</w:t>
            </w:r>
          </w:p>
        </w:tc>
        <w:tc>
          <w:tcPr>
            <w:tcW w:w="2702" w:type="dxa"/>
            <w:noWrap/>
            <w:hideMark/>
          </w:tcPr>
          <w:p w14:paraId="3EAFDF48" w14:textId="77777777" w:rsidR="007A5F24" w:rsidRPr="001A0CDB" w:rsidRDefault="007A5F24" w:rsidP="00A5033C">
            <w:pPr>
              <w:pStyle w:val="af3"/>
              <w:rPr>
                <w:sz w:val="24"/>
              </w:rPr>
            </w:pPr>
            <w:r w:rsidRPr="001A0CDB">
              <w:rPr>
                <w:sz w:val="24"/>
              </w:rPr>
              <w:t>2004-2015</w:t>
            </w:r>
            <w:r w:rsidR="00DE795E" w:rsidRPr="001A0CDB">
              <w:rPr>
                <w:sz w:val="24"/>
              </w:rPr>
              <w:t>(12 лет)</w:t>
            </w:r>
          </w:p>
        </w:tc>
        <w:tc>
          <w:tcPr>
            <w:tcW w:w="2465" w:type="dxa"/>
            <w:noWrap/>
            <w:hideMark/>
          </w:tcPr>
          <w:p w14:paraId="7C159683" w14:textId="77777777" w:rsidR="007A5F24" w:rsidRPr="001A0CDB" w:rsidRDefault="004767F2" w:rsidP="00A5033C">
            <w:pPr>
              <w:pStyle w:val="af3"/>
              <w:rPr>
                <w:sz w:val="24"/>
              </w:rPr>
            </w:pPr>
            <w:r w:rsidRPr="001A0CDB">
              <w:rPr>
                <w:sz w:val="24"/>
              </w:rPr>
              <w:t>не представлена</w:t>
            </w:r>
          </w:p>
        </w:tc>
      </w:tr>
      <w:tr w:rsidR="007A5F24" w:rsidRPr="007A5F24" w14:paraId="6B8878D0" w14:textId="77777777" w:rsidTr="00C0300A">
        <w:trPr>
          <w:trHeight w:val="320"/>
        </w:trPr>
        <w:tc>
          <w:tcPr>
            <w:tcW w:w="1822" w:type="dxa"/>
            <w:noWrap/>
            <w:hideMark/>
          </w:tcPr>
          <w:p w14:paraId="114F6685" w14:textId="77777777" w:rsidR="007A5F24" w:rsidRPr="001A2D71" w:rsidRDefault="007A5F24" w:rsidP="001A2D71">
            <w:pPr>
              <w:pStyle w:val="af3"/>
              <w:jc w:val="center"/>
              <w:rPr>
                <w:b/>
                <w:sz w:val="24"/>
              </w:rPr>
            </w:pPr>
            <w:r w:rsidRPr="001A2D71">
              <w:rPr>
                <w:b/>
                <w:sz w:val="24"/>
              </w:rPr>
              <w:t>ACS</w:t>
            </w:r>
          </w:p>
        </w:tc>
        <w:tc>
          <w:tcPr>
            <w:tcW w:w="2859" w:type="dxa"/>
            <w:noWrap/>
            <w:hideMark/>
          </w:tcPr>
          <w:p w14:paraId="2E1CA647" w14:textId="77777777" w:rsidR="007A5F24" w:rsidRPr="001A0CDB" w:rsidRDefault="007A5F24" w:rsidP="00A5033C">
            <w:pPr>
              <w:pStyle w:val="af3"/>
              <w:rPr>
                <w:sz w:val="24"/>
              </w:rPr>
            </w:pPr>
            <w:r w:rsidRPr="001A0CDB">
              <w:rPr>
                <w:sz w:val="24"/>
              </w:rPr>
              <w:t>2004-2015</w:t>
            </w:r>
            <w:r w:rsidR="00DE795E" w:rsidRPr="001A0CDB">
              <w:rPr>
                <w:sz w:val="24"/>
              </w:rPr>
              <w:t xml:space="preserve"> (12 лет)</w:t>
            </w:r>
          </w:p>
        </w:tc>
        <w:tc>
          <w:tcPr>
            <w:tcW w:w="2702" w:type="dxa"/>
            <w:noWrap/>
            <w:hideMark/>
          </w:tcPr>
          <w:p w14:paraId="1C23C0D8" w14:textId="77777777" w:rsidR="007A5F24" w:rsidRPr="001A0CDB" w:rsidRDefault="007A5F24" w:rsidP="00A5033C">
            <w:pPr>
              <w:pStyle w:val="af3"/>
              <w:rPr>
                <w:sz w:val="24"/>
              </w:rPr>
            </w:pPr>
            <w:r w:rsidRPr="001A0CDB">
              <w:rPr>
                <w:sz w:val="24"/>
              </w:rPr>
              <w:t>2005-2015</w:t>
            </w:r>
            <w:r w:rsidR="00DE795E" w:rsidRPr="001A0CDB">
              <w:rPr>
                <w:sz w:val="24"/>
              </w:rPr>
              <w:t xml:space="preserve"> (11 лет)</w:t>
            </w:r>
          </w:p>
        </w:tc>
        <w:tc>
          <w:tcPr>
            <w:tcW w:w="2465" w:type="dxa"/>
            <w:noWrap/>
            <w:hideMark/>
          </w:tcPr>
          <w:p w14:paraId="22A9EA26" w14:textId="77777777" w:rsidR="007A5F24" w:rsidRPr="001A0CDB" w:rsidRDefault="004767F2" w:rsidP="00A5033C">
            <w:pPr>
              <w:pStyle w:val="af3"/>
              <w:rPr>
                <w:sz w:val="24"/>
              </w:rPr>
            </w:pPr>
            <w:r w:rsidRPr="001A0CDB">
              <w:rPr>
                <w:sz w:val="24"/>
              </w:rPr>
              <w:t>не представлена</w:t>
            </w:r>
          </w:p>
        </w:tc>
      </w:tr>
      <w:tr w:rsidR="007A5F24" w:rsidRPr="007A5F24" w14:paraId="2D2C04A9" w14:textId="77777777" w:rsidTr="00C0300A">
        <w:trPr>
          <w:trHeight w:val="380"/>
        </w:trPr>
        <w:tc>
          <w:tcPr>
            <w:tcW w:w="1822" w:type="dxa"/>
            <w:noWrap/>
            <w:hideMark/>
          </w:tcPr>
          <w:p w14:paraId="6D8FA890" w14:textId="77777777" w:rsidR="007A5F24" w:rsidRPr="001A2D71" w:rsidRDefault="007A5F24" w:rsidP="001A2D71">
            <w:pPr>
              <w:pStyle w:val="af3"/>
              <w:jc w:val="center"/>
              <w:rPr>
                <w:b/>
                <w:sz w:val="24"/>
              </w:rPr>
            </w:pPr>
            <w:r w:rsidRPr="001A2D71">
              <w:rPr>
                <w:b/>
                <w:sz w:val="24"/>
              </w:rPr>
              <w:t>ЛенСпецСМУ</w:t>
            </w:r>
          </w:p>
        </w:tc>
        <w:tc>
          <w:tcPr>
            <w:tcW w:w="2859" w:type="dxa"/>
            <w:noWrap/>
            <w:hideMark/>
          </w:tcPr>
          <w:p w14:paraId="3B4296D2" w14:textId="77777777" w:rsidR="007A5F24" w:rsidRPr="001A0CDB" w:rsidRDefault="007A5F24" w:rsidP="00A5033C">
            <w:pPr>
              <w:pStyle w:val="af3"/>
              <w:rPr>
                <w:sz w:val="24"/>
              </w:rPr>
            </w:pPr>
            <w:r w:rsidRPr="001A0CDB">
              <w:rPr>
                <w:sz w:val="24"/>
              </w:rPr>
              <w:t>2001-1 квартал 2016</w:t>
            </w:r>
            <w:r w:rsidR="00DE795E" w:rsidRPr="001A0CDB">
              <w:rPr>
                <w:sz w:val="24"/>
              </w:rPr>
              <w:t xml:space="preserve"> (15 лет)</w:t>
            </w:r>
          </w:p>
        </w:tc>
        <w:tc>
          <w:tcPr>
            <w:tcW w:w="2702" w:type="dxa"/>
            <w:noWrap/>
            <w:hideMark/>
          </w:tcPr>
          <w:p w14:paraId="04A0CF88" w14:textId="77777777" w:rsidR="007A5F24" w:rsidRPr="001A0CDB" w:rsidRDefault="007A5F24" w:rsidP="00A5033C">
            <w:pPr>
              <w:pStyle w:val="af3"/>
              <w:rPr>
                <w:sz w:val="24"/>
              </w:rPr>
            </w:pPr>
            <w:r w:rsidRPr="001A0CDB">
              <w:rPr>
                <w:sz w:val="24"/>
              </w:rPr>
              <w:t>2003-2015</w:t>
            </w:r>
            <w:r w:rsidR="00DE795E" w:rsidRPr="001A0CDB">
              <w:rPr>
                <w:sz w:val="24"/>
              </w:rPr>
              <w:t xml:space="preserve"> (13 лет)</w:t>
            </w:r>
          </w:p>
        </w:tc>
        <w:tc>
          <w:tcPr>
            <w:tcW w:w="2465" w:type="dxa"/>
            <w:noWrap/>
            <w:hideMark/>
          </w:tcPr>
          <w:p w14:paraId="284654B2" w14:textId="77777777" w:rsidR="007A5F24" w:rsidRPr="001A0CDB" w:rsidRDefault="007A5F24" w:rsidP="00A5033C">
            <w:pPr>
              <w:pStyle w:val="af3"/>
              <w:rPr>
                <w:sz w:val="24"/>
              </w:rPr>
            </w:pPr>
            <w:r w:rsidRPr="001A0CDB">
              <w:rPr>
                <w:sz w:val="24"/>
              </w:rPr>
              <w:t>2006-2015</w:t>
            </w:r>
          </w:p>
        </w:tc>
      </w:tr>
      <w:tr w:rsidR="007A5F24" w:rsidRPr="007A5F24" w14:paraId="5C5E07BA" w14:textId="77777777" w:rsidTr="00C0300A">
        <w:trPr>
          <w:trHeight w:val="382"/>
        </w:trPr>
        <w:tc>
          <w:tcPr>
            <w:tcW w:w="1822" w:type="dxa"/>
            <w:noWrap/>
            <w:hideMark/>
          </w:tcPr>
          <w:p w14:paraId="0CBB92A0" w14:textId="77777777" w:rsidR="007A5F24" w:rsidRPr="001A2D71" w:rsidRDefault="007A5F24" w:rsidP="001A2D71">
            <w:pPr>
              <w:pStyle w:val="af3"/>
              <w:jc w:val="center"/>
              <w:rPr>
                <w:b/>
                <w:sz w:val="24"/>
              </w:rPr>
            </w:pPr>
            <w:r w:rsidRPr="001A2D71">
              <w:rPr>
                <w:b/>
                <w:sz w:val="24"/>
              </w:rPr>
              <w:t>Skanska</w:t>
            </w:r>
          </w:p>
        </w:tc>
        <w:tc>
          <w:tcPr>
            <w:tcW w:w="2859" w:type="dxa"/>
            <w:noWrap/>
            <w:hideMark/>
          </w:tcPr>
          <w:p w14:paraId="12F4C5B1" w14:textId="77777777" w:rsidR="007A5F24" w:rsidRPr="001A0CDB" w:rsidRDefault="007A5F24" w:rsidP="00A5033C">
            <w:pPr>
              <w:pStyle w:val="af3"/>
              <w:rPr>
                <w:sz w:val="24"/>
              </w:rPr>
            </w:pPr>
            <w:r w:rsidRPr="001A0CDB">
              <w:rPr>
                <w:sz w:val="24"/>
              </w:rPr>
              <w:t>1988-2015</w:t>
            </w:r>
            <w:r w:rsidR="00DE795E" w:rsidRPr="001A0CDB">
              <w:rPr>
                <w:sz w:val="24"/>
              </w:rPr>
              <w:t xml:space="preserve"> (28 лет)</w:t>
            </w:r>
          </w:p>
        </w:tc>
        <w:tc>
          <w:tcPr>
            <w:tcW w:w="2702" w:type="dxa"/>
            <w:noWrap/>
            <w:hideMark/>
          </w:tcPr>
          <w:p w14:paraId="5350C84E" w14:textId="77777777" w:rsidR="007A5F24" w:rsidRPr="001A0CDB" w:rsidRDefault="007A5F24" w:rsidP="00A5033C">
            <w:pPr>
              <w:pStyle w:val="af3"/>
              <w:rPr>
                <w:sz w:val="24"/>
              </w:rPr>
            </w:pPr>
            <w:r w:rsidRPr="001A0CDB">
              <w:rPr>
                <w:sz w:val="24"/>
              </w:rPr>
              <w:t>2005-2015</w:t>
            </w:r>
            <w:r w:rsidR="00DE795E" w:rsidRPr="001A0CDB">
              <w:rPr>
                <w:sz w:val="24"/>
              </w:rPr>
              <w:t xml:space="preserve"> (10 лет)</w:t>
            </w:r>
          </w:p>
        </w:tc>
        <w:tc>
          <w:tcPr>
            <w:tcW w:w="2465" w:type="dxa"/>
            <w:noWrap/>
            <w:hideMark/>
          </w:tcPr>
          <w:p w14:paraId="5D212A3B" w14:textId="77777777" w:rsidR="007A5F24" w:rsidRPr="001A0CDB" w:rsidRDefault="004767F2" w:rsidP="00A5033C">
            <w:pPr>
              <w:pStyle w:val="af3"/>
              <w:rPr>
                <w:sz w:val="24"/>
              </w:rPr>
            </w:pPr>
            <w:r w:rsidRPr="001A0CDB">
              <w:rPr>
                <w:sz w:val="24"/>
              </w:rPr>
              <w:t>не представлена</w:t>
            </w:r>
          </w:p>
        </w:tc>
      </w:tr>
    </w:tbl>
    <w:p w14:paraId="75F28564" w14:textId="77777777" w:rsidR="00CE4CB5" w:rsidRPr="003125E0" w:rsidRDefault="00CE4CB5" w:rsidP="00CE4CB5">
      <w:pPr>
        <w:rPr>
          <w:i/>
          <w:sz w:val="20"/>
          <w:szCs w:val="20"/>
          <w:lang w:val="en-US"/>
        </w:rPr>
      </w:pPr>
      <w:r w:rsidRPr="00E564C4">
        <w:rPr>
          <w:i/>
          <w:sz w:val="20"/>
          <w:szCs w:val="20"/>
        </w:rPr>
        <w:t xml:space="preserve">Составлено автором на основе данных, представленных на официальных сайтах </w:t>
      </w:r>
      <w:r w:rsidRPr="003125E0">
        <w:rPr>
          <w:i/>
          <w:sz w:val="20"/>
          <w:szCs w:val="20"/>
        </w:rPr>
        <w:t>компаний</w:t>
      </w:r>
      <w:r>
        <w:rPr>
          <w:i/>
          <w:sz w:val="20"/>
          <w:szCs w:val="20"/>
        </w:rPr>
        <w:t xml:space="preserve"> </w:t>
      </w:r>
      <w:r>
        <w:rPr>
          <w:i/>
          <w:sz w:val="20"/>
          <w:szCs w:val="20"/>
          <w:lang w:val="en-US"/>
        </w:rPr>
        <w:t>[</w:t>
      </w:r>
      <w:r>
        <w:rPr>
          <w:i/>
          <w:sz w:val="20"/>
          <w:szCs w:val="20"/>
        </w:rPr>
        <w:t>40, 41, 42, 43 45</w:t>
      </w:r>
      <w:r>
        <w:rPr>
          <w:i/>
          <w:sz w:val="20"/>
          <w:szCs w:val="20"/>
          <w:lang w:val="en-US"/>
        </w:rPr>
        <w:t>]</w:t>
      </w:r>
    </w:p>
    <w:p w14:paraId="59253352" w14:textId="18B4243E" w:rsidR="00F03853" w:rsidRDefault="00F03853" w:rsidP="00F03853">
      <w:r w:rsidRPr="00F03853">
        <w:t xml:space="preserve">По мнению автора, очередность форм представления отчетности не случайна: </w:t>
      </w:r>
      <w:r w:rsidR="007C5ACD" w:rsidRPr="00F03853">
        <w:t>наиболее</w:t>
      </w:r>
      <w:r w:rsidRPr="00F03853">
        <w:t xml:space="preserve"> «важные» формы представлены в начале отчетности (как показано </w:t>
      </w:r>
      <w:r w:rsidR="0007798A">
        <w:t>в табл.14</w:t>
      </w:r>
      <w:r w:rsidRPr="00F03853">
        <w:t>, это отчет о прибыли и убытке и прочем совокупном доходе или же отчет о финансовом положении)</w:t>
      </w:r>
      <w:r>
        <w:t xml:space="preserve">, поскольку именно на эту отчетность в </w:t>
      </w:r>
      <w:r w:rsidR="007C5ACD">
        <w:t>первую</w:t>
      </w:r>
      <w:r>
        <w:t xml:space="preserve"> очередь обращает </w:t>
      </w:r>
      <w:r w:rsidR="007C5ACD">
        <w:t>внимание</w:t>
      </w:r>
      <w:r>
        <w:t xml:space="preserve"> пользователь. Например, анализ финансового состояния предприятия основан именно на данных этих двух форм</w:t>
      </w:r>
      <w:r w:rsidR="00C0300A">
        <w:t>ах</w:t>
      </w:r>
      <w:r>
        <w:t xml:space="preserve"> отчетности.</w:t>
      </w:r>
    </w:p>
    <w:p w14:paraId="72087ADB" w14:textId="674BE0E3" w:rsidR="0007798A" w:rsidRPr="00E564C4" w:rsidRDefault="0007798A" w:rsidP="00E564C4">
      <w:pPr>
        <w:rPr>
          <w:i/>
        </w:rPr>
      </w:pPr>
      <w:r w:rsidRPr="00E564C4">
        <w:rPr>
          <w:i/>
        </w:rPr>
        <w:t>Таблица 14 Очередность представления форм отчетности</w:t>
      </w:r>
    </w:p>
    <w:tbl>
      <w:tblPr>
        <w:tblStyle w:val="af2"/>
        <w:tblW w:w="9923" w:type="dxa"/>
        <w:tblInd w:w="-34" w:type="dxa"/>
        <w:tblLayout w:type="fixed"/>
        <w:tblLook w:val="04A0" w:firstRow="1" w:lastRow="0" w:firstColumn="1" w:lastColumn="0" w:noHBand="0" w:noVBand="1"/>
      </w:tblPr>
      <w:tblGrid>
        <w:gridCol w:w="5387"/>
        <w:gridCol w:w="743"/>
        <w:gridCol w:w="816"/>
        <w:gridCol w:w="709"/>
        <w:gridCol w:w="1168"/>
        <w:gridCol w:w="1100"/>
      </w:tblGrid>
      <w:tr w:rsidR="00C67262" w:rsidRPr="00617C4F" w14:paraId="78BF0C5C" w14:textId="77777777" w:rsidTr="00C67262">
        <w:trPr>
          <w:trHeight w:val="320"/>
        </w:trPr>
        <w:tc>
          <w:tcPr>
            <w:tcW w:w="5387" w:type="dxa"/>
            <w:noWrap/>
            <w:hideMark/>
          </w:tcPr>
          <w:p w14:paraId="339EEE45" w14:textId="6635A59D" w:rsidR="00617C4F" w:rsidRPr="00C67262" w:rsidRDefault="00705D7A" w:rsidP="001A2D71">
            <w:pPr>
              <w:pStyle w:val="af3"/>
              <w:jc w:val="center"/>
              <w:rPr>
                <w:b/>
                <w:szCs w:val="20"/>
              </w:rPr>
            </w:pPr>
            <w:r w:rsidRPr="00C67262">
              <w:rPr>
                <w:b/>
                <w:szCs w:val="20"/>
              </w:rPr>
              <w:t>Форма отчетности / Наименование компании</w:t>
            </w:r>
          </w:p>
        </w:tc>
        <w:tc>
          <w:tcPr>
            <w:tcW w:w="743" w:type="dxa"/>
            <w:noWrap/>
            <w:hideMark/>
          </w:tcPr>
          <w:p w14:paraId="7327943F" w14:textId="77777777" w:rsidR="00617C4F" w:rsidRPr="00C67262" w:rsidRDefault="00617C4F" w:rsidP="001A2D71">
            <w:pPr>
              <w:pStyle w:val="af3"/>
              <w:jc w:val="center"/>
              <w:rPr>
                <w:b/>
                <w:sz w:val="22"/>
                <w:szCs w:val="22"/>
              </w:rPr>
            </w:pPr>
            <w:r w:rsidRPr="00C67262">
              <w:rPr>
                <w:b/>
                <w:sz w:val="22"/>
                <w:szCs w:val="22"/>
              </w:rPr>
              <w:t>ЛСР</w:t>
            </w:r>
          </w:p>
        </w:tc>
        <w:tc>
          <w:tcPr>
            <w:tcW w:w="816" w:type="dxa"/>
            <w:noWrap/>
            <w:hideMark/>
          </w:tcPr>
          <w:p w14:paraId="506F3B28" w14:textId="77777777" w:rsidR="00617C4F" w:rsidRPr="00C67262" w:rsidRDefault="00617C4F" w:rsidP="001A2D71">
            <w:pPr>
              <w:pStyle w:val="af3"/>
              <w:jc w:val="center"/>
              <w:rPr>
                <w:b/>
                <w:sz w:val="22"/>
                <w:szCs w:val="22"/>
              </w:rPr>
            </w:pPr>
            <w:r w:rsidRPr="00C67262">
              <w:rPr>
                <w:b/>
                <w:sz w:val="22"/>
                <w:szCs w:val="22"/>
              </w:rPr>
              <w:t>ПИК</w:t>
            </w:r>
          </w:p>
        </w:tc>
        <w:tc>
          <w:tcPr>
            <w:tcW w:w="709" w:type="dxa"/>
            <w:noWrap/>
            <w:hideMark/>
          </w:tcPr>
          <w:p w14:paraId="563D5A8D" w14:textId="77777777" w:rsidR="00617C4F" w:rsidRPr="00C67262" w:rsidRDefault="00617C4F" w:rsidP="001A2D71">
            <w:pPr>
              <w:pStyle w:val="af3"/>
              <w:jc w:val="center"/>
              <w:rPr>
                <w:b/>
                <w:sz w:val="22"/>
                <w:szCs w:val="22"/>
              </w:rPr>
            </w:pPr>
            <w:r w:rsidRPr="00C67262">
              <w:rPr>
                <w:b/>
                <w:sz w:val="22"/>
                <w:szCs w:val="22"/>
              </w:rPr>
              <w:t>ACS</w:t>
            </w:r>
          </w:p>
        </w:tc>
        <w:tc>
          <w:tcPr>
            <w:tcW w:w="1168" w:type="dxa"/>
            <w:noWrap/>
            <w:hideMark/>
          </w:tcPr>
          <w:p w14:paraId="0AC7B814" w14:textId="77777777" w:rsidR="00617C4F" w:rsidRPr="00C67262" w:rsidRDefault="00617C4F" w:rsidP="001A2D71">
            <w:pPr>
              <w:pStyle w:val="af3"/>
              <w:jc w:val="center"/>
              <w:rPr>
                <w:b/>
                <w:sz w:val="22"/>
                <w:szCs w:val="22"/>
              </w:rPr>
            </w:pPr>
            <w:r w:rsidRPr="00C67262">
              <w:rPr>
                <w:b/>
                <w:sz w:val="22"/>
                <w:szCs w:val="22"/>
              </w:rPr>
              <w:t>ЛенСпецСМУ</w:t>
            </w:r>
          </w:p>
        </w:tc>
        <w:tc>
          <w:tcPr>
            <w:tcW w:w="1100" w:type="dxa"/>
            <w:noWrap/>
            <w:hideMark/>
          </w:tcPr>
          <w:p w14:paraId="2AED9D7A" w14:textId="77777777" w:rsidR="00617C4F" w:rsidRPr="00C67262" w:rsidRDefault="00617C4F" w:rsidP="001A2D71">
            <w:pPr>
              <w:pStyle w:val="af3"/>
              <w:jc w:val="center"/>
              <w:rPr>
                <w:b/>
                <w:sz w:val="22"/>
                <w:szCs w:val="22"/>
              </w:rPr>
            </w:pPr>
            <w:r w:rsidRPr="00C67262">
              <w:rPr>
                <w:b/>
                <w:sz w:val="22"/>
                <w:szCs w:val="22"/>
              </w:rPr>
              <w:t>Skanska</w:t>
            </w:r>
          </w:p>
        </w:tc>
      </w:tr>
      <w:tr w:rsidR="00C67262" w:rsidRPr="00617C4F" w14:paraId="2BAC0248" w14:textId="77777777" w:rsidTr="00C67262">
        <w:trPr>
          <w:trHeight w:val="519"/>
        </w:trPr>
        <w:tc>
          <w:tcPr>
            <w:tcW w:w="5387" w:type="dxa"/>
            <w:hideMark/>
          </w:tcPr>
          <w:p w14:paraId="544A2AB8" w14:textId="18F6C648" w:rsidR="00617C4F" w:rsidRPr="00C67262" w:rsidRDefault="00617C4F" w:rsidP="001A2D71">
            <w:pPr>
              <w:pStyle w:val="af3"/>
              <w:jc w:val="center"/>
              <w:rPr>
                <w:b/>
                <w:szCs w:val="20"/>
              </w:rPr>
            </w:pPr>
            <w:r w:rsidRPr="00C67262">
              <w:rPr>
                <w:b/>
                <w:szCs w:val="20"/>
              </w:rPr>
              <w:t xml:space="preserve">Консолидированный отчет о прибыли или убытке и прочем </w:t>
            </w:r>
            <w:r w:rsidR="00811E52" w:rsidRPr="00C67262">
              <w:rPr>
                <w:b/>
                <w:szCs w:val="20"/>
              </w:rPr>
              <w:t>совокупном</w:t>
            </w:r>
            <w:r w:rsidRPr="00C67262">
              <w:rPr>
                <w:b/>
                <w:szCs w:val="20"/>
              </w:rPr>
              <w:t xml:space="preserve"> доходе</w:t>
            </w:r>
          </w:p>
        </w:tc>
        <w:tc>
          <w:tcPr>
            <w:tcW w:w="743" w:type="dxa"/>
            <w:noWrap/>
            <w:hideMark/>
          </w:tcPr>
          <w:p w14:paraId="3C55B414" w14:textId="77777777" w:rsidR="00617C4F" w:rsidRPr="00C67262" w:rsidRDefault="00CF7219" w:rsidP="001A2D71">
            <w:pPr>
              <w:pStyle w:val="af3"/>
              <w:jc w:val="right"/>
              <w:rPr>
                <w:szCs w:val="20"/>
              </w:rPr>
            </w:pPr>
            <w:r w:rsidRPr="00C67262">
              <w:rPr>
                <w:szCs w:val="20"/>
              </w:rPr>
              <w:t>1</w:t>
            </w:r>
          </w:p>
        </w:tc>
        <w:tc>
          <w:tcPr>
            <w:tcW w:w="816" w:type="dxa"/>
            <w:noWrap/>
            <w:hideMark/>
          </w:tcPr>
          <w:p w14:paraId="3EEA37EF" w14:textId="77777777" w:rsidR="00617C4F" w:rsidRPr="00C67262" w:rsidRDefault="00617C4F" w:rsidP="001A2D71">
            <w:pPr>
              <w:pStyle w:val="af3"/>
              <w:jc w:val="right"/>
              <w:rPr>
                <w:szCs w:val="20"/>
              </w:rPr>
            </w:pPr>
            <w:r w:rsidRPr="00C67262">
              <w:rPr>
                <w:szCs w:val="20"/>
              </w:rPr>
              <w:t>2</w:t>
            </w:r>
          </w:p>
        </w:tc>
        <w:tc>
          <w:tcPr>
            <w:tcW w:w="709" w:type="dxa"/>
            <w:noWrap/>
            <w:hideMark/>
          </w:tcPr>
          <w:p w14:paraId="3A70AF68" w14:textId="77777777" w:rsidR="00617C4F" w:rsidRPr="00C67262" w:rsidRDefault="00CF7219" w:rsidP="001A2D71">
            <w:pPr>
              <w:pStyle w:val="af3"/>
              <w:jc w:val="right"/>
              <w:rPr>
                <w:szCs w:val="20"/>
              </w:rPr>
            </w:pPr>
            <w:r w:rsidRPr="00C67262">
              <w:rPr>
                <w:szCs w:val="20"/>
              </w:rPr>
              <w:t>2</w:t>
            </w:r>
          </w:p>
        </w:tc>
        <w:tc>
          <w:tcPr>
            <w:tcW w:w="1168" w:type="dxa"/>
            <w:noWrap/>
            <w:hideMark/>
          </w:tcPr>
          <w:p w14:paraId="1005EB9F" w14:textId="77777777" w:rsidR="00617C4F" w:rsidRPr="00C67262" w:rsidRDefault="00CF7219" w:rsidP="001A2D71">
            <w:pPr>
              <w:pStyle w:val="af3"/>
              <w:jc w:val="right"/>
              <w:rPr>
                <w:szCs w:val="20"/>
              </w:rPr>
            </w:pPr>
            <w:r w:rsidRPr="00C67262">
              <w:rPr>
                <w:szCs w:val="20"/>
              </w:rPr>
              <w:t>1</w:t>
            </w:r>
          </w:p>
        </w:tc>
        <w:tc>
          <w:tcPr>
            <w:tcW w:w="1100" w:type="dxa"/>
            <w:noWrap/>
            <w:hideMark/>
          </w:tcPr>
          <w:p w14:paraId="4E2CE723" w14:textId="77777777" w:rsidR="00617C4F" w:rsidRPr="00C67262" w:rsidRDefault="00617C4F" w:rsidP="001A2D71">
            <w:pPr>
              <w:pStyle w:val="af3"/>
              <w:jc w:val="right"/>
              <w:rPr>
                <w:szCs w:val="20"/>
              </w:rPr>
            </w:pPr>
            <w:r w:rsidRPr="00C67262">
              <w:rPr>
                <w:szCs w:val="20"/>
              </w:rPr>
              <w:t>1</w:t>
            </w:r>
          </w:p>
        </w:tc>
      </w:tr>
      <w:tr w:rsidR="00C67262" w:rsidRPr="00617C4F" w14:paraId="73FD2746" w14:textId="77777777" w:rsidTr="00C67262">
        <w:trPr>
          <w:trHeight w:val="170"/>
        </w:trPr>
        <w:tc>
          <w:tcPr>
            <w:tcW w:w="5387" w:type="dxa"/>
            <w:hideMark/>
          </w:tcPr>
          <w:p w14:paraId="00E05276" w14:textId="77777777" w:rsidR="00617C4F" w:rsidRPr="00C67262" w:rsidRDefault="00617C4F" w:rsidP="001A2D71">
            <w:pPr>
              <w:pStyle w:val="af3"/>
              <w:jc w:val="center"/>
              <w:rPr>
                <w:b/>
                <w:szCs w:val="20"/>
              </w:rPr>
            </w:pPr>
            <w:r w:rsidRPr="00C67262">
              <w:rPr>
                <w:b/>
                <w:szCs w:val="20"/>
              </w:rPr>
              <w:t>Консолидированный отчет о финансовом положении</w:t>
            </w:r>
          </w:p>
        </w:tc>
        <w:tc>
          <w:tcPr>
            <w:tcW w:w="743" w:type="dxa"/>
            <w:noWrap/>
            <w:hideMark/>
          </w:tcPr>
          <w:p w14:paraId="38C8253A" w14:textId="77777777" w:rsidR="00617C4F" w:rsidRPr="00C67262" w:rsidRDefault="00CF7219" w:rsidP="001A2D71">
            <w:pPr>
              <w:pStyle w:val="af3"/>
              <w:jc w:val="right"/>
              <w:rPr>
                <w:szCs w:val="20"/>
              </w:rPr>
            </w:pPr>
            <w:r w:rsidRPr="00C67262">
              <w:rPr>
                <w:szCs w:val="20"/>
              </w:rPr>
              <w:t>2</w:t>
            </w:r>
          </w:p>
        </w:tc>
        <w:tc>
          <w:tcPr>
            <w:tcW w:w="816" w:type="dxa"/>
            <w:noWrap/>
            <w:hideMark/>
          </w:tcPr>
          <w:p w14:paraId="7148E9ED" w14:textId="77777777" w:rsidR="00617C4F" w:rsidRPr="00C67262" w:rsidRDefault="00617C4F" w:rsidP="001A2D71">
            <w:pPr>
              <w:pStyle w:val="af3"/>
              <w:jc w:val="right"/>
              <w:rPr>
                <w:szCs w:val="20"/>
              </w:rPr>
            </w:pPr>
            <w:r w:rsidRPr="00C67262">
              <w:rPr>
                <w:szCs w:val="20"/>
              </w:rPr>
              <w:t>1</w:t>
            </w:r>
          </w:p>
        </w:tc>
        <w:tc>
          <w:tcPr>
            <w:tcW w:w="709" w:type="dxa"/>
            <w:noWrap/>
            <w:hideMark/>
          </w:tcPr>
          <w:p w14:paraId="154315D2" w14:textId="77777777" w:rsidR="00617C4F" w:rsidRPr="00C67262" w:rsidRDefault="00CF7219" w:rsidP="001A2D71">
            <w:pPr>
              <w:pStyle w:val="af3"/>
              <w:jc w:val="right"/>
              <w:rPr>
                <w:szCs w:val="20"/>
              </w:rPr>
            </w:pPr>
            <w:r w:rsidRPr="00C67262">
              <w:rPr>
                <w:szCs w:val="20"/>
              </w:rPr>
              <w:t>1</w:t>
            </w:r>
          </w:p>
        </w:tc>
        <w:tc>
          <w:tcPr>
            <w:tcW w:w="1168" w:type="dxa"/>
            <w:noWrap/>
            <w:hideMark/>
          </w:tcPr>
          <w:p w14:paraId="49A8E258" w14:textId="77777777" w:rsidR="00617C4F" w:rsidRPr="00C67262" w:rsidRDefault="00CF7219" w:rsidP="001A2D71">
            <w:pPr>
              <w:pStyle w:val="af3"/>
              <w:jc w:val="right"/>
              <w:rPr>
                <w:szCs w:val="20"/>
              </w:rPr>
            </w:pPr>
            <w:r w:rsidRPr="00C67262">
              <w:rPr>
                <w:szCs w:val="20"/>
              </w:rPr>
              <w:t>2</w:t>
            </w:r>
          </w:p>
        </w:tc>
        <w:tc>
          <w:tcPr>
            <w:tcW w:w="1100" w:type="dxa"/>
            <w:noWrap/>
            <w:hideMark/>
          </w:tcPr>
          <w:p w14:paraId="6F0027A0" w14:textId="77777777" w:rsidR="00617C4F" w:rsidRPr="00C67262" w:rsidRDefault="00617C4F" w:rsidP="001A2D71">
            <w:pPr>
              <w:pStyle w:val="af3"/>
              <w:jc w:val="right"/>
              <w:rPr>
                <w:szCs w:val="20"/>
              </w:rPr>
            </w:pPr>
            <w:r w:rsidRPr="00C67262">
              <w:rPr>
                <w:szCs w:val="20"/>
              </w:rPr>
              <w:t>2</w:t>
            </w:r>
          </w:p>
        </w:tc>
      </w:tr>
      <w:tr w:rsidR="00C67262" w:rsidRPr="00617C4F" w14:paraId="7D517C19" w14:textId="77777777" w:rsidTr="00C67262">
        <w:trPr>
          <w:trHeight w:val="640"/>
        </w:trPr>
        <w:tc>
          <w:tcPr>
            <w:tcW w:w="5387" w:type="dxa"/>
            <w:hideMark/>
          </w:tcPr>
          <w:p w14:paraId="51D895E6" w14:textId="77777777" w:rsidR="00617C4F" w:rsidRPr="00C67262" w:rsidRDefault="00617C4F" w:rsidP="001A2D71">
            <w:pPr>
              <w:pStyle w:val="af3"/>
              <w:jc w:val="center"/>
              <w:rPr>
                <w:b/>
                <w:szCs w:val="20"/>
              </w:rPr>
            </w:pPr>
            <w:r w:rsidRPr="00C67262">
              <w:rPr>
                <w:b/>
                <w:szCs w:val="20"/>
              </w:rPr>
              <w:t>Консолидированный отчет о движении денежных средств</w:t>
            </w:r>
          </w:p>
        </w:tc>
        <w:tc>
          <w:tcPr>
            <w:tcW w:w="743" w:type="dxa"/>
            <w:noWrap/>
            <w:hideMark/>
          </w:tcPr>
          <w:p w14:paraId="7CFB80ED" w14:textId="77777777" w:rsidR="00617C4F" w:rsidRPr="00C67262" w:rsidRDefault="00CF7219" w:rsidP="001A2D71">
            <w:pPr>
              <w:pStyle w:val="af3"/>
              <w:jc w:val="right"/>
              <w:rPr>
                <w:szCs w:val="20"/>
              </w:rPr>
            </w:pPr>
            <w:r w:rsidRPr="00C67262">
              <w:rPr>
                <w:szCs w:val="20"/>
              </w:rPr>
              <w:t>3</w:t>
            </w:r>
          </w:p>
        </w:tc>
        <w:tc>
          <w:tcPr>
            <w:tcW w:w="816" w:type="dxa"/>
            <w:noWrap/>
            <w:hideMark/>
          </w:tcPr>
          <w:p w14:paraId="578E0546" w14:textId="77777777" w:rsidR="00617C4F" w:rsidRPr="00C67262" w:rsidRDefault="00617C4F" w:rsidP="001A2D71">
            <w:pPr>
              <w:pStyle w:val="af3"/>
              <w:jc w:val="right"/>
              <w:rPr>
                <w:szCs w:val="20"/>
              </w:rPr>
            </w:pPr>
            <w:r w:rsidRPr="00C67262">
              <w:rPr>
                <w:szCs w:val="20"/>
              </w:rPr>
              <w:t>4</w:t>
            </w:r>
          </w:p>
        </w:tc>
        <w:tc>
          <w:tcPr>
            <w:tcW w:w="709" w:type="dxa"/>
            <w:noWrap/>
            <w:hideMark/>
          </w:tcPr>
          <w:p w14:paraId="7E6D2DF6" w14:textId="77777777" w:rsidR="00617C4F" w:rsidRPr="00C67262" w:rsidRDefault="00CF7219" w:rsidP="001A2D71">
            <w:pPr>
              <w:pStyle w:val="af3"/>
              <w:jc w:val="right"/>
              <w:rPr>
                <w:szCs w:val="20"/>
              </w:rPr>
            </w:pPr>
            <w:r w:rsidRPr="00C67262">
              <w:rPr>
                <w:szCs w:val="20"/>
              </w:rPr>
              <w:t>4</w:t>
            </w:r>
          </w:p>
        </w:tc>
        <w:tc>
          <w:tcPr>
            <w:tcW w:w="1168" w:type="dxa"/>
            <w:noWrap/>
            <w:hideMark/>
          </w:tcPr>
          <w:p w14:paraId="3D8926E9" w14:textId="77777777" w:rsidR="00617C4F" w:rsidRPr="00C67262" w:rsidRDefault="00CF7219" w:rsidP="001A2D71">
            <w:pPr>
              <w:pStyle w:val="af3"/>
              <w:jc w:val="right"/>
              <w:rPr>
                <w:szCs w:val="20"/>
              </w:rPr>
            </w:pPr>
            <w:r w:rsidRPr="00C67262">
              <w:rPr>
                <w:szCs w:val="20"/>
              </w:rPr>
              <w:t>4</w:t>
            </w:r>
          </w:p>
        </w:tc>
        <w:tc>
          <w:tcPr>
            <w:tcW w:w="1100" w:type="dxa"/>
            <w:noWrap/>
            <w:hideMark/>
          </w:tcPr>
          <w:p w14:paraId="51A68BE4" w14:textId="77777777" w:rsidR="00617C4F" w:rsidRPr="00C67262" w:rsidRDefault="00617C4F" w:rsidP="001A2D71">
            <w:pPr>
              <w:pStyle w:val="af3"/>
              <w:jc w:val="right"/>
              <w:rPr>
                <w:szCs w:val="20"/>
              </w:rPr>
            </w:pPr>
            <w:r w:rsidRPr="00C67262">
              <w:rPr>
                <w:szCs w:val="20"/>
              </w:rPr>
              <w:t>4</w:t>
            </w:r>
          </w:p>
        </w:tc>
      </w:tr>
      <w:tr w:rsidR="00C67262" w:rsidRPr="00617C4F" w14:paraId="2CF8C91C" w14:textId="77777777" w:rsidTr="00C67262">
        <w:trPr>
          <w:trHeight w:val="169"/>
        </w:trPr>
        <w:tc>
          <w:tcPr>
            <w:tcW w:w="5387" w:type="dxa"/>
            <w:hideMark/>
          </w:tcPr>
          <w:p w14:paraId="3A12B5DB" w14:textId="77777777" w:rsidR="00617C4F" w:rsidRPr="00C67262" w:rsidRDefault="00617C4F" w:rsidP="001A2D71">
            <w:pPr>
              <w:pStyle w:val="af3"/>
              <w:jc w:val="center"/>
              <w:rPr>
                <w:b/>
                <w:szCs w:val="20"/>
              </w:rPr>
            </w:pPr>
            <w:r w:rsidRPr="00C67262">
              <w:rPr>
                <w:b/>
                <w:szCs w:val="20"/>
              </w:rPr>
              <w:t>Консолидированный отчет об изменениях в капитале</w:t>
            </w:r>
          </w:p>
        </w:tc>
        <w:tc>
          <w:tcPr>
            <w:tcW w:w="743" w:type="dxa"/>
            <w:noWrap/>
            <w:hideMark/>
          </w:tcPr>
          <w:p w14:paraId="7AD76640" w14:textId="77777777" w:rsidR="00617C4F" w:rsidRPr="00C67262" w:rsidRDefault="00CF7219" w:rsidP="001A2D71">
            <w:pPr>
              <w:pStyle w:val="af3"/>
              <w:jc w:val="right"/>
              <w:rPr>
                <w:szCs w:val="20"/>
              </w:rPr>
            </w:pPr>
            <w:r w:rsidRPr="00C67262">
              <w:rPr>
                <w:szCs w:val="20"/>
              </w:rPr>
              <w:t>4</w:t>
            </w:r>
          </w:p>
        </w:tc>
        <w:tc>
          <w:tcPr>
            <w:tcW w:w="816" w:type="dxa"/>
            <w:noWrap/>
            <w:hideMark/>
          </w:tcPr>
          <w:p w14:paraId="347AA155" w14:textId="77777777" w:rsidR="00617C4F" w:rsidRPr="00C67262" w:rsidRDefault="00617C4F" w:rsidP="001A2D71">
            <w:pPr>
              <w:pStyle w:val="af3"/>
              <w:jc w:val="right"/>
              <w:rPr>
                <w:szCs w:val="20"/>
              </w:rPr>
            </w:pPr>
            <w:r w:rsidRPr="00C67262">
              <w:rPr>
                <w:szCs w:val="20"/>
              </w:rPr>
              <w:t>3</w:t>
            </w:r>
          </w:p>
        </w:tc>
        <w:tc>
          <w:tcPr>
            <w:tcW w:w="709" w:type="dxa"/>
            <w:noWrap/>
            <w:hideMark/>
          </w:tcPr>
          <w:p w14:paraId="5F8C0BEC" w14:textId="77777777" w:rsidR="00617C4F" w:rsidRPr="00C67262" w:rsidRDefault="00CF7219" w:rsidP="001A2D71">
            <w:pPr>
              <w:pStyle w:val="af3"/>
              <w:jc w:val="right"/>
              <w:rPr>
                <w:szCs w:val="20"/>
              </w:rPr>
            </w:pPr>
            <w:r w:rsidRPr="00C67262">
              <w:rPr>
                <w:szCs w:val="20"/>
              </w:rPr>
              <w:t>3</w:t>
            </w:r>
          </w:p>
        </w:tc>
        <w:tc>
          <w:tcPr>
            <w:tcW w:w="1168" w:type="dxa"/>
            <w:noWrap/>
            <w:hideMark/>
          </w:tcPr>
          <w:p w14:paraId="1AB258F8" w14:textId="77777777" w:rsidR="00617C4F" w:rsidRPr="00C67262" w:rsidRDefault="00CF7219" w:rsidP="001A2D71">
            <w:pPr>
              <w:pStyle w:val="af3"/>
              <w:jc w:val="right"/>
              <w:rPr>
                <w:szCs w:val="20"/>
              </w:rPr>
            </w:pPr>
            <w:r w:rsidRPr="00C67262">
              <w:rPr>
                <w:szCs w:val="20"/>
              </w:rPr>
              <w:t>3</w:t>
            </w:r>
          </w:p>
        </w:tc>
        <w:tc>
          <w:tcPr>
            <w:tcW w:w="1100" w:type="dxa"/>
            <w:noWrap/>
            <w:hideMark/>
          </w:tcPr>
          <w:p w14:paraId="470BDBB7" w14:textId="77777777" w:rsidR="00617C4F" w:rsidRPr="00C67262" w:rsidRDefault="00617C4F" w:rsidP="001A2D71">
            <w:pPr>
              <w:pStyle w:val="af3"/>
              <w:jc w:val="right"/>
              <w:rPr>
                <w:szCs w:val="20"/>
              </w:rPr>
            </w:pPr>
            <w:r w:rsidRPr="00C67262">
              <w:rPr>
                <w:szCs w:val="20"/>
              </w:rPr>
              <w:t>3</w:t>
            </w:r>
          </w:p>
        </w:tc>
      </w:tr>
      <w:tr w:rsidR="00C67262" w:rsidRPr="00617C4F" w14:paraId="5432E0D1" w14:textId="77777777" w:rsidTr="00C67262">
        <w:trPr>
          <w:trHeight w:val="589"/>
        </w:trPr>
        <w:tc>
          <w:tcPr>
            <w:tcW w:w="5387" w:type="dxa"/>
            <w:hideMark/>
          </w:tcPr>
          <w:p w14:paraId="5F47F18A" w14:textId="77777777" w:rsidR="00617C4F" w:rsidRPr="00C67262" w:rsidRDefault="00617C4F" w:rsidP="001A2D71">
            <w:pPr>
              <w:pStyle w:val="af3"/>
              <w:jc w:val="center"/>
              <w:rPr>
                <w:b/>
                <w:szCs w:val="20"/>
              </w:rPr>
            </w:pPr>
            <w:r w:rsidRPr="00C67262">
              <w:rPr>
                <w:b/>
                <w:szCs w:val="20"/>
              </w:rPr>
              <w:t>Примечания к консолидированной финансовой отчетности</w:t>
            </w:r>
          </w:p>
        </w:tc>
        <w:tc>
          <w:tcPr>
            <w:tcW w:w="743" w:type="dxa"/>
            <w:noWrap/>
            <w:hideMark/>
          </w:tcPr>
          <w:p w14:paraId="660A2814" w14:textId="77777777" w:rsidR="00617C4F" w:rsidRPr="00C67262" w:rsidRDefault="00CF7219" w:rsidP="001A2D71">
            <w:pPr>
              <w:pStyle w:val="af3"/>
              <w:jc w:val="right"/>
              <w:rPr>
                <w:szCs w:val="20"/>
              </w:rPr>
            </w:pPr>
            <w:r w:rsidRPr="00C67262">
              <w:rPr>
                <w:szCs w:val="20"/>
              </w:rPr>
              <w:t>5</w:t>
            </w:r>
          </w:p>
        </w:tc>
        <w:tc>
          <w:tcPr>
            <w:tcW w:w="816" w:type="dxa"/>
            <w:noWrap/>
            <w:hideMark/>
          </w:tcPr>
          <w:p w14:paraId="2EB06527" w14:textId="77777777" w:rsidR="00617C4F" w:rsidRPr="00C67262" w:rsidRDefault="00617C4F" w:rsidP="001A2D71">
            <w:pPr>
              <w:pStyle w:val="af3"/>
              <w:jc w:val="right"/>
              <w:rPr>
                <w:szCs w:val="20"/>
              </w:rPr>
            </w:pPr>
            <w:r w:rsidRPr="00C67262">
              <w:rPr>
                <w:szCs w:val="20"/>
              </w:rPr>
              <w:t>5</w:t>
            </w:r>
          </w:p>
        </w:tc>
        <w:tc>
          <w:tcPr>
            <w:tcW w:w="709" w:type="dxa"/>
            <w:noWrap/>
            <w:hideMark/>
          </w:tcPr>
          <w:p w14:paraId="4025537F" w14:textId="77777777" w:rsidR="00617C4F" w:rsidRPr="00C67262" w:rsidRDefault="00CF7219" w:rsidP="001A2D71">
            <w:pPr>
              <w:pStyle w:val="af3"/>
              <w:jc w:val="right"/>
              <w:rPr>
                <w:szCs w:val="20"/>
              </w:rPr>
            </w:pPr>
            <w:r w:rsidRPr="00C67262">
              <w:rPr>
                <w:szCs w:val="20"/>
              </w:rPr>
              <w:t>5</w:t>
            </w:r>
          </w:p>
        </w:tc>
        <w:tc>
          <w:tcPr>
            <w:tcW w:w="1168" w:type="dxa"/>
            <w:noWrap/>
            <w:hideMark/>
          </w:tcPr>
          <w:p w14:paraId="7301102B" w14:textId="77777777" w:rsidR="00617C4F" w:rsidRPr="00C67262" w:rsidRDefault="00CF7219" w:rsidP="001A2D71">
            <w:pPr>
              <w:pStyle w:val="af3"/>
              <w:jc w:val="right"/>
              <w:rPr>
                <w:szCs w:val="20"/>
              </w:rPr>
            </w:pPr>
            <w:r w:rsidRPr="00C67262">
              <w:rPr>
                <w:szCs w:val="20"/>
              </w:rPr>
              <w:t>5</w:t>
            </w:r>
          </w:p>
        </w:tc>
        <w:tc>
          <w:tcPr>
            <w:tcW w:w="1100" w:type="dxa"/>
            <w:noWrap/>
            <w:hideMark/>
          </w:tcPr>
          <w:p w14:paraId="0AD62415" w14:textId="77777777" w:rsidR="00617C4F" w:rsidRPr="00C67262" w:rsidRDefault="00617C4F" w:rsidP="001A2D71">
            <w:pPr>
              <w:pStyle w:val="af3"/>
              <w:jc w:val="right"/>
              <w:rPr>
                <w:szCs w:val="20"/>
              </w:rPr>
            </w:pPr>
            <w:r w:rsidRPr="00C67262">
              <w:rPr>
                <w:szCs w:val="20"/>
              </w:rPr>
              <w:t>5</w:t>
            </w:r>
          </w:p>
        </w:tc>
      </w:tr>
    </w:tbl>
    <w:p w14:paraId="7A2198DE" w14:textId="77777777" w:rsidR="00CE4CB5" w:rsidRPr="003125E0" w:rsidRDefault="00CE4CB5" w:rsidP="00CE4CB5">
      <w:pPr>
        <w:rPr>
          <w:i/>
          <w:sz w:val="20"/>
          <w:szCs w:val="20"/>
          <w:lang w:val="en-US"/>
        </w:rPr>
      </w:pPr>
      <w:r w:rsidRPr="00E564C4">
        <w:rPr>
          <w:i/>
          <w:sz w:val="20"/>
          <w:szCs w:val="20"/>
        </w:rPr>
        <w:t xml:space="preserve">Составлено автором на основе данных, представленных на официальных сайтах </w:t>
      </w:r>
      <w:r w:rsidRPr="003125E0">
        <w:rPr>
          <w:i/>
          <w:sz w:val="20"/>
          <w:szCs w:val="20"/>
        </w:rPr>
        <w:t>компаний</w:t>
      </w:r>
      <w:r>
        <w:rPr>
          <w:i/>
          <w:sz w:val="20"/>
          <w:szCs w:val="20"/>
        </w:rPr>
        <w:t xml:space="preserve"> </w:t>
      </w:r>
      <w:r>
        <w:rPr>
          <w:i/>
          <w:sz w:val="20"/>
          <w:szCs w:val="20"/>
          <w:lang w:val="en-US"/>
        </w:rPr>
        <w:t>[</w:t>
      </w:r>
      <w:r>
        <w:rPr>
          <w:i/>
          <w:sz w:val="20"/>
          <w:szCs w:val="20"/>
        </w:rPr>
        <w:t>40, 41, 42, 43 45</w:t>
      </w:r>
      <w:r>
        <w:rPr>
          <w:i/>
          <w:sz w:val="20"/>
          <w:szCs w:val="20"/>
          <w:lang w:val="en-US"/>
        </w:rPr>
        <w:t>]</w:t>
      </w:r>
    </w:p>
    <w:p w14:paraId="5B25A827" w14:textId="6F0D372D" w:rsidR="00C67262" w:rsidRPr="00C67262" w:rsidRDefault="00C67262" w:rsidP="00C67262">
      <w:r>
        <w:lastRenderedPageBreak/>
        <w:t>Также стоит отметить следующую тенденцию: российские компании (ЛСР, ПИК и ЛенСпецСМУ) представляют к</w:t>
      </w:r>
      <w:r w:rsidRPr="00A80AD0">
        <w:t>онсолидированный отчет о прибыли или убытке и прочем совокупном доходе</w:t>
      </w:r>
      <w:r>
        <w:t xml:space="preserve"> одной формой, а зарубежные - двумя разными формами.</w:t>
      </w:r>
    </w:p>
    <w:p w14:paraId="58C693DF" w14:textId="32981EE2" w:rsidR="00C13235" w:rsidRDefault="00C13235" w:rsidP="00C13235">
      <w:r>
        <w:t xml:space="preserve">Отчет о прибыли и убытке и прочем совокупном доходе является одной  из ключевых форм отчетности, поэтому для любой организации ( в том числе и строительной) важно, чтобы этот отчет был максимально понятен пользователям отчетности. Расходы в Отчете могут быть представлены по характеру затрат или же по функции затрат. По мнению автора, затраты, </w:t>
      </w:r>
      <w:r w:rsidR="007C5ACD">
        <w:t>представленные</w:t>
      </w:r>
      <w:r>
        <w:t xml:space="preserve"> методом «по функции затрат»</w:t>
      </w:r>
      <w:r w:rsidR="004A68FC">
        <w:t xml:space="preserve"> более привычны для пользователей отчетности, однако данный метод сложнее в применении ввиду необходимости распределения затрат (в данном случае в силу вступает профессиональное</w:t>
      </w:r>
      <w:r w:rsidR="0007798A">
        <w:t xml:space="preserve"> суждение бухгалтера). В табл. 15</w:t>
      </w:r>
      <w:r w:rsidR="004A68FC">
        <w:t xml:space="preserve"> показаны методы, выбранные </w:t>
      </w:r>
      <w:r w:rsidR="007C5ACD">
        <w:t>организациями</w:t>
      </w:r>
      <w:r w:rsidR="004A68FC">
        <w:t xml:space="preserve"> для представления расходов в своей отчетности: только одна компания из пяти (компания </w:t>
      </w:r>
      <w:r w:rsidR="004A68FC">
        <w:rPr>
          <w:lang w:val="en-US"/>
        </w:rPr>
        <w:t>ACS</w:t>
      </w:r>
      <w:r w:rsidR="004A68FC" w:rsidRPr="009E60EB">
        <w:t>)</w:t>
      </w:r>
      <w:r w:rsidR="004A68FC">
        <w:t xml:space="preserve"> использует метод «по характеру затрат».</w:t>
      </w:r>
    </w:p>
    <w:p w14:paraId="52EC039A" w14:textId="4993295A" w:rsidR="0007798A" w:rsidRPr="00E564C4" w:rsidRDefault="0007798A" w:rsidP="00E564C4">
      <w:pPr>
        <w:rPr>
          <w:i/>
        </w:rPr>
      </w:pPr>
      <w:r w:rsidRPr="00E564C4">
        <w:rPr>
          <w:i/>
        </w:rPr>
        <w:t>Таблица 15 Метод классификации расходов</w:t>
      </w:r>
    </w:p>
    <w:tbl>
      <w:tblPr>
        <w:tblStyle w:val="af2"/>
        <w:tblW w:w="0" w:type="auto"/>
        <w:tblLayout w:type="fixed"/>
        <w:tblLook w:val="04A0" w:firstRow="1" w:lastRow="0" w:firstColumn="1" w:lastColumn="0" w:noHBand="0" w:noVBand="1"/>
      </w:tblPr>
      <w:tblGrid>
        <w:gridCol w:w="3367"/>
        <w:gridCol w:w="1263"/>
        <w:gridCol w:w="1262"/>
        <w:gridCol w:w="879"/>
        <w:gridCol w:w="1842"/>
        <w:gridCol w:w="1235"/>
      </w:tblGrid>
      <w:tr w:rsidR="00086B48" w:rsidRPr="003E5BEC" w14:paraId="34BA270E" w14:textId="77777777" w:rsidTr="001A2D71">
        <w:trPr>
          <w:trHeight w:val="320"/>
        </w:trPr>
        <w:tc>
          <w:tcPr>
            <w:tcW w:w="3367" w:type="dxa"/>
            <w:noWrap/>
            <w:hideMark/>
          </w:tcPr>
          <w:p w14:paraId="5523C639" w14:textId="54714833" w:rsidR="003E5BEC" w:rsidRPr="001A2D71" w:rsidRDefault="00705D7A" w:rsidP="001A2D71">
            <w:pPr>
              <w:pStyle w:val="af3"/>
              <w:jc w:val="center"/>
              <w:rPr>
                <w:b/>
                <w:sz w:val="24"/>
              </w:rPr>
            </w:pPr>
            <w:r w:rsidRPr="001A2D71">
              <w:rPr>
                <w:b/>
                <w:sz w:val="24"/>
              </w:rPr>
              <w:t xml:space="preserve">Метод классификации расходов </w:t>
            </w:r>
            <w:r w:rsidR="008068E8" w:rsidRPr="001A2D71">
              <w:rPr>
                <w:b/>
                <w:sz w:val="24"/>
              </w:rPr>
              <w:t xml:space="preserve">/ </w:t>
            </w:r>
            <w:r w:rsidRPr="001A2D71">
              <w:rPr>
                <w:b/>
                <w:sz w:val="24"/>
              </w:rPr>
              <w:t>Наименование компании</w:t>
            </w:r>
          </w:p>
        </w:tc>
        <w:tc>
          <w:tcPr>
            <w:tcW w:w="1263" w:type="dxa"/>
            <w:noWrap/>
            <w:hideMark/>
          </w:tcPr>
          <w:p w14:paraId="58786E58" w14:textId="77777777" w:rsidR="003E5BEC" w:rsidRPr="001A2D71" w:rsidRDefault="003E5BEC" w:rsidP="001A2D71">
            <w:pPr>
              <w:pStyle w:val="af3"/>
              <w:jc w:val="center"/>
              <w:rPr>
                <w:b/>
                <w:sz w:val="24"/>
              </w:rPr>
            </w:pPr>
            <w:r w:rsidRPr="001A2D71">
              <w:rPr>
                <w:b/>
                <w:sz w:val="24"/>
              </w:rPr>
              <w:t>ЛСР</w:t>
            </w:r>
          </w:p>
        </w:tc>
        <w:tc>
          <w:tcPr>
            <w:tcW w:w="1262" w:type="dxa"/>
            <w:noWrap/>
            <w:hideMark/>
          </w:tcPr>
          <w:p w14:paraId="1F2E068E" w14:textId="77777777" w:rsidR="003E5BEC" w:rsidRPr="001A2D71" w:rsidRDefault="003E5BEC" w:rsidP="001A2D71">
            <w:pPr>
              <w:pStyle w:val="af3"/>
              <w:jc w:val="center"/>
              <w:rPr>
                <w:b/>
                <w:sz w:val="24"/>
              </w:rPr>
            </w:pPr>
            <w:r w:rsidRPr="001A2D71">
              <w:rPr>
                <w:b/>
                <w:sz w:val="24"/>
              </w:rPr>
              <w:t>ПИК</w:t>
            </w:r>
          </w:p>
        </w:tc>
        <w:tc>
          <w:tcPr>
            <w:tcW w:w="879" w:type="dxa"/>
            <w:noWrap/>
            <w:hideMark/>
          </w:tcPr>
          <w:p w14:paraId="43BE2E3B" w14:textId="77777777" w:rsidR="003E5BEC" w:rsidRPr="001A2D71" w:rsidRDefault="003E5BEC" w:rsidP="001A2D71">
            <w:pPr>
              <w:pStyle w:val="af3"/>
              <w:jc w:val="center"/>
              <w:rPr>
                <w:b/>
                <w:sz w:val="24"/>
              </w:rPr>
            </w:pPr>
            <w:r w:rsidRPr="001A2D71">
              <w:rPr>
                <w:b/>
                <w:sz w:val="24"/>
              </w:rPr>
              <w:t>ACS</w:t>
            </w:r>
          </w:p>
        </w:tc>
        <w:tc>
          <w:tcPr>
            <w:tcW w:w="1842" w:type="dxa"/>
            <w:noWrap/>
            <w:hideMark/>
          </w:tcPr>
          <w:p w14:paraId="7200738F" w14:textId="77777777" w:rsidR="003E5BEC" w:rsidRPr="001A2D71" w:rsidRDefault="003E5BEC" w:rsidP="001A2D71">
            <w:pPr>
              <w:pStyle w:val="af3"/>
              <w:jc w:val="center"/>
              <w:rPr>
                <w:b/>
                <w:sz w:val="24"/>
              </w:rPr>
            </w:pPr>
            <w:r w:rsidRPr="001A2D71">
              <w:rPr>
                <w:b/>
                <w:sz w:val="24"/>
              </w:rPr>
              <w:t>ЛенСпецСМУ</w:t>
            </w:r>
          </w:p>
        </w:tc>
        <w:tc>
          <w:tcPr>
            <w:tcW w:w="1235" w:type="dxa"/>
            <w:noWrap/>
            <w:hideMark/>
          </w:tcPr>
          <w:p w14:paraId="165E24E5" w14:textId="77777777" w:rsidR="003E5BEC" w:rsidRPr="001A2D71" w:rsidRDefault="003E5BEC" w:rsidP="001A2D71">
            <w:pPr>
              <w:pStyle w:val="af3"/>
              <w:jc w:val="center"/>
              <w:rPr>
                <w:b/>
                <w:sz w:val="24"/>
              </w:rPr>
            </w:pPr>
            <w:r w:rsidRPr="001A2D71">
              <w:rPr>
                <w:b/>
                <w:sz w:val="24"/>
              </w:rPr>
              <w:t>Skanska</w:t>
            </w:r>
          </w:p>
        </w:tc>
      </w:tr>
      <w:tr w:rsidR="00086B48" w:rsidRPr="003E5BEC" w14:paraId="1F18696A" w14:textId="77777777" w:rsidTr="001A2D71">
        <w:trPr>
          <w:trHeight w:val="320"/>
        </w:trPr>
        <w:tc>
          <w:tcPr>
            <w:tcW w:w="3367" w:type="dxa"/>
            <w:noWrap/>
            <w:hideMark/>
          </w:tcPr>
          <w:p w14:paraId="647910F6" w14:textId="77777777" w:rsidR="003E5BEC" w:rsidRPr="001A2D71" w:rsidRDefault="003E5BEC" w:rsidP="001A2D71">
            <w:pPr>
              <w:pStyle w:val="af3"/>
              <w:jc w:val="center"/>
              <w:rPr>
                <w:b/>
                <w:sz w:val="24"/>
              </w:rPr>
            </w:pPr>
            <w:r w:rsidRPr="001A2D71">
              <w:rPr>
                <w:b/>
                <w:sz w:val="24"/>
              </w:rPr>
              <w:t>По характеру затрат</w:t>
            </w:r>
          </w:p>
        </w:tc>
        <w:tc>
          <w:tcPr>
            <w:tcW w:w="1263" w:type="dxa"/>
            <w:noWrap/>
            <w:hideMark/>
          </w:tcPr>
          <w:p w14:paraId="138C9525" w14:textId="77777777" w:rsidR="003E5BEC" w:rsidRPr="001A0CDB" w:rsidRDefault="003E5BEC" w:rsidP="00086B48">
            <w:pPr>
              <w:pStyle w:val="af3"/>
              <w:rPr>
                <w:sz w:val="24"/>
              </w:rPr>
            </w:pPr>
          </w:p>
        </w:tc>
        <w:tc>
          <w:tcPr>
            <w:tcW w:w="1262" w:type="dxa"/>
            <w:noWrap/>
            <w:hideMark/>
          </w:tcPr>
          <w:p w14:paraId="134275E0" w14:textId="77777777" w:rsidR="003E5BEC" w:rsidRPr="001A0CDB" w:rsidRDefault="003E5BEC" w:rsidP="00086B48">
            <w:pPr>
              <w:pStyle w:val="af3"/>
              <w:rPr>
                <w:sz w:val="24"/>
              </w:rPr>
            </w:pPr>
          </w:p>
        </w:tc>
        <w:tc>
          <w:tcPr>
            <w:tcW w:w="879" w:type="dxa"/>
            <w:shd w:val="clear" w:color="auto" w:fill="A5A5A5" w:themeFill="accent3"/>
            <w:noWrap/>
            <w:hideMark/>
          </w:tcPr>
          <w:p w14:paraId="77B0C626" w14:textId="77777777" w:rsidR="003E5BEC" w:rsidRPr="001A0CDB" w:rsidRDefault="003E5BEC" w:rsidP="00086B48">
            <w:pPr>
              <w:pStyle w:val="af3"/>
              <w:rPr>
                <w:sz w:val="24"/>
              </w:rPr>
            </w:pPr>
            <w:r w:rsidRPr="001A0CDB">
              <w:rPr>
                <w:sz w:val="24"/>
              </w:rPr>
              <w:t> </w:t>
            </w:r>
          </w:p>
        </w:tc>
        <w:tc>
          <w:tcPr>
            <w:tcW w:w="1842" w:type="dxa"/>
            <w:noWrap/>
            <w:hideMark/>
          </w:tcPr>
          <w:p w14:paraId="53AE8D59" w14:textId="77777777" w:rsidR="003E5BEC" w:rsidRPr="001A0CDB" w:rsidRDefault="003E5BEC" w:rsidP="00086B48">
            <w:pPr>
              <w:pStyle w:val="af3"/>
              <w:rPr>
                <w:sz w:val="24"/>
              </w:rPr>
            </w:pPr>
          </w:p>
        </w:tc>
        <w:tc>
          <w:tcPr>
            <w:tcW w:w="1235" w:type="dxa"/>
            <w:noWrap/>
            <w:hideMark/>
          </w:tcPr>
          <w:p w14:paraId="6A717EC0" w14:textId="77777777" w:rsidR="003E5BEC" w:rsidRPr="001A0CDB" w:rsidRDefault="003E5BEC" w:rsidP="00086B48">
            <w:pPr>
              <w:pStyle w:val="af3"/>
              <w:rPr>
                <w:sz w:val="24"/>
              </w:rPr>
            </w:pPr>
          </w:p>
        </w:tc>
      </w:tr>
      <w:tr w:rsidR="00086B48" w:rsidRPr="003E5BEC" w14:paraId="4E7C48F7" w14:textId="77777777" w:rsidTr="001A2D71">
        <w:trPr>
          <w:trHeight w:val="320"/>
        </w:trPr>
        <w:tc>
          <w:tcPr>
            <w:tcW w:w="3367" w:type="dxa"/>
            <w:noWrap/>
            <w:hideMark/>
          </w:tcPr>
          <w:p w14:paraId="0690BCEF" w14:textId="77777777" w:rsidR="003E5BEC" w:rsidRPr="001A2D71" w:rsidRDefault="003E5BEC" w:rsidP="001A2D71">
            <w:pPr>
              <w:pStyle w:val="af3"/>
              <w:jc w:val="center"/>
              <w:rPr>
                <w:b/>
                <w:sz w:val="24"/>
              </w:rPr>
            </w:pPr>
            <w:r w:rsidRPr="001A2D71">
              <w:rPr>
                <w:b/>
                <w:sz w:val="24"/>
              </w:rPr>
              <w:t>По функции затрат</w:t>
            </w:r>
          </w:p>
        </w:tc>
        <w:tc>
          <w:tcPr>
            <w:tcW w:w="1263" w:type="dxa"/>
            <w:shd w:val="clear" w:color="auto" w:fill="A5A5A5" w:themeFill="accent3"/>
            <w:noWrap/>
            <w:hideMark/>
          </w:tcPr>
          <w:p w14:paraId="79ACE3DA" w14:textId="77777777" w:rsidR="003E5BEC" w:rsidRPr="001A0CDB" w:rsidRDefault="003E5BEC" w:rsidP="00086B48">
            <w:pPr>
              <w:pStyle w:val="af3"/>
              <w:rPr>
                <w:sz w:val="24"/>
              </w:rPr>
            </w:pPr>
            <w:r w:rsidRPr="001A0CDB">
              <w:rPr>
                <w:sz w:val="24"/>
              </w:rPr>
              <w:t> </w:t>
            </w:r>
          </w:p>
        </w:tc>
        <w:tc>
          <w:tcPr>
            <w:tcW w:w="1262" w:type="dxa"/>
            <w:shd w:val="clear" w:color="auto" w:fill="A5A5A5" w:themeFill="accent3"/>
            <w:noWrap/>
            <w:hideMark/>
          </w:tcPr>
          <w:p w14:paraId="78AE29E3" w14:textId="77777777" w:rsidR="003E5BEC" w:rsidRPr="001A0CDB" w:rsidRDefault="003E5BEC" w:rsidP="00086B48">
            <w:pPr>
              <w:pStyle w:val="af3"/>
              <w:rPr>
                <w:sz w:val="24"/>
              </w:rPr>
            </w:pPr>
            <w:r w:rsidRPr="001A0CDB">
              <w:rPr>
                <w:sz w:val="24"/>
              </w:rPr>
              <w:t> </w:t>
            </w:r>
          </w:p>
        </w:tc>
        <w:tc>
          <w:tcPr>
            <w:tcW w:w="879" w:type="dxa"/>
            <w:noWrap/>
            <w:hideMark/>
          </w:tcPr>
          <w:p w14:paraId="4C89E7DE" w14:textId="77777777" w:rsidR="003E5BEC" w:rsidRPr="001A0CDB" w:rsidRDefault="003E5BEC" w:rsidP="00086B48">
            <w:pPr>
              <w:pStyle w:val="af3"/>
              <w:rPr>
                <w:sz w:val="24"/>
              </w:rPr>
            </w:pPr>
          </w:p>
        </w:tc>
        <w:tc>
          <w:tcPr>
            <w:tcW w:w="1842" w:type="dxa"/>
            <w:shd w:val="clear" w:color="auto" w:fill="A5A5A5" w:themeFill="accent3"/>
            <w:noWrap/>
            <w:hideMark/>
          </w:tcPr>
          <w:p w14:paraId="619119F8" w14:textId="77777777" w:rsidR="003E5BEC" w:rsidRPr="001A0CDB" w:rsidRDefault="003E5BEC" w:rsidP="00086B48">
            <w:pPr>
              <w:pStyle w:val="af3"/>
              <w:rPr>
                <w:sz w:val="24"/>
              </w:rPr>
            </w:pPr>
            <w:r w:rsidRPr="001A0CDB">
              <w:rPr>
                <w:sz w:val="24"/>
              </w:rPr>
              <w:t> </w:t>
            </w:r>
          </w:p>
        </w:tc>
        <w:tc>
          <w:tcPr>
            <w:tcW w:w="1235" w:type="dxa"/>
            <w:shd w:val="clear" w:color="auto" w:fill="A5A5A5" w:themeFill="accent3"/>
            <w:noWrap/>
            <w:hideMark/>
          </w:tcPr>
          <w:p w14:paraId="169E35A2" w14:textId="77777777" w:rsidR="003E5BEC" w:rsidRPr="001A0CDB" w:rsidRDefault="003E5BEC" w:rsidP="00086B48">
            <w:pPr>
              <w:pStyle w:val="af3"/>
              <w:rPr>
                <w:sz w:val="24"/>
              </w:rPr>
            </w:pPr>
            <w:r w:rsidRPr="001A0CDB">
              <w:rPr>
                <w:sz w:val="24"/>
              </w:rPr>
              <w:t> </w:t>
            </w:r>
          </w:p>
        </w:tc>
      </w:tr>
    </w:tbl>
    <w:p w14:paraId="07559AD5" w14:textId="77777777" w:rsidR="00CE4CB5" w:rsidRPr="003125E0" w:rsidRDefault="00CE4CB5" w:rsidP="00CE4CB5">
      <w:pPr>
        <w:rPr>
          <w:i/>
          <w:sz w:val="20"/>
          <w:szCs w:val="20"/>
          <w:lang w:val="en-US"/>
        </w:rPr>
      </w:pPr>
      <w:r w:rsidRPr="00E564C4">
        <w:rPr>
          <w:i/>
          <w:sz w:val="20"/>
          <w:szCs w:val="20"/>
        </w:rPr>
        <w:t xml:space="preserve">Составлено автором на основе данных, представленных на официальных сайтах </w:t>
      </w:r>
      <w:r w:rsidRPr="003125E0">
        <w:rPr>
          <w:i/>
          <w:sz w:val="20"/>
          <w:szCs w:val="20"/>
        </w:rPr>
        <w:t>компаний</w:t>
      </w:r>
      <w:r>
        <w:rPr>
          <w:i/>
          <w:sz w:val="20"/>
          <w:szCs w:val="20"/>
        </w:rPr>
        <w:t xml:space="preserve"> </w:t>
      </w:r>
      <w:r>
        <w:rPr>
          <w:i/>
          <w:sz w:val="20"/>
          <w:szCs w:val="20"/>
          <w:lang w:val="en-US"/>
        </w:rPr>
        <w:t>[</w:t>
      </w:r>
      <w:r>
        <w:rPr>
          <w:i/>
          <w:sz w:val="20"/>
          <w:szCs w:val="20"/>
        </w:rPr>
        <w:t>40, 41, 42, 43 45</w:t>
      </w:r>
      <w:r>
        <w:rPr>
          <w:i/>
          <w:sz w:val="20"/>
          <w:szCs w:val="20"/>
          <w:lang w:val="en-US"/>
        </w:rPr>
        <w:t>]</w:t>
      </w:r>
    </w:p>
    <w:p w14:paraId="1B710926" w14:textId="24F848AA" w:rsidR="008436A0" w:rsidRDefault="00777FFE" w:rsidP="00F26989">
      <w:r>
        <w:t xml:space="preserve">Все без исключения компании, являющиеся объектами данного исследования составляют </w:t>
      </w:r>
      <w:r w:rsidR="007C5ACD">
        <w:t>отчёт</w:t>
      </w:r>
      <w:r>
        <w:t xml:space="preserve"> о движении денежных средств косвенным методом. </w:t>
      </w:r>
      <w:r w:rsidR="00F26989">
        <w:t>По мнению автора, это вызвано тем, что косвенный метод более прост в применении, то есть затрачивает меньше трудовых ресурсов компании. Данный метод, в отличие от прямого, показывает взаимосвязи между разными видами деятельности предприятия и устанавливает зависимость между чистой прибылью и изменениями в оборотном капитале предприятия за отчетный период. Однако и</w:t>
      </w:r>
      <w:r w:rsidR="008436A0" w:rsidRPr="008436A0">
        <w:t>спользование компаниями косвенного метода затрудняет оценку будущих денежных потоков</w:t>
      </w:r>
    </w:p>
    <w:p w14:paraId="5A78A795" w14:textId="1935565C" w:rsidR="00F26989" w:rsidRDefault="00F26989" w:rsidP="00F26989">
      <w:r>
        <w:t xml:space="preserve">Кроме того, все компании составляют отчетность по МСФО методом трансформации, что обусловлено дешевизной данного метода по </w:t>
      </w:r>
      <w:r w:rsidR="007C5ACD">
        <w:t>сравнению</w:t>
      </w:r>
      <w:r>
        <w:t xml:space="preserve"> с методом параллельного учета.</w:t>
      </w:r>
    </w:p>
    <w:p w14:paraId="51D738AE" w14:textId="77777777" w:rsidR="00AB2ED2" w:rsidRDefault="00AB2ED2" w:rsidP="00F26989"/>
    <w:p w14:paraId="35387AE6" w14:textId="4778DA86" w:rsidR="000D036C" w:rsidRDefault="00E812B6" w:rsidP="000D036C">
      <w:pPr>
        <w:pStyle w:val="2"/>
      </w:pPr>
      <w:bookmarkStart w:id="20" w:name="_Toc451081016"/>
      <w:r>
        <w:t>§3.2</w:t>
      </w:r>
      <w:r w:rsidR="000D036C">
        <w:t xml:space="preserve"> </w:t>
      </w:r>
      <w:r w:rsidR="00082C6D">
        <w:t>Особенности представления отчетности в соответствии с МСФО в строительных организациях</w:t>
      </w:r>
      <w:bookmarkEnd w:id="20"/>
    </w:p>
    <w:p w14:paraId="61C1E27B" w14:textId="18E5291B" w:rsidR="0060229C" w:rsidRDefault="0060229C" w:rsidP="00F26989">
      <w:r>
        <w:t xml:space="preserve">При анализе отчетности строительных организаций интерес представляют положения учетной политики организаций в вопросе способа установления степени завершенности </w:t>
      </w:r>
      <w:r>
        <w:lastRenderedPageBreak/>
        <w:t>работ по договору</w:t>
      </w:r>
      <w:r w:rsidR="00E75330">
        <w:t xml:space="preserve">. Как уже было сказано </w:t>
      </w:r>
      <w:r w:rsidR="007C5ACD">
        <w:t>ранее</w:t>
      </w:r>
      <w:r w:rsidR="00E75330">
        <w:t xml:space="preserve">, </w:t>
      </w:r>
      <w:r w:rsidR="0035782B">
        <w:t>согласно МСФО (</w:t>
      </w:r>
      <w:r w:rsidR="0035782B">
        <w:rPr>
          <w:lang w:val="en-US"/>
        </w:rPr>
        <w:t>IAS</w:t>
      </w:r>
      <w:r w:rsidR="0035782B" w:rsidRPr="009E60EB">
        <w:t xml:space="preserve">) 11 </w:t>
      </w:r>
      <w:r w:rsidR="0035782B">
        <w:t xml:space="preserve">это можно осуществить тремя способами. Из данных </w:t>
      </w:r>
      <w:r w:rsidR="007C5ACD">
        <w:t>представленных</w:t>
      </w:r>
      <w:r w:rsidR="0007798A">
        <w:t xml:space="preserve"> в табл. 16</w:t>
      </w:r>
      <w:r w:rsidR="0035782B">
        <w:t xml:space="preserve"> следует, что четыре компании из пяти устанавливают степень завершенности работ по </w:t>
      </w:r>
      <w:r w:rsidR="007D11EE">
        <w:t>договору в процентах, определя</w:t>
      </w:r>
      <w:r w:rsidR="0035782B">
        <w:t>я</w:t>
      </w:r>
      <w:r w:rsidR="007D11EE">
        <w:t xml:space="preserve"> отношение</w:t>
      </w:r>
      <w:r w:rsidR="0035782B" w:rsidRPr="0035782B">
        <w:t xml:space="preserve"> уже понесенных затрат к общем</w:t>
      </w:r>
      <w:r w:rsidR="0035782B">
        <w:t xml:space="preserve">у количеству затрат по договору. </w:t>
      </w:r>
      <w:r w:rsidR="007C5ACD">
        <w:t xml:space="preserve">По мнению автора, такой результат предсказуем, поскольку оценка выполненных работ экспертом требует дополнительных затрат для организации, а определить долю выполненных работ в натуральном выражении сложно ввиду того, что работы имеют неоднородный характер. </w:t>
      </w:r>
      <w:r w:rsidR="00667AC2">
        <w:t xml:space="preserve">Несмотря на это, компания </w:t>
      </w:r>
      <w:r w:rsidR="00667AC2">
        <w:rPr>
          <w:lang w:val="en-US"/>
        </w:rPr>
        <w:t>Skanska</w:t>
      </w:r>
      <w:r w:rsidR="00667AC2" w:rsidRPr="009E60EB">
        <w:t xml:space="preserve"> </w:t>
      </w:r>
      <w:r w:rsidR="00667AC2">
        <w:t xml:space="preserve">выбрала метод оценки с привлечением эксперта, поскольку, по мнению </w:t>
      </w:r>
      <w:r w:rsidR="006624D5">
        <w:t>организации, так можно получить более точную оценку (в том числе и в целях управленческого учета).</w:t>
      </w:r>
      <w:r w:rsidR="006624D5">
        <w:rPr>
          <w:rStyle w:val="a6"/>
        </w:rPr>
        <w:footnoteReference w:id="37"/>
      </w:r>
    </w:p>
    <w:p w14:paraId="5CA00FF1" w14:textId="0CEC8644" w:rsidR="0007798A" w:rsidRPr="00E564C4" w:rsidRDefault="0007798A" w:rsidP="00E564C4">
      <w:pPr>
        <w:rPr>
          <w:i/>
        </w:rPr>
      </w:pPr>
      <w:r w:rsidRPr="00E564C4">
        <w:rPr>
          <w:i/>
        </w:rPr>
        <w:t>Таблица 16 Способ установления степени завершенности работ по договору</w:t>
      </w:r>
    </w:p>
    <w:tbl>
      <w:tblPr>
        <w:tblStyle w:val="af2"/>
        <w:tblW w:w="9781" w:type="dxa"/>
        <w:tblLayout w:type="fixed"/>
        <w:tblLook w:val="04A0" w:firstRow="1" w:lastRow="0" w:firstColumn="1" w:lastColumn="0" w:noHBand="0" w:noVBand="1"/>
      </w:tblPr>
      <w:tblGrid>
        <w:gridCol w:w="4361"/>
        <w:gridCol w:w="850"/>
        <w:gridCol w:w="851"/>
        <w:gridCol w:w="709"/>
        <w:gridCol w:w="1842"/>
        <w:gridCol w:w="1168"/>
      </w:tblGrid>
      <w:tr w:rsidR="001A2D71" w:rsidRPr="00D46BC9" w14:paraId="21924AFC" w14:textId="77777777" w:rsidTr="001A2D71">
        <w:trPr>
          <w:trHeight w:val="477"/>
        </w:trPr>
        <w:tc>
          <w:tcPr>
            <w:tcW w:w="4361" w:type="dxa"/>
            <w:noWrap/>
            <w:hideMark/>
          </w:tcPr>
          <w:p w14:paraId="661A8357" w14:textId="5FEFE16A" w:rsidR="00D46BC9" w:rsidRPr="001A2D71" w:rsidRDefault="00E352F1" w:rsidP="001A2D71">
            <w:pPr>
              <w:pStyle w:val="af3"/>
              <w:jc w:val="center"/>
              <w:rPr>
                <w:b/>
                <w:sz w:val="24"/>
              </w:rPr>
            </w:pPr>
            <w:r w:rsidRPr="001A2D71">
              <w:rPr>
                <w:b/>
                <w:sz w:val="24"/>
              </w:rPr>
              <w:t>Способ установления степени завершенности работ по договору / Наименование компании</w:t>
            </w:r>
          </w:p>
        </w:tc>
        <w:tc>
          <w:tcPr>
            <w:tcW w:w="850" w:type="dxa"/>
            <w:noWrap/>
            <w:hideMark/>
          </w:tcPr>
          <w:p w14:paraId="222D87B5" w14:textId="77777777" w:rsidR="00D46BC9" w:rsidRPr="001A2D71" w:rsidRDefault="00D46BC9" w:rsidP="001A2D71">
            <w:pPr>
              <w:pStyle w:val="af3"/>
              <w:jc w:val="center"/>
              <w:rPr>
                <w:b/>
                <w:sz w:val="24"/>
              </w:rPr>
            </w:pPr>
            <w:r w:rsidRPr="001A2D71">
              <w:rPr>
                <w:b/>
                <w:sz w:val="24"/>
              </w:rPr>
              <w:t>ЛСР</w:t>
            </w:r>
          </w:p>
        </w:tc>
        <w:tc>
          <w:tcPr>
            <w:tcW w:w="851" w:type="dxa"/>
            <w:noWrap/>
            <w:hideMark/>
          </w:tcPr>
          <w:p w14:paraId="47BC0232" w14:textId="77777777" w:rsidR="00D46BC9" w:rsidRPr="001A2D71" w:rsidRDefault="00D46BC9" w:rsidP="001A2D71">
            <w:pPr>
              <w:pStyle w:val="af3"/>
              <w:jc w:val="center"/>
              <w:rPr>
                <w:b/>
                <w:sz w:val="24"/>
              </w:rPr>
            </w:pPr>
            <w:r w:rsidRPr="001A2D71">
              <w:rPr>
                <w:b/>
                <w:sz w:val="24"/>
              </w:rPr>
              <w:t>ПИК</w:t>
            </w:r>
          </w:p>
        </w:tc>
        <w:tc>
          <w:tcPr>
            <w:tcW w:w="709" w:type="dxa"/>
            <w:noWrap/>
            <w:hideMark/>
          </w:tcPr>
          <w:p w14:paraId="12AD1108" w14:textId="77777777" w:rsidR="00D46BC9" w:rsidRPr="001A2D71" w:rsidRDefault="00D46BC9" w:rsidP="001A2D71">
            <w:pPr>
              <w:pStyle w:val="af3"/>
              <w:jc w:val="center"/>
              <w:rPr>
                <w:b/>
                <w:sz w:val="24"/>
              </w:rPr>
            </w:pPr>
            <w:r w:rsidRPr="001A2D71">
              <w:rPr>
                <w:b/>
                <w:sz w:val="24"/>
              </w:rPr>
              <w:t>ACS</w:t>
            </w:r>
          </w:p>
        </w:tc>
        <w:tc>
          <w:tcPr>
            <w:tcW w:w="1842" w:type="dxa"/>
            <w:noWrap/>
            <w:hideMark/>
          </w:tcPr>
          <w:p w14:paraId="147323B8" w14:textId="77777777" w:rsidR="00D46BC9" w:rsidRPr="001A2D71" w:rsidRDefault="00D46BC9" w:rsidP="001A2D71">
            <w:pPr>
              <w:pStyle w:val="af3"/>
              <w:jc w:val="center"/>
              <w:rPr>
                <w:b/>
                <w:sz w:val="24"/>
              </w:rPr>
            </w:pPr>
            <w:r w:rsidRPr="001A2D71">
              <w:rPr>
                <w:b/>
                <w:sz w:val="24"/>
              </w:rPr>
              <w:t>ЛенСпецСМУ</w:t>
            </w:r>
          </w:p>
        </w:tc>
        <w:tc>
          <w:tcPr>
            <w:tcW w:w="1168" w:type="dxa"/>
            <w:noWrap/>
            <w:hideMark/>
          </w:tcPr>
          <w:p w14:paraId="202E0C15" w14:textId="77777777" w:rsidR="00D46BC9" w:rsidRPr="001A2D71" w:rsidRDefault="00D46BC9" w:rsidP="001A2D71">
            <w:pPr>
              <w:pStyle w:val="af3"/>
              <w:jc w:val="center"/>
              <w:rPr>
                <w:b/>
                <w:sz w:val="24"/>
              </w:rPr>
            </w:pPr>
            <w:r w:rsidRPr="001A2D71">
              <w:rPr>
                <w:b/>
                <w:sz w:val="24"/>
              </w:rPr>
              <w:t>Skanska</w:t>
            </w:r>
          </w:p>
        </w:tc>
      </w:tr>
      <w:tr w:rsidR="001A2D71" w:rsidRPr="00D46BC9" w14:paraId="37B31B2B" w14:textId="77777777" w:rsidTr="001A2D71">
        <w:trPr>
          <w:trHeight w:val="477"/>
        </w:trPr>
        <w:tc>
          <w:tcPr>
            <w:tcW w:w="4361" w:type="dxa"/>
            <w:noWrap/>
            <w:hideMark/>
          </w:tcPr>
          <w:p w14:paraId="045378B9" w14:textId="77777777" w:rsidR="00D46BC9" w:rsidRPr="001A2D71" w:rsidRDefault="00D46BC9" w:rsidP="001A2D71">
            <w:pPr>
              <w:pStyle w:val="af3"/>
              <w:jc w:val="center"/>
              <w:rPr>
                <w:b/>
                <w:sz w:val="24"/>
              </w:rPr>
            </w:pPr>
            <w:r w:rsidRPr="001A2D71">
              <w:rPr>
                <w:b/>
                <w:sz w:val="24"/>
              </w:rPr>
              <w:t>определение отношения уже понесенных затрат к общему количеству затрат по договору;</w:t>
            </w:r>
          </w:p>
        </w:tc>
        <w:tc>
          <w:tcPr>
            <w:tcW w:w="850" w:type="dxa"/>
            <w:shd w:val="clear" w:color="auto" w:fill="A5A5A5" w:themeFill="accent3"/>
            <w:noWrap/>
          </w:tcPr>
          <w:p w14:paraId="114AF626" w14:textId="77777777" w:rsidR="00D46BC9" w:rsidRPr="001A0CDB" w:rsidRDefault="00D46BC9" w:rsidP="00D46BC9">
            <w:pPr>
              <w:pStyle w:val="af3"/>
              <w:rPr>
                <w:sz w:val="24"/>
              </w:rPr>
            </w:pPr>
          </w:p>
        </w:tc>
        <w:tc>
          <w:tcPr>
            <w:tcW w:w="851" w:type="dxa"/>
            <w:shd w:val="clear" w:color="auto" w:fill="A5A5A5" w:themeFill="accent3"/>
            <w:noWrap/>
          </w:tcPr>
          <w:p w14:paraId="03D1D857" w14:textId="77777777" w:rsidR="00D46BC9" w:rsidRPr="001A0CDB" w:rsidRDefault="00D46BC9" w:rsidP="00D46BC9">
            <w:pPr>
              <w:pStyle w:val="af3"/>
              <w:rPr>
                <w:sz w:val="24"/>
              </w:rPr>
            </w:pPr>
          </w:p>
        </w:tc>
        <w:tc>
          <w:tcPr>
            <w:tcW w:w="709" w:type="dxa"/>
            <w:shd w:val="clear" w:color="auto" w:fill="A5A5A5" w:themeFill="accent3"/>
            <w:noWrap/>
          </w:tcPr>
          <w:p w14:paraId="24652E7D" w14:textId="77777777" w:rsidR="00D46BC9" w:rsidRPr="001A0CDB" w:rsidRDefault="00D46BC9" w:rsidP="00D46BC9">
            <w:pPr>
              <w:pStyle w:val="af3"/>
              <w:rPr>
                <w:sz w:val="24"/>
              </w:rPr>
            </w:pPr>
          </w:p>
        </w:tc>
        <w:tc>
          <w:tcPr>
            <w:tcW w:w="1842" w:type="dxa"/>
            <w:shd w:val="clear" w:color="auto" w:fill="A5A5A5" w:themeFill="accent3"/>
            <w:noWrap/>
            <w:hideMark/>
          </w:tcPr>
          <w:p w14:paraId="58B543AE" w14:textId="77777777" w:rsidR="00D46BC9" w:rsidRPr="001A0CDB" w:rsidRDefault="00D46BC9" w:rsidP="00D46BC9">
            <w:pPr>
              <w:pStyle w:val="af3"/>
              <w:rPr>
                <w:sz w:val="24"/>
              </w:rPr>
            </w:pPr>
          </w:p>
        </w:tc>
        <w:tc>
          <w:tcPr>
            <w:tcW w:w="1168" w:type="dxa"/>
            <w:noWrap/>
            <w:hideMark/>
          </w:tcPr>
          <w:p w14:paraId="3CF254FC" w14:textId="77777777" w:rsidR="00D46BC9" w:rsidRPr="001A0CDB" w:rsidRDefault="00D46BC9" w:rsidP="00D46BC9">
            <w:pPr>
              <w:pStyle w:val="af3"/>
              <w:rPr>
                <w:sz w:val="24"/>
              </w:rPr>
            </w:pPr>
          </w:p>
        </w:tc>
      </w:tr>
      <w:tr w:rsidR="001A2D71" w:rsidRPr="00D46BC9" w14:paraId="5328E96E" w14:textId="77777777" w:rsidTr="001A2D71">
        <w:trPr>
          <w:trHeight w:val="282"/>
        </w:trPr>
        <w:tc>
          <w:tcPr>
            <w:tcW w:w="4361" w:type="dxa"/>
            <w:noWrap/>
            <w:hideMark/>
          </w:tcPr>
          <w:p w14:paraId="6D260F5E" w14:textId="77777777" w:rsidR="00D46BC9" w:rsidRPr="001A2D71" w:rsidRDefault="00D46BC9" w:rsidP="001A2D71">
            <w:pPr>
              <w:pStyle w:val="af3"/>
              <w:jc w:val="center"/>
              <w:rPr>
                <w:b/>
                <w:sz w:val="24"/>
              </w:rPr>
            </w:pPr>
            <w:r w:rsidRPr="001A2D71">
              <w:rPr>
                <w:b/>
                <w:sz w:val="24"/>
              </w:rPr>
              <w:t>оценка выполненных работы экспертом;</w:t>
            </w:r>
          </w:p>
        </w:tc>
        <w:tc>
          <w:tcPr>
            <w:tcW w:w="850" w:type="dxa"/>
            <w:noWrap/>
            <w:hideMark/>
          </w:tcPr>
          <w:p w14:paraId="682885AD" w14:textId="77777777" w:rsidR="00D46BC9" w:rsidRPr="001A0CDB" w:rsidRDefault="00D46BC9" w:rsidP="00D46BC9">
            <w:pPr>
              <w:pStyle w:val="af3"/>
              <w:rPr>
                <w:sz w:val="24"/>
              </w:rPr>
            </w:pPr>
          </w:p>
        </w:tc>
        <w:tc>
          <w:tcPr>
            <w:tcW w:w="851" w:type="dxa"/>
            <w:noWrap/>
            <w:hideMark/>
          </w:tcPr>
          <w:p w14:paraId="759D39DA" w14:textId="77777777" w:rsidR="00D46BC9" w:rsidRPr="001A0CDB" w:rsidRDefault="00D46BC9" w:rsidP="00D46BC9">
            <w:pPr>
              <w:pStyle w:val="af3"/>
              <w:rPr>
                <w:sz w:val="24"/>
              </w:rPr>
            </w:pPr>
          </w:p>
        </w:tc>
        <w:tc>
          <w:tcPr>
            <w:tcW w:w="709" w:type="dxa"/>
            <w:noWrap/>
            <w:hideMark/>
          </w:tcPr>
          <w:p w14:paraId="2BC151A3" w14:textId="77777777" w:rsidR="00D46BC9" w:rsidRPr="001A0CDB" w:rsidRDefault="00D46BC9" w:rsidP="00D46BC9">
            <w:pPr>
              <w:pStyle w:val="af3"/>
              <w:rPr>
                <w:sz w:val="24"/>
              </w:rPr>
            </w:pPr>
          </w:p>
        </w:tc>
        <w:tc>
          <w:tcPr>
            <w:tcW w:w="1842" w:type="dxa"/>
            <w:noWrap/>
            <w:hideMark/>
          </w:tcPr>
          <w:p w14:paraId="3265B45B" w14:textId="77777777" w:rsidR="00D46BC9" w:rsidRPr="001A0CDB" w:rsidRDefault="00D46BC9" w:rsidP="00D46BC9">
            <w:pPr>
              <w:pStyle w:val="af3"/>
              <w:rPr>
                <w:sz w:val="24"/>
              </w:rPr>
            </w:pPr>
          </w:p>
        </w:tc>
        <w:tc>
          <w:tcPr>
            <w:tcW w:w="1168" w:type="dxa"/>
            <w:shd w:val="clear" w:color="auto" w:fill="A5A5A5" w:themeFill="accent3"/>
            <w:noWrap/>
            <w:hideMark/>
          </w:tcPr>
          <w:p w14:paraId="02C4CE3F" w14:textId="77777777" w:rsidR="00D46BC9" w:rsidRPr="001A0CDB" w:rsidRDefault="00D46BC9" w:rsidP="00D46BC9">
            <w:pPr>
              <w:pStyle w:val="af3"/>
              <w:rPr>
                <w:sz w:val="24"/>
              </w:rPr>
            </w:pPr>
          </w:p>
        </w:tc>
      </w:tr>
      <w:tr w:rsidR="001A2D71" w:rsidRPr="00D46BC9" w14:paraId="73DAFDB0" w14:textId="77777777" w:rsidTr="001A2D71">
        <w:trPr>
          <w:trHeight w:val="729"/>
        </w:trPr>
        <w:tc>
          <w:tcPr>
            <w:tcW w:w="4361" w:type="dxa"/>
            <w:noWrap/>
            <w:hideMark/>
          </w:tcPr>
          <w:p w14:paraId="638FF0AF" w14:textId="77777777" w:rsidR="00D46BC9" w:rsidRPr="001A2D71" w:rsidRDefault="00D46BC9" w:rsidP="001A2D71">
            <w:pPr>
              <w:pStyle w:val="af3"/>
              <w:jc w:val="center"/>
              <w:rPr>
                <w:b/>
                <w:sz w:val="24"/>
              </w:rPr>
            </w:pPr>
            <w:r w:rsidRPr="001A2D71">
              <w:rPr>
                <w:b/>
                <w:sz w:val="24"/>
              </w:rPr>
              <w:t>определение доли выполненных работ по договору в натуральном выражении (по отношению к согласованному объему работ).</w:t>
            </w:r>
          </w:p>
        </w:tc>
        <w:tc>
          <w:tcPr>
            <w:tcW w:w="850" w:type="dxa"/>
            <w:noWrap/>
            <w:hideMark/>
          </w:tcPr>
          <w:p w14:paraId="2411649C" w14:textId="77777777" w:rsidR="00D46BC9" w:rsidRPr="001A0CDB" w:rsidRDefault="00D46BC9" w:rsidP="00D46BC9">
            <w:pPr>
              <w:pStyle w:val="af3"/>
              <w:rPr>
                <w:sz w:val="24"/>
              </w:rPr>
            </w:pPr>
          </w:p>
        </w:tc>
        <w:tc>
          <w:tcPr>
            <w:tcW w:w="851" w:type="dxa"/>
            <w:noWrap/>
            <w:hideMark/>
          </w:tcPr>
          <w:p w14:paraId="4A4D71E3" w14:textId="77777777" w:rsidR="00D46BC9" w:rsidRPr="001A0CDB" w:rsidRDefault="00D46BC9" w:rsidP="00D46BC9">
            <w:pPr>
              <w:pStyle w:val="af3"/>
              <w:rPr>
                <w:sz w:val="24"/>
              </w:rPr>
            </w:pPr>
          </w:p>
        </w:tc>
        <w:tc>
          <w:tcPr>
            <w:tcW w:w="709" w:type="dxa"/>
            <w:noWrap/>
            <w:hideMark/>
          </w:tcPr>
          <w:p w14:paraId="1816FAAB" w14:textId="77777777" w:rsidR="00D46BC9" w:rsidRPr="001A0CDB" w:rsidRDefault="00D46BC9" w:rsidP="00D46BC9">
            <w:pPr>
              <w:pStyle w:val="af3"/>
              <w:rPr>
                <w:sz w:val="24"/>
              </w:rPr>
            </w:pPr>
          </w:p>
        </w:tc>
        <w:tc>
          <w:tcPr>
            <w:tcW w:w="1842" w:type="dxa"/>
            <w:noWrap/>
            <w:hideMark/>
          </w:tcPr>
          <w:p w14:paraId="449B267F" w14:textId="77777777" w:rsidR="00D46BC9" w:rsidRPr="001A0CDB" w:rsidRDefault="00D46BC9" w:rsidP="00D46BC9">
            <w:pPr>
              <w:pStyle w:val="af3"/>
              <w:rPr>
                <w:sz w:val="24"/>
              </w:rPr>
            </w:pPr>
          </w:p>
        </w:tc>
        <w:tc>
          <w:tcPr>
            <w:tcW w:w="1168" w:type="dxa"/>
            <w:noWrap/>
            <w:hideMark/>
          </w:tcPr>
          <w:p w14:paraId="0F20AEB5" w14:textId="77777777" w:rsidR="00D46BC9" w:rsidRPr="001A0CDB" w:rsidRDefault="00D46BC9" w:rsidP="00D46BC9">
            <w:pPr>
              <w:pStyle w:val="af3"/>
              <w:rPr>
                <w:sz w:val="24"/>
              </w:rPr>
            </w:pPr>
          </w:p>
        </w:tc>
      </w:tr>
    </w:tbl>
    <w:p w14:paraId="40FB64C4" w14:textId="77777777" w:rsidR="00CE4CB5" w:rsidRPr="003125E0" w:rsidRDefault="00CE4CB5" w:rsidP="00CE4CB5">
      <w:pPr>
        <w:rPr>
          <w:i/>
          <w:sz w:val="20"/>
          <w:szCs w:val="20"/>
          <w:lang w:val="en-US"/>
        </w:rPr>
      </w:pPr>
      <w:r w:rsidRPr="00E564C4">
        <w:rPr>
          <w:i/>
          <w:sz w:val="20"/>
          <w:szCs w:val="20"/>
        </w:rPr>
        <w:t xml:space="preserve">Составлено автором на основе данных, представленных на официальных сайтах </w:t>
      </w:r>
      <w:r w:rsidRPr="003125E0">
        <w:rPr>
          <w:i/>
          <w:sz w:val="20"/>
          <w:szCs w:val="20"/>
        </w:rPr>
        <w:t>компаний</w:t>
      </w:r>
      <w:r>
        <w:rPr>
          <w:i/>
          <w:sz w:val="20"/>
          <w:szCs w:val="20"/>
        </w:rPr>
        <w:t xml:space="preserve"> </w:t>
      </w:r>
      <w:r>
        <w:rPr>
          <w:i/>
          <w:sz w:val="20"/>
          <w:szCs w:val="20"/>
          <w:lang w:val="en-US"/>
        </w:rPr>
        <w:t>[</w:t>
      </w:r>
      <w:r>
        <w:rPr>
          <w:i/>
          <w:sz w:val="20"/>
          <w:szCs w:val="20"/>
        </w:rPr>
        <w:t>40, 41, 42, 43 45</w:t>
      </w:r>
      <w:r>
        <w:rPr>
          <w:i/>
          <w:sz w:val="20"/>
          <w:szCs w:val="20"/>
          <w:lang w:val="en-US"/>
        </w:rPr>
        <w:t>]</w:t>
      </w:r>
    </w:p>
    <w:p w14:paraId="1C634287" w14:textId="2710F36A" w:rsidR="0038393E" w:rsidRDefault="00D060F2" w:rsidP="00F26989">
      <w:r>
        <w:t xml:space="preserve">Применение нового стандарта МСФО </w:t>
      </w:r>
      <w:r w:rsidRPr="009E60EB">
        <w:t>(</w:t>
      </w:r>
      <w:r>
        <w:rPr>
          <w:lang w:val="en-US"/>
        </w:rPr>
        <w:t>IFRS</w:t>
      </w:r>
      <w:r w:rsidRPr="009E60EB">
        <w:t>) 15</w:t>
      </w:r>
      <w:r w:rsidR="00D8119E">
        <w:t xml:space="preserve">может оказать существенное влияние на процесс учета и формирования отчетности в строительных организациях, а </w:t>
      </w:r>
      <w:r w:rsidR="007C5ACD">
        <w:t>следовательно</w:t>
      </w:r>
      <w:r w:rsidR="00D8119E">
        <w:t xml:space="preserve"> и на отчетность. Следовательно, организации должны (по мнению автора) оценивать возможное влияние введения этого стандарта на показатели </w:t>
      </w:r>
      <w:r w:rsidR="0007798A">
        <w:t>отчетности. Как видно в табл. 17</w:t>
      </w:r>
      <w:r w:rsidR="00D8119E">
        <w:t xml:space="preserve">, только две организации (российские организации Группа ЛСР и Группа Компаний ПИК) </w:t>
      </w:r>
      <w:r w:rsidR="00F706AA">
        <w:t xml:space="preserve">оценивают влияние этого стандарта на свою отчетность в будущем. При этом обе </w:t>
      </w:r>
      <w:r w:rsidR="007C5ACD">
        <w:t>организации</w:t>
      </w:r>
      <w:r w:rsidR="00F706AA">
        <w:t xml:space="preserve"> оцениваю это влияние как существенное, поскольку новый стандарт </w:t>
      </w:r>
      <w:r w:rsidR="007C5ACD">
        <w:t>изменяет</w:t>
      </w:r>
      <w:r w:rsidR="00F706AA">
        <w:t xml:space="preserve"> порядок признания выручки по </w:t>
      </w:r>
      <w:r w:rsidR="007C5ACD">
        <w:t>договорам</w:t>
      </w:r>
      <w:r w:rsidR="00F706AA">
        <w:t xml:space="preserve"> на строительство.</w:t>
      </w:r>
    </w:p>
    <w:p w14:paraId="42796AFF" w14:textId="3348349A" w:rsidR="0007798A" w:rsidRPr="00E564C4" w:rsidRDefault="0007798A" w:rsidP="00E564C4">
      <w:pPr>
        <w:rPr>
          <w:i/>
        </w:rPr>
      </w:pPr>
      <w:r w:rsidRPr="00E564C4">
        <w:rPr>
          <w:i/>
        </w:rPr>
        <w:t>Таблица 17 Оценка влияния применения нового МСФО (</w:t>
      </w:r>
      <w:r w:rsidRPr="00E564C4">
        <w:rPr>
          <w:i/>
          <w:lang w:val="en-US"/>
        </w:rPr>
        <w:t>IFRS</w:t>
      </w:r>
      <w:r w:rsidRPr="00E564C4">
        <w:rPr>
          <w:i/>
        </w:rPr>
        <w:t>) 15 на отчетность компании</w:t>
      </w:r>
    </w:p>
    <w:tbl>
      <w:tblPr>
        <w:tblStyle w:val="af2"/>
        <w:tblW w:w="0" w:type="auto"/>
        <w:tblLook w:val="04A0" w:firstRow="1" w:lastRow="0" w:firstColumn="1" w:lastColumn="0" w:noHBand="0" w:noVBand="1"/>
      </w:tblPr>
      <w:tblGrid>
        <w:gridCol w:w="2377"/>
        <w:gridCol w:w="2357"/>
        <w:gridCol w:w="1502"/>
        <w:gridCol w:w="1951"/>
        <w:gridCol w:w="1502"/>
      </w:tblGrid>
      <w:tr w:rsidR="00EB6D5E" w:rsidRPr="00EB6D5E" w14:paraId="301CDD46" w14:textId="77777777" w:rsidTr="00EB6D5E">
        <w:trPr>
          <w:trHeight w:val="320"/>
        </w:trPr>
        <w:tc>
          <w:tcPr>
            <w:tcW w:w="2377" w:type="dxa"/>
            <w:noWrap/>
            <w:hideMark/>
          </w:tcPr>
          <w:p w14:paraId="26FC060B" w14:textId="77777777" w:rsidR="00EB6D5E" w:rsidRPr="001A2D71" w:rsidRDefault="00EB6D5E" w:rsidP="001A2D71">
            <w:pPr>
              <w:pStyle w:val="af3"/>
              <w:jc w:val="center"/>
              <w:rPr>
                <w:b/>
                <w:sz w:val="24"/>
              </w:rPr>
            </w:pPr>
            <w:r w:rsidRPr="001A2D71">
              <w:rPr>
                <w:b/>
                <w:sz w:val="24"/>
              </w:rPr>
              <w:t>ЛСР</w:t>
            </w:r>
          </w:p>
        </w:tc>
        <w:tc>
          <w:tcPr>
            <w:tcW w:w="2357" w:type="dxa"/>
            <w:noWrap/>
            <w:hideMark/>
          </w:tcPr>
          <w:p w14:paraId="2D809509" w14:textId="77777777" w:rsidR="00EB6D5E" w:rsidRPr="001A2D71" w:rsidRDefault="00EB6D5E" w:rsidP="001A2D71">
            <w:pPr>
              <w:pStyle w:val="af3"/>
              <w:jc w:val="center"/>
              <w:rPr>
                <w:b/>
                <w:sz w:val="24"/>
              </w:rPr>
            </w:pPr>
            <w:r w:rsidRPr="001A2D71">
              <w:rPr>
                <w:b/>
                <w:sz w:val="24"/>
              </w:rPr>
              <w:t>ПИК</w:t>
            </w:r>
          </w:p>
        </w:tc>
        <w:tc>
          <w:tcPr>
            <w:tcW w:w="1502" w:type="dxa"/>
            <w:noWrap/>
            <w:hideMark/>
          </w:tcPr>
          <w:p w14:paraId="38E24739" w14:textId="77777777" w:rsidR="00EB6D5E" w:rsidRPr="001A2D71" w:rsidRDefault="00EB6D5E" w:rsidP="001A2D71">
            <w:pPr>
              <w:pStyle w:val="af3"/>
              <w:jc w:val="center"/>
              <w:rPr>
                <w:b/>
                <w:sz w:val="24"/>
              </w:rPr>
            </w:pPr>
            <w:r w:rsidRPr="001A2D71">
              <w:rPr>
                <w:b/>
                <w:sz w:val="24"/>
              </w:rPr>
              <w:t>ACS</w:t>
            </w:r>
          </w:p>
        </w:tc>
        <w:tc>
          <w:tcPr>
            <w:tcW w:w="1951" w:type="dxa"/>
            <w:noWrap/>
            <w:hideMark/>
          </w:tcPr>
          <w:p w14:paraId="5BD31E16" w14:textId="77777777" w:rsidR="00EB6D5E" w:rsidRPr="001A2D71" w:rsidRDefault="00EB6D5E" w:rsidP="001A2D71">
            <w:pPr>
              <w:pStyle w:val="af3"/>
              <w:jc w:val="center"/>
              <w:rPr>
                <w:b/>
                <w:sz w:val="24"/>
              </w:rPr>
            </w:pPr>
            <w:r w:rsidRPr="001A2D71">
              <w:rPr>
                <w:b/>
                <w:sz w:val="24"/>
              </w:rPr>
              <w:t>ЛенСпецСМУ</w:t>
            </w:r>
          </w:p>
        </w:tc>
        <w:tc>
          <w:tcPr>
            <w:tcW w:w="1502" w:type="dxa"/>
            <w:noWrap/>
            <w:hideMark/>
          </w:tcPr>
          <w:p w14:paraId="4D361DAA" w14:textId="77777777" w:rsidR="00EB6D5E" w:rsidRPr="001A2D71" w:rsidRDefault="00EB6D5E" w:rsidP="001A2D71">
            <w:pPr>
              <w:pStyle w:val="af3"/>
              <w:jc w:val="center"/>
              <w:rPr>
                <w:b/>
                <w:sz w:val="24"/>
              </w:rPr>
            </w:pPr>
            <w:r w:rsidRPr="001A2D71">
              <w:rPr>
                <w:b/>
                <w:sz w:val="24"/>
              </w:rPr>
              <w:t>Skanska</w:t>
            </w:r>
          </w:p>
        </w:tc>
      </w:tr>
      <w:tr w:rsidR="00EB6D5E" w:rsidRPr="00EB6D5E" w14:paraId="2D18A4A7" w14:textId="77777777" w:rsidTr="00EB6D5E">
        <w:trPr>
          <w:trHeight w:val="640"/>
        </w:trPr>
        <w:tc>
          <w:tcPr>
            <w:tcW w:w="2377" w:type="dxa"/>
            <w:noWrap/>
            <w:hideMark/>
          </w:tcPr>
          <w:p w14:paraId="5E618A17" w14:textId="77777777" w:rsidR="00EB6D5E" w:rsidRPr="001A0CDB" w:rsidRDefault="00EB6D5E" w:rsidP="001A2D71">
            <w:pPr>
              <w:pStyle w:val="af3"/>
              <w:jc w:val="right"/>
              <w:rPr>
                <w:sz w:val="24"/>
              </w:rPr>
            </w:pPr>
            <w:r w:rsidRPr="001A0CDB">
              <w:rPr>
                <w:sz w:val="24"/>
              </w:rPr>
              <w:t>существенное влияние</w:t>
            </w:r>
          </w:p>
        </w:tc>
        <w:tc>
          <w:tcPr>
            <w:tcW w:w="2357" w:type="dxa"/>
            <w:noWrap/>
            <w:hideMark/>
          </w:tcPr>
          <w:p w14:paraId="5EFB6F04" w14:textId="77777777" w:rsidR="00EB6D5E" w:rsidRPr="001A0CDB" w:rsidRDefault="00EB6D5E" w:rsidP="001A2D71">
            <w:pPr>
              <w:pStyle w:val="af3"/>
              <w:jc w:val="right"/>
              <w:rPr>
                <w:sz w:val="24"/>
              </w:rPr>
            </w:pPr>
            <w:r w:rsidRPr="001A0CDB">
              <w:rPr>
                <w:sz w:val="24"/>
              </w:rPr>
              <w:t>существенное влияние</w:t>
            </w:r>
          </w:p>
        </w:tc>
        <w:tc>
          <w:tcPr>
            <w:tcW w:w="1502" w:type="dxa"/>
            <w:noWrap/>
            <w:hideMark/>
          </w:tcPr>
          <w:p w14:paraId="6EDEE469" w14:textId="77777777" w:rsidR="00EB6D5E" w:rsidRPr="001A0CDB" w:rsidRDefault="00EB6D5E" w:rsidP="001A2D71">
            <w:pPr>
              <w:pStyle w:val="af3"/>
              <w:jc w:val="right"/>
              <w:rPr>
                <w:sz w:val="24"/>
              </w:rPr>
            </w:pPr>
            <w:r w:rsidRPr="001A0CDB">
              <w:rPr>
                <w:sz w:val="24"/>
              </w:rPr>
              <w:t>не определено</w:t>
            </w:r>
          </w:p>
        </w:tc>
        <w:tc>
          <w:tcPr>
            <w:tcW w:w="1951" w:type="dxa"/>
            <w:noWrap/>
            <w:hideMark/>
          </w:tcPr>
          <w:p w14:paraId="77ED88ED" w14:textId="77777777" w:rsidR="00EB6D5E" w:rsidRPr="001A0CDB" w:rsidRDefault="00EB6D5E" w:rsidP="001A2D71">
            <w:pPr>
              <w:pStyle w:val="af3"/>
              <w:jc w:val="right"/>
              <w:rPr>
                <w:sz w:val="24"/>
              </w:rPr>
            </w:pPr>
            <w:r w:rsidRPr="001A0CDB">
              <w:rPr>
                <w:sz w:val="24"/>
              </w:rPr>
              <w:t>еще не определено</w:t>
            </w:r>
          </w:p>
        </w:tc>
        <w:tc>
          <w:tcPr>
            <w:tcW w:w="1502" w:type="dxa"/>
            <w:noWrap/>
            <w:hideMark/>
          </w:tcPr>
          <w:p w14:paraId="6EAAE4CE" w14:textId="77777777" w:rsidR="00EB6D5E" w:rsidRPr="001A0CDB" w:rsidRDefault="00EB6D5E" w:rsidP="001A2D71">
            <w:pPr>
              <w:pStyle w:val="af3"/>
              <w:jc w:val="right"/>
              <w:rPr>
                <w:sz w:val="24"/>
              </w:rPr>
            </w:pPr>
            <w:r w:rsidRPr="001A0CDB">
              <w:rPr>
                <w:sz w:val="24"/>
              </w:rPr>
              <w:t>не определено</w:t>
            </w:r>
          </w:p>
        </w:tc>
      </w:tr>
    </w:tbl>
    <w:p w14:paraId="6B874F55" w14:textId="77777777" w:rsidR="00CE4CB5" w:rsidRPr="003125E0" w:rsidRDefault="00CE4CB5" w:rsidP="00CE4CB5">
      <w:pPr>
        <w:rPr>
          <w:i/>
          <w:sz w:val="20"/>
          <w:szCs w:val="20"/>
          <w:lang w:val="en-US"/>
        </w:rPr>
      </w:pPr>
      <w:r w:rsidRPr="00E564C4">
        <w:rPr>
          <w:i/>
          <w:sz w:val="20"/>
          <w:szCs w:val="20"/>
        </w:rPr>
        <w:t xml:space="preserve">Составлено автором на основе данных, представленных на официальных сайтах </w:t>
      </w:r>
      <w:r w:rsidRPr="003125E0">
        <w:rPr>
          <w:i/>
          <w:sz w:val="20"/>
          <w:szCs w:val="20"/>
        </w:rPr>
        <w:t>компаний</w:t>
      </w:r>
      <w:r>
        <w:rPr>
          <w:i/>
          <w:sz w:val="20"/>
          <w:szCs w:val="20"/>
        </w:rPr>
        <w:t xml:space="preserve"> </w:t>
      </w:r>
      <w:r>
        <w:rPr>
          <w:i/>
          <w:sz w:val="20"/>
          <w:szCs w:val="20"/>
          <w:lang w:val="en-US"/>
        </w:rPr>
        <w:t>[</w:t>
      </w:r>
      <w:r>
        <w:rPr>
          <w:i/>
          <w:sz w:val="20"/>
          <w:szCs w:val="20"/>
        </w:rPr>
        <w:t>40, 41, 42, 43 45</w:t>
      </w:r>
      <w:r>
        <w:rPr>
          <w:i/>
          <w:sz w:val="20"/>
          <w:szCs w:val="20"/>
          <w:lang w:val="en-US"/>
        </w:rPr>
        <w:t>]</w:t>
      </w:r>
    </w:p>
    <w:p w14:paraId="01D0CDC2" w14:textId="566A5ACF" w:rsidR="003A48F8" w:rsidRDefault="003A48F8" w:rsidP="00C16D26">
      <w:r>
        <w:lastRenderedPageBreak/>
        <w:t xml:space="preserve">Раскрытие информации </w:t>
      </w:r>
      <w:r w:rsidR="005A637D">
        <w:t xml:space="preserve">по сегментам является одной из ключевых особенностей </w:t>
      </w:r>
      <w:r w:rsidR="00811E52">
        <w:t>составления</w:t>
      </w:r>
      <w:r w:rsidR="005A637D">
        <w:t xml:space="preserve"> отчетности в соответствии с Международными Стандартами строительными организациями.</w:t>
      </w:r>
      <w:r w:rsidR="00553B93">
        <w:t xml:space="preserve"> </w:t>
      </w:r>
      <w:r w:rsidR="0007798A">
        <w:t>Данные, представленные в табл.18 свидетельствуют о том, что о</w:t>
      </w:r>
      <w:r w:rsidR="00553B93">
        <w:t>бследуемые организации выделяют от трех до пяти сегментов своей деятельности для представления в отчетности.</w:t>
      </w:r>
      <w:r w:rsidR="001F13D9">
        <w:t xml:space="preserve"> Стоит обратить внимание на выделение зарубежными компаниями таких сегментов, как «Окружающая </w:t>
      </w:r>
      <w:r w:rsidR="007C5ACD">
        <w:t>страда</w:t>
      </w:r>
      <w:r w:rsidR="001F13D9">
        <w:t>» (</w:t>
      </w:r>
      <w:r w:rsidR="001F13D9">
        <w:rPr>
          <w:lang w:val="en-US"/>
        </w:rPr>
        <w:t>ACS</w:t>
      </w:r>
      <w:r w:rsidR="001F13D9" w:rsidRPr="009E60EB">
        <w:t xml:space="preserve"> </w:t>
      </w:r>
      <w:r w:rsidR="001F13D9">
        <w:rPr>
          <w:lang w:val="en-US"/>
        </w:rPr>
        <w:t>group</w:t>
      </w:r>
      <w:r w:rsidR="001F13D9" w:rsidRPr="009E60EB">
        <w:t xml:space="preserve">) </w:t>
      </w:r>
      <w:r w:rsidR="001F13D9">
        <w:t>и «Развитие инфраструктуры» (</w:t>
      </w:r>
      <w:r w:rsidR="001F13D9">
        <w:rPr>
          <w:lang w:val="en-US"/>
        </w:rPr>
        <w:t>Skanska</w:t>
      </w:r>
      <w:r w:rsidR="001F13D9" w:rsidRPr="009E60EB">
        <w:t xml:space="preserve">). Это </w:t>
      </w:r>
      <w:r w:rsidR="00C16D26" w:rsidRPr="009E60EB">
        <w:t xml:space="preserve">говорит о том, что, в отличие от российских, западные организации </w:t>
      </w:r>
      <w:r w:rsidR="00234989" w:rsidRPr="009E60EB">
        <w:t>уделяют большое внимание соци</w:t>
      </w:r>
      <w:r w:rsidR="00811E52">
        <w:t>а</w:t>
      </w:r>
      <w:r w:rsidR="00234989" w:rsidRPr="009E60EB">
        <w:t>льным аспектам своей деятельности.</w:t>
      </w:r>
      <w:r w:rsidR="005C6529">
        <w:t xml:space="preserve"> Кроме того</w:t>
      </w:r>
      <w:r w:rsidR="0049764D">
        <w:t xml:space="preserve">, отличительными особенностями информации о сегментах Группы ЛСР являет наличие таких сегментов, как «Строительные материалы» и «Краны». Это обусловлено тем, что помимо строительной деятельности, Группа ЛСР занимается добычей строительных материалов, а также обслуживаем и сдачей в аренду строительных кранов (изначально это подразделение создавалось </w:t>
      </w:r>
      <w:r w:rsidR="00811E52">
        <w:t>исключительно</w:t>
      </w:r>
      <w:r w:rsidR="0049764D">
        <w:t xml:space="preserve"> для </w:t>
      </w:r>
      <w:r w:rsidR="00F42393">
        <w:t>обслуживания деятельности самого предприятия).</w:t>
      </w:r>
    </w:p>
    <w:p w14:paraId="0404BC0A" w14:textId="6CEED578" w:rsidR="0007798A" w:rsidRPr="00E564C4" w:rsidRDefault="0007798A" w:rsidP="00E564C4">
      <w:pPr>
        <w:rPr>
          <w:i/>
        </w:rPr>
      </w:pPr>
      <w:r w:rsidRPr="00E564C4">
        <w:rPr>
          <w:i/>
        </w:rPr>
        <w:t>Таблица 18 Сегментная отчетность</w:t>
      </w:r>
    </w:p>
    <w:tbl>
      <w:tblPr>
        <w:tblStyle w:val="af2"/>
        <w:tblW w:w="9781" w:type="dxa"/>
        <w:tblLayout w:type="fixed"/>
        <w:tblLook w:val="04A0" w:firstRow="1" w:lastRow="0" w:firstColumn="1" w:lastColumn="0" w:noHBand="0" w:noVBand="1"/>
      </w:tblPr>
      <w:tblGrid>
        <w:gridCol w:w="1600"/>
        <w:gridCol w:w="1485"/>
        <w:gridCol w:w="1559"/>
        <w:gridCol w:w="1843"/>
        <w:gridCol w:w="1559"/>
        <w:gridCol w:w="1735"/>
      </w:tblGrid>
      <w:tr w:rsidR="001A2D71" w:rsidRPr="005A637D" w14:paraId="71E56962" w14:textId="77777777" w:rsidTr="001A2D71">
        <w:trPr>
          <w:trHeight w:val="323"/>
        </w:trPr>
        <w:tc>
          <w:tcPr>
            <w:tcW w:w="1600" w:type="dxa"/>
          </w:tcPr>
          <w:p w14:paraId="42724938" w14:textId="424620F3" w:rsidR="00811E52" w:rsidRPr="00811E52" w:rsidRDefault="00E352F1" w:rsidP="001A2D71">
            <w:pPr>
              <w:pStyle w:val="af3"/>
              <w:jc w:val="center"/>
              <w:rPr>
                <w:b/>
                <w:sz w:val="24"/>
              </w:rPr>
            </w:pPr>
            <w:r>
              <w:rPr>
                <w:b/>
                <w:sz w:val="24"/>
              </w:rPr>
              <w:t>Наименование компании</w:t>
            </w:r>
          </w:p>
        </w:tc>
        <w:tc>
          <w:tcPr>
            <w:tcW w:w="1485" w:type="dxa"/>
            <w:noWrap/>
            <w:hideMark/>
          </w:tcPr>
          <w:p w14:paraId="356FB699" w14:textId="77777777" w:rsidR="00811E52" w:rsidRPr="009E60EB" w:rsidRDefault="00811E52" w:rsidP="009E60EB">
            <w:pPr>
              <w:pStyle w:val="af3"/>
              <w:jc w:val="center"/>
              <w:rPr>
                <w:b/>
                <w:sz w:val="24"/>
              </w:rPr>
            </w:pPr>
            <w:r w:rsidRPr="009E60EB">
              <w:rPr>
                <w:b/>
                <w:sz w:val="24"/>
              </w:rPr>
              <w:t>ЛСР</w:t>
            </w:r>
          </w:p>
        </w:tc>
        <w:tc>
          <w:tcPr>
            <w:tcW w:w="1559" w:type="dxa"/>
            <w:noWrap/>
            <w:hideMark/>
          </w:tcPr>
          <w:p w14:paraId="19BCE07A" w14:textId="77777777" w:rsidR="00811E52" w:rsidRPr="009E60EB" w:rsidRDefault="00811E52" w:rsidP="009E60EB">
            <w:pPr>
              <w:pStyle w:val="af3"/>
              <w:jc w:val="center"/>
              <w:rPr>
                <w:b/>
                <w:sz w:val="24"/>
              </w:rPr>
            </w:pPr>
            <w:r w:rsidRPr="009E60EB">
              <w:rPr>
                <w:b/>
                <w:sz w:val="24"/>
              </w:rPr>
              <w:t>ПИК</w:t>
            </w:r>
          </w:p>
        </w:tc>
        <w:tc>
          <w:tcPr>
            <w:tcW w:w="1843" w:type="dxa"/>
            <w:noWrap/>
            <w:hideMark/>
          </w:tcPr>
          <w:p w14:paraId="7DFC7A70" w14:textId="77777777" w:rsidR="00811E52" w:rsidRPr="009E60EB" w:rsidRDefault="00811E52" w:rsidP="009E60EB">
            <w:pPr>
              <w:pStyle w:val="af3"/>
              <w:jc w:val="center"/>
              <w:rPr>
                <w:b/>
                <w:sz w:val="24"/>
              </w:rPr>
            </w:pPr>
            <w:r w:rsidRPr="009E60EB">
              <w:rPr>
                <w:b/>
                <w:sz w:val="24"/>
              </w:rPr>
              <w:t>ACS</w:t>
            </w:r>
          </w:p>
        </w:tc>
        <w:tc>
          <w:tcPr>
            <w:tcW w:w="1559" w:type="dxa"/>
            <w:noWrap/>
            <w:hideMark/>
          </w:tcPr>
          <w:p w14:paraId="59F21DE3" w14:textId="77777777" w:rsidR="00811E52" w:rsidRPr="009E60EB" w:rsidRDefault="00811E52" w:rsidP="009E60EB">
            <w:pPr>
              <w:pStyle w:val="af3"/>
              <w:jc w:val="center"/>
              <w:rPr>
                <w:b/>
                <w:sz w:val="24"/>
              </w:rPr>
            </w:pPr>
            <w:r w:rsidRPr="009E60EB">
              <w:rPr>
                <w:b/>
                <w:sz w:val="24"/>
              </w:rPr>
              <w:t>ЛенСпецСМУ</w:t>
            </w:r>
          </w:p>
        </w:tc>
        <w:tc>
          <w:tcPr>
            <w:tcW w:w="1735" w:type="dxa"/>
            <w:noWrap/>
            <w:hideMark/>
          </w:tcPr>
          <w:p w14:paraId="38716967" w14:textId="77777777" w:rsidR="00811E52" w:rsidRPr="009E60EB" w:rsidRDefault="00811E52" w:rsidP="009E60EB">
            <w:pPr>
              <w:pStyle w:val="af3"/>
              <w:jc w:val="center"/>
              <w:rPr>
                <w:b/>
                <w:sz w:val="24"/>
              </w:rPr>
            </w:pPr>
            <w:r w:rsidRPr="009E60EB">
              <w:rPr>
                <w:b/>
                <w:sz w:val="24"/>
              </w:rPr>
              <w:t>Skanska</w:t>
            </w:r>
          </w:p>
        </w:tc>
      </w:tr>
      <w:tr w:rsidR="001A2D71" w:rsidRPr="005A637D" w14:paraId="597A5B9D" w14:textId="77777777" w:rsidTr="001A2D71">
        <w:trPr>
          <w:trHeight w:val="640"/>
        </w:trPr>
        <w:tc>
          <w:tcPr>
            <w:tcW w:w="1600" w:type="dxa"/>
            <w:vMerge w:val="restart"/>
          </w:tcPr>
          <w:p w14:paraId="0908D40F" w14:textId="3AC75EC8" w:rsidR="00811E52" w:rsidRPr="009E60EB" w:rsidRDefault="00811E52" w:rsidP="001A2D71">
            <w:pPr>
              <w:pStyle w:val="af3"/>
              <w:jc w:val="center"/>
              <w:rPr>
                <w:b/>
                <w:sz w:val="24"/>
              </w:rPr>
            </w:pPr>
            <w:r w:rsidRPr="009E60EB">
              <w:rPr>
                <w:b/>
                <w:sz w:val="24"/>
              </w:rPr>
              <w:t>Отчетные сегменты, по данным финансовой отчетности по МС</w:t>
            </w:r>
            <w:r w:rsidR="00DA492A">
              <w:rPr>
                <w:b/>
                <w:sz w:val="24"/>
              </w:rPr>
              <w:t>ФО</w:t>
            </w:r>
            <w:r w:rsidRPr="009E60EB">
              <w:rPr>
                <w:b/>
                <w:sz w:val="24"/>
              </w:rPr>
              <w:t xml:space="preserve"> за </w:t>
            </w:r>
            <w:r w:rsidR="00DA492A">
              <w:rPr>
                <w:b/>
                <w:sz w:val="24"/>
              </w:rPr>
              <w:t>2015</w:t>
            </w:r>
            <w:r w:rsidRPr="009E60EB">
              <w:rPr>
                <w:b/>
                <w:sz w:val="24"/>
              </w:rPr>
              <w:t xml:space="preserve"> год</w:t>
            </w:r>
          </w:p>
        </w:tc>
        <w:tc>
          <w:tcPr>
            <w:tcW w:w="1485" w:type="dxa"/>
            <w:hideMark/>
          </w:tcPr>
          <w:p w14:paraId="32BBF5E1" w14:textId="77777777" w:rsidR="00811E52" w:rsidRPr="001A2D71" w:rsidRDefault="00811E52" w:rsidP="005A637D">
            <w:pPr>
              <w:pStyle w:val="af3"/>
              <w:rPr>
                <w:szCs w:val="20"/>
              </w:rPr>
            </w:pPr>
            <w:r w:rsidRPr="001A2D71">
              <w:rPr>
                <w:szCs w:val="20"/>
              </w:rPr>
              <w:t>Строительные материалы</w:t>
            </w:r>
          </w:p>
        </w:tc>
        <w:tc>
          <w:tcPr>
            <w:tcW w:w="1559" w:type="dxa"/>
            <w:hideMark/>
          </w:tcPr>
          <w:p w14:paraId="6FD47594" w14:textId="77777777" w:rsidR="00811E52" w:rsidRPr="001A2D71" w:rsidRDefault="00811E52" w:rsidP="005A637D">
            <w:pPr>
              <w:pStyle w:val="af3"/>
              <w:rPr>
                <w:szCs w:val="20"/>
              </w:rPr>
            </w:pPr>
            <w:r w:rsidRPr="001A2D71">
              <w:rPr>
                <w:szCs w:val="20"/>
              </w:rPr>
              <w:t xml:space="preserve">Девелоперско-риелторский </w:t>
            </w:r>
          </w:p>
        </w:tc>
        <w:tc>
          <w:tcPr>
            <w:tcW w:w="1843" w:type="dxa"/>
            <w:hideMark/>
          </w:tcPr>
          <w:p w14:paraId="44AF9B7D" w14:textId="77777777" w:rsidR="00811E52" w:rsidRPr="001A2D71" w:rsidRDefault="00811E52" w:rsidP="005A637D">
            <w:pPr>
              <w:pStyle w:val="af3"/>
              <w:rPr>
                <w:szCs w:val="20"/>
              </w:rPr>
            </w:pPr>
            <w:r w:rsidRPr="001A2D71">
              <w:rPr>
                <w:szCs w:val="20"/>
              </w:rPr>
              <w:t>Строительство</w:t>
            </w:r>
          </w:p>
        </w:tc>
        <w:tc>
          <w:tcPr>
            <w:tcW w:w="1559" w:type="dxa"/>
            <w:hideMark/>
          </w:tcPr>
          <w:p w14:paraId="1FECD378" w14:textId="77777777" w:rsidR="00811E52" w:rsidRPr="001A2D71" w:rsidRDefault="00811E52" w:rsidP="005A637D">
            <w:pPr>
              <w:pStyle w:val="af3"/>
              <w:rPr>
                <w:szCs w:val="20"/>
              </w:rPr>
            </w:pPr>
            <w:r w:rsidRPr="001A2D71">
              <w:rPr>
                <w:szCs w:val="20"/>
              </w:rPr>
              <w:t>Жилая недвижимость</w:t>
            </w:r>
          </w:p>
        </w:tc>
        <w:tc>
          <w:tcPr>
            <w:tcW w:w="1735" w:type="dxa"/>
            <w:hideMark/>
          </w:tcPr>
          <w:p w14:paraId="5B7959E4" w14:textId="77777777" w:rsidR="00811E52" w:rsidRPr="001A2D71" w:rsidRDefault="00811E52" w:rsidP="005A637D">
            <w:pPr>
              <w:pStyle w:val="af3"/>
              <w:rPr>
                <w:szCs w:val="20"/>
              </w:rPr>
            </w:pPr>
            <w:r w:rsidRPr="001A2D71">
              <w:rPr>
                <w:szCs w:val="20"/>
              </w:rPr>
              <w:t>Строительство</w:t>
            </w:r>
          </w:p>
        </w:tc>
      </w:tr>
      <w:tr w:rsidR="001A2D71" w:rsidRPr="005A637D" w14:paraId="39034753" w14:textId="77777777" w:rsidTr="001A2D71">
        <w:trPr>
          <w:trHeight w:val="320"/>
        </w:trPr>
        <w:tc>
          <w:tcPr>
            <w:tcW w:w="1600" w:type="dxa"/>
            <w:vMerge/>
          </w:tcPr>
          <w:p w14:paraId="4619836E" w14:textId="77777777" w:rsidR="00811E52" w:rsidRPr="001A0CDB" w:rsidRDefault="00811E52" w:rsidP="005A637D">
            <w:pPr>
              <w:pStyle w:val="af3"/>
              <w:rPr>
                <w:sz w:val="24"/>
              </w:rPr>
            </w:pPr>
          </w:p>
        </w:tc>
        <w:tc>
          <w:tcPr>
            <w:tcW w:w="1485" w:type="dxa"/>
            <w:hideMark/>
          </w:tcPr>
          <w:p w14:paraId="5BD3F44B" w14:textId="77777777" w:rsidR="00811E52" w:rsidRPr="001A2D71" w:rsidRDefault="00811E52" w:rsidP="005A637D">
            <w:pPr>
              <w:pStyle w:val="af3"/>
              <w:rPr>
                <w:szCs w:val="20"/>
              </w:rPr>
            </w:pPr>
            <w:r w:rsidRPr="001A2D71">
              <w:rPr>
                <w:szCs w:val="20"/>
              </w:rPr>
              <w:t>Строительство</w:t>
            </w:r>
          </w:p>
        </w:tc>
        <w:tc>
          <w:tcPr>
            <w:tcW w:w="1559" w:type="dxa"/>
            <w:hideMark/>
          </w:tcPr>
          <w:p w14:paraId="6D4FB936" w14:textId="77777777" w:rsidR="00811E52" w:rsidRPr="001A2D71" w:rsidRDefault="00811E52" w:rsidP="005A637D">
            <w:pPr>
              <w:pStyle w:val="af3"/>
              <w:rPr>
                <w:szCs w:val="20"/>
              </w:rPr>
            </w:pPr>
            <w:r w:rsidRPr="001A2D71">
              <w:rPr>
                <w:szCs w:val="20"/>
              </w:rPr>
              <w:t>Строительный</w:t>
            </w:r>
          </w:p>
        </w:tc>
        <w:tc>
          <w:tcPr>
            <w:tcW w:w="1843" w:type="dxa"/>
            <w:hideMark/>
          </w:tcPr>
          <w:p w14:paraId="26812FE6" w14:textId="77777777" w:rsidR="00811E52" w:rsidRPr="001A2D71" w:rsidRDefault="00811E52" w:rsidP="005A637D">
            <w:pPr>
              <w:pStyle w:val="af3"/>
              <w:rPr>
                <w:szCs w:val="20"/>
              </w:rPr>
            </w:pPr>
            <w:r w:rsidRPr="001A2D71">
              <w:rPr>
                <w:szCs w:val="20"/>
              </w:rPr>
              <w:t>Промышленность</w:t>
            </w:r>
          </w:p>
        </w:tc>
        <w:tc>
          <w:tcPr>
            <w:tcW w:w="1559" w:type="dxa"/>
            <w:hideMark/>
          </w:tcPr>
          <w:p w14:paraId="451757F5" w14:textId="77777777" w:rsidR="00811E52" w:rsidRPr="001A2D71" w:rsidRDefault="00811E52" w:rsidP="005A637D">
            <w:pPr>
              <w:pStyle w:val="af3"/>
              <w:rPr>
                <w:szCs w:val="20"/>
              </w:rPr>
            </w:pPr>
            <w:r w:rsidRPr="001A2D71">
              <w:rPr>
                <w:szCs w:val="20"/>
              </w:rPr>
              <w:t>Подрядное строительство</w:t>
            </w:r>
          </w:p>
        </w:tc>
        <w:tc>
          <w:tcPr>
            <w:tcW w:w="1735" w:type="dxa"/>
            <w:hideMark/>
          </w:tcPr>
          <w:p w14:paraId="2B961DD5" w14:textId="77777777" w:rsidR="00811E52" w:rsidRPr="001A2D71" w:rsidRDefault="00811E52" w:rsidP="005A637D">
            <w:pPr>
              <w:pStyle w:val="af3"/>
              <w:rPr>
                <w:szCs w:val="20"/>
              </w:rPr>
            </w:pPr>
            <w:r w:rsidRPr="001A2D71">
              <w:rPr>
                <w:szCs w:val="20"/>
              </w:rPr>
              <w:t>Жилая недвижимость</w:t>
            </w:r>
          </w:p>
        </w:tc>
      </w:tr>
      <w:tr w:rsidR="001A2D71" w:rsidRPr="005A637D" w14:paraId="14FD251E" w14:textId="77777777" w:rsidTr="001A2D71">
        <w:trPr>
          <w:trHeight w:val="561"/>
        </w:trPr>
        <w:tc>
          <w:tcPr>
            <w:tcW w:w="1600" w:type="dxa"/>
            <w:vMerge/>
          </w:tcPr>
          <w:p w14:paraId="4DD417EA" w14:textId="77777777" w:rsidR="00811E52" w:rsidRPr="001A0CDB" w:rsidRDefault="00811E52" w:rsidP="005A637D">
            <w:pPr>
              <w:pStyle w:val="af3"/>
              <w:rPr>
                <w:sz w:val="24"/>
              </w:rPr>
            </w:pPr>
          </w:p>
        </w:tc>
        <w:tc>
          <w:tcPr>
            <w:tcW w:w="1485" w:type="dxa"/>
            <w:hideMark/>
          </w:tcPr>
          <w:p w14:paraId="5CA640E6" w14:textId="77777777" w:rsidR="00811E52" w:rsidRPr="001A2D71" w:rsidRDefault="00811E52" w:rsidP="005A637D">
            <w:pPr>
              <w:pStyle w:val="af3"/>
              <w:rPr>
                <w:szCs w:val="20"/>
              </w:rPr>
            </w:pPr>
            <w:r w:rsidRPr="001A2D71">
              <w:rPr>
                <w:szCs w:val="20"/>
              </w:rPr>
              <w:t>Управление проектами</w:t>
            </w:r>
          </w:p>
        </w:tc>
        <w:tc>
          <w:tcPr>
            <w:tcW w:w="1559" w:type="dxa"/>
            <w:hideMark/>
          </w:tcPr>
          <w:p w14:paraId="7114B009" w14:textId="0D8BE757" w:rsidR="00811E52" w:rsidRPr="001A2D71" w:rsidRDefault="00811E52" w:rsidP="005A637D">
            <w:pPr>
              <w:pStyle w:val="af3"/>
              <w:rPr>
                <w:szCs w:val="20"/>
              </w:rPr>
            </w:pPr>
            <w:r w:rsidRPr="001A2D71">
              <w:rPr>
                <w:szCs w:val="20"/>
              </w:rPr>
              <w:t>Промышлен</w:t>
            </w:r>
            <w:r w:rsidR="001A2D71">
              <w:rPr>
                <w:szCs w:val="20"/>
              </w:rPr>
              <w:t>-</w:t>
            </w:r>
            <w:r w:rsidRPr="001A2D71">
              <w:rPr>
                <w:szCs w:val="20"/>
              </w:rPr>
              <w:t>ный</w:t>
            </w:r>
          </w:p>
        </w:tc>
        <w:tc>
          <w:tcPr>
            <w:tcW w:w="1843" w:type="dxa"/>
            <w:hideMark/>
          </w:tcPr>
          <w:p w14:paraId="41B24C78" w14:textId="77777777" w:rsidR="00811E52" w:rsidRPr="001A2D71" w:rsidRDefault="00811E52" w:rsidP="005A637D">
            <w:pPr>
              <w:pStyle w:val="af3"/>
              <w:rPr>
                <w:szCs w:val="20"/>
              </w:rPr>
            </w:pPr>
            <w:r w:rsidRPr="001A2D71">
              <w:rPr>
                <w:szCs w:val="20"/>
              </w:rPr>
              <w:t>Окружающая среда</w:t>
            </w:r>
          </w:p>
        </w:tc>
        <w:tc>
          <w:tcPr>
            <w:tcW w:w="1559" w:type="dxa"/>
            <w:hideMark/>
          </w:tcPr>
          <w:p w14:paraId="702C7387" w14:textId="77777777" w:rsidR="00811E52" w:rsidRPr="001A2D71" w:rsidRDefault="00811E52" w:rsidP="005A637D">
            <w:pPr>
              <w:pStyle w:val="af3"/>
              <w:rPr>
                <w:szCs w:val="20"/>
              </w:rPr>
            </w:pPr>
            <w:r w:rsidRPr="001A2D71">
              <w:rPr>
                <w:szCs w:val="20"/>
              </w:rPr>
              <w:t>Прочие операции</w:t>
            </w:r>
          </w:p>
        </w:tc>
        <w:tc>
          <w:tcPr>
            <w:tcW w:w="1735" w:type="dxa"/>
            <w:hideMark/>
          </w:tcPr>
          <w:p w14:paraId="7458FD5F" w14:textId="77777777" w:rsidR="00811E52" w:rsidRPr="001A2D71" w:rsidRDefault="00811E52" w:rsidP="005A637D">
            <w:pPr>
              <w:pStyle w:val="af3"/>
              <w:rPr>
                <w:szCs w:val="20"/>
              </w:rPr>
            </w:pPr>
            <w:r w:rsidRPr="001A2D71">
              <w:rPr>
                <w:szCs w:val="20"/>
              </w:rPr>
              <w:t>Коммерческая недвижимость</w:t>
            </w:r>
          </w:p>
        </w:tc>
      </w:tr>
      <w:tr w:rsidR="001A2D71" w:rsidRPr="005A637D" w14:paraId="052DDFB1" w14:textId="77777777" w:rsidTr="001A2D71">
        <w:trPr>
          <w:trHeight w:val="603"/>
        </w:trPr>
        <w:tc>
          <w:tcPr>
            <w:tcW w:w="1600" w:type="dxa"/>
            <w:vMerge/>
          </w:tcPr>
          <w:p w14:paraId="4E85B043" w14:textId="77777777" w:rsidR="00811E52" w:rsidRPr="001A0CDB" w:rsidRDefault="00811E52" w:rsidP="005A637D">
            <w:pPr>
              <w:pStyle w:val="af3"/>
              <w:rPr>
                <w:sz w:val="24"/>
              </w:rPr>
            </w:pPr>
          </w:p>
        </w:tc>
        <w:tc>
          <w:tcPr>
            <w:tcW w:w="1485" w:type="dxa"/>
            <w:hideMark/>
          </w:tcPr>
          <w:p w14:paraId="79C7D54D" w14:textId="77777777" w:rsidR="00811E52" w:rsidRPr="001A2D71" w:rsidRDefault="00811E52" w:rsidP="005A637D">
            <w:pPr>
              <w:pStyle w:val="af3"/>
              <w:rPr>
                <w:szCs w:val="20"/>
              </w:rPr>
            </w:pPr>
            <w:r w:rsidRPr="001A2D71">
              <w:rPr>
                <w:szCs w:val="20"/>
              </w:rPr>
              <w:t>Краны</w:t>
            </w:r>
          </w:p>
        </w:tc>
        <w:tc>
          <w:tcPr>
            <w:tcW w:w="1559" w:type="dxa"/>
            <w:hideMark/>
          </w:tcPr>
          <w:p w14:paraId="024ED872" w14:textId="77777777" w:rsidR="00811E52" w:rsidRPr="001A2D71" w:rsidRDefault="00811E52" w:rsidP="005A637D">
            <w:pPr>
              <w:pStyle w:val="af3"/>
              <w:rPr>
                <w:szCs w:val="20"/>
              </w:rPr>
            </w:pPr>
            <w:r w:rsidRPr="001A2D71">
              <w:rPr>
                <w:szCs w:val="20"/>
              </w:rPr>
              <w:t>Прочие виды деятельности</w:t>
            </w:r>
          </w:p>
        </w:tc>
        <w:tc>
          <w:tcPr>
            <w:tcW w:w="1843" w:type="dxa"/>
            <w:hideMark/>
          </w:tcPr>
          <w:p w14:paraId="25D24F6E" w14:textId="77777777" w:rsidR="00811E52" w:rsidRPr="001A2D71" w:rsidRDefault="00811E52" w:rsidP="005A637D">
            <w:pPr>
              <w:pStyle w:val="af3"/>
              <w:rPr>
                <w:szCs w:val="20"/>
              </w:rPr>
            </w:pPr>
            <w:r w:rsidRPr="001A2D71">
              <w:rPr>
                <w:szCs w:val="20"/>
              </w:rPr>
              <w:t>Корпоративное управление</w:t>
            </w:r>
          </w:p>
        </w:tc>
        <w:tc>
          <w:tcPr>
            <w:tcW w:w="1559" w:type="dxa"/>
            <w:hideMark/>
          </w:tcPr>
          <w:p w14:paraId="103DE36B" w14:textId="3E3C3300" w:rsidR="00811E52" w:rsidRPr="001A2D71" w:rsidRDefault="008C5B74" w:rsidP="005A637D">
            <w:pPr>
              <w:pStyle w:val="af3"/>
              <w:rPr>
                <w:szCs w:val="20"/>
              </w:rPr>
            </w:pPr>
            <w:r w:rsidRPr="001A2D71">
              <w:rPr>
                <w:szCs w:val="20"/>
              </w:rPr>
              <w:t>-</w:t>
            </w:r>
          </w:p>
        </w:tc>
        <w:tc>
          <w:tcPr>
            <w:tcW w:w="1735" w:type="dxa"/>
            <w:hideMark/>
          </w:tcPr>
          <w:p w14:paraId="314A29AF" w14:textId="77777777" w:rsidR="00811E52" w:rsidRPr="001A2D71" w:rsidRDefault="00811E52" w:rsidP="005A637D">
            <w:pPr>
              <w:pStyle w:val="af3"/>
              <w:rPr>
                <w:szCs w:val="20"/>
              </w:rPr>
            </w:pPr>
            <w:r w:rsidRPr="001A2D71">
              <w:rPr>
                <w:szCs w:val="20"/>
              </w:rPr>
              <w:t>Развитие инфраструктуры</w:t>
            </w:r>
          </w:p>
        </w:tc>
      </w:tr>
      <w:tr w:rsidR="001A2D71" w:rsidRPr="005A637D" w14:paraId="632966F0" w14:textId="77777777" w:rsidTr="001A2D71">
        <w:trPr>
          <w:trHeight w:val="320"/>
        </w:trPr>
        <w:tc>
          <w:tcPr>
            <w:tcW w:w="1600" w:type="dxa"/>
            <w:vMerge/>
          </w:tcPr>
          <w:p w14:paraId="4BEB36DB" w14:textId="77777777" w:rsidR="00811E52" w:rsidRPr="001A0CDB" w:rsidRDefault="00811E52" w:rsidP="005A637D">
            <w:pPr>
              <w:pStyle w:val="af3"/>
              <w:rPr>
                <w:sz w:val="24"/>
              </w:rPr>
            </w:pPr>
          </w:p>
        </w:tc>
        <w:tc>
          <w:tcPr>
            <w:tcW w:w="1485" w:type="dxa"/>
            <w:hideMark/>
          </w:tcPr>
          <w:p w14:paraId="19A45A2F" w14:textId="4B36AF6C" w:rsidR="00811E52" w:rsidRPr="001A2D71" w:rsidRDefault="00811E52" w:rsidP="005A637D">
            <w:pPr>
              <w:pStyle w:val="af3"/>
              <w:rPr>
                <w:szCs w:val="20"/>
              </w:rPr>
            </w:pPr>
            <w:r w:rsidRPr="001A2D71">
              <w:rPr>
                <w:szCs w:val="20"/>
              </w:rPr>
              <w:t>Недвижи</w:t>
            </w:r>
            <w:r w:rsidR="001A2D71">
              <w:rPr>
                <w:szCs w:val="20"/>
              </w:rPr>
              <w:t>-</w:t>
            </w:r>
            <w:r w:rsidRPr="001A2D71">
              <w:rPr>
                <w:szCs w:val="20"/>
              </w:rPr>
              <w:t>мость</w:t>
            </w:r>
          </w:p>
        </w:tc>
        <w:tc>
          <w:tcPr>
            <w:tcW w:w="1559" w:type="dxa"/>
            <w:hideMark/>
          </w:tcPr>
          <w:p w14:paraId="512482C2" w14:textId="267D6B08" w:rsidR="00811E52" w:rsidRPr="001A2D71" w:rsidRDefault="008C5B74" w:rsidP="005A637D">
            <w:pPr>
              <w:pStyle w:val="af3"/>
              <w:rPr>
                <w:szCs w:val="20"/>
              </w:rPr>
            </w:pPr>
            <w:r w:rsidRPr="001A2D71">
              <w:rPr>
                <w:szCs w:val="20"/>
              </w:rPr>
              <w:t>-</w:t>
            </w:r>
          </w:p>
        </w:tc>
        <w:tc>
          <w:tcPr>
            <w:tcW w:w="1843" w:type="dxa"/>
            <w:hideMark/>
          </w:tcPr>
          <w:p w14:paraId="00B92379" w14:textId="347FD831" w:rsidR="00811E52" w:rsidRPr="001A2D71" w:rsidRDefault="008C5B74" w:rsidP="005A637D">
            <w:pPr>
              <w:pStyle w:val="af3"/>
              <w:rPr>
                <w:szCs w:val="20"/>
              </w:rPr>
            </w:pPr>
            <w:r w:rsidRPr="001A2D71">
              <w:rPr>
                <w:szCs w:val="20"/>
              </w:rPr>
              <w:t>-</w:t>
            </w:r>
          </w:p>
        </w:tc>
        <w:tc>
          <w:tcPr>
            <w:tcW w:w="1559" w:type="dxa"/>
            <w:hideMark/>
          </w:tcPr>
          <w:p w14:paraId="59928803" w14:textId="279591D0" w:rsidR="00811E52" w:rsidRPr="001A2D71" w:rsidRDefault="008C5B74" w:rsidP="005A637D">
            <w:pPr>
              <w:pStyle w:val="af3"/>
              <w:rPr>
                <w:szCs w:val="20"/>
              </w:rPr>
            </w:pPr>
            <w:r w:rsidRPr="001A2D71">
              <w:rPr>
                <w:szCs w:val="20"/>
              </w:rPr>
              <w:t>-</w:t>
            </w:r>
          </w:p>
        </w:tc>
        <w:tc>
          <w:tcPr>
            <w:tcW w:w="1735" w:type="dxa"/>
            <w:hideMark/>
          </w:tcPr>
          <w:p w14:paraId="6578B7A0" w14:textId="3007B360" w:rsidR="00811E52" w:rsidRPr="001A2D71" w:rsidRDefault="008C5B74" w:rsidP="005A637D">
            <w:pPr>
              <w:pStyle w:val="af3"/>
              <w:rPr>
                <w:szCs w:val="20"/>
              </w:rPr>
            </w:pPr>
            <w:r w:rsidRPr="001A2D71">
              <w:rPr>
                <w:szCs w:val="20"/>
              </w:rPr>
              <w:t>-</w:t>
            </w:r>
          </w:p>
        </w:tc>
      </w:tr>
    </w:tbl>
    <w:p w14:paraId="465F0205" w14:textId="77777777" w:rsidR="005A637D" w:rsidRDefault="005A637D" w:rsidP="005A637D">
      <w:pPr>
        <w:ind w:firstLine="0"/>
      </w:pPr>
    </w:p>
    <w:p w14:paraId="725BACAC" w14:textId="684CE79E" w:rsidR="00C0300A" w:rsidRPr="003125E0" w:rsidRDefault="00C0300A" w:rsidP="00C0300A">
      <w:pPr>
        <w:rPr>
          <w:i/>
          <w:sz w:val="20"/>
          <w:szCs w:val="20"/>
          <w:lang w:val="en-US"/>
        </w:rPr>
      </w:pPr>
      <w:r w:rsidRPr="00E564C4">
        <w:rPr>
          <w:i/>
          <w:sz w:val="20"/>
          <w:szCs w:val="20"/>
        </w:rPr>
        <w:t xml:space="preserve">Составлено автором на основе данных, представленных на официальных сайтах </w:t>
      </w:r>
      <w:r w:rsidRPr="003125E0">
        <w:rPr>
          <w:i/>
          <w:sz w:val="20"/>
          <w:szCs w:val="20"/>
        </w:rPr>
        <w:t>компаний</w:t>
      </w:r>
      <w:r>
        <w:rPr>
          <w:i/>
          <w:sz w:val="20"/>
          <w:szCs w:val="20"/>
        </w:rPr>
        <w:t xml:space="preserve"> </w:t>
      </w:r>
      <w:r>
        <w:rPr>
          <w:i/>
          <w:sz w:val="20"/>
          <w:szCs w:val="20"/>
          <w:lang w:val="en-US"/>
        </w:rPr>
        <w:t>[</w:t>
      </w:r>
      <w:r w:rsidR="00CE4CB5">
        <w:rPr>
          <w:i/>
          <w:sz w:val="20"/>
          <w:szCs w:val="20"/>
        </w:rPr>
        <w:t>40</w:t>
      </w:r>
      <w:r>
        <w:rPr>
          <w:i/>
          <w:sz w:val="20"/>
          <w:szCs w:val="20"/>
        </w:rPr>
        <w:t>,</w:t>
      </w:r>
      <w:r w:rsidR="00CE4CB5">
        <w:rPr>
          <w:i/>
          <w:sz w:val="20"/>
          <w:szCs w:val="20"/>
        </w:rPr>
        <w:t xml:space="preserve"> 41</w:t>
      </w:r>
      <w:r>
        <w:rPr>
          <w:i/>
          <w:sz w:val="20"/>
          <w:szCs w:val="20"/>
        </w:rPr>
        <w:t xml:space="preserve">, </w:t>
      </w:r>
      <w:r w:rsidR="00CE4CB5">
        <w:rPr>
          <w:i/>
          <w:sz w:val="20"/>
          <w:szCs w:val="20"/>
        </w:rPr>
        <w:t>42, 43</w:t>
      </w:r>
      <w:r>
        <w:rPr>
          <w:i/>
          <w:sz w:val="20"/>
          <w:szCs w:val="20"/>
        </w:rPr>
        <w:t xml:space="preserve"> </w:t>
      </w:r>
      <w:r w:rsidR="00CE4CB5">
        <w:rPr>
          <w:i/>
          <w:sz w:val="20"/>
          <w:szCs w:val="20"/>
        </w:rPr>
        <w:t>45</w:t>
      </w:r>
      <w:r>
        <w:rPr>
          <w:i/>
          <w:sz w:val="20"/>
          <w:szCs w:val="20"/>
          <w:lang w:val="en-US"/>
        </w:rPr>
        <w:t>]</w:t>
      </w:r>
    </w:p>
    <w:p w14:paraId="7F405D6D" w14:textId="199CBDAF" w:rsidR="00C63B3B" w:rsidRDefault="00AB2ED2" w:rsidP="00C63B3B">
      <w:r w:rsidRPr="00AB2ED2">
        <w:rPr>
          <w:i/>
        </w:rPr>
        <w:t xml:space="preserve">В завершении следует </w:t>
      </w:r>
      <w:r>
        <w:rPr>
          <w:i/>
        </w:rPr>
        <w:t>сделать выводы</w:t>
      </w:r>
      <w:r w:rsidRPr="00AB2ED2">
        <w:rPr>
          <w:i/>
        </w:rPr>
        <w:t xml:space="preserve"> о том</w:t>
      </w:r>
      <w:r>
        <w:t>, что к</w:t>
      </w:r>
      <w:r w:rsidR="007C5ACD">
        <w:t>онсолидированная</w:t>
      </w:r>
      <w:r w:rsidR="00972C18">
        <w:t xml:space="preserve"> финансовая </w:t>
      </w:r>
      <w:r w:rsidR="007724EF">
        <w:t>отчетность</w:t>
      </w:r>
      <w:r w:rsidR="00972C18">
        <w:t xml:space="preserve"> за 2015 год</w:t>
      </w:r>
      <w:r w:rsidR="007724EF">
        <w:t>, предста</w:t>
      </w:r>
      <w:r w:rsidR="00972C18">
        <w:t>в</w:t>
      </w:r>
      <w:r w:rsidR="007724EF">
        <w:t xml:space="preserve">ленная пятью строительными компаниями полностью </w:t>
      </w:r>
      <w:r w:rsidR="008B734E">
        <w:t>представлена достоверно</w:t>
      </w:r>
      <w:r w:rsidR="00972C18">
        <w:t>. Компании раскрывают всю необходимую для поль</w:t>
      </w:r>
      <w:r w:rsidR="00090CF2">
        <w:t>зователей отчетности информацию.</w:t>
      </w:r>
    </w:p>
    <w:p w14:paraId="634D15BB" w14:textId="30A938A8" w:rsidR="00972C18" w:rsidRDefault="00972C18" w:rsidP="00C63B3B">
      <w:r>
        <w:t xml:space="preserve">Помимо финансовой отчетность некоторые компании (преимущественно западные) </w:t>
      </w:r>
      <w:r w:rsidR="007C5ACD">
        <w:t>представляют</w:t>
      </w:r>
      <w:r>
        <w:t xml:space="preserve"> и другие формы отчетности, в которых отражены социальные и экологические аспекты деятельности компаний</w:t>
      </w:r>
      <w:r w:rsidR="00090CF2">
        <w:t>. Также компании раскрывают типично «ст</w:t>
      </w:r>
      <w:r w:rsidR="0002181C">
        <w:t>роительные» формы отчетности – о</w:t>
      </w:r>
      <w:r w:rsidR="00090CF2">
        <w:t xml:space="preserve">тчет об оценке портфеля объектов недвижимости организации. По мнению автора, представление такого отчета может улучшить отчетность </w:t>
      </w:r>
      <w:r w:rsidR="007C5ACD">
        <w:t>строительной</w:t>
      </w:r>
      <w:r w:rsidR="00090CF2">
        <w:t xml:space="preserve"> компании в глазах потенциальных инвесторов или кредиторов.</w:t>
      </w:r>
    </w:p>
    <w:p w14:paraId="1F479FF2" w14:textId="0EDF93E1" w:rsidR="004305A4" w:rsidRDefault="004305A4" w:rsidP="00C63B3B">
      <w:r>
        <w:lastRenderedPageBreak/>
        <w:t>Все компании применяют «отраслевой» стандарт МСФО (</w:t>
      </w:r>
      <w:r>
        <w:rPr>
          <w:lang w:val="en-US"/>
        </w:rPr>
        <w:t>IAS</w:t>
      </w:r>
      <w:r w:rsidRPr="009E60EB">
        <w:t xml:space="preserve">) 11 (степень </w:t>
      </w:r>
      <w:r w:rsidR="007C5ACD" w:rsidRPr="007C5ACD">
        <w:t>завершённости</w:t>
      </w:r>
      <w:r w:rsidRPr="009E60EB">
        <w:t xml:space="preserve"> работ по </w:t>
      </w:r>
      <w:r w:rsidR="007C5ACD" w:rsidRPr="007C5ACD">
        <w:t>договору</w:t>
      </w:r>
      <w:r w:rsidRPr="009E60EB">
        <w:t xml:space="preserve"> в большинстве своем </w:t>
      </w:r>
      <w:r w:rsidR="007C5ACD" w:rsidRPr="007C5ACD">
        <w:t>определяются</w:t>
      </w:r>
      <w:r w:rsidRPr="009E60EB">
        <w:t xml:space="preserve"> процентом понесенных затрат, что в полной мере </w:t>
      </w:r>
      <w:r w:rsidR="007C5ACD" w:rsidRPr="007C5ACD">
        <w:t>соответствует</w:t>
      </w:r>
      <w:r w:rsidRPr="009E60EB">
        <w:t xml:space="preserve"> положениям Стандарта) </w:t>
      </w:r>
      <w:r>
        <w:t>для учета долгосрочных договоров на строительство. Досрочный переход на новый МСФО (</w:t>
      </w:r>
      <w:r>
        <w:rPr>
          <w:lang w:val="en-US"/>
        </w:rPr>
        <w:t>IFRS</w:t>
      </w:r>
      <w:r w:rsidRPr="009E60EB">
        <w:t xml:space="preserve">) 15 </w:t>
      </w:r>
      <w:r>
        <w:t>ни одна из организаций не планирует, однако некоторые компании уже оценивают влияние данного Стандарта как существенное.</w:t>
      </w:r>
    </w:p>
    <w:p w14:paraId="19CFC7CE" w14:textId="7E8A67D6" w:rsidR="004305A4" w:rsidRDefault="004305A4" w:rsidP="00C63B3B">
      <w:r>
        <w:t xml:space="preserve">Также все компании </w:t>
      </w:r>
      <w:r w:rsidR="007C5ACD">
        <w:t>представляют</w:t>
      </w:r>
      <w:r>
        <w:t xml:space="preserve"> сегментную отчетность. Во всех пяти компаниях </w:t>
      </w:r>
      <w:r w:rsidR="007C5ACD">
        <w:t>основным</w:t>
      </w:r>
      <w:r>
        <w:t xml:space="preserve"> сегментом является строительство, а также</w:t>
      </w:r>
      <w:r w:rsidR="00E20AD6">
        <w:t xml:space="preserve"> в большинстве – сегмент, занимающийся продажей недвижимости.</w:t>
      </w:r>
    </w:p>
    <w:p w14:paraId="5330E8DA" w14:textId="3565DA17" w:rsidR="00E20AD6" w:rsidRDefault="00E20AD6" w:rsidP="00C63B3B">
      <w:r>
        <w:t>Таким образом</w:t>
      </w:r>
      <w:r w:rsidR="007F1DEE">
        <w:t>,</w:t>
      </w:r>
      <w:r w:rsidR="0002181C">
        <w:t xml:space="preserve"> выделенные во </w:t>
      </w:r>
      <w:r w:rsidR="00C47448">
        <w:t>второй</w:t>
      </w:r>
      <w:r w:rsidR="0002181C">
        <w:t xml:space="preserve"> главе исследования особенности деятельности </w:t>
      </w:r>
      <w:r>
        <w:t>строительных организациях находят отражение</w:t>
      </w:r>
      <w:r w:rsidR="0002181C">
        <w:t xml:space="preserve"> также и</w:t>
      </w:r>
      <w:r>
        <w:t xml:space="preserve"> в</w:t>
      </w:r>
      <w:r w:rsidR="0002181C">
        <w:t xml:space="preserve"> конечном</w:t>
      </w:r>
      <w:r>
        <w:t xml:space="preserve"> продукте учета – отчетности. </w:t>
      </w:r>
    </w:p>
    <w:p w14:paraId="1661C3D2" w14:textId="77777777" w:rsidR="006223B0" w:rsidRDefault="00817AB6" w:rsidP="001A0CDB">
      <w:pPr>
        <w:pStyle w:val="1"/>
      </w:pPr>
      <w:r>
        <w:br w:type="page"/>
      </w:r>
      <w:bookmarkStart w:id="21" w:name="_Toc451081017"/>
      <w:r w:rsidR="00266C81">
        <w:lastRenderedPageBreak/>
        <w:t>Заключение</w:t>
      </w:r>
      <w:bookmarkEnd w:id="21"/>
    </w:p>
    <w:p w14:paraId="0B9876C3" w14:textId="32BB0133" w:rsidR="00A17F57" w:rsidRDefault="00A17F57" w:rsidP="00A17F57">
      <w:r w:rsidRPr="00A17F57">
        <w:rPr>
          <w:i/>
        </w:rPr>
        <w:t>Цель</w:t>
      </w:r>
      <w:r>
        <w:t xml:space="preserve"> работы состояла </w:t>
      </w:r>
      <w:r w:rsidRPr="00A17F57">
        <w:t>в исследовании основных особенностей функционирования строительных организаций  и их влияния на порядок учета, формирование отчетности и, в конечном итоге, на решения пользователей, принимаемых на основании такой отчетности.</w:t>
      </w:r>
      <w:r>
        <w:t xml:space="preserve"> По мнению автора, в рамках данного исследования цель была достигнута, однако в отдельных случаях на пути исследования обнаруживались </w:t>
      </w:r>
      <w:r w:rsidR="00A36232">
        <w:t xml:space="preserve">проблемы </w:t>
      </w:r>
      <w:r w:rsidR="00BC62ED">
        <w:t>отсутствия/недост</w:t>
      </w:r>
      <w:r w:rsidR="00AB072C">
        <w:t xml:space="preserve">атка статистических данных, </w:t>
      </w:r>
      <w:r w:rsidR="00A36232">
        <w:t xml:space="preserve">которые будут подробно описаны далее. </w:t>
      </w:r>
    </w:p>
    <w:p w14:paraId="3EA965DC" w14:textId="47BB7184" w:rsidR="004859A1" w:rsidRDefault="004859A1" w:rsidP="00A17F57">
      <w:r>
        <w:t>Выполне</w:t>
      </w:r>
      <w:r w:rsidR="004E20A6">
        <w:t>ние цели исследования</w:t>
      </w:r>
      <w:r>
        <w:t xml:space="preserve"> было обусловлено выполнением всех поставленных в рамках э</w:t>
      </w:r>
      <w:r w:rsidR="004C0835">
        <w:t>той цели задач</w:t>
      </w:r>
      <w:r w:rsidR="004E20A6">
        <w:t xml:space="preserve">. </w:t>
      </w:r>
      <w:r w:rsidR="00C306A0">
        <w:t>Основные результаты исследования представлены ниже.</w:t>
      </w:r>
    </w:p>
    <w:p w14:paraId="7D325892" w14:textId="3EB4D534" w:rsidR="00506FFC" w:rsidRPr="00C45D4F" w:rsidRDefault="005056E9" w:rsidP="005056E9">
      <w:r>
        <w:t>С</w:t>
      </w:r>
      <w:r w:rsidR="00C306A0">
        <w:t xml:space="preserve"> </w:t>
      </w:r>
      <w:r w:rsidR="00C45D4F" w:rsidRPr="00F10C2E">
        <w:t>помощью</w:t>
      </w:r>
      <w:r w:rsidR="00C45D4F">
        <w:t xml:space="preserve"> статистических данных</w:t>
      </w:r>
      <w:r w:rsidR="004E20A6">
        <w:t xml:space="preserve"> в исследовании</w:t>
      </w:r>
      <w:r w:rsidR="003A4148">
        <w:t xml:space="preserve"> доказано, что</w:t>
      </w:r>
      <w:r w:rsidR="00C45D4F" w:rsidRPr="00C45D4F">
        <w:t xml:space="preserve"> </w:t>
      </w:r>
      <w:r w:rsidR="00C45D4F">
        <w:t xml:space="preserve">строительная отрасль играет важную роль в экономике </w:t>
      </w:r>
      <w:r w:rsidR="003A4148">
        <w:t>Российской Федерации</w:t>
      </w:r>
      <w:r w:rsidR="00C45D4F">
        <w:t xml:space="preserve">. Именно эта отрасль создает значительную часть валовой добавленной стоимости, обеспечивает население рабочими местами и жильем. </w:t>
      </w:r>
      <w:r w:rsidR="007177A5">
        <w:t xml:space="preserve">Кроме того, </w:t>
      </w:r>
      <w:r w:rsidR="0089755C">
        <w:t xml:space="preserve">жилищное строительство в Российской Федерации на сегодняшний день нуждается в инвестициях, поскольку потребность населения в жилье растет, а объем инвестиций, напротив, сокращаются. </w:t>
      </w:r>
      <w:r w:rsidR="00EF7E05">
        <w:t>В</w:t>
      </w:r>
      <w:r w:rsidR="0089755C">
        <w:t xml:space="preserve"> инвестициях нуждается и нежилищное</w:t>
      </w:r>
      <w:r w:rsidR="00EF7E05">
        <w:t xml:space="preserve"> строительство, в особенности</w:t>
      </w:r>
      <w:r w:rsidR="0089755C">
        <w:t xml:space="preserve"> региональные рынки недвижимости.</w:t>
      </w:r>
    </w:p>
    <w:p w14:paraId="0F7CC7DC" w14:textId="2068B362" w:rsidR="00506FFC" w:rsidRPr="00F10C2E" w:rsidRDefault="00C306A0" w:rsidP="005056E9">
      <w:pPr>
        <w:rPr>
          <w:i/>
        </w:rPr>
      </w:pPr>
      <w:r>
        <w:t xml:space="preserve">В процессе выполнения </w:t>
      </w:r>
      <w:r w:rsidR="004C0835">
        <w:t>задачи</w:t>
      </w:r>
      <w:r>
        <w:t xml:space="preserve"> по обоснованию значимости</w:t>
      </w:r>
      <w:r w:rsidRPr="00C306A0">
        <w:t xml:space="preserve"> применения МСФО в строительных организациях</w:t>
      </w:r>
      <w:r w:rsidR="004C0835" w:rsidRPr="00C306A0">
        <w:t xml:space="preserve"> </w:t>
      </w:r>
      <w:r w:rsidR="004C0835">
        <w:t>автор исследования столкнулся с проблемой недостатка статистических данных относительно</w:t>
      </w:r>
      <w:r w:rsidR="00A36232">
        <w:t xml:space="preserve"> распространения МСФО в России и в мире. </w:t>
      </w:r>
      <w:r w:rsidR="00C47448">
        <w:t xml:space="preserve">Однако, данную проблему удалось решить путем выборочного наблюдения отчетности крупнейших строительных организаций и сделать вывод о недостаточном распространении применения МСФО на территории Российской Федерации. </w:t>
      </w:r>
      <w:r w:rsidR="004C0835">
        <w:t>Автор приходит к мнению, что составление отчетности по МСФО может быть одним из шагов на пути привлечения инвестиций в отрасль.</w:t>
      </w:r>
    </w:p>
    <w:p w14:paraId="410C0F46" w14:textId="5CBEA81A" w:rsidR="00506FFC" w:rsidRPr="00F10C2E" w:rsidRDefault="007177A5" w:rsidP="005056E9">
      <w:r w:rsidRPr="004B628F">
        <w:t>В ходе</w:t>
      </w:r>
      <w:r w:rsidRPr="00C306A0">
        <w:t xml:space="preserve"> </w:t>
      </w:r>
      <w:r w:rsidR="00C306A0">
        <w:t>выявления</w:t>
      </w:r>
      <w:r w:rsidR="003E06D3">
        <w:t xml:space="preserve"> закономерностей, связанных</w:t>
      </w:r>
      <w:r w:rsidR="00C306A0" w:rsidRPr="00C306A0">
        <w:t xml:space="preserve"> с влиянием отчетности строительных организаций и ее показателей на потенциального пользователя отчетности – инвестора</w:t>
      </w:r>
      <w:r w:rsidR="00C306A0">
        <w:rPr>
          <w:i/>
        </w:rPr>
        <w:t xml:space="preserve"> </w:t>
      </w:r>
      <w:r>
        <w:t>была</w:t>
      </w:r>
      <w:r w:rsidRPr="004B628F">
        <w:t xml:space="preserve"> </w:t>
      </w:r>
      <w:r w:rsidRPr="00C969F9">
        <w:rPr>
          <w:i/>
        </w:rPr>
        <w:t>выдвинута гипотеза</w:t>
      </w:r>
      <w:r w:rsidRPr="004B628F">
        <w:t xml:space="preserve"> о том, что на показатель рыночной капитализации оказывают влияние показатели отчетности эмитента по МСФО (такие, как выручка, чистая прибыль и базовая прибыль на акцию).</w:t>
      </w:r>
      <w:r>
        <w:t xml:space="preserve"> Статистический анализ лишь </w:t>
      </w:r>
      <w:r w:rsidRPr="00C969F9">
        <w:rPr>
          <w:i/>
        </w:rPr>
        <w:t>частично</w:t>
      </w:r>
      <w:r>
        <w:t xml:space="preserve"> </w:t>
      </w:r>
      <w:r w:rsidR="003B7AE8">
        <w:t xml:space="preserve">подтвердил данную гипотезу: закономерности существуют в рамках отдельных организаций. </w:t>
      </w:r>
      <w:r w:rsidR="002A3EA9">
        <w:t xml:space="preserve">Для таких организаций была построена регрессионная модель, позволяющая определить величину рыночной капитализации компании в следующем году на основании показателей отчетности текущего года. Данные </w:t>
      </w:r>
      <w:r w:rsidR="00C47448">
        <w:t>модели</w:t>
      </w:r>
      <w:r w:rsidR="002A3EA9">
        <w:t xml:space="preserve"> могут быть использованы компаниями для прогнозирования изменений </w:t>
      </w:r>
      <w:r w:rsidR="00C47448">
        <w:t>показателя</w:t>
      </w:r>
      <w:r w:rsidR="002A3EA9">
        <w:t xml:space="preserve"> рыночной капитализации в </w:t>
      </w:r>
      <w:r w:rsidR="002A3EA9" w:rsidRPr="004E20A6">
        <w:t>связи с изменением</w:t>
      </w:r>
      <w:r w:rsidR="002A3EA9">
        <w:t xml:space="preserve"> </w:t>
      </w:r>
      <w:r w:rsidR="004E20A6">
        <w:t xml:space="preserve">показателей отчетности </w:t>
      </w:r>
      <w:r w:rsidR="004E20A6">
        <w:lastRenderedPageBreak/>
        <w:t>организаций, что особенно актуально в связи со скорым вступлением в силу нового стандарта по выручке.</w:t>
      </w:r>
    </w:p>
    <w:p w14:paraId="06B2CDCB" w14:textId="23691D07" w:rsidR="00506FFC" w:rsidRPr="00114FED" w:rsidRDefault="00377A56" w:rsidP="005056E9">
      <w:r>
        <w:t>Ключевыми особенностями</w:t>
      </w:r>
      <w:r w:rsidR="003E06D3" w:rsidRPr="003E06D3">
        <w:t xml:space="preserve"> функционирования строительных организаций, влияющими на процесс учета и формирования отчетности в соответствии с Международными Стандартами</w:t>
      </w:r>
      <w:r w:rsidRPr="003E06D3">
        <w:t xml:space="preserve">, </w:t>
      </w:r>
      <w:r>
        <w:t xml:space="preserve">выделенными в работе являются: </w:t>
      </w:r>
      <w:r w:rsidRPr="00377A56">
        <w:t>наличие долгосрочных договоров на строительство и сложность их учета, холдинговая структура, наличие иностранных поставщиков и необходимость учета взносов в СРО</w:t>
      </w:r>
      <w:r w:rsidR="00CE721F">
        <w:t>. Именно эти особенности обуславливают необходимость применения следующих стандартов:</w:t>
      </w:r>
      <w:r w:rsidR="00114FED">
        <w:t xml:space="preserve"> </w:t>
      </w:r>
      <w:r w:rsidR="00114FED" w:rsidRPr="003F42E1">
        <w:t>МСФО (IAS) 11 «Договоры на строительство»</w:t>
      </w:r>
      <w:r w:rsidR="00114FED">
        <w:t xml:space="preserve">, </w:t>
      </w:r>
      <w:r w:rsidR="00114FED" w:rsidRPr="003F42E1">
        <w:t>МСФО (IAS) 18 «Выручка»</w:t>
      </w:r>
      <w:r w:rsidR="00114FED">
        <w:t xml:space="preserve">, МСФО </w:t>
      </w:r>
      <w:r w:rsidR="00114FED" w:rsidRPr="008C1E67">
        <w:t>(</w:t>
      </w:r>
      <w:r w:rsidR="00114FED" w:rsidRPr="00114FED">
        <w:rPr>
          <w:lang w:val="en-US"/>
        </w:rPr>
        <w:t>IFRS</w:t>
      </w:r>
      <w:r w:rsidR="00114FED" w:rsidRPr="008C1E67">
        <w:t>) 10 “Консолидированная финансовая отчетность”</w:t>
      </w:r>
      <w:r w:rsidR="00114FED">
        <w:t xml:space="preserve">, МСФО </w:t>
      </w:r>
      <w:r w:rsidR="00114FED" w:rsidRPr="008C1E67">
        <w:t>(</w:t>
      </w:r>
      <w:r w:rsidR="00114FED" w:rsidRPr="00114FED">
        <w:rPr>
          <w:lang w:val="en-US"/>
        </w:rPr>
        <w:t>IFRS</w:t>
      </w:r>
      <w:r w:rsidR="00114FED" w:rsidRPr="008C1E67">
        <w:t xml:space="preserve">) 8 </w:t>
      </w:r>
      <w:r w:rsidR="00114FED">
        <w:t xml:space="preserve">«Операционные сегменты», </w:t>
      </w:r>
      <w:r w:rsidR="00114FED" w:rsidRPr="00AB7CC6">
        <w:t>МСФО (IAS) 21</w:t>
      </w:r>
      <w:r w:rsidR="00114FED">
        <w:t xml:space="preserve"> «Влияние изменения валютных курсов», </w:t>
      </w:r>
      <w:r w:rsidR="00114FED" w:rsidRPr="00614376">
        <w:t>МСФО (IAS) 37 «</w:t>
      </w:r>
      <w:r w:rsidR="00114FED">
        <w:t>Оценочные обязательства</w:t>
      </w:r>
      <w:r w:rsidR="00114FED" w:rsidRPr="00614376">
        <w:t>, условные активы и условные обязательства»</w:t>
      </w:r>
      <w:r w:rsidR="004E20A6">
        <w:t>.</w:t>
      </w:r>
    </w:p>
    <w:p w14:paraId="148DA4AA" w14:textId="14A96119" w:rsidR="00506FFC" w:rsidRPr="00F10C2E" w:rsidRDefault="004E20A6" w:rsidP="005056E9">
      <w:pPr>
        <w:rPr>
          <w:i/>
        </w:rPr>
      </w:pPr>
      <w:r>
        <w:t xml:space="preserve">Применение </w:t>
      </w:r>
      <w:r w:rsidR="005F1A26" w:rsidRPr="005F1A26">
        <w:t>МСФО (</w:t>
      </w:r>
      <w:r w:rsidR="005F1A26" w:rsidRPr="005F1A26">
        <w:rPr>
          <w:lang w:val="en-US"/>
        </w:rPr>
        <w:t xml:space="preserve">IAS) 11 </w:t>
      </w:r>
      <w:r w:rsidR="005F1A26" w:rsidRPr="005F1A26">
        <w:t>«</w:t>
      </w:r>
      <w:r w:rsidR="00C47448" w:rsidRPr="005F1A26">
        <w:t>Договоры</w:t>
      </w:r>
      <w:r w:rsidR="005F1A26" w:rsidRPr="005F1A26">
        <w:t xml:space="preserve"> на строительство»</w:t>
      </w:r>
      <w:r w:rsidR="005F1A26">
        <w:t xml:space="preserve"> </w:t>
      </w:r>
      <w:r>
        <w:t xml:space="preserve">для учета долгосрочных договоров на строительство в рамках данного исследования рассматривается как ключевая особенность учета в соответствии с МСФО  в строительных организациях. </w:t>
      </w:r>
      <w:r w:rsidR="00C52286" w:rsidRPr="00CE721F">
        <w:t xml:space="preserve">В основе стандарта лежит принцип учета по мере готовности. Однако, </w:t>
      </w:r>
      <w:r w:rsidR="00C52286">
        <w:t xml:space="preserve">стоит отметить, что </w:t>
      </w:r>
      <w:r w:rsidR="00C52286" w:rsidRPr="00CE721F">
        <w:t>далеко не все договоры на строительство ( в том числе долгосрочные) попадают по действие МСФО (IAS) 11: некоторые попадают под действие стандарта МСФО (IAS) 18</w:t>
      </w:r>
      <w:r w:rsidR="00735454">
        <w:t xml:space="preserve"> </w:t>
      </w:r>
      <w:r w:rsidR="00C52286" w:rsidRPr="00CE721F">
        <w:t>"Выручка".</w:t>
      </w:r>
      <w:r w:rsidR="00735454">
        <w:t xml:space="preserve"> </w:t>
      </w:r>
      <w:r w:rsidR="00CE721F" w:rsidRPr="00CE721F">
        <w:t xml:space="preserve">Исследованы основные вопросы применения МСФО (IAS) 11 «Договоры на строительство», согласно которому контракты на строительство могут осуществляться в течение нескольких лет, и, следовательно, перед бухгалтером стоит задача распределить доходы и затраты по договору на строительство по отчетным периодам. </w:t>
      </w:r>
      <w:r>
        <w:t>В ходе анализа положений стандарта автором сос</w:t>
      </w:r>
      <w:r w:rsidR="00C52286">
        <w:t>т</w:t>
      </w:r>
      <w:r>
        <w:t>авлен алгоритм определения финансового результата по</w:t>
      </w:r>
      <w:r w:rsidR="00C52286">
        <w:t xml:space="preserve"> </w:t>
      </w:r>
      <w:r w:rsidR="00C47448">
        <w:t>договорам</w:t>
      </w:r>
      <w:r w:rsidR="00C52286">
        <w:t xml:space="preserve"> на строительство, применение которого </w:t>
      </w:r>
      <w:r w:rsidR="00C47448">
        <w:t>проиллюстрировано</w:t>
      </w:r>
      <w:r w:rsidR="00C52286">
        <w:t xml:space="preserve"> авторским примером. </w:t>
      </w:r>
    </w:p>
    <w:p w14:paraId="18F2BEEA" w14:textId="77D9FCEB" w:rsidR="00506FFC" w:rsidRPr="00F10C2E" w:rsidRDefault="00F53418" w:rsidP="005056E9">
      <w:pPr>
        <w:rPr>
          <w:i/>
        </w:rPr>
      </w:pPr>
      <w:r>
        <w:t>В ходе сравнительного анализа положений МСФО (</w:t>
      </w:r>
      <w:r>
        <w:rPr>
          <w:lang w:val="en-US"/>
        </w:rPr>
        <w:t xml:space="preserve">IAS) 11 и МСФО (IFRS) 15 </w:t>
      </w:r>
      <w:r>
        <w:t xml:space="preserve">сделан вывод о том, что </w:t>
      </w:r>
      <w:r w:rsidR="00E159D0">
        <w:t>переход на новый</w:t>
      </w:r>
      <w:r>
        <w:t xml:space="preserve"> стандарт</w:t>
      </w:r>
      <w:r w:rsidR="00E159D0">
        <w:t>, скорее всего,</w:t>
      </w:r>
      <w:r>
        <w:t xml:space="preserve"> окажет существенное влияние на показатель выручки строительных организаций</w:t>
      </w:r>
      <w:r w:rsidR="00E159D0">
        <w:t xml:space="preserve">, а, следовательно, и на весь финансовый </w:t>
      </w:r>
      <w:r>
        <w:t xml:space="preserve"> </w:t>
      </w:r>
      <w:r w:rsidR="00E159D0">
        <w:t>результат</w:t>
      </w:r>
      <w:r w:rsidR="00976FE1">
        <w:t xml:space="preserve">. Это связано, в первую очередь, с введением новых критериев, которые необходимо соблюсти (точнее, хотя бы один из них) для того, чтобы учитывать выручку по </w:t>
      </w:r>
      <w:r w:rsidR="00C47448">
        <w:t>договору</w:t>
      </w:r>
      <w:r w:rsidR="00976FE1">
        <w:t xml:space="preserve"> по мере завершенности</w:t>
      </w:r>
      <w:r w:rsidR="00C90E11">
        <w:t>. Выручка будет признана только по завершению всех работ по договору, в то время как в соответствии с МСФО (</w:t>
      </w:r>
      <w:r w:rsidR="00C90E11">
        <w:rPr>
          <w:lang w:val="en-US"/>
        </w:rPr>
        <w:t xml:space="preserve">IAS) 11 </w:t>
      </w:r>
      <w:r w:rsidR="00C90E11">
        <w:t xml:space="preserve">выручка по такому </w:t>
      </w:r>
      <w:r w:rsidR="00C47448">
        <w:t>договору</w:t>
      </w:r>
      <w:r w:rsidR="00C90E11">
        <w:t xml:space="preserve"> могла бы признаваться по мере готовности.</w:t>
      </w:r>
      <w:r w:rsidR="008F549E">
        <w:t xml:space="preserve"> Регрессионная модель, составленная в первой главе данного исследования, может помочь организациям спрогнозировать влияние перехода на МСФО (</w:t>
      </w:r>
      <w:r w:rsidR="008F549E">
        <w:rPr>
          <w:lang w:val="en-US"/>
        </w:rPr>
        <w:t xml:space="preserve">IFRS) </w:t>
      </w:r>
      <w:r w:rsidR="008F549E">
        <w:t xml:space="preserve">15 на инвестиционную привлекательность организации. </w:t>
      </w:r>
    </w:p>
    <w:p w14:paraId="3392D07B" w14:textId="4F7F02ED" w:rsidR="00506FFC" w:rsidRPr="00E67D84" w:rsidRDefault="00E67D84" w:rsidP="005056E9">
      <w:r w:rsidRPr="00E67D84">
        <w:lastRenderedPageBreak/>
        <w:t xml:space="preserve">В </w:t>
      </w:r>
      <w:r w:rsidR="00161528">
        <w:t>процессе</w:t>
      </w:r>
      <w:r w:rsidRPr="00E67D84">
        <w:t xml:space="preserve"> исследования выявлено, что</w:t>
      </w:r>
      <w:r w:rsidR="007F1DEE" w:rsidRPr="00E67D84">
        <w:t xml:space="preserve"> </w:t>
      </w:r>
      <w:r w:rsidRPr="00E67D84">
        <w:t>ф</w:t>
      </w:r>
      <w:r w:rsidR="007F1DEE" w:rsidRPr="00E67D84">
        <w:t>инансовая отчетность</w:t>
      </w:r>
      <w:r w:rsidR="00ED155C" w:rsidRPr="00E67D84">
        <w:t xml:space="preserve"> </w:t>
      </w:r>
      <w:r w:rsidR="00420738" w:rsidRPr="00E67D84">
        <w:t xml:space="preserve">компаний за 2015 год, </w:t>
      </w:r>
      <w:r w:rsidR="007F1DEE" w:rsidRPr="00E67D84">
        <w:t>полностью соответствует Международным Стандартам Финансовой Отчетности. Компании раскрывают всю необходимую для пользователей отчетности информацию.</w:t>
      </w:r>
      <w:r w:rsidR="00420738" w:rsidRPr="00E67D84">
        <w:t xml:space="preserve"> </w:t>
      </w:r>
      <w:r w:rsidR="007F1DEE" w:rsidRPr="00E67D84">
        <w:t>Помимо финансовой о</w:t>
      </w:r>
      <w:r w:rsidR="005056E9">
        <w:t>тчетности</w:t>
      </w:r>
      <w:r w:rsidR="007F1DEE" w:rsidRPr="00E67D84">
        <w:t xml:space="preserve"> некоторые компании (преимущественно западные) представляют и другие формы отчетности, в которых отражены социальные и экологические аспекты деятельности компаний. </w:t>
      </w:r>
      <w:r>
        <w:t>Например, зарубежные компании составляют экологический отчет, что связано со спецификой отношения общества к вопросам экологии.</w:t>
      </w:r>
    </w:p>
    <w:p w14:paraId="67EBFD4F" w14:textId="38ADA755" w:rsidR="005056E9" w:rsidRDefault="00045A34" w:rsidP="005056E9">
      <w:r w:rsidRPr="00E67D84">
        <w:t xml:space="preserve">В ходе исследования особенностей представления отчетности строительными </w:t>
      </w:r>
      <w:r w:rsidR="00C47448" w:rsidRPr="00E67D84">
        <w:t>компаниями</w:t>
      </w:r>
      <w:r w:rsidRPr="00E67D84">
        <w:t xml:space="preserve"> выявлено, что</w:t>
      </w:r>
      <w:r w:rsidR="007F1DEE" w:rsidRPr="00E67D84">
        <w:t xml:space="preserve"> </w:t>
      </w:r>
      <w:r w:rsidRPr="00E67D84">
        <w:t>к</w:t>
      </w:r>
      <w:r w:rsidR="007F1DEE" w:rsidRPr="00E67D84">
        <w:t>омпании</w:t>
      </w:r>
      <w:r w:rsidR="005853E1">
        <w:t xml:space="preserve"> помимо обязательных форм</w:t>
      </w:r>
      <w:r w:rsidRPr="00E67D84">
        <w:t xml:space="preserve"> отчетности</w:t>
      </w:r>
      <w:r w:rsidR="007F1DEE" w:rsidRPr="00E67D84">
        <w:t xml:space="preserve"> раскрывают типично «строительные» формы отчетности – отчет об оценке портфеля объектов недвижимости организации. По мнению автора, представление такого отчета может улучшить отчетность строительной компании в глазах потенциальных инвесторов или кредиторов. Все компании применяют «отраслевой» стандарт МСФО (IAS) 11 (степень завершённости работ по договору в большинстве своем определяются процентом понесенных затрат, что в полной мере соответствует положениям Стандарта) для учета долгосрочных договоров на строительство. Досрочный переход на новый МСФО (IFRS) 15 ни одна из организаций не планирует, однако некоторые компании уже оценивают влияние данного Стандарта как существенное. Также все компании представляют сегментную отчетность. Во всех пяти компаниях основным сегментом является строительство, а также в большинстве – сегмент, занимающийся продажей недвижимости. Таким образом, выделенные во </w:t>
      </w:r>
      <w:r w:rsidR="00C47448">
        <w:t>в</w:t>
      </w:r>
      <w:r w:rsidR="00C47448" w:rsidRPr="00E67D84">
        <w:t>торой</w:t>
      </w:r>
      <w:r w:rsidR="007F1DEE" w:rsidRPr="00E67D84">
        <w:t xml:space="preserve"> главе исследования особенности деятельности строительных организациях находят отражение также и в конечном продукте учета – отчетности. </w:t>
      </w:r>
    </w:p>
    <w:p w14:paraId="595B6A46" w14:textId="6361AFB7" w:rsidR="000421BE" w:rsidRPr="00C306A0" w:rsidRDefault="009373F1" w:rsidP="005056E9">
      <w:r w:rsidRPr="00C306A0">
        <w:t>Изучив описанные в исследовании вопросы, можно дать следующие рекомендации:</w:t>
      </w:r>
    </w:p>
    <w:p w14:paraId="2308D274" w14:textId="2EECDC11" w:rsidR="009E3C12" w:rsidRPr="00C306A0" w:rsidRDefault="009E3C12" w:rsidP="00C306A0">
      <w:pPr>
        <w:pStyle w:val="a"/>
        <w:numPr>
          <w:ilvl w:val="0"/>
          <w:numId w:val="22"/>
        </w:numPr>
        <w:ind w:left="567" w:hanging="283"/>
      </w:pPr>
      <w:r w:rsidRPr="00C306A0">
        <w:t xml:space="preserve">В Российской Федерации необходимо </w:t>
      </w:r>
      <w:r w:rsidR="00933D7E" w:rsidRPr="00C306A0">
        <w:t xml:space="preserve">стимулировать процесс сбора и </w:t>
      </w:r>
      <w:r w:rsidR="007C5ACD" w:rsidRPr="00C306A0">
        <w:t>обобщения</w:t>
      </w:r>
      <w:r w:rsidR="00933D7E" w:rsidRPr="00C306A0">
        <w:t xml:space="preserve"> статистических данных в вопросах МСФО, поскольку в рамках данного исследования одной их ключевых проблем является недостаток таких сведений.</w:t>
      </w:r>
    </w:p>
    <w:p w14:paraId="247E6982" w14:textId="0733A32B" w:rsidR="009373F1" w:rsidRPr="00C306A0" w:rsidRDefault="009373F1" w:rsidP="00C306A0">
      <w:pPr>
        <w:pStyle w:val="a"/>
        <w:numPr>
          <w:ilvl w:val="0"/>
          <w:numId w:val="22"/>
        </w:numPr>
        <w:ind w:left="567" w:hanging="283"/>
      </w:pPr>
      <w:r w:rsidRPr="00C306A0">
        <w:t xml:space="preserve">Составление отчетности строительных организаций согласно Международным Стандартам необходимо для «крупных» игроков рынка: они </w:t>
      </w:r>
      <w:r w:rsidR="007C5ACD" w:rsidRPr="00C306A0">
        <w:t>обязаны</w:t>
      </w:r>
      <w:r w:rsidRPr="00C306A0">
        <w:t xml:space="preserve"> это делать по закону, добровольный же переход на Стандарты навряд ли будет оправдан с экономической точки зрения</w:t>
      </w:r>
      <w:r w:rsidR="00933D7E" w:rsidRPr="00C306A0">
        <w:t xml:space="preserve">: автор приходит к выводу о том, что инвесторы </w:t>
      </w:r>
      <w:r w:rsidR="004B628F" w:rsidRPr="00C306A0">
        <w:t xml:space="preserve">не всегда ориентируются </w:t>
      </w:r>
      <w:r w:rsidR="00933D7E" w:rsidRPr="00C306A0">
        <w:t xml:space="preserve">на </w:t>
      </w:r>
      <w:r w:rsidR="00811E52" w:rsidRPr="00C306A0">
        <w:t>показатели</w:t>
      </w:r>
      <w:r w:rsidR="00933D7E" w:rsidRPr="00C306A0">
        <w:t xml:space="preserve"> отчетности</w:t>
      </w:r>
      <w:r w:rsidR="008F549E">
        <w:t>.</w:t>
      </w:r>
    </w:p>
    <w:p w14:paraId="12D5DF80" w14:textId="6E36F30E" w:rsidR="009F6081" w:rsidRPr="00E57E3D" w:rsidRDefault="009373F1" w:rsidP="00E57E3D">
      <w:pPr>
        <w:pStyle w:val="a"/>
        <w:numPr>
          <w:ilvl w:val="0"/>
          <w:numId w:val="22"/>
        </w:numPr>
        <w:ind w:left="567" w:hanging="283"/>
        <w:rPr>
          <w:lang w:eastAsia="ru-RU"/>
        </w:rPr>
      </w:pPr>
      <w:r w:rsidRPr="00C306A0">
        <w:t>На основании показателей отчетности по МСФО некоторые компании отрасли могут прогнозировать «отклик» рынка на такую отчетность, но только при наличии ад</w:t>
      </w:r>
      <w:r w:rsidR="00933D7E" w:rsidRPr="00C306A0">
        <w:t>екватной модели прогнозирования.</w:t>
      </w:r>
      <w:r w:rsidR="00C306A0" w:rsidRPr="00C306A0">
        <w:t xml:space="preserve"> Пример составления такой модели представлен в данном исследовании в форме уравнения линейной регрессии.</w:t>
      </w:r>
      <w:r w:rsidR="009F6081">
        <w:br w:type="page"/>
      </w:r>
    </w:p>
    <w:p w14:paraId="31EBE474" w14:textId="7B0DE4BC" w:rsidR="005B7C03" w:rsidRPr="0056262B" w:rsidRDefault="004D3925" w:rsidP="009F6081">
      <w:pPr>
        <w:pStyle w:val="1"/>
      </w:pPr>
      <w:bookmarkStart w:id="22" w:name="_Toc451081018"/>
      <w:r>
        <w:lastRenderedPageBreak/>
        <w:t>Список использованн</w:t>
      </w:r>
      <w:r w:rsidR="00213A5C">
        <w:t>ых источников</w:t>
      </w:r>
      <w:bookmarkEnd w:id="22"/>
    </w:p>
    <w:p w14:paraId="41A7FD66" w14:textId="77777777" w:rsidR="004D3925" w:rsidRDefault="004D3925" w:rsidP="006D0F47">
      <w:pPr>
        <w:pStyle w:val="ad"/>
      </w:pPr>
      <w:bookmarkStart w:id="23" w:name="_Toc436654275"/>
      <w:bookmarkStart w:id="24" w:name="_Toc449270235"/>
      <w:r>
        <w:t>Нормативно-правовые акты</w:t>
      </w:r>
      <w:bookmarkEnd w:id="23"/>
      <w:bookmarkEnd w:id="24"/>
    </w:p>
    <w:p w14:paraId="64B101ED" w14:textId="5A5E0502" w:rsidR="00481794" w:rsidRPr="000373FB" w:rsidRDefault="00D43107" w:rsidP="00F823CB">
      <w:pPr>
        <w:pStyle w:val="a"/>
        <w:numPr>
          <w:ilvl w:val="0"/>
          <w:numId w:val="1"/>
        </w:numPr>
        <w:spacing w:line="240" w:lineRule="auto"/>
        <w:ind w:left="714" w:hanging="357"/>
      </w:pPr>
      <w:r w:rsidRPr="000373FB">
        <w:t>Международный стандарт финансовой отчетности (IAS) 11 "Договоры на строительство" (введен в действие на территории Российской Фед</w:t>
      </w:r>
      <w:r w:rsidR="00011BB3">
        <w:t>ерации Приказом Минфина РФ от 28.12.2015 N 217</w:t>
      </w:r>
      <w:r w:rsidRPr="000373FB">
        <w:t>н)</w:t>
      </w:r>
      <w:r w:rsidR="00481794" w:rsidRPr="000373FB">
        <w:t>.</w:t>
      </w:r>
    </w:p>
    <w:p w14:paraId="333F4636" w14:textId="41D87447" w:rsidR="00EE4D97" w:rsidRDefault="00EE4D97" w:rsidP="00EE4D97">
      <w:pPr>
        <w:pStyle w:val="a"/>
        <w:numPr>
          <w:ilvl w:val="0"/>
          <w:numId w:val="1"/>
        </w:numPr>
        <w:spacing w:line="240" w:lineRule="auto"/>
        <w:ind w:left="714" w:hanging="357"/>
      </w:pPr>
      <w:r w:rsidRPr="000373FB">
        <w:t xml:space="preserve">Международный стандарт финансовой отчетности (IAS) 18 «Выручка» (введен в действие на территории Российской Федерации Приказом Минфина </w:t>
      </w:r>
      <w:r w:rsidR="007D4269" w:rsidRPr="007D4269">
        <w:t>РФ от 28.12.2015 N 217н</w:t>
      </w:r>
      <w:r w:rsidR="007D4269">
        <w:t>).</w:t>
      </w:r>
    </w:p>
    <w:p w14:paraId="1A08613F" w14:textId="7F98AC06" w:rsidR="000373FB" w:rsidRDefault="000373FB" w:rsidP="000373FB">
      <w:pPr>
        <w:pStyle w:val="a"/>
        <w:numPr>
          <w:ilvl w:val="0"/>
          <w:numId w:val="1"/>
        </w:numPr>
        <w:spacing w:line="240" w:lineRule="auto"/>
        <w:ind w:left="714" w:hanging="357"/>
      </w:pPr>
      <w:r w:rsidRPr="000373FB">
        <w:t>Федеральный закон от 27.07.2010 N 208-ФЗ (ред. от 04.11.2014) "О консолидированной финансовой отчетности", ст. 2.</w:t>
      </w:r>
    </w:p>
    <w:p w14:paraId="09942C0E" w14:textId="5246E44C" w:rsidR="008A0F31" w:rsidRDefault="008A0F31" w:rsidP="000373FB">
      <w:pPr>
        <w:pStyle w:val="a"/>
        <w:numPr>
          <w:ilvl w:val="0"/>
          <w:numId w:val="1"/>
        </w:numPr>
        <w:spacing w:line="240" w:lineRule="auto"/>
        <w:ind w:left="714" w:hanging="357"/>
      </w:pPr>
      <w:r w:rsidRPr="008A0F31">
        <w:t>Международный стандарт финансовой отчетности (IFRS) 10 "Консолидированная финансовая отчетность" (введен в действие на территории Российской Федерации Приказом Минфина России от 28.12.2015 N 217н)</w:t>
      </w:r>
      <w:r>
        <w:t>.</w:t>
      </w:r>
    </w:p>
    <w:p w14:paraId="0A8B88E4" w14:textId="04B11D11" w:rsidR="000E5DDB" w:rsidRDefault="000E5DDB" w:rsidP="000E5DDB">
      <w:pPr>
        <w:pStyle w:val="a"/>
        <w:numPr>
          <w:ilvl w:val="0"/>
          <w:numId w:val="1"/>
        </w:numPr>
        <w:spacing w:line="240" w:lineRule="auto"/>
        <w:ind w:left="714" w:hanging="357"/>
      </w:pPr>
      <w:r w:rsidRPr="000E5DDB">
        <w:t>Международный стандарт финансовой отчетности (IFRS) 8 "Операционные сегменты" (введен в действие на территории Российской Федерации Приказом Минфина России от 28.12.2015 N 217н).</w:t>
      </w:r>
    </w:p>
    <w:p w14:paraId="1C31E9B5" w14:textId="351BD1A4" w:rsidR="000E5DDB" w:rsidRPr="002F5BB3" w:rsidRDefault="000E5DDB" w:rsidP="000E5DDB">
      <w:pPr>
        <w:pStyle w:val="a"/>
        <w:numPr>
          <w:ilvl w:val="0"/>
          <w:numId w:val="1"/>
        </w:numPr>
        <w:spacing w:line="240" w:lineRule="auto"/>
        <w:ind w:left="714" w:hanging="357"/>
      </w:pPr>
      <w:r w:rsidRPr="002F5BB3">
        <w:t>Международный стандарт финансовой отчетности (IAS) 21 "Влияние изменений валютных курсов" (введен в действие на территории Российской Федерации Приказом Минфина России от 28.12.2015 N 217н).</w:t>
      </w:r>
    </w:p>
    <w:p w14:paraId="3060D40C" w14:textId="11927E11" w:rsidR="000E5DDB" w:rsidRPr="002F5BB3" w:rsidRDefault="000E5DDB" w:rsidP="000E5DDB">
      <w:pPr>
        <w:pStyle w:val="a"/>
        <w:numPr>
          <w:ilvl w:val="0"/>
          <w:numId w:val="1"/>
        </w:numPr>
        <w:spacing w:line="240" w:lineRule="auto"/>
        <w:ind w:left="714" w:hanging="357"/>
      </w:pPr>
      <w:r w:rsidRPr="002F5BB3">
        <w:t>Международный стандарт финансовой отчетности (IAS) 37 "Резервы, условные обязательства и условные активы" (ред. от 26.08.2015) (введен в действие на территории Российской Федерации Приказом Минфина</w:t>
      </w:r>
      <w:r w:rsidR="007D4269" w:rsidRPr="007D4269">
        <w:t xml:space="preserve"> РФ от 28.12.2015 N 217н</w:t>
      </w:r>
      <w:r w:rsidRPr="002F5BB3">
        <w:t>).</w:t>
      </w:r>
    </w:p>
    <w:p w14:paraId="08127A5A" w14:textId="77777777" w:rsidR="002F5BB3" w:rsidRPr="002F5BB3" w:rsidRDefault="002F5BB3" w:rsidP="002F5BB3">
      <w:pPr>
        <w:pStyle w:val="a"/>
        <w:numPr>
          <w:ilvl w:val="0"/>
          <w:numId w:val="1"/>
        </w:numPr>
        <w:spacing w:line="240" w:lineRule="auto"/>
        <w:ind w:left="714" w:hanging="357"/>
      </w:pPr>
      <w:r w:rsidRPr="002F5BB3">
        <w:t xml:space="preserve">Разъяснение КРМФО (IFRIC) 21 "Обязательные платежи" (введено в действие на территории Российской Федерации Приказом Минфина России от 28.12.2015 N 217н). </w:t>
      </w:r>
    </w:p>
    <w:p w14:paraId="577E4744" w14:textId="5E25E443" w:rsidR="002F5BB3" w:rsidRDefault="002F5BB3" w:rsidP="002F5BB3">
      <w:pPr>
        <w:pStyle w:val="a"/>
        <w:numPr>
          <w:ilvl w:val="0"/>
          <w:numId w:val="1"/>
        </w:numPr>
        <w:spacing w:line="240" w:lineRule="auto"/>
        <w:ind w:left="714" w:hanging="357"/>
      </w:pPr>
      <w:r w:rsidRPr="002F5BB3">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21.01.2015 N 9н).</w:t>
      </w:r>
    </w:p>
    <w:p w14:paraId="534636FB" w14:textId="2B332AA0" w:rsidR="007B28E3" w:rsidRPr="007B28E3" w:rsidRDefault="007B28E3" w:rsidP="007B28E3">
      <w:pPr>
        <w:pStyle w:val="a"/>
        <w:numPr>
          <w:ilvl w:val="0"/>
          <w:numId w:val="1"/>
        </w:numPr>
        <w:spacing w:line="240" w:lineRule="auto"/>
        <w:ind w:left="714" w:hanging="357"/>
      </w:pPr>
      <w:r w:rsidRPr="007B28E3">
        <w:t>Международный стандарт финансовой отчетности (IAS) 23 "Затраты по заимствованиям" (введен в действие на территории Российской Федерации приказом Минфина России от 28.12.2015 N 217н).</w:t>
      </w:r>
    </w:p>
    <w:p w14:paraId="24A247CE" w14:textId="18CC4F24" w:rsidR="001F003F" w:rsidRPr="0003431A" w:rsidRDefault="001F003F" w:rsidP="00F823CB">
      <w:pPr>
        <w:pStyle w:val="a"/>
        <w:numPr>
          <w:ilvl w:val="0"/>
          <w:numId w:val="1"/>
        </w:numPr>
        <w:spacing w:line="240" w:lineRule="auto"/>
        <w:ind w:left="714" w:hanging="357"/>
      </w:pPr>
      <w:r w:rsidRPr="0003431A">
        <w:t>Разъяснение КРМФО (IFRIC) 15 "Соглашения на строительство объектов недвижимости" (введено в действие на территории Российской Федерации Приказом Минфина России от 28.12.2015 N 217н)</w:t>
      </w:r>
      <w:r w:rsidR="00C27454" w:rsidRPr="0003431A">
        <w:t>.</w:t>
      </w:r>
    </w:p>
    <w:p w14:paraId="7E5DF054" w14:textId="3B39E3A5" w:rsidR="00D51CF5" w:rsidRDefault="00D51CF5" w:rsidP="00D51CF5">
      <w:pPr>
        <w:pStyle w:val="a"/>
        <w:numPr>
          <w:ilvl w:val="0"/>
          <w:numId w:val="1"/>
        </w:numPr>
        <w:spacing w:line="240" w:lineRule="auto"/>
        <w:ind w:left="714" w:hanging="357"/>
      </w:pPr>
      <w:r w:rsidRPr="002B53F8">
        <w:t xml:space="preserve">Международный стандарт финансовой отчетности (IAS) 1 «Представление финансовой отчетности» (введен в действие для применения на территории Российской Федерации приказом Минфина России от 28.12.2015 № 217н). </w:t>
      </w:r>
    </w:p>
    <w:p w14:paraId="37372AF3" w14:textId="26089C4F" w:rsidR="00CE4CB5" w:rsidRPr="002B53F8" w:rsidRDefault="00CE4CB5" w:rsidP="00D51CF5">
      <w:pPr>
        <w:pStyle w:val="a"/>
        <w:numPr>
          <w:ilvl w:val="0"/>
          <w:numId w:val="1"/>
        </w:numPr>
        <w:spacing w:line="240" w:lineRule="auto"/>
        <w:ind w:left="714" w:hanging="357"/>
      </w:pPr>
      <w:r w:rsidRPr="00CE4CB5">
        <w:t>Источник: Альбом унифицированных форм первичной учетной документации по учету работ в капитальном строительстве и ремонтно-строительных работ" (формы утверждены Постановлением Госкомстата РФ от 11.11.1999 N 100)</w:t>
      </w:r>
      <w:r>
        <w:t>.</w:t>
      </w:r>
    </w:p>
    <w:p w14:paraId="1CAA8174" w14:textId="77777777" w:rsidR="004D3925" w:rsidRPr="00373052" w:rsidRDefault="004D3925" w:rsidP="006D0F47">
      <w:pPr>
        <w:pStyle w:val="ad"/>
      </w:pPr>
      <w:bookmarkStart w:id="25" w:name="_Toc436654276"/>
      <w:bookmarkStart w:id="26" w:name="_Toc449270236"/>
      <w:r w:rsidRPr="00373052">
        <w:t>Монографии, учебники, учебные пособия</w:t>
      </w:r>
      <w:bookmarkEnd w:id="25"/>
      <w:bookmarkEnd w:id="26"/>
    </w:p>
    <w:p w14:paraId="54350187" w14:textId="66A41FED" w:rsidR="006E6105" w:rsidRPr="00373052" w:rsidRDefault="00A56BA1" w:rsidP="007A608E">
      <w:pPr>
        <w:pStyle w:val="a"/>
        <w:numPr>
          <w:ilvl w:val="0"/>
          <w:numId w:val="1"/>
        </w:numPr>
        <w:spacing w:line="240" w:lineRule="auto"/>
        <w:ind w:left="714" w:hanging="357"/>
      </w:pPr>
      <w:r w:rsidRPr="00373052">
        <w:t xml:space="preserve">Генералова, Н. В. </w:t>
      </w:r>
      <w:r w:rsidR="006E6105" w:rsidRPr="00373052">
        <w:t>Международные стандарт</w:t>
      </w:r>
      <w:r w:rsidR="00BD36E6" w:rsidRPr="00373052">
        <w:t>ы финансовой отчетности</w:t>
      </w:r>
      <w:r w:rsidR="0014588E" w:rsidRPr="00373052">
        <w:t>: У</w:t>
      </w:r>
      <w:r w:rsidR="006E6105" w:rsidRPr="00373052">
        <w:t>чебное пособие / Н. В. Генералова. - М. : ПРОСПЕКТ, 2010. - 413 с.</w:t>
      </w:r>
    </w:p>
    <w:p w14:paraId="10886F56" w14:textId="46F051C7" w:rsidR="0044736D" w:rsidRPr="00373052" w:rsidRDefault="0044736D" w:rsidP="007A608E">
      <w:pPr>
        <w:pStyle w:val="a"/>
        <w:numPr>
          <w:ilvl w:val="0"/>
          <w:numId w:val="1"/>
        </w:numPr>
        <w:spacing w:line="240" w:lineRule="auto"/>
        <w:ind w:left="714" w:hanging="357"/>
      </w:pPr>
      <w:r w:rsidRPr="00373052">
        <w:t>Международные стандарты финансовой отч</w:t>
      </w:r>
      <w:r w:rsidR="00F47328" w:rsidRPr="00373052">
        <w:t xml:space="preserve">етности: </w:t>
      </w:r>
      <w:r w:rsidRPr="00373052">
        <w:t xml:space="preserve">Учеб. </w:t>
      </w:r>
      <w:r w:rsidR="00F47328" w:rsidRPr="00373052">
        <w:t>П</w:t>
      </w:r>
      <w:r w:rsidRPr="00373052">
        <w:t>особие</w:t>
      </w:r>
      <w:r w:rsidR="00F47328" w:rsidRPr="00373052">
        <w:t xml:space="preserve"> / </w:t>
      </w:r>
      <w:r w:rsidR="00262168" w:rsidRPr="00373052">
        <w:t xml:space="preserve">И. И. Бочкарева </w:t>
      </w:r>
      <w:r w:rsidR="00262168" w:rsidRPr="00373052">
        <w:rPr>
          <w:lang w:val="en-US"/>
        </w:rPr>
        <w:t>[</w:t>
      </w:r>
      <w:r w:rsidR="00262168" w:rsidRPr="00373052">
        <w:t>и др.</w:t>
      </w:r>
      <w:r w:rsidR="00262168" w:rsidRPr="00373052">
        <w:rPr>
          <w:lang w:val="en-US"/>
        </w:rPr>
        <w:t xml:space="preserve">]; </w:t>
      </w:r>
      <w:r w:rsidR="00262168" w:rsidRPr="00373052">
        <w:t>п</w:t>
      </w:r>
      <w:r w:rsidR="00F47328" w:rsidRPr="00373052">
        <w:t>од ред. И.А. Смирновой. – М.: Финансы и статистика, 2005</w:t>
      </w:r>
      <w:r w:rsidRPr="00373052">
        <w:t>. - 671 с.</w:t>
      </w:r>
    </w:p>
    <w:p w14:paraId="5D24012B" w14:textId="5FF6FB35" w:rsidR="004B5942" w:rsidRPr="00373052" w:rsidRDefault="004B5942" w:rsidP="007A608E">
      <w:pPr>
        <w:pStyle w:val="a"/>
        <w:numPr>
          <w:ilvl w:val="0"/>
          <w:numId w:val="1"/>
        </w:numPr>
        <w:spacing w:line="240" w:lineRule="auto"/>
        <w:ind w:left="714" w:hanging="357"/>
      </w:pPr>
      <w:r w:rsidRPr="00373052">
        <w:t>Бараз</w:t>
      </w:r>
      <w:r w:rsidR="00A56BA1" w:rsidRPr="00373052">
        <w:t>,</w:t>
      </w:r>
      <w:r w:rsidRPr="00373052">
        <w:t xml:space="preserve"> В.Р. Корреляционно-регрессионный анализ связи показателей коммерческой деятельности с использованием программы Excel : учебное пособие / В.Р. БАРАЗ. – Екатеринбург : ГОУ ВПО «УГТУ–УПИ», 2005. – 102 с.</w:t>
      </w:r>
    </w:p>
    <w:p w14:paraId="46F35E1F" w14:textId="71D0C707" w:rsidR="00675E9C" w:rsidRPr="00373052" w:rsidRDefault="00A56BA1" w:rsidP="007A608E">
      <w:pPr>
        <w:pStyle w:val="a"/>
        <w:numPr>
          <w:ilvl w:val="0"/>
          <w:numId w:val="1"/>
        </w:numPr>
        <w:spacing w:line="240" w:lineRule="auto"/>
        <w:ind w:left="714" w:hanging="357"/>
      </w:pPr>
      <w:r w:rsidRPr="00373052">
        <w:lastRenderedPageBreak/>
        <w:t>Лукинов, В. А., Карпенко, А. А., Романова, С. С.</w:t>
      </w:r>
      <w:r w:rsidR="00210E76" w:rsidRPr="00373052">
        <w:t xml:space="preserve"> </w:t>
      </w:r>
      <w:r w:rsidRPr="00373052">
        <w:t>Бухгалтерский учет</w:t>
      </w:r>
      <w:r w:rsidR="00675E9C" w:rsidRPr="00373052">
        <w:t xml:space="preserve"> в строительстве: Учебное пособие / В.А. Лукинов, A.A. Карпенко, С.С. Романова; Под ред</w:t>
      </w:r>
      <w:r w:rsidR="00210E76" w:rsidRPr="00373052">
        <w:t>.</w:t>
      </w:r>
      <w:r w:rsidR="00675E9C" w:rsidRPr="00373052">
        <w:t xml:space="preserve"> В.А. Лукинова. </w:t>
      </w:r>
      <w:r w:rsidR="00210E76" w:rsidRPr="00373052">
        <w:t xml:space="preserve">- </w:t>
      </w:r>
      <w:r w:rsidR="00675E9C" w:rsidRPr="00373052">
        <w:t>М.: Юрайт, 1998. - 474 с.</w:t>
      </w:r>
    </w:p>
    <w:p w14:paraId="016E9BAA" w14:textId="6AAE9E59" w:rsidR="00675E9C" w:rsidRPr="00373052" w:rsidRDefault="00675E9C" w:rsidP="007A608E">
      <w:pPr>
        <w:pStyle w:val="a"/>
        <w:numPr>
          <w:ilvl w:val="0"/>
          <w:numId w:val="1"/>
        </w:numPr>
        <w:spacing w:line="240" w:lineRule="auto"/>
        <w:ind w:left="714" w:hanging="357"/>
      </w:pPr>
      <w:r w:rsidRPr="00373052">
        <w:t>Адамов</w:t>
      </w:r>
      <w:r w:rsidR="00A56BA1" w:rsidRPr="00373052">
        <w:t>,</w:t>
      </w:r>
      <w:r w:rsidRPr="00373052">
        <w:t xml:space="preserve"> Н.</w:t>
      </w:r>
      <w:r w:rsidR="00A56BA1" w:rsidRPr="00373052">
        <w:t xml:space="preserve"> </w:t>
      </w:r>
      <w:r w:rsidRPr="00373052">
        <w:t>А., Амучиева</w:t>
      </w:r>
      <w:r w:rsidR="00A56BA1" w:rsidRPr="00373052">
        <w:t>,</w:t>
      </w:r>
      <w:r w:rsidRPr="00373052">
        <w:t xml:space="preserve"> Г.А. Бухгалтерский учет в с</w:t>
      </w:r>
      <w:r w:rsidR="00A56BA1" w:rsidRPr="00373052">
        <w:t xml:space="preserve">троительстве: Учебное пособие / ГУУ. – М., 2004 – 128 с. </w:t>
      </w:r>
    </w:p>
    <w:p w14:paraId="0AAFF6A4" w14:textId="02300063" w:rsidR="002B4165" w:rsidRDefault="006E5297" w:rsidP="007A608E">
      <w:pPr>
        <w:pStyle w:val="a"/>
        <w:numPr>
          <w:ilvl w:val="0"/>
          <w:numId w:val="1"/>
        </w:numPr>
        <w:spacing w:line="240" w:lineRule="auto"/>
        <w:ind w:left="714" w:hanging="357"/>
      </w:pPr>
      <w:r w:rsidRPr="00373052">
        <w:t>Бочкарева</w:t>
      </w:r>
      <w:r w:rsidR="00A56BA1" w:rsidRPr="00373052">
        <w:t>,</w:t>
      </w:r>
      <w:r w:rsidRPr="00373052">
        <w:t xml:space="preserve"> И. И., Левина</w:t>
      </w:r>
      <w:r w:rsidR="00A56BA1" w:rsidRPr="00373052">
        <w:t>,</w:t>
      </w:r>
      <w:r w:rsidRPr="00373052">
        <w:t xml:space="preserve"> Г. Г. </w:t>
      </w:r>
      <w:r w:rsidR="002B4165" w:rsidRPr="00373052">
        <w:t>Бухгалтерский финансовый учет: учебник/ И.</w:t>
      </w:r>
      <w:r w:rsidRPr="00373052">
        <w:t xml:space="preserve"> </w:t>
      </w:r>
      <w:r w:rsidR="002B4165" w:rsidRPr="00373052">
        <w:t>И. Бочкарева, Г.Г. Левина; под ред. проф. Я.В. Соколова. – М. : Магистр, 2010. – 413 с.</w:t>
      </w:r>
    </w:p>
    <w:p w14:paraId="5AED005D" w14:textId="590981FB" w:rsidR="007C1BC4" w:rsidRPr="00373052" w:rsidRDefault="007C1BC4" w:rsidP="007A608E">
      <w:pPr>
        <w:pStyle w:val="a"/>
        <w:numPr>
          <w:ilvl w:val="0"/>
          <w:numId w:val="1"/>
        </w:numPr>
        <w:spacing w:line="240" w:lineRule="auto"/>
        <w:ind w:left="714" w:hanging="357"/>
      </w:pPr>
      <w:r w:rsidRPr="007C1BC4">
        <w:t>Геддес Р. IPO и последующие размещения акций. – М.: ЗАО «ОлимпБизнес», 2007.</w:t>
      </w:r>
      <w:r>
        <w:t xml:space="preserve"> – 352 с.</w:t>
      </w:r>
    </w:p>
    <w:p w14:paraId="7B31570F" w14:textId="11AFAF31" w:rsidR="004D3925" w:rsidRPr="00ED155C" w:rsidRDefault="004D3925" w:rsidP="006D0F47">
      <w:pPr>
        <w:pStyle w:val="ad"/>
      </w:pPr>
      <w:bookmarkStart w:id="27" w:name="_Toc436654277"/>
      <w:bookmarkStart w:id="28" w:name="_Toc449270237"/>
      <w:r w:rsidRPr="00ED155C">
        <w:t>Статьи в журналах и других периодических изданиях</w:t>
      </w:r>
      <w:bookmarkEnd w:id="27"/>
      <w:bookmarkEnd w:id="28"/>
    </w:p>
    <w:p w14:paraId="2EE5CA95" w14:textId="60A01221" w:rsidR="002C69BD" w:rsidRPr="00ED155C" w:rsidRDefault="0031414E" w:rsidP="00911F1A">
      <w:pPr>
        <w:pStyle w:val="a"/>
        <w:numPr>
          <w:ilvl w:val="0"/>
          <w:numId w:val="1"/>
        </w:numPr>
        <w:spacing w:line="240" w:lineRule="auto"/>
        <w:ind w:left="714" w:hanging="357"/>
        <w:jc w:val="left"/>
      </w:pPr>
      <w:r w:rsidRPr="00ED155C">
        <w:t>Гимельберг</w:t>
      </w:r>
      <w:r w:rsidR="00D51CF5" w:rsidRPr="00ED155C">
        <w:t>, Э. Ф</w:t>
      </w:r>
      <w:r w:rsidRPr="00ED155C">
        <w:t xml:space="preserve">. </w:t>
      </w:r>
      <w:r w:rsidR="002C69BD" w:rsidRPr="00ED155C">
        <w:t>Зачем компаниям отчетность по МСФО?</w:t>
      </w:r>
      <w:r w:rsidRPr="00ED155C">
        <w:t xml:space="preserve"> /</w:t>
      </w:r>
      <w:r w:rsidR="00D51CF5" w:rsidRPr="00ED155C">
        <w:t xml:space="preserve"> </w:t>
      </w:r>
      <w:r w:rsidRPr="00ED155C">
        <w:t>Э.</w:t>
      </w:r>
      <w:r w:rsidR="00D51CF5" w:rsidRPr="00ED155C">
        <w:t xml:space="preserve"> </w:t>
      </w:r>
      <w:r w:rsidRPr="00ED155C">
        <w:t xml:space="preserve">Ф. Гимельберг. </w:t>
      </w:r>
      <w:r w:rsidRPr="00ED155C">
        <w:rPr>
          <w:lang w:val="en-US"/>
        </w:rPr>
        <w:t>URL</w:t>
      </w:r>
      <w:r w:rsidRPr="00ED155C">
        <w:t xml:space="preserve">: </w:t>
      </w:r>
      <w:r w:rsidRPr="00ED155C">
        <w:rPr>
          <w:lang w:val="en-US"/>
        </w:rPr>
        <w:t>http</w:t>
      </w:r>
      <w:r w:rsidRPr="00ED155C">
        <w:t>://</w:t>
      </w:r>
      <w:r w:rsidRPr="00ED155C">
        <w:rPr>
          <w:lang w:val="en-US"/>
        </w:rPr>
        <w:t>www</w:t>
      </w:r>
      <w:r w:rsidRPr="00ED155C">
        <w:t>.</w:t>
      </w:r>
      <w:r w:rsidRPr="00ED155C">
        <w:rPr>
          <w:lang w:val="en-US"/>
        </w:rPr>
        <w:t>gd</w:t>
      </w:r>
      <w:r w:rsidRPr="00ED155C">
        <w:t>.</w:t>
      </w:r>
      <w:r w:rsidRPr="00ED155C">
        <w:rPr>
          <w:lang w:val="en-US"/>
        </w:rPr>
        <w:t>ru</w:t>
      </w:r>
      <w:r w:rsidRPr="00ED155C">
        <w:t>/</w:t>
      </w:r>
      <w:r w:rsidRPr="00ED155C">
        <w:rPr>
          <w:lang w:val="en-US"/>
        </w:rPr>
        <w:t>articles</w:t>
      </w:r>
      <w:r w:rsidRPr="00ED155C">
        <w:t>/458-</w:t>
      </w:r>
      <w:r w:rsidRPr="00ED155C">
        <w:rPr>
          <w:lang w:val="en-US"/>
        </w:rPr>
        <w:t>otchetnost</w:t>
      </w:r>
      <w:r w:rsidRPr="00ED155C">
        <w:t>-</w:t>
      </w:r>
      <w:r w:rsidRPr="00ED155C">
        <w:rPr>
          <w:lang w:val="en-US"/>
        </w:rPr>
        <w:t>po</w:t>
      </w:r>
      <w:r w:rsidRPr="00ED155C">
        <w:t>-</w:t>
      </w:r>
      <w:r w:rsidRPr="00ED155C">
        <w:rPr>
          <w:lang w:val="en-US"/>
        </w:rPr>
        <w:t>msfo</w:t>
      </w:r>
      <w:r w:rsidRPr="00ED155C">
        <w:t xml:space="preserve"> (дата об</w:t>
      </w:r>
      <w:r w:rsidR="00D51CF5" w:rsidRPr="00ED155C">
        <w:t>ращения: 23.03.2016</w:t>
      </w:r>
      <w:r w:rsidRPr="00ED155C">
        <w:t>)</w:t>
      </w:r>
      <w:r w:rsidR="007A0026" w:rsidRPr="00ED155C">
        <w:t>.</w:t>
      </w:r>
    </w:p>
    <w:p w14:paraId="40997631" w14:textId="10566AEE" w:rsidR="00384060" w:rsidRPr="00ED155C" w:rsidRDefault="008B6657" w:rsidP="00911F1A">
      <w:pPr>
        <w:pStyle w:val="a"/>
        <w:numPr>
          <w:ilvl w:val="0"/>
          <w:numId w:val="1"/>
        </w:numPr>
        <w:spacing w:line="240" w:lineRule="auto"/>
        <w:ind w:left="714" w:hanging="357"/>
        <w:jc w:val="left"/>
      </w:pPr>
      <w:r w:rsidRPr="00ED155C">
        <w:t>Крупа, В. В.</w:t>
      </w:r>
      <w:r w:rsidR="0031414E" w:rsidRPr="00ED155C">
        <w:t xml:space="preserve"> </w:t>
      </w:r>
      <w:r w:rsidR="007C5ACD" w:rsidRPr="00ED155C">
        <w:t>Основная особенность МСФО-учета в строительной отрасли – это наличие долгосрочных дого</w:t>
      </w:r>
      <w:r w:rsidRPr="00ED155C">
        <w:t>воров на строительство объектов</w:t>
      </w:r>
      <w:r w:rsidR="007C5ACD" w:rsidRPr="00ED155C">
        <w:t xml:space="preserve"> </w:t>
      </w:r>
      <w:r w:rsidR="0031414E" w:rsidRPr="00ED155C">
        <w:t>/</w:t>
      </w:r>
      <w:r w:rsidRPr="00ED155C">
        <w:t xml:space="preserve"> </w:t>
      </w:r>
      <w:r w:rsidR="0031414E" w:rsidRPr="00ED155C">
        <w:t xml:space="preserve">В. </w:t>
      </w:r>
      <w:r w:rsidRPr="00ED155C">
        <w:t xml:space="preserve">В. </w:t>
      </w:r>
      <w:r w:rsidR="0031414E" w:rsidRPr="00ED155C">
        <w:t xml:space="preserve">Крупа. </w:t>
      </w:r>
      <w:r w:rsidR="0031414E" w:rsidRPr="00ED155C">
        <w:rPr>
          <w:lang w:val="en-US"/>
        </w:rPr>
        <w:t>URL</w:t>
      </w:r>
      <w:r w:rsidR="0031414E" w:rsidRPr="00ED155C">
        <w:t xml:space="preserve">: </w:t>
      </w:r>
      <w:r w:rsidR="007A0026" w:rsidRPr="00ED155C">
        <w:rPr>
          <w:lang w:val="en-US"/>
        </w:rPr>
        <w:t>http</w:t>
      </w:r>
      <w:r w:rsidR="007A0026" w:rsidRPr="00ED155C">
        <w:t>://</w:t>
      </w:r>
      <w:r w:rsidR="007A0026" w:rsidRPr="00ED155C">
        <w:rPr>
          <w:lang w:val="en-US"/>
        </w:rPr>
        <w:t>www</w:t>
      </w:r>
      <w:r w:rsidR="007A0026" w:rsidRPr="00ED155C">
        <w:t>.</w:t>
      </w:r>
      <w:r w:rsidR="007A0026" w:rsidRPr="00ED155C">
        <w:rPr>
          <w:lang w:val="en-US"/>
        </w:rPr>
        <w:t>cfo</w:t>
      </w:r>
      <w:r w:rsidR="007A0026" w:rsidRPr="00ED155C">
        <w:t>-</w:t>
      </w:r>
      <w:r w:rsidR="007A0026" w:rsidRPr="00ED155C">
        <w:rPr>
          <w:lang w:val="en-US"/>
        </w:rPr>
        <w:t>russia</w:t>
      </w:r>
      <w:r w:rsidR="007A0026" w:rsidRPr="00ED155C">
        <w:t>.</w:t>
      </w:r>
      <w:r w:rsidR="007A0026" w:rsidRPr="00ED155C">
        <w:rPr>
          <w:lang w:val="en-US"/>
        </w:rPr>
        <w:t>ru</w:t>
      </w:r>
      <w:r w:rsidR="007A0026" w:rsidRPr="00ED155C">
        <w:t>/</w:t>
      </w:r>
      <w:r w:rsidR="007A0026" w:rsidRPr="00ED155C">
        <w:rPr>
          <w:lang w:val="en-US"/>
        </w:rPr>
        <w:t>stati</w:t>
      </w:r>
      <w:r w:rsidR="007A0026" w:rsidRPr="00ED155C">
        <w:t>/</w:t>
      </w:r>
      <w:r w:rsidR="007A0026" w:rsidRPr="00ED155C">
        <w:rPr>
          <w:lang w:val="en-US"/>
        </w:rPr>
        <w:t>index</w:t>
      </w:r>
      <w:r w:rsidR="007A0026" w:rsidRPr="00ED155C">
        <w:t>.</w:t>
      </w:r>
      <w:r w:rsidR="007A0026" w:rsidRPr="00ED155C">
        <w:rPr>
          <w:lang w:val="en-US"/>
        </w:rPr>
        <w:t>php</w:t>
      </w:r>
      <w:r w:rsidR="007A0026" w:rsidRPr="00ED155C">
        <w:t>?</w:t>
      </w:r>
      <w:r w:rsidR="007A0026" w:rsidRPr="00ED155C">
        <w:rPr>
          <w:lang w:val="en-US"/>
        </w:rPr>
        <w:t>article</w:t>
      </w:r>
      <w:r w:rsidR="007A0026" w:rsidRPr="00ED155C">
        <w:t>=9256(</w:t>
      </w:r>
      <w:r w:rsidRPr="00ED155C">
        <w:t>дата обращения:23.</w:t>
      </w:r>
      <w:r w:rsidR="007A0026" w:rsidRPr="00ED155C">
        <w:t>0</w:t>
      </w:r>
      <w:r w:rsidRPr="00ED155C">
        <w:t>4.2016</w:t>
      </w:r>
      <w:r w:rsidR="007A0026" w:rsidRPr="00ED155C">
        <w:t>).</w:t>
      </w:r>
    </w:p>
    <w:p w14:paraId="5A581B41" w14:textId="77E45C7E" w:rsidR="002008C1" w:rsidRPr="00ED155C" w:rsidRDefault="002008C1" w:rsidP="00911F1A">
      <w:pPr>
        <w:pStyle w:val="a"/>
        <w:numPr>
          <w:ilvl w:val="0"/>
          <w:numId w:val="1"/>
        </w:numPr>
        <w:spacing w:line="240" w:lineRule="auto"/>
        <w:ind w:left="714" w:hanging="357"/>
        <w:jc w:val="left"/>
      </w:pPr>
      <w:r w:rsidRPr="00ED155C">
        <w:t>Генералова</w:t>
      </w:r>
      <w:r w:rsidR="00D51CF5" w:rsidRPr="00ED155C">
        <w:t>,</w:t>
      </w:r>
      <w:r w:rsidRPr="00ED155C">
        <w:t xml:space="preserve"> Н.</w:t>
      </w:r>
      <w:r w:rsidR="00D51CF5" w:rsidRPr="00ED155C">
        <w:t xml:space="preserve"> </w:t>
      </w:r>
      <w:r w:rsidRPr="00ED155C">
        <w:t>В. МСФО (IAS) 11 «Договоры подряда»</w:t>
      </w:r>
      <w:r w:rsidR="00D51CF5" w:rsidRPr="00ED155C">
        <w:t xml:space="preserve"> </w:t>
      </w:r>
      <w:r w:rsidR="007A0026" w:rsidRPr="00ED155C">
        <w:t>/</w:t>
      </w:r>
      <w:r w:rsidR="00D51CF5" w:rsidRPr="00ED155C">
        <w:t xml:space="preserve"> </w:t>
      </w:r>
      <w:r w:rsidR="007A0026" w:rsidRPr="00ED155C">
        <w:t xml:space="preserve">Генералова Н.В. </w:t>
      </w:r>
      <w:r w:rsidR="007A0026" w:rsidRPr="00ED155C">
        <w:rPr>
          <w:lang w:val="en-US"/>
        </w:rPr>
        <w:t>URL</w:t>
      </w:r>
      <w:r w:rsidR="007A0026" w:rsidRPr="00ED155C">
        <w:t>: http://www.ippnou.ru/article.php?idarticle=002284 (</w:t>
      </w:r>
      <w:r w:rsidR="00D51CF5" w:rsidRPr="00ED155C">
        <w:t>дата обращения: 23.04.2016</w:t>
      </w:r>
      <w:r w:rsidR="007A0026" w:rsidRPr="00ED155C">
        <w:t>).</w:t>
      </w:r>
    </w:p>
    <w:p w14:paraId="011A6435" w14:textId="5C886AB3" w:rsidR="0079488B" w:rsidRPr="00ED155C" w:rsidRDefault="0079488B" w:rsidP="00911F1A">
      <w:pPr>
        <w:pStyle w:val="a"/>
        <w:numPr>
          <w:ilvl w:val="0"/>
          <w:numId w:val="1"/>
        </w:numPr>
        <w:spacing w:line="240" w:lineRule="auto"/>
        <w:ind w:left="714" w:hanging="357"/>
        <w:jc w:val="left"/>
      </w:pPr>
      <w:r w:rsidRPr="00ED155C">
        <w:t>Ширикова К. С. Учет выручки по договорам на строительство: что изменится? Часть 1 // Корпоративная финансовая отчетность. Международные стандарты. — 2015. — № 3</w:t>
      </w:r>
      <w:r w:rsidR="00B47836" w:rsidRPr="00ED155C">
        <w:t>.</w:t>
      </w:r>
      <w:r w:rsidR="00A27993" w:rsidRPr="00ED155C">
        <w:t xml:space="preserve"> – С. 11-19.</w:t>
      </w:r>
    </w:p>
    <w:p w14:paraId="1C9E56BE" w14:textId="77777777" w:rsidR="00312288" w:rsidRPr="00ED155C" w:rsidRDefault="00312288" w:rsidP="00911F1A">
      <w:pPr>
        <w:pStyle w:val="a"/>
        <w:numPr>
          <w:ilvl w:val="0"/>
          <w:numId w:val="1"/>
        </w:numPr>
        <w:spacing w:line="240" w:lineRule="auto"/>
        <w:ind w:left="714" w:hanging="357"/>
        <w:jc w:val="left"/>
        <w:rPr>
          <w:rFonts w:cs="Times New Roman"/>
        </w:rPr>
      </w:pPr>
      <w:r w:rsidRPr="00ED155C">
        <w:rPr>
          <w:rFonts w:cs="Times New Roman"/>
        </w:rPr>
        <w:t>Глобальные изменения в МСФО — долгожданный стандарт МСФО (IFRS) 15 «Выручка по контрактам с клиентами» : Агентство по Международным стандартам финансовой отчетности [Электронный ресурс]. — Режим доступа http://amsfo.com.ua/standart-msfo-ifrs-15/ (дата обращения 30.03.2016).</w:t>
      </w:r>
    </w:p>
    <w:p w14:paraId="797E393B" w14:textId="0F2044AD" w:rsidR="00675E9C" w:rsidRPr="00ED155C" w:rsidRDefault="00675E9C" w:rsidP="00911F1A">
      <w:pPr>
        <w:pStyle w:val="a"/>
        <w:numPr>
          <w:ilvl w:val="0"/>
          <w:numId w:val="1"/>
        </w:numPr>
        <w:spacing w:line="240" w:lineRule="auto"/>
        <w:ind w:left="714" w:hanging="357"/>
        <w:jc w:val="left"/>
        <w:rPr>
          <w:rFonts w:cs="Times New Roman"/>
        </w:rPr>
      </w:pPr>
      <w:r w:rsidRPr="00ED155C">
        <w:rPr>
          <w:rFonts w:cs="Times New Roman"/>
        </w:rPr>
        <w:t>Генералова</w:t>
      </w:r>
      <w:r w:rsidR="00D51CF5" w:rsidRPr="00ED155C">
        <w:rPr>
          <w:rFonts w:cs="Times New Roman"/>
        </w:rPr>
        <w:t>,</w:t>
      </w:r>
      <w:r w:rsidRPr="00ED155C">
        <w:rPr>
          <w:rFonts w:cs="Times New Roman"/>
        </w:rPr>
        <w:t xml:space="preserve"> Н.</w:t>
      </w:r>
      <w:r w:rsidR="00D51CF5" w:rsidRPr="00ED155C">
        <w:rPr>
          <w:rFonts w:cs="Times New Roman"/>
        </w:rPr>
        <w:t xml:space="preserve"> </w:t>
      </w:r>
      <w:r w:rsidRPr="00ED155C">
        <w:rPr>
          <w:rFonts w:cs="Times New Roman"/>
        </w:rPr>
        <w:t xml:space="preserve">В. Три новых документа МСФО для применения в России / Генералова Н.В. </w:t>
      </w:r>
      <w:r w:rsidRPr="00ED155C">
        <w:rPr>
          <w:rFonts w:cs="Times New Roman"/>
          <w:lang w:val="en-US"/>
        </w:rPr>
        <w:t>URL</w:t>
      </w:r>
      <w:r w:rsidRPr="00ED155C">
        <w:rPr>
          <w:rFonts w:cs="Times New Roman"/>
        </w:rPr>
        <w:t>: http://buh.ru/articles/documents/37857/#briefly_37858 (дата обращения:</w:t>
      </w:r>
      <w:r w:rsidR="00D51CF5" w:rsidRPr="00ED155C">
        <w:rPr>
          <w:rFonts w:cs="Times New Roman"/>
        </w:rPr>
        <w:t xml:space="preserve"> 20.</w:t>
      </w:r>
      <w:r w:rsidRPr="00ED155C">
        <w:rPr>
          <w:rFonts w:cs="Times New Roman"/>
        </w:rPr>
        <w:t>04.2016).</w:t>
      </w:r>
    </w:p>
    <w:p w14:paraId="7A668165" w14:textId="62AB5D34" w:rsidR="0079488B" w:rsidRPr="00ED155C" w:rsidRDefault="0079488B" w:rsidP="00911F1A">
      <w:pPr>
        <w:pStyle w:val="a"/>
        <w:numPr>
          <w:ilvl w:val="0"/>
          <w:numId w:val="1"/>
        </w:numPr>
        <w:spacing w:line="240" w:lineRule="auto"/>
        <w:ind w:left="714" w:hanging="357"/>
        <w:jc w:val="left"/>
      </w:pPr>
      <w:r w:rsidRPr="00ED155C">
        <w:t>Ширикова К. С. Учет выручки по договорам на строительство: что изменится? Часть 2 // Корпоративная финансовая отчетность. Международные стандарты. — 2015. — № 4</w:t>
      </w:r>
      <w:r w:rsidR="007A0026" w:rsidRPr="00ED155C">
        <w:t>.</w:t>
      </w:r>
      <w:r w:rsidR="00A27993" w:rsidRPr="00ED155C">
        <w:t xml:space="preserve"> – С</w:t>
      </w:r>
      <w:r w:rsidR="006F0E4F" w:rsidRPr="00ED155C">
        <w:t>.</w:t>
      </w:r>
      <w:r w:rsidR="00A27993" w:rsidRPr="00ED155C">
        <w:t xml:space="preserve"> 11-21.</w:t>
      </w:r>
    </w:p>
    <w:p w14:paraId="497EEE5C" w14:textId="38BDAF34" w:rsidR="00116EE7" w:rsidRPr="00ED155C" w:rsidRDefault="007A0026" w:rsidP="00911F1A">
      <w:pPr>
        <w:pStyle w:val="a"/>
        <w:numPr>
          <w:ilvl w:val="0"/>
          <w:numId w:val="1"/>
        </w:numPr>
        <w:spacing w:line="240" w:lineRule="auto"/>
        <w:ind w:left="714" w:hanging="357"/>
        <w:jc w:val="left"/>
      </w:pPr>
      <w:r w:rsidRPr="00ED155C">
        <w:t>Крапивенцева</w:t>
      </w:r>
      <w:r w:rsidR="007B2390" w:rsidRPr="00ED155C">
        <w:t xml:space="preserve"> С.В</w:t>
      </w:r>
      <w:r w:rsidRPr="00ED155C">
        <w:t xml:space="preserve">. </w:t>
      </w:r>
      <w:r w:rsidR="007B2390" w:rsidRPr="00ED155C">
        <w:t>Введение в МСФО</w:t>
      </w:r>
      <w:r w:rsidR="008B6657" w:rsidRPr="00ED155C">
        <w:t>. МСФО (</w:t>
      </w:r>
      <w:r w:rsidR="008B6657" w:rsidRPr="00ED155C">
        <w:rPr>
          <w:lang w:val="en-US"/>
        </w:rPr>
        <w:t xml:space="preserve">IAS) 11 </w:t>
      </w:r>
      <w:r w:rsidR="008B6657" w:rsidRPr="00ED155C">
        <w:t>«Договоры подряда»</w:t>
      </w:r>
      <w:r w:rsidR="00116EE7" w:rsidRPr="00ED155C">
        <w:t xml:space="preserve"> </w:t>
      </w:r>
      <w:r w:rsidRPr="00ED155C">
        <w:t>/</w:t>
      </w:r>
      <w:r w:rsidR="007B2390" w:rsidRPr="00ED155C">
        <w:t xml:space="preserve"> </w:t>
      </w:r>
      <w:r w:rsidRPr="00ED155C">
        <w:t>Крапивенцева</w:t>
      </w:r>
      <w:r w:rsidR="007B2390" w:rsidRPr="00ED155C">
        <w:t xml:space="preserve"> С.В</w:t>
      </w:r>
      <w:r w:rsidRPr="00ED155C">
        <w:t xml:space="preserve">. </w:t>
      </w:r>
      <w:r w:rsidR="007B2390" w:rsidRPr="00ED155C">
        <w:t>// МСФО на практике. – 2015. - № 8.</w:t>
      </w:r>
      <w:r w:rsidR="00D462D4" w:rsidRPr="00ED155C">
        <w:t xml:space="preserve"> </w:t>
      </w:r>
      <w:r w:rsidR="00D462D4" w:rsidRPr="00ED155C">
        <w:rPr>
          <w:lang w:val="en-US"/>
        </w:rPr>
        <w:t>URL:</w:t>
      </w:r>
      <w:r w:rsidR="00D7244F" w:rsidRPr="00ED155C">
        <w:rPr>
          <w:lang w:val="en-US"/>
        </w:rPr>
        <w:t xml:space="preserve"> </w:t>
      </w:r>
      <w:r w:rsidR="00E83430" w:rsidRPr="00ED155C">
        <w:rPr>
          <w:lang w:val="en-US"/>
        </w:rPr>
        <w:t xml:space="preserve">http://msfo-practice.ru/article.aspx?aid=403161 </w:t>
      </w:r>
      <w:r w:rsidR="00D7244F" w:rsidRPr="00ED155C">
        <w:t>(дата обращения: 21.03.2016).</w:t>
      </w:r>
    </w:p>
    <w:p w14:paraId="2C085717" w14:textId="3AEE82B3" w:rsidR="006E5297" w:rsidRPr="00ED155C" w:rsidRDefault="006E5297" w:rsidP="00911F1A">
      <w:pPr>
        <w:pStyle w:val="a"/>
        <w:numPr>
          <w:ilvl w:val="0"/>
          <w:numId w:val="1"/>
        </w:numPr>
        <w:spacing w:line="240" w:lineRule="auto"/>
        <w:ind w:left="714" w:hanging="357"/>
        <w:jc w:val="left"/>
      </w:pPr>
      <w:r w:rsidRPr="00ED155C">
        <w:t>Глобальные изменения в МСФО — долгожданный стандарт МСФО (IFRS) 15 «Выручка по контрактам с клиентами» : Агентство по Международным стандартам финансовой отчетности [Электронный ресурс]. — Режим доступа http://amsfo.com.ua/standart-msfo-ifrs-15/ (дата обращения 30.03.2016).</w:t>
      </w:r>
    </w:p>
    <w:p w14:paraId="258B2434" w14:textId="63281DDE" w:rsidR="007A608E" w:rsidRPr="00ED155C" w:rsidRDefault="007A608E" w:rsidP="00911F1A">
      <w:pPr>
        <w:pStyle w:val="a"/>
        <w:numPr>
          <w:ilvl w:val="0"/>
          <w:numId w:val="1"/>
        </w:numPr>
        <w:spacing w:line="240" w:lineRule="auto"/>
        <w:ind w:left="714" w:hanging="357"/>
        <w:jc w:val="left"/>
        <w:rPr>
          <w:lang w:val="en-US"/>
        </w:rPr>
      </w:pPr>
      <w:r w:rsidRPr="00ED155C">
        <w:rPr>
          <w:lang w:val="en-US"/>
        </w:rPr>
        <w:t>Construction Global "Top 10 Construction Companies in the World", January 2015.</w:t>
      </w:r>
      <w:r w:rsidR="004E6457">
        <w:rPr>
          <w:lang w:val="en-US"/>
        </w:rPr>
        <w:t xml:space="preserve"> URL: </w:t>
      </w:r>
      <w:r w:rsidR="004E6457" w:rsidRPr="004E6457">
        <w:rPr>
          <w:lang w:val="en-US"/>
        </w:rPr>
        <w:t>http://www.constructionglobal.com/top10/25/Top-10-construction-companies-in-the-world</w:t>
      </w:r>
      <w:r w:rsidR="004E6457">
        <w:rPr>
          <w:lang w:val="en-US"/>
        </w:rPr>
        <w:t xml:space="preserve"> (</w:t>
      </w:r>
      <w:r w:rsidR="004E6457">
        <w:t>дата обращения: 23.03.2016).</w:t>
      </w:r>
    </w:p>
    <w:p w14:paraId="65F89E21" w14:textId="17453E02" w:rsidR="00927FDC" w:rsidRPr="00ED155C" w:rsidRDefault="00927FDC" w:rsidP="00911F1A">
      <w:pPr>
        <w:pStyle w:val="a"/>
        <w:numPr>
          <w:ilvl w:val="0"/>
          <w:numId w:val="1"/>
        </w:numPr>
        <w:spacing w:line="240" w:lineRule="auto"/>
        <w:ind w:left="714" w:hanging="357"/>
        <w:jc w:val="left"/>
      </w:pPr>
      <w:r w:rsidRPr="00ED155C">
        <w:t xml:space="preserve">Бирюкова М.Г. Формирование сегментарной отчетности в строительных холдингах / Бирюкова М.Г. // Вектор науки Тольяттинского </w:t>
      </w:r>
      <w:r w:rsidR="007C5ACD" w:rsidRPr="00ED155C">
        <w:t>государственного</w:t>
      </w:r>
      <w:r w:rsidRPr="00ED155C">
        <w:t xml:space="preserve"> университета. – 2011. - № 3</w:t>
      </w:r>
      <w:r w:rsidR="006F0E4F" w:rsidRPr="00ED155C">
        <w:t xml:space="preserve"> – С. 148-151</w:t>
      </w:r>
      <w:r w:rsidRPr="00ED155C">
        <w:t>.</w:t>
      </w:r>
    </w:p>
    <w:p w14:paraId="60A85EDE" w14:textId="284D1795" w:rsidR="00612E32" w:rsidRPr="00ED155C" w:rsidRDefault="00612E32" w:rsidP="00911F1A">
      <w:pPr>
        <w:pStyle w:val="a"/>
        <w:numPr>
          <w:ilvl w:val="0"/>
          <w:numId w:val="1"/>
        </w:numPr>
        <w:spacing w:line="240" w:lineRule="auto"/>
        <w:ind w:left="714" w:hanging="357"/>
        <w:jc w:val="left"/>
      </w:pPr>
      <w:r w:rsidRPr="00ED155C">
        <w:t>Impacts on the construction industry of the new revenue standard // KPMG – September 2014, URL:https://www.kpmg.com/CN/en/IssuesAndInsights/ArticlesPublications/Newsletters/First-Impressions/Documents/First-Impressions-O-201409-Impacts-on-the-construction-industry-of-the-new-revenue-standard.pdf (дата обращения: 23.04.2016).</w:t>
      </w:r>
    </w:p>
    <w:p w14:paraId="155FCF84" w14:textId="77777777" w:rsidR="00897EB7" w:rsidRPr="00ED155C" w:rsidRDefault="00897EB7" w:rsidP="00911F1A">
      <w:pPr>
        <w:pStyle w:val="a"/>
        <w:numPr>
          <w:ilvl w:val="0"/>
          <w:numId w:val="1"/>
        </w:numPr>
        <w:spacing w:line="240" w:lineRule="auto"/>
        <w:ind w:left="714" w:hanging="357"/>
        <w:jc w:val="left"/>
      </w:pPr>
      <w:r w:rsidRPr="00ED155C">
        <w:rPr>
          <w:lang w:val="en-US"/>
        </w:rPr>
        <w:t>Quantitative non-financial information and incom</w:t>
      </w:r>
      <w:r w:rsidR="00B47435" w:rsidRPr="00ED155C">
        <w:rPr>
          <w:lang w:val="en-US"/>
        </w:rPr>
        <w:t xml:space="preserve">e measures: the case of long term contracts. </w:t>
      </w:r>
      <w:r w:rsidR="00B47435" w:rsidRPr="00ED155C">
        <w:t>W Rees, C Sutcliffe - Journal of Business Finance &amp; Accounting, 1994.</w:t>
      </w:r>
    </w:p>
    <w:p w14:paraId="3E8BB45F" w14:textId="3D0A609A" w:rsidR="00845E4E" w:rsidRPr="00ED155C" w:rsidRDefault="006D0F47" w:rsidP="007B2390">
      <w:pPr>
        <w:pStyle w:val="ad"/>
      </w:pPr>
      <w:r w:rsidRPr="00ED155C">
        <w:t>Статистические сборники и отчеты</w:t>
      </w:r>
    </w:p>
    <w:p w14:paraId="10938658" w14:textId="4E4FC7C2" w:rsidR="00725224" w:rsidRPr="00ED155C" w:rsidRDefault="00725224" w:rsidP="00831658">
      <w:pPr>
        <w:pStyle w:val="a"/>
        <w:numPr>
          <w:ilvl w:val="0"/>
          <w:numId w:val="1"/>
        </w:numPr>
        <w:spacing w:line="240" w:lineRule="auto"/>
        <w:jc w:val="left"/>
      </w:pPr>
      <w:r w:rsidRPr="00ED155C">
        <w:lastRenderedPageBreak/>
        <w:t>Статистический сборник «</w:t>
      </w:r>
      <w:r w:rsidR="007C5ACD" w:rsidRPr="00ED155C">
        <w:t>Строительство</w:t>
      </w:r>
      <w:r w:rsidRPr="00ED155C">
        <w:t xml:space="preserve"> в России», 2014г. – Федеральная служба г</w:t>
      </w:r>
      <w:r w:rsidR="001E7769" w:rsidRPr="00ED155C">
        <w:t xml:space="preserve">осударственной статистики. </w:t>
      </w:r>
      <w:r w:rsidR="00F87FEB" w:rsidRPr="00ED155C">
        <w:t>URL:</w:t>
      </w:r>
      <w:r w:rsidR="001E7769" w:rsidRPr="00ED155C">
        <w:t xml:space="preserve"> http://www.gks.ru/wps/wcm/connect/rosstat_main/rosstat/ru/statistics/publications/catalog/doc_1138716432453</w:t>
      </w:r>
      <w:r w:rsidR="005B74DE" w:rsidRPr="00ED155C">
        <w:t xml:space="preserve"> (дата обращения: 23</w:t>
      </w:r>
      <w:r w:rsidR="001E7769" w:rsidRPr="00ED155C">
        <w:t>.03.2016)</w:t>
      </w:r>
      <w:r w:rsidR="00B515C5" w:rsidRPr="00ED155C">
        <w:t>.</w:t>
      </w:r>
    </w:p>
    <w:p w14:paraId="46D4235B" w14:textId="05E16738" w:rsidR="004D3925" w:rsidRDefault="004D3925" w:rsidP="006D0F47">
      <w:pPr>
        <w:pStyle w:val="ad"/>
      </w:pPr>
      <w:bookmarkStart w:id="29" w:name="_Toc436654278"/>
      <w:bookmarkStart w:id="30" w:name="_Toc449270238"/>
      <w:r>
        <w:t xml:space="preserve">Электронные ресурсы </w:t>
      </w:r>
      <w:bookmarkEnd w:id="29"/>
      <w:bookmarkEnd w:id="30"/>
    </w:p>
    <w:p w14:paraId="535D3F40" w14:textId="5C1FAEFF" w:rsidR="007A608E" w:rsidRPr="009E23F9" w:rsidRDefault="007A608E" w:rsidP="009E23F9">
      <w:pPr>
        <w:pStyle w:val="a"/>
        <w:numPr>
          <w:ilvl w:val="0"/>
          <w:numId w:val="1"/>
        </w:numPr>
        <w:spacing w:line="240" w:lineRule="auto"/>
        <w:ind w:left="714" w:hanging="357"/>
      </w:pPr>
      <w:r w:rsidRPr="009E23F9">
        <w:t>Официальный сайт Федеральной службы государственной статистики</w:t>
      </w:r>
      <w:r w:rsidR="00A81DD1">
        <w:t>.</w:t>
      </w:r>
      <w:r w:rsidRPr="009E23F9">
        <w:t xml:space="preserve"> URL: http://www.gks.ru (дата </w:t>
      </w:r>
      <w:r w:rsidR="007C5ACD" w:rsidRPr="009E23F9">
        <w:t>обращения</w:t>
      </w:r>
      <w:r w:rsidR="00274369" w:rsidRPr="009E23F9">
        <w:t>: 23.03</w:t>
      </w:r>
      <w:r w:rsidRPr="009E23F9">
        <w:t>.2016)</w:t>
      </w:r>
      <w:r w:rsidR="00274369" w:rsidRPr="009E23F9">
        <w:t>.</w:t>
      </w:r>
    </w:p>
    <w:p w14:paraId="5B0F54BA" w14:textId="2FAE2012" w:rsidR="000179BE" w:rsidRPr="009E23F9" w:rsidRDefault="000179BE" w:rsidP="009E23F9">
      <w:pPr>
        <w:pStyle w:val="a"/>
        <w:numPr>
          <w:ilvl w:val="0"/>
          <w:numId w:val="1"/>
        </w:numPr>
        <w:spacing w:line="240" w:lineRule="auto"/>
        <w:ind w:left="714" w:hanging="357"/>
      </w:pPr>
      <w:r w:rsidRPr="009E23F9">
        <w:t xml:space="preserve">Официальный сайт Международной Финансовой Корпорации. </w:t>
      </w:r>
      <w:r w:rsidRPr="009E23F9">
        <w:rPr>
          <w:lang w:val="en-US"/>
        </w:rPr>
        <w:t>URL</w:t>
      </w:r>
      <w:r w:rsidRPr="009E23F9">
        <w:t>: http://www.</w:t>
      </w:r>
      <w:r w:rsidR="00062602">
        <w:t>ifc.org (дата обращени</w:t>
      </w:r>
      <w:r w:rsidRPr="009E23F9">
        <w:t>я: 06.04.2016).</w:t>
      </w:r>
    </w:p>
    <w:p w14:paraId="76323923" w14:textId="3676FBD7" w:rsidR="000179BE" w:rsidRPr="009E23F9" w:rsidRDefault="000179BE" w:rsidP="009E23F9">
      <w:pPr>
        <w:pStyle w:val="a"/>
        <w:numPr>
          <w:ilvl w:val="0"/>
          <w:numId w:val="1"/>
        </w:numPr>
        <w:spacing w:line="240" w:lineRule="auto"/>
        <w:ind w:left="714" w:hanging="357"/>
      </w:pPr>
      <w:r w:rsidRPr="009E23F9">
        <w:t xml:space="preserve">Аналитический раздел Официального сайта компании </w:t>
      </w:r>
      <w:r w:rsidRPr="009E23F9">
        <w:rPr>
          <w:lang w:val="en-US"/>
        </w:rPr>
        <w:t>Vegas</w:t>
      </w:r>
      <w:r w:rsidRPr="009E23F9">
        <w:t xml:space="preserve"> </w:t>
      </w:r>
      <w:r w:rsidRPr="009E23F9">
        <w:rPr>
          <w:lang w:val="en-US"/>
        </w:rPr>
        <w:t xml:space="preserve">lex. URL: </w:t>
      </w:r>
      <w:r w:rsidRPr="009E23F9">
        <w:t>http:</w:t>
      </w:r>
      <w:r w:rsidR="007B5B98">
        <w:t>www.</w:t>
      </w:r>
      <w:r w:rsidRPr="009E23F9">
        <w:t>//vegaslex.ru/analytics/ (дата обращения: 07.04.2016).</w:t>
      </w:r>
    </w:p>
    <w:p w14:paraId="257D82CA" w14:textId="60413880" w:rsidR="000179BE" w:rsidRDefault="000179BE" w:rsidP="00154618">
      <w:pPr>
        <w:pStyle w:val="a"/>
        <w:numPr>
          <w:ilvl w:val="0"/>
          <w:numId w:val="1"/>
        </w:numPr>
        <w:spacing w:line="240" w:lineRule="auto"/>
      </w:pPr>
      <w:r w:rsidRPr="009E23F9">
        <w:t>Официальный сайт департамента градостроительной политики Москвы. URL: http://dgp.mos.ru (дата обращения: 07.04.2016).</w:t>
      </w:r>
    </w:p>
    <w:p w14:paraId="61C3B298" w14:textId="260E502A" w:rsidR="003D40C8" w:rsidRDefault="003D40C8" w:rsidP="003D40C8">
      <w:pPr>
        <w:pStyle w:val="a"/>
        <w:numPr>
          <w:ilvl w:val="0"/>
          <w:numId w:val="1"/>
        </w:numPr>
        <w:spacing w:line="240" w:lineRule="auto"/>
      </w:pPr>
      <w:r w:rsidRPr="006F7162">
        <w:t>Официальный сайт Московской Биржи. URL:http://moex.com (дата обращения: 25.04.2016).</w:t>
      </w:r>
    </w:p>
    <w:p w14:paraId="42A27CBE" w14:textId="39A793D2" w:rsidR="00676712" w:rsidRPr="003D40C8" w:rsidRDefault="003D40C8" w:rsidP="00154618">
      <w:pPr>
        <w:pStyle w:val="a"/>
        <w:numPr>
          <w:ilvl w:val="0"/>
          <w:numId w:val="1"/>
        </w:numPr>
        <w:spacing w:line="240" w:lineRule="auto"/>
      </w:pPr>
      <w:r w:rsidRPr="003D40C8">
        <w:t>Официальный сайт компании Skanska group. URL: http://group.skanska.com (дата обращения 10.04.2016).</w:t>
      </w:r>
    </w:p>
    <w:p w14:paraId="0B0BFE50" w14:textId="22A55F41" w:rsidR="00A81DD1" w:rsidRPr="0039642E" w:rsidRDefault="003D40C8" w:rsidP="00693C6A">
      <w:pPr>
        <w:pStyle w:val="a"/>
        <w:numPr>
          <w:ilvl w:val="0"/>
          <w:numId w:val="1"/>
        </w:numPr>
        <w:spacing w:line="240" w:lineRule="auto"/>
      </w:pPr>
      <w:r w:rsidRPr="0039642E">
        <w:t>Официальный сайт Группы компаний ЛСР</w:t>
      </w:r>
      <w:r w:rsidR="00A72DCA">
        <w:t>.</w:t>
      </w:r>
      <w:r w:rsidR="00A81DD1" w:rsidRPr="0039642E">
        <w:t xml:space="preserve"> </w:t>
      </w:r>
      <w:r w:rsidR="00A72DCA">
        <w:t xml:space="preserve">URL: </w:t>
      </w:r>
      <w:r w:rsidR="00A81DD1" w:rsidRPr="0039642E">
        <w:t>http://ww</w:t>
      </w:r>
      <w:r w:rsidRPr="0039642E">
        <w:t>w.lsrgroup.ru/(дата обращения 10.04</w:t>
      </w:r>
      <w:r w:rsidR="00A81DD1" w:rsidRPr="0039642E">
        <w:t>.2016).</w:t>
      </w:r>
    </w:p>
    <w:p w14:paraId="753EEE00" w14:textId="7B59429E" w:rsidR="00A81DD1" w:rsidRPr="00E428DA" w:rsidRDefault="003D40C8" w:rsidP="00154618">
      <w:pPr>
        <w:pStyle w:val="a"/>
        <w:numPr>
          <w:ilvl w:val="0"/>
          <w:numId w:val="1"/>
        </w:numPr>
        <w:spacing w:line="240" w:lineRule="auto"/>
      </w:pPr>
      <w:r w:rsidRPr="00E428DA">
        <w:t>Официальный сайт Группы компаний ПИК</w:t>
      </w:r>
      <w:r w:rsidR="00A72DCA" w:rsidRPr="00E428DA">
        <w:t>. URL</w:t>
      </w:r>
      <w:r w:rsidR="00E428DA" w:rsidRPr="00E428DA">
        <w:t>:</w:t>
      </w:r>
      <w:r w:rsidRPr="00E428DA">
        <w:t xml:space="preserve"> </w:t>
      </w:r>
      <w:r w:rsidR="00A81DD1" w:rsidRPr="00E428DA">
        <w:t>http:/</w:t>
      </w:r>
      <w:r w:rsidRPr="00E428DA">
        <w:t>/pik-group.ru (дата обращения 10</w:t>
      </w:r>
      <w:r w:rsidR="00A81DD1" w:rsidRPr="00E428DA">
        <w:t>.04.2016).</w:t>
      </w:r>
    </w:p>
    <w:p w14:paraId="7AA71430" w14:textId="1433137E" w:rsidR="000336FD" w:rsidRPr="00E428DA" w:rsidRDefault="00E428DA" w:rsidP="000336FD">
      <w:pPr>
        <w:pStyle w:val="a"/>
        <w:numPr>
          <w:ilvl w:val="0"/>
          <w:numId w:val="1"/>
        </w:numPr>
        <w:spacing w:line="240" w:lineRule="auto"/>
      </w:pPr>
      <w:r w:rsidRPr="00E428DA">
        <w:t xml:space="preserve">Официальный сайт компании ACS Group. URL: </w:t>
      </w:r>
      <w:r w:rsidR="000336FD" w:rsidRPr="00E428DA">
        <w:t xml:space="preserve"> http://www.grupoacs.com/index.php/en (дата обращения 10.04.2016).</w:t>
      </w:r>
    </w:p>
    <w:p w14:paraId="54144B20" w14:textId="6C609F30" w:rsidR="00A72DCA" w:rsidRDefault="00A72DCA" w:rsidP="0089600E">
      <w:pPr>
        <w:pStyle w:val="a"/>
        <w:numPr>
          <w:ilvl w:val="0"/>
          <w:numId w:val="1"/>
        </w:numPr>
        <w:spacing w:line="240" w:lineRule="auto"/>
      </w:pPr>
      <w:r w:rsidRPr="0039642E">
        <w:t>Официальный сайт</w:t>
      </w:r>
      <w:r w:rsidRPr="00A72DCA">
        <w:t xml:space="preserve"> </w:t>
      </w:r>
      <w:r>
        <w:rPr>
          <w:lang w:val="en-US"/>
        </w:rPr>
        <w:t>Royal BAM Group. URL:</w:t>
      </w:r>
      <w:r w:rsidR="00E428DA">
        <w:rPr>
          <w:lang w:val="en-US"/>
        </w:rPr>
        <w:t xml:space="preserve"> </w:t>
      </w:r>
      <w:r w:rsidRPr="00A72DCA">
        <w:t xml:space="preserve">http://www.bam.com </w:t>
      </w:r>
      <w:r w:rsidR="00E428DA" w:rsidRPr="00E428DA">
        <w:t>(дата обращения 10.04.2016).</w:t>
      </w:r>
    </w:p>
    <w:p w14:paraId="12982F3C" w14:textId="7FFDAE58" w:rsidR="003125E0" w:rsidRDefault="003125E0" w:rsidP="003125E0">
      <w:pPr>
        <w:pStyle w:val="a"/>
        <w:numPr>
          <w:ilvl w:val="0"/>
          <w:numId w:val="1"/>
        </w:numPr>
        <w:spacing w:line="240" w:lineRule="auto"/>
      </w:pPr>
      <w:r w:rsidRPr="003D40C8">
        <w:t>О</w:t>
      </w:r>
      <w:r>
        <w:t>фициальный сайт</w:t>
      </w:r>
      <w:r w:rsidRPr="003D40C8">
        <w:t xml:space="preserve"> Группы компаний «ЛенСпецСМУ». </w:t>
      </w:r>
      <w:r w:rsidRPr="003D40C8">
        <w:rPr>
          <w:lang w:val="en-US"/>
        </w:rPr>
        <w:t xml:space="preserve">URL: </w:t>
      </w:r>
      <w:r w:rsidRPr="003D40C8">
        <w:t>http://finance.lenspecsmu.ru (дата обращения 10.04.2016).</w:t>
      </w:r>
    </w:p>
    <w:p w14:paraId="40E99AC2" w14:textId="2992F8D9" w:rsidR="007058E4" w:rsidRDefault="004A143D" w:rsidP="0089600E">
      <w:pPr>
        <w:pStyle w:val="a"/>
        <w:numPr>
          <w:ilvl w:val="0"/>
          <w:numId w:val="1"/>
        </w:numPr>
        <w:spacing w:line="240" w:lineRule="auto"/>
      </w:pPr>
      <w:r w:rsidRPr="004A143D">
        <w:t xml:space="preserve">Официальный сайт рейтингового агентства </w:t>
      </w:r>
      <w:r w:rsidR="00AA3C8D">
        <w:rPr>
          <w:lang w:val="en-US"/>
        </w:rPr>
        <w:t xml:space="preserve">Forbes. URL: </w:t>
      </w:r>
      <w:r w:rsidR="00FA6167" w:rsidRPr="004A143D">
        <w:t>http://www.forbes.ru</w:t>
      </w:r>
      <w:r w:rsidR="00B96833" w:rsidRPr="004A143D">
        <w:t xml:space="preserve"> (дата обращения: 15.04.2016</w:t>
      </w:r>
      <w:r w:rsidR="00FA6167" w:rsidRPr="004A143D">
        <w:t>)</w:t>
      </w:r>
      <w:r w:rsidR="00BF7D73" w:rsidRPr="004A143D">
        <w:t>.</w:t>
      </w:r>
    </w:p>
    <w:p w14:paraId="02786B26" w14:textId="2CB898AC" w:rsidR="0089600E" w:rsidRPr="0089600E" w:rsidRDefault="0089600E" w:rsidP="0089600E">
      <w:pPr>
        <w:pStyle w:val="a"/>
        <w:numPr>
          <w:ilvl w:val="0"/>
          <w:numId w:val="1"/>
        </w:numPr>
        <w:spacing w:line="240" w:lineRule="auto"/>
      </w:pPr>
      <w:r w:rsidRPr="004A143D">
        <w:t xml:space="preserve">Официальный сайт рейтингового агентства </w:t>
      </w:r>
      <w:r w:rsidRPr="0089600E">
        <w:t>Э</w:t>
      </w:r>
      <w:r>
        <w:t xml:space="preserve">ксперт РА. URL: </w:t>
      </w:r>
      <w:r w:rsidRPr="006F7162">
        <w:t>http://www.raexpert.ru</w:t>
      </w:r>
      <w:r>
        <w:t xml:space="preserve"> </w:t>
      </w:r>
      <w:r w:rsidRPr="0089600E">
        <w:t>(дата обращения: 15.04.2016).</w:t>
      </w:r>
    </w:p>
    <w:p w14:paraId="3B620D44" w14:textId="7653257B" w:rsidR="003A3F99" w:rsidRPr="00624B79" w:rsidRDefault="007B5B98" w:rsidP="00154618">
      <w:pPr>
        <w:pStyle w:val="a"/>
        <w:numPr>
          <w:ilvl w:val="0"/>
          <w:numId w:val="1"/>
        </w:numPr>
        <w:spacing w:line="240" w:lineRule="auto"/>
      </w:pPr>
      <w:r w:rsidRPr="00624B79">
        <w:rPr>
          <w:lang w:val="en-US"/>
        </w:rPr>
        <w:t xml:space="preserve">Центр раскрытия корпоративной информации Интерфакс. URL: </w:t>
      </w:r>
      <w:r w:rsidR="00624B79" w:rsidRPr="00624B79">
        <w:rPr>
          <w:lang w:val="en-US"/>
        </w:rPr>
        <w:t xml:space="preserve">http://www.e-disclosure.ru </w:t>
      </w:r>
      <w:r w:rsidR="00AA3C8D">
        <w:t>(дата обращения: 15.04</w:t>
      </w:r>
      <w:r w:rsidR="00B96833" w:rsidRPr="00624B79">
        <w:t>.2016</w:t>
      </w:r>
      <w:r w:rsidR="00C17331" w:rsidRPr="00624B79">
        <w:t>)</w:t>
      </w:r>
      <w:r w:rsidR="00BF7D73" w:rsidRPr="00624B79">
        <w:t>.</w:t>
      </w:r>
    </w:p>
    <w:p w14:paraId="3BA3C09F" w14:textId="25C0CAB8" w:rsidR="003A3F99" w:rsidRPr="00ED155C" w:rsidRDefault="003A3F99" w:rsidP="00AA3C8D">
      <w:pPr>
        <w:pStyle w:val="a"/>
        <w:numPr>
          <w:ilvl w:val="0"/>
          <w:numId w:val="0"/>
        </w:numPr>
        <w:spacing w:line="240" w:lineRule="auto"/>
        <w:ind w:left="720"/>
        <w:rPr>
          <w:highlight w:val="green"/>
        </w:rPr>
      </w:pPr>
    </w:p>
    <w:p w14:paraId="28BFCADF" w14:textId="77777777" w:rsidR="008175BE" w:rsidRDefault="008175BE" w:rsidP="007A608E">
      <w:pPr>
        <w:spacing w:line="240" w:lineRule="auto"/>
      </w:pPr>
    </w:p>
    <w:p w14:paraId="60D6A4AD" w14:textId="77777777" w:rsidR="0021454E" w:rsidRDefault="0021454E" w:rsidP="007A608E">
      <w:pPr>
        <w:spacing w:line="240" w:lineRule="auto"/>
        <w:ind w:firstLine="0"/>
        <w:jc w:val="left"/>
        <w:rPr>
          <w:rFonts w:eastAsiaTheme="majorEastAsia" w:cstheme="majorBidi"/>
          <w:b/>
          <w:color w:val="000000" w:themeColor="text1"/>
          <w:sz w:val="28"/>
          <w:szCs w:val="32"/>
        </w:rPr>
      </w:pPr>
      <w:r>
        <w:br w:type="page"/>
      </w:r>
    </w:p>
    <w:p w14:paraId="514CC9CB" w14:textId="0F07AABE" w:rsidR="00AA7F36" w:rsidRDefault="000049D0" w:rsidP="00C65FE8">
      <w:pPr>
        <w:pStyle w:val="1"/>
      </w:pPr>
      <w:bookmarkStart w:id="31" w:name="_Toc451081019"/>
      <w:r>
        <w:lastRenderedPageBreak/>
        <w:t>П</w:t>
      </w:r>
      <w:r w:rsidR="00C65FE8">
        <w:t>РИЛОЖЕНИЯ</w:t>
      </w:r>
      <w:bookmarkEnd w:id="31"/>
      <w:r w:rsidR="00AA7F36" w:rsidRPr="00AA7F36">
        <w:t xml:space="preserve"> </w:t>
      </w:r>
    </w:p>
    <w:p w14:paraId="3D5F6021" w14:textId="000C15FF" w:rsidR="00AA7F36" w:rsidRDefault="007B5B98" w:rsidP="00AA7F36">
      <w:pPr>
        <w:pStyle w:val="2"/>
      </w:pPr>
      <w:bookmarkStart w:id="32" w:name="_Toc451081020"/>
      <w:r>
        <w:rPr>
          <w:noProof/>
          <w:lang w:eastAsia="ru-RU"/>
        </w:rPr>
        <w:drawing>
          <wp:anchor distT="0" distB="0" distL="114300" distR="114300" simplePos="0" relativeHeight="251674624" behindDoc="0" locked="0" layoutInCell="1" allowOverlap="1" wp14:anchorId="50BD318C" wp14:editId="5632F80E">
            <wp:simplePos x="0" y="0"/>
            <wp:positionH relativeFrom="column">
              <wp:posOffset>456565</wp:posOffset>
            </wp:positionH>
            <wp:positionV relativeFrom="paragraph">
              <wp:posOffset>883920</wp:posOffset>
            </wp:positionV>
            <wp:extent cx="5512435" cy="6517640"/>
            <wp:effectExtent l="0" t="0" r="0" b="0"/>
            <wp:wrapTopAndBottom/>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A7F36">
        <w:t xml:space="preserve">Приложение 1. </w:t>
      </w:r>
      <w:r w:rsidR="00AA7F36" w:rsidRPr="00725479">
        <w:t>Распределение занятого населения по ви</w:t>
      </w:r>
      <w:r w:rsidR="00AA7F36">
        <w:t>дам экономической деятельности</w:t>
      </w:r>
      <w:r w:rsidR="00AA7F36" w:rsidRPr="00725479">
        <w:t xml:space="preserve"> на ос</w:t>
      </w:r>
      <w:r w:rsidR="00AA7F36">
        <w:t xml:space="preserve">новной работе, в среднем за год </w:t>
      </w:r>
      <w:r>
        <w:t>в РФ в 2014 году</w:t>
      </w:r>
      <w:bookmarkEnd w:id="32"/>
    </w:p>
    <w:p w14:paraId="3C459878" w14:textId="2D33543E" w:rsidR="00AA7F36" w:rsidRPr="00161528" w:rsidRDefault="007B5B98" w:rsidP="007B5B98">
      <w:pPr>
        <w:rPr>
          <w:i/>
        </w:rPr>
      </w:pPr>
      <w:r w:rsidRPr="00161528">
        <w:rPr>
          <w:i/>
        </w:rPr>
        <w:t>Рисунок Распределение занятого населения по видам экономической деятельности на основной работе, в среднем за год в РФ в 2014 году</w:t>
      </w:r>
    </w:p>
    <w:p w14:paraId="708A7D4E" w14:textId="2533A465" w:rsidR="00EE4AD2" w:rsidRPr="00161528" w:rsidRDefault="00A0426D" w:rsidP="007B5B98">
      <w:pPr>
        <w:rPr>
          <w:i/>
          <w:sz w:val="20"/>
          <w:szCs w:val="20"/>
        </w:rPr>
      </w:pPr>
      <w:r w:rsidRPr="00161528">
        <w:rPr>
          <w:i/>
          <w:sz w:val="20"/>
          <w:szCs w:val="20"/>
        </w:rPr>
        <w:t xml:space="preserve">Составлено автором </w:t>
      </w:r>
      <w:r w:rsidR="00EE4AD2" w:rsidRPr="00161528">
        <w:rPr>
          <w:i/>
          <w:sz w:val="20"/>
          <w:szCs w:val="20"/>
        </w:rPr>
        <w:t>на основе</w:t>
      </w:r>
      <w:r w:rsidR="000375A1" w:rsidRPr="00161528">
        <w:rPr>
          <w:i/>
          <w:sz w:val="20"/>
          <w:szCs w:val="20"/>
        </w:rPr>
        <w:t>:</w:t>
      </w:r>
      <w:r w:rsidR="00EE4AD2" w:rsidRPr="00161528">
        <w:rPr>
          <w:i/>
          <w:sz w:val="20"/>
          <w:szCs w:val="20"/>
        </w:rPr>
        <w:t xml:space="preserve"> </w:t>
      </w:r>
      <w:r w:rsidR="000375A1" w:rsidRPr="00161528">
        <w:rPr>
          <w:i/>
          <w:sz w:val="20"/>
          <w:szCs w:val="20"/>
        </w:rPr>
        <w:t>Статистический</w:t>
      </w:r>
      <w:r w:rsidR="00EE4AD2" w:rsidRPr="00161528">
        <w:rPr>
          <w:i/>
          <w:sz w:val="20"/>
          <w:szCs w:val="20"/>
        </w:rPr>
        <w:t xml:space="preserve"> сборник «Строительство в России», 2014г. – Федеральная служба государственной статистики, </w:t>
      </w:r>
      <w:r w:rsidR="005B74DE" w:rsidRPr="00161528">
        <w:rPr>
          <w:i/>
          <w:sz w:val="20"/>
          <w:szCs w:val="20"/>
        </w:rPr>
        <w:t>URL:</w:t>
      </w:r>
      <w:r w:rsidR="007B5B98" w:rsidRPr="00161528">
        <w:rPr>
          <w:i/>
          <w:sz w:val="20"/>
          <w:szCs w:val="20"/>
        </w:rPr>
        <w:t xml:space="preserve"> </w:t>
      </w:r>
      <w:r w:rsidR="005B74DE" w:rsidRPr="00161528">
        <w:rPr>
          <w:i/>
          <w:sz w:val="20"/>
          <w:szCs w:val="20"/>
        </w:rPr>
        <w:t>http://www.gks.ru/wps/wcm/connect/rosstat_main/rosstat/ru/statistics/publications/catalog/doc_1138716432453</w:t>
      </w:r>
      <w:r w:rsidR="00EE4AD2" w:rsidRPr="00161528">
        <w:rPr>
          <w:i/>
          <w:sz w:val="20"/>
          <w:szCs w:val="20"/>
        </w:rPr>
        <w:t>.</w:t>
      </w:r>
    </w:p>
    <w:p w14:paraId="400BA22C" w14:textId="2E0B60E5" w:rsidR="005B74DE" w:rsidRDefault="005B74DE" w:rsidP="007B5B98">
      <w:pPr>
        <w:pStyle w:val="2"/>
      </w:pPr>
      <w:bookmarkStart w:id="33" w:name="_Toc451081021"/>
      <w:r>
        <w:lastRenderedPageBreak/>
        <w:t>Приложение 2</w:t>
      </w:r>
      <w:r w:rsidR="007B5B98">
        <w:t xml:space="preserve"> </w:t>
      </w:r>
      <w:r w:rsidR="007B5B98" w:rsidRPr="007B5B98">
        <w:t>Структура валовой добавленной стоимости по видам экономической деятельности в РФ в 2014 году</w:t>
      </w:r>
      <w:bookmarkEnd w:id="33"/>
    </w:p>
    <w:p w14:paraId="3E2283AA" w14:textId="77777777" w:rsidR="005B74DE" w:rsidRPr="005B74DE" w:rsidRDefault="005B74DE" w:rsidP="005B74DE">
      <w:r>
        <w:rPr>
          <w:noProof/>
          <w:lang w:eastAsia="ru-RU"/>
        </w:rPr>
        <w:drawing>
          <wp:inline distT="0" distB="0" distL="0" distR="0" wp14:anchorId="27B83AF3" wp14:editId="3C1B9042">
            <wp:extent cx="5995035" cy="382524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21F649" w14:textId="487F7AB0" w:rsidR="005B74DE" w:rsidRPr="00161528" w:rsidRDefault="007B5B98" w:rsidP="005B74DE">
      <w:pPr>
        <w:rPr>
          <w:i/>
        </w:rPr>
      </w:pPr>
      <w:r w:rsidRPr="00161528">
        <w:rPr>
          <w:i/>
        </w:rPr>
        <w:t>Рисунок</w:t>
      </w:r>
      <w:r w:rsidR="005B74DE" w:rsidRPr="00161528">
        <w:rPr>
          <w:i/>
        </w:rPr>
        <w:t xml:space="preserve"> Структура валовой добавленной стоимости по видам экономической деятельности в РФ в 2014 году</w:t>
      </w:r>
    </w:p>
    <w:p w14:paraId="2AF22D15" w14:textId="2123F9C5" w:rsidR="005B74DE" w:rsidRPr="005B74DE" w:rsidRDefault="005B74DE" w:rsidP="005B74DE">
      <w:pPr>
        <w:rPr>
          <w:i/>
          <w:sz w:val="20"/>
          <w:szCs w:val="20"/>
        </w:rPr>
      </w:pPr>
      <w:r w:rsidRPr="005B74DE">
        <w:rPr>
          <w:i/>
          <w:sz w:val="20"/>
          <w:szCs w:val="20"/>
        </w:rPr>
        <w:t xml:space="preserve">Источник: составлено и рассчитано автором по данным </w:t>
      </w:r>
      <w:r w:rsidR="00C47448" w:rsidRPr="005B74DE">
        <w:rPr>
          <w:i/>
          <w:sz w:val="20"/>
          <w:szCs w:val="20"/>
        </w:rPr>
        <w:t>Статистического</w:t>
      </w:r>
      <w:r w:rsidRPr="005B74DE">
        <w:rPr>
          <w:i/>
          <w:sz w:val="20"/>
          <w:szCs w:val="20"/>
        </w:rPr>
        <w:t xml:space="preserve"> сборника «Строительство в России», 2014г. – Федеральная служба государственной статистики. URL: http://www.gks.ru/wps/wcm/connect/rosstat_main/rosstat/ru/statistics/publications/catalog/doc_1138716432453 (дата обращения: 23.03.2016).</w:t>
      </w:r>
    </w:p>
    <w:p w14:paraId="5D80B7DE" w14:textId="77777777" w:rsidR="005B74DE" w:rsidRDefault="005B74DE" w:rsidP="00EE4AD2">
      <w:pPr>
        <w:spacing w:line="240" w:lineRule="auto"/>
        <w:ind w:left="360" w:firstLine="0"/>
        <w:jc w:val="left"/>
      </w:pPr>
    </w:p>
    <w:p w14:paraId="1403A067" w14:textId="77777777" w:rsidR="007B5B98" w:rsidRDefault="007B5B98">
      <w:pPr>
        <w:spacing w:line="240" w:lineRule="auto"/>
        <w:ind w:firstLine="0"/>
        <w:jc w:val="left"/>
        <w:rPr>
          <w:rFonts w:eastAsiaTheme="majorEastAsia" w:cstheme="majorBidi"/>
          <w:b/>
          <w:color w:val="000000" w:themeColor="text1"/>
          <w:szCs w:val="26"/>
        </w:rPr>
      </w:pPr>
      <w:r>
        <w:br w:type="page"/>
      </w:r>
    </w:p>
    <w:p w14:paraId="7E42AF0D" w14:textId="10BEA7ED" w:rsidR="00A0426D" w:rsidRPr="00A0426D" w:rsidRDefault="007B5B98" w:rsidP="007B5B98">
      <w:pPr>
        <w:pStyle w:val="2"/>
      </w:pPr>
      <w:bookmarkStart w:id="34" w:name="_Toc451081022"/>
      <w:r>
        <w:lastRenderedPageBreak/>
        <w:t>Приложение 3 Динамика аварийного жилищного</w:t>
      </w:r>
      <w:r w:rsidRPr="00ED402D">
        <w:t xml:space="preserve"> фонд</w:t>
      </w:r>
      <w:r>
        <w:t xml:space="preserve">а В </w:t>
      </w:r>
      <w:r w:rsidR="00C47448">
        <w:t>Российской</w:t>
      </w:r>
      <w:r>
        <w:t xml:space="preserve"> Федерации</w:t>
      </w:r>
      <w:bookmarkEnd w:id="34"/>
    </w:p>
    <w:p w14:paraId="5F428C84" w14:textId="77777777" w:rsidR="00ED402D" w:rsidRDefault="00ED402D" w:rsidP="000049D0">
      <w:pPr>
        <w:jc w:val="center"/>
      </w:pPr>
      <w:r>
        <w:rPr>
          <w:noProof/>
          <w:lang w:eastAsia="ru-RU"/>
        </w:rPr>
        <w:drawing>
          <wp:inline distT="0" distB="0" distL="0" distR="0" wp14:anchorId="205996E5" wp14:editId="27FE933A">
            <wp:extent cx="4584700" cy="2755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7159B77" w14:textId="6BAE870A" w:rsidR="00ED402D" w:rsidRPr="00161528" w:rsidRDefault="007B5B98" w:rsidP="007B5B98">
      <w:pPr>
        <w:rPr>
          <w:i/>
        </w:rPr>
      </w:pPr>
      <w:r w:rsidRPr="00161528">
        <w:rPr>
          <w:i/>
        </w:rPr>
        <w:t xml:space="preserve">Рисунок </w:t>
      </w:r>
      <w:r w:rsidR="00ED402D" w:rsidRPr="00161528">
        <w:rPr>
          <w:i/>
        </w:rPr>
        <w:t xml:space="preserve">Динамика </w:t>
      </w:r>
      <w:r w:rsidR="009A6BF3" w:rsidRPr="00161528">
        <w:rPr>
          <w:i/>
        </w:rPr>
        <w:t>аварийного жилищного</w:t>
      </w:r>
      <w:r w:rsidR="00ED402D" w:rsidRPr="00161528">
        <w:rPr>
          <w:i/>
        </w:rPr>
        <w:t xml:space="preserve"> фонд</w:t>
      </w:r>
      <w:r w:rsidR="009A6BF3" w:rsidRPr="00161528">
        <w:rPr>
          <w:i/>
        </w:rPr>
        <w:t>а</w:t>
      </w:r>
      <w:r w:rsidRPr="00161528">
        <w:rPr>
          <w:i/>
        </w:rPr>
        <w:t xml:space="preserve"> в Российской Федерации</w:t>
      </w:r>
      <w:r w:rsidR="00ED402D" w:rsidRPr="00161528">
        <w:rPr>
          <w:i/>
        </w:rPr>
        <w:t>, млн. м2</w:t>
      </w:r>
    </w:p>
    <w:p w14:paraId="32F9F335" w14:textId="3C089A82" w:rsidR="007B5B98" w:rsidRDefault="00A0426D" w:rsidP="007B5B98">
      <w:pPr>
        <w:rPr>
          <w:i/>
          <w:sz w:val="20"/>
          <w:szCs w:val="20"/>
        </w:rPr>
      </w:pPr>
      <w:r w:rsidRPr="007B5B98">
        <w:rPr>
          <w:i/>
          <w:sz w:val="20"/>
          <w:szCs w:val="20"/>
        </w:rPr>
        <w:t xml:space="preserve">Составлено автором по данным Официального сайта Федеральной службы государственной статистики </w:t>
      </w:r>
      <w:r w:rsidRPr="007B5B98">
        <w:rPr>
          <w:i/>
          <w:sz w:val="20"/>
          <w:szCs w:val="20"/>
          <w:lang w:val="en-US"/>
        </w:rPr>
        <w:t>URL</w:t>
      </w:r>
      <w:r w:rsidRPr="007B5B98">
        <w:rPr>
          <w:i/>
          <w:sz w:val="20"/>
          <w:szCs w:val="20"/>
        </w:rPr>
        <w:t>:</w:t>
      </w:r>
      <w:r w:rsidR="007B5B98" w:rsidRPr="007B5B98">
        <w:t xml:space="preserve"> </w:t>
      </w:r>
      <w:r w:rsidR="007B5B98" w:rsidRPr="007B5B98">
        <w:rPr>
          <w:i/>
          <w:sz w:val="20"/>
          <w:szCs w:val="20"/>
        </w:rPr>
        <w:t>http://www.gks.ru/wps/wcm/connect/rosstat_main/rosstat/ru</w:t>
      </w:r>
      <w:r w:rsidR="007B5B98">
        <w:rPr>
          <w:i/>
          <w:sz w:val="20"/>
          <w:szCs w:val="20"/>
        </w:rPr>
        <w:t>/statistics/population/housing</w:t>
      </w:r>
      <w:r w:rsidRPr="007B5B98">
        <w:rPr>
          <w:i/>
          <w:sz w:val="20"/>
          <w:szCs w:val="20"/>
        </w:rPr>
        <w:t xml:space="preserve"> (дата </w:t>
      </w:r>
      <w:r w:rsidR="007C5ACD" w:rsidRPr="007B5B98">
        <w:rPr>
          <w:i/>
          <w:sz w:val="20"/>
          <w:szCs w:val="20"/>
        </w:rPr>
        <w:t>обращения</w:t>
      </w:r>
      <w:r w:rsidRPr="007B5B98">
        <w:rPr>
          <w:i/>
          <w:sz w:val="20"/>
          <w:szCs w:val="20"/>
        </w:rPr>
        <w:t>: 04.04.2016)</w:t>
      </w:r>
    </w:p>
    <w:p w14:paraId="311C4E69" w14:textId="77777777" w:rsidR="007B5B98" w:rsidRDefault="007B5B98">
      <w:pPr>
        <w:spacing w:line="240" w:lineRule="auto"/>
        <w:ind w:firstLine="0"/>
        <w:jc w:val="left"/>
        <w:rPr>
          <w:i/>
          <w:sz w:val="20"/>
          <w:szCs w:val="20"/>
        </w:rPr>
      </w:pPr>
      <w:r>
        <w:rPr>
          <w:i/>
          <w:sz w:val="20"/>
          <w:szCs w:val="20"/>
        </w:rPr>
        <w:br w:type="page"/>
      </w:r>
    </w:p>
    <w:p w14:paraId="794DE2F4" w14:textId="63880222" w:rsidR="00ED402D" w:rsidRDefault="007B5B98" w:rsidP="007B5B98">
      <w:pPr>
        <w:pStyle w:val="2"/>
      </w:pPr>
      <w:bookmarkStart w:id="35" w:name="_Toc451081023"/>
      <w:r>
        <w:lastRenderedPageBreak/>
        <w:t xml:space="preserve">Приложение 4 </w:t>
      </w:r>
      <w:r w:rsidRPr="007B5B98">
        <w:t>наблюдение отчетности двадцати четырех крупнейших российских строительных компаний на предмет составления отчетности по МСФО</w:t>
      </w:r>
      <w:bookmarkEnd w:id="35"/>
    </w:p>
    <w:p w14:paraId="229BF1B8" w14:textId="116A2C38" w:rsidR="00502134" w:rsidRPr="00161528" w:rsidRDefault="00502134" w:rsidP="00502134">
      <w:pPr>
        <w:rPr>
          <w:i/>
        </w:rPr>
      </w:pPr>
      <w:r w:rsidRPr="00161528">
        <w:rPr>
          <w:i/>
        </w:rPr>
        <w:t>Таблица Сплошное наблюдение отчетности двадцати четырех крупнейших российских строительных компаний на предмет составления отчетности по МСФО</w:t>
      </w:r>
    </w:p>
    <w:tbl>
      <w:tblPr>
        <w:tblW w:w="10166" w:type="dxa"/>
        <w:tblInd w:w="-318" w:type="dxa"/>
        <w:tblLook w:val="04A0" w:firstRow="1" w:lastRow="0" w:firstColumn="1" w:lastColumn="0" w:noHBand="0" w:noVBand="1"/>
      </w:tblPr>
      <w:tblGrid>
        <w:gridCol w:w="568"/>
        <w:gridCol w:w="1794"/>
        <w:gridCol w:w="2899"/>
        <w:gridCol w:w="2899"/>
        <w:gridCol w:w="2006"/>
      </w:tblGrid>
      <w:tr w:rsidR="00C719A9" w:rsidRPr="00C719A9" w14:paraId="6544A19B" w14:textId="77777777" w:rsidTr="007B5B98">
        <w:trPr>
          <w:trHeight w:val="9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FCF7" w14:textId="77777777" w:rsidR="00C719A9" w:rsidRPr="007B5B98" w:rsidRDefault="00C719A9" w:rsidP="008436A0">
            <w:pPr>
              <w:pStyle w:val="af3"/>
              <w:rPr>
                <w:b/>
                <w:sz w:val="24"/>
                <w:lang w:eastAsia="ru-RU"/>
              </w:rPr>
            </w:pPr>
            <w:r w:rsidRPr="007B5B98">
              <w:rPr>
                <w:b/>
                <w:sz w:val="24"/>
                <w:lang w:eastAsia="ru-RU"/>
              </w:rPr>
              <w:t>№</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14:paraId="603C58DC" w14:textId="77777777" w:rsidR="00C719A9" w:rsidRPr="007B5B98" w:rsidRDefault="00C719A9" w:rsidP="007B5B98">
            <w:pPr>
              <w:pStyle w:val="af3"/>
              <w:jc w:val="center"/>
              <w:rPr>
                <w:rFonts w:cs="Times New Roman"/>
                <w:b/>
                <w:sz w:val="24"/>
                <w:lang w:eastAsia="ru-RU"/>
              </w:rPr>
            </w:pPr>
            <w:r w:rsidRPr="007B5B98">
              <w:rPr>
                <w:rFonts w:cs="Times New Roman"/>
                <w:b/>
                <w:sz w:val="24"/>
                <w:lang w:eastAsia="ru-RU"/>
              </w:rPr>
              <w:t>Место в рейтинге Forbes</w:t>
            </w:r>
          </w:p>
        </w:tc>
        <w:tc>
          <w:tcPr>
            <w:tcW w:w="2899" w:type="dxa"/>
            <w:tcBorders>
              <w:top w:val="single" w:sz="4" w:space="0" w:color="auto"/>
              <w:left w:val="nil"/>
              <w:bottom w:val="single" w:sz="4" w:space="0" w:color="auto"/>
              <w:right w:val="single" w:sz="4" w:space="0" w:color="auto"/>
            </w:tcBorders>
            <w:shd w:val="clear" w:color="auto" w:fill="auto"/>
            <w:vAlign w:val="bottom"/>
            <w:hideMark/>
          </w:tcPr>
          <w:p w14:paraId="0629D48E" w14:textId="77777777" w:rsidR="00C719A9" w:rsidRPr="007B5B98" w:rsidRDefault="00C719A9" w:rsidP="007B5B98">
            <w:pPr>
              <w:pStyle w:val="af3"/>
              <w:jc w:val="center"/>
              <w:rPr>
                <w:rFonts w:cs="Times New Roman"/>
                <w:b/>
                <w:sz w:val="24"/>
                <w:lang w:eastAsia="ru-RU"/>
              </w:rPr>
            </w:pPr>
            <w:r w:rsidRPr="007B5B98">
              <w:rPr>
                <w:rFonts w:cs="Times New Roman"/>
                <w:b/>
                <w:sz w:val="24"/>
                <w:lang w:eastAsia="ru-RU"/>
              </w:rPr>
              <w:t>Название строительной компании</w:t>
            </w:r>
          </w:p>
        </w:tc>
        <w:tc>
          <w:tcPr>
            <w:tcW w:w="2899" w:type="dxa"/>
            <w:tcBorders>
              <w:top w:val="single" w:sz="4" w:space="0" w:color="auto"/>
              <w:left w:val="nil"/>
              <w:bottom w:val="single" w:sz="4" w:space="0" w:color="auto"/>
              <w:right w:val="single" w:sz="4" w:space="0" w:color="auto"/>
            </w:tcBorders>
            <w:shd w:val="clear" w:color="auto" w:fill="auto"/>
            <w:vAlign w:val="bottom"/>
            <w:hideMark/>
          </w:tcPr>
          <w:p w14:paraId="0DCBFCE4" w14:textId="77777777" w:rsidR="00C719A9" w:rsidRPr="007B5B98" w:rsidRDefault="00C719A9" w:rsidP="007B5B98">
            <w:pPr>
              <w:pStyle w:val="af3"/>
              <w:jc w:val="center"/>
              <w:rPr>
                <w:rFonts w:cs="Times New Roman"/>
                <w:b/>
                <w:sz w:val="24"/>
                <w:lang w:eastAsia="ru-RU"/>
              </w:rPr>
            </w:pPr>
            <w:r w:rsidRPr="007B5B98">
              <w:rPr>
                <w:rFonts w:cs="Times New Roman"/>
                <w:b/>
                <w:sz w:val="24"/>
                <w:lang w:eastAsia="ru-RU"/>
              </w:rPr>
              <w:t>Штаб-квартира строительной компании</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14:paraId="65B17E3C" w14:textId="77777777" w:rsidR="00C719A9" w:rsidRPr="007B5B98" w:rsidRDefault="00C719A9" w:rsidP="007B5B98">
            <w:pPr>
              <w:pStyle w:val="af3"/>
              <w:jc w:val="center"/>
              <w:rPr>
                <w:rFonts w:cs="Times New Roman"/>
                <w:b/>
                <w:sz w:val="24"/>
                <w:lang w:eastAsia="ru-RU"/>
              </w:rPr>
            </w:pPr>
            <w:r w:rsidRPr="007B5B98">
              <w:rPr>
                <w:rFonts w:cs="Times New Roman"/>
                <w:b/>
                <w:sz w:val="24"/>
                <w:lang w:eastAsia="ru-RU"/>
              </w:rPr>
              <w:t>Наличие отчетности по МСФО</w:t>
            </w:r>
          </w:p>
        </w:tc>
      </w:tr>
      <w:tr w:rsidR="00C719A9" w:rsidRPr="00C719A9" w14:paraId="1495A55A" w14:textId="77777777" w:rsidTr="007B5B98">
        <w:trPr>
          <w:trHeight w:val="3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F8A109" w14:textId="77777777" w:rsidR="00C719A9" w:rsidRPr="007B5B98" w:rsidRDefault="00C719A9" w:rsidP="008436A0">
            <w:pPr>
              <w:pStyle w:val="af3"/>
              <w:rPr>
                <w:b/>
                <w:sz w:val="24"/>
                <w:lang w:eastAsia="ru-RU"/>
              </w:rPr>
            </w:pPr>
            <w:r w:rsidRPr="007B5B98">
              <w:rPr>
                <w:b/>
                <w:sz w:val="24"/>
                <w:lang w:eastAsia="ru-RU"/>
              </w:rPr>
              <w:t>1</w:t>
            </w:r>
          </w:p>
        </w:tc>
        <w:tc>
          <w:tcPr>
            <w:tcW w:w="1794" w:type="dxa"/>
            <w:tcBorders>
              <w:top w:val="nil"/>
              <w:left w:val="nil"/>
              <w:bottom w:val="single" w:sz="4" w:space="0" w:color="auto"/>
              <w:right w:val="single" w:sz="4" w:space="0" w:color="auto"/>
            </w:tcBorders>
            <w:shd w:val="clear" w:color="auto" w:fill="auto"/>
            <w:noWrap/>
            <w:vAlign w:val="bottom"/>
            <w:hideMark/>
          </w:tcPr>
          <w:p w14:paraId="21469510" w14:textId="77777777" w:rsidR="00C719A9" w:rsidRPr="007B5B98" w:rsidRDefault="00C719A9" w:rsidP="008436A0">
            <w:pPr>
              <w:pStyle w:val="af3"/>
              <w:rPr>
                <w:rFonts w:cs="Times New Roman"/>
                <w:szCs w:val="20"/>
                <w:lang w:eastAsia="ru-RU"/>
              </w:rPr>
            </w:pPr>
            <w:r w:rsidRPr="007B5B98">
              <w:rPr>
                <w:rFonts w:cs="Times New Roman"/>
                <w:szCs w:val="20"/>
                <w:lang w:eastAsia="ru-RU"/>
              </w:rPr>
              <w:t>21</w:t>
            </w:r>
          </w:p>
        </w:tc>
        <w:tc>
          <w:tcPr>
            <w:tcW w:w="2899" w:type="dxa"/>
            <w:tcBorders>
              <w:top w:val="nil"/>
              <w:left w:val="nil"/>
              <w:bottom w:val="single" w:sz="4" w:space="0" w:color="auto"/>
              <w:right w:val="single" w:sz="4" w:space="0" w:color="auto"/>
            </w:tcBorders>
            <w:shd w:val="clear" w:color="auto" w:fill="auto"/>
            <w:noWrap/>
            <w:vAlign w:val="bottom"/>
            <w:hideMark/>
          </w:tcPr>
          <w:p w14:paraId="2BD14288" w14:textId="77777777" w:rsidR="00C719A9" w:rsidRPr="007B5B98" w:rsidRDefault="00C719A9" w:rsidP="008436A0">
            <w:pPr>
              <w:pStyle w:val="af3"/>
              <w:rPr>
                <w:rFonts w:cs="Times New Roman"/>
                <w:szCs w:val="20"/>
                <w:lang w:eastAsia="ru-RU"/>
              </w:rPr>
            </w:pPr>
            <w:r w:rsidRPr="007B5B98">
              <w:rPr>
                <w:rFonts w:cs="Times New Roman"/>
                <w:szCs w:val="20"/>
                <w:lang w:eastAsia="ru-RU"/>
              </w:rPr>
              <w:t>Стройгазконсалтинг</w:t>
            </w:r>
          </w:p>
        </w:tc>
        <w:tc>
          <w:tcPr>
            <w:tcW w:w="2899" w:type="dxa"/>
            <w:tcBorders>
              <w:top w:val="nil"/>
              <w:left w:val="nil"/>
              <w:bottom w:val="single" w:sz="4" w:space="0" w:color="auto"/>
              <w:right w:val="single" w:sz="4" w:space="0" w:color="auto"/>
            </w:tcBorders>
            <w:shd w:val="clear" w:color="auto" w:fill="auto"/>
            <w:noWrap/>
            <w:vAlign w:val="bottom"/>
            <w:hideMark/>
          </w:tcPr>
          <w:p w14:paraId="15F22C55"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069B72F4" w14:textId="757532FE" w:rsidR="00C719A9" w:rsidRPr="007B5B98" w:rsidRDefault="0092376E" w:rsidP="008436A0">
            <w:pPr>
              <w:pStyle w:val="af3"/>
              <w:rPr>
                <w:rFonts w:cs="Times New Roman"/>
                <w:szCs w:val="20"/>
                <w:lang w:eastAsia="ru-RU"/>
              </w:rPr>
            </w:pPr>
            <w:r w:rsidRPr="007B5B98">
              <w:rPr>
                <w:rFonts w:cs="Times New Roman"/>
                <w:szCs w:val="20"/>
                <w:lang w:eastAsia="ru-RU"/>
              </w:rPr>
              <w:t>да</w:t>
            </w:r>
          </w:p>
        </w:tc>
      </w:tr>
      <w:tr w:rsidR="00C719A9" w:rsidRPr="00C719A9" w14:paraId="6903971A"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F535B3" w14:textId="77777777" w:rsidR="00C719A9" w:rsidRPr="007B5B98" w:rsidRDefault="00C719A9" w:rsidP="008436A0">
            <w:pPr>
              <w:pStyle w:val="af3"/>
              <w:rPr>
                <w:b/>
                <w:sz w:val="24"/>
                <w:lang w:eastAsia="ru-RU"/>
              </w:rPr>
            </w:pPr>
            <w:r w:rsidRPr="007B5B98">
              <w:rPr>
                <w:b/>
                <w:sz w:val="24"/>
                <w:lang w:eastAsia="ru-RU"/>
              </w:rPr>
              <w:t>2</w:t>
            </w:r>
          </w:p>
        </w:tc>
        <w:tc>
          <w:tcPr>
            <w:tcW w:w="1794" w:type="dxa"/>
            <w:tcBorders>
              <w:top w:val="nil"/>
              <w:left w:val="nil"/>
              <w:bottom w:val="single" w:sz="4" w:space="0" w:color="auto"/>
              <w:right w:val="single" w:sz="4" w:space="0" w:color="auto"/>
            </w:tcBorders>
            <w:shd w:val="clear" w:color="auto" w:fill="auto"/>
            <w:noWrap/>
            <w:vAlign w:val="bottom"/>
            <w:hideMark/>
          </w:tcPr>
          <w:p w14:paraId="191A0339" w14:textId="77777777" w:rsidR="00C719A9" w:rsidRPr="007B5B98" w:rsidRDefault="00C719A9" w:rsidP="008436A0">
            <w:pPr>
              <w:pStyle w:val="af3"/>
              <w:rPr>
                <w:rFonts w:cs="Times New Roman"/>
                <w:szCs w:val="20"/>
                <w:lang w:eastAsia="ru-RU"/>
              </w:rPr>
            </w:pPr>
            <w:r w:rsidRPr="007B5B98">
              <w:rPr>
                <w:rFonts w:cs="Times New Roman"/>
                <w:szCs w:val="20"/>
                <w:lang w:eastAsia="ru-RU"/>
              </w:rPr>
              <w:t>23</w:t>
            </w:r>
          </w:p>
        </w:tc>
        <w:tc>
          <w:tcPr>
            <w:tcW w:w="2899" w:type="dxa"/>
            <w:tcBorders>
              <w:top w:val="nil"/>
              <w:left w:val="nil"/>
              <w:bottom w:val="single" w:sz="4" w:space="0" w:color="auto"/>
              <w:right w:val="single" w:sz="4" w:space="0" w:color="auto"/>
            </w:tcBorders>
            <w:shd w:val="clear" w:color="auto" w:fill="auto"/>
            <w:noWrap/>
            <w:vAlign w:val="bottom"/>
            <w:hideMark/>
          </w:tcPr>
          <w:p w14:paraId="15FA6A77" w14:textId="77777777" w:rsidR="00C719A9" w:rsidRPr="007B5B98" w:rsidRDefault="00C719A9" w:rsidP="008436A0">
            <w:pPr>
              <w:pStyle w:val="af3"/>
              <w:rPr>
                <w:rFonts w:cs="Times New Roman"/>
                <w:szCs w:val="20"/>
                <w:lang w:eastAsia="ru-RU"/>
              </w:rPr>
            </w:pPr>
            <w:r w:rsidRPr="007B5B98">
              <w:rPr>
                <w:rFonts w:cs="Times New Roman"/>
                <w:szCs w:val="20"/>
                <w:lang w:eastAsia="ru-RU"/>
              </w:rPr>
              <w:t>Стройгазмонтаж</w:t>
            </w:r>
          </w:p>
        </w:tc>
        <w:tc>
          <w:tcPr>
            <w:tcW w:w="2899" w:type="dxa"/>
            <w:tcBorders>
              <w:top w:val="nil"/>
              <w:left w:val="nil"/>
              <w:bottom w:val="single" w:sz="4" w:space="0" w:color="auto"/>
              <w:right w:val="single" w:sz="4" w:space="0" w:color="auto"/>
            </w:tcBorders>
            <w:shd w:val="clear" w:color="auto" w:fill="auto"/>
            <w:noWrap/>
            <w:vAlign w:val="bottom"/>
            <w:hideMark/>
          </w:tcPr>
          <w:p w14:paraId="42D31905"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37739ABA" w14:textId="1BF7A325" w:rsidR="00C719A9" w:rsidRPr="007B5B98" w:rsidRDefault="0092376E" w:rsidP="008436A0">
            <w:pPr>
              <w:pStyle w:val="af3"/>
              <w:rPr>
                <w:rFonts w:cs="Times New Roman"/>
                <w:szCs w:val="20"/>
                <w:lang w:eastAsia="ru-RU"/>
              </w:rPr>
            </w:pPr>
            <w:r w:rsidRPr="007B5B98">
              <w:rPr>
                <w:rFonts w:cs="Times New Roman"/>
                <w:szCs w:val="20"/>
                <w:lang w:eastAsia="ru-RU"/>
              </w:rPr>
              <w:t>да</w:t>
            </w:r>
          </w:p>
        </w:tc>
      </w:tr>
      <w:tr w:rsidR="00C719A9" w:rsidRPr="00C719A9" w14:paraId="5709ABA4"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C8AFDD" w14:textId="77777777" w:rsidR="00C719A9" w:rsidRPr="007B5B98" w:rsidRDefault="00C719A9" w:rsidP="008436A0">
            <w:pPr>
              <w:pStyle w:val="af3"/>
              <w:rPr>
                <w:b/>
                <w:sz w:val="24"/>
                <w:lang w:eastAsia="ru-RU"/>
              </w:rPr>
            </w:pPr>
            <w:r w:rsidRPr="007B5B98">
              <w:rPr>
                <w:b/>
                <w:sz w:val="24"/>
                <w:lang w:eastAsia="ru-RU"/>
              </w:rPr>
              <w:t>3</w:t>
            </w:r>
          </w:p>
        </w:tc>
        <w:tc>
          <w:tcPr>
            <w:tcW w:w="1794" w:type="dxa"/>
            <w:tcBorders>
              <w:top w:val="nil"/>
              <w:left w:val="nil"/>
              <w:bottom w:val="single" w:sz="4" w:space="0" w:color="auto"/>
              <w:right w:val="single" w:sz="4" w:space="0" w:color="auto"/>
            </w:tcBorders>
            <w:shd w:val="clear" w:color="auto" w:fill="auto"/>
            <w:noWrap/>
            <w:vAlign w:val="bottom"/>
            <w:hideMark/>
          </w:tcPr>
          <w:p w14:paraId="330F8EF2" w14:textId="77777777" w:rsidR="00C719A9" w:rsidRPr="007B5B98" w:rsidRDefault="00C719A9" w:rsidP="008436A0">
            <w:pPr>
              <w:pStyle w:val="af3"/>
              <w:rPr>
                <w:rFonts w:cs="Times New Roman"/>
                <w:szCs w:val="20"/>
                <w:lang w:eastAsia="ru-RU"/>
              </w:rPr>
            </w:pPr>
            <w:r w:rsidRPr="007B5B98">
              <w:rPr>
                <w:rFonts w:cs="Times New Roman"/>
                <w:szCs w:val="20"/>
                <w:lang w:eastAsia="ru-RU"/>
              </w:rPr>
              <w:t>46</w:t>
            </w:r>
          </w:p>
        </w:tc>
        <w:tc>
          <w:tcPr>
            <w:tcW w:w="2899" w:type="dxa"/>
            <w:tcBorders>
              <w:top w:val="nil"/>
              <w:left w:val="nil"/>
              <w:bottom w:val="single" w:sz="4" w:space="0" w:color="auto"/>
              <w:right w:val="single" w:sz="4" w:space="0" w:color="auto"/>
            </w:tcBorders>
            <w:shd w:val="clear" w:color="auto" w:fill="auto"/>
            <w:noWrap/>
            <w:vAlign w:val="bottom"/>
            <w:hideMark/>
          </w:tcPr>
          <w:p w14:paraId="76EBB5B3"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Мостотрест</w:t>
            </w:r>
          </w:p>
        </w:tc>
        <w:tc>
          <w:tcPr>
            <w:tcW w:w="2899" w:type="dxa"/>
            <w:tcBorders>
              <w:top w:val="nil"/>
              <w:left w:val="nil"/>
              <w:bottom w:val="single" w:sz="4" w:space="0" w:color="auto"/>
              <w:right w:val="single" w:sz="4" w:space="0" w:color="auto"/>
            </w:tcBorders>
            <w:shd w:val="clear" w:color="auto" w:fill="auto"/>
            <w:noWrap/>
            <w:vAlign w:val="bottom"/>
            <w:hideMark/>
          </w:tcPr>
          <w:p w14:paraId="4BA6816C"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4DBFED91"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59533604"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0A95DC" w14:textId="77777777" w:rsidR="00C719A9" w:rsidRPr="007B5B98" w:rsidRDefault="00C719A9" w:rsidP="008436A0">
            <w:pPr>
              <w:pStyle w:val="af3"/>
              <w:rPr>
                <w:b/>
                <w:sz w:val="24"/>
                <w:lang w:eastAsia="ru-RU"/>
              </w:rPr>
            </w:pPr>
            <w:r w:rsidRPr="007B5B98">
              <w:rPr>
                <w:b/>
                <w:sz w:val="24"/>
                <w:lang w:eastAsia="ru-RU"/>
              </w:rPr>
              <w:t>4</w:t>
            </w:r>
          </w:p>
        </w:tc>
        <w:tc>
          <w:tcPr>
            <w:tcW w:w="1794" w:type="dxa"/>
            <w:tcBorders>
              <w:top w:val="nil"/>
              <w:left w:val="nil"/>
              <w:bottom w:val="single" w:sz="4" w:space="0" w:color="auto"/>
              <w:right w:val="single" w:sz="4" w:space="0" w:color="auto"/>
            </w:tcBorders>
            <w:shd w:val="clear" w:color="auto" w:fill="auto"/>
            <w:noWrap/>
            <w:vAlign w:val="bottom"/>
            <w:hideMark/>
          </w:tcPr>
          <w:p w14:paraId="1623E640" w14:textId="77777777" w:rsidR="00C719A9" w:rsidRPr="007B5B98" w:rsidRDefault="00C719A9" w:rsidP="008436A0">
            <w:pPr>
              <w:pStyle w:val="af3"/>
              <w:rPr>
                <w:rFonts w:cs="Times New Roman"/>
                <w:szCs w:val="20"/>
                <w:lang w:eastAsia="ru-RU"/>
              </w:rPr>
            </w:pPr>
            <w:r w:rsidRPr="007B5B98">
              <w:rPr>
                <w:rFonts w:cs="Times New Roman"/>
                <w:szCs w:val="20"/>
                <w:lang w:eastAsia="ru-RU"/>
              </w:rPr>
              <w:t>55</w:t>
            </w:r>
          </w:p>
        </w:tc>
        <w:tc>
          <w:tcPr>
            <w:tcW w:w="2899" w:type="dxa"/>
            <w:tcBorders>
              <w:top w:val="nil"/>
              <w:left w:val="nil"/>
              <w:bottom w:val="single" w:sz="4" w:space="0" w:color="auto"/>
              <w:right w:val="single" w:sz="4" w:space="0" w:color="auto"/>
            </w:tcBorders>
            <w:shd w:val="clear" w:color="auto" w:fill="auto"/>
            <w:noWrap/>
            <w:vAlign w:val="bottom"/>
            <w:hideMark/>
          </w:tcPr>
          <w:p w14:paraId="7A44EA1B" w14:textId="77777777" w:rsidR="00C719A9" w:rsidRPr="007B5B98" w:rsidRDefault="00C719A9" w:rsidP="008436A0">
            <w:pPr>
              <w:pStyle w:val="af3"/>
              <w:rPr>
                <w:rFonts w:cs="Times New Roman"/>
                <w:szCs w:val="20"/>
                <w:lang w:eastAsia="ru-RU"/>
              </w:rPr>
            </w:pPr>
            <w:r w:rsidRPr="007B5B98">
              <w:rPr>
                <w:rFonts w:cs="Times New Roman"/>
                <w:szCs w:val="20"/>
                <w:lang w:eastAsia="ru-RU"/>
              </w:rPr>
              <w:t>Ташир</w:t>
            </w:r>
          </w:p>
        </w:tc>
        <w:tc>
          <w:tcPr>
            <w:tcW w:w="2899" w:type="dxa"/>
            <w:tcBorders>
              <w:top w:val="nil"/>
              <w:left w:val="nil"/>
              <w:bottom w:val="single" w:sz="4" w:space="0" w:color="auto"/>
              <w:right w:val="single" w:sz="4" w:space="0" w:color="auto"/>
            </w:tcBorders>
            <w:shd w:val="clear" w:color="auto" w:fill="auto"/>
            <w:noWrap/>
            <w:vAlign w:val="bottom"/>
            <w:hideMark/>
          </w:tcPr>
          <w:p w14:paraId="40D60B3D"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6E79FFB2"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2E05C574"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4C1616" w14:textId="77777777" w:rsidR="00C719A9" w:rsidRPr="007B5B98" w:rsidRDefault="00C719A9" w:rsidP="008436A0">
            <w:pPr>
              <w:pStyle w:val="af3"/>
              <w:rPr>
                <w:b/>
                <w:sz w:val="24"/>
                <w:lang w:eastAsia="ru-RU"/>
              </w:rPr>
            </w:pPr>
            <w:r w:rsidRPr="007B5B98">
              <w:rPr>
                <w:b/>
                <w:sz w:val="24"/>
                <w:lang w:eastAsia="ru-RU"/>
              </w:rPr>
              <w:t>5</w:t>
            </w:r>
          </w:p>
        </w:tc>
        <w:tc>
          <w:tcPr>
            <w:tcW w:w="1794" w:type="dxa"/>
            <w:tcBorders>
              <w:top w:val="nil"/>
              <w:left w:val="nil"/>
              <w:bottom w:val="single" w:sz="4" w:space="0" w:color="auto"/>
              <w:right w:val="single" w:sz="4" w:space="0" w:color="auto"/>
            </w:tcBorders>
            <w:shd w:val="clear" w:color="auto" w:fill="auto"/>
            <w:noWrap/>
            <w:vAlign w:val="bottom"/>
            <w:hideMark/>
          </w:tcPr>
          <w:p w14:paraId="49F833A4" w14:textId="77777777" w:rsidR="00C719A9" w:rsidRPr="007B5B98" w:rsidRDefault="00C719A9" w:rsidP="008436A0">
            <w:pPr>
              <w:pStyle w:val="af3"/>
              <w:rPr>
                <w:rFonts w:cs="Times New Roman"/>
                <w:szCs w:val="20"/>
                <w:lang w:eastAsia="ru-RU"/>
              </w:rPr>
            </w:pPr>
            <w:r w:rsidRPr="007B5B98">
              <w:rPr>
                <w:rFonts w:cs="Times New Roman"/>
                <w:szCs w:val="20"/>
                <w:lang w:eastAsia="ru-RU"/>
              </w:rPr>
              <w:t>60</w:t>
            </w:r>
          </w:p>
        </w:tc>
        <w:tc>
          <w:tcPr>
            <w:tcW w:w="2899" w:type="dxa"/>
            <w:tcBorders>
              <w:top w:val="nil"/>
              <w:left w:val="nil"/>
              <w:bottom w:val="single" w:sz="4" w:space="0" w:color="auto"/>
              <w:right w:val="single" w:sz="4" w:space="0" w:color="auto"/>
            </w:tcBorders>
            <w:shd w:val="clear" w:color="auto" w:fill="auto"/>
            <w:noWrap/>
            <w:vAlign w:val="bottom"/>
            <w:hideMark/>
          </w:tcPr>
          <w:p w14:paraId="51E1F8C3" w14:textId="77777777" w:rsidR="00C719A9" w:rsidRPr="007B5B98" w:rsidRDefault="00C719A9" w:rsidP="008436A0">
            <w:pPr>
              <w:pStyle w:val="af3"/>
              <w:rPr>
                <w:rFonts w:cs="Times New Roman"/>
                <w:szCs w:val="20"/>
                <w:lang w:eastAsia="ru-RU"/>
              </w:rPr>
            </w:pPr>
            <w:r w:rsidRPr="007B5B98">
              <w:rPr>
                <w:rFonts w:cs="Times New Roman"/>
                <w:szCs w:val="20"/>
                <w:lang w:eastAsia="ru-RU"/>
              </w:rPr>
              <w:t>СУ-155</w:t>
            </w:r>
          </w:p>
        </w:tc>
        <w:tc>
          <w:tcPr>
            <w:tcW w:w="2899" w:type="dxa"/>
            <w:tcBorders>
              <w:top w:val="nil"/>
              <w:left w:val="nil"/>
              <w:bottom w:val="single" w:sz="4" w:space="0" w:color="auto"/>
              <w:right w:val="single" w:sz="4" w:space="0" w:color="auto"/>
            </w:tcBorders>
            <w:shd w:val="clear" w:color="auto" w:fill="auto"/>
            <w:noWrap/>
            <w:vAlign w:val="bottom"/>
            <w:hideMark/>
          </w:tcPr>
          <w:p w14:paraId="6511370A"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6079718B"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16378880"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74B275" w14:textId="77777777" w:rsidR="00C719A9" w:rsidRPr="007B5B98" w:rsidRDefault="00C719A9" w:rsidP="008436A0">
            <w:pPr>
              <w:pStyle w:val="af3"/>
              <w:rPr>
                <w:b/>
                <w:sz w:val="24"/>
                <w:lang w:eastAsia="ru-RU"/>
              </w:rPr>
            </w:pPr>
            <w:r w:rsidRPr="007B5B98">
              <w:rPr>
                <w:b/>
                <w:sz w:val="24"/>
                <w:lang w:eastAsia="ru-RU"/>
              </w:rPr>
              <w:t>6</w:t>
            </w:r>
          </w:p>
        </w:tc>
        <w:tc>
          <w:tcPr>
            <w:tcW w:w="1794" w:type="dxa"/>
            <w:tcBorders>
              <w:top w:val="nil"/>
              <w:left w:val="nil"/>
              <w:bottom w:val="single" w:sz="4" w:space="0" w:color="auto"/>
              <w:right w:val="single" w:sz="4" w:space="0" w:color="auto"/>
            </w:tcBorders>
            <w:shd w:val="clear" w:color="auto" w:fill="auto"/>
            <w:noWrap/>
            <w:vAlign w:val="bottom"/>
            <w:hideMark/>
          </w:tcPr>
          <w:p w14:paraId="4DEEF8A3" w14:textId="77777777" w:rsidR="00C719A9" w:rsidRPr="007B5B98" w:rsidRDefault="00C719A9" w:rsidP="008436A0">
            <w:pPr>
              <w:pStyle w:val="af3"/>
              <w:rPr>
                <w:rFonts w:cs="Times New Roman"/>
                <w:szCs w:val="20"/>
                <w:lang w:eastAsia="ru-RU"/>
              </w:rPr>
            </w:pPr>
            <w:r w:rsidRPr="007B5B98">
              <w:rPr>
                <w:rFonts w:cs="Times New Roman"/>
                <w:szCs w:val="20"/>
                <w:lang w:eastAsia="ru-RU"/>
              </w:rPr>
              <w:t>64</w:t>
            </w:r>
          </w:p>
        </w:tc>
        <w:tc>
          <w:tcPr>
            <w:tcW w:w="2899" w:type="dxa"/>
            <w:tcBorders>
              <w:top w:val="nil"/>
              <w:left w:val="nil"/>
              <w:bottom w:val="single" w:sz="4" w:space="0" w:color="auto"/>
              <w:right w:val="single" w:sz="4" w:space="0" w:color="auto"/>
            </w:tcBorders>
            <w:shd w:val="clear" w:color="auto" w:fill="auto"/>
            <w:noWrap/>
            <w:vAlign w:val="bottom"/>
            <w:hideMark/>
          </w:tcPr>
          <w:p w14:paraId="63C55FA7" w14:textId="77777777" w:rsidR="00C719A9" w:rsidRPr="007B5B98" w:rsidRDefault="00C719A9" w:rsidP="008436A0">
            <w:pPr>
              <w:pStyle w:val="af3"/>
              <w:rPr>
                <w:rFonts w:cs="Times New Roman"/>
                <w:szCs w:val="20"/>
                <w:lang w:eastAsia="ru-RU"/>
              </w:rPr>
            </w:pPr>
            <w:r w:rsidRPr="007B5B98">
              <w:rPr>
                <w:rFonts w:cs="Times New Roman"/>
                <w:szCs w:val="20"/>
                <w:lang w:eastAsia="ru-RU"/>
              </w:rPr>
              <w:t>Базовый элемент</w:t>
            </w:r>
          </w:p>
        </w:tc>
        <w:tc>
          <w:tcPr>
            <w:tcW w:w="2899" w:type="dxa"/>
            <w:tcBorders>
              <w:top w:val="nil"/>
              <w:left w:val="nil"/>
              <w:bottom w:val="single" w:sz="4" w:space="0" w:color="auto"/>
              <w:right w:val="single" w:sz="4" w:space="0" w:color="auto"/>
            </w:tcBorders>
            <w:shd w:val="clear" w:color="auto" w:fill="auto"/>
            <w:noWrap/>
            <w:vAlign w:val="bottom"/>
            <w:hideMark/>
          </w:tcPr>
          <w:p w14:paraId="25F36CBA"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069ED3FF"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397F12B9"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7C4614" w14:textId="77777777" w:rsidR="00C719A9" w:rsidRPr="007B5B98" w:rsidRDefault="00C719A9" w:rsidP="008436A0">
            <w:pPr>
              <w:pStyle w:val="af3"/>
              <w:rPr>
                <w:b/>
                <w:sz w:val="24"/>
                <w:lang w:eastAsia="ru-RU"/>
              </w:rPr>
            </w:pPr>
            <w:r w:rsidRPr="007B5B98">
              <w:rPr>
                <w:b/>
                <w:sz w:val="24"/>
                <w:lang w:eastAsia="ru-RU"/>
              </w:rPr>
              <w:t>7</w:t>
            </w:r>
          </w:p>
        </w:tc>
        <w:tc>
          <w:tcPr>
            <w:tcW w:w="1794" w:type="dxa"/>
            <w:tcBorders>
              <w:top w:val="nil"/>
              <w:left w:val="nil"/>
              <w:bottom w:val="single" w:sz="4" w:space="0" w:color="auto"/>
              <w:right w:val="single" w:sz="4" w:space="0" w:color="auto"/>
            </w:tcBorders>
            <w:shd w:val="clear" w:color="auto" w:fill="auto"/>
            <w:noWrap/>
            <w:vAlign w:val="bottom"/>
            <w:hideMark/>
          </w:tcPr>
          <w:p w14:paraId="19995438" w14:textId="77777777" w:rsidR="00C719A9" w:rsidRPr="007B5B98" w:rsidRDefault="00C719A9" w:rsidP="008436A0">
            <w:pPr>
              <w:pStyle w:val="af3"/>
              <w:rPr>
                <w:rFonts w:cs="Times New Roman"/>
                <w:szCs w:val="20"/>
                <w:lang w:eastAsia="ru-RU"/>
              </w:rPr>
            </w:pPr>
            <w:r w:rsidRPr="007B5B98">
              <w:rPr>
                <w:rFonts w:cs="Times New Roman"/>
                <w:szCs w:val="20"/>
                <w:lang w:eastAsia="ru-RU"/>
              </w:rPr>
              <w:t>71</w:t>
            </w:r>
          </w:p>
        </w:tc>
        <w:tc>
          <w:tcPr>
            <w:tcW w:w="2899" w:type="dxa"/>
            <w:tcBorders>
              <w:top w:val="nil"/>
              <w:left w:val="nil"/>
              <w:bottom w:val="single" w:sz="4" w:space="0" w:color="auto"/>
              <w:right w:val="single" w:sz="4" w:space="0" w:color="auto"/>
            </w:tcBorders>
            <w:shd w:val="clear" w:color="auto" w:fill="auto"/>
            <w:noWrap/>
            <w:vAlign w:val="bottom"/>
            <w:hideMark/>
          </w:tcPr>
          <w:p w14:paraId="2A40B200" w14:textId="77777777" w:rsidR="00C719A9" w:rsidRPr="007B5B98" w:rsidRDefault="00C719A9" w:rsidP="008436A0">
            <w:pPr>
              <w:pStyle w:val="af3"/>
              <w:rPr>
                <w:rFonts w:cs="Times New Roman"/>
                <w:szCs w:val="20"/>
                <w:lang w:eastAsia="ru-RU"/>
              </w:rPr>
            </w:pPr>
            <w:r w:rsidRPr="007B5B98">
              <w:rPr>
                <w:rFonts w:cs="Times New Roman"/>
                <w:szCs w:val="20"/>
                <w:lang w:eastAsia="ru-RU"/>
              </w:rPr>
              <w:t>Ренейссанс Констракшн</w:t>
            </w:r>
          </w:p>
        </w:tc>
        <w:tc>
          <w:tcPr>
            <w:tcW w:w="2899" w:type="dxa"/>
            <w:tcBorders>
              <w:top w:val="nil"/>
              <w:left w:val="nil"/>
              <w:bottom w:val="single" w:sz="4" w:space="0" w:color="auto"/>
              <w:right w:val="single" w:sz="4" w:space="0" w:color="auto"/>
            </w:tcBorders>
            <w:shd w:val="clear" w:color="auto" w:fill="auto"/>
            <w:noWrap/>
            <w:vAlign w:val="bottom"/>
            <w:hideMark/>
          </w:tcPr>
          <w:p w14:paraId="0EF972AF"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 Санкт-Петербург</w:t>
            </w:r>
          </w:p>
        </w:tc>
        <w:tc>
          <w:tcPr>
            <w:tcW w:w="2006" w:type="dxa"/>
            <w:tcBorders>
              <w:top w:val="nil"/>
              <w:left w:val="nil"/>
              <w:bottom w:val="single" w:sz="4" w:space="0" w:color="auto"/>
              <w:right w:val="single" w:sz="4" w:space="0" w:color="auto"/>
            </w:tcBorders>
            <w:shd w:val="clear" w:color="auto" w:fill="auto"/>
            <w:noWrap/>
            <w:vAlign w:val="bottom"/>
            <w:hideMark/>
          </w:tcPr>
          <w:p w14:paraId="12B15E65"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73D986EF"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FE085D" w14:textId="77777777" w:rsidR="00C719A9" w:rsidRPr="007B5B98" w:rsidRDefault="00C719A9" w:rsidP="008436A0">
            <w:pPr>
              <w:pStyle w:val="af3"/>
              <w:rPr>
                <w:b/>
                <w:sz w:val="24"/>
                <w:lang w:eastAsia="ru-RU"/>
              </w:rPr>
            </w:pPr>
            <w:r w:rsidRPr="007B5B98">
              <w:rPr>
                <w:b/>
                <w:sz w:val="24"/>
                <w:lang w:eastAsia="ru-RU"/>
              </w:rPr>
              <w:t>8</w:t>
            </w:r>
          </w:p>
        </w:tc>
        <w:tc>
          <w:tcPr>
            <w:tcW w:w="1794" w:type="dxa"/>
            <w:tcBorders>
              <w:top w:val="nil"/>
              <w:left w:val="nil"/>
              <w:bottom w:val="single" w:sz="4" w:space="0" w:color="auto"/>
              <w:right w:val="single" w:sz="4" w:space="0" w:color="auto"/>
            </w:tcBorders>
            <w:shd w:val="clear" w:color="auto" w:fill="auto"/>
            <w:noWrap/>
            <w:vAlign w:val="bottom"/>
            <w:hideMark/>
          </w:tcPr>
          <w:p w14:paraId="5E93CAB9" w14:textId="77777777" w:rsidR="00C719A9" w:rsidRPr="007B5B98" w:rsidRDefault="00C719A9" w:rsidP="008436A0">
            <w:pPr>
              <w:pStyle w:val="af3"/>
              <w:rPr>
                <w:rFonts w:cs="Times New Roman"/>
                <w:szCs w:val="20"/>
                <w:lang w:eastAsia="ru-RU"/>
              </w:rPr>
            </w:pPr>
            <w:r w:rsidRPr="007B5B98">
              <w:rPr>
                <w:rFonts w:cs="Times New Roman"/>
                <w:szCs w:val="20"/>
                <w:lang w:eastAsia="ru-RU"/>
              </w:rPr>
              <w:t>75</w:t>
            </w:r>
          </w:p>
        </w:tc>
        <w:tc>
          <w:tcPr>
            <w:tcW w:w="2899" w:type="dxa"/>
            <w:tcBorders>
              <w:top w:val="nil"/>
              <w:left w:val="nil"/>
              <w:bottom w:val="single" w:sz="4" w:space="0" w:color="auto"/>
              <w:right w:val="single" w:sz="4" w:space="0" w:color="auto"/>
            </w:tcBorders>
            <w:shd w:val="clear" w:color="auto" w:fill="auto"/>
            <w:noWrap/>
            <w:vAlign w:val="bottom"/>
            <w:hideMark/>
          </w:tcPr>
          <w:p w14:paraId="66D50D78" w14:textId="77777777" w:rsidR="00C719A9" w:rsidRPr="007B5B98" w:rsidRDefault="00C719A9" w:rsidP="008436A0">
            <w:pPr>
              <w:pStyle w:val="af3"/>
              <w:rPr>
                <w:rFonts w:cs="Times New Roman"/>
                <w:szCs w:val="20"/>
                <w:lang w:eastAsia="ru-RU"/>
              </w:rPr>
            </w:pPr>
            <w:r w:rsidRPr="007B5B98">
              <w:rPr>
                <w:rFonts w:cs="Times New Roman"/>
                <w:szCs w:val="20"/>
                <w:lang w:eastAsia="ru-RU"/>
              </w:rPr>
              <w:t>Росинжиниринг</w:t>
            </w:r>
          </w:p>
        </w:tc>
        <w:tc>
          <w:tcPr>
            <w:tcW w:w="2899" w:type="dxa"/>
            <w:tcBorders>
              <w:top w:val="nil"/>
              <w:left w:val="nil"/>
              <w:bottom w:val="single" w:sz="4" w:space="0" w:color="auto"/>
              <w:right w:val="single" w:sz="4" w:space="0" w:color="auto"/>
            </w:tcBorders>
            <w:shd w:val="clear" w:color="auto" w:fill="auto"/>
            <w:noWrap/>
            <w:vAlign w:val="bottom"/>
            <w:hideMark/>
          </w:tcPr>
          <w:p w14:paraId="1672B4E0"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4991A7A7"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05F0A62B"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1A73C9" w14:textId="77777777" w:rsidR="00C719A9" w:rsidRPr="007B5B98" w:rsidRDefault="00C719A9" w:rsidP="008436A0">
            <w:pPr>
              <w:pStyle w:val="af3"/>
              <w:rPr>
                <w:b/>
                <w:sz w:val="24"/>
                <w:lang w:eastAsia="ru-RU"/>
              </w:rPr>
            </w:pPr>
            <w:r w:rsidRPr="007B5B98">
              <w:rPr>
                <w:b/>
                <w:sz w:val="24"/>
                <w:lang w:eastAsia="ru-RU"/>
              </w:rPr>
              <w:t>9</w:t>
            </w:r>
          </w:p>
        </w:tc>
        <w:tc>
          <w:tcPr>
            <w:tcW w:w="1794" w:type="dxa"/>
            <w:tcBorders>
              <w:top w:val="nil"/>
              <w:left w:val="nil"/>
              <w:bottom w:val="single" w:sz="4" w:space="0" w:color="auto"/>
              <w:right w:val="single" w:sz="4" w:space="0" w:color="auto"/>
            </w:tcBorders>
            <w:shd w:val="clear" w:color="auto" w:fill="auto"/>
            <w:noWrap/>
            <w:vAlign w:val="bottom"/>
            <w:hideMark/>
          </w:tcPr>
          <w:p w14:paraId="40D8D4B0" w14:textId="77777777" w:rsidR="00C719A9" w:rsidRPr="007B5B98" w:rsidRDefault="00C719A9" w:rsidP="008436A0">
            <w:pPr>
              <w:pStyle w:val="af3"/>
              <w:rPr>
                <w:rFonts w:cs="Times New Roman"/>
                <w:szCs w:val="20"/>
                <w:lang w:eastAsia="ru-RU"/>
              </w:rPr>
            </w:pPr>
            <w:r w:rsidRPr="007B5B98">
              <w:rPr>
                <w:rFonts w:cs="Times New Roman"/>
                <w:szCs w:val="20"/>
                <w:lang w:eastAsia="ru-RU"/>
              </w:rPr>
              <w:t>82</w:t>
            </w:r>
          </w:p>
        </w:tc>
        <w:tc>
          <w:tcPr>
            <w:tcW w:w="2899" w:type="dxa"/>
            <w:tcBorders>
              <w:top w:val="nil"/>
              <w:left w:val="nil"/>
              <w:bottom w:val="single" w:sz="4" w:space="0" w:color="auto"/>
              <w:right w:val="single" w:sz="4" w:space="0" w:color="auto"/>
            </w:tcBorders>
            <w:shd w:val="clear" w:color="auto" w:fill="auto"/>
            <w:noWrap/>
            <w:vAlign w:val="bottom"/>
            <w:hideMark/>
          </w:tcPr>
          <w:p w14:paraId="596448B7" w14:textId="77777777" w:rsidR="00C719A9" w:rsidRPr="007B5B98" w:rsidRDefault="00C719A9" w:rsidP="008436A0">
            <w:pPr>
              <w:pStyle w:val="af3"/>
              <w:rPr>
                <w:rFonts w:cs="Times New Roman"/>
                <w:szCs w:val="20"/>
                <w:lang w:eastAsia="ru-RU"/>
              </w:rPr>
            </w:pPr>
            <w:r w:rsidRPr="007B5B98">
              <w:rPr>
                <w:rFonts w:cs="Times New Roman"/>
                <w:szCs w:val="20"/>
                <w:lang w:eastAsia="ru-RU"/>
              </w:rPr>
              <w:t>СК Мост</w:t>
            </w:r>
          </w:p>
        </w:tc>
        <w:tc>
          <w:tcPr>
            <w:tcW w:w="2899" w:type="dxa"/>
            <w:tcBorders>
              <w:top w:val="nil"/>
              <w:left w:val="nil"/>
              <w:bottom w:val="single" w:sz="4" w:space="0" w:color="auto"/>
              <w:right w:val="single" w:sz="4" w:space="0" w:color="auto"/>
            </w:tcBorders>
            <w:shd w:val="clear" w:color="auto" w:fill="auto"/>
            <w:noWrap/>
            <w:vAlign w:val="bottom"/>
            <w:hideMark/>
          </w:tcPr>
          <w:p w14:paraId="77467A15"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65C65D28"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048DBE81"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2382E7" w14:textId="77777777" w:rsidR="00C719A9" w:rsidRPr="007B5B98" w:rsidRDefault="00C719A9" w:rsidP="008436A0">
            <w:pPr>
              <w:pStyle w:val="af3"/>
              <w:rPr>
                <w:b/>
                <w:sz w:val="24"/>
                <w:lang w:eastAsia="ru-RU"/>
              </w:rPr>
            </w:pPr>
            <w:r w:rsidRPr="007B5B98">
              <w:rPr>
                <w:b/>
                <w:sz w:val="24"/>
                <w:lang w:eastAsia="ru-RU"/>
              </w:rPr>
              <w:t>10</w:t>
            </w:r>
          </w:p>
        </w:tc>
        <w:tc>
          <w:tcPr>
            <w:tcW w:w="1794" w:type="dxa"/>
            <w:tcBorders>
              <w:top w:val="nil"/>
              <w:left w:val="nil"/>
              <w:bottom w:val="single" w:sz="4" w:space="0" w:color="auto"/>
              <w:right w:val="single" w:sz="4" w:space="0" w:color="auto"/>
            </w:tcBorders>
            <w:shd w:val="clear" w:color="auto" w:fill="auto"/>
            <w:noWrap/>
            <w:vAlign w:val="bottom"/>
            <w:hideMark/>
          </w:tcPr>
          <w:p w14:paraId="7961DC77" w14:textId="77777777" w:rsidR="00C719A9" w:rsidRPr="007B5B98" w:rsidRDefault="00C719A9" w:rsidP="008436A0">
            <w:pPr>
              <w:pStyle w:val="af3"/>
              <w:rPr>
                <w:rFonts w:cs="Times New Roman"/>
                <w:szCs w:val="20"/>
                <w:lang w:eastAsia="ru-RU"/>
              </w:rPr>
            </w:pPr>
            <w:r w:rsidRPr="007B5B98">
              <w:rPr>
                <w:rFonts w:cs="Times New Roman"/>
                <w:szCs w:val="20"/>
                <w:lang w:eastAsia="ru-RU"/>
              </w:rPr>
              <w:t>84</w:t>
            </w:r>
          </w:p>
        </w:tc>
        <w:tc>
          <w:tcPr>
            <w:tcW w:w="2899" w:type="dxa"/>
            <w:tcBorders>
              <w:top w:val="nil"/>
              <w:left w:val="nil"/>
              <w:bottom w:val="single" w:sz="4" w:space="0" w:color="auto"/>
              <w:right w:val="single" w:sz="4" w:space="0" w:color="auto"/>
            </w:tcBorders>
            <w:shd w:val="clear" w:color="auto" w:fill="auto"/>
            <w:noWrap/>
            <w:vAlign w:val="bottom"/>
            <w:hideMark/>
          </w:tcPr>
          <w:p w14:paraId="3A53A782" w14:textId="77777777" w:rsidR="00C719A9" w:rsidRPr="007B5B98" w:rsidRDefault="00C719A9" w:rsidP="008436A0">
            <w:pPr>
              <w:pStyle w:val="af3"/>
              <w:rPr>
                <w:rFonts w:cs="Times New Roman"/>
                <w:szCs w:val="20"/>
                <w:lang w:eastAsia="ru-RU"/>
              </w:rPr>
            </w:pPr>
            <w:r w:rsidRPr="007B5B98">
              <w:rPr>
                <w:rFonts w:cs="Times New Roman"/>
                <w:szCs w:val="20"/>
                <w:lang w:eastAsia="ru-RU"/>
              </w:rPr>
              <w:t>Группа ЛСР</w:t>
            </w:r>
          </w:p>
        </w:tc>
        <w:tc>
          <w:tcPr>
            <w:tcW w:w="2899" w:type="dxa"/>
            <w:tcBorders>
              <w:top w:val="nil"/>
              <w:left w:val="nil"/>
              <w:bottom w:val="single" w:sz="4" w:space="0" w:color="auto"/>
              <w:right w:val="single" w:sz="4" w:space="0" w:color="auto"/>
            </w:tcBorders>
            <w:shd w:val="clear" w:color="auto" w:fill="auto"/>
            <w:noWrap/>
            <w:vAlign w:val="bottom"/>
            <w:hideMark/>
          </w:tcPr>
          <w:p w14:paraId="364DFDD2" w14:textId="77777777" w:rsidR="00C719A9" w:rsidRPr="007B5B98" w:rsidRDefault="00C719A9" w:rsidP="008436A0">
            <w:pPr>
              <w:pStyle w:val="af3"/>
              <w:rPr>
                <w:rFonts w:cs="Times New Roman"/>
                <w:szCs w:val="20"/>
                <w:lang w:eastAsia="ru-RU"/>
              </w:rPr>
            </w:pPr>
            <w:r w:rsidRPr="007B5B98">
              <w:rPr>
                <w:rFonts w:cs="Times New Roman"/>
                <w:szCs w:val="20"/>
                <w:lang w:eastAsia="ru-RU"/>
              </w:rPr>
              <w:t>Санкт-Петербург</w:t>
            </w:r>
          </w:p>
        </w:tc>
        <w:tc>
          <w:tcPr>
            <w:tcW w:w="2006" w:type="dxa"/>
            <w:tcBorders>
              <w:top w:val="nil"/>
              <w:left w:val="nil"/>
              <w:bottom w:val="single" w:sz="4" w:space="0" w:color="auto"/>
              <w:right w:val="single" w:sz="4" w:space="0" w:color="auto"/>
            </w:tcBorders>
            <w:shd w:val="clear" w:color="auto" w:fill="auto"/>
            <w:noWrap/>
            <w:vAlign w:val="bottom"/>
            <w:hideMark/>
          </w:tcPr>
          <w:p w14:paraId="690F21BA"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1F2D392F"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D21DD9" w14:textId="77777777" w:rsidR="00C719A9" w:rsidRPr="007B5B98" w:rsidRDefault="00C719A9" w:rsidP="008436A0">
            <w:pPr>
              <w:pStyle w:val="af3"/>
              <w:rPr>
                <w:b/>
                <w:sz w:val="24"/>
                <w:lang w:eastAsia="ru-RU"/>
              </w:rPr>
            </w:pPr>
            <w:r w:rsidRPr="007B5B98">
              <w:rPr>
                <w:b/>
                <w:sz w:val="24"/>
                <w:lang w:eastAsia="ru-RU"/>
              </w:rPr>
              <w:t>11</w:t>
            </w:r>
          </w:p>
        </w:tc>
        <w:tc>
          <w:tcPr>
            <w:tcW w:w="1794" w:type="dxa"/>
            <w:tcBorders>
              <w:top w:val="nil"/>
              <w:left w:val="nil"/>
              <w:bottom w:val="single" w:sz="4" w:space="0" w:color="auto"/>
              <w:right w:val="single" w:sz="4" w:space="0" w:color="auto"/>
            </w:tcBorders>
            <w:shd w:val="clear" w:color="auto" w:fill="auto"/>
            <w:noWrap/>
            <w:vAlign w:val="bottom"/>
            <w:hideMark/>
          </w:tcPr>
          <w:p w14:paraId="33CFF682" w14:textId="77777777" w:rsidR="00C719A9" w:rsidRPr="007B5B98" w:rsidRDefault="00C719A9" w:rsidP="008436A0">
            <w:pPr>
              <w:pStyle w:val="af3"/>
              <w:rPr>
                <w:rFonts w:cs="Times New Roman"/>
                <w:szCs w:val="20"/>
                <w:lang w:eastAsia="ru-RU"/>
              </w:rPr>
            </w:pPr>
            <w:r w:rsidRPr="007B5B98">
              <w:rPr>
                <w:rFonts w:cs="Times New Roman"/>
                <w:szCs w:val="20"/>
                <w:lang w:eastAsia="ru-RU"/>
              </w:rPr>
              <w:t>88</w:t>
            </w:r>
          </w:p>
        </w:tc>
        <w:tc>
          <w:tcPr>
            <w:tcW w:w="2899" w:type="dxa"/>
            <w:tcBorders>
              <w:top w:val="nil"/>
              <w:left w:val="nil"/>
              <w:bottom w:val="single" w:sz="4" w:space="0" w:color="auto"/>
              <w:right w:val="single" w:sz="4" w:space="0" w:color="auto"/>
            </w:tcBorders>
            <w:shd w:val="clear" w:color="auto" w:fill="auto"/>
            <w:noWrap/>
            <w:vAlign w:val="bottom"/>
            <w:hideMark/>
          </w:tcPr>
          <w:p w14:paraId="4C30A98D" w14:textId="77777777" w:rsidR="00C719A9" w:rsidRPr="007B5B98" w:rsidRDefault="00C719A9" w:rsidP="008436A0">
            <w:pPr>
              <w:pStyle w:val="af3"/>
              <w:rPr>
                <w:rFonts w:cs="Times New Roman"/>
                <w:szCs w:val="20"/>
                <w:lang w:eastAsia="ru-RU"/>
              </w:rPr>
            </w:pPr>
            <w:r w:rsidRPr="007B5B98">
              <w:rPr>
                <w:rFonts w:cs="Times New Roman"/>
                <w:szCs w:val="20"/>
                <w:lang w:eastAsia="ru-RU"/>
              </w:rPr>
              <w:t>Группа компаний ПИК</w:t>
            </w:r>
          </w:p>
        </w:tc>
        <w:tc>
          <w:tcPr>
            <w:tcW w:w="2899" w:type="dxa"/>
            <w:tcBorders>
              <w:top w:val="nil"/>
              <w:left w:val="nil"/>
              <w:bottom w:val="single" w:sz="4" w:space="0" w:color="auto"/>
              <w:right w:val="single" w:sz="4" w:space="0" w:color="auto"/>
            </w:tcBorders>
            <w:shd w:val="clear" w:color="auto" w:fill="auto"/>
            <w:noWrap/>
            <w:vAlign w:val="bottom"/>
            <w:hideMark/>
          </w:tcPr>
          <w:p w14:paraId="01E55547"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56052A1B"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1C4AA7E1"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4F795B8" w14:textId="77777777" w:rsidR="00C719A9" w:rsidRPr="007B5B98" w:rsidRDefault="00C719A9" w:rsidP="008436A0">
            <w:pPr>
              <w:pStyle w:val="af3"/>
              <w:rPr>
                <w:b/>
                <w:sz w:val="24"/>
                <w:lang w:eastAsia="ru-RU"/>
              </w:rPr>
            </w:pPr>
            <w:r w:rsidRPr="007B5B98">
              <w:rPr>
                <w:b/>
                <w:sz w:val="24"/>
                <w:lang w:eastAsia="ru-RU"/>
              </w:rPr>
              <w:t>12</w:t>
            </w:r>
          </w:p>
        </w:tc>
        <w:tc>
          <w:tcPr>
            <w:tcW w:w="1794" w:type="dxa"/>
            <w:tcBorders>
              <w:top w:val="nil"/>
              <w:left w:val="nil"/>
              <w:bottom w:val="single" w:sz="4" w:space="0" w:color="auto"/>
              <w:right w:val="single" w:sz="4" w:space="0" w:color="auto"/>
            </w:tcBorders>
            <w:shd w:val="clear" w:color="auto" w:fill="auto"/>
            <w:noWrap/>
            <w:vAlign w:val="bottom"/>
            <w:hideMark/>
          </w:tcPr>
          <w:p w14:paraId="49377EEC" w14:textId="77777777" w:rsidR="00C719A9" w:rsidRPr="007B5B98" w:rsidRDefault="00C719A9" w:rsidP="008436A0">
            <w:pPr>
              <w:pStyle w:val="af3"/>
              <w:rPr>
                <w:rFonts w:cs="Times New Roman"/>
                <w:szCs w:val="20"/>
                <w:lang w:eastAsia="ru-RU"/>
              </w:rPr>
            </w:pPr>
            <w:r w:rsidRPr="007B5B98">
              <w:rPr>
                <w:rFonts w:cs="Times New Roman"/>
                <w:szCs w:val="20"/>
                <w:lang w:eastAsia="ru-RU"/>
              </w:rPr>
              <w:t>107</w:t>
            </w:r>
          </w:p>
        </w:tc>
        <w:tc>
          <w:tcPr>
            <w:tcW w:w="2899" w:type="dxa"/>
            <w:tcBorders>
              <w:top w:val="nil"/>
              <w:left w:val="nil"/>
              <w:bottom w:val="single" w:sz="4" w:space="0" w:color="auto"/>
              <w:right w:val="single" w:sz="4" w:space="0" w:color="auto"/>
            </w:tcBorders>
            <w:shd w:val="clear" w:color="auto" w:fill="auto"/>
            <w:noWrap/>
            <w:vAlign w:val="bottom"/>
            <w:hideMark/>
          </w:tcPr>
          <w:p w14:paraId="710CFDB8" w14:textId="77777777" w:rsidR="00C719A9" w:rsidRPr="007B5B98" w:rsidRDefault="00C719A9" w:rsidP="008436A0">
            <w:pPr>
              <w:pStyle w:val="af3"/>
              <w:rPr>
                <w:rFonts w:cs="Times New Roman"/>
                <w:szCs w:val="20"/>
                <w:lang w:eastAsia="ru-RU"/>
              </w:rPr>
            </w:pPr>
            <w:r w:rsidRPr="007B5B98">
              <w:rPr>
                <w:rFonts w:cs="Times New Roman"/>
                <w:szCs w:val="20"/>
                <w:lang w:eastAsia="ru-RU"/>
              </w:rPr>
              <w:t>Трансюжстрой</w:t>
            </w:r>
          </w:p>
        </w:tc>
        <w:tc>
          <w:tcPr>
            <w:tcW w:w="2899" w:type="dxa"/>
            <w:tcBorders>
              <w:top w:val="nil"/>
              <w:left w:val="nil"/>
              <w:bottom w:val="single" w:sz="4" w:space="0" w:color="auto"/>
              <w:right w:val="single" w:sz="4" w:space="0" w:color="auto"/>
            </w:tcBorders>
            <w:shd w:val="clear" w:color="auto" w:fill="auto"/>
            <w:noWrap/>
            <w:vAlign w:val="bottom"/>
            <w:hideMark/>
          </w:tcPr>
          <w:p w14:paraId="1A6E81D1" w14:textId="5CD6674F" w:rsidR="00C719A9" w:rsidRPr="007B5B98" w:rsidRDefault="00062602" w:rsidP="008436A0">
            <w:pPr>
              <w:pStyle w:val="af3"/>
              <w:rPr>
                <w:rFonts w:cs="Times New Roman"/>
                <w:szCs w:val="20"/>
                <w:lang w:eastAsia="ru-RU"/>
              </w:rPr>
            </w:pPr>
            <w:r w:rsidRPr="007B5B98">
              <w:rPr>
                <w:rFonts w:cs="Times New Roman"/>
                <w:szCs w:val="20"/>
                <w:lang w:eastAsia="ru-RU"/>
              </w:rPr>
              <w:t>Белгород</w:t>
            </w:r>
          </w:p>
        </w:tc>
        <w:tc>
          <w:tcPr>
            <w:tcW w:w="2006" w:type="dxa"/>
            <w:tcBorders>
              <w:top w:val="nil"/>
              <w:left w:val="nil"/>
              <w:bottom w:val="single" w:sz="4" w:space="0" w:color="auto"/>
              <w:right w:val="single" w:sz="4" w:space="0" w:color="auto"/>
            </w:tcBorders>
            <w:shd w:val="clear" w:color="auto" w:fill="auto"/>
            <w:noWrap/>
            <w:vAlign w:val="bottom"/>
            <w:hideMark/>
          </w:tcPr>
          <w:p w14:paraId="1C770013"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2E4E0668"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172772" w14:textId="77777777" w:rsidR="00C719A9" w:rsidRPr="007B5B98" w:rsidRDefault="00C719A9" w:rsidP="008436A0">
            <w:pPr>
              <w:pStyle w:val="af3"/>
              <w:rPr>
                <w:b/>
                <w:sz w:val="24"/>
                <w:lang w:eastAsia="ru-RU"/>
              </w:rPr>
            </w:pPr>
            <w:r w:rsidRPr="007B5B98">
              <w:rPr>
                <w:b/>
                <w:sz w:val="24"/>
                <w:lang w:eastAsia="ru-RU"/>
              </w:rPr>
              <w:t>13</w:t>
            </w:r>
          </w:p>
        </w:tc>
        <w:tc>
          <w:tcPr>
            <w:tcW w:w="1794" w:type="dxa"/>
            <w:tcBorders>
              <w:top w:val="nil"/>
              <w:left w:val="nil"/>
              <w:bottom w:val="single" w:sz="4" w:space="0" w:color="auto"/>
              <w:right w:val="single" w:sz="4" w:space="0" w:color="auto"/>
            </w:tcBorders>
            <w:shd w:val="clear" w:color="auto" w:fill="auto"/>
            <w:noWrap/>
            <w:vAlign w:val="bottom"/>
            <w:hideMark/>
          </w:tcPr>
          <w:p w14:paraId="4E512FE8" w14:textId="77777777" w:rsidR="00C719A9" w:rsidRPr="007B5B98" w:rsidRDefault="00C719A9" w:rsidP="008436A0">
            <w:pPr>
              <w:pStyle w:val="af3"/>
              <w:rPr>
                <w:rFonts w:cs="Times New Roman"/>
                <w:szCs w:val="20"/>
                <w:lang w:eastAsia="ru-RU"/>
              </w:rPr>
            </w:pPr>
            <w:r w:rsidRPr="007B5B98">
              <w:rPr>
                <w:rFonts w:cs="Times New Roman"/>
                <w:szCs w:val="20"/>
                <w:lang w:eastAsia="ru-RU"/>
              </w:rPr>
              <w:t>111</w:t>
            </w:r>
          </w:p>
        </w:tc>
        <w:tc>
          <w:tcPr>
            <w:tcW w:w="2899" w:type="dxa"/>
            <w:tcBorders>
              <w:top w:val="nil"/>
              <w:left w:val="nil"/>
              <w:bottom w:val="single" w:sz="4" w:space="0" w:color="auto"/>
              <w:right w:val="single" w:sz="4" w:space="0" w:color="auto"/>
            </w:tcBorders>
            <w:shd w:val="clear" w:color="auto" w:fill="auto"/>
            <w:noWrap/>
            <w:vAlign w:val="bottom"/>
            <w:hideMark/>
          </w:tcPr>
          <w:p w14:paraId="1BA7BBEA"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Мортон</w:t>
            </w:r>
          </w:p>
        </w:tc>
        <w:tc>
          <w:tcPr>
            <w:tcW w:w="2899" w:type="dxa"/>
            <w:tcBorders>
              <w:top w:val="nil"/>
              <w:left w:val="nil"/>
              <w:bottom w:val="single" w:sz="4" w:space="0" w:color="auto"/>
              <w:right w:val="single" w:sz="4" w:space="0" w:color="auto"/>
            </w:tcBorders>
            <w:shd w:val="clear" w:color="auto" w:fill="auto"/>
            <w:noWrap/>
            <w:vAlign w:val="bottom"/>
            <w:hideMark/>
          </w:tcPr>
          <w:p w14:paraId="0CE0B150"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22FF1179"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04D339B6"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2588725" w14:textId="77777777" w:rsidR="00C719A9" w:rsidRPr="007B5B98" w:rsidRDefault="00C719A9" w:rsidP="008436A0">
            <w:pPr>
              <w:pStyle w:val="af3"/>
              <w:rPr>
                <w:b/>
                <w:sz w:val="24"/>
                <w:lang w:eastAsia="ru-RU"/>
              </w:rPr>
            </w:pPr>
            <w:r w:rsidRPr="007B5B98">
              <w:rPr>
                <w:b/>
                <w:sz w:val="24"/>
                <w:lang w:eastAsia="ru-RU"/>
              </w:rPr>
              <w:t>14</w:t>
            </w:r>
          </w:p>
        </w:tc>
        <w:tc>
          <w:tcPr>
            <w:tcW w:w="1794" w:type="dxa"/>
            <w:tcBorders>
              <w:top w:val="nil"/>
              <w:left w:val="nil"/>
              <w:bottom w:val="single" w:sz="4" w:space="0" w:color="auto"/>
              <w:right w:val="single" w:sz="4" w:space="0" w:color="auto"/>
            </w:tcBorders>
            <w:shd w:val="clear" w:color="auto" w:fill="auto"/>
            <w:noWrap/>
            <w:vAlign w:val="bottom"/>
            <w:hideMark/>
          </w:tcPr>
          <w:p w14:paraId="1945553C" w14:textId="77777777" w:rsidR="00C719A9" w:rsidRPr="007B5B98" w:rsidRDefault="00C719A9" w:rsidP="008436A0">
            <w:pPr>
              <w:pStyle w:val="af3"/>
              <w:rPr>
                <w:rFonts w:cs="Times New Roman"/>
                <w:szCs w:val="20"/>
                <w:lang w:eastAsia="ru-RU"/>
              </w:rPr>
            </w:pPr>
            <w:r w:rsidRPr="007B5B98">
              <w:rPr>
                <w:rFonts w:cs="Times New Roman"/>
                <w:szCs w:val="20"/>
                <w:lang w:eastAsia="ru-RU"/>
              </w:rPr>
              <w:t>126</w:t>
            </w:r>
          </w:p>
        </w:tc>
        <w:tc>
          <w:tcPr>
            <w:tcW w:w="2899" w:type="dxa"/>
            <w:tcBorders>
              <w:top w:val="nil"/>
              <w:left w:val="nil"/>
              <w:bottom w:val="single" w:sz="4" w:space="0" w:color="auto"/>
              <w:right w:val="single" w:sz="4" w:space="0" w:color="auto"/>
            </w:tcBorders>
            <w:shd w:val="clear" w:color="auto" w:fill="auto"/>
            <w:noWrap/>
            <w:vAlign w:val="bottom"/>
            <w:hideMark/>
          </w:tcPr>
          <w:p w14:paraId="13E39A85" w14:textId="77777777" w:rsidR="00C719A9" w:rsidRPr="007B5B98" w:rsidRDefault="00C719A9" w:rsidP="008436A0">
            <w:pPr>
              <w:pStyle w:val="af3"/>
              <w:rPr>
                <w:rFonts w:cs="Times New Roman"/>
                <w:szCs w:val="20"/>
                <w:lang w:eastAsia="ru-RU"/>
              </w:rPr>
            </w:pPr>
            <w:r w:rsidRPr="007B5B98">
              <w:rPr>
                <w:rFonts w:cs="Times New Roman"/>
                <w:szCs w:val="20"/>
                <w:lang w:eastAsia="ru-RU"/>
              </w:rPr>
              <w:t>Глобалстрой-Инжиниринг</w:t>
            </w:r>
          </w:p>
        </w:tc>
        <w:tc>
          <w:tcPr>
            <w:tcW w:w="2899" w:type="dxa"/>
            <w:tcBorders>
              <w:top w:val="nil"/>
              <w:left w:val="nil"/>
              <w:bottom w:val="single" w:sz="4" w:space="0" w:color="auto"/>
              <w:right w:val="single" w:sz="4" w:space="0" w:color="auto"/>
            </w:tcBorders>
            <w:shd w:val="clear" w:color="auto" w:fill="auto"/>
            <w:noWrap/>
            <w:vAlign w:val="bottom"/>
            <w:hideMark/>
          </w:tcPr>
          <w:p w14:paraId="1DABA1E2"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5C6E0C1A" w14:textId="77777777" w:rsidR="00C719A9" w:rsidRPr="007B5B98" w:rsidRDefault="00C719A9" w:rsidP="008436A0">
            <w:pPr>
              <w:pStyle w:val="af3"/>
              <w:rPr>
                <w:rFonts w:cs="Times New Roman"/>
                <w:szCs w:val="20"/>
                <w:lang w:eastAsia="ru-RU"/>
              </w:rPr>
            </w:pPr>
            <w:r w:rsidRPr="007B5B98">
              <w:rPr>
                <w:rFonts w:cs="Times New Roman"/>
                <w:szCs w:val="20"/>
                <w:lang w:eastAsia="ru-RU"/>
              </w:rPr>
              <w:t>да</w:t>
            </w:r>
          </w:p>
        </w:tc>
      </w:tr>
      <w:tr w:rsidR="00C719A9" w:rsidRPr="00C719A9" w14:paraId="3674A0F5"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599CB0" w14:textId="77777777" w:rsidR="00C719A9" w:rsidRPr="007B5B98" w:rsidRDefault="00C719A9" w:rsidP="008436A0">
            <w:pPr>
              <w:pStyle w:val="af3"/>
              <w:rPr>
                <w:b/>
                <w:sz w:val="24"/>
                <w:lang w:eastAsia="ru-RU"/>
              </w:rPr>
            </w:pPr>
            <w:r w:rsidRPr="007B5B98">
              <w:rPr>
                <w:b/>
                <w:sz w:val="24"/>
                <w:lang w:eastAsia="ru-RU"/>
              </w:rPr>
              <w:t>15</w:t>
            </w:r>
          </w:p>
        </w:tc>
        <w:tc>
          <w:tcPr>
            <w:tcW w:w="1794" w:type="dxa"/>
            <w:tcBorders>
              <w:top w:val="nil"/>
              <w:left w:val="nil"/>
              <w:bottom w:val="single" w:sz="4" w:space="0" w:color="auto"/>
              <w:right w:val="single" w:sz="4" w:space="0" w:color="auto"/>
            </w:tcBorders>
            <w:shd w:val="clear" w:color="auto" w:fill="auto"/>
            <w:noWrap/>
            <w:vAlign w:val="bottom"/>
            <w:hideMark/>
          </w:tcPr>
          <w:p w14:paraId="26DCCDCD" w14:textId="77777777" w:rsidR="00C719A9" w:rsidRPr="007B5B98" w:rsidRDefault="00C719A9" w:rsidP="008436A0">
            <w:pPr>
              <w:pStyle w:val="af3"/>
              <w:rPr>
                <w:rFonts w:cs="Times New Roman"/>
                <w:szCs w:val="20"/>
                <w:lang w:eastAsia="ru-RU"/>
              </w:rPr>
            </w:pPr>
            <w:r w:rsidRPr="007B5B98">
              <w:rPr>
                <w:rFonts w:cs="Times New Roman"/>
                <w:szCs w:val="20"/>
                <w:lang w:eastAsia="ru-RU"/>
              </w:rPr>
              <w:t>134</w:t>
            </w:r>
          </w:p>
        </w:tc>
        <w:tc>
          <w:tcPr>
            <w:tcW w:w="2899" w:type="dxa"/>
            <w:tcBorders>
              <w:top w:val="nil"/>
              <w:left w:val="nil"/>
              <w:bottom w:val="single" w:sz="4" w:space="0" w:color="auto"/>
              <w:right w:val="single" w:sz="4" w:space="0" w:color="auto"/>
            </w:tcBorders>
            <w:shd w:val="clear" w:color="auto" w:fill="auto"/>
            <w:noWrap/>
            <w:vAlign w:val="bottom"/>
            <w:hideMark/>
          </w:tcPr>
          <w:p w14:paraId="7FCFFE58" w14:textId="77777777" w:rsidR="00C719A9" w:rsidRPr="007B5B98" w:rsidRDefault="00C719A9" w:rsidP="008436A0">
            <w:pPr>
              <w:pStyle w:val="af3"/>
              <w:rPr>
                <w:rFonts w:cs="Times New Roman"/>
                <w:szCs w:val="20"/>
                <w:lang w:eastAsia="ru-RU"/>
              </w:rPr>
            </w:pPr>
            <w:r w:rsidRPr="007B5B98">
              <w:rPr>
                <w:rFonts w:cs="Times New Roman"/>
                <w:szCs w:val="20"/>
                <w:lang w:eastAsia="ru-RU"/>
              </w:rPr>
              <w:t>ФСК Лидер</w:t>
            </w:r>
          </w:p>
        </w:tc>
        <w:tc>
          <w:tcPr>
            <w:tcW w:w="2899" w:type="dxa"/>
            <w:tcBorders>
              <w:top w:val="nil"/>
              <w:left w:val="nil"/>
              <w:bottom w:val="single" w:sz="4" w:space="0" w:color="auto"/>
              <w:right w:val="single" w:sz="4" w:space="0" w:color="auto"/>
            </w:tcBorders>
            <w:shd w:val="clear" w:color="auto" w:fill="auto"/>
            <w:noWrap/>
            <w:vAlign w:val="bottom"/>
            <w:hideMark/>
          </w:tcPr>
          <w:p w14:paraId="695D841B"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43A1EFAD"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7561D96A"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4F9A11" w14:textId="77777777" w:rsidR="00C719A9" w:rsidRPr="007B5B98" w:rsidRDefault="00C719A9" w:rsidP="008436A0">
            <w:pPr>
              <w:pStyle w:val="af3"/>
              <w:rPr>
                <w:b/>
                <w:sz w:val="24"/>
                <w:lang w:eastAsia="ru-RU"/>
              </w:rPr>
            </w:pPr>
            <w:r w:rsidRPr="007B5B98">
              <w:rPr>
                <w:b/>
                <w:sz w:val="24"/>
                <w:lang w:eastAsia="ru-RU"/>
              </w:rPr>
              <w:t>16</w:t>
            </w:r>
          </w:p>
        </w:tc>
        <w:tc>
          <w:tcPr>
            <w:tcW w:w="1794" w:type="dxa"/>
            <w:tcBorders>
              <w:top w:val="nil"/>
              <w:left w:val="nil"/>
              <w:bottom w:val="single" w:sz="4" w:space="0" w:color="auto"/>
              <w:right w:val="single" w:sz="4" w:space="0" w:color="auto"/>
            </w:tcBorders>
            <w:shd w:val="clear" w:color="auto" w:fill="auto"/>
            <w:noWrap/>
            <w:vAlign w:val="bottom"/>
            <w:hideMark/>
          </w:tcPr>
          <w:p w14:paraId="0FD64775" w14:textId="77777777" w:rsidR="00C719A9" w:rsidRPr="007B5B98" w:rsidRDefault="00C719A9" w:rsidP="008436A0">
            <w:pPr>
              <w:pStyle w:val="af3"/>
              <w:rPr>
                <w:rFonts w:cs="Times New Roman"/>
                <w:szCs w:val="20"/>
                <w:lang w:eastAsia="ru-RU"/>
              </w:rPr>
            </w:pPr>
            <w:r w:rsidRPr="007B5B98">
              <w:rPr>
                <w:rFonts w:cs="Times New Roman"/>
                <w:szCs w:val="20"/>
                <w:lang w:eastAsia="ru-RU"/>
              </w:rPr>
              <w:t>135</w:t>
            </w:r>
          </w:p>
        </w:tc>
        <w:tc>
          <w:tcPr>
            <w:tcW w:w="2899" w:type="dxa"/>
            <w:tcBorders>
              <w:top w:val="nil"/>
              <w:left w:val="nil"/>
              <w:bottom w:val="single" w:sz="4" w:space="0" w:color="auto"/>
              <w:right w:val="single" w:sz="4" w:space="0" w:color="auto"/>
            </w:tcBorders>
            <w:shd w:val="clear" w:color="auto" w:fill="auto"/>
            <w:noWrap/>
            <w:vAlign w:val="bottom"/>
            <w:hideMark/>
          </w:tcPr>
          <w:p w14:paraId="2A801FB5" w14:textId="77777777" w:rsidR="00C719A9" w:rsidRPr="007B5B98" w:rsidRDefault="00C719A9" w:rsidP="008436A0">
            <w:pPr>
              <w:pStyle w:val="af3"/>
              <w:rPr>
                <w:rFonts w:cs="Times New Roman"/>
                <w:szCs w:val="20"/>
                <w:lang w:eastAsia="ru-RU"/>
              </w:rPr>
            </w:pPr>
            <w:r w:rsidRPr="007B5B98">
              <w:rPr>
                <w:rFonts w:cs="Times New Roman"/>
                <w:szCs w:val="20"/>
                <w:lang w:eastAsia="ru-RU"/>
              </w:rPr>
              <w:t>ДСК-1</w:t>
            </w:r>
          </w:p>
        </w:tc>
        <w:tc>
          <w:tcPr>
            <w:tcW w:w="2899" w:type="dxa"/>
            <w:tcBorders>
              <w:top w:val="nil"/>
              <w:left w:val="nil"/>
              <w:bottom w:val="single" w:sz="4" w:space="0" w:color="auto"/>
              <w:right w:val="single" w:sz="4" w:space="0" w:color="auto"/>
            </w:tcBorders>
            <w:shd w:val="clear" w:color="auto" w:fill="auto"/>
            <w:noWrap/>
            <w:vAlign w:val="bottom"/>
            <w:hideMark/>
          </w:tcPr>
          <w:p w14:paraId="104D322E"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7C8AD6DD"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2F92CE4E"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DE9E89" w14:textId="77777777" w:rsidR="00C719A9" w:rsidRPr="007B5B98" w:rsidRDefault="00C719A9" w:rsidP="008436A0">
            <w:pPr>
              <w:pStyle w:val="af3"/>
              <w:rPr>
                <w:b/>
                <w:sz w:val="24"/>
                <w:lang w:eastAsia="ru-RU"/>
              </w:rPr>
            </w:pPr>
            <w:r w:rsidRPr="007B5B98">
              <w:rPr>
                <w:b/>
                <w:sz w:val="24"/>
                <w:lang w:eastAsia="ru-RU"/>
              </w:rPr>
              <w:t>17</w:t>
            </w:r>
          </w:p>
        </w:tc>
        <w:tc>
          <w:tcPr>
            <w:tcW w:w="1794" w:type="dxa"/>
            <w:tcBorders>
              <w:top w:val="nil"/>
              <w:left w:val="nil"/>
              <w:bottom w:val="single" w:sz="4" w:space="0" w:color="auto"/>
              <w:right w:val="single" w:sz="4" w:space="0" w:color="auto"/>
            </w:tcBorders>
            <w:shd w:val="clear" w:color="auto" w:fill="auto"/>
            <w:noWrap/>
            <w:vAlign w:val="bottom"/>
            <w:hideMark/>
          </w:tcPr>
          <w:p w14:paraId="0874BE52" w14:textId="77777777" w:rsidR="00C719A9" w:rsidRPr="007B5B98" w:rsidRDefault="00C719A9" w:rsidP="008436A0">
            <w:pPr>
              <w:pStyle w:val="af3"/>
              <w:rPr>
                <w:rFonts w:cs="Times New Roman"/>
                <w:szCs w:val="20"/>
                <w:lang w:eastAsia="ru-RU"/>
              </w:rPr>
            </w:pPr>
            <w:r w:rsidRPr="007B5B98">
              <w:rPr>
                <w:rFonts w:cs="Times New Roman"/>
                <w:szCs w:val="20"/>
                <w:lang w:eastAsia="ru-RU"/>
              </w:rPr>
              <w:t>141</w:t>
            </w:r>
          </w:p>
        </w:tc>
        <w:tc>
          <w:tcPr>
            <w:tcW w:w="2899" w:type="dxa"/>
            <w:tcBorders>
              <w:top w:val="nil"/>
              <w:left w:val="nil"/>
              <w:bottom w:val="single" w:sz="4" w:space="0" w:color="auto"/>
              <w:right w:val="single" w:sz="4" w:space="0" w:color="auto"/>
            </w:tcBorders>
            <w:shd w:val="clear" w:color="auto" w:fill="auto"/>
            <w:noWrap/>
            <w:vAlign w:val="bottom"/>
            <w:hideMark/>
          </w:tcPr>
          <w:p w14:paraId="01B60D62" w14:textId="77777777" w:rsidR="00C719A9" w:rsidRPr="007B5B98" w:rsidRDefault="00C719A9" w:rsidP="008436A0">
            <w:pPr>
              <w:pStyle w:val="af3"/>
              <w:rPr>
                <w:rFonts w:cs="Times New Roman"/>
                <w:szCs w:val="20"/>
                <w:lang w:eastAsia="ru-RU"/>
              </w:rPr>
            </w:pPr>
            <w:r w:rsidRPr="007B5B98">
              <w:rPr>
                <w:rFonts w:cs="Times New Roman"/>
                <w:szCs w:val="20"/>
                <w:lang w:eastAsia="ru-RU"/>
              </w:rPr>
              <w:t>Ингеоком</w:t>
            </w:r>
          </w:p>
        </w:tc>
        <w:tc>
          <w:tcPr>
            <w:tcW w:w="2899" w:type="dxa"/>
            <w:tcBorders>
              <w:top w:val="nil"/>
              <w:left w:val="nil"/>
              <w:bottom w:val="single" w:sz="4" w:space="0" w:color="auto"/>
              <w:right w:val="single" w:sz="4" w:space="0" w:color="auto"/>
            </w:tcBorders>
            <w:shd w:val="clear" w:color="auto" w:fill="auto"/>
            <w:noWrap/>
            <w:vAlign w:val="bottom"/>
            <w:hideMark/>
          </w:tcPr>
          <w:p w14:paraId="402C27EB"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79042881"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6472164A"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01607A" w14:textId="77777777" w:rsidR="00C719A9" w:rsidRPr="007B5B98" w:rsidRDefault="00C719A9" w:rsidP="008436A0">
            <w:pPr>
              <w:pStyle w:val="af3"/>
              <w:rPr>
                <w:b/>
                <w:sz w:val="24"/>
                <w:lang w:eastAsia="ru-RU"/>
              </w:rPr>
            </w:pPr>
            <w:r w:rsidRPr="007B5B98">
              <w:rPr>
                <w:b/>
                <w:sz w:val="24"/>
                <w:lang w:eastAsia="ru-RU"/>
              </w:rPr>
              <w:t>18</w:t>
            </w:r>
          </w:p>
        </w:tc>
        <w:tc>
          <w:tcPr>
            <w:tcW w:w="1794" w:type="dxa"/>
            <w:tcBorders>
              <w:top w:val="nil"/>
              <w:left w:val="nil"/>
              <w:bottom w:val="single" w:sz="4" w:space="0" w:color="auto"/>
              <w:right w:val="single" w:sz="4" w:space="0" w:color="auto"/>
            </w:tcBorders>
            <w:shd w:val="clear" w:color="auto" w:fill="auto"/>
            <w:noWrap/>
            <w:vAlign w:val="bottom"/>
            <w:hideMark/>
          </w:tcPr>
          <w:p w14:paraId="05DEEF82" w14:textId="77777777" w:rsidR="00C719A9" w:rsidRPr="007B5B98" w:rsidRDefault="00C719A9" w:rsidP="008436A0">
            <w:pPr>
              <w:pStyle w:val="af3"/>
              <w:rPr>
                <w:rFonts w:cs="Times New Roman"/>
                <w:szCs w:val="20"/>
                <w:lang w:eastAsia="ru-RU"/>
              </w:rPr>
            </w:pPr>
            <w:r w:rsidRPr="007B5B98">
              <w:rPr>
                <w:rFonts w:cs="Times New Roman"/>
                <w:szCs w:val="20"/>
                <w:lang w:eastAsia="ru-RU"/>
              </w:rPr>
              <w:t>145</w:t>
            </w:r>
          </w:p>
        </w:tc>
        <w:tc>
          <w:tcPr>
            <w:tcW w:w="2899" w:type="dxa"/>
            <w:tcBorders>
              <w:top w:val="nil"/>
              <w:left w:val="nil"/>
              <w:bottom w:val="single" w:sz="4" w:space="0" w:color="auto"/>
              <w:right w:val="single" w:sz="4" w:space="0" w:color="auto"/>
            </w:tcBorders>
            <w:shd w:val="clear" w:color="auto" w:fill="auto"/>
            <w:noWrap/>
            <w:vAlign w:val="bottom"/>
            <w:hideMark/>
          </w:tcPr>
          <w:p w14:paraId="5496F0C5" w14:textId="77777777" w:rsidR="00C719A9" w:rsidRPr="007B5B98" w:rsidRDefault="00C719A9" w:rsidP="008436A0">
            <w:pPr>
              <w:pStyle w:val="af3"/>
              <w:rPr>
                <w:rFonts w:cs="Times New Roman"/>
                <w:szCs w:val="20"/>
                <w:lang w:eastAsia="ru-RU"/>
              </w:rPr>
            </w:pPr>
            <w:r w:rsidRPr="007B5B98">
              <w:rPr>
                <w:rFonts w:cs="Times New Roman"/>
                <w:szCs w:val="20"/>
                <w:lang w:eastAsia="ru-RU"/>
              </w:rPr>
              <w:t>Finstar</w:t>
            </w:r>
          </w:p>
        </w:tc>
        <w:tc>
          <w:tcPr>
            <w:tcW w:w="2899" w:type="dxa"/>
            <w:tcBorders>
              <w:top w:val="nil"/>
              <w:left w:val="nil"/>
              <w:bottom w:val="single" w:sz="4" w:space="0" w:color="auto"/>
              <w:right w:val="single" w:sz="4" w:space="0" w:color="auto"/>
            </w:tcBorders>
            <w:shd w:val="clear" w:color="auto" w:fill="auto"/>
            <w:noWrap/>
            <w:vAlign w:val="bottom"/>
            <w:hideMark/>
          </w:tcPr>
          <w:p w14:paraId="3D9F854A"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2BC94BEA"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6A8E861F"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CDFD43" w14:textId="77777777" w:rsidR="00C719A9" w:rsidRPr="007B5B98" w:rsidRDefault="00C719A9" w:rsidP="008436A0">
            <w:pPr>
              <w:pStyle w:val="af3"/>
              <w:rPr>
                <w:b/>
                <w:sz w:val="24"/>
                <w:lang w:eastAsia="ru-RU"/>
              </w:rPr>
            </w:pPr>
            <w:r w:rsidRPr="007B5B98">
              <w:rPr>
                <w:b/>
                <w:sz w:val="24"/>
                <w:lang w:eastAsia="ru-RU"/>
              </w:rPr>
              <w:t>19</w:t>
            </w:r>
          </w:p>
        </w:tc>
        <w:tc>
          <w:tcPr>
            <w:tcW w:w="1794" w:type="dxa"/>
            <w:tcBorders>
              <w:top w:val="nil"/>
              <w:left w:val="nil"/>
              <w:bottom w:val="single" w:sz="4" w:space="0" w:color="auto"/>
              <w:right w:val="single" w:sz="4" w:space="0" w:color="auto"/>
            </w:tcBorders>
            <w:shd w:val="clear" w:color="auto" w:fill="auto"/>
            <w:noWrap/>
            <w:vAlign w:val="bottom"/>
            <w:hideMark/>
          </w:tcPr>
          <w:p w14:paraId="0479A7CB" w14:textId="77777777" w:rsidR="00C719A9" w:rsidRPr="007B5B98" w:rsidRDefault="00C719A9" w:rsidP="008436A0">
            <w:pPr>
              <w:pStyle w:val="af3"/>
              <w:rPr>
                <w:rFonts w:cs="Times New Roman"/>
                <w:szCs w:val="20"/>
                <w:lang w:eastAsia="ru-RU"/>
              </w:rPr>
            </w:pPr>
            <w:r w:rsidRPr="007B5B98">
              <w:rPr>
                <w:rFonts w:cs="Times New Roman"/>
                <w:szCs w:val="20"/>
                <w:lang w:eastAsia="ru-RU"/>
              </w:rPr>
              <w:t>150</w:t>
            </w:r>
          </w:p>
        </w:tc>
        <w:tc>
          <w:tcPr>
            <w:tcW w:w="2899" w:type="dxa"/>
            <w:tcBorders>
              <w:top w:val="nil"/>
              <w:left w:val="nil"/>
              <w:bottom w:val="single" w:sz="4" w:space="0" w:color="auto"/>
              <w:right w:val="single" w:sz="4" w:space="0" w:color="auto"/>
            </w:tcBorders>
            <w:shd w:val="clear" w:color="auto" w:fill="auto"/>
            <w:noWrap/>
            <w:vAlign w:val="bottom"/>
            <w:hideMark/>
          </w:tcPr>
          <w:p w14:paraId="4A26CFEB" w14:textId="77777777" w:rsidR="00C719A9" w:rsidRPr="007B5B98" w:rsidRDefault="00C719A9" w:rsidP="008436A0">
            <w:pPr>
              <w:pStyle w:val="af3"/>
              <w:rPr>
                <w:rFonts w:cs="Times New Roman"/>
                <w:szCs w:val="20"/>
                <w:lang w:eastAsia="ru-RU"/>
              </w:rPr>
            </w:pPr>
            <w:r w:rsidRPr="007B5B98">
              <w:rPr>
                <w:rFonts w:cs="Times New Roman"/>
                <w:szCs w:val="20"/>
                <w:lang w:eastAsia="ru-RU"/>
              </w:rPr>
              <w:t>НПО Мостовик</w:t>
            </w:r>
          </w:p>
        </w:tc>
        <w:tc>
          <w:tcPr>
            <w:tcW w:w="2899" w:type="dxa"/>
            <w:tcBorders>
              <w:top w:val="nil"/>
              <w:left w:val="nil"/>
              <w:bottom w:val="single" w:sz="4" w:space="0" w:color="auto"/>
              <w:right w:val="single" w:sz="4" w:space="0" w:color="auto"/>
            </w:tcBorders>
            <w:shd w:val="clear" w:color="auto" w:fill="auto"/>
            <w:noWrap/>
            <w:vAlign w:val="bottom"/>
            <w:hideMark/>
          </w:tcPr>
          <w:p w14:paraId="4E03348D" w14:textId="77777777" w:rsidR="00C719A9" w:rsidRPr="007B5B98" w:rsidRDefault="00C719A9" w:rsidP="008436A0">
            <w:pPr>
              <w:pStyle w:val="af3"/>
              <w:rPr>
                <w:rFonts w:cs="Times New Roman"/>
                <w:szCs w:val="20"/>
                <w:lang w:eastAsia="ru-RU"/>
              </w:rPr>
            </w:pPr>
            <w:r w:rsidRPr="007B5B98">
              <w:rPr>
                <w:rFonts w:cs="Times New Roman"/>
                <w:szCs w:val="20"/>
                <w:lang w:eastAsia="ru-RU"/>
              </w:rPr>
              <w:t>Омск</w:t>
            </w:r>
          </w:p>
        </w:tc>
        <w:tc>
          <w:tcPr>
            <w:tcW w:w="2006" w:type="dxa"/>
            <w:tcBorders>
              <w:top w:val="nil"/>
              <w:left w:val="nil"/>
              <w:bottom w:val="single" w:sz="4" w:space="0" w:color="auto"/>
              <w:right w:val="single" w:sz="4" w:space="0" w:color="auto"/>
            </w:tcBorders>
            <w:shd w:val="clear" w:color="auto" w:fill="auto"/>
            <w:noWrap/>
            <w:vAlign w:val="bottom"/>
            <w:hideMark/>
          </w:tcPr>
          <w:p w14:paraId="6C03D851"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2332FEDD"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BC4646" w14:textId="77777777" w:rsidR="00C719A9" w:rsidRPr="007B5B98" w:rsidRDefault="00C719A9" w:rsidP="008436A0">
            <w:pPr>
              <w:pStyle w:val="af3"/>
              <w:rPr>
                <w:b/>
                <w:sz w:val="24"/>
                <w:lang w:eastAsia="ru-RU"/>
              </w:rPr>
            </w:pPr>
            <w:r w:rsidRPr="007B5B98">
              <w:rPr>
                <w:b/>
                <w:sz w:val="24"/>
                <w:lang w:eastAsia="ru-RU"/>
              </w:rPr>
              <w:t>20</w:t>
            </w:r>
          </w:p>
        </w:tc>
        <w:tc>
          <w:tcPr>
            <w:tcW w:w="1794" w:type="dxa"/>
            <w:tcBorders>
              <w:top w:val="nil"/>
              <w:left w:val="nil"/>
              <w:bottom w:val="single" w:sz="4" w:space="0" w:color="auto"/>
              <w:right w:val="single" w:sz="4" w:space="0" w:color="auto"/>
            </w:tcBorders>
            <w:shd w:val="clear" w:color="auto" w:fill="auto"/>
            <w:noWrap/>
            <w:vAlign w:val="bottom"/>
            <w:hideMark/>
          </w:tcPr>
          <w:p w14:paraId="69E0E4A9" w14:textId="77777777" w:rsidR="00C719A9" w:rsidRPr="007B5B98" w:rsidRDefault="00C719A9" w:rsidP="008436A0">
            <w:pPr>
              <w:pStyle w:val="af3"/>
              <w:rPr>
                <w:rFonts w:cs="Times New Roman"/>
                <w:szCs w:val="20"/>
                <w:lang w:eastAsia="ru-RU"/>
              </w:rPr>
            </w:pPr>
            <w:r w:rsidRPr="007B5B98">
              <w:rPr>
                <w:rFonts w:cs="Times New Roman"/>
                <w:szCs w:val="20"/>
                <w:lang w:eastAsia="ru-RU"/>
              </w:rPr>
              <w:t>154</w:t>
            </w:r>
          </w:p>
        </w:tc>
        <w:tc>
          <w:tcPr>
            <w:tcW w:w="2899" w:type="dxa"/>
            <w:tcBorders>
              <w:top w:val="nil"/>
              <w:left w:val="nil"/>
              <w:bottom w:val="single" w:sz="4" w:space="0" w:color="auto"/>
              <w:right w:val="single" w:sz="4" w:space="0" w:color="auto"/>
            </w:tcBorders>
            <w:shd w:val="clear" w:color="auto" w:fill="auto"/>
            <w:noWrap/>
            <w:vAlign w:val="bottom"/>
            <w:hideMark/>
          </w:tcPr>
          <w:p w14:paraId="73B123B3" w14:textId="77777777" w:rsidR="00C719A9" w:rsidRPr="007B5B98" w:rsidRDefault="00C719A9" w:rsidP="008436A0">
            <w:pPr>
              <w:pStyle w:val="af3"/>
              <w:rPr>
                <w:rFonts w:cs="Times New Roman"/>
                <w:szCs w:val="20"/>
                <w:lang w:eastAsia="ru-RU"/>
              </w:rPr>
            </w:pPr>
            <w:r w:rsidRPr="007B5B98">
              <w:rPr>
                <w:rFonts w:cs="Times New Roman"/>
                <w:szCs w:val="20"/>
                <w:lang w:eastAsia="ru-RU"/>
              </w:rPr>
              <w:t>Трансинжиниринг</w:t>
            </w:r>
          </w:p>
        </w:tc>
        <w:tc>
          <w:tcPr>
            <w:tcW w:w="2899" w:type="dxa"/>
            <w:tcBorders>
              <w:top w:val="nil"/>
              <w:left w:val="nil"/>
              <w:bottom w:val="single" w:sz="4" w:space="0" w:color="auto"/>
              <w:right w:val="single" w:sz="4" w:space="0" w:color="auto"/>
            </w:tcBorders>
            <w:shd w:val="clear" w:color="auto" w:fill="auto"/>
            <w:noWrap/>
            <w:vAlign w:val="bottom"/>
            <w:hideMark/>
          </w:tcPr>
          <w:p w14:paraId="6DB370FA"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180216D7"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1E4F63DE"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682612" w14:textId="77777777" w:rsidR="00C719A9" w:rsidRPr="007B5B98" w:rsidRDefault="00C719A9" w:rsidP="008436A0">
            <w:pPr>
              <w:pStyle w:val="af3"/>
              <w:rPr>
                <w:b/>
                <w:sz w:val="24"/>
                <w:lang w:eastAsia="ru-RU"/>
              </w:rPr>
            </w:pPr>
            <w:r w:rsidRPr="007B5B98">
              <w:rPr>
                <w:b/>
                <w:sz w:val="24"/>
                <w:lang w:eastAsia="ru-RU"/>
              </w:rPr>
              <w:t>21</w:t>
            </w:r>
          </w:p>
        </w:tc>
        <w:tc>
          <w:tcPr>
            <w:tcW w:w="1794" w:type="dxa"/>
            <w:tcBorders>
              <w:top w:val="nil"/>
              <w:left w:val="nil"/>
              <w:bottom w:val="single" w:sz="4" w:space="0" w:color="auto"/>
              <w:right w:val="single" w:sz="4" w:space="0" w:color="auto"/>
            </w:tcBorders>
            <w:shd w:val="clear" w:color="auto" w:fill="auto"/>
            <w:noWrap/>
            <w:vAlign w:val="bottom"/>
            <w:hideMark/>
          </w:tcPr>
          <w:p w14:paraId="14896CD0" w14:textId="77777777" w:rsidR="00C719A9" w:rsidRPr="007B5B98" w:rsidRDefault="00C719A9" w:rsidP="008436A0">
            <w:pPr>
              <w:pStyle w:val="af3"/>
              <w:rPr>
                <w:rFonts w:cs="Times New Roman"/>
                <w:szCs w:val="20"/>
                <w:lang w:eastAsia="ru-RU"/>
              </w:rPr>
            </w:pPr>
            <w:r w:rsidRPr="007B5B98">
              <w:rPr>
                <w:rFonts w:cs="Times New Roman"/>
                <w:szCs w:val="20"/>
                <w:lang w:eastAsia="ru-RU"/>
              </w:rPr>
              <w:t>156</w:t>
            </w:r>
          </w:p>
        </w:tc>
        <w:tc>
          <w:tcPr>
            <w:tcW w:w="2899" w:type="dxa"/>
            <w:tcBorders>
              <w:top w:val="nil"/>
              <w:left w:val="nil"/>
              <w:bottom w:val="single" w:sz="4" w:space="0" w:color="auto"/>
              <w:right w:val="single" w:sz="4" w:space="0" w:color="auto"/>
            </w:tcBorders>
            <w:shd w:val="clear" w:color="auto" w:fill="auto"/>
            <w:noWrap/>
            <w:vAlign w:val="bottom"/>
            <w:hideMark/>
          </w:tcPr>
          <w:p w14:paraId="77202D2B" w14:textId="77777777" w:rsidR="00C719A9" w:rsidRPr="007B5B98" w:rsidRDefault="00C719A9" w:rsidP="008436A0">
            <w:pPr>
              <w:pStyle w:val="af3"/>
              <w:rPr>
                <w:rFonts w:cs="Times New Roman"/>
                <w:szCs w:val="20"/>
                <w:lang w:eastAsia="ru-RU"/>
              </w:rPr>
            </w:pPr>
            <w:r w:rsidRPr="007B5B98">
              <w:rPr>
                <w:rFonts w:cs="Times New Roman"/>
                <w:szCs w:val="20"/>
                <w:lang w:eastAsia="ru-RU"/>
              </w:rPr>
              <w:t>Группа АРКС</w:t>
            </w:r>
          </w:p>
        </w:tc>
        <w:tc>
          <w:tcPr>
            <w:tcW w:w="2899" w:type="dxa"/>
            <w:tcBorders>
              <w:top w:val="nil"/>
              <w:left w:val="nil"/>
              <w:bottom w:val="single" w:sz="4" w:space="0" w:color="auto"/>
              <w:right w:val="single" w:sz="4" w:space="0" w:color="auto"/>
            </w:tcBorders>
            <w:shd w:val="clear" w:color="auto" w:fill="auto"/>
            <w:noWrap/>
            <w:vAlign w:val="bottom"/>
            <w:hideMark/>
          </w:tcPr>
          <w:p w14:paraId="2871C102"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2F064344"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798EC39B"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B6FF28" w14:textId="77777777" w:rsidR="00C719A9" w:rsidRPr="007B5B98" w:rsidRDefault="00C719A9" w:rsidP="008436A0">
            <w:pPr>
              <w:pStyle w:val="af3"/>
              <w:rPr>
                <w:b/>
                <w:sz w:val="24"/>
                <w:lang w:eastAsia="ru-RU"/>
              </w:rPr>
            </w:pPr>
            <w:r w:rsidRPr="007B5B98">
              <w:rPr>
                <w:b/>
                <w:sz w:val="24"/>
                <w:lang w:eastAsia="ru-RU"/>
              </w:rPr>
              <w:t>22</w:t>
            </w:r>
          </w:p>
        </w:tc>
        <w:tc>
          <w:tcPr>
            <w:tcW w:w="1794" w:type="dxa"/>
            <w:tcBorders>
              <w:top w:val="nil"/>
              <w:left w:val="nil"/>
              <w:bottom w:val="single" w:sz="4" w:space="0" w:color="auto"/>
              <w:right w:val="single" w:sz="4" w:space="0" w:color="auto"/>
            </w:tcBorders>
            <w:shd w:val="clear" w:color="auto" w:fill="auto"/>
            <w:noWrap/>
            <w:vAlign w:val="bottom"/>
            <w:hideMark/>
          </w:tcPr>
          <w:p w14:paraId="156794A0" w14:textId="77777777" w:rsidR="00C719A9" w:rsidRPr="007B5B98" w:rsidRDefault="00C719A9" w:rsidP="008436A0">
            <w:pPr>
              <w:pStyle w:val="af3"/>
              <w:rPr>
                <w:rFonts w:cs="Times New Roman"/>
                <w:szCs w:val="20"/>
                <w:lang w:eastAsia="ru-RU"/>
              </w:rPr>
            </w:pPr>
            <w:r w:rsidRPr="007B5B98">
              <w:rPr>
                <w:rFonts w:cs="Times New Roman"/>
                <w:szCs w:val="20"/>
                <w:lang w:eastAsia="ru-RU"/>
              </w:rPr>
              <w:t>160</w:t>
            </w:r>
          </w:p>
        </w:tc>
        <w:tc>
          <w:tcPr>
            <w:tcW w:w="2899" w:type="dxa"/>
            <w:tcBorders>
              <w:top w:val="nil"/>
              <w:left w:val="nil"/>
              <w:bottom w:val="single" w:sz="4" w:space="0" w:color="auto"/>
              <w:right w:val="single" w:sz="4" w:space="0" w:color="auto"/>
            </w:tcBorders>
            <w:shd w:val="clear" w:color="auto" w:fill="auto"/>
            <w:noWrap/>
            <w:vAlign w:val="bottom"/>
            <w:hideMark/>
          </w:tcPr>
          <w:p w14:paraId="41BD719A" w14:textId="77777777" w:rsidR="00C719A9" w:rsidRPr="007B5B98" w:rsidRDefault="00C719A9" w:rsidP="008436A0">
            <w:pPr>
              <w:pStyle w:val="af3"/>
              <w:rPr>
                <w:rFonts w:cs="Times New Roman"/>
                <w:szCs w:val="20"/>
                <w:lang w:eastAsia="ru-RU"/>
              </w:rPr>
            </w:pPr>
            <w:r w:rsidRPr="007B5B98">
              <w:rPr>
                <w:rFonts w:cs="Times New Roman"/>
                <w:szCs w:val="20"/>
                <w:lang w:eastAsia="ru-RU"/>
              </w:rPr>
              <w:t>Велесстрой</w:t>
            </w:r>
          </w:p>
        </w:tc>
        <w:tc>
          <w:tcPr>
            <w:tcW w:w="2899" w:type="dxa"/>
            <w:tcBorders>
              <w:top w:val="nil"/>
              <w:left w:val="nil"/>
              <w:bottom w:val="single" w:sz="4" w:space="0" w:color="auto"/>
              <w:right w:val="single" w:sz="4" w:space="0" w:color="auto"/>
            </w:tcBorders>
            <w:shd w:val="clear" w:color="auto" w:fill="auto"/>
            <w:noWrap/>
            <w:vAlign w:val="bottom"/>
            <w:hideMark/>
          </w:tcPr>
          <w:p w14:paraId="1BBBF29F"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145770CA"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2C1D6472" w14:textId="77777777" w:rsidTr="007B5B9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F3036C" w14:textId="77777777" w:rsidR="00C719A9" w:rsidRPr="007B5B98" w:rsidRDefault="00C719A9" w:rsidP="008436A0">
            <w:pPr>
              <w:pStyle w:val="af3"/>
              <w:rPr>
                <w:b/>
                <w:sz w:val="24"/>
                <w:lang w:eastAsia="ru-RU"/>
              </w:rPr>
            </w:pPr>
            <w:r w:rsidRPr="007B5B98">
              <w:rPr>
                <w:b/>
                <w:sz w:val="24"/>
                <w:lang w:eastAsia="ru-RU"/>
              </w:rPr>
              <w:t>23</w:t>
            </w:r>
          </w:p>
        </w:tc>
        <w:tc>
          <w:tcPr>
            <w:tcW w:w="1794" w:type="dxa"/>
            <w:tcBorders>
              <w:top w:val="nil"/>
              <w:left w:val="nil"/>
              <w:bottom w:val="single" w:sz="4" w:space="0" w:color="auto"/>
              <w:right w:val="single" w:sz="4" w:space="0" w:color="auto"/>
            </w:tcBorders>
            <w:shd w:val="clear" w:color="auto" w:fill="auto"/>
            <w:noWrap/>
            <w:vAlign w:val="bottom"/>
            <w:hideMark/>
          </w:tcPr>
          <w:p w14:paraId="29D738A7" w14:textId="77777777" w:rsidR="00C719A9" w:rsidRPr="007B5B98" w:rsidRDefault="00C719A9" w:rsidP="008436A0">
            <w:pPr>
              <w:pStyle w:val="af3"/>
              <w:rPr>
                <w:rFonts w:cs="Times New Roman"/>
                <w:szCs w:val="20"/>
                <w:lang w:eastAsia="ru-RU"/>
              </w:rPr>
            </w:pPr>
            <w:r w:rsidRPr="007B5B98">
              <w:rPr>
                <w:rFonts w:cs="Times New Roman"/>
                <w:szCs w:val="20"/>
                <w:lang w:eastAsia="ru-RU"/>
              </w:rPr>
              <w:t>171</w:t>
            </w:r>
          </w:p>
        </w:tc>
        <w:tc>
          <w:tcPr>
            <w:tcW w:w="2899" w:type="dxa"/>
            <w:tcBorders>
              <w:top w:val="nil"/>
              <w:left w:val="nil"/>
              <w:bottom w:val="single" w:sz="4" w:space="0" w:color="auto"/>
              <w:right w:val="single" w:sz="4" w:space="0" w:color="auto"/>
            </w:tcBorders>
            <w:shd w:val="clear" w:color="auto" w:fill="auto"/>
            <w:noWrap/>
            <w:vAlign w:val="bottom"/>
            <w:hideMark/>
          </w:tcPr>
          <w:p w14:paraId="40A5203B" w14:textId="77777777" w:rsidR="00C719A9" w:rsidRPr="007B5B98" w:rsidRDefault="00C719A9" w:rsidP="008436A0">
            <w:pPr>
              <w:pStyle w:val="af3"/>
              <w:rPr>
                <w:rFonts w:cs="Times New Roman"/>
                <w:szCs w:val="20"/>
                <w:lang w:eastAsia="ru-RU"/>
              </w:rPr>
            </w:pPr>
            <w:r w:rsidRPr="007B5B98">
              <w:rPr>
                <w:rFonts w:cs="Times New Roman"/>
                <w:szCs w:val="20"/>
                <w:lang w:eastAsia="ru-RU"/>
              </w:rPr>
              <w:t>Интеко</w:t>
            </w:r>
          </w:p>
        </w:tc>
        <w:tc>
          <w:tcPr>
            <w:tcW w:w="2899" w:type="dxa"/>
            <w:tcBorders>
              <w:top w:val="nil"/>
              <w:left w:val="nil"/>
              <w:bottom w:val="single" w:sz="4" w:space="0" w:color="auto"/>
              <w:right w:val="single" w:sz="4" w:space="0" w:color="auto"/>
            </w:tcBorders>
            <w:shd w:val="clear" w:color="auto" w:fill="auto"/>
            <w:noWrap/>
            <w:vAlign w:val="bottom"/>
            <w:hideMark/>
          </w:tcPr>
          <w:p w14:paraId="19D24ECD"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3425E05F"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r w:rsidR="00C719A9" w:rsidRPr="00C719A9" w14:paraId="3DD7F286" w14:textId="77777777" w:rsidTr="007B5B98">
        <w:trPr>
          <w:trHeight w:val="42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A32B46" w14:textId="77777777" w:rsidR="00C719A9" w:rsidRPr="007B5B98" w:rsidRDefault="00C719A9" w:rsidP="008436A0">
            <w:pPr>
              <w:pStyle w:val="af3"/>
              <w:rPr>
                <w:b/>
                <w:sz w:val="24"/>
                <w:lang w:eastAsia="ru-RU"/>
              </w:rPr>
            </w:pPr>
            <w:r w:rsidRPr="007B5B98">
              <w:rPr>
                <w:b/>
                <w:sz w:val="24"/>
                <w:lang w:eastAsia="ru-RU"/>
              </w:rPr>
              <w:t>24</w:t>
            </w:r>
          </w:p>
        </w:tc>
        <w:tc>
          <w:tcPr>
            <w:tcW w:w="1794" w:type="dxa"/>
            <w:tcBorders>
              <w:top w:val="nil"/>
              <w:left w:val="nil"/>
              <w:bottom w:val="single" w:sz="4" w:space="0" w:color="auto"/>
              <w:right w:val="single" w:sz="4" w:space="0" w:color="auto"/>
            </w:tcBorders>
            <w:shd w:val="clear" w:color="auto" w:fill="auto"/>
            <w:noWrap/>
            <w:vAlign w:val="bottom"/>
            <w:hideMark/>
          </w:tcPr>
          <w:p w14:paraId="54C00FAB" w14:textId="77777777" w:rsidR="00C719A9" w:rsidRPr="007B5B98" w:rsidRDefault="00C719A9" w:rsidP="008436A0">
            <w:pPr>
              <w:pStyle w:val="af3"/>
              <w:rPr>
                <w:rFonts w:cs="Times New Roman"/>
                <w:szCs w:val="20"/>
                <w:lang w:eastAsia="ru-RU"/>
              </w:rPr>
            </w:pPr>
            <w:r w:rsidRPr="007B5B98">
              <w:rPr>
                <w:rFonts w:cs="Times New Roman"/>
                <w:szCs w:val="20"/>
                <w:lang w:eastAsia="ru-RU"/>
              </w:rPr>
              <w:t>192</w:t>
            </w:r>
          </w:p>
        </w:tc>
        <w:tc>
          <w:tcPr>
            <w:tcW w:w="2899" w:type="dxa"/>
            <w:tcBorders>
              <w:top w:val="nil"/>
              <w:left w:val="nil"/>
              <w:bottom w:val="single" w:sz="4" w:space="0" w:color="auto"/>
              <w:right w:val="single" w:sz="4" w:space="0" w:color="auto"/>
            </w:tcBorders>
            <w:shd w:val="clear" w:color="auto" w:fill="auto"/>
            <w:noWrap/>
            <w:vAlign w:val="bottom"/>
            <w:hideMark/>
          </w:tcPr>
          <w:p w14:paraId="6725FB0B" w14:textId="77777777" w:rsidR="00C719A9" w:rsidRPr="007B5B98" w:rsidRDefault="00C719A9" w:rsidP="008436A0">
            <w:pPr>
              <w:pStyle w:val="af3"/>
              <w:rPr>
                <w:rFonts w:cs="Times New Roman"/>
                <w:szCs w:val="20"/>
                <w:lang w:eastAsia="ru-RU"/>
              </w:rPr>
            </w:pPr>
            <w:r w:rsidRPr="007B5B98">
              <w:rPr>
                <w:rFonts w:cs="Times New Roman"/>
                <w:szCs w:val="20"/>
                <w:lang w:eastAsia="ru-RU"/>
              </w:rPr>
              <w:t>Капитал Групп</w:t>
            </w:r>
          </w:p>
        </w:tc>
        <w:tc>
          <w:tcPr>
            <w:tcW w:w="2899" w:type="dxa"/>
            <w:tcBorders>
              <w:top w:val="nil"/>
              <w:left w:val="nil"/>
              <w:bottom w:val="single" w:sz="4" w:space="0" w:color="auto"/>
              <w:right w:val="single" w:sz="4" w:space="0" w:color="auto"/>
            </w:tcBorders>
            <w:shd w:val="clear" w:color="auto" w:fill="auto"/>
            <w:noWrap/>
            <w:vAlign w:val="bottom"/>
            <w:hideMark/>
          </w:tcPr>
          <w:p w14:paraId="371CD2BA" w14:textId="77777777" w:rsidR="00C719A9" w:rsidRPr="007B5B98" w:rsidRDefault="00C719A9" w:rsidP="008436A0">
            <w:pPr>
              <w:pStyle w:val="af3"/>
              <w:rPr>
                <w:rFonts w:cs="Times New Roman"/>
                <w:szCs w:val="20"/>
                <w:lang w:eastAsia="ru-RU"/>
              </w:rPr>
            </w:pPr>
            <w:r w:rsidRPr="007B5B98">
              <w:rPr>
                <w:rFonts w:cs="Times New Roman"/>
                <w:szCs w:val="20"/>
                <w:lang w:eastAsia="ru-RU"/>
              </w:rPr>
              <w:t>Москва</w:t>
            </w:r>
          </w:p>
        </w:tc>
        <w:tc>
          <w:tcPr>
            <w:tcW w:w="2006" w:type="dxa"/>
            <w:tcBorders>
              <w:top w:val="nil"/>
              <w:left w:val="nil"/>
              <w:bottom w:val="single" w:sz="4" w:space="0" w:color="auto"/>
              <w:right w:val="single" w:sz="4" w:space="0" w:color="auto"/>
            </w:tcBorders>
            <w:shd w:val="clear" w:color="auto" w:fill="auto"/>
            <w:noWrap/>
            <w:vAlign w:val="bottom"/>
            <w:hideMark/>
          </w:tcPr>
          <w:p w14:paraId="67CCFB77" w14:textId="77777777" w:rsidR="00C719A9" w:rsidRPr="007B5B98" w:rsidRDefault="00C719A9" w:rsidP="008436A0">
            <w:pPr>
              <w:pStyle w:val="af3"/>
              <w:rPr>
                <w:rFonts w:cs="Times New Roman"/>
                <w:szCs w:val="20"/>
                <w:lang w:eastAsia="ru-RU"/>
              </w:rPr>
            </w:pPr>
            <w:r w:rsidRPr="007B5B98">
              <w:rPr>
                <w:rFonts w:cs="Times New Roman"/>
                <w:szCs w:val="20"/>
                <w:lang w:eastAsia="ru-RU"/>
              </w:rPr>
              <w:t>нет</w:t>
            </w:r>
          </w:p>
        </w:tc>
      </w:tr>
    </w:tbl>
    <w:p w14:paraId="07838BD4" w14:textId="10644594" w:rsidR="00EE4AD2" w:rsidRPr="007B5B98" w:rsidRDefault="00C719A9" w:rsidP="004A143D">
      <w:pPr>
        <w:rPr>
          <w:i/>
          <w:sz w:val="20"/>
          <w:szCs w:val="20"/>
        </w:rPr>
      </w:pPr>
      <w:r w:rsidRPr="007B5B98">
        <w:rPr>
          <w:i/>
          <w:sz w:val="20"/>
          <w:szCs w:val="20"/>
        </w:rPr>
        <w:t>Источник:</w:t>
      </w:r>
      <w:r w:rsidR="007B5B98" w:rsidRPr="007B5B98">
        <w:rPr>
          <w:i/>
          <w:sz w:val="20"/>
          <w:szCs w:val="20"/>
        </w:rPr>
        <w:t xml:space="preserve"> </w:t>
      </w:r>
      <w:r w:rsidR="00AA3C8D">
        <w:rPr>
          <w:i/>
          <w:sz w:val="20"/>
          <w:szCs w:val="20"/>
        </w:rPr>
        <w:t>составлено</w:t>
      </w:r>
      <w:r w:rsidR="007B5B98" w:rsidRPr="007B5B98">
        <w:rPr>
          <w:i/>
          <w:sz w:val="20"/>
          <w:szCs w:val="20"/>
        </w:rPr>
        <w:t xml:space="preserve"> автором</w:t>
      </w:r>
      <w:r w:rsidRPr="007B5B98">
        <w:rPr>
          <w:i/>
          <w:sz w:val="20"/>
          <w:szCs w:val="20"/>
        </w:rPr>
        <w:t xml:space="preserve"> на основе данных</w:t>
      </w:r>
      <w:r w:rsidR="00624B79">
        <w:rPr>
          <w:i/>
          <w:sz w:val="20"/>
          <w:szCs w:val="20"/>
        </w:rPr>
        <w:t xml:space="preserve"> </w:t>
      </w:r>
      <w:r w:rsidR="00624B79" w:rsidRPr="00624B79">
        <w:rPr>
          <w:i/>
          <w:sz w:val="20"/>
          <w:szCs w:val="20"/>
        </w:rPr>
        <w:t>Центр</w:t>
      </w:r>
      <w:r w:rsidR="00624B79">
        <w:rPr>
          <w:i/>
          <w:sz w:val="20"/>
          <w:szCs w:val="20"/>
        </w:rPr>
        <w:t>а</w:t>
      </w:r>
      <w:r w:rsidR="00624B79" w:rsidRPr="00624B79">
        <w:rPr>
          <w:i/>
          <w:sz w:val="20"/>
          <w:szCs w:val="20"/>
        </w:rPr>
        <w:t xml:space="preserve"> раскрытия корпоративной информации Интерфакс. URL: http://www.e-disclosure.</w:t>
      </w:r>
      <w:r w:rsidR="00AA3C8D">
        <w:rPr>
          <w:i/>
          <w:sz w:val="20"/>
          <w:szCs w:val="20"/>
        </w:rPr>
        <w:t>ru (дата обращения:15.04</w:t>
      </w:r>
      <w:r w:rsidR="004A143D">
        <w:rPr>
          <w:i/>
          <w:sz w:val="20"/>
          <w:szCs w:val="20"/>
        </w:rPr>
        <w:t>.2016); Официального</w:t>
      </w:r>
      <w:r w:rsidR="004A143D" w:rsidRPr="004A143D">
        <w:rPr>
          <w:i/>
          <w:sz w:val="20"/>
          <w:szCs w:val="20"/>
        </w:rPr>
        <w:t xml:space="preserve"> сай</w:t>
      </w:r>
      <w:r w:rsidR="004A143D">
        <w:rPr>
          <w:i/>
          <w:sz w:val="20"/>
          <w:szCs w:val="20"/>
        </w:rPr>
        <w:t>та</w:t>
      </w:r>
      <w:r w:rsidR="004A143D" w:rsidRPr="004A143D">
        <w:rPr>
          <w:i/>
          <w:sz w:val="20"/>
          <w:szCs w:val="20"/>
        </w:rPr>
        <w:t xml:space="preserve"> рейтингового агентства Forbes http://www.forbes.ru (дата обращения: 15.04.2016)</w:t>
      </w:r>
      <w:r w:rsidR="00AA3C8D">
        <w:rPr>
          <w:i/>
          <w:sz w:val="20"/>
          <w:szCs w:val="20"/>
        </w:rPr>
        <w:t>; Официального</w:t>
      </w:r>
      <w:r w:rsidR="00AA3C8D" w:rsidRPr="004A143D">
        <w:rPr>
          <w:i/>
          <w:sz w:val="20"/>
          <w:szCs w:val="20"/>
        </w:rPr>
        <w:t xml:space="preserve"> сай</w:t>
      </w:r>
      <w:r w:rsidR="00AA3C8D">
        <w:rPr>
          <w:i/>
          <w:sz w:val="20"/>
          <w:szCs w:val="20"/>
        </w:rPr>
        <w:t>та</w:t>
      </w:r>
      <w:r w:rsidR="00AA3C8D" w:rsidRPr="004A143D">
        <w:rPr>
          <w:i/>
          <w:sz w:val="20"/>
          <w:szCs w:val="20"/>
        </w:rPr>
        <w:t xml:space="preserve"> рейтингового агентства</w:t>
      </w:r>
      <w:r w:rsidR="00AA3C8D" w:rsidRPr="00AA3C8D">
        <w:rPr>
          <w:i/>
          <w:sz w:val="20"/>
          <w:szCs w:val="20"/>
        </w:rPr>
        <w:t xml:space="preserve"> Эксперт РА </w:t>
      </w:r>
      <w:r w:rsidR="00AA3C8D">
        <w:rPr>
          <w:i/>
          <w:sz w:val="20"/>
          <w:szCs w:val="20"/>
        </w:rPr>
        <w:t xml:space="preserve"> </w:t>
      </w:r>
      <w:r w:rsidR="00AA3C8D">
        <w:rPr>
          <w:i/>
          <w:sz w:val="20"/>
          <w:szCs w:val="20"/>
          <w:lang w:val="en-US"/>
        </w:rPr>
        <w:t xml:space="preserve">URL: </w:t>
      </w:r>
      <w:r w:rsidR="00AA3C8D" w:rsidRPr="00AA3C8D">
        <w:rPr>
          <w:i/>
          <w:sz w:val="20"/>
          <w:szCs w:val="20"/>
        </w:rPr>
        <w:t>http://www.raexpert.ru рейтинговое агентство Эксперт РА (дата обращения: 15.04.2016).</w:t>
      </w:r>
    </w:p>
    <w:p w14:paraId="65CA1F28" w14:textId="18FEF180" w:rsidR="00C719A9" w:rsidRDefault="00C719A9" w:rsidP="00C719A9">
      <w:pPr>
        <w:jc w:val="center"/>
      </w:pPr>
      <w:r>
        <w:t>.</w:t>
      </w:r>
    </w:p>
    <w:p w14:paraId="1CA4EB02" w14:textId="77777777" w:rsidR="004A143D" w:rsidRDefault="004A143D">
      <w:pPr>
        <w:spacing w:line="240" w:lineRule="auto"/>
        <w:ind w:firstLine="0"/>
        <w:jc w:val="left"/>
        <w:rPr>
          <w:rFonts w:eastAsiaTheme="majorEastAsia" w:cstheme="majorBidi"/>
          <w:b/>
          <w:color w:val="000000" w:themeColor="text1"/>
          <w:szCs w:val="26"/>
        </w:rPr>
      </w:pPr>
      <w:r>
        <w:br w:type="page"/>
      </w:r>
    </w:p>
    <w:p w14:paraId="3B2C7FA5" w14:textId="5C78AD80" w:rsidR="00CD14FF" w:rsidRDefault="006F5FE9" w:rsidP="00E70014">
      <w:pPr>
        <w:pStyle w:val="2"/>
      </w:pPr>
      <w:bookmarkStart w:id="36" w:name="_Toc451081024"/>
      <w:r>
        <w:lastRenderedPageBreak/>
        <w:t>Приложение 4</w:t>
      </w:r>
      <w:r w:rsidR="00CD14FF">
        <w:t xml:space="preserve"> Глоссарий терминов и сокращений</w:t>
      </w:r>
      <w:bookmarkEnd w:id="36"/>
    </w:p>
    <w:p w14:paraId="09A6FA3C" w14:textId="415E9DDC" w:rsidR="005A3110" w:rsidRDefault="005A3110" w:rsidP="004920C4">
      <w:pPr>
        <w:rPr>
          <w:lang w:val="en-US"/>
        </w:rPr>
      </w:pPr>
      <w:r w:rsidRPr="00317E95">
        <w:rPr>
          <w:i/>
          <w:lang w:val="en-US"/>
        </w:rPr>
        <w:t>IPO</w:t>
      </w:r>
      <w:r w:rsidR="00317E95">
        <w:rPr>
          <w:lang w:val="en-US"/>
        </w:rPr>
        <w:t xml:space="preserve"> (</w:t>
      </w:r>
      <w:r w:rsidR="00317E95">
        <w:rPr>
          <w:i/>
          <w:lang w:val="en-US"/>
        </w:rPr>
        <w:t>Initial Public Offer)</w:t>
      </w:r>
      <w:r w:rsidR="00D567D4" w:rsidRPr="00317E95">
        <w:rPr>
          <w:lang w:val="en-US"/>
        </w:rPr>
        <w:t xml:space="preserve"> - </w:t>
      </w:r>
      <w:r w:rsidR="007C1BC4" w:rsidRPr="00317E95">
        <w:rPr>
          <w:lang w:val="en-US"/>
        </w:rPr>
        <w:t>первоначальное (на публичном рынке акции компании на момент размещения не обращались) публичное (среди неограниченного числа инвесторов) размещение (предложение, распространение) ценных бумаг на фондовом рынке с целью привлечения капитала</w:t>
      </w:r>
      <w:r w:rsidR="007C1BC4" w:rsidRPr="00317E95">
        <w:rPr>
          <w:rStyle w:val="a6"/>
          <w:rFonts w:cs="Times New Roman"/>
          <w:lang w:val="en-US"/>
        </w:rPr>
        <w:footnoteReference w:id="38"/>
      </w:r>
    </w:p>
    <w:p w14:paraId="1D6502BF" w14:textId="65DAE579" w:rsidR="00A72677" w:rsidRDefault="00A72677" w:rsidP="00A72677">
      <w:r w:rsidRPr="00317E95">
        <w:rPr>
          <w:i/>
        </w:rPr>
        <w:t>БП</w:t>
      </w:r>
      <w:r>
        <w:t>А – базовая прибыль на акцию.</w:t>
      </w:r>
    </w:p>
    <w:p w14:paraId="783550ED" w14:textId="555352C6" w:rsidR="00A86EDF" w:rsidRDefault="00A86EDF" w:rsidP="00A86EDF">
      <w:r w:rsidRPr="00A86EDF">
        <w:rPr>
          <w:i/>
        </w:rPr>
        <w:t>Договор на строительство</w:t>
      </w:r>
      <w:r>
        <w:t xml:space="preserve"> - это договор, заключаемый с целью строительства объекта или группы объектов, которые тесно взаимосвязаны или взаимозависимы по конструкции, технологии и функциям или по конечному назначению или использованию</w:t>
      </w:r>
      <w:r>
        <w:rPr>
          <w:rStyle w:val="a6"/>
        </w:rPr>
        <w:footnoteReference w:id="39"/>
      </w:r>
      <w:r>
        <w:t>.</w:t>
      </w:r>
    </w:p>
    <w:p w14:paraId="28A6BD3C" w14:textId="383F0F36" w:rsidR="00696E84" w:rsidRDefault="00696E84" w:rsidP="00696E84">
      <w:r w:rsidRPr="00696E84">
        <w:rPr>
          <w:i/>
        </w:rPr>
        <w:t>Договор с фиксированной ценой</w:t>
      </w:r>
      <w:r>
        <w:t xml:space="preserve"> - это договор на строительство, согласно которому подрядчик соглашается на фиксированную цену (или ставку за единицу работ). Повышение ставки может произойти в результате роста затрат</w:t>
      </w:r>
      <w:r>
        <w:rPr>
          <w:rStyle w:val="a6"/>
        </w:rPr>
        <w:footnoteReference w:id="40"/>
      </w:r>
      <w:r>
        <w:t>.</w:t>
      </w:r>
    </w:p>
    <w:p w14:paraId="6378B438" w14:textId="577D37B7" w:rsidR="00696E84" w:rsidRPr="00A72677" w:rsidRDefault="00696E84" w:rsidP="00696E84">
      <w:r w:rsidRPr="00696E84">
        <w:rPr>
          <w:i/>
        </w:rPr>
        <w:t>Договор "затраты плюс"</w:t>
      </w:r>
      <w:r>
        <w:t xml:space="preserve"> - это договор на строительство, согласно которому подрядчик получает возмещение затрат плюс вознаграждение в виде фиксированной суммы или процента</w:t>
      </w:r>
      <w:r>
        <w:rPr>
          <w:rStyle w:val="a6"/>
        </w:rPr>
        <w:footnoteReference w:id="41"/>
      </w:r>
      <w:r>
        <w:t>.</w:t>
      </w:r>
    </w:p>
    <w:p w14:paraId="5CF03DE5" w14:textId="55548041" w:rsidR="00A72677" w:rsidRDefault="00A72677" w:rsidP="00A72677">
      <w:r w:rsidRPr="002B53F8">
        <w:rPr>
          <w:i/>
        </w:rPr>
        <w:t>Достоверное представление</w:t>
      </w:r>
      <w:r>
        <w:t xml:space="preserve"> - </w:t>
      </w:r>
      <w:r w:rsidRPr="002B53F8">
        <w:t>применение МСФО с дополнительным раскрытием информации обеспечивает формирование финансовой отчетности, решающей задачу достоверного представления. Достоверное представление требует правдивого отображения последствий совершенных операций, других событий и условий в соответствии с определениями и критериями признания активов, обязательств, доходов и расходов, изложенными в «Концепции»</w:t>
      </w:r>
      <w:r>
        <w:rPr>
          <w:rStyle w:val="a6"/>
        </w:rPr>
        <w:footnoteReference w:id="42"/>
      </w:r>
      <w:r w:rsidRPr="002B53F8">
        <w:t>.</w:t>
      </w:r>
    </w:p>
    <w:p w14:paraId="35E2A5A0" w14:textId="022FBBF7" w:rsidR="00162E74" w:rsidRDefault="004B0475" w:rsidP="00162E74">
      <w:r>
        <w:rPr>
          <w:i/>
        </w:rPr>
        <w:t>Компенсация</w:t>
      </w:r>
      <w:r w:rsidR="00162E74" w:rsidRPr="00CD40CA">
        <w:t xml:space="preserve"> - это сумма, которую строительная организация стремится получить с заказчика в качестве возмещения затрат, не включенных в цену договора. Претензия может возникнуть, например, в результате задержек выполнения строительных работ по вине заказчика, его ошибок в технических характеристиках или конструкции</w:t>
      </w:r>
      <w:r>
        <w:rPr>
          <w:rStyle w:val="a6"/>
        </w:rPr>
        <w:footnoteReference w:id="43"/>
      </w:r>
      <w:r w:rsidR="00162E74" w:rsidRPr="00CD40CA">
        <w:t>.</w:t>
      </w:r>
    </w:p>
    <w:p w14:paraId="19A24A05" w14:textId="06492629" w:rsidR="00A72677" w:rsidRDefault="00A72677" w:rsidP="00162E74">
      <w:r>
        <w:t>МСФО – Международные Стандарты Финансовой Отчетности.</w:t>
      </w:r>
    </w:p>
    <w:p w14:paraId="7959FAAD" w14:textId="31263FDC" w:rsidR="00A72677" w:rsidRDefault="00A72677" w:rsidP="00A72677">
      <w:r w:rsidRPr="00CF5BA3">
        <w:rPr>
          <w:i/>
        </w:rPr>
        <w:lastRenderedPageBreak/>
        <w:t xml:space="preserve">Отклонение </w:t>
      </w:r>
      <w:r>
        <w:rPr>
          <w:i/>
        </w:rPr>
        <w:t xml:space="preserve">– </w:t>
      </w:r>
      <w:r>
        <w:t xml:space="preserve">приводящее к изменению суммы выручки по договору изменение объема работ, одобренное заказчиком. Отклонение включается в сумму выручки по договору в том случае, если , </w:t>
      </w:r>
      <w:r w:rsidRPr="00903A14">
        <w:rPr>
          <w:i/>
        </w:rPr>
        <w:t>во-первых</w:t>
      </w:r>
      <w:r>
        <w:t xml:space="preserve">, вероятно, что заказчик одобрит отклонение, </w:t>
      </w:r>
      <w:r w:rsidRPr="00903A14">
        <w:rPr>
          <w:i/>
        </w:rPr>
        <w:t>во-вторых</w:t>
      </w:r>
      <w:r>
        <w:t>, если сумма выручки может быть надежно измерена</w:t>
      </w:r>
      <w:r>
        <w:rPr>
          <w:rStyle w:val="a6"/>
        </w:rPr>
        <w:footnoteReference w:id="44"/>
      </w:r>
      <w:r>
        <w:t>.</w:t>
      </w:r>
    </w:p>
    <w:p w14:paraId="52F8ABA3" w14:textId="7FD4F299" w:rsidR="00162E74" w:rsidRDefault="00162E74" w:rsidP="00162E74">
      <w:r w:rsidRPr="0008315E">
        <w:rPr>
          <w:i/>
        </w:rPr>
        <w:t>Поощрительные платежи</w:t>
      </w:r>
      <w:r w:rsidRPr="00CD40CA">
        <w:t xml:space="preserve"> - это дополнительные суммы, выплачиваемые подрядчику в случае, если установленные стандарты выполнения работ были соблюдены или превышены. Например, контракт может предусматривать поощрительные платежи подрядчику за досрочное завершение  части работ или всего договора. Поощрительные платежи включаются в доход по договору, когда существует вероятность их получения</w:t>
      </w:r>
      <w:r w:rsidR="004B0475">
        <w:rPr>
          <w:rStyle w:val="a6"/>
        </w:rPr>
        <w:footnoteReference w:id="45"/>
      </w:r>
      <w:r w:rsidRPr="00CD40CA">
        <w:t>.</w:t>
      </w:r>
    </w:p>
    <w:p w14:paraId="21DC8019" w14:textId="2385164F" w:rsidR="00CB3CD7" w:rsidRDefault="00CB3CD7" w:rsidP="00162E74">
      <w:r w:rsidRPr="00317E95">
        <w:rPr>
          <w:i/>
        </w:rPr>
        <w:t>СРО</w:t>
      </w:r>
      <w:r w:rsidR="00D8234F">
        <w:t xml:space="preserve"> – саморегулируемая </w:t>
      </w:r>
      <w:r w:rsidR="00C47448">
        <w:t>организация</w:t>
      </w:r>
      <w:r w:rsidR="00D8234F">
        <w:t>.</w:t>
      </w:r>
    </w:p>
    <w:p w14:paraId="2D9B049C" w14:textId="2326675A" w:rsidR="004A143D" w:rsidRDefault="008B523F" w:rsidP="00934819">
      <w:r w:rsidRPr="00317E95">
        <w:rPr>
          <w:i/>
        </w:rPr>
        <w:t>ЧП</w:t>
      </w:r>
      <w:r w:rsidR="00D8234F">
        <w:t xml:space="preserve"> – чистая прибыль.</w:t>
      </w:r>
    </w:p>
    <w:p w14:paraId="68C1066D" w14:textId="77777777" w:rsidR="005B5F80" w:rsidRDefault="005B5F80">
      <w:pPr>
        <w:spacing w:line="240" w:lineRule="auto"/>
        <w:ind w:firstLine="0"/>
        <w:jc w:val="left"/>
        <w:rPr>
          <w:rFonts w:eastAsiaTheme="majorEastAsia" w:cstheme="majorBidi"/>
          <w:b/>
          <w:color w:val="000000" w:themeColor="text1"/>
          <w:szCs w:val="26"/>
        </w:rPr>
      </w:pPr>
      <w:r>
        <w:br w:type="page"/>
      </w:r>
    </w:p>
    <w:p w14:paraId="3529A0C1" w14:textId="51594536" w:rsidR="00CD14FF" w:rsidRDefault="006F5FE9" w:rsidP="004A143D">
      <w:pPr>
        <w:pStyle w:val="2"/>
      </w:pPr>
      <w:bookmarkStart w:id="37" w:name="_Toc451081025"/>
      <w:r>
        <w:lastRenderedPageBreak/>
        <w:t>Приложение 5</w:t>
      </w:r>
      <w:r w:rsidR="001B15FE">
        <w:t xml:space="preserve"> Информация о комп</w:t>
      </w:r>
      <w:r w:rsidR="00CD14FF">
        <w:t>аниях</w:t>
      </w:r>
      <w:r w:rsidR="004A143D">
        <w:t>-объектах исследования</w:t>
      </w:r>
      <w:bookmarkEnd w:id="37"/>
    </w:p>
    <w:p w14:paraId="580A9EB9" w14:textId="13579EEC" w:rsidR="006F5FE9" w:rsidRDefault="006F5FE9" w:rsidP="004E6457">
      <w:r w:rsidRPr="004E6457">
        <w:rPr>
          <w:i/>
        </w:rPr>
        <w:t>ПАО «Группа ЛСР»</w:t>
      </w:r>
      <w:r w:rsidRPr="00B876A6">
        <w:t xml:space="preserve"> - публичная российская компания, занимающаяся строительством недвижимости, девелопментом и производством стройматериалов. Головной офис компании находится в Санкт-Петербурге. Компания ведет свою деятельность на Урале, в Москве и Московской области, в Санкт-Петербурге и Ленинградской области, а также в Германии</w:t>
      </w:r>
      <w:r w:rsidR="00934819">
        <w:rPr>
          <w:rStyle w:val="a6"/>
        </w:rPr>
        <w:footnoteReference w:id="46"/>
      </w:r>
      <w:r w:rsidRPr="00B876A6">
        <w:t>.</w:t>
      </w:r>
    </w:p>
    <w:p w14:paraId="2A7813DF" w14:textId="1132C213" w:rsidR="006F5FE9" w:rsidRPr="00B876A6" w:rsidRDefault="006F5FE9" w:rsidP="004E6457">
      <w:r w:rsidRPr="004E6457">
        <w:rPr>
          <w:i/>
        </w:rPr>
        <w:t>Группа Компаний ПИК</w:t>
      </w:r>
      <w:r w:rsidRPr="00B876A6">
        <w:t xml:space="preserve"> – публичная российская компания, ведущая деятельность в области строительства и девелопмента жилой недвижимости. Головной офис компании находится в Москве</w:t>
      </w:r>
      <w:r w:rsidR="00934819">
        <w:rPr>
          <w:rStyle w:val="a6"/>
        </w:rPr>
        <w:footnoteReference w:id="47"/>
      </w:r>
      <w:r w:rsidRPr="00B876A6">
        <w:t>.</w:t>
      </w:r>
    </w:p>
    <w:p w14:paraId="5B9F24BB" w14:textId="0B815D24" w:rsidR="006F5FE9" w:rsidRPr="00B876A6" w:rsidRDefault="006F5FE9" w:rsidP="004E6457">
      <w:r w:rsidRPr="004E6457">
        <w:rPr>
          <w:i/>
        </w:rPr>
        <w:t>ACS Group</w:t>
      </w:r>
      <w:r w:rsidRPr="00B876A6">
        <w:t xml:space="preserve"> – публичная испанская компания, занимающаяся строительством жилой недвижимости. Одна из крупнейших строительных компаний в мире. Компания ведет свою деятельность в Германии, Индии, Бразилии, Чили, Марокко, Австралии, а также других странах мира</w:t>
      </w:r>
      <w:r w:rsidR="00934819">
        <w:rPr>
          <w:rStyle w:val="a6"/>
        </w:rPr>
        <w:footnoteReference w:id="48"/>
      </w:r>
      <w:r w:rsidRPr="00B876A6">
        <w:t xml:space="preserve">. </w:t>
      </w:r>
    </w:p>
    <w:p w14:paraId="03510828" w14:textId="2F909AEE" w:rsidR="006F5FE9" w:rsidRPr="00B876A6" w:rsidRDefault="006F5FE9" w:rsidP="004E6457">
      <w:r w:rsidRPr="004E6457">
        <w:rPr>
          <w:i/>
        </w:rPr>
        <w:t>Skanska group</w:t>
      </w:r>
      <w:r w:rsidRPr="00B876A6">
        <w:t xml:space="preserve"> – шведская публичная строительная и девелоперская компания. Пятая по величине строительная компания в мире по версии журнала «Construction Global»</w:t>
      </w:r>
      <w:r w:rsidR="004E6457">
        <w:rPr>
          <w:rStyle w:val="a6"/>
        </w:rPr>
        <w:footnoteReference w:id="49"/>
      </w:r>
      <w:r w:rsidRPr="00B876A6">
        <w:t>.</w:t>
      </w:r>
    </w:p>
    <w:p w14:paraId="56B2A16D" w14:textId="301D3682" w:rsidR="006F5FE9" w:rsidRDefault="006F5FE9" w:rsidP="004E6457">
      <w:r w:rsidRPr="004E6457">
        <w:rPr>
          <w:i/>
        </w:rPr>
        <w:t>Royal BAM group</w:t>
      </w:r>
      <w:r w:rsidRPr="00B876A6">
        <w:t xml:space="preserve"> – одна из крупнейших европейских строительных компаний. Головной офис находится в Нидерландах. Акции компании торгуются на Euronext Amsterdam (филиал европейской фондовой биржи Euronext NV)</w:t>
      </w:r>
      <w:r w:rsidR="00934819">
        <w:rPr>
          <w:rStyle w:val="a6"/>
        </w:rPr>
        <w:footnoteReference w:id="50"/>
      </w:r>
      <w:r w:rsidRPr="00B876A6">
        <w:t>.</w:t>
      </w:r>
      <w:r w:rsidRPr="008C1E67">
        <w:tab/>
      </w:r>
    </w:p>
    <w:p w14:paraId="032850B7" w14:textId="77777777" w:rsidR="006F5FE9" w:rsidRDefault="006F5FE9" w:rsidP="00200E65">
      <w:pPr>
        <w:spacing w:line="240" w:lineRule="auto"/>
      </w:pPr>
    </w:p>
    <w:p w14:paraId="4177EE58" w14:textId="77777777" w:rsidR="006F5FE9" w:rsidRDefault="006F5FE9" w:rsidP="006F5FE9">
      <w:pPr>
        <w:jc w:val="center"/>
      </w:pPr>
    </w:p>
    <w:p w14:paraId="0FB5E122" w14:textId="77777777" w:rsidR="004A143D" w:rsidRDefault="004A143D" w:rsidP="006F5FE9">
      <w:pPr>
        <w:spacing w:line="240" w:lineRule="auto"/>
      </w:pPr>
    </w:p>
    <w:p w14:paraId="12F4A491" w14:textId="77777777" w:rsidR="004A143D" w:rsidRDefault="004A143D">
      <w:pPr>
        <w:spacing w:line="240" w:lineRule="auto"/>
        <w:ind w:firstLine="0"/>
        <w:jc w:val="left"/>
      </w:pPr>
      <w:r>
        <w:br w:type="page"/>
      </w:r>
    </w:p>
    <w:p w14:paraId="30FF75C5" w14:textId="1FC1F96B" w:rsidR="006F5FE9" w:rsidRDefault="000B1351" w:rsidP="004A143D">
      <w:pPr>
        <w:pStyle w:val="2"/>
      </w:pPr>
      <w:bookmarkStart w:id="38" w:name="_Toc451081026"/>
      <w:r>
        <w:lastRenderedPageBreak/>
        <w:t>Приложение 6 Ф</w:t>
      </w:r>
      <w:r w:rsidR="006F5FE9">
        <w:t>ормы</w:t>
      </w:r>
      <w:r w:rsidR="004A143D">
        <w:t xml:space="preserve"> КС-2, КС-3</w:t>
      </w:r>
      <w:bookmarkEnd w:id="38"/>
    </w:p>
    <w:p w14:paraId="5355CB33" w14:textId="77777777" w:rsidR="006F5FE9" w:rsidRDefault="006F5FE9" w:rsidP="006F5FE9">
      <w:pPr>
        <w:spacing w:line="240" w:lineRule="auto"/>
      </w:pPr>
      <w:r w:rsidRPr="00B5211A">
        <w:rPr>
          <w:noProof/>
          <w:lang w:eastAsia="ru-RU"/>
        </w:rPr>
        <w:drawing>
          <wp:inline distT="0" distB="0" distL="0" distR="0" wp14:anchorId="2F575092" wp14:editId="7EEBCD7D">
            <wp:extent cx="5995035" cy="4984115"/>
            <wp:effectExtent l="0" t="0" r="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0805" cy="4988912"/>
                    </a:xfrm>
                    <a:prstGeom prst="rect">
                      <a:avLst/>
                    </a:prstGeom>
                  </pic:spPr>
                </pic:pic>
              </a:graphicData>
            </a:graphic>
          </wp:inline>
        </w:drawing>
      </w:r>
    </w:p>
    <w:p w14:paraId="0FCF0084" w14:textId="4EE5D596" w:rsidR="00CE4CB5" w:rsidRDefault="00CE4CB5" w:rsidP="00CE4CB5">
      <w:pPr>
        <w:rPr>
          <w:i/>
        </w:rPr>
      </w:pPr>
      <w:r w:rsidRPr="00CE4CB5">
        <w:rPr>
          <w:i/>
        </w:rPr>
        <w:t>Рисунок 1 Форма КС-2 «Акт о приемке выполненных работ»</w:t>
      </w:r>
    </w:p>
    <w:p w14:paraId="26BCA33D" w14:textId="77777777" w:rsidR="00CE4CB5" w:rsidRPr="00CE4CB5" w:rsidRDefault="00CE4CB5" w:rsidP="00CE4CB5">
      <w:pPr>
        <w:rPr>
          <w:i/>
          <w:sz w:val="20"/>
          <w:szCs w:val="20"/>
        </w:rPr>
      </w:pPr>
      <w:r w:rsidRPr="00CE4CB5">
        <w:rPr>
          <w:i/>
          <w:sz w:val="20"/>
          <w:szCs w:val="20"/>
        </w:rPr>
        <w:t>Источник:</w:t>
      </w:r>
      <w:r w:rsidRPr="00CE4CB5">
        <w:rPr>
          <w:sz w:val="20"/>
          <w:szCs w:val="20"/>
        </w:rPr>
        <w:t xml:space="preserve"> </w:t>
      </w:r>
      <w:r w:rsidRPr="00CE4CB5">
        <w:rPr>
          <w:i/>
          <w:sz w:val="20"/>
          <w:szCs w:val="20"/>
        </w:rPr>
        <w:t>Альбом унифицированных форм первичной учетной документации по учету работ в капитальном строительстве и ремонтно-строительных работ" (формы утверждены Постановлением Госкомстата РФ от 11.11.1999 N 100)</w:t>
      </w:r>
    </w:p>
    <w:p w14:paraId="7830B515" w14:textId="77777777" w:rsidR="00CE4CB5" w:rsidRPr="00CE4CB5" w:rsidRDefault="00CE4CB5" w:rsidP="00CE4CB5">
      <w:pPr>
        <w:rPr>
          <w:i/>
        </w:rPr>
      </w:pPr>
    </w:p>
    <w:p w14:paraId="1D614C0E" w14:textId="77777777" w:rsidR="006F5FE9" w:rsidRDefault="006F5FE9" w:rsidP="006F5FE9">
      <w:pPr>
        <w:spacing w:line="240" w:lineRule="auto"/>
      </w:pPr>
      <w:r w:rsidRPr="002A4741">
        <w:rPr>
          <w:noProof/>
          <w:lang w:eastAsia="ru-RU"/>
        </w:rPr>
        <w:lastRenderedPageBreak/>
        <w:drawing>
          <wp:inline distT="0" distB="0" distL="0" distR="0" wp14:anchorId="6C799446" wp14:editId="562C9A81">
            <wp:extent cx="5880735" cy="8194040"/>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80735" cy="8194040"/>
                    </a:xfrm>
                    <a:prstGeom prst="rect">
                      <a:avLst/>
                    </a:prstGeom>
                  </pic:spPr>
                </pic:pic>
              </a:graphicData>
            </a:graphic>
          </wp:inline>
        </w:drawing>
      </w:r>
    </w:p>
    <w:p w14:paraId="10D02A31" w14:textId="25F66295" w:rsidR="00CE4CB5" w:rsidRDefault="00CE4CB5" w:rsidP="00CE4CB5">
      <w:pPr>
        <w:rPr>
          <w:i/>
        </w:rPr>
      </w:pPr>
      <w:r>
        <w:rPr>
          <w:i/>
        </w:rPr>
        <w:t>Рисунок 2 Форма КС-3</w:t>
      </w:r>
      <w:r w:rsidRPr="00CE4CB5">
        <w:rPr>
          <w:i/>
        </w:rPr>
        <w:t xml:space="preserve"> «</w:t>
      </w:r>
      <w:r>
        <w:rPr>
          <w:i/>
        </w:rPr>
        <w:t>Справка о стоимости выполненных работ и затрат</w:t>
      </w:r>
      <w:r w:rsidRPr="00CE4CB5">
        <w:rPr>
          <w:i/>
        </w:rPr>
        <w:t>»</w:t>
      </w:r>
    </w:p>
    <w:p w14:paraId="143424AC" w14:textId="09E329D4" w:rsidR="00CE4CB5" w:rsidRPr="00CE4CB5" w:rsidRDefault="00CE4CB5" w:rsidP="00CE4CB5">
      <w:pPr>
        <w:rPr>
          <w:i/>
          <w:sz w:val="20"/>
          <w:szCs w:val="20"/>
        </w:rPr>
      </w:pPr>
      <w:r w:rsidRPr="00CE4CB5">
        <w:rPr>
          <w:i/>
          <w:sz w:val="20"/>
          <w:szCs w:val="20"/>
        </w:rPr>
        <w:t>Источник:</w:t>
      </w:r>
      <w:r w:rsidRPr="00CE4CB5">
        <w:rPr>
          <w:sz w:val="20"/>
          <w:szCs w:val="20"/>
        </w:rPr>
        <w:t xml:space="preserve"> </w:t>
      </w:r>
      <w:r w:rsidRPr="00CE4CB5">
        <w:rPr>
          <w:i/>
          <w:sz w:val="20"/>
          <w:szCs w:val="20"/>
        </w:rPr>
        <w:t>Альбом унифицированных форм первичной учетной документации по учету работ в капитальном строительстве и ремонтно-строительных работ" (формы утверждены Постановлением Госкомстата РФ от 11.11.1999 N 100)</w:t>
      </w:r>
    </w:p>
    <w:p w14:paraId="4F0513A9" w14:textId="77777777" w:rsidR="00CE4CB5" w:rsidRDefault="00CE4CB5" w:rsidP="006F5FE9">
      <w:pPr>
        <w:spacing w:line="240" w:lineRule="auto"/>
      </w:pPr>
    </w:p>
    <w:p w14:paraId="38AF7779" w14:textId="0AA3CF61" w:rsidR="006F5FE9" w:rsidRDefault="006F5FE9" w:rsidP="006F5FE9">
      <w:pPr>
        <w:pStyle w:val="2"/>
      </w:pPr>
      <w:bookmarkStart w:id="39" w:name="_Toc451081027"/>
      <w:r>
        <w:t xml:space="preserve">Приложение 7 Примеры раскрытия информации по </w:t>
      </w:r>
      <w:r w:rsidR="00C47448">
        <w:t>договорам</w:t>
      </w:r>
      <w:r>
        <w:t xml:space="preserve"> на строительство</w:t>
      </w:r>
      <w:bookmarkEnd w:id="39"/>
    </w:p>
    <w:p w14:paraId="3E873440" w14:textId="6F8A40FC" w:rsidR="006F5FE9" w:rsidRPr="004E7355" w:rsidRDefault="006F5FE9" w:rsidP="006F5FE9">
      <w:pPr>
        <w:spacing w:line="240" w:lineRule="auto"/>
        <w:rPr>
          <w:i/>
        </w:rPr>
      </w:pPr>
      <w:r w:rsidRPr="004E7355">
        <w:rPr>
          <w:i/>
        </w:rPr>
        <w:t>Фрагмент</w:t>
      </w:r>
      <w:r>
        <w:rPr>
          <w:i/>
        </w:rPr>
        <w:t>ы</w:t>
      </w:r>
      <w:r w:rsidRPr="004E7355">
        <w:rPr>
          <w:i/>
        </w:rPr>
        <w:t xml:space="preserve"> годовой консолидированной отчетности по МСФО Группы ЛСР</w:t>
      </w:r>
      <w:r>
        <w:rPr>
          <w:i/>
        </w:rPr>
        <w:t xml:space="preserve"> за 2015 год</w:t>
      </w:r>
      <w:r w:rsidR="000B1351">
        <w:rPr>
          <w:rStyle w:val="a6"/>
          <w:i/>
        </w:rPr>
        <w:footnoteReference w:id="51"/>
      </w:r>
      <w:r w:rsidRPr="004E7355">
        <w:rPr>
          <w:i/>
        </w:rPr>
        <w:t>:</w:t>
      </w:r>
    </w:p>
    <w:p w14:paraId="63EC462D" w14:textId="77777777" w:rsidR="006F5FE9" w:rsidRPr="00200E65" w:rsidRDefault="006F5FE9" w:rsidP="006F5FE9">
      <w:pPr>
        <w:spacing w:line="240" w:lineRule="auto"/>
        <w:rPr>
          <w:b/>
        </w:rPr>
      </w:pPr>
      <w:r w:rsidRPr="00200E65">
        <w:rPr>
          <w:b/>
        </w:rPr>
        <w:t>Договоры на строительство и проектирование</w:t>
      </w:r>
    </w:p>
    <w:p w14:paraId="7A4D1EC3" w14:textId="664EF6C6" w:rsidR="006F5FE9" w:rsidRDefault="006F5FE9" w:rsidP="006F5FE9">
      <w:pPr>
        <w:spacing w:line="240" w:lineRule="auto"/>
      </w:pPr>
      <w:r>
        <w:t xml:space="preserve">Выручка по договорам включает первоначальную сумму, оговоренную в контракте, плюс любые отклонения в работе по договору, претензии и поощрительные выплаты в той мере, в </w:t>
      </w:r>
      <w:r w:rsidR="00C47448">
        <w:t>которой</w:t>
      </w:r>
      <w:r>
        <w:t xml:space="preserve">̆ существует вероятность, что они приведут к признанию выручки и могут быть надежно оценены. Доходы и расходы по договорам на строительство отражаются в отчете о прибыли или убытке и прочем совокупном доходе в тот момент, когда результаты строительных работ могут быть оценены с </w:t>
      </w:r>
      <w:r w:rsidR="00C47448">
        <w:t>максимальной</w:t>
      </w:r>
      <w:r>
        <w:t xml:space="preserve">̆ определенностью в размере, соответствующем определенному завершенному этапу работы. Затраты по договорам признаются как понесенные, за исключением случаев когда они создают актив, </w:t>
      </w:r>
      <w:r w:rsidR="00C47448">
        <w:t>относящийся</w:t>
      </w:r>
      <w:r>
        <w:t xml:space="preserve"> к деятельности в рамках будущих договоров.</w:t>
      </w:r>
    </w:p>
    <w:p w14:paraId="7BA206B0" w14:textId="33C08F85" w:rsidR="006F5FE9" w:rsidRDefault="006F5FE9" w:rsidP="006F5FE9">
      <w:pPr>
        <w:spacing w:line="240" w:lineRule="auto"/>
      </w:pPr>
      <w:r w:rsidRPr="00200E65">
        <w:rPr>
          <w:i/>
        </w:rPr>
        <w:t>Степень завершенности проекта</w:t>
      </w:r>
      <w:r>
        <w:t xml:space="preserve"> определяется, исходя из доли понесенных затрат в </w:t>
      </w:r>
      <w:r w:rsidR="00C47448">
        <w:t>общей</w:t>
      </w:r>
      <w:r>
        <w:t xml:space="preserve">̆ сумме предполагаемых затрат на выполнение договора. </w:t>
      </w:r>
      <w:r w:rsidR="00C47448">
        <w:t>Предполагаемый</w:t>
      </w:r>
      <w:r>
        <w:t>̆ убыток по договору незамедлительно отражается в консолидированном отчете о прибыли или убытке и прочем совокупном доходе.</w:t>
      </w:r>
    </w:p>
    <w:p w14:paraId="11E784DA" w14:textId="77777777" w:rsidR="006F5FE9" w:rsidRDefault="006F5FE9" w:rsidP="006F5FE9">
      <w:pPr>
        <w:spacing w:line="240" w:lineRule="auto"/>
      </w:pPr>
    </w:p>
    <w:p w14:paraId="79E05CDC" w14:textId="77777777" w:rsidR="006F5FE9" w:rsidRDefault="006F5FE9" w:rsidP="006F5FE9">
      <w:pPr>
        <w:spacing w:line="240" w:lineRule="auto"/>
      </w:pPr>
      <w:r>
        <w:rPr>
          <w:noProof/>
          <w:lang w:eastAsia="ru-RU"/>
        </w:rPr>
        <w:drawing>
          <wp:inline distT="0" distB="0" distL="0" distR="0" wp14:anchorId="4892F9FF" wp14:editId="38F80C98">
            <wp:extent cx="5950585" cy="2654935"/>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2016-05-05 в 23.14.04.png"/>
                    <pic:cNvPicPr/>
                  </pic:nvPicPr>
                  <pic:blipFill>
                    <a:blip r:embed="rId20">
                      <a:extLst>
                        <a:ext uri="{28A0092B-C50C-407E-A947-70E740481C1C}">
                          <a14:useLocalDpi xmlns:a14="http://schemas.microsoft.com/office/drawing/2010/main" val="0"/>
                        </a:ext>
                      </a:extLst>
                    </a:blip>
                    <a:stretch>
                      <a:fillRect/>
                    </a:stretch>
                  </pic:blipFill>
                  <pic:spPr>
                    <a:xfrm>
                      <a:off x="0" y="0"/>
                      <a:ext cx="5950585" cy="2654935"/>
                    </a:xfrm>
                    <a:prstGeom prst="rect">
                      <a:avLst/>
                    </a:prstGeom>
                  </pic:spPr>
                </pic:pic>
              </a:graphicData>
            </a:graphic>
          </wp:inline>
        </w:drawing>
      </w:r>
    </w:p>
    <w:p w14:paraId="3FD1DB8F" w14:textId="77777777" w:rsidR="006F5FE9" w:rsidRPr="000049D0" w:rsidRDefault="006F5FE9" w:rsidP="00200E65">
      <w:pPr>
        <w:spacing w:line="240" w:lineRule="auto"/>
      </w:pPr>
    </w:p>
    <w:sectPr w:rsidR="006F5FE9" w:rsidRPr="000049D0" w:rsidSect="00A75B6D">
      <w:headerReference w:type="even" r:id="rId21"/>
      <w:headerReference w:type="default" r:id="rId22"/>
      <w:footerReference w:type="even" r:id="rId23"/>
      <w:footerReference w:type="first" r:id="rId24"/>
      <w:pgSz w:w="11900" w:h="16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AB5EA" w14:textId="77777777" w:rsidR="00151897" w:rsidRDefault="00151897" w:rsidP="00D544D2">
      <w:pPr>
        <w:spacing w:line="240" w:lineRule="auto"/>
      </w:pPr>
      <w:r>
        <w:separator/>
      </w:r>
    </w:p>
  </w:endnote>
  <w:endnote w:type="continuationSeparator" w:id="0">
    <w:p w14:paraId="24031F98" w14:textId="77777777" w:rsidR="00151897" w:rsidRDefault="00151897" w:rsidP="00D54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8ACC" w14:textId="77777777" w:rsidR="002E21F4" w:rsidRDefault="002E21F4" w:rsidP="009C6E2A">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595B0DD" w14:textId="77777777" w:rsidR="002E21F4" w:rsidRDefault="002E21F4">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28B7" w14:textId="77777777" w:rsidR="002E21F4" w:rsidRDefault="002E21F4" w:rsidP="009C6E2A">
    <w:pPr>
      <w:pStyle w:val="a8"/>
      <w:framePr w:wrap="none" w:vAnchor="text" w:hAnchor="margin" w:xAlign="center" w:y="1"/>
      <w:rPr>
        <w:rStyle w:val="aa"/>
      </w:rPr>
    </w:pPr>
  </w:p>
  <w:p w14:paraId="3D31D7D6" w14:textId="77777777" w:rsidR="002E21F4" w:rsidRDefault="002E21F4" w:rsidP="009C6E2A">
    <w:pPr>
      <w:pStyle w:val="a8"/>
      <w:framePr w:wrap="none" w:vAnchor="text" w:hAnchor="margin" w:xAlign="center" w:y="1"/>
      <w:rPr>
        <w:rStyle w:val="aa"/>
      </w:rPr>
    </w:pPr>
  </w:p>
  <w:p w14:paraId="3C320109" w14:textId="77777777" w:rsidR="002E21F4" w:rsidRDefault="002E21F4">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DA67" w14:textId="77777777" w:rsidR="00151897" w:rsidRDefault="00151897" w:rsidP="00D544D2">
      <w:pPr>
        <w:spacing w:line="240" w:lineRule="auto"/>
      </w:pPr>
      <w:r>
        <w:separator/>
      </w:r>
    </w:p>
  </w:footnote>
  <w:footnote w:type="continuationSeparator" w:id="0">
    <w:p w14:paraId="5B9534D4" w14:textId="77777777" w:rsidR="00151897" w:rsidRDefault="00151897" w:rsidP="00D544D2">
      <w:pPr>
        <w:spacing w:line="240" w:lineRule="auto"/>
      </w:pPr>
      <w:r>
        <w:continuationSeparator/>
      </w:r>
    </w:p>
  </w:footnote>
  <w:footnote w:id="1">
    <w:p w14:paraId="3AAF4214" w14:textId="1A6424D5" w:rsidR="002E21F4" w:rsidRPr="00C55CAB" w:rsidRDefault="002E21F4" w:rsidP="00676712">
      <w:pPr>
        <w:spacing w:line="240" w:lineRule="auto"/>
      </w:pPr>
      <w:r>
        <w:rPr>
          <w:rStyle w:val="a6"/>
        </w:rPr>
        <w:footnoteRef/>
      </w:r>
      <w:r w:rsidRPr="000375A1">
        <w:rPr>
          <w:sz w:val="20"/>
          <w:szCs w:val="20"/>
        </w:rPr>
        <w:t>Статистический сборник «Строительство в России», 2014г. – Федеральная слу</w:t>
      </w:r>
      <w:r>
        <w:rPr>
          <w:sz w:val="20"/>
          <w:szCs w:val="20"/>
        </w:rPr>
        <w:t>жба государственной статистики. URL:</w:t>
      </w:r>
      <w:r w:rsidRPr="000375A1">
        <w:rPr>
          <w:sz w:val="20"/>
          <w:szCs w:val="20"/>
        </w:rPr>
        <w:t>http://www.gks.ru/wps/wcm/connect/rosstat_main/rosstat/ru/statistics/publications/catalog/doc_1138716432453 (дата обращения: 23.03.2016).</w:t>
      </w:r>
    </w:p>
  </w:footnote>
  <w:footnote w:id="2">
    <w:p w14:paraId="353DE19D" w14:textId="61A8650B" w:rsidR="002E21F4" w:rsidRPr="00514283" w:rsidRDefault="002E21F4">
      <w:pPr>
        <w:pStyle w:val="a4"/>
        <w:rPr>
          <w:sz w:val="20"/>
          <w:szCs w:val="20"/>
        </w:rPr>
      </w:pPr>
      <w:r>
        <w:rPr>
          <w:rStyle w:val="a6"/>
        </w:rPr>
        <w:footnoteRef/>
      </w:r>
      <w:r w:rsidRPr="00514283">
        <w:rPr>
          <w:sz w:val="20"/>
          <w:szCs w:val="20"/>
        </w:rPr>
        <w:t>Официальный сайт Международной Финансовой Корпорации</w:t>
      </w:r>
      <w:r>
        <w:rPr>
          <w:sz w:val="20"/>
          <w:szCs w:val="20"/>
        </w:rPr>
        <w:t>.</w:t>
      </w:r>
      <w:r w:rsidRPr="00514283">
        <w:rPr>
          <w:sz w:val="20"/>
          <w:szCs w:val="20"/>
        </w:rPr>
        <w:t xml:space="preserve"> </w:t>
      </w:r>
      <w:r w:rsidRPr="00514283">
        <w:rPr>
          <w:sz w:val="20"/>
          <w:szCs w:val="20"/>
          <w:lang w:val="en-US"/>
        </w:rPr>
        <w:t>URL</w:t>
      </w:r>
      <w:r w:rsidRPr="00514283">
        <w:rPr>
          <w:sz w:val="20"/>
          <w:szCs w:val="20"/>
        </w:rPr>
        <w:t xml:space="preserve">: </w:t>
      </w:r>
      <w:r w:rsidRPr="008E12CA">
        <w:rPr>
          <w:sz w:val="20"/>
          <w:szCs w:val="20"/>
        </w:rPr>
        <w:t>http://www.ifc.org</w:t>
      </w:r>
      <w:r>
        <w:rPr>
          <w:sz w:val="20"/>
          <w:szCs w:val="20"/>
        </w:rPr>
        <w:t xml:space="preserve"> </w:t>
      </w:r>
      <w:r w:rsidRPr="00514283">
        <w:rPr>
          <w:sz w:val="20"/>
          <w:szCs w:val="20"/>
        </w:rPr>
        <w:t>(дата обращения: 06.04.2016)</w:t>
      </w:r>
      <w:r>
        <w:rPr>
          <w:sz w:val="20"/>
          <w:szCs w:val="20"/>
        </w:rPr>
        <w:t>.</w:t>
      </w:r>
    </w:p>
  </w:footnote>
  <w:footnote w:id="3">
    <w:p w14:paraId="22050526" w14:textId="74B335F3" w:rsidR="002E21F4" w:rsidRPr="00514283" w:rsidRDefault="002E21F4" w:rsidP="00F25E9D">
      <w:pPr>
        <w:pStyle w:val="a4"/>
        <w:rPr>
          <w:sz w:val="20"/>
          <w:szCs w:val="20"/>
        </w:rPr>
      </w:pPr>
      <w:r w:rsidRPr="00514283">
        <w:rPr>
          <w:rStyle w:val="a6"/>
          <w:sz w:val="20"/>
          <w:szCs w:val="20"/>
        </w:rPr>
        <w:footnoteRef/>
      </w:r>
      <w:r w:rsidRPr="00514283">
        <w:rPr>
          <w:sz w:val="20"/>
          <w:szCs w:val="20"/>
        </w:rPr>
        <w:t xml:space="preserve">Аналитический раздел Официального сайта компании </w:t>
      </w:r>
      <w:r w:rsidRPr="00514283">
        <w:rPr>
          <w:sz w:val="20"/>
          <w:szCs w:val="20"/>
          <w:lang w:val="en-US"/>
        </w:rPr>
        <w:t>Vegas</w:t>
      </w:r>
      <w:r w:rsidRPr="00514283">
        <w:rPr>
          <w:sz w:val="20"/>
          <w:szCs w:val="20"/>
        </w:rPr>
        <w:t xml:space="preserve"> </w:t>
      </w:r>
      <w:r w:rsidRPr="00514283">
        <w:rPr>
          <w:sz w:val="20"/>
          <w:szCs w:val="20"/>
          <w:lang w:val="en-US"/>
        </w:rPr>
        <w:t>lex</w:t>
      </w:r>
      <w:r>
        <w:rPr>
          <w:sz w:val="20"/>
          <w:szCs w:val="20"/>
          <w:lang w:val="en-US"/>
        </w:rPr>
        <w:t>.</w:t>
      </w:r>
      <w:r w:rsidRPr="00514283">
        <w:rPr>
          <w:sz w:val="20"/>
          <w:szCs w:val="20"/>
          <w:lang w:val="en-US"/>
        </w:rPr>
        <w:t xml:space="preserve"> URL:</w:t>
      </w:r>
      <w:r>
        <w:rPr>
          <w:sz w:val="20"/>
          <w:szCs w:val="20"/>
          <w:lang w:val="en-US"/>
        </w:rPr>
        <w:t xml:space="preserve"> </w:t>
      </w:r>
      <w:r w:rsidRPr="00514283">
        <w:rPr>
          <w:sz w:val="20"/>
          <w:szCs w:val="20"/>
        </w:rPr>
        <w:t>http://vegaslex.ru/analytics/ (дата обращения: 07.04.2016)</w:t>
      </w:r>
      <w:r>
        <w:rPr>
          <w:sz w:val="20"/>
          <w:szCs w:val="20"/>
        </w:rPr>
        <w:t>.</w:t>
      </w:r>
    </w:p>
  </w:footnote>
  <w:footnote w:id="4">
    <w:p w14:paraId="35A356BA" w14:textId="19A2ECD3" w:rsidR="002E21F4" w:rsidRDefault="002E21F4">
      <w:pPr>
        <w:pStyle w:val="a4"/>
      </w:pPr>
      <w:r w:rsidRPr="00514283">
        <w:rPr>
          <w:rStyle w:val="a6"/>
          <w:sz w:val="20"/>
          <w:szCs w:val="20"/>
        </w:rPr>
        <w:footnoteRef/>
      </w:r>
      <w:r w:rsidRPr="00514283">
        <w:rPr>
          <w:sz w:val="20"/>
          <w:szCs w:val="20"/>
        </w:rPr>
        <w:t>Официальный сайт департамента градостроительной политики Москвы</w:t>
      </w:r>
      <w:r>
        <w:rPr>
          <w:sz w:val="20"/>
          <w:szCs w:val="20"/>
        </w:rPr>
        <w:t>.</w:t>
      </w:r>
      <w:r w:rsidRPr="00514283">
        <w:rPr>
          <w:sz w:val="20"/>
          <w:szCs w:val="20"/>
        </w:rPr>
        <w:t xml:space="preserve"> URL: http://dgp.mos.ru (дата обращения: 07.04.2016)</w:t>
      </w:r>
      <w:r>
        <w:rPr>
          <w:sz w:val="20"/>
          <w:szCs w:val="20"/>
        </w:rPr>
        <w:t>.</w:t>
      </w:r>
    </w:p>
  </w:footnote>
  <w:footnote w:id="5">
    <w:p w14:paraId="000B09BC" w14:textId="51E671ED" w:rsidR="002E21F4" w:rsidRDefault="002E21F4" w:rsidP="00CC411C">
      <w:pPr>
        <w:pStyle w:val="af3"/>
      </w:pPr>
      <w:r>
        <w:rPr>
          <w:rStyle w:val="a6"/>
        </w:rPr>
        <w:footnoteRef/>
      </w:r>
      <w:r w:rsidRPr="00676712">
        <w:t>Бараз, В.Р. Корреляционно-регрессионный анализ связи показателей коммерческой деятельности с использованием программы Excel : учебное пособие / В.Р. БАРАЗ. – Екатеринбург : ГОУ ВПО «УГТУ–УПИ», 2005. – С. 96.</w:t>
      </w:r>
    </w:p>
  </w:footnote>
  <w:footnote w:id="6">
    <w:p w14:paraId="562D7474" w14:textId="77777777" w:rsidR="002E21F4" w:rsidRPr="009E60EB" w:rsidRDefault="002E21F4" w:rsidP="008B523F">
      <w:pPr>
        <w:pStyle w:val="af3"/>
      </w:pPr>
      <w:r w:rsidRPr="008B523F">
        <w:rPr>
          <w:rStyle w:val="a6"/>
        </w:rPr>
        <w:footnoteRef/>
      </w:r>
      <w:r w:rsidRPr="008B523F">
        <w:rPr>
          <w:color w:val="000000" w:themeColor="text1"/>
          <w:szCs w:val="20"/>
        </w:rPr>
        <w:t>Бараз, В.Р. Корреляционно-регрессионный анализ связи показателей коммерческой деятельности с использованием программы Excel : учебное пособие / В.Р. БАРАЗ. – Екатеринбург : ГОУ ВПО «УГТУ–УПИ», 2005. – С. 97.</w:t>
      </w:r>
    </w:p>
  </w:footnote>
  <w:footnote w:id="7">
    <w:p w14:paraId="7876DE40" w14:textId="7277C360" w:rsidR="002E21F4" w:rsidRPr="00154618" w:rsidRDefault="002E21F4" w:rsidP="005F1FD5">
      <w:pPr>
        <w:pStyle w:val="a4"/>
        <w:rPr>
          <w:sz w:val="20"/>
          <w:szCs w:val="20"/>
        </w:rPr>
      </w:pPr>
      <w:r w:rsidRPr="00154618">
        <w:rPr>
          <w:rStyle w:val="a6"/>
          <w:sz w:val="20"/>
          <w:szCs w:val="20"/>
        </w:rPr>
        <w:footnoteRef/>
      </w:r>
      <w:r w:rsidRPr="00154618">
        <w:rPr>
          <w:sz w:val="20"/>
          <w:szCs w:val="20"/>
        </w:rPr>
        <w:t xml:space="preserve">Годовая Консолидированная отчетность Группы ЛСР за 2015 год. </w:t>
      </w:r>
      <w:r w:rsidRPr="00154618">
        <w:rPr>
          <w:sz w:val="20"/>
          <w:szCs w:val="20"/>
          <w:lang w:val="en-US"/>
        </w:rPr>
        <w:t>URL</w:t>
      </w:r>
      <w:r w:rsidRPr="00154618">
        <w:rPr>
          <w:sz w:val="20"/>
          <w:szCs w:val="20"/>
        </w:rPr>
        <w:t>:</w:t>
      </w:r>
      <w:r w:rsidRPr="00154618">
        <w:rPr>
          <w:sz w:val="20"/>
          <w:szCs w:val="20"/>
          <w:lang w:val="en-US"/>
        </w:rPr>
        <w:t>http</w:t>
      </w:r>
      <w:r w:rsidRPr="00154618">
        <w:rPr>
          <w:sz w:val="20"/>
          <w:szCs w:val="20"/>
        </w:rPr>
        <w:t>://</w:t>
      </w:r>
      <w:r w:rsidRPr="00154618">
        <w:rPr>
          <w:sz w:val="20"/>
          <w:szCs w:val="20"/>
          <w:lang w:val="en-US"/>
        </w:rPr>
        <w:t>www</w:t>
      </w:r>
      <w:r w:rsidRPr="00154618">
        <w:rPr>
          <w:sz w:val="20"/>
          <w:szCs w:val="20"/>
        </w:rPr>
        <w:t>.</w:t>
      </w:r>
      <w:r w:rsidRPr="00154618">
        <w:rPr>
          <w:sz w:val="20"/>
          <w:szCs w:val="20"/>
          <w:lang w:val="en-US"/>
        </w:rPr>
        <w:t>lsrgroup</w:t>
      </w:r>
      <w:r w:rsidRPr="00154618">
        <w:rPr>
          <w:sz w:val="20"/>
          <w:szCs w:val="20"/>
        </w:rPr>
        <w:t>.</w:t>
      </w:r>
      <w:r w:rsidRPr="00154618">
        <w:rPr>
          <w:sz w:val="20"/>
          <w:szCs w:val="20"/>
          <w:lang w:val="en-US"/>
        </w:rPr>
        <w:t>ru</w:t>
      </w:r>
      <w:r w:rsidRPr="00154618">
        <w:rPr>
          <w:sz w:val="20"/>
          <w:szCs w:val="20"/>
        </w:rPr>
        <w:t>/</w:t>
      </w:r>
      <w:r w:rsidRPr="00154618">
        <w:rPr>
          <w:sz w:val="20"/>
          <w:szCs w:val="20"/>
          <w:lang w:val="en-US"/>
        </w:rPr>
        <w:t>media</w:t>
      </w:r>
      <w:r w:rsidRPr="00154618">
        <w:rPr>
          <w:sz w:val="20"/>
          <w:szCs w:val="20"/>
        </w:rPr>
        <w:t>/</w:t>
      </w:r>
      <w:r w:rsidRPr="00154618">
        <w:rPr>
          <w:sz w:val="20"/>
          <w:szCs w:val="20"/>
          <w:lang w:val="en-US"/>
        </w:rPr>
        <w:t>files</w:t>
      </w:r>
      <w:r w:rsidRPr="00154618">
        <w:rPr>
          <w:sz w:val="20"/>
          <w:szCs w:val="20"/>
        </w:rPr>
        <w:t>/1165_</w:t>
      </w:r>
      <w:r w:rsidRPr="00154618">
        <w:rPr>
          <w:sz w:val="20"/>
          <w:szCs w:val="20"/>
          <w:lang w:val="en-US"/>
        </w:rPr>
        <w:t>LSR</w:t>
      </w:r>
      <w:r w:rsidRPr="00154618">
        <w:rPr>
          <w:sz w:val="20"/>
          <w:szCs w:val="20"/>
        </w:rPr>
        <w:t>-</w:t>
      </w:r>
      <w:r w:rsidRPr="00154618">
        <w:rPr>
          <w:sz w:val="20"/>
          <w:szCs w:val="20"/>
          <w:lang w:val="en-US"/>
        </w:rPr>
        <w:t>CFS</w:t>
      </w:r>
      <w:r w:rsidRPr="00154618">
        <w:rPr>
          <w:sz w:val="20"/>
          <w:szCs w:val="20"/>
        </w:rPr>
        <w:t>-12</w:t>
      </w:r>
      <w:r w:rsidRPr="00154618">
        <w:rPr>
          <w:sz w:val="20"/>
          <w:szCs w:val="20"/>
          <w:lang w:val="en-US"/>
        </w:rPr>
        <w:t>m</w:t>
      </w:r>
      <w:r w:rsidRPr="00154618">
        <w:rPr>
          <w:sz w:val="20"/>
          <w:szCs w:val="20"/>
        </w:rPr>
        <w:t>2015_</w:t>
      </w:r>
      <w:r w:rsidRPr="00154618">
        <w:rPr>
          <w:sz w:val="20"/>
          <w:szCs w:val="20"/>
          <w:lang w:val="en-US"/>
        </w:rPr>
        <w:t>RUS</w:t>
      </w:r>
      <w:r w:rsidRPr="00154618">
        <w:rPr>
          <w:sz w:val="20"/>
          <w:szCs w:val="20"/>
        </w:rPr>
        <w:t>_</w:t>
      </w:r>
      <w:r w:rsidRPr="00154618">
        <w:rPr>
          <w:sz w:val="20"/>
          <w:szCs w:val="20"/>
          <w:lang w:val="en-US"/>
        </w:rPr>
        <w:t>FINAL</w:t>
      </w:r>
      <w:r w:rsidRPr="00154618">
        <w:rPr>
          <w:sz w:val="20"/>
          <w:szCs w:val="20"/>
        </w:rPr>
        <w:t>.</w:t>
      </w:r>
      <w:r w:rsidRPr="00154618">
        <w:rPr>
          <w:sz w:val="20"/>
          <w:szCs w:val="20"/>
          <w:lang w:val="en-US"/>
        </w:rPr>
        <w:t>pdf</w:t>
      </w:r>
      <w:r w:rsidRPr="00154618">
        <w:rPr>
          <w:sz w:val="20"/>
          <w:szCs w:val="20"/>
        </w:rPr>
        <w:t xml:space="preserve"> (дата обращения: 25.04.2016).</w:t>
      </w:r>
    </w:p>
  </w:footnote>
  <w:footnote w:id="8">
    <w:p w14:paraId="03394027" w14:textId="1CFA3EB1" w:rsidR="002E21F4" w:rsidRPr="00DE61DE" w:rsidRDefault="002E21F4">
      <w:pPr>
        <w:pStyle w:val="a4"/>
      </w:pPr>
      <w:r w:rsidRPr="00154618">
        <w:rPr>
          <w:rStyle w:val="a6"/>
          <w:sz w:val="20"/>
          <w:szCs w:val="20"/>
        </w:rPr>
        <w:footnoteRef/>
      </w:r>
      <w:r w:rsidRPr="00154618">
        <w:rPr>
          <w:sz w:val="20"/>
          <w:szCs w:val="20"/>
        </w:rPr>
        <w:t xml:space="preserve">Официальный сайт Московской Биржи. </w:t>
      </w:r>
      <w:r w:rsidRPr="00154618">
        <w:rPr>
          <w:sz w:val="20"/>
          <w:szCs w:val="20"/>
          <w:lang w:val="en-US"/>
        </w:rPr>
        <w:t>URL</w:t>
      </w:r>
      <w:r w:rsidRPr="00154618">
        <w:rPr>
          <w:sz w:val="20"/>
          <w:szCs w:val="20"/>
        </w:rPr>
        <w:t>:http://moex.com (дата обращения: 25.04.2016).</w:t>
      </w:r>
    </w:p>
  </w:footnote>
  <w:footnote w:id="9">
    <w:p w14:paraId="22C4E827" w14:textId="5E3988E8" w:rsidR="002E21F4" w:rsidRPr="00EE4D97" w:rsidRDefault="002E21F4" w:rsidP="00EE4D97">
      <w:pPr>
        <w:pStyle w:val="a"/>
        <w:numPr>
          <w:ilvl w:val="0"/>
          <w:numId w:val="0"/>
        </w:numPr>
        <w:spacing w:line="240" w:lineRule="auto"/>
        <w:ind w:firstLine="284"/>
        <w:rPr>
          <w:sz w:val="20"/>
          <w:szCs w:val="20"/>
        </w:rPr>
      </w:pPr>
      <w:r w:rsidRPr="00EE4D97">
        <w:rPr>
          <w:rStyle w:val="a6"/>
          <w:sz w:val="20"/>
          <w:szCs w:val="20"/>
        </w:rPr>
        <w:footnoteRef/>
      </w:r>
      <w:r w:rsidRPr="00EE4D97">
        <w:rPr>
          <w:sz w:val="20"/>
          <w:szCs w:val="20"/>
        </w:rPr>
        <w:t xml:space="preserve">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w:t>
      </w:r>
      <w:r w:rsidRPr="00011BB3">
        <w:rPr>
          <w:sz w:val="20"/>
          <w:szCs w:val="20"/>
        </w:rPr>
        <w:t>28.12.2015 N 217н</w:t>
      </w:r>
      <w:r w:rsidRPr="00EE4D97">
        <w:rPr>
          <w:sz w:val="20"/>
          <w:szCs w:val="20"/>
        </w:rPr>
        <w:t>).</w:t>
      </w:r>
    </w:p>
  </w:footnote>
  <w:footnote w:id="10">
    <w:p w14:paraId="424B5489" w14:textId="75254AFA" w:rsidR="002E21F4" w:rsidRPr="00EE4D97" w:rsidRDefault="002E21F4" w:rsidP="00EE4D97">
      <w:pPr>
        <w:pStyle w:val="a"/>
        <w:numPr>
          <w:ilvl w:val="0"/>
          <w:numId w:val="0"/>
        </w:numPr>
        <w:spacing w:line="240" w:lineRule="auto"/>
        <w:ind w:firstLine="284"/>
        <w:rPr>
          <w:highlight w:val="yellow"/>
        </w:rPr>
      </w:pPr>
      <w:r w:rsidRPr="00EE4D97">
        <w:rPr>
          <w:rStyle w:val="a6"/>
          <w:sz w:val="20"/>
          <w:szCs w:val="20"/>
        </w:rPr>
        <w:footnoteRef/>
      </w:r>
      <w:r w:rsidRPr="00EE4D97">
        <w:rPr>
          <w:sz w:val="20"/>
          <w:szCs w:val="20"/>
        </w:rPr>
        <w:t xml:space="preserve">Международный стандарт финансовой отчетности (IAS) 18 «Выручка» (введен в действие на территории Российской Федерации Приказом Минфина РФ от </w:t>
      </w:r>
      <w:r w:rsidRPr="00011BB3">
        <w:rPr>
          <w:sz w:val="20"/>
          <w:szCs w:val="20"/>
        </w:rPr>
        <w:t>28.12.2015 N 217н</w:t>
      </w:r>
      <w:r w:rsidRPr="00EE4D97">
        <w:rPr>
          <w:sz w:val="20"/>
          <w:szCs w:val="20"/>
        </w:rPr>
        <w:t>).</w:t>
      </w:r>
      <w:r w:rsidRPr="00EE4D97">
        <w:t xml:space="preserve"> </w:t>
      </w:r>
    </w:p>
  </w:footnote>
  <w:footnote w:id="11">
    <w:p w14:paraId="30BB1BD5" w14:textId="10686324" w:rsidR="002E21F4" w:rsidRPr="000E5DDB" w:rsidRDefault="002E21F4" w:rsidP="000E5DDB">
      <w:pPr>
        <w:pStyle w:val="a4"/>
        <w:rPr>
          <w:sz w:val="20"/>
          <w:szCs w:val="20"/>
        </w:rPr>
      </w:pPr>
      <w:r w:rsidRPr="000E5DDB">
        <w:rPr>
          <w:rStyle w:val="a6"/>
          <w:sz w:val="20"/>
          <w:szCs w:val="20"/>
        </w:rPr>
        <w:footnoteRef/>
      </w:r>
      <w:r w:rsidRPr="000E5DDB">
        <w:rPr>
          <w:sz w:val="20"/>
          <w:szCs w:val="20"/>
        </w:rPr>
        <w:t>Федеральный закон от 27.07.2010 N 208-ФЗ (ред. от 04.11.2014) "О консолидированной финансовой отчетности", ст. 2, п.2.</w:t>
      </w:r>
    </w:p>
  </w:footnote>
  <w:footnote w:id="12">
    <w:p w14:paraId="2EA5F8D4" w14:textId="20120B9A" w:rsidR="002E21F4" w:rsidRPr="000E5DDB" w:rsidRDefault="002E21F4" w:rsidP="000E5DDB">
      <w:pPr>
        <w:pStyle w:val="a4"/>
        <w:rPr>
          <w:sz w:val="20"/>
          <w:szCs w:val="20"/>
        </w:rPr>
      </w:pPr>
      <w:r w:rsidRPr="000E5DDB">
        <w:rPr>
          <w:rStyle w:val="a6"/>
          <w:sz w:val="20"/>
          <w:szCs w:val="20"/>
        </w:rPr>
        <w:footnoteRef/>
      </w:r>
      <w:r w:rsidRPr="000E5DDB">
        <w:rPr>
          <w:sz w:val="20"/>
          <w:szCs w:val="20"/>
        </w:rPr>
        <w:t>Международный стандарт финансовой отчетности (IFRS) 10 "Консолидированная финансовая отчетность" (введен в действие на территории Российской Федерации Приказом Минфина России от 28.12.2015 N 217н).</w:t>
      </w:r>
    </w:p>
  </w:footnote>
  <w:footnote w:id="13">
    <w:p w14:paraId="4FB9EA9D" w14:textId="744F90ED" w:rsidR="002E21F4" w:rsidRPr="000E5DDB" w:rsidRDefault="002E21F4" w:rsidP="000E5DDB">
      <w:pPr>
        <w:pStyle w:val="a4"/>
        <w:rPr>
          <w:sz w:val="20"/>
          <w:szCs w:val="20"/>
        </w:rPr>
      </w:pPr>
      <w:r w:rsidRPr="000E5DDB">
        <w:rPr>
          <w:rStyle w:val="a6"/>
          <w:sz w:val="20"/>
          <w:szCs w:val="20"/>
        </w:rPr>
        <w:footnoteRef/>
      </w:r>
      <w:r w:rsidRPr="000E5DDB">
        <w:rPr>
          <w:sz w:val="20"/>
          <w:szCs w:val="20"/>
        </w:rPr>
        <w:t>Бирюкова М.Г. Формирование сегментарной отчетности в строительных холдингах / Бирюкова М.Г. // Вектор науки Тольяттинского государственного университета. – 2011. - № 3. - С. 148.</w:t>
      </w:r>
    </w:p>
  </w:footnote>
  <w:footnote w:id="14">
    <w:p w14:paraId="0841FA47" w14:textId="027F9A50" w:rsidR="002E21F4" w:rsidRDefault="002E21F4" w:rsidP="000E5DDB">
      <w:pPr>
        <w:pStyle w:val="a4"/>
      </w:pPr>
      <w:r w:rsidRPr="000E5DDB">
        <w:rPr>
          <w:rStyle w:val="a6"/>
          <w:sz w:val="20"/>
          <w:szCs w:val="20"/>
        </w:rPr>
        <w:footnoteRef/>
      </w:r>
      <w:r w:rsidRPr="000E5DDB">
        <w:rPr>
          <w:sz w:val="20"/>
          <w:szCs w:val="20"/>
        </w:rPr>
        <w:t>Международный стандарт финансовой отчетности (IFRS) 8 "Операционные сегменты" (введен в действие на территории Российской Федерации Приказом Минфина России от 28.12.2015 N 217н).</w:t>
      </w:r>
    </w:p>
  </w:footnote>
  <w:footnote w:id="15">
    <w:p w14:paraId="1815C9F0" w14:textId="117D510C" w:rsidR="002E21F4" w:rsidRPr="002F5BB3" w:rsidRDefault="002E21F4" w:rsidP="002F5BB3">
      <w:pPr>
        <w:pStyle w:val="a4"/>
        <w:rPr>
          <w:sz w:val="20"/>
          <w:szCs w:val="20"/>
        </w:rPr>
      </w:pPr>
      <w:r w:rsidRPr="002F5BB3">
        <w:rPr>
          <w:rStyle w:val="a6"/>
          <w:sz w:val="20"/>
          <w:szCs w:val="20"/>
        </w:rPr>
        <w:footnoteRef/>
      </w:r>
      <w:r w:rsidRPr="002F5BB3">
        <w:rPr>
          <w:sz w:val="20"/>
          <w:szCs w:val="20"/>
        </w:rPr>
        <w:t>Международный стандарт финансовой отчетности (IAS) 21 "Влияние изменений валютных курсов" (введен в действие на территории Российской Федерации Приказом Минфина России от 28.12.2015 N 217н).</w:t>
      </w:r>
    </w:p>
  </w:footnote>
  <w:footnote w:id="16">
    <w:p w14:paraId="35A2446E" w14:textId="75B2B8D9" w:rsidR="002E21F4" w:rsidRPr="002F5BB3" w:rsidRDefault="002E21F4" w:rsidP="002F5BB3">
      <w:pPr>
        <w:pStyle w:val="a4"/>
        <w:rPr>
          <w:sz w:val="20"/>
          <w:szCs w:val="20"/>
        </w:rPr>
      </w:pPr>
      <w:r w:rsidRPr="002F5BB3">
        <w:rPr>
          <w:rStyle w:val="a6"/>
          <w:sz w:val="20"/>
          <w:szCs w:val="20"/>
        </w:rPr>
        <w:footnoteRef/>
      </w:r>
      <w:r w:rsidRPr="002F5BB3">
        <w:rPr>
          <w:sz w:val="20"/>
          <w:szCs w:val="20"/>
        </w:rPr>
        <w:t>Международный стандарт финансовой отчетности (IAS) 37 "Резервы, условные обязательства и условные активы" (ред. от 26.08.2015) (введен в действие на территории Российской Ф</w:t>
      </w:r>
      <w:r>
        <w:rPr>
          <w:sz w:val="20"/>
          <w:szCs w:val="20"/>
        </w:rPr>
        <w:t xml:space="preserve">едерации Приказом Минфина </w:t>
      </w:r>
      <w:r w:rsidRPr="00EE4D97">
        <w:rPr>
          <w:sz w:val="20"/>
          <w:szCs w:val="20"/>
        </w:rPr>
        <w:t xml:space="preserve">РФ от </w:t>
      </w:r>
      <w:r w:rsidRPr="00011BB3">
        <w:rPr>
          <w:sz w:val="20"/>
          <w:szCs w:val="20"/>
        </w:rPr>
        <w:t>28.12.2015 N 217н</w:t>
      </w:r>
      <w:r w:rsidRPr="002F5BB3">
        <w:rPr>
          <w:sz w:val="20"/>
          <w:szCs w:val="20"/>
        </w:rPr>
        <w:t>).</w:t>
      </w:r>
    </w:p>
  </w:footnote>
  <w:footnote w:id="17">
    <w:p w14:paraId="277F8C0B" w14:textId="4437CE07" w:rsidR="002E21F4" w:rsidRDefault="002E21F4" w:rsidP="002F5BB3">
      <w:pPr>
        <w:pStyle w:val="a4"/>
      </w:pPr>
      <w:r w:rsidRPr="002F5BB3">
        <w:rPr>
          <w:rStyle w:val="a6"/>
          <w:sz w:val="20"/>
          <w:szCs w:val="20"/>
        </w:rPr>
        <w:footnoteRef/>
      </w:r>
      <w:r w:rsidRPr="002F5BB3">
        <w:rPr>
          <w:sz w:val="20"/>
          <w:szCs w:val="20"/>
        </w:rPr>
        <w:t>Разъяснение КРМФО (IFRIC) 21 "Обязательные платежи" (введено в действие на территории Российской Федерации Приказом Минфина России от 28.12.2015 N 217н).</w:t>
      </w:r>
    </w:p>
  </w:footnote>
  <w:footnote w:id="18">
    <w:p w14:paraId="74EDA4DD" w14:textId="3DD87A24" w:rsidR="002E21F4" w:rsidRDefault="002E21F4">
      <w:pPr>
        <w:pStyle w:val="a4"/>
      </w:pPr>
      <w:r>
        <w:rPr>
          <w:rStyle w:val="a6"/>
        </w:rPr>
        <w:footnoteRef/>
      </w:r>
      <w:r w:rsidRPr="0025797D">
        <w:rPr>
          <w:sz w:val="20"/>
          <w:szCs w:val="20"/>
        </w:rPr>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21.01.2015 N 9н).</w:t>
      </w:r>
    </w:p>
  </w:footnote>
  <w:footnote w:id="19">
    <w:p w14:paraId="6EDCD213" w14:textId="6AB56045" w:rsidR="002E21F4" w:rsidRPr="00931237" w:rsidRDefault="002E21F4">
      <w:pPr>
        <w:pStyle w:val="a4"/>
        <w:rPr>
          <w:sz w:val="20"/>
          <w:szCs w:val="20"/>
        </w:rPr>
      </w:pPr>
      <w:r w:rsidRPr="00931237">
        <w:rPr>
          <w:rStyle w:val="a6"/>
          <w:sz w:val="20"/>
          <w:szCs w:val="20"/>
        </w:rPr>
        <w:footnoteRef/>
      </w:r>
      <w:r w:rsidRPr="00931237">
        <w:rPr>
          <w:sz w:val="20"/>
          <w:szCs w:val="20"/>
        </w:rPr>
        <w:t xml:space="preserve">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w:t>
      </w:r>
      <w:r w:rsidRPr="00011BB3">
        <w:rPr>
          <w:sz w:val="20"/>
          <w:szCs w:val="20"/>
        </w:rPr>
        <w:t>28.12.2015 N 217н</w:t>
      </w:r>
      <w:r w:rsidRPr="00931237">
        <w:rPr>
          <w:sz w:val="20"/>
          <w:szCs w:val="20"/>
        </w:rPr>
        <w:t>)</w:t>
      </w:r>
      <w:r>
        <w:rPr>
          <w:sz w:val="20"/>
          <w:szCs w:val="20"/>
        </w:rPr>
        <w:t>, п.11</w:t>
      </w:r>
      <w:r w:rsidRPr="00931237">
        <w:rPr>
          <w:sz w:val="20"/>
          <w:szCs w:val="20"/>
        </w:rPr>
        <w:t>.</w:t>
      </w:r>
    </w:p>
  </w:footnote>
  <w:footnote w:id="20">
    <w:p w14:paraId="2662BC5D" w14:textId="364A3AB2" w:rsidR="002E21F4" w:rsidRPr="007B28E3" w:rsidRDefault="002E21F4" w:rsidP="007B28E3">
      <w:pPr>
        <w:pStyle w:val="a4"/>
        <w:rPr>
          <w:sz w:val="20"/>
          <w:szCs w:val="20"/>
          <w:lang w:val="en-US"/>
        </w:rPr>
      </w:pPr>
      <w:r>
        <w:rPr>
          <w:rStyle w:val="a6"/>
        </w:rPr>
        <w:footnoteRef/>
      </w:r>
      <w:r w:rsidRPr="007B28E3">
        <w:rPr>
          <w:sz w:val="20"/>
          <w:szCs w:val="20"/>
        </w:rPr>
        <w:t>Международный стандарт финансовой отчетности (IAS) 23 "Затраты по заимствованиям" (введен в действие на территории Российской Федерации приказом Минфина России от 28.12.2015 N 217н).</w:t>
      </w:r>
    </w:p>
  </w:footnote>
  <w:footnote w:id="21">
    <w:p w14:paraId="70DE1FD4" w14:textId="3715A661" w:rsidR="002E21F4" w:rsidRPr="007B28E3" w:rsidRDefault="002E21F4" w:rsidP="007B28E3">
      <w:pPr>
        <w:pStyle w:val="a4"/>
        <w:rPr>
          <w:sz w:val="20"/>
          <w:szCs w:val="20"/>
        </w:rPr>
      </w:pPr>
      <w:r w:rsidRPr="007B28E3">
        <w:rPr>
          <w:rStyle w:val="a6"/>
          <w:sz w:val="20"/>
          <w:szCs w:val="20"/>
        </w:rPr>
        <w:footnoteRef/>
      </w:r>
      <w:r w:rsidRPr="007B28E3">
        <w:rPr>
          <w:sz w:val="20"/>
          <w:szCs w:val="20"/>
        </w:rPr>
        <w:t xml:space="preserve">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w:t>
      </w:r>
      <w:r w:rsidRPr="00011BB3">
        <w:rPr>
          <w:sz w:val="20"/>
          <w:szCs w:val="20"/>
        </w:rPr>
        <w:t>28.12.2015 N 217н</w:t>
      </w:r>
      <w:r w:rsidR="005B4BC8">
        <w:rPr>
          <w:sz w:val="20"/>
          <w:szCs w:val="20"/>
        </w:rPr>
        <w:t>), п</w:t>
      </w:r>
      <w:r w:rsidR="00FC17EF">
        <w:rPr>
          <w:sz w:val="20"/>
          <w:szCs w:val="20"/>
        </w:rPr>
        <w:t>. 36.</w:t>
      </w:r>
    </w:p>
  </w:footnote>
  <w:footnote w:id="22">
    <w:p w14:paraId="3FEFC354" w14:textId="06FE1B1F" w:rsidR="002E21F4" w:rsidRPr="00955079" w:rsidRDefault="002E21F4" w:rsidP="007B28E3">
      <w:pPr>
        <w:pStyle w:val="a4"/>
        <w:rPr>
          <w:sz w:val="20"/>
          <w:szCs w:val="20"/>
        </w:rPr>
      </w:pPr>
      <w:r w:rsidRPr="007B28E3">
        <w:rPr>
          <w:rStyle w:val="a6"/>
          <w:sz w:val="20"/>
          <w:szCs w:val="20"/>
        </w:rPr>
        <w:footnoteRef/>
      </w:r>
      <w:r w:rsidRPr="007B28E3">
        <w:rPr>
          <w:sz w:val="20"/>
          <w:szCs w:val="20"/>
        </w:rPr>
        <w:t>Бочкарева, И. И., Левина, Г. Г. Бухгалтерский финансовый учет: учебник/ И. И. Бочкарева, Г.Г. Левина; под ред. проф. Я.В. Соколова. – М. : Магистр, 2010. – С. 23.</w:t>
      </w:r>
    </w:p>
  </w:footnote>
  <w:footnote w:id="23">
    <w:p w14:paraId="7720CDA8" w14:textId="62C4C27A" w:rsidR="002E21F4" w:rsidRDefault="002E21F4" w:rsidP="009E60EB">
      <w:pPr>
        <w:pStyle w:val="a4"/>
      </w:pPr>
      <w:r>
        <w:rPr>
          <w:rStyle w:val="a6"/>
        </w:rPr>
        <w:footnoteRef/>
      </w:r>
      <w:r w:rsidRPr="00E83430">
        <w:rPr>
          <w:sz w:val="20"/>
          <w:szCs w:val="20"/>
        </w:rPr>
        <w:t>Крапивенцева С.В. Введение в МСФО. МСФО (IAS) 11 «Договоры подряда» / Крапивенцева С.В. // МСФО на практике. – 2015. - № 8. URL: http://msfo-practice.ru/article.aspx?aid=403161 (дата обращения: 21.03.2016).</w:t>
      </w:r>
    </w:p>
  </w:footnote>
  <w:footnote w:id="24">
    <w:p w14:paraId="4518EFB5" w14:textId="1AC937DD" w:rsidR="005B4BC8" w:rsidRDefault="005B4BC8">
      <w:pPr>
        <w:pStyle w:val="a4"/>
      </w:pPr>
      <w:r>
        <w:rPr>
          <w:rStyle w:val="a6"/>
        </w:rPr>
        <w:footnoteRef/>
      </w:r>
      <w:r w:rsidRPr="007B28E3">
        <w:rPr>
          <w:sz w:val="20"/>
          <w:szCs w:val="20"/>
        </w:rPr>
        <w:t xml:space="preserve">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w:t>
      </w:r>
      <w:r w:rsidRPr="00011BB3">
        <w:rPr>
          <w:sz w:val="20"/>
          <w:szCs w:val="20"/>
        </w:rPr>
        <w:t>28.12.2015 N 217н</w:t>
      </w:r>
      <w:r>
        <w:rPr>
          <w:sz w:val="20"/>
          <w:szCs w:val="20"/>
        </w:rPr>
        <w:t>), п</w:t>
      </w:r>
      <w:r w:rsidRPr="007B28E3">
        <w:rPr>
          <w:sz w:val="20"/>
          <w:szCs w:val="20"/>
        </w:rPr>
        <w:t xml:space="preserve">. </w:t>
      </w:r>
      <w:r w:rsidR="00FC17EF">
        <w:rPr>
          <w:sz w:val="20"/>
          <w:szCs w:val="20"/>
        </w:rPr>
        <w:t>30.</w:t>
      </w:r>
    </w:p>
  </w:footnote>
  <w:footnote w:id="25">
    <w:p w14:paraId="52577185" w14:textId="7F936C06" w:rsidR="00D5143C" w:rsidRDefault="00D5143C">
      <w:pPr>
        <w:pStyle w:val="a4"/>
      </w:pPr>
      <w:r>
        <w:rPr>
          <w:rStyle w:val="a6"/>
        </w:rPr>
        <w:footnoteRef/>
      </w:r>
      <w:r>
        <w:t xml:space="preserve"> </w:t>
      </w:r>
      <w:r w:rsidRPr="007B28E3">
        <w:rPr>
          <w:sz w:val="20"/>
          <w:szCs w:val="20"/>
        </w:rPr>
        <w:t xml:space="preserve">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w:t>
      </w:r>
      <w:r w:rsidRPr="00011BB3">
        <w:rPr>
          <w:sz w:val="20"/>
          <w:szCs w:val="20"/>
        </w:rPr>
        <w:t>28.12.2015 N 217н</w:t>
      </w:r>
      <w:r>
        <w:rPr>
          <w:sz w:val="20"/>
          <w:szCs w:val="20"/>
        </w:rPr>
        <w:t>), п</w:t>
      </w:r>
      <w:r w:rsidRPr="007B28E3">
        <w:rPr>
          <w:sz w:val="20"/>
          <w:szCs w:val="20"/>
        </w:rPr>
        <w:t xml:space="preserve">. </w:t>
      </w:r>
      <w:r>
        <w:rPr>
          <w:sz w:val="20"/>
          <w:szCs w:val="20"/>
        </w:rPr>
        <w:t>39.</w:t>
      </w:r>
    </w:p>
  </w:footnote>
  <w:footnote w:id="26">
    <w:p w14:paraId="618A91DE" w14:textId="7255F9A7" w:rsidR="00D5143C" w:rsidRDefault="00D5143C">
      <w:pPr>
        <w:pStyle w:val="a4"/>
      </w:pPr>
      <w:r>
        <w:rPr>
          <w:rStyle w:val="a6"/>
        </w:rPr>
        <w:footnoteRef/>
      </w:r>
      <w:r w:rsidR="0007743C">
        <w:t xml:space="preserve"> </w:t>
      </w:r>
      <w:r w:rsidR="0007743C" w:rsidRPr="0007743C">
        <w:rPr>
          <w:sz w:val="20"/>
          <w:szCs w:val="20"/>
        </w:rPr>
        <w:t>Международный стандарт финансовой отчетности (IAS) 37 "Резервы, условные обязательства и условные активы" (ред. от 26.08.2015) (введен в действие на территории Российской Федерации Приказом Минфина РФ от 28.12.2015 N 217н).</w:t>
      </w:r>
    </w:p>
  </w:footnote>
  <w:footnote w:id="27">
    <w:p w14:paraId="4DAB8D58" w14:textId="32C3C3AC" w:rsidR="002E21F4" w:rsidRDefault="002E21F4">
      <w:pPr>
        <w:pStyle w:val="a4"/>
      </w:pPr>
      <w:r>
        <w:rPr>
          <w:rStyle w:val="a6"/>
        </w:rPr>
        <w:footnoteRef/>
      </w:r>
      <w:r w:rsidRPr="00BC02B7">
        <w:rPr>
          <w:sz w:val="20"/>
          <w:szCs w:val="20"/>
        </w:rPr>
        <w:t>Разъяснение КРМФО (IFRIC) 15 "Соглашения на строительство объектов недвижимости" (введено в действие на территории Российской Федерации Приказом Минфина</w:t>
      </w:r>
      <w:r>
        <w:rPr>
          <w:sz w:val="20"/>
          <w:szCs w:val="20"/>
        </w:rPr>
        <w:t xml:space="preserve"> России от 28.12.2015 N 217н), п</w:t>
      </w:r>
      <w:r w:rsidRPr="00BC02B7">
        <w:rPr>
          <w:sz w:val="20"/>
          <w:szCs w:val="20"/>
        </w:rPr>
        <w:t xml:space="preserve">. </w:t>
      </w:r>
      <w:r>
        <w:rPr>
          <w:sz w:val="20"/>
          <w:szCs w:val="20"/>
        </w:rPr>
        <w:t>10-12.</w:t>
      </w:r>
    </w:p>
  </w:footnote>
  <w:footnote w:id="28">
    <w:p w14:paraId="07A63830" w14:textId="47B23EC5" w:rsidR="002E21F4" w:rsidRPr="00373052" w:rsidRDefault="002E21F4" w:rsidP="00A50321">
      <w:pPr>
        <w:spacing w:line="240" w:lineRule="auto"/>
        <w:rPr>
          <w:rFonts w:ascii="Arial" w:hAnsi="Arial" w:cs="Arial"/>
          <w:sz w:val="20"/>
          <w:szCs w:val="20"/>
        </w:rPr>
      </w:pPr>
      <w:r>
        <w:rPr>
          <w:rStyle w:val="a6"/>
        </w:rPr>
        <w:footnoteRef/>
      </w:r>
      <w:r w:rsidRPr="00373052">
        <w:rPr>
          <w:sz w:val="20"/>
          <w:szCs w:val="20"/>
        </w:rPr>
        <w:t xml:space="preserve">Глобальные изменения в МСФО — долгожданный стандарт МСФО (IFRS) 15 «Выручка по контрактам с клиентами» : Агентство по Международным стандартам финансовой отчетности [Электронный ресурс]. — Режим доступа </w:t>
      </w:r>
      <w:hyperlink r:id="rId1" w:history="1">
        <w:r w:rsidRPr="00373052">
          <w:rPr>
            <w:sz w:val="20"/>
            <w:szCs w:val="20"/>
          </w:rPr>
          <w:t>http://amsfo.com.ua/standart-msfo-ifrs-15/</w:t>
        </w:r>
      </w:hyperlink>
      <w:r w:rsidRPr="00373052">
        <w:rPr>
          <w:sz w:val="20"/>
          <w:szCs w:val="20"/>
        </w:rPr>
        <w:t xml:space="preserve"> (дата обращения 30.03.2016).</w:t>
      </w:r>
    </w:p>
  </w:footnote>
  <w:footnote w:id="29">
    <w:p w14:paraId="7954E1AD" w14:textId="0934AD1E" w:rsidR="002E21F4" w:rsidRDefault="002E21F4" w:rsidP="00A50321">
      <w:pPr>
        <w:spacing w:line="240" w:lineRule="auto"/>
      </w:pPr>
      <w:r w:rsidRPr="00373052">
        <w:rPr>
          <w:rStyle w:val="a6"/>
          <w:sz w:val="20"/>
          <w:szCs w:val="20"/>
        </w:rPr>
        <w:footnoteRef/>
      </w:r>
      <w:r w:rsidRPr="00373052">
        <w:rPr>
          <w:sz w:val="20"/>
          <w:szCs w:val="20"/>
        </w:rPr>
        <w:t>Impacts on the construction industry of the new revenue standard // KPMG – September 2014, URL:https://www.kpmg.com/CN/en/IssuesAndInsights/ArticlesPublications/Newsletters/First-Impressions/Documents/First-Impressions-O-201409-Impacts-on-the-construction-industry-of-the-new-revenue-standard.pdf (дата обращения: 23.04.2016).</w:t>
      </w:r>
    </w:p>
  </w:footnote>
  <w:footnote w:id="30">
    <w:p w14:paraId="763155E1" w14:textId="288B214D" w:rsidR="002E21F4" w:rsidRDefault="002E21F4" w:rsidP="000336FD">
      <w:pPr>
        <w:pStyle w:val="a4"/>
      </w:pPr>
      <w:r>
        <w:rPr>
          <w:rStyle w:val="a6"/>
        </w:rPr>
        <w:footnoteRef/>
      </w:r>
      <w:r w:rsidRPr="006E265D">
        <w:rPr>
          <w:sz w:val="20"/>
          <w:szCs w:val="20"/>
        </w:rPr>
        <w:t>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w:t>
      </w:r>
      <w:r>
        <w:rPr>
          <w:sz w:val="20"/>
          <w:szCs w:val="20"/>
        </w:rPr>
        <w:t xml:space="preserve"> </w:t>
      </w:r>
      <w:r w:rsidRPr="00011BB3">
        <w:rPr>
          <w:sz w:val="20"/>
          <w:szCs w:val="20"/>
        </w:rPr>
        <w:t>28.12.2015 N 217н</w:t>
      </w:r>
      <w:r w:rsidRPr="006E265D">
        <w:rPr>
          <w:sz w:val="20"/>
          <w:szCs w:val="20"/>
        </w:rPr>
        <w:t>)</w:t>
      </w:r>
      <w:r>
        <w:rPr>
          <w:sz w:val="20"/>
          <w:szCs w:val="20"/>
        </w:rPr>
        <w:t>, п. 3.</w:t>
      </w:r>
    </w:p>
  </w:footnote>
  <w:footnote w:id="31">
    <w:p w14:paraId="5DB885C2" w14:textId="77777777" w:rsidR="002E21F4" w:rsidRDefault="002E21F4" w:rsidP="000336FD">
      <w:pPr>
        <w:pStyle w:val="a"/>
        <w:numPr>
          <w:ilvl w:val="0"/>
          <w:numId w:val="0"/>
        </w:numPr>
        <w:spacing w:line="240" w:lineRule="auto"/>
        <w:ind w:firstLine="284"/>
      </w:pPr>
      <w:r>
        <w:rPr>
          <w:rStyle w:val="a6"/>
        </w:rPr>
        <w:footnoteRef/>
      </w:r>
      <w:r w:rsidRPr="002C3A26">
        <w:rPr>
          <w:sz w:val="20"/>
          <w:szCs w:val="20"/>
        </w:rPr>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21.01.2015 N 9н)</w:t>
      </w:r>
      <w:r>
        <w:rPr>
          <w:sz w:val="20"/>
          <w:szCs w:val="20"/>
        </w:rPr>
        <w:t>, п. 10.</w:t>
      </w:r>
    </w:p>
  </w:footnote>
  <w:footnote w:id="32">
    <w:p w14:paraId="0A8220B3" w14:textId="61527AA3" w:rsidR="002E21F4" w:rsidRDefault="002E21F4">
      <w:pPr>
        <w:pStyle w:val="a4"/>
      </w:pPr>
      <w:r>
        <w:rPr>
          <w:rStyle w:val="a6"/>
        </w:rPr>
        <w:footnoteRef/>
      </w:r>
      <w:r w:rsidRPr="002C3A26">
        <w:rPr>
          <w:sz w:val="20"/>
          <w:szCs w:val="20"/>
        </w:rPr>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21.01.2015 N 9н)</w:t>
      </w:r>
      <w:r>
        <w:rPr>
          <w:sz w:val="20"/>
          <w:szCs w:val="20"/>
        </w:rPr>
        <w:t>, п. 17.</w:t>
      </w:r>
    </w:p>
  </w:footnote>
  <w:footnote w:id="33">
    <w:p w14:paraId="11C45B98" w14:textId="6A38E3D2" w:rsidR="002E21F4" w:rsidRDefault="002E21F4">
      <w:pPr>
        <w:pStyle w:val="a4"/>
      </w:pPr>
      <w:r>
        <w:rPr>
          <w:rStyle w:val="a6"/>
        </w:rPr>
        <w:footnoteRef/>
      </w:r>
      <w:r w:rsidRPr="002C3A26">
        <w:rPr>
          <w:sz w:val="20"/>
          <w:szCs w:val="20"/>
        </w:rPr>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21.01.2015 N 9н)</w:t>
      </w:r>
      <w:r>
        <w:rPr>
          <w:sz w:val="20"/>
          <w:szCs w:val="20"/>
        </w:rPr>
        <w:t>, п. 22.</w:t>
      </w:r>
    </w:p>
  </w:footnote>
  <w:footnote w:id="34">
    <w:p w14:paraId="34FA844D" w14:textId="0D78B15D" w:rsidR="002E21F4" w:rsidRDefault="002E21F4">
      <w:pPr>
        <w:pStyle w:val="a4"/>
      </w:pPr>
      <w:r>
        <w:rPr>
          <w:rStyle w:val="a6"/>
        </w:rPr>
        <w:footnoteRef/>
      </w:r>
      <w:r w:rsidRPr="002C3A26">
        <w:rPr>
          <w:sz w:val="20"/>
          <w:szCs w:val="20"/>
        </w:rPr>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21.01.2015 N 9н)</w:t>
      </w:r>
      <w:r>
        <w:rPr>
          <w:sz w:val="20"/>
          <w:szCs w:val="20"/>
        </w:rPr>
        <w:t>, п. 47.</w:t>
      </w:r>
    </w:p>
  </w:footnote>
  <w:footnote w:id="35">
    <w:p w14:paraId="09B24CA7" w14:textId="45FD86CA" w:rsidR="002E21F4" w:rsidRDefault="002E21F4">
      <w:pPr>
        <w:pStyle w:val="a4"/>
      </w:pPr>
      <w:r>
        <w:rPr>
          <w:rStyle w:val="a6"/>
        </w:rPr>
        <w:footnoteRef/>
      </w:r>
      <w:r w:rsidR="002E2648">
        <w:rPr>
          <w:sz w:val="20"/>
          <w:szCs w:val="20"/>
        </w:rPr>
        <w:t xml:space="preserve"> </w:t>
      </w:r>
      <w:r w:rsidRPr="002C3A26">
        <w:rPr>
          <w:sz w:val="20"/>
          <w:szCs w:val="20"/>
        </w:rPr>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21.01.2015 N 9н)</w:t>
      </w:r>
      <w:r w:rsidR="002E2648">
        <w:rPr>
          <w:sz w:val="20"/>
          <w:szCs w:val="20"/>
        </w:rPr>
        <w:t>, п. 77.</w:t>
      </w:r>
    </w:p>
  </w:footnote>
  <w:footnote w:id="36">
    <w:p w14:paraId="59B5CC98" w14:textId="2CE845A6" w:rsidR="002E2648" w:rsidRDefault="002E2648">
      <w:pPr>
        <w:pStyle w:val="a4"/>
      </w:pPr>
      <w:r>
        <w:rPr>
          <w:rStyle w:val="a6"/>
        </w:rPr>
        <w:footnoteRef/>
      </w:r>
      <w:r>
        <w:t xml:space="preserve"> </w:t>
      </w:r>
      <w:r w:rsidRPr="002C3A26">
        <w:rPr>
          <w:sz w:val="20"/>
          <w:szCs w:val="20"/>
        </w:rPr>
        <w:t>Международный стандарт финансовой отчетности (IFRS) 15 "Выручка по договорам с покупателями" (введен в действие на территории Российской Федерации Приказом Минфина России от 21.01.2015 N 9н)</w:t>
      </w:r>
      <w:r>
        <w:rPr>
          <w:sz w:val="20"/>
          <w:szCs w:val="20"/>
        </w:rPr>
        <w:t>, п. 35.</w:t>
      </w:r>
    </w:p>
  </w:footnote>
  <w:footnote w:id="37">
    <w:p w14:paraId="18334B82" w14:textId="40C44AC9" w:rsidR="002E21F4" w:rsidRPr="006624D5" w:rsidRDefault="002E21F4" w:rsidP="00E564C4">
      <w:pPr>
        <w:pStyle w:val="a4"/>
        <w:rPr>
          <w:lang w:val="en-US"/>
        </w:rPr>
      </w:pPr>
      <w:r>
        <w:rPr>
          <w:rStyle w:val="a6"/>
        </w:rPr>
        <w:footnoteRef/>
      </w:r>
      <w:r w:rsidRPr="00E564C4">
        <w:rPr>
          <w:sz w:val="20"/>
          <w:szCs w:val="20"/>
        </w:rPr>
        <w:t xml:space="preserve">Официальный сайт компании </w:t>
      </w:r>
      <w:r w:rsidRPr="00E564C4">
        <w:rPr>
          <w:sz w:val="20"/>
          <w:szCs w:val="20"/>
          <w:lang w:val="en-US"/>
        </w:rPr>
        <w:t>Skanska group. URL: http://group.skanska.com (дата обращения 10.04.2016).</w:t>
      </w:r>
    </w:p>
  </w:footnote>
  <w:footnote w:id="38">
    <w:p w14:paraId="71F04053" w14:textId="0240920D" w:rsidR="002E21F4" w:rsidRPr="00A72DCA" w:rsidRDefault="002E21F4" w:rsidP="00A72DCA">
      <w:pPr>
        <w:pStyle w:val="a4"/>
        <w:rPr>
          <w:sz w:val="20"/>
          <w:szCs w:val="20"/>
        </w:rPr>
      </w:pPr>
      <w:r w:rsidRPr="00A72DCA">
        <w:rPr>
          <w:rStyle w:val="a6"/>
          <w:sz w:val="20"/>
          <w:szCs w:val="20"/>
        </w:rPr>
        <w:footnoteRef/>
      </w:r>
      <w:r w:rsidRPr="00A72DCA">
        <w:rPr>
          <w:sz w:val="20"/>
          <w:szCs w:val="20"/>
        </w:rPr>
        <w:t>Геддес Р. IPO и последующие размещения акций. – М.: ЗАО «ОлимпБизнес», 2007. – С. 3</w:t>
      </w:r>
    </w:p>
  </w:footnote>
  <w:footnote w:id="39">
    <w:p w14:paraId="45291D3C" w14:textId="77777777" w:rsidR="002E21F4" w:rsidRPr="009E60EB" w:rsidRDefault="002E21F4" w:rsidP="00A86EDF">
      <w:pPr>
        <w:pStyle w:val="a4"/>
      </w:pPr>
      <w:r>
        <w:rPr>
          <w:rStyle w:val="a6"/>
        </w:rPr>
        <w:footnoteRef/>
      </w:r>
      <w:r w:rsidRPr="006E265D">
        <w:rPr>
          <w:sz w:val="20"/>
          <w:szCs w:val="20"/>
        </w:rPr>
        <w:t xml:space="preserve">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w:t>
      </w:r>
      <w:r w:rsidRPr="00011BB3">
        <w:rPr>
          <w:sz w:val="20"/>
          <w:szCs w:val="20"/>
        </w:rPr>
        <w:t>28.12.2015 N 217н</w:t>
      </w:r>
      <w:r w:rsidRPr="006E265D">
        <w:rPr>
          <w:sz w:val="20"/>
          <w:szCs w:val="20"/>
        </w:rPr>
        <w:t>)</w:t>
      </w:r>
      <w:r>
        <w:rPr>
          <w:sz w:val="20"/>
          <w:szCs w:val="20"/>
        </w:rPr>
        <w:t>, п. 3.</w:t>
      </w:r>
    </w:p>
  </w:footnote>
  <w:footnote w:id="40">
    <w:p w14:paraId="6637552B" w14:textId="77777777" w:rsidR="002E21F4" w:rsidRPr="009E60EB" w:rsidRDefault="002E21F4" w:rsidP="00696E84">
      <w:pPr>
        <w:pStyle w:val="a4"/>
      </w:pPr>
      <w:r>
        <w:rPr>
          <w:rStyle w:val="a6"/>
        </w:rPr>
        <w:footnoteRef/>
      </w:r>
      <w:r w:rsidRPr="006E265D">
        <w:rPr>
          <w:sz w:val="20"/>
          <w:szCs w:val="20"/>
        </w:rPr>
        <w:t xml:space="preserve">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w:t>
      </w:r>
      <w:r w:rsidRPr="00011BB3">
        <w:rPr>
          <w:sz w:val="20"/>
          <w:szCs w:val="20"/>
        </w:rPr>
        <w:t>28.12.2015 N 217н</w:t>
      </w:r>
      <w:r w:rsidRPr="006E265D">
        <w:rPr>
          <w:sz w:val="20"/>
          <w:szCs w:val="20"/>
        </w:rPr>
        <w:t>)</w:t>
      </w:r>
      <w:r>
        <w:rPr>
          <w:sz w:val="20"/>
          <w:szCs w:val="20"/>
        </w:rPr>
        <w:t>, п. 3.</w:t>
      </w:r>
    </w:p>
  </w:footnote>
  <w:footnote w:id="41">
    <w:p w14:paraId="33C2E94E" w14:textId="77777777" w:rsidR="002E21F4" w:rsidRPr="009E60EB" w:rsidRDefault="002E21F4" w:rsidP="00696E84">
      <w:pPr>
        <w:pStyle w:val="a4"/>
      </w:pPr>
      <w:r>
        <w:rPr>
          <w:rStyle w:val="a6"/>
        </w:rPr>
        <w:footnoteRef/>
      </w:r>
      <w:r w:rsidRPr="006E265D">
        <w:rPr>
          <w:sz w:val="20"/>
          <w:szCs w:val="20"/>
        </w:rPr>
        <w:t xml:space="preserve">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w:t>
      </w:r>
      <w:r w:rsidRPr="00011BB3">
        <w:rPr>
          <w:sz w:val="20"/>
          <w:szCs w:val="20"/>
        </w:rPr>
        <w:t>28.12.2015 N 217н</w:t>
      </w:r>
      <w:r w:rsidRPr="006E265D">
        <w:rPr>
          <w:sz w:val="20"/>
          <w:szCs w:val="20"/>
        </w:rPr>
        <w:t>)</w:t>
      </w:r>
      <w:r>
        <w:rPr>
          <w:sz w:val="20"/>
          <w:szCs w:val="20"/>
        </w:rPr>
        <w:t>, п. 3.</w:t>
      </w:r>
    </w:p>
  </w:footnote>
  <w:footnote w:id="42">
    <w:p w14:paraId="0E25A5C0" w14:textId="58ACD5C0" w:rsidR="002E21F4" w:rsidRPr="00A72DCA" w:rsidRDefault="002E21F4" w:rsidP="00A72DCA">
      <w:pPr>
        <w:spacing w:line="240" w:lineRule="auto"/>
        <w:rPr>
          <w:sz w:val="20"/>
          <w:szCs w:val="20"/>
        </w:rPr>
      </w:pPr>
      <w:r w:rsidRPr="00A72DCA">
        <w:rPr>
          <w:rStyle w:val="a6"/>
          <w:sz w:val="20"/>
          <w:szCs w:val="20"/>
        </w:rPr>
        <w:footnoteRef/>
      </w:r>
      <w:r w:rsidRPr="00A72DCA">
        <w:rPr>
          <w:sz w:val="20"/>
          <w:szCs w:val="20"/>
        </w:rPr>
        <w:t xml:space="preserve">Международный стандарт финансовой отчетности (IAS) 1 «Представление финансовой отчетности» (введен в действие для применения на территории Российской Федерации приказом Минфина России от 28.12.2015 № 217н), п.15. </w:t>
      </w:r>
    </w:p>
  </w:footnote>
  <w:footnote w:id="43">
    <w:p w14:paraId="7C4AB1E5" w14:textId="2F78CA59" w:rsidR="002E21F4" w:rsidRPr="00A72DCA" w:rsidRDefault="002E21F4" w:rsidP="00A72DCA">
      <w:pPr>
        <w:pStyle w:val="a4"/>
        <w:rPr>
          <w:sz w:val="20"/>
          <w:szCs w:val="20"/>
        </w:rPr>
      </w:pPr>
      <w:r w:rsidRPr="00A72DCA">
        <w:rPr>
          <w:rStyle w:val="a6"/>
          <w:sz w:val="20"/>
          <w:szCs w:val="20"/>
        </w:rPr>
        <w:footnoteRef/>
      </w:r>
      <w:r w:rsidRPr="00A72DCA">
        <w:rPr>
          <w:sz w:val="20"/>
          <w:szCs w:val="20"/>
        </w:rPr>
        <w:t xml:space="preserve"> 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28.12.2015 N 217н), п. 14.</w:t>
      </w:r>
    </w:p>
  </w:footnote>
  <w:footnote w:id="44">
    <w:p w14:paraId="7BDFD8B9" w14:textId="77777777" w:rsidR="002E21F4" w:rsidRPr="00A72DCA" w:rsidRDefault="002E21F4" w:rsidP="00A72DCA">
      <w:pPr>
        <w:pStyle w:val="a4"/>
        <w:rPr>
          <w:sz w:val="20"/>
          <w:szCs w:val="20"/>
        </w:rPr>
      </w:pPr>
      <w:r w:rsidRPr="00A72DCA">
        <w:rPr>
          <w:rStyle w:val="a6"/>
          <w:sz w:val="20"/>
          <w:szCs w:val="20"/>
        </w:rPr>
        <w:footnoteRef/>
      </w:r>
      <w:r w:rsidRPr="00A72DCA">
        <w:rPr>
          <w:sz w:val="20"/>
          <w:szCs w:val="20"/>
        </w:rPr>
        <w:t>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28.12.2015 N 217н), п. 13.</w:t>
      </w:r>
    </w:p>
  </w:footnote>
  <w:footnote w:id="45">
    <w:p w14:paraId="276BC488" w14:textId="1B8E7DB5" w:rsidR="002E21F4" w:rsidRDefault="002E21F4" w:rsidP="00A72DCA">
      <w:pPr>
        <w:pStyle w:val="a4"/>
      </w:pPr>
      <w:r w:rsidRPr="00A72DCA">
        <w:rPr>
          <w:rStyle w:val="a6"/>
          <w:sz w:val="20"/>
          <w:szCs w:val="20"/>
        </w:rPr>
        <w:footnoteRef/>
      </w:r>
      <w:r w:rsidRPr="00A72DCA">
        <w:rPr>
          <w:sz w:val="20"/>
          <w:szCs w:val="20"/>
        </w:rPr>
        <w:t xml:space="preserve"> Международный стандарт финансовой отчетности (IAS) 11 "Договоры на строительство" (введен в действие на территории Российской Федерации Приказом Минфина РФ от 28.12.2015 N 217н), п. 15.</w:t>
      </w:r>
    </w:p>
  </w:footnote>
  <w:footnote w:id="46">
    <w:p w14:paraId="23787231" w14:textId="65E1F2FB" w:rsidR="002E21F4" w:rsidRPr="00934819" w:rsidRDefault="002E21F4" w:rsidP="00934819">
      <w:pPr>
        <w:pStyle w:val="a"/>
        <w:numPr>
          <w:ilvl w:val="0"/>
          <w:numId w:val="0"/>
        </w:numPr>
        <w:spacing w:line="240" w:lineRule="auto"/>
        <w:ind w:firstLine="284"/>
        <w:rPr>
          <w:sz w:val="20"/>
          <w:szCs w:val="20"/>
        </w:rPr>
      </w:pPr>
      <w:r>
        <w:rPr>
          <w:rStyle w:val="a6"/>
        </w:rPr>
        <w:footnoteRef/>
      </w:r>
      <w:r>
        <w:t xml:space="preserve"> </w:t>
      </w:r>
      <w:r w:rsidRPr="00934819">
        <w:rPr>
          <w:sz w:val="20"/>
          <w:szCs w:val="20"/>
        </w:rPr>
        <w:t>Официальный сайт Группы компаний ЛСР. URL: http://www.lsrgroup.ru/(дата обращения 10.04.2016).</w:t>
      </w:r>
    </w:p>
  </w:footnote>
  <w:footnote w:id="47">
    <w:p w14:paraId="634BFE0F" w14:textId="28337F38" w:rsidR="002E21F4" w:rsidRPr="00934819" w:rsidRDefault="002E21F4" w:rsidP="00934819">
      <w:pPr>
        <w:pStyle w:val="a"/>
        <w:numPr>
          <w:ilvl w:val="0"/>
          <w:numId w:val="0"/>
        </w:numPr>
        <w:spacing w:line="240" w:lineRule="auto"/>
        <w:ind w:firstLine="284"/>
        <w:rPr>
          <w:sz w:val="20"/>
          <w:szCs w:val="20"/>
        </w:rPr>
      </w:pPr>
      <w:r w:rsidRPr="00934819">
        <w:rPr>
          <w:rStyle w:val="a6"/>
          <w:sz w:val="20"/>
          <w:szCs w:val="20"/>
        </w:rPr>
        <w:footnoteRef/>
      </w:r>
      <w:r w:rsidRPr="00934819">
        <w:rPr>
          <w:sz w:val="20"/>
          <w:szCs w:val="20"/>
        </w:rPr>
        <w:t xml:space="preserve"> Официальный сайт Группы компаний ПИК. URL: http://pik-group.ru (дата обращения 10.04.2016).</w:t>
      </w:r>
    </w:p>
  </w:footnote>
  <w:footnote w:id="48">
    <w:p w14:paraId="7CDEE8AB" w14:textId="5AA460BB" w:rsidR="002E21F4" w:rsidRPr="00934819" w:rsidRDefault="002E21F4" w:rsidP="00934819">
      <w:pPr>
        <w:pStyle w:val="a"/>
        <w:numPr>
          <w:ilvl w:val="0"/>
          <w:numId w:val="0"/>
        </w:numPr>
        <w:spacing w:line="240" w:lineRule="auto"/>
        <w:ind w:firstLine="284"/>
        <w:rPr>
          <w:sz w:val="20"/>
          <w:szCs w:val="20"/>
        </w:rPr>
      </w:pPr>
      <w:r w:rsidRPr="00934819">
        <w:rPr>
          <w:rStyle w:val="a6"/>
          <w:sz w:val="20"/>
          <w:szCs w:val="20"/>
        </w:rPr>
        <w:footnoteRef/>
      </w:r>
      <w:r w:rsidRPr="00934819">
        <w:rPr>
          <w:sz w:val="20"/>
          <w:szCs w:val="20"/>
        </w:rPr>
        <w:t xml:space="preserve"> Официальный сайт компании ACS Group. URL:  http://www.grupoacs.com/index.php/en (дата обращения 10.04.2016).</w:t>
      </w:r>
    </w:p>
  </w:footnote>
  <w:footnote w:id="49">
    <w:p w14:paraId="5994569B" w14:textId="4ACB38FF" w:rsidR="002E21F4" w:rsidRPr="00934819" w:rsidRDefault="002E21F4" w:rsidP="00934819">
      <w:pPr>
        <w:pStyle w:val="a4"/>
        <w:rPr>
          <w:sz w:val="20"/>
          <w:szCs w:val="20"/>
        </w:rPr>
      </w:pPr>
      <w:r w:rsidRPr="00934819">
        <w:rPr>
          <w:rStyle w:val="a6"/>
          <w:sz w:val="20"/>
          <w:szCs w:val="20"/>
        </w:rPr>
        <w:footnoteRef/>
      </w:r>
      <w:r w:rsidRPr="00934819">
        <w:rPr>
          <w:sz w:val="20"/>
          <w:szCs w:val="20"/>
          <w:lang w:val="en-US"/>
        </w:rPr>
        <w:t>Construction Global "Top 10 Construction Companies in the World”, January 2015. URL: http://www.constructionglobal.com/top10/25/Top-10-construction-companies-in-the-world (дата обращения: 23.03.2016).</w:t>
      </w:r>
    </w:p>
  </w:footnote>
  <w:footnote w:id="50">
    <w:p w14:paraId="02FF499D" w14:textId="77777777" w:rsidR="002E21F4" w:rsidRPr="00934819" w:rsidRDefault="002E21F4" w:rsidP="00934819">
      <w:pPr>
        <w:spacing w:line="240" w:lineRule="auto"/>
        <w:rPr>
          <w:sz w:val="20"/>
          <w:szCs w:val="20"/>
        </w:rPr>
      </w:pPr>
      <w:r w:rsidRPr="00934819">
        <w:rPr>
          <w:rStyle w:val="a6"/>
          <w:sz w:val="20"/>
          <w:szCs w:val="20"/>
        </w:rPr>
        <w:footnoteRef/>
      </w:r>
      <w:r w:rsidRPr="00934819">
        <w:rPr>
          <w:sz w:val="20"/>
          <w:szCs w:val="20"/>
        </w:rPr>
        <w:t xml:space="preserve"> Официальный сайт </w:t>
      </w:r>
      <w:r w:rsidRPr="00934819">
        <w:rPr>
          <w:sz w:val="20"/>
          <w:szCs w:val="20"/>
          <w:lang w:val="en-US"/>
        </w:rPr>
        <w:t xml:space="preserve">Royal BAM Group. URL: </w:t>
      </w:r>
      <w:r w:rsidRPr="00934819">
        <w:rPr>
          <w:sz w:val="20"/>
          <w:szCs w:val="20"/>
        </w:rPr>
        <w:t>http://www.bam.com (дата обращения 10.04.2016).</w:t>
      </w:r>
    </w:p>
    <w:p w14:paraId="6BC0EB92" w14:textId="7EF4954D" w:rsidR="002E21F4" w:rsidRDefault="002E21F4">
      <w:pPr>
        <w:pStyle w:val="a4"/>
      </w:pPr>
    </w:p>
  </w:footnote>
  <w:footnote w:id="51">
    <w:p w14:paraId="25EC0207" w14:textId="719B2B28" w:rsidR="002E21F4" w:rsidRDefault="002E21F4">
      <w:pPr>
        <w:pStyle w:val="a4"/>
      </w:pPr>
      <w:r>
        <w:rPr>
          <w:rStyle w:val="a6"/>
        </w:rPr>
        <w:footnoteRef/>
      </w:r>
      <w:r w:rsidRPr="00934819">
        <w:rPr>
          <w:sz w:val="20"/>
          <w:szCs w:val="20"/>
        </w:rPr>
        <w:t>Официальный сайт Группы компаний ЛСР. URL: http://www.lsrgroup.ru/(дата обращения 10.04.2016)</w:t>
      </w:r>
      <w:r>
        <w:rPr>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86F0" w14:textId="77777777" w:rsidR="002E21F4" w:rsidRDefault="002E21F4" w:rsidP="00E814EC">
    <w:pPr>
      <w:pStyle w:val="ab"/>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A7C8E89" w14:textId="77777777" w:rsidR="002E21F4" w:rsidRDefault="002E21F4">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D38D" w14:textId="77777777" w:rsidR="002E21F4" w:rsidRDefault="002E21F4" w:rsidP="00E814EC">
    <w:pPr>
      <w:pStyle w:val="ab"/>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45D00">
      <w:rPr>
        <w:rStyle w:val="aa"/>
        <w:noProof/>
      </w:rPr>
      <w:t>2</w:t>
    </w:r>
    <w:r>
      <w:rPr>
        <w:rStyle w:val="aa"/>
      </w:rPr>
      <w:fldChar w:fldCharType="end"/>
    </w:r>
  </w:p>
  <w:p w14:paraId="0BE2BC5D" w14:textId="77777777" w:rsidR="002E21F4" w:rsidRDefault="002E21F4">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227"/>
    <w:multiLevelType w:val="hybridMultilevel"/>
    <w:tmpl w:val="3C84E0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4C3007"/>
    <w:multiLevelType w:val="hybridMultilevel"/>
    <w:tmpl w:val="982C3B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4632B2"/>
    <w:multiLevelType w:val="hybridMultilevel"/>
    <w:tmpl w:val="3B687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60FFF"/>
    <w:multiLevelType w:val="hybridMultilevel"/>
    <w:tmpl w:val="814829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0BE0538"/>
    <w:multiLevelType w:val="hybridMultilevel"/>
    <w:tmpl w:val="2BEEA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49145E0"/>
    <w:multiLevelType w:val="hybridMultilevel"/>
    <w:tmpl w:val="B33EF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837B7"/>
    <w:multiLevelType w:val="hybridMultilevel"/>
    <w:tmpl w:val="7284C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14145"/>
    <w:multiLevelType w:val="hybridMultilevel"/>
    <w:tmpl w:val="4DD2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1182"/>
    <w:multiLevelType w:val="hybridMultilevel"/>
    <w:tmpl w:val="9EA0C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74248"/>
    <w:multiLevelType w:val="hybridMultilevel"/>
    <w:tmpl w:val="982C3B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9BB160F"/>
    <w:multiLevelType w:val="hybridMultilevel"/>
    <w:tmpl w:val="D83AC964"/>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F015EB"/>
    <w:multiLevelType w:val="hybridMultilevel"/>
    <w:tmpl w:val="342A9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F3914"/>
    <w:multiLevelType w:val="hybridMultilevel"/>
    <w:tmpl w:val="D1C28D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3810076"/>
    <w:multiLevelType w:val="hybridMultilevel"/>
    <w:tmpl w:val="A29C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791027"/>
    <w:multiLevelType w:val="hybridMultilevel"/>
    <w:tmpl w:val="A19A31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8E6587F"/>
    <w:multiLevelType w:val="hybridMultilevel"/>
    <w:tmpl w:val="9D5420DA"/>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A00270D"/>
    <w:multiLevelType w:val="hybridMultilevel"/>
    <w:tmpl w:val="D070CE32"/>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B5F5043"/>
    <w:multiLevelType w:val="hybridMultilevel"/>
    <w:tmpl w:val="3B687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51FB4"/>
    <w:multiLevelType w:val="hybridMultilevel"/>
    <w:tmpl w:val="EC1EE0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DD35C07"/>
    <w:multiLevelType w:val="hybridMultilevel"/>
    <w:tmpl w:val="C61A5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30342F"/>
    <w:multiLevelType w:val="multilevel"/>
    <w:tmpl w:val="19F4ED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36926C1"/>
    <w:multiLevelType w:val="hybridMultilevel"/>
    <w:tmpl w:val="C5E0D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234937"/>
    <w:multiLevelType w:val="hybridMultilevel"/>
    <w:tmpl w:val="19D42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A2995"/>
    <w:multiLevelType w:val="hybridMultilevel"/>
    <w:tmpl w:val="0B6C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4C5DDC"/>
    <w:multiLevelType w:val="hybridMultilevel"/>
    <w:tmpl w:val="0BD06B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594BCF"/>
    <w:multiLevelType w:val="hybridMultilevel"/>
    <w:tmpl w:val="5E24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0035EA"/>
    <w:multiLevelType w:val="hybridMultilevel"/>
    <w:tmpl w:val="42761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35ED8"/>
    <w:multiLevelType w:val="hybridMultilevel"/>
    <w:tmpl w:val="8500E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110526"/>
    <w:multiLevelType w:val="hybridMultilevel"/>
    <w:tmpl w:val="5F1406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E99281B"/>
    <w:multiLevelType w:val="hybridMultilevel"/>
    <w:tmpl w:val="3D02D956"/>
    <w:lvl w:ilvl="0" w:tplc="50E4C52C">
      <w:start w:val="1"/>
      <w:numFmt w:val="decimal"/>
      <w:pStyle w:val="a"/>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F4D34F4"/>
    <w:multiLevelType w:val="hybridMultilevel"/>
    <w:tmpl w:val="7A78E2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40E12BD"/>
    <w:multiLevelType w:val="hybridMultilevel"/>
    <w:tmpl w:val="1890C0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53F530A"/>
    <w:multiLevelType w:val="hybridMultilevel"/>
    <w:tmpl w:val="7284C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30633E"/>
    <w:multiLevelType w:val="hybridMultilevel"/>
    <w:tmpl w:val="130CF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E7944B5"/>
    <w:multiLevelType w:val="hybridMultilevel"/>
    <w:tmpl w:val="4810DD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num>
  <w:num w:numId="3">
    <w:abstractNumId w:val="27"/>
  </w:num>
  <w:num w:numId="4">
    <w:abstractNumId w:val="4"/>
  </w:num>
  <w:num w:numId="5">
    <w:abstractNumId w:val="33"/>
  </w:num>
  <w:num w:numId="6">
    <w:abstractNumId w:val="10"/>
  </w:num>
  <w:num w:numId="7">
    <w:abstractNumId w:val="15"/>
  </w:num>
  <w:num w:numId="8">
    <w:abstractNumId w:val="20"/>
  </w:num>
  <w:num w:numId="9">
    <w:abstractNumId w:val="1"/>
  </w:num>
  <w:num w:numId="10">
    <w:abstractNumId w:val="6"/>
  </w:num>
  <w:num w:numId="11">
    <w:abstractNumId w:val="11"/>
  </w:num>
  <w:num w:numId="12">
    <w:abstractNumId w:val="13"/>
  </w:num>
  <w:num w:numId="13">
    <w:abstractNumId w:val="23"/>
  </w:num>
  <w:num w:numId="14">
    <w:abstractNumId w:val="24"/>
  </w:num>
  <w:num w:numId="15">
    <w:abstractNumId w:val="26"/>
  </w:num>
  <w:num w:numId="16">
    <w:abstractNumId w:val="5"/>
  </w:num>
  <w:num w:numId="17">
    <w:abstractNumId w:val="7"/>
  </w:num>
  <w:num w:numId="18">
    <w:abstractNumId w:val="28"/>
  </w:num>
  <w:num w:numId="19">
    <w:abstractNumId w:val="29"/>
  </w:num>
  <w:num w:numId="20">
    <w:abstractNumId w:val="31"/>
  </w:num>
  <w:num w:numId="21">
    <w:abstractNumId w:val="30"/>
  </w:num>
  <w:num w:numId="22">
    <w:abstractNumId w:val="12"/>
  </w:num>
  <w:num w:numId="23">
    <w:abstractNumId w:val="16"/>
  </w:num>
  <w:num w:numId="24">
    <w:abstractNumId w:val="34"/>
  </w:num>
  <w:num w:numId="25">
    <w:abstractNumId w:val="0"/>
  </w:num>
  <w:num w:numId="26">
    <w:abstractNumId w:val="18"/>
  </w:num>
  <w:num w:numId="27">
    <w:abstractNumId w:val="22"/>
  </w:num>
  <w:num w:numId="28">
    <w:abstractNumId w:val="14"/>
  </w:num>
  <w:num w:numId="29">
    <w:abstractNumId w:val="21"/>
  </w:num>
  <w:num w:numId="30">
    <w:abstractNumId w:val="17"/>
  </w:num>
  <w:num w:numId="31">
    <w:abstractNumId w:val="32"/>
  </w:num>
  <w:num w:numId="32">
    <w:abstractNumId w:val="9"/>
  </w:num>
  <w:num w:numId="33">
    <w:abstractNumId w:val="8"/>
  </w:num>
  <w:num w:numId="34">
    <w:abstractNumId w:val="3"/>
  </w:num>
  <w:num w:numId="3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F0"/>
    <w:rsid w:val="000002D0"/>
    <w:rsid w:val="000006ED"/>
    <w:rsid w:val="00000F75"/>
    <w:rsid w:val="00002793"/>
    <w:rsid w:val="000049D0"/>
    <w:rsid w:val="00005166"/>
    <w:rsid w:val="000054AD"/>
    <w:rsid w:val="000104BC"/>
    <w:rsid w:val="00011665"/>
    <w:rsid w:val="00011BB3"/>
    <w:rsid w:val="00012013"/>
    <w:rsid w:val="00012217"/>
    <w:rsid w:val="00012235"/>
    <w:rsid w:val="00012448"/>
    <w:rsid w:val="00014603"/>
    <w:rsid w:val="0001591A"/>
    <w:rsid w:val="0001611C"/>
    <w:rsid w:val="00016393"/>
    <w:rsid w:val="00016B37"/>
    <w:rsid w:val="0001722B"/>
    <w:rsid w:val="00017475"/>
    <w:rsid w:val="000179BE"/>
    <w:rsid w:val="000201EC"/>
    <w:rsid w:val="00021428"/>
    <w:rsid w:val="0002181C"/>
    <w:rsid w:val="000244C3"/>
    <w:rsid w:val="00024B99"/>
    <w:rsid w:val="0002601A"/>
    <w:rsid w:val="00026F5E"/>
    <w:rsid w:val="00027E80"/>
    <w:rsid w:val="00030075"/>
    <w:rsid w:val="00030FCB"/>
    <w:rsid w:val="00030FDE"/>
    <w:rsid w:val="0003243B"/>
    <w:rsid w:val="000334D0"/>
    <w:rsid w:val="000336FD"/>
    <w:rsid w:val="00034073"/>
    <w:rsid w:val="0003431A"/>
    <w:rsid w:val="00035D2C"/>
    <w:rsid w:val="000373FB"/>
    <w:rsid w:val="000375A1"/>
    <w:rsid w:val="000421BE"/>
    <w:rsid w:val="0004240C"/>
    <w:rsid w:val="00045271"/>
    <w:rsid w:val="00045620"/>
    <w:rsid w:val="00045A34"/>
    <w:rsid w:val="000524AC"/>
    <w:rsid w:val="00052B93"/>
    <w:rsid w:val="00056CB8"/>
    <w:rsid w:val="000570FC"/>
    <w:rsid w:val="00057808"/>
    <w:rsid w:val="00061D6B"/>
    <w:rsid w:val="00062602"/>
    <w:rsid w:val="0006616C"/>
    <w:rsid w:val="00067630"/>
    <w:rsid w:val="000739CC"/>
    <w:rsid w:val="0007743C"/>
    <w:rsid w:val="0007798A"/>
    <w:rsid w:val="000801F5"/>
    <w:rsid w:val="00080E93"/>
    <w:rsid w:val="00082B3C"/>
    <w:rsid w:val="00082C6D"/>
    <w:rsid w:val="0008315E"/>
    <w:rsid w:val="0008338C"/>
    <w:rsid w:val="00084408"/>
    <w:rsid w:val="00085586"/>
    <w:rsid w:val="00085C03"/>
    <w:rsid w:val="00086B48"/>
    <w:rsid w:val="000871E1"/>
    <w:rsid w:val="00090CF2"/>
    <w:rsid w:val="000919B3"/>
    <w:rsid w:val="00094701"/>
    <w:rsid w:val="00095DEF"/>
    <w:rsid w:val="000A1463"/>
    <w:rsid w:val="000A4AB8"/>
    <w:rsid w:val="000A4CAE"/>
    <w:rsid w:val="000A516D"/>
    <w:rsid w:val="000A52C1"/>
    <w:rsid w:val="000B1351"/>
    <w:rsid w:val="000B144A"/>
    <w:rsid w:val="000B1B35"/>
    <w:rsid w:val="000B2423"/>
    <w:rsid w:val="000B3EBB"/>
    <w:rsid w:val="000B5702"/>
    <w:rsid w:val="000B5847"/>
    <w:rsid w:val="000C0EC5"/>
    <w:rsid w:val="000C2235"/>
    <w:rsid w:val="000C3C0D"/>
    <w:rsid w:val="000C446F"/>
    <w:rsid w:val="000C5A4C"/>
    <w:rsid w:val="000C5D21"/>
    <w:rsid w:val="000C6875"/>
    <w:rsid w:val="000C73E0"/>
    <w:rsid w:val="000C7663"/>
    <w:rsid w:val="000C7DCF"/>
    <w:rsid w:val="000C7EC1"/>
    <w:rsid w:val="000C7F91"/>
    <w:rsid w:val="000D036C"/>
    <w:rsid w:val="000D313A"/>
    <w:rsid w:val="000D6402"/>
    <w:rsid w:val="000D645C"/>
    <w:rsid w:val="000D7F44"/>
    <w:rsid w:val="000E21EE"/>
    <w:rsid w:val="000E2C4E"/>
    <w:rsid w:val="000E34A2"/>
    <w:rsid w:val="000E4C3D"/>
    <w:rsid w:val="000E5DDB"/>
    <w:rsid w:val="000E68D5"/>
    <w:rsid w:val="000E761E"/>
    <w:rsid w:val="000E7BCE"/>
    <w:rsid w:val="000F2C84"/>
    <w:rsid w:val="000F3345"/>
    <w:rsid w:val="000F5DDF"/>
    <w:rsid w:val="000F78DF"/>
    <w:rsid w:val="000F7DD9"/>
    <w:rsid w:val="00100D4F"/>
    <w:rsid w:val="0010405E"/>
    <w:rsid w:val="00104805"/>
    <w:rsid w:val="00104FEB"/>
    <w:rsid w:val="00106C9F"/>
    <w:rsid w:val="0010742C"/>
    <w:rsid w:val="00107880"/>
    <w:rsid w:val="00110A3E"/>
    <w:rsid w:val="0011329F"/>
    <w:rsid w:val="0011343D"/>
    <w:rsid w:val="001137C7"/>
    <w:rsid w:val="00114FED"/>
    <w:rsid w:val="00116EE7"/>
    <w:rsid w:val="0012042C"/>
    <w:rsid w:val="00120954"/>
    <w:rsid w:val="001216E4"/>
    <w:rsid w:val="00121C30"/>
    <w:rsid w:val="0012215C"/>
    <w:rsid w:val="00122A72"/>
    <w:rsid w:val="00122F84"/>
    <w:rsid w:val="0012543C"/>
    <w:rsid w:val="00130A0A"/>
    <w:rsid w:val="00131B7A"/>
    <w:rsid w:val="00132A47"/>
    <w:rsid w:val="00132F77"/>
    <w:rsid w:val="001347CD"/>
    <w:rsid w:val="001370E0"/>
    <w:rsid w:val="0014176E"/>
    <w:rsid w:val="00142E57"/>
    <w:rsid w:val="001441F8"/>
    <w:rsid w:val="00145250"/>
    <w:rsid w:val="001453C0"/>
    <w:rsid w:val="0014588E"/>
    <w:rsid w:val="0014733E"/>
    <w:rsid w:val="0015032F"/>
    <w:rsid w:val="00151897"/>
    <w:rsid w:val="00151E51"/>
    <w:rsid w:val="001528BD"/>
    <w:rsid w:val="00153684"/>
    <w:rsid w:val="00154618"/>
    <w:rsid w:val="00154A61"/>
    <w:rsid w:val="00154E41"/>
    <w:rsid w:val="00155888"/>
    <w:rsid w:val="00155948"/>
    <w:rsid w:val="001571C2"/>
    <w:rsid w:val="00160EF8"/>
    <w:rsid w:val="001611C5"/>
    <w:rsid w:val="00161528"/>
    <w:rsid w:val="00162E74"/>
    <w:rsid w:val="00163084"/>
    <w:rsid w:val="001642F3"/>
    <w:rsid w:val="0016490F"/>
    <w:rsid w:val="00166650"/>
    <w:rsid w:val="00167547"/>
    <w:rsid w:val="00167DCE"/>
    <w:rsid w:val="00171734"/>
    <w:rsid w:val="00174C77"/>
    <w:rsid w:val="00176C01"/>
    <w:rsid w:val="00176F3D"/>
    <w:rsid w:val="00180307"/>
    <w:rsid w:val="00182367"/>
    <w:rsid w:val="001912A1"/>
    <w:rsid w:val="00191D31"/>
    <w:rsid w:val="001937AE"/>
    <w:rsid w:val="00193B8E"/>
    <w:rsid w:val="001956CD"/>
    <w:rsid w:val="00195A5B"/>
    <w:rsid w:val="00197748"/>
    <w:rsid w:val="001A0CDB"/>
    <w:rsid w:val="001A2D71"/>
    <w:rsid w:val="001A30A7"/>
    <w:rsid w:val="001A341E"/>
    <w:rsid w:val="001A4410"/>
    <w:rsid w:val="001A781D"/>
    <w:rsid w:val="001B15FE"/>
    <w:rsid w:val="001B16FF"/>
    <w:rsid w:val="001B2591"/>
    <w:rsid w:val="001B2790"/>
    <w:rsid w:val="001B2DBD"/>
    <w:rsid w:val="001B3913"/>
    <w:rsid w:val="001B420E"/>
    <w:rsid w:val="001B49CA"/>
    <w:rsid w:val="001B5037"/>
    <w:rsid w:val="001B742F"/>
    <w:rsid w:val="001C0F73"/>
    <w:rsid w:val="001C235F"/>
    <w:rsid w:val="001C42B7"/>
    <w:rsid w:val="001C443C"/>
    <w:rsid w:val="001C62B2"/>
    <w:rsid w:val="001C63E6"/>
    <w:rsid w:val="001C66A4"/>
    <w:rsid w:val="001C677B"/>
    <w:rsid w:val="001C6E53"/>
    <w:rsid w:val="001D0F6C"/>
    <w:rsid w:val="001D21A3"/>
    <w:rsid w:val="001E0894"/>
    <w:rsid w:val="001E0DC9"/>
    <w:rsid w:val="001E2671"/>
    <w:rsid w:val="001E2A67"/>
    <w:rsid w:val="001E3166"/>
    <w:rsid w:val="001E328B"/>
    <w:rsid w:val="001E4368"/>
    <w:rsid w:val="001E47CE"/>
    <w:rsid w:val="001E6DD2"/>
    <w:rsid w:val="001E7339"/>
    <w:rsid w:val="001E749A"/>
    <w:rsid w:val="001E7769"/>
    <w:rsid w:val="001E7A4F"/>
    <w:rsid w:val="001E7AF3"/>
    <w:rsid w:val="001E7D19"/>
    <w:rsid w:val="001F003F"/>
    <w:rsid w:val="001F0D31"/>
    <w:rsid w:val="001F130B"/>
    <w:rsid w:val="001F13D9"/>
    <w:rsid w:val="001F661B"/>
    <w:rsid w:val="001F6AAA"/>
    <w:rsid w:val="001F7F5A"/>
    <w:rsid w:val="002007EF"/>
    <w:rsid w:val="002008C1"/>
    <w:rsid w:val="00200E65"/>
    <w:rsid w:val="00201E2F"/>
    <w:rsid w:val="00204CCC"/>
    <w:rsid w:val="00206103"/>
    <w:rsid w:val="00206460"/>
    <w:rsid w:val="00206619"/>
    <w:rsid w:val="002078F8"/>
    <w:rsid w:val="00210E76"/>
    <w:rsid w:val="00212421"/>
    <w:rsid w:val="00213A5C"/>
    <w:rsid w:val="00214397"/>
    <w:rsid w:val="0021454E"/>
    <w:rsid w:val="00215B7B"/>
    <w:rsid w:val="0021649F"/>
    <w:rsid w:val="002166B0"/>
    <w:rsid w:val="00216748"/>
    <w:rsid w:val="00222EE0"/>
    <w:rsid w:val="002249E0"/>
    <w:rsid w:val="00227200"/>
    <w:rsid w:val="0023051F"/>
    <w:rsid w:val="00231421"/>
    <w:rsid w:val="0023168A"/>
    <w:rsid w:val="00231EFB"/>
    <w:rsid w:val="00233B1B"/>
    <w:rsid w:val="00234989"/>
    <w:rsid w:val="00236F54"/>
    <w:rsid w:val="00243F92"/>
    <w:rsid w:val="00244C52"/>
    <w:rsid w:val="00244F04"/>
    <w:rsid w:val="002469F3"/>
    <w:rsid w:val="002472E3"/>
    <w:rsid w:val="0024731C"/>
    <w:rsid w:val="0024763C"/>
    <w:rsid w:val="00250CD2"/>
    <w:rsid w:val="00252F22"/>
    <w:rsid w:val="0025797D"/>
    <w:rsid w:val="00260D53"/>
    <w:rsid w:val="00260FE9"/>
    <w:rsid w:val="0026192D"/>
    <w:rsid w:val="00262168"/>
    <w:rsid w:val="00263FBA"/>
    <w:rsid w:val="00265E97"/>
    <w:rsid w:val="00266C81"/>
    <w:rsid w:val="00267B40"/>
    <w:rsid w:val="0027190A"/>
    <w:rsid w:val="00274369"/>
    <w:rsid w:val="0027446D"/>
    <w:rsid w:val="00274551"/>
    <w:rsid w:val="00276946"/>
    <w:rsid w:val="00276987"/>
    <w:rsid w:val="002811F8"/>
    <w:rsid w:val="00282139"/>
    <w:rsid w:val="0028334F"/>
    <w:rsid w:val="002833CC"/>
    <w:rsid w:val="002856B1"/>
    <w:rsid w:val="002856F7"/>
    <w:rsid w:val="00285B8F"/>
    <w:rsid w:val="00285CD2"/>
    <w:rsid w:val="002869BF"/>
    <w:rsid w:val="00287FFA"/>
    <w:rsid w:val="002901A8"/>
    <w:rsid w:val="002925E5"/>
    <w:rsid w:val="002A3EA9"/>
    <w:rsid w:val="002A469D"/>
    <w:rsid w:val="002A4741"/>
    <w:rsid w:val="002A58CB"/>
    <w:rsid w:val="002A6A9E"/>
    <w:rsid w:val="002A6C78"/>
    <w:rsid w:val="002A754A"/>
    <w:rsid w:val="002B2DDF"/>
    <w:rsid w:val="002B4165"/>
    <w:rsid w:val="002B53F8"/>
    <w:rsid w:val="002C0E7A"/>
    <w:rsid w:val="002C0F18"/>
    <w:rsid w:val="002C3069"/>
    <w:rsid w:val="002C3A26"/>
    <w:rsid w:val="002C3AD0"/>
    <w:rsid w:val="002C4324"/>
    <w:rsid w:val="002C43B8"/>
    <w:rsid w:val="002C496D"/>
    <w:rsid w:val="002C69BD"/>
    <w:rsid w:val="002C7F16"/>
    <w:rsid w:val="002D00B5"/>
    <w:rsid w:val="002D353E"/>
    <w:rsid w:val="002D7622"/>
    <w:rsid w:val="002E0681"/>
    <w:rsid w:val="002E166B"/>
    <w:rsid w:val="002E21F4"/>
    <w:rsid w:val="002E2648"/>
    <w:rsid w:val="002E2C4F"/>
    <w:rsid w:val="002E395C"/>
    <w:rsid w:val="002E3AA0"/>
    <w:rsid w:val="002E4047"/>
    <w:rsid w:val="002E443F"/>
    <w:rsid w:val="002E5A44"/>
    <w:rsid w:val="002E6C91"/>
    <w:rsid w:val="002E76E6"/>
    <w:rsid w:val="002E7D4B"/>
    <w:rsid w:val="002F013F"/>
    <w:rsid w:val="002F0F7F"/>
    <w:rsid w:val="002F0FB5"/>
    <w:rsid w:val="002F348D"/>
    <w:rsid w:val="002F469A"/>
    <w:rsid w:val="002F4C82"/>
    <w:rsid w:val="002F5ADE"/>
    <w:rsid w:val="002F5BB3"/>
    <w:rsid w:val="002F6F01"/>
    <w:rsid w:val="00301584"/>
    <w:rsid w:val="003015AE"/>
    <w:rsid w:val="00302C09"/>
    <w:rsid w:val="00303D12"/>
    <w:rsid w:val="0030493B"/>
    <w:rsid w:val="00307FB8"/>
    <w:rsid w:val="00311D54"/>
    <w:rsid w:val="0031204B"/>
    <w:rsid w:val="00312288"/>
    <w:rsid w:val="003125E0"/>
    <w:rsid w:val="00312C65"/>
    <w:rsid w:val="003136D4"/>
    <w:rsid w:val="0031414E"/>
    <w:rsid w:val="003146A7"/>
    <w:rsid w:val="00315084"/>
    <w:rsid w:val="0031515B"/>
    <w:rsid w:val="003166EF"/>
    <w:rsid w:val="00316CAF"/>
    <w:rsid w:val="00317E95"/>
    <w:rsid w:val="00320D8A"/>
    <w:rsid w:val="003230B4"/>
    <w:rsid w:val="0032356A"/>
    <w:rsid w:val="00323BDC"/>
    <w:rsid w:val="0032461B"/>
    <w:rsid w:val="003258BC"/>
    <w:rsid w:val="00326C92"/>
    <w:rsid w:val="003305AC"/>
    <w:rsid w:val="003324F4"/>
    <w:rsid w:val="00332526"/>
    <w:rsid w:val="0033302A"/>
    <w:rsid w:val="00333876"/>
    <w:rsid w:val="00337434"/>
    <w:rsid w:val="00341408"/>
    <w:rsid w:val="003418D2"/>
    <w:rsid w:val="00341B3E"/>
    <w:rsid w:val="0034224A"/>
    <w:rsid w:val="003436ED"/>
    <w:rsid w:val="0034496E"/>
    <w:rsid w:val="00350216"/>
    <w:rsid w:val="00350951"/>
    <w:rsid w:val="00353D63"/>
    <w:rsid w:val="00354DDD"/>
    <w:rsid w:val="003560E0"/>
    <w:rsid w:val="00357736"/>
    <w:rsid w:val="0035782B"/>
    <w:rsid w:val="00357E14"/>
    <w:rsid w:val="003641BE"/>
    <w:rsid w:val="00364A00"/>
    <w:rsid w:val="00364B50"/>
    <w:rsid w:val="00364EF0"/>
    <w:rsid w:val="003665AE"/>
    <w:rsid w:val="003700C5"/>
    <w:rsid w:val="0037233E"/>
    <w:rsid w:val="00373052"/>
    <w:rsid w:val="00373881"/>
    <w:rsid w:val="00376EBA"/>
    <w:rsid w:val="00376F94"/>
    <w:rsid w:val="003770A2"/>
    <w:rsid w:val="00377A56"/>
    <w:rsid w:val="00381127"/>
    <w:rsid w:val="003819AB"/>
    <w:rsid w:val="0038276C"/>
    <w:rsid w:val="0038393E"/>
    <w:rsid w:val="00384060"/>
    <w:rsid w:val="00385358"/>
    <w:rsid w:val="003862EB"/>
    <w:rsid w:val="00386718"/>
    <w:rsid w:val="003905D4"/>
    <w:rsid w:val="00393B22"/>
    <w:rsid w:val="00393C46"/>
    <w:rsid w:val="00395806"/>
    <w:rsid w:val="0039642E"/>
    <w:rsid w:val="0039644E"/>
    <w:rsid w:val="003A3A23"/>
    <w:rsid w:val="003A3F99"/>
    <w:rsid w:val="003A4148"/>
    <w:rsid w:val="003A4506"/>
    <w:rsid w:val="003A48F8"/>
    <w:rsid w:val="003A60A7"/>
    <w:rsid w:val="003A6DBF"/>
    <w:rsid w:val="003A769D"/>
    <w:rsid w:val="003B0EA8"/>
    <w:rsid w:val="003B17DD"/>
    <w:rsid w:val="003B5C94"/>
    <w:rsid w:val="003B5E19"/>
    <w:rsid w:val="003B6C7E"/>
    <w:rsid w:val="003B6D8D"/>
    <w:rsid w:val="003B79F4"/>
    <w:rsid w:val="003B7AE8"/>
    <w:rsid w:val="003C0915"/>
    <w:rsid w:val="003C21B8"/>
    <w:rsid w:val="003C396D"/>
    <w:rsid w:val="003C5061"/>
    <w:rsid w:val="003C788F"/>
    <w:rsid w:val="003D40C8"/>
    <w:rsid w:val="003D5719"/>
    <w:rsid w:val="003D6D65"/>
    <w:rsid w:val="003E05F6"/>
    <w:rsid w:val="003E06D3"/>
    <w:rsid w:val="003E1D5D"/>
    <w:rsid w:val="003E1EF6"/>
    <w:rsid w:val="003E2072"/>
    <w:rsid w:val="003E25FC"/>
    <w:rsid w:val="003E469A"/>
    <w:rsid w:val="003E5B98"/>
    <w:rsid w:val="003E5BEC"/>
    <w:rsid w:val="003E620B"/>
    <w:rsid w:val="003F004D"/>
    <w:rsid w:val="003F1443"/>
    <w:rsid w:val="003F2F93"/>
    <w:rsid w:val="003F32E6"/>
    <w:rsid w:val="003F42E1"/>
    <w:rsid w:val="003F5E81"/>
    <w:rsid w:val="003F693D"/>
    <w:rsid w:val="003F7C1C"/>
    <w:rsid w:val="0040217C"/>
    <w:rsid w:val="00404795"/>
    <w:rsid w:val="00404ADD"/>
    <w:rsid w:val="00406139"/>
    <w:rsid w:val="00407F5B"/>
    <w:rsid w:val="0041052E"/>
    <w:rsid w:val="004132E5"/>
    <w:rsid w:val="0041330D"/>
    <w:rsid w:val="00415F19"/>
    <w:rsid w:val="004206D6"/>
    <w:rsid w:val="00420738"/>
    <w:rsid w:val="00420C53"/>
    <w:rsid w:val="004227A8"/>
    <w:rsid w:val="00422972"/>
    <w:rsid w:val="00423375"/>
    <w:rsid w:val="004240F4"/>
    <w:rsid w:val="00426AF2"/>
    <w:rsid w:val="004278D8"/>
    <w:rsid w:val="0043032D"/>
    <w:rsid w:val="004305A4"/>
    <w:rsid w:val="00432600"/>
    <w:rsid w:val="004418B0"/>
    <w:rsid w:val="00442E8B"/>
    <w:rsid w:val="0044320C"/>
    <w:rsid w:val="00444ABC"/>
    <w:rsid w:val="00444EC8"/>
    <w:rsid w:val="00445078"/>
    <w:rsid w:val="00445478"/>
    <w:rsid w:val="0044736D"/>
    <w:rsid w:val="00447ED8"/>
    <w:rsid w:val="004504DB"/>
    <w:rsid w:val="00450A5B"/>
    <w:rsid w:val="004526B8"/>
    <w:rsid w:val="0045361A"/>
    <w:rsid w:val="0045592A"/>
    <w:rsid w:val="004562A4"/>
    <w:rsid w:val="00457A22"/>
    <w:rsid w:val="0046136E"/>
    <w:rsid w:val="00463867"/>
    <w:rsid w:val="00464188"/>
    <w:rsid w:val="00464253"/>
    <w:rsid w:val="00465598"/>
    <w:rsid w:val="00467C6C"/>
    <w:rsid w:val="004704EF"/>
    <w:rsid w:val="00470C19"/>
    <w:rsid w:val="00471667"/>
    <w:rsid w:val="004716C8"/>
    <w:rsid w:val="00472C75"/>
    <w:rsid w:val="00473712"/>
    <w:rsid w:val="00474B42"/>
    <w:rsid w:val="004767F2"/>
    <w:rsid w:val="00476EED"/>
    <w:rsid w:val="00481794"/>
    <w:rsid w:val="004847BE"/>
    <w:rsid w:val="004859A1"/>
    <w:rsid w:val="0048645C"/>
    <w:rsid w:val="004865F0"/>
    <w:rsid w:val="00490F76"/>
    <w:rsid w:val="004920C4"/>
    <w:rsid w:val="00494789"/>
    <w:rsid w:val="00496C8B"/>
    <w:rsid w:val="0049764D"/>
    <w:rsid w:val="004A0978"/>
    <w:rsid w:val="004A1094"/>
    <w:rsid w:val="004A143D"/>
    <w:rsid w:val="004A30AA"/>
    <w:rsid w:val="004A4C69"/>
    <w:rsid w:val="004A5803"/>
    <w:rsid w:val="004A5A40"/>
    <w:rsid w:val="004A642E"/>
    <w:rsid w:val="004A68FC"/>
    <w:rsid w:val="004A6CBF"/>
    <w:rsid w:val="004B0475"/>
    <w:rsid w:val="004B091B"/>
    <w:rsid w:val="004B0A54"/>
    <w:rsid w:val="004B2BD5"/>
    <w:rsid w:val="004B5942"/>
    <w:rsid w:val="004B628F"/>
    <w:rsid w:val="004B7676"/>
    <w:rsid w:val="004C0739"/>
    <w:rsid w:val="004C0835"/>
    <w:rsid w:val="004C1018"/>
    <w:rsid w:val="004C117E"/>
    <w:rsid w:val="004C1DB8"/>
    <w:rsid w:val="004C2451"/>
    <w:rsid w:val="004C2DA2"/>
    <w:rsid w:val="004C303C"/>
    <w:rsid w:val="004C31B4"/>
    <w:rsid w:val="004C37B2"/>
    <w:rsid w:val="004C55FE"/>
    <w:rsid w:val="004C76D4"/>
    <w:rsid w:val="004D3925"/>
    <w:rsid w:val="004D4196"/>
    <w:rsid w:val="004D7837"/>
    <w:rsid w:val="004D7FD7"/>
    <w:rsid w:val="004E0A39"/>
    <w:rsid w:val="004E175D"/>
    <w:rsid w:val="004E20A6"/>
    <w:rsid w:val="004E3C5F"/>
    <w:rsid w:val="004E413A"/>
    <w:rsid w:val="004E4338"/>
    <w:rsid w:val="004E4985"/>
    <w:rsid w:val="004E4D99"/>
    <w:rsid w:val="004E5736"/>
    <w:rsid w:val="004E6457"/>
    <w:rsid w:val="004E6669"/>
    <w:rsid w:val="004E7355"/>
    <w:rsid w:val="004E7913"/>
    <w:rsid w:val="004F1050"/>
    <w:rsid w:val="004F200E"/>
    <w:rsid w:val="004F279A"/>
    <w:rsid w:val="004F2CE3"/>
    <w:rsid w:val="004F371E"/>
    <w:rsid w:val="004F7C01"/>
    <w:rsid w:val="00500BCB"/>
    <w:rsid w:val="005020D5"/>
    <w:rsid w:val="00502134"/>
    <w:rsid w:val="00502E8D"/>
    <w:rsid w:val="00503D92"/>
    <w:rsid w:val="00504A59"/>
    <w:rsid w:val="005056E9"/>
    <w:rsid w:val="0050648C"/>
    <w:rsid w:val="00506FFC"/>
    <w:rsid w:val="005076E9"/>
    <w:rsid w:val="0051110E"/>
    <w:rsid w:val="005111AD"/>
    <w:rsid w:val="0051140A"/>
    <w:rsid w:val="005128BB"/>
    <w:rsid w:val="00514283"/>
    <w:rsid w:val="0051462B"/>
    <w:rsid w:val="0051754D"/>
    <w:rsid w:val="005176C8"/>
    <w:rsid w:val="00517B05"/>
    <w:rsid w:val="005208F4"/>
    <w:rsid w:val="0052099A"/>
    <w:rsid w:val="00522235"/>
    <w:rsid w:val="00523227"/>
    <w:rsid w:val="00524392"/>
    <w:rsid w:val="00525B60"/>
    <w:rsid w:val="00526C39"/>
    <w:rsid w:val="005273AE"/>
    <w:rsid w:val="0052779B"/>
    <w:rsid w:val="00533258"/>
    <w:rsid w:val="0053404E"/>
    <w:rsid w:val="00535132"/>
    <w:rsid w:val="00535A6D"/>
    <w:rsid w:val="00536DA1"/>
    <w:rsid w:val="0054000D"/>
    <w:rsid w:val="0054145F"/>
    <w:rsid w:val="005414B0"/>
    <w:rsid w:val="00542296"/>
    <w:rsid w:val="00543DDD"/>
    <w:rsid w:val="00551D6B"/>
    <w:rsid w:val="005526DF"/>
    <w:rsid w:val="00553619"/>
    <w:rsid w:val="00553B93"/>
    <w:rsid w:val="00555857"/>
    <w:rsid w:val="00555E51"/>
    <w:rsid w:val="0055709F"/>
    <w:rsid w:val="00557B96"/>
    <w:rsid w:val="005604B2"/>
    <w:rsid w:val="0056262B"/>
    <w:rsid w:val="00562B28"/>
    <w:rsid w:val="00564C38"/>
    <w:rsid w:val="005657CC"/>
    <w:rsid w:val="00570461"/>
    <w:rsid w:val="00573790"/>
    <w:rsid w:val="00573E1D"/>
    <w:rsid w:val="00580E15"/>
    <w:rsid w:val="00581933"/>
    <w:rsid w:val="0058365F"/>
    <w:rsid w:val="005853E1"/>
    <w:rsid w:val="00585D72"/>
    <w:rsid w:val="005905E0"/>
    <w:rsid w:val="00590DDA"/>
    <w:rsid w:val="00592415"/>
    <w:rsid w:val="00594CCB"/>
    <w:rsid w:val="005952CA"/>
    <w:rsid w:val="00595B7A"/>
    <w:rsid w:val="005A3110"/>
    <w:rsid w:val="005A4CCD"/>
    <w:rsid w:val="005A637D"/>
    <w:rsid w:val="005B4279"/>
    <w:rsid w:val="005B4BC8"/>
    <w:rsid w:val="005B4F04"/>
    <w:rsid w:val="005B524B"/>
    <w:rsid w:val="005B52B6"/>
    <w:rsid w:val="005B5F80"/>
    <w:rsid w:val="005B6780"/>
    <w:rsid w:val="005B74DE"/>
    <w:rsid w:val="005B7C03"/>
    <w:rsid w:val="005B7D89"/>
    <w:rsid w:val="005C0411"/>
    <w:rsid w:val="005C19D0"/>
    <w:rsid w:val="005C2A91"/>
    <w:rsid w:val="005C45B3"/>
    <w:rsid w:val="005C6529"/>
    <w:rsid w:val="005C65DD"/>
    <w:rsid w:val="005D0BAD"/>
    <w:rsid w:val="005D1E71"/>
    <w:rsid w:val="005D3487"/>
    <w:rsid w:val="005D5584"/>
    <w:rsid w:val="005D55A2"/>
    <w:rsid w:val="005D5BEB"/>
    <w:rsid w:val="005D6C0D"/>
    <w:rsid w:val="005D6C5A"/>
    <w:rsid w:val="005D6D44"/>
    <w:rsid w:val="005E0D6C"/>
    <w:rsid w:val="005E1594"/>
    <w:rsid w:val="005E2FBE"/>
    <w:rsid w:val="005E4E23"/>
    <w:rsid w:val="005E6125"/>
    <w:rsid w:val="005E651C"/>
    <w:rsid w:val="005E6722"/>
    <w:rsid w:val="005F1A26"/>
    <w:rsid w:val="005F1FD5"/>
    <w:rsid w:val="005F4DD9"/>
    <w:rsid w:val="005F51A7"/>
    <w:rsid w:val="005F603A"/>
    <w:rsid w:val="0060229C"/>
    <w:rsid w:val="006030B4"/>
    <w:rsid w:val="006030F6"/>
    <w:rsid w:val="00604520"/>
    <w:rsid w:val="00604EBB"/>
    <w:rsid w:val="00607B52"/>
    <w:rsid w:val="00610460"/>
    <w:rsid w:val="0061118B"/>
    <w:rsid w:val="00611FA1"/>
    <w:rsid w:val="00612E32"/>
    <w:rsid w:val="006135D9"/>
    <w:rsid w:val="00614376"/>
    <w:rsid w:val="00615C0E"/>
    <w:rsid w:val="00617C4F"/>
    <w:rsid w:val="00620158"/>
    <w:rsid w:val="006223B0"/>
    <w:rsid w:val="00624B79"/>
    <w:rsid w:val="00625CF2"/>
    <w:rsid w:val="00633902"/>
    <w:rsid w:val="00635191"/>
    <w:rsid w:val="00636070"/>
    <w:rsid w:val="00636BA2"/>
    <w:rsid w:val="006413CC"/>
    <w:rsid w:val="0064220A"/>
    <w:rsid w:val="006423C0"/>
    <w:rsid w:val="006425E7"/>
    <w:rsid w:val="00642627"/>
    <w:rsid w:val="00645E7D"/>
    <w:rsid w:val="00645F82"/>
    <w:rsid w:val="00646EB6"/>
    <w:rsid w:val="00653E9D"/>
    <w:rsid w:val="00657069"/>
    <w:rsid w:val="006624D5"/>
    <w:rsid w:val="00662ED0"/>
    <w:rsid w:val="00663F55"/>
    <w:rsid w:val="00664D0B"/>
    <w:rsid w:val="00666925"/>
    <w:rsid w:val="00666C36"/>
    <w:rsid w:val="00667006"/>
    <w:rsid w:val="00667AC2"/>
    <w:rsid w:val="0067259E"/>
    <w:rsid w:val="00672AF6"/>
    <w:rsid w:val="00674DBD"/>
    <w:rsid w:val="00675721"/>
    <w:rsid w:val="00675D51"/>
    <w:rsid w:val="00675E9C"/>
    <w:rsid w:val="00676712"/>
    <w:rsid w:val="00684B52"/>
    <w:rsid w:val="00690BC7"/>
    <w:rsid w:val="00691CFF"/>
    <w:rsid w:val="006921AD"/>
    <w:rsid w:val="00693C6A"/>
    <w:rsid w:val="0069412B"/>
    <w:rsid w:val="006966F5"/>
    <w:rsid w:val="00696E84"/>
    <w:rsid w:val="006A20FE"/>
    <w:rsid w:val="006A347C"/>
    <w:rsid w:val="006A4372"/>
    <w:rsid w:val="006A4B99"/>
    <w:rsid w:val="006A55C2"/>
    <w:rsid w:val="006A7683"/>
    <w:rsid w:val="006A7F6B"/>
    <w:rsid w:val="006B02FA"/>
    <w:rsid w:val="006B059D"/>
    <w:rsid w:val="006B1D6F"/>
    <w:rsid w:val="006B67CF"/>
    <w:rsid w:val="006B6BC3"/>
    <w:rsid w:val="006C1E48"/>
    <w:rsid w:val="006C3DD6"/>
    <w:rsid w:val="006C4856"/>
    <w:rsid w:val="006C589D"/>
    <w:rsid w:val="006D0F47"/>
    <w:rsid w:val="006D36A0"/>
    <w:rsid w:val="006D5030"/>
    <w:rsid w:val="006D59F7"/>
    <w:rsid w:val="006E0BBE"/>
    <w:rsid w:val="006E0C3A"/>
    <w:rsid w:val="006E265D"/>
    <w:rsid w:val="006E31DB"/>
    <w:rsid w:val="006E4BA2"/>
    <w:rsid w:val="006E5297"/>
    <w:rsid w:val="006E6105"/>
    <w:rsid w:val="006E78C6"/>
    <w:rsid w:val="006F0629"/>
    <w:rsid w:val="006F0BA1"/>
    <w:rsid w:val="006F0C79"/>
    <w:rsid w:val="006F0E4F"/>
    <w:rsid w:val="006F0EF5"/>
    <w:rsid w:val="006F5DDA"/>
    <w:rsid w:val="006F5FE9"/>
    <w:rsid w:val="006F6CB2"/>
    <w:rsid w:val="006F7162"/>
    <w:rsid w:val="006F72F9"/>
    <w:rsid w:val="007004BA"/>
    <w:rsid w:val="00700911"/>
    <w:rsid w:val="00700CE0"/>
    <w:rsid w:val="00701736"/>
    <w:rsid w:val="007035FE"/>
    <w:rsid w:val="00703683"/>
    <w:rsid w:val="0070456E"/>
    <w:rsid w:val="007057AE"/>
    <w:rsid w:val="007058E4"/>
    <w:rsid w:val="00705D7A"/>
    <w:rsid w:val="00710103"/>
    <w:rsid w:val="007122BA"/>
    <w:rsid w:val="007124FD"/>
    <w:rsid w:val="00712C56"/>
    <w:rsid w:val="00713976"/>
    <w:rsid w:val="00715C45"/>
    <w:rsid w:val="007177A5"/>
    <w:rsid w:val="00717E90"/>
    <w:rsid w:val="007207AD"/>
    <w:rsid w:val="00720900"/>
    <w:rsid w:val="00720F9E"/>
    <w:rsid w:val="00721372"/>
    <w:rsid w:val="0072462D"/>
    <w:rsid w:val="00724906"/>
    <w:rsid w:val="007249AA"/>
    <w:rsid w:val="00724D6F"/>
    <w:rsid w:val="00725224"/>
    <w:rsid w:val="00725479"/>
    <w:rsid w:val="007310FE"/>
    <w:rsid w:val="007316A9"/>
    <w:rsid w:val="0073293F"/>
    <w:rsid w:val="00732BD9"/>
    <w:rsid w:val="00735454"/>
    <w:rsid w:val="00735537"/>
    <w:rsid w:val="00736282"/>
    <w:rsid w:val="00736819"/>
    <w:rsid w:val="00736AC1"/>
    <w:rsid w:val="00744886"/>
    <w:rsid w:val="0074596A"/>
    <w:rsid w:val="0074634F"/>
    <w:rsid w:val="00746411"/>
    <w:rsid w:val="007509E1"/>
    <w:rsid w:val="00752BC2"/>
    <w:rsid w:val="00753340"/>
    <w:rsid w:val="00754256"/>
    <w:rsid w:val="007550A6"/>
    <w:rsid w:val="00756ACC"/>
    <w:rsid w:val="00760076"/>
    <w:rsid w:val="00760915"/>
    <w:rsid w:val="00760C4E"/>
    <w:rsid w:val="00761961"/>
    <w:rsid w:val="00763898"/>
    <w:rsid w:val="00764C0B"/>
    <w:rsid w:val="00764E42"/>
    <w:rsid w:val="00764F71"/>
    <w:rsid w:val="00765F45"/>
    <w:rsid w:val="00771554"/>
    <w:rsid w:val="007724EF"/>
    <w:rsid w:val="00776144"/>
    <w:rsid w:val="007774E0"/>
    <w:rsid w:val="0077762A"/>
    <w:rsid w:val="00777FFE"/>
    <w:rsid w:val="007806D7"/>
    <w:rsid w:val="007830BE"/>
    <w:rsid w:val="007852AD"/>
    <w:rsid w:val="007928A4"/>
    <w:rsid w:val="007946B1"/>
    <w:rsid w:val="0079488B"/>
    <w:rsid w:val="00794C3B"/>
    <w:rsid w:val="00795594"/>
    <w:rsid w:val="007965B8"/>
    <w:rsid w:val="00796F65"/>
    <w:rsid w:val="007A0026"/>
    <w:rsid w:val="007A03B4"/>
    <w:rsid w:val="007A2942"/>
    <w:rsid w:val="007A2B23"/>
    <w:rsid w:val="007A5910"/>
    <w:rsid w:val="007A5F24"/>
    <w:rsid w:val="007A608E"/>
    <w:rsid w:val="007A6F1E"/>
    <w:rsid w:val="007B1FA6"/>
    <w:rsid w:val="007B2390"/>
    <w:rsid w:val="007B28E3"/>
    <w:rsid w:val="007B2A34"/>
    <w:rsid w:val="007B3599"/>
    <w:rsid w:val="007B49AA"/>
    <w:rsid w:val="007B57A6"/>
    <w:rsid w:val="007B5835"/>
    <w:rsid w:val="007B5B98"/>
    <w:rsid w:val="007B753E"/>
    <w:rsid w:val="007C110F"/>
    <w:rsid w:val="007C1453"/>
    <w:rsid w:val="007C1BC4"/>
    <w:rsid w:val="007C1C38"/>
    <w:rsid w:val="007C255B"/>
    <w:rsid w:val="007C2AA0"/>
    <w:rsid w:val="007C322B"/>
    <w:rsid w:val="007C477F"/>
    <w:rsid w:val="007C5ACD"/>
    <w:rsid w:val="007C6721"/>
    <w:rsid w:val="007D01AA"/>
    <w:rsid w:val="007D11EE"/>
    <w:rsid w:val="007D245B"/>
    <w:rsid w:val="007D34F2"/>
    <w:rsid w:val="007D4269"/>
    <w:rsid w:val="007D43E8"/>
    <w:rsid w:val="007D46AC"/>
    <w:rsid w:val="007D5233"/>
    <w:rsid w:val="007D7456"/>
    <w:rsid w:val="007D7C6B"/>
    <w:rsid w:val="007E1131"/>
    <w:rsid w:val="007E16E9"/>
    <w:rsid w:val="007E38F3"/>
    <w:rsid w:val="007E3D65"/>
    <w:rsid w:val="007E3E02"/>
    <w:rsid w:val="007E43E2"/>
    <w:rsid w:val="007E72C0"/>
    <w:rsid w:val="007E78AB"/>
    <w:rsid w:val="007E799D"/>
    <w:rsid w:val="007E7D55"/>
    <w:rsid w:val="007F140A"/>
    <w:rsid w:val="007F19FD"/>
    <w:rsid w:val="007F1DEE"/>
    <w:rsid w:val="007F3505"/>
    <w:rsid w:val="007F3801"/>
    <w:rsid w:val="007F3C83"/>
    <w:rsid w:val="007F48C2"/>
    <w:rsid w:val="00802A61"/>
    <w:rsid w:val="008031A8"/>
    <w:rsid w:val="0080463A"/>
    <w:rsid w:val="00804843"/>
    <w:rsid w:val="008051B9"/>
    <w:rsid w:val="008068E8"/>
    <w:rsid w:val="00806A19"/>
    <w:rsid w:val="00807C00"/>
    <w:rsid w:val="0081001A"/>
    <w:rsid w:val="00810E96"/>
    <w:rsid w:val="00810FC4"/>
    <w:rsid w:val="0081166C"/>
    <w:rsid w:val="008116A8"/>
    <w:rsid w:val="00811BD8"/>
    <w:rsid w:val="00811E52"/>
    <w:rsid w:val="008141A1"/>
    <w:rsid w:val="00814971"/>
    <w:rsid w:val="00815532"/>
    <w:rsid w:val="008175BE"/>
    <w:rsid w:val="00817AB6"/>
    <w:rsid w:val="00817D51"/>
    <w:rsid w:val="00820F7B"/>
    <w:rsid w:val="00821DB2"/>
    <w:rsid w:val="0082495F"/>
    <w:rsid w:val="00827AA3"/>
    <w:rsid w:val="00831658"/>
    <w:rsid w:val="008320B5"/>
    <w:rsid w:val="008324F1"/>
    <w:rsid w:val="008353BC"/>
    <w:rsid w:val="008365F5"/>
    <w:rsid w:val="008373DC"/>
    <w:rsid w:val="00837A74"/>
    <w:rsid w:val="00837FCC"/>
    <w:rsid w:val="00841561"/>
    <w:rsid w:val="00841BE8"/>
    <w:rsid w:val="008436A0"/>
    <w:rsid w:val="00843EA1"/>
    <w:rsid w:val="008441A8"/>
    <w:rsid w:val="00845E4E"/>
    <w:rsid w:val="00846E00"/>
    <w:rsid w:val="00851D3F"/>
    <w:rsid w:val="00853D21"/>
    <w:rsid w:val="00854D23"/>
    <w:rsid w:val="008604B8"/>
    <w:rsid w:val="00860B2C"/>
    <w:rsid w:val="00861629"/>
    <w:rsid w:val="00861DA3"/>
    <w:rsid w:val="00863F96"/>
    <w:rsid w:val="008649BF"/>
    <w:rsid w:val="00864F09"/>
    <w:rsid w:val="0086506D"/>
    <w:rsid w:val="00870A1E"/>
    <w:rsid w:val="00873445"/>
    <w:rsid w:val="00873BAB"/>
    <w:rsid w:val="00873CC5"/>
    <w:rsid w:val="00874E95"/>
    <w:rsid w:val="00876051"/>
    <w:rsid w:val="00877A0F"/>
    <w:rsid w:val="00880912"/>
    <w:rsid w:val="008820D7"/>
    <w:rsid w:val="00883CCE"/>
    <w:rsid w:val="00885982"/>
    <w:rsid w:val="00890F17"/>
    <w:rsid w:val="00890FDE"/>
    <w:rsid w:val="00892712"/>
    <w:rsid w:val="00894027"/>
    <w:rsid w:val="00894E76"/>
    <w:rsid w:val="00894FFC"/>
    <w:rsid w:val="0089600E"/>
    <w:rsid w:val="008967B0"/>
    <w:rsid w:val="00896F23"/>
    <w:rsid w:val="0089755C"/>
    <w:rsid w:val="0089758B"/>
    <w:rsid w:val="00897EB7"/>
    <w:rsid w:val="008A04FF"/>
    <w:rsid w:val="008A0F31"/>
    <w:rsid w:val="008A104A"/>
    <w:rsid w:val="008A158C"/>
    <w:rsid w:val="008A207C"/>
    <w:rsid w:val="008A35D5"/>
    <w:rsid w:val="008A538A"/>
    <w:rsid w:val="008A6AE9"/>
    <w:rsid w:val="008B0805"/>
    <w:rsid w:val="008B2016"/>
    <w:rsid w:val="008B2498"/>
    <w:rsid w:val="008B4532"/>
    <w:rsid w:val="008B4556"/>
    <w:rsid w:val="008B4706"/>
    <w:rsid w:val="008B523F"/>
    <w:rsid w:val="008B6657"/>
    <w:rsid w:val="008B67D3"/>
    <w:rsid w:val="008B734E"/>
    <w:rsid w:val="008B7AB2"/>
    <w:rsid w:val="008C01B1"/>
    <w:rsid w:val="008C05AA"/>
    <w:rsid w:val="008C0F1F"/>
    <w:rsid w:val="008C1507"/>
    <w:rsid w:val="008C1E67"/>
    <w:rsid w:val="008C520B"/>
    <w:rsid w:val="008C5B74"/>
    <w:rsid w:val="008C69B8"/>
    <w:rsid w:val="008C7CFC"/>
    <w:rsid w:val="008D190C"/>
    <w:rsid w:val="008D2836"/>
    <w:rsid w:val="008D5E20"/>
    <w:rsid w:val="008E12CA"/>
    <w:rsid w:val="008E1D93"/>
    <w:rsid w:val="008E373E"/>
    <w:rsid w:val="008E4B8C"/>
    <w:rsid w:val="008E4F0B"/>
    <w:rsid w:val="008E602D"/>
    <w:rsid w:val="008F0363"/>
    <w:rsid w:val="008F4938"/>
    <w:rsid w:val="008F549E"/>
    <w:rsid w:val="008F575F"/>
    <w:rsid w:val="008F57BB"/>
    <w:rsid w:val="008F5A56"/>
    <w:rsid w:val="008F5B7E"/>
    <w:rsid w:val="008F7133"/>
    <w:rsid w:val="008F765A"/>
    <w:rsid w:val="008F774B"/>
    <w:rsid w:val="00900424"/>
    <w:rsid w:val="00903A14"/>
    <w:rsid w:val="00904430"/>
    <w:rsid w:val="0090480A"/>
    <w:rsid w:val="009058B8"/>
    <w:rsid w:val="00905A1A"/>
    <w:rsid w:val="00907F31"/>
    <w:rsid w:val="00911F1A"/>
    <w:rsid w:val="009122E9"/>
    <w:rsid w:val="00913007"/>
    <w:rsid w:val="00914074"/>
    <w:rsid w:val="009144D5"/>
    <w:rsid w:val="00917237"/>
    <w:rsid w:val="00920D75"/>
    <w:rsid w:val="009223A5"/>
    <w:rsid w:val="0092376E"/>
    <w:rsid w:val="00923ECA"/>
    <w:rsid w:val="0092425F"/>
    <w:rsid w:val="00924CAC"/>
    <w:rsid w:val="00925191"/>
    <w:rsid w:val="00925276"/>
    <w:rsid w:val="00926623"/>
    <w:rsid w:val="00927575"/>
    <w:rsid w:val="00927617"/>
    <w:rsid w:val="00927FDC"/>
    <w:rsid w:val="00931237"/>
    <w:rsid w:val="009324EB"/>
    <w:rsid w:val="00933D7E"/>
    <w:rsid w:val="00934262"/>
    <w:rsid w:val="009346A6"/>
    <w:rsid w:val="00934819"/>
    <w:rsid w:val="009348DC"/>
    <w:rsid w:val="009361C8"/>
    <w:rsid w:val="00936EA3"/>
    <w:rsid w:val="009373F1"/>
    <w:rsid w:val="009414A6"/>
    <w:rsid w:val="0094177E"/>
    <w:rsid w:val="0094240D"/>
    <w:rsid w:val="0094383C"/>
    <w:rsid w:val="00947A21"/>
    <w:rsid w:val="00947C26"/>
    <w:rsid w:val="00953CE0"/>
    <w:rsid w:val="00955079"/>
    <w:rsid w:val="00956C0D"/>
    <w:rsid w:val="00957145"/>
    <w:rsid w:val="009575BD"/>
    <w:rsid w:val="009607F0"/>
    <w:rsid w:val="0096225C"/>
    <w:rsid w:val="0096519E"/>
    <w:rsid w:val="00965E2A"/>
    <w:rsid w:val="00967977"/>
    <w:rsid w:val="00970089"/>
    <w:rsid w:val="009716FC"/>
    <w:rsid w:val="00971D20"/>
    <w:rsid w:val="00972BA1"/>
    <w:rsid w:val="00972C18"/>
    <w:rsid w:val="00974925"/>
    <w:rsid w:val="00976B98"/>
    <w:rsid w:val="00976BD9"/>
    <w:rsid w:val="00976FE1"/>
    <w:rsid w:val="00977123"/>
    <w:rsid w:val="00980204"/>
    <w:rsid w:val="0098350B"/>
    <w:rsid w:val="00984739"/>
    <w:rsid w:val="0098511E"/>
    <w:rsid w:val="00985EC5"/>
    <w:rsid w:val="00986FD5"/>
    <w:rsid w:val="00987C33"/>
    <w:rsid w:val="00990DA2"/>
    <w:rsid w:val="009934E0"/>
    <w:rsid w:val="00994E92"/>
    <w:rsid w:val="00995099"/>
    <w:rsid w:val="00996BCE"/>
    <w:rsid w:val="00997924"/>
    <w:rsid w:val="009A08B7"/>
    <w:rsid w:val="009A3F0C"/>
    <w:rsid w:val="009A4807"/>
    <w:rsid w:val="009A6BF3"/>
    <w:rsid w:val="009B0E88"/>
    <w:rsid w:val="009B315E"/>
    <w:rsid w:val="009B380A"/>
    <w:rsid w:val="009B3A5E"/>
    <w:rsid w:val="009B6B36"/>
    <w:rsid w:val="009C0F7E"/>
    <w:rsid w:val="009C1127"/>
    <w:rsid w:val="009C2D2D"/>
    <w:rsid w:val="009C6E2A"/>
    <w:rsid w:val="009D0916"/>
    <w:rsid w:val="009D0B5E"/>
    <w:rsid w:val="009D1294"/>
    <w:rsid w:val="009D5ADA"/>
    <w:rsid w:val="009E23F9"/>
    <w:rsid w:val="009E3C12"/>
    <w:rsid w:val="009E4507"/>
    <w:rsid w:val="009E49C9"/>
    <w:rsid w:val="009E60EB"/>
    <w:rsid w:val="009E6329"/>
    <w:rsid w:val="009F10F4"/>
    <w:rsid w:val="009F3106"/>
    <w:rsid w:val="009F485F"/>
    <w:rsid w:val="009F4B8C"/>
    <w:rsid w:val="009F6081"/>
    <w:rsid w:val="009F69C2"/>
    <w:rsid w:val="009F76BD"/>
    <w:rsid w:val="00A00D50"/>
    <w:rsid w:val="00A019F8"/>
    <w:rsid w:val="00A01FCE"/>
    <w:rsid w:val="00A02A35"/>
    <w:rsid w:val="00A02E8A"/>
    <w:rsid w:val="00A0426D"/>
    <w:rsid w:val="00A06780"/>
    <w:rsid w:val="00A06CB7"/>
    <w:rsid w:val="00A0776A"/>
    <w:rsid w:val="00A078DE"/>
    <w:rsid w:val="00A118E6"/>
    <w:rsid w:val="00A1234D"/>
    <w:rsid w:val="00A12D1A"/>
    <w:rsid w:val="00A1333F"/>
    <w:rsid w:val="00A1527A"/>
    <w:rsid w:val="00A16A41"/>
    <w:rsid w:val="00A16E83"/>
    <w:rsid w:val="00A17F57"/>
    <w:rsid w:val="00A208EF"/>
    <w:rsid w:val="00A217C9"/>
    <w:rsid w:val="00A223E9"/>
    <w:rsid w:val="00A237CF"/>
    <w:rsid w:val="00A264D4"/>
    <w:rsid w:val="00A26F8F"/>
    <w:rsid w:val="00A276DB"/>
    <w:rsid w:val="00A27993"/>
    <w:rsid w:val="00A30699"/>
    <w:rsid w:val="00A33393"/>
    <w:rsid w:val="00A35344"/>
    <w:rsid w:val="00A36232"/>
    <w:rsid w:val="00A37110"/>
    <w:rsid w:val="00A37611"/>
    <w:rsid w:val="00A377E2"/>
    <w:rsid w:val="00A37F64"/>
    <w:rsid w:val="00A401DD"/>
    <w:rsid w:val="00A4074D"/>
    <w:rsid w:val="00A42004"/>
    <w:rsid w:val="00A43A42"/>
    <w:rsid w:val="00A4687E"/>
    <w:rsid w:val="00A50321"/>
    <w:rsid w:val="00A5033C"/>
    <w:rsid w:val="00A52521"/>
    <w:rsid w:val="00A53F28"/>
    <w:rsid w:val="00A56BA1"/>
    <w:rsid w:val="00A56C70"/>
    <w:rsid w:val="00A65460"/>
    <w:rsid w:val="00A6570C"/>
    <w:rsid w:val="00A65C76"/>
    <w:rsid w:val="00A65E05"/>
    <w:rsid w:val="00A66A9D"/>
    <w:rsid w:val="00A6708A"/>
    <w:rsid w:val="00A67156"/>
    <w:rsid w:val="00A70F82"/>
    <w:rsid w:val="00A725B9"/>
    <w:rsid w:val="00A72677"/>
    <w:rsid w:val="00A72DCA"/>
    <w:rsid w:val="00A7338A"/>
    <w:rsid w:val="00A734EA"/>
    <w:rsid w:val="00A73AF3"/>
    <w:rsid w:val="00A75792"/>
    <w:rsid w:val="00A75B6D"/>
    <w:rsid w:val="00A778EE"/>
    <w:rsid w:val="00A77B00"/>
    <w:rsid w:val="00A80151"/>
    <w:rsid w:val="00A8017C"/>
    <w:rsid w:val="00A80A0F"/>
    <w:rsid w:val="00A80AD0"/>
    <w:rsid w:val="00A81DD1"/>
    <w:rsid w:val="00A83528"/>
    <w:rsid w:val="00A845C4"/>
    <w:rsid w:val="00A85BB7"/>
    <w:rsid w:val="00A85F95"/>
    <w:rsid w:val="00A86EDF"/>
    <w:rsid w:val="00A87FA9"/>
    <w:rsid w:val="00A910DD"/>
    <w:rsid w:val="00A92B16"/>
    <w:rsid w:val="00A92D6C"/>
    <w:rsid w:val="00A9324F"/>
    <w:rsid w:val="00A93434"/>
    <w:rsid w:val="00A94E37"/>
    <w:rsid w:val="00A97EA0"/>
    <w:rsid w:val="00AA22B2"/>
    <w:rsid w:val="00AA3C8D"/>
    <w:rsid w:val="00AA48BC"/>
    <w:rsid w:val="00AA70B6"/>
    <w:rsid w:val="00AA7F36"/>
    <w:rsid w:val="00AB072C"/>
    <w:rsid w:val="00AB2ED2"/>
    <w:rsid w:val="00AB3FD6"/>
    <w:rsid w:val="00AB42A8"/>
    <w:rsid w:val="00AB45CB"/>
    <w:rsid w:val="00AB5C00"/>
    <w:rsid w:val="00AB61BC"/>
    <w:rsid w:val="00AB7CC6"/>
    <w:rsid w:val="00AC13C2"/>
    <w:rsid w:val="00AC3AD8"/>
    <w:rsid w:val="00AC5D03"/>
    <w:rsid w:val="00AC7085"/>
    <w:rsid w:val="00AD0515"/>
    <w:rsid w:val="00AD2950"/>
    <w:rsid w:val="00AD7355"/>
    <w:rsid w:val="00AD7754"/>
    <w:rsid w:val="00AD7DA6"/>
    <w:rsid w:val="00AE12B2"/>
    <w:rsid w:val="00AE33DC"/>
    <w:rsid w:val="00AE423C"/>
    <w:rsid w:val="00AE591D"/>
    <w:rsid w:val="00AE5DAC"/>
    <w:rsid w:val="00AE652E"/>
    <w:rsid w:val="00AF2E0C"/>
    <w:rsid w:val="00AF450F"/>
    <w:rsid w:val="00AF4C08"/>
    <w:rsid w:val="00AF4E62"/>
    <w:rsid w:val="00AF6915"/>
    <w:rsid w:val="00AF772A"/>
    <w:rsid w:val="00AF7B02"/>
    <w:rsid w:val="00B007C9"/>
    <w:rsid w:val="00B04677"/>
    <w:rsid w:val="00B04CF8"/>
    <w:rsid w:val="00B051C3"/>
    <w:rsid w:val="00B053EC"/>
    <w:rsid w:val="00B05E0A"/>
    <w:rsid w:val="00B0607C"/>
    <w:rsid w:val="00B07E16"/>
    <w:rsid w:val="00B109D1"/>
    <w:rsid w:val="00B111C4"/>
    <w:rsid w:val="00B1176C"/>
    <w:rsid w:val="00B11BD1"/>
    <w:rsid w:val="00B1299D"/>
    <w:rsid w:val="00B13F16"/>
    <w:rsid w:val="00B14481"/>
    <w:rsid w:val="00B16FC8"/>
    <w:rsid w:val="00B222C8"/>
    <w:rsid w:val="00B2332E"/>
    <w:rsid w:val="00B24416"/>
    <w:rsid w:val="00B254D3"/>
    <w:rsid w:val="00B27FA1"/>
    <w:rsid w:val="00B30CC5"/>
    <w:rsid w:val="00B33573"/>
    <w:rsid w:val="00B34D5E"/>
    <w:rsid w:val="00B3775F"/>
    <w:rsid w:val="00B417CB"/>
    <w:rsid w:val="00B42C9D"/>
    <w:rsid w:val="00B4315F"/>
    <w:rsid w:val="00B454F9"/>
    <w:rsid w:val="00B45D24"/>
    <w:rsid w:val="00B47435"/>
    <w:rsid w:val="00B476D9"/>
    <w:rsid w:val="00B47836"/>
    <w:rsid w:val="00B47AFC"/>
    <w:rsid w:val="00B515C5"/>
    <w:rsid w:val="00B5211A"/>
    <w:rsid w:val="00B52C99"/>
    <w:rsid w:val="00B5405C"/>
    <w:rsid w:val="00B54870"/>
    <w:rsid w:val="00B54ADB"/>
    <w:rsid w:val="00B57688"/>
    <w:rsid w:val="00B57CA4"/>
    <w:rsid w:val="00B60081"/>
    <w:rsid w:val="00B6081E"/>
    <w:rsid w:val="00B60E28"/>
    <w:rsid w:val="00B620A9"/>
    <w:rsid w:val="00B62B2D"/>
    <w:rsid w:val="00B65015"/>
    <w:rsid w:val="00B65C15"/>
    <w:rsid w:val="00B70022"/>
    <w:rsid w:val="00B7174F"/>
    <w:rsid w:val="00B73229"/>
    <w:rsid w:val="00B7333A"/>
    <w:rsid w:val="00B7638E"/>
    <w:rsid w:val="00B76A8C"/>
    <w:rsid w:val="00B876A6"/>
    <w:rsid w:val="00B9261D"/>
    <w:rsid w:val="00B9507C"/>
    <w:rsid w:val="00B96833"/>
    <w:rsid w:val="00BA00AA"/>
    <w:rsid w:val="00BA1FAD"/>
    <w:rsid w:val="00BA2814"/>
    <w:rsid w:val="00BA6690"/>
    <w:rsid w:val="00BB0F46"/>
    <w:rsid w:val="00BB2A1A"/>
    <w:rsid w:val="00BB3469"/>
    <w:rsid w:val="00BB43DE"/>
    <w:rsid w:val="00BB560B"/>
    <w:rsid w:val="00BB73C2"/>
    <w:rsid w:val="00BC02B7"/>
    <w:rsid w:val="00BC2707"/>
    <w:rsid w:val="00BC3644"/>
    <w:rsid w:val="00BC36BF"/>
    <w:rsid w:val="00BC62ED"/>
    <w:rsid w:val="00BD36E6"/>
    <w:rsid w:val="00BD45E4"/>
    <w:rsid w:val="00BD67BF"/>
    <w:rsid w:val="00BE497D"/>
    <w:rsid w:val="00BE6472"/>
    <w:rsid w:val="00BE6E8B"/>
    <w:rsid w:val="00BF0ADC"/>
    <w:rsid w:val="00BF0AF3"/>
    <w:rsid w:val="00BF10FC"/>
    <w:rsid w:val="00BF2AA6"/>
    <w:rsid w:val="00BF372D"/>
    <w:rsid w:val="00BF5FEB"/>
    <w:rsid w:val="00BF7D73"/>
    <w:rsid w:val="00C02A85"/>
    <w:rsid w:val="00C02B71"/>
    <w:rsid w:val="00C02D51"/>
    <w:rsid w:val="00C0300A"/>
    <w:rsid w:val="00C03161"/>
    <w:rsid w:val="00C03CF1"/>
    <w:rsid w:val="00C040E9"/>
    <w:rsid w:val="00C05A8B"/>
    <w:rsid w:val="00C06949"/>
    <w:rsid w:val="00C06E95"/>
    <w:rsid w:val="00C07C84"/>
    <w:rsid w:val="00C10F9E"/>
    <w:rsid w:val="00C13235"/>
    <w:rsid w:val="00C1519C"/>
    <w:rsid w:val="00C15843"/>
    <w:rsid w:val="00C16D26"/>
    <w:rsid w:val="00C17331"/>
    <w:rsid w:val="00C24963"/>
    <w:rsid w:val="00C253E5"/>
    <w:rsid w:val="00C2540B"/>
    <w:rsid w:val="00C27454"/>
    <w:rsid w:val="00C27A83"/>
    <w:rsid w:val="00C306A0"/>
    <w:rsid w:val="00C376A2"/>
    <w:rsid w:val="00C45654"/>
    <w:rsid w:val="00C45D4F"/>
    <w:rsid w:val="00C47448"/>
    <w:rsid w:val="00C5109E"/>
    <w:rsid w:val="00C52286"/>
    <w:rsid w:val="00C5266C"/>
    <w:rsid w:val="00C5447D"/>
    <w:rsid w:val="00C55CAB"/>
    <w:rsid w:val="00C602FE"/>
    <w:rsid w:val="00C61C99"/>
    <w:rsid w:val="00C6257F"/>
    <w:rsid w:val="00C626FD"/>
    <w:rsid w:val="00C63B3B"/>
    <w:rsid w:val="00C6414F"/>
    <w:rsid w:val="00C65B03"/>
    <w:rsid w:val="00C65FE8"/>
    <w:rsid w:val="00C67262"/>
    <w:rsid w:val="00C719A9"/>
    <w:rsid w:val="00C72A95"/>
    <w:rsid w:val="00C7561C"/>
    <w:rsid w:val="00C75AEA"/>
    <w:rsid w:val="00C75DC7"/>
    <w:rsid w:val="00C7635C"/>
    <w:rsid w:val="00C76876"/>
    <w:rsid w:val="00C81BBF"/>
    <w:rsid w:val="00C82BA5"/>
    <w:rsid w:val="00C8307C"/>
    <w:rsid w:val="00C87AC5"/>
    <w:rsid w:val="00C90E11"/>
    <w:rsid w:val="00C90F32"/>
    <w:rsid w:val="00C948D8"/>
    <w:rsid w:val="00C95EBD"/>
    <w:rsid w:val="00C969F9"/>
    <w:rsid w:val="00C96FC0"/>
    <w:rsid w:val="00C974C3"/>
    <w:rsid w:val="00CA25EF"/>
    <w:rsid w:val="00CA2D22"/>
    <w:rsid w:val="00CA3132"/>
    <w:rsid w:val="00CA4988"/>
    <w:rsid w:val="00CA4FF1"/>
    <w:rsid w:val="00CB3CD7"/>
    <w:rsid w:val="00CB74F5"/>
    <w:rsid w:val="00CC100D"/>
    <w:rsid w:val="00CC3B89"/>
    <w:rsid w:val="00CC411C"/>
    <w:rsid w:val="00CC455B"/>
    <w:rsid w:val="00CC5A6D"/>
    <w:rsid w:val="00CC5C78"/>
    <w:rsid w:val="00CD04E3"/>
    <w:rsid w:val="00CD14FF"/>
    <w:rsid w:val="00CD2E26"/>
    <w:rsid w:val="00CD399F"/>
    <w:rsid w:val="00CD40CA"/>
    <w:rsid w:val="00CE16AE"/>
    <w:rsid w:val="00CE1979"/>
    <w:rsid w:val="00CE4549"/>
    <w:rsid w:val="00CE4B21"/>
    <w:rsid w:val="00CE4CB5"/>
    <w:rsid w:val="00CE721F"/>
    <w:rsid w:val="00CE7703"/>
    <w:rsid w:val="00CE78C1"/>
    <w:rsid w:val="00CF1686"/>
    <w:rsid w:val="00CF38D2"/>
    <w:rsid w:val="00CF4AD5"/>
    <w:rsid w:val="00CF4DD0"/>
    <w:rsid w:val="00CF5BA3"/>
    <w:rsid w:val="00CF5C4C"/>
    <w:rsid w:val="00CF5C7B"/>
    <w:rsid w:val="00CF6E2C"/>
    <w:rsid w:val="00CF7219"/>
    <w:rsid w:val="00CF77C1"/>
    <w:rsid w:val="00D01454"/>
    <w:rsid w:val="00D03259"/>
    <w:rsid w:val="00D04B84"/>
    <w:rsid w:val="00D0519C"/>
    <w:rsid w:val="00D060F2"/>
    <w:rsid w:val="00D0742F"/>
    <w:rsid w:val="00D10313"/>
    <w:rsid w:val="00D11109"/>
    <w:rsid w:val="00D176EC"/>
    <w:rsid w:val="00D20452"/>
    <w:rsid w:val="00D21710"/>
    <w:rsid w:val="00D23630"/>
    <w:rsid w:val="00D245E9"/>
    <w:rsid w:val="00D33E8C"/>
    <w:rsid w:val="00D34364"/>
    <w:rsid w:val="00D4097F"/>
    <w:rsid w:val="00D43107"/>
    <w:rsid w:val="00D43CBA"/>
    <w:rsid w:val="00D43E4C"/>
    <w:rsid w:val="00D456B6"/>
    <w:rsid w:val="00D4623D"/>
    <w:rsid w:val="00D462D4"/>
    <w:rsid w:val="00D46BC9"/>
    <w:rsid w:val="00D500E1"/>
    <w:rsid w:val="00D50E7E"/>
    <w:rsid w:val="00D5143C"/>
    <w:rsid w:val="00D5150B"/>
    <w:rsid w:val="00D51CF5"/>
    <w:rsid w:val="00D51EC9"/>
    <w:rsid w:val="00D544D2"/>
    <w:rsid w:val="00D54FF9"/>
    <w:rsid w:val="00D567D4"/>
    <w:rsid w:val="00D569C9"/>
    <w:rsid w:val="00D62101"/>
    <w:rsid w:val="00D641D5"/>
    <w:rsid w:val="00D6551F"/>
    <w:rsid w:val="00D66CE9"/>
    <w:rsid w:val="00D67484"/>
    <w:rsid w:val="00D67E34"/>
    <w:rsid w:val="00D67F10"/>
    <w:rsid w:val="00D70943"/>
    <w:rsid w:val="00D713EF"/>
    <w:rsid w:val="00D7244F"/>
    <w:rsid w:val="00D72C76"/>
    <w:rsid w:val="00D73427"/>
    <w:rsid w:val="00D7389B"/>
    <w:rsid w:val="00D74C8D"/>
    <w:rsid w:val="00D801C6"/>
    <w:rsid w:val="00D8119E"/>
    <w:rsid w:val="00D815AD"/>
    <w:rsid w:val="00D8234F"/>
    <w:rsid w:val="00D86B6C"/>
    <w:rsid w:val="00D87A66"/>
    <w:rsid w:val="00D91476"/>
    <w:rsid w:val="00D91858"/>
    <w:rsid w:val="00D9256D"/>
    <w:rsid w:val="00D92C25"/>
    <w:rsid w:val="00D94F2F"/>
    <w:rsid w:val="00D9587A"/>
    <w:rsid w:val="00D9736D"/>
    <w:rsid w:val="00DA09D7"/>
    <w:rsid w:val="00DA492A"/>
    <w:rsid w:val="00DA6695"/>
    <w:rsid w:val="00DA7A7D"/>
    <w:rsid w:val="00DA7C2D"/>
    <w:rsid w:val="00DB12E9"/>
    <w:rsid w:val="00DB5054"/>
    <w:rsid w:val="00DB6118"/>
    <w:rsid w:val="00DB77D8"/>
    <w:rsid w:val="00DC07A3"/>
    <w:rsid w:val="00DC1804"/>
    <w:rsid w:val="00DC1E96"/>
    <w:rsid w:val="00DC2FEC"/>
    <w:rsid w:val="00DC420F"/>
    <w:rsid w:val="00DC434B"/>
    <w:rsid w:val="00DC44D8"/>
    <w:rsid w:val="00DC6259"/>
    <w:rsid w:val="00DC6AD6"/>
    <w:rsid w:val="00DD0B56"/>
    <w:rsid w:val="00DD289D"/>
    <w:rsid w:val="00DD3886"/>
    <w:rsid w:val="00DD4AAB"/>
    <w:rsid w:val="00DD6CE2"/>
    <w:rsid w:val="00DD729E"/>
    <w:rsid w:val="00DE264E"/>
    <w:rsid w:val="00DE4BF0"/>
    <w:rsid w:val="00DE5FA1"/>
    <w:rsid w:val="00DE61DE"/>
    <w:rsid w:val="00DE6202"/>
    <w:rsid w:val="00DE7766"/>
    <w:rsid w:val="00DE78EF"/>
    <w:rsid w:val="00DE795E"/>
    <w:rsid w:val="00DF0D84"/>
    <w:rsid w:val="00DF1DCA"/>
    <w:rsid w:val="00DF53A8"/>
    <w:rsid w:val="00DF5751"/>
    <w:rsid w:val="00DF5888"/>
    <w:rsid w:val="00DF5896"/>
    <w:rsid w:val="00DF7799"/>
    <w:rsid w:val="00DF7E04"/>
    <w:rsid w:val="00E00556"/>
    <w:rsid w:val="00E019D2"/>
    <w:rsid w:val="00E01D00"/>
    <w:rsid w:val="00E022AC"/>
    <w:rsid w:val="00E06994"/>
    <w:rsid w:val="00E070E4"/>
    <w:rsid w:val="00E1558C"/>
    <w:rsid w:val="00E159D0"/>
    <w:rsid w:val="00E17A19"/>
    <w:rsid w:val="00E17F65"/>
    <w:rsid w:val="00E200BF"/>
    <w:rsid w:val="00E20AD6"/>
    <w:rsid w:val="00E220EF"/>
    <w:rsid w:val="00E25893"/>
    <w:rsid w:val="00E25910"/>
    <w:rsid w:val="00E27E8F"/>
    <w:rsid w:val="00E3042A"/>
    <w:rsid w:val="00E32B96"/>
    <w:rsid w:val="00E34C99"/>
    <w:rsid w:val="00E352F1"/>
    <w:rsid w:val="00E3633A"/>
    <w:rsid w:val="00E406CE"/>
    <w:rsid w:val="00E4174B"/>
    <w:rsid w:val="00E428DA"/>
    <w:rsid w:val="00E4390E"/>
    <w:rsid w:val="00E443A3"/>
    <w:rsid w:val="00E458A8"/>
    <w:rsid w:val="00E460DB"/>
    <w:rsid w:val="00E46B04"/>
    <w:rsid w:val="00E50DBD"/>
    <w:rsid w:val="00E50F53"/>
    <w:rsid w:val="00E510D3"/>
    <w:rsid w:val="00E52199"/>
    <w:rsid w:val="00E52634"/>
    <w:rsid w:val="00E5289F"/>
    <w:rsid w:val="00E53734"/>
    <w:rsid w:val="00E53A2F"/>
    <w:rsid w:val="00E5584E"/>
    <w:rsid w:val="00E564C4"/>
    <w:rsid w:val="00E57E3D"/>
    <w:rsid w:val="00E60E41"/>
    <w:rsid w:val="00E611D2"/>
    <w:rsid w:val="00E62DAA"/>
    <w:rsid w:val="00E634DA"/>
    <w:rsid w:val="00E6638B"/>
    <w:rsid w:val="00E66D28"/>
    <w:rsid w:val="00E67D84"/>
    <w:rsid w:val="00E70014"/>
    <w:rsid w:val="00E70475"/>
    <w:rsid w:val="00E72CA0"/>
    <w:rsid w:val="00E74090"/>
    <w:rsid w:val="00E75330"/>
    <w:rsid w:val="00E75BB9"/>
    <w:rsid w:val="00E77171"/>
    <w:rsid w:val="00E77377"/>
    <w:rsid w:val="00E801D4"/>
    <w:rsid w:val="00E812B6"/>
    <w:rsid w:val="00E814EC"/>
    <w:rsid w:val="00E83430"/>
    <w:rsid w:val="00E839C5"/>
    <w:rsid w:val="00E864DF"/>
    <w:rsid w:val="00E86A6F"/>
    <w:rsid w:val="00E908B5"/>
    <w:rsid w:val="00E90C2D"/>
    <w:rsid w:val="00E90E48"/>
    <w:rsid w:val="00E923AE"/>
    <w:rsid w:val="00E928E0"/>
    <w:rsid w:val="00E939E0"/>
    <w:rsid w:val="00E947AB"/>
    <w:rsid w:val="00E9750F"/>
    <w:rsid w:val="00EA22FE"/>
    <w:rsid w:val="00EA38B3"/>
    <w:rsid w:val="00EA61A0"/>
    <w:rsid w:val="00EA683A"/>
    <w:rsid w:val="00EA7172"/>
    <w:rsid w:val="00EA7390"/>
    <w:rsid w:val="00EB0020"/>
    <w:rsid w:val="00EB03FC"/>
    <w:rsid w:val="00EB3633"/>
    <w:rsid w:val="00EB5C2D"/>
    <w:rsid w:val="00EB6D5E"/>
    <w:rsid w:val="00EB6F0A"/>
    <w:rsid w:val="00EB794E"/>
    <w:rsid w:val="00EC106F"/>
    <w:rsid w:val="00EC1E67"/>
    <w:rsid w:val="00EC1FAB"/>
    <w:rsid w:val="00EC2ED1"/>
    <w:rsid w:val="00EC494A"/>
    <w:rsid w:val="00EC5960"/>
    <w:rsid w:val="00EC636A"/>
    <w:rsid w:val="00EC70DC"/>
    <w:rsid w:val="00EC7EDB"/>
    <w:rsid w:val="00ED0720"/>
    <w:rsid w:val="00ED0B2C"/>
    <w:rsid w:val="00ED1054"/>
    <w:rsid w:val="00ED155C"/>
    <w:rsid w:val="00ED1833"/>
    <w:rsid w:val="00ED2D0E"/>
    <w:rsid w:val="00ED402D"/>
    <w:rsid w:val="00ED54DE"/>
    <w:rsid w:val="00ED6575"/>
    <w:rsid w:val="00EE13B0"/>
    <w:rsid w:val="00EE2B3D"/>
    <w:rsid w:val="00EE3A2A"/>
    <w:rsid w:val="00EE4AD2"/>
    <w:rsid w:val="00EE4D97"/>
    <w:rsid w:val="00EE7184"/>
    <w:rsid w:val="00EF1517"/>
    <w:rsid w:val="00EF3510"/>
    <w:rsid w:val="00EF5945"/>
    <w:rsid w:val="00EF6931"/>
    <w:rsid w:val="00EF69E9"/>
    <w:rsid w:val="00EF7E05"/>
    <w:rsid w:val="00F01B6C"/>
    <w:rsid w:val="00F03853"/>
    <w:rsid w:val="00F10A1B"/>
    <w:rsid w:val="00F10C2E"/>
    <w:rsid w:val="00F1115A"/>
    <w:rsid w:val="00F13A9A"/>
    <w:rsid w:val="00F16F62"/>
    <w:rsid w:val="00F23C4E"/>
    <w:rsid w:val="00F24AC3"/>
    <w:rsid w:val="00F25E9D"/>
    <w:rsid w:val="00F2689E"/>
    <w:rsid w:val="00F26989"/>
    <w:rsid w:val="00F3193E"/>
    <w:rsid w:val="00F33807"/>
    <w:rsid w:val="00F3535E"/>
    <w:rsid w:val="00F36175"/>
    <w:rsid w:val="00F363C1"/>
    <w:rsid w:val="00F377C2"/>
    <w:rsid w:val="00F42393"/>
    <w:rsid w:val="00F42B3C"/>
    <w:rsid w:val="00F431E6"/>
    <w:rsid w:val="00F4349E"/>
    <w:rsid w:val="00F43B5C"/>
    <w:rsid w:val="00F45D00"/>
    <w:rsid w:val="00F47328"/>
    <w:rsid w:val="00F479F0"/>
    <w:rsid w:val="00F47E81"/>
    <w:rsid w:val="00F50155"/>
    <w:rsid w:val="00F50613"/>
    <w:rsid w:val="00F510C1"/>
    <w:rsid w:val="00F523FE"/>
    <w:rsid w:val="00F53418"/>
    <w:rsid w:val="00F53E9C"/>
    <w:rsid w:val="00F54E27"/>
    <w:rsid w:val="00F56A82"/>
    <w:rsid w:val="00F5756D"/>
    <w:rsid w:val="00F57EA8"/>
    <w:rsid w:val="00F57EDA"/>
    <w:rsid w:val="00F65BF2"/>
    <w:rsid w:val="00F66365"/>
    <w:rsid w:val="00F66981"/>
    <w:rsid w:val="00F706AA"/>
    <w:rsid w:val="00F7074D"/>
    <w:rsid w:val="00F70892"/>
    <w:rsid w:val="00F72C41"/>
    <w:rsid w:val="00F7397F"/>
    <w:rsid w:val="00F73F53"/>
    <w:rsid w:val="00F7471D"/>
    <w:rsid w:val="00F7660C"/>
    <w:rsid w:val="00F76B9F"/>
    <w:rsid w:val="00F76C69"/>
    <w:rsid w:val="00F81A9B"/>
    <w:rsid w:val="00F823CB"/>
    <w:rsid w:val="00F82447"/>
    <w:rsid w:val="00F84F48"/>
    <w:rsid w:val="00F863D1"/>
    <w:rsid w:val="00F86EEC"/>
    <w:rsid w:val="00F878D8"/>
    <w:rsid w:val="00F87FEB"/>
    <w:rsid w:val="00F90724"/>
    <w:rsid w:val="00F91D4B"/>
    <w:rsid w:val="00F92614"/>
    <w:rsid w:val="00F93D09"/>
    <w:rsid w:val="00F96E44"/>
    <w:rsid w:val="00F96F83"/>
    <w:rsid w:val="00F97936"/>
    <w:rsid w:val="00FA0802"/>
    <w:rsid w:val="00FA0B68"/>
    <w:rsid w:val="00FA290F"/>
    <w:rsid w:val="00FA2B3B"/>
    <w:rsid w:val="00FA4348"/>
    <w:rsid w:val="00FA44D8"/>
    <w:rsid w:val="00FA6140"/>
    <w:rsid w:val="00FA6167"/>
    <w:rsid w:val="00FA66F0"/>
    <w:rsid w:val="00FB0185"/>
    <w:rsid w:val="00FB10FB"/>
    <w:rsid w:val="00FB1C28"/>
    <w:rsid w:val="00FB2B50"/>
    <w:rsid w:val="00FB3BE0"/>
    <w:rsid w:val="00FB48F3"/>
    <w:rsid w:val="00FB73C0"/>
    <w:rsid w:val="00FB7550"/>
    <w:rsid w:val="00FB7FE0"/>
    <w:rsid w:val="00FC0F63"/>
    <w:rsid w:val="00FC10D8"/>
    <w:rsid w:val="00FC17EF"/>
    <w:rsid w:val="00FC6D45"/>
    <w:rsid w:val="00FD09DD"/>
    <w:rsid w:val="00FD1F90"/>
    <w:rsid w:val="00FD35DB"/>
    <w:rsid w:val="00FD3AF1"/>
    <w:rsid w:val="00FD3C4C"/>
    <w:rsid w:val="00FD3DC0"/>
    <w:rsid w:val="00FE09C2"/>
    <w:rsid w:val="00FE2507"/>
    <w:rsid w:val="00FE291F"/>
    <w:rsid w:val="00FE467D"/>
    <w:rsid w:val="00FE602A"/>
    <w:rsid w:val="00FE73F2"/>
    <w:rsid w:val="00FF36E5"/>
    <w:rsid w:val="00FF4DD4"/>
    <w:rsid w:val="00FF7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B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D4B"/>
    <w:pPr>
      <w:spacing w:line="360" w:lineRule="auto"/>
      <w:ind w:firstLine="284"/>
      <w:jc w:val="both"/>
    </w:pPr>
    <w:rPr>
      <w:rFonts w:ascii="Times New Roman" w:hAnsi="Times New Roman"/>
    </w:rPr>
  </w:style>
  <w:style w:type="paragraph" w:styleId="1">
    <w:name w:val="heading 1"/>
    <w:aliases w:val="ГЛАВЫ"/>
    <w:basedOn w:val="a0"/>
    <w:next w:val="a0"/>
    <w:link w:val="10"/>
    <w:uiPriority w:val="9"/>
    <w:qFormat/>
    <w:rsid w:val="008F7133"/>
    <w:pPr>
      <w:keepNext/>
      <w:keepLines/>
      <w:spacing w:after="480"/>
      <w:jc w:val="center"/>
      <w:outlineLvl w:val="0"/>
    </w:pPr>
    <w:rPr>
      <w:rFonts w:eastAsiaTheme="majorEastAsia" w:cstheme="majorBidi"/>
      <w:b/>
      <w:color w:val="000000" w:themeColor="text1"/>
      <w:sz w:val="28"/>
      <w:szCs w:val="32"/>
    </w:rPr>
  </w:style>
  <w:style w:type="paragraph" w:styleId="2">
    <w:name w:val="heading 2"/>
    <w:aliases w:val="ПАРАГРАФЫ"/>
    <w:basedOn w:val="a0"/>
    <w:next w:val="a0"/>
    <w:link w:val="20"/>
    <w:uiPriority w:val="9"/>
    <w:unhideWhenUsed/>
    <w:qFormat/>
    <w:rsid w:val="008F7133"/>
    <w:pPr>
      <w:keepNext/>
      <w:keepLines/>
      <w:spacing w:after="48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Ы Знак"/>
    <w:basedOn w:val="a1"/>
    <w:link w:val="1"/>
    <w:uiPriority w:val="9"/>
    <w:rsid w:val="008F7133"/>
    <w:rPr>
      <w:rFonts w:ascii="Times New Roman" w:eastAsiaTheme="majorEastAsia" w:hAnsi="Times New Roman" w:cstheme="majorBidi"/>
      <w:b/>
      <w:color w:val="000000" w:themeColor="text1"/>
      <w:sz w:val="28"/>
      <w:szCs w:val="32"/>
    </w:rPr>
  </w:style>
  <w:style w:type="character" w:customStyle="1" w:styleId="20">
    <w:name w:val="Заголовок 2 Знак"/>
    <w:aliases w:val="ПАРАГРАФЫ Знак"/>
    <w:basedOn w:val="a1"/>
    <w:link w:val="2"/>
    <w:uiPriority w:val="9"/>
    <w:rsid w:val="008F7133"/>
    <w:rPr>
      <w:rFonts w:ascii="Times New Roman" w:eastAsiaTheme="majorEastAsia" w:hAnsi="Times New Roman" w:cstheme="majorBidi"/>
      <w:b/>
      <w:color w:val="000000" w:themeColor="text1"/>
      <w:szCs w:val="26"/>
    </w:rPr>
  </w:style>
  <w:style w:type="paragraph" w:styleId="a">
    <w:name w:val="List Paragraph"/>
    <w:basedOn w:val="a0"/>
    <w:uiPriority w:val="34"/>
    <w:qFormat/>
    <w:rsid w:val="00B876A6"/>
    <w:pPr>
      <w:numPr>
        <w:numId w:val="19"/>
      </w:numPr>
      <w:contextualSpacing/>
    </w:pPr>
    <w:rPr>
      <w:color w:val="000000" w:themeColor="text1"/>
    </w:rPr>
  </w:style>
  <w:style w:type="paragraph" w:styleId="a4">
    <w:name w:val="footnote text"/>
    <w:basedOn w:val="a0"/>
    <w:link w:val="a5"/>
    <w:uiPriority w:val="99"/>
    <w:unhideWhenUsed/>
    <w:rsid w:val="00D544D2"/>
    <w:pPr>
      <w:spacing w:line="240" w:lineRule="auto"/>
    </w:pPr>
  </w:style>
  <w:style w:type="character" w:customStyle="1" w:styleId="a5">
    <w:name w:val="Текст сноски Знак"/>
    <w:basedOn w:val="a1"/>
    <w:link w:val="a4"/>
    <w:uiPriority w:val="99"/>
    <w:rsid w:val="00D544D2"/>
    <w:rPr>
      <w:rFonts w:ascii="Times New Roman" w:hAnsi="Times New Roman"/>
    </w:rPr>
  </w:style>
  <w:style w:type="character" w:styleId="a6">
    <w:name w:val="footnote reference"/>
    <w:basedOn w:val="a1"/>
    <w:uiPriority w:val="99"/>
    <w:unhideWhenUsed/>
    <w:rsid w:val="00D544D2"/>
    <w:rPr>
      <w:vertAlign w:val="superscript"/>
    </w:rPr>
  </w:style>
  <w:style w:type="character" w:styleId="a7">
    <w:name w:val="Hyperlink"/>
    <w:basedOn w:val="a1"/>
    <w:uiPriority w:val="99"/>
    <w:unhideWhenUsed/>
    <w:rsid w:val="004D3925"/>
    <w:rPr>
      <w:color w:val="0563C1" w:themeColor="hyperlink"/>
      <w:u w:val="single"/>
    </w:rPr>
  </w:style>
  <w:style w:type="paragraph" w:styleId="a8">
    <w:name w:val="footer"/>
    <w:basedOn w:val="a0"/>
    <w:link w:val="a9"/>
    <w:uiPriority w:val="99"/>
    <w:unhideWhenUsed/>
    <w:rsid w:val="00C8307C"/>
    <w:pPr>
      <w:tabs>
        <w:tab w:val="center" w:pos="4677"/>
        <w:tab w:val="right" w:pos="9355"/>
      </w:tabs>
      <w:spacing w:line="240" w:lineRule="auto"/>
    </w:pPr>
  </w:style>
  <w:style w:type="character" w:customStyle="1" w:styleId="a9">
    <w:name w:val="Нижний колонтитул Знак"/>
    <w:basedOn w:val="a1"/>
    <w:link w:val="a8"/>
    <w:uiPriority w:val="99"/>
    <w:rsid w:val="00C8307C"/>
    <w:rPr>
      <w:rFonts w:ascii="Times New Roman" w:hAnsi="Times New Roman"/>
    </w:rPr>
  </w:style>
  <w:style w:type="character" w:styleId="aa">
    <w:name w:val="page number"/>
    <w:basedOn w:val="a1"/>
    <w:uiPriority w:val="99"/>
    <w:semiHidden/>
    <w:unhideWhenUsed/>
    <w:rsid w:val="00C8307C"/>
  </w:style>
  <w:style w:type="paragraph" w:styleId="ab">
    <w:name w:val="header"/>
    <w:basedOn w:val="a0"/>
    <w:link w:val="ac"/>
    <w:uiPriority w:val="99"/>
    <w:unhideWhenUsed/>
    <w:rsid w:val="00C8307C"/>
    <w:pPr>
      <w:tabs>
        <w:tab w:val="center" w:pos="4677"/>
        <w:tab w:val="right" w:pos="9355"/>
      </w:tabs>
      <w:spacing w:line="240" w:lineRule="auto"/>
    </w:pPr>
  </w:style>
  <w:style w:type="character" w:customStyle="1" w:styleId="ac">
    <w:name w:val="Верхний колонтитул Знак"/>
    <w:basedOn w:val="a1"/>
    <w:link w:val="ab"/>
    <w:uiPriority w:val="99"/>
    <w:rsid w:val="00C8307C"/>
    <w:rPr>
      <w:rFonts w:ascii="Times New Roman" w:hAnsi="Times New Roman"/>
    </w:rPr>
  </w:style>
  <w:style w:type="paragraph" w:customStyle="1" w:styleId="ad">
    <w:name w:val="подпункты"/>
    <w:basedOn w:val="a0"/>
    <w:qFormat/>
    <w:rsid w:val="00C1519C"/>
    <w:pPr>
      <w:jc w:val="center"/>
    </w:pPr>
    <w:rPr>
      <w:b/>
    </w:rPr>
  </w:style>
  <w:style w:type="paragraph" w:styleId="ae">
    <w:name w:val="Balloon Text"/>
    <w:basedOn w:val="a0"/>
    <w:link w:val="af"/>
    <w:uiPriority w:val="99"/>
    <w:semiHidden/>
    <w:unhideWhenUsed/>
    <w:rsid w:val="008D190C"/>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8D190C"/>
    <w:rPr>
      <w:rFonts w:ascii="Tahoma" w:hAnsi="Tahoma" w:cs="Tahoma"/>
      <w:sz w:val="16"/>
      <w:szCs w:val="16"/>
    </w:rPr>
  </w:style>
  <w:style w:type="paragraph" w:styleId="af0">
    <w:name w:val="Normal (Web)"/>
    <w:basedOn w:val="a0"/>
    <w:uiPriority w:val="99"/>
    <w:unhideWhenUsed/>
    <w:rsid w:val="005E6722"/>
    <w:pPr>
      <w:spacing w:before="100" w:beforeAutospacing="1" w:after="100" w:afterAutospacing="1" w:line="240" w:lineRule="auto"/>
    </w:pPr>
    <w:rPr>
      <w:rFonts w:eastAsia="Times New Roman" w:cs="Times New Roman"/>
      <w:lang w:eastAsia="ru-RU"/>
    </w:rPr>
  </w:style>
  <w:style w:type="character" w:customStyle="1" w:styleId="apple-converted-space">
    <w:name w:val="apple-converted-space"/>
    <w:basedOn w:val="a1"/>
    <w:rsid w:val="005E6722"/>
  </w:style>
  <w:style w:type="paragraph" w:styleId="af1">
    <w:name w:val="TOC Heading"/>
    <w:basedOn w:val="1"/>
    <w:next w:val="a0"/>
    <w:uiPriority w:val="39"/>
    <w:semiHidden/>
    <w:unhideWhenUsed/>
    <w:qFormat/>
    <w:rsid w:val="00A75B6D"/>
    <w:pPr>
      <w:spacing w:before="480" w:after="0" w:line="276" w:lineRule="auto"/>
      <w:jc w:val="left"/>
      <w:outlineLvl w:val="9"/>
    </w:pPr>
    <w:rPr>
      <w:rFonts w:asciiTheme="majorHAnsi" w:hAnsiTheme="majorHAnsi"/>
      <w:bCs/>
      <w:color w:val="2E74B5" w:themeColor="accent1" w:themeShade="BF"/>
      <w:szCs w:val="28"/>
      <w:lang w:eastAsia="ru-RU"/>
    </w:rPr>
  </w:style>
  <w:style w:type="paragraph" w:styleId="11">
    <w:name w:val="toc 1"/>
    <w:basedOn w:val="a0"/>
    <w:next w:val="a0"/>
    <w:autoRedefine/>
    <w:uiPriority w:val="39"/>
    <w:unhideWhenUsed/>
    <w:rsid w:val="00A75B6D"/>
    <w:pPr>
      <w:spacing w:after="100"/>
    </w:pPr>
  </w:style>
  <w:style w:type="paragraph" w:styleId="21">
    <w:name w:val="toc 2"/>
    <w:basedOn w:val="a0"/>
    <w:next w:val="a0"/>
    <w:autoRedefine/>
    <w:uiPriority w:val="39"/>
    <w:unhideWhenUsed/>
    <w:rsid w:val="00A75B6D"/>
    <w:pPr>
      <w:spacing w:after="100"/>
      <w:ind w:left="240"/>
    </w:pPr>
  </w:style>
  <w:style w:type="paragraph" w:styleId="3">
    <w:name w:val="toc 3"/>
    <w:basedOn w:val="a0"/>
    <w:next w:val="a0"/>
    <w:autoRedefine/>
    <w:uiPriority w:val="39"/>
    <w:unhideWhenUsed/>
    <w:rsid w:val="00A75B6D"/>
    <w:pPr>
      <w:spacing w:after="100"/>
      <w:ind w:left="480"/>
    </w:pPr>
  </w:style>
  <w:style w:type="table" w:styleId="af2">
    <w:name w:val="Table Grid"/>
    <w:basedOn w:val="a2"/>
    <w:uiPriority w:val="39"/>
    <w:rsid w:val="00CF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ы"/>
    <w:basedOn w:val="a0"/>
    <w:qFormat/>
    <w:rsid w:val="005076E9"/>
    <w:pPr>
      <w:spacing w:line="240" w:lineRule="auto"/>
      <w:ind w:firstLine="0"/>
    </w:pPr>
    <w:rPr>
      <w:sz w:val="20"/>
    </w:rPr>
  </w:style>
  <w:style w:type="paragraph" w:customStyle="1" w:styleId="12">
    <w:name w:val="Стиль1"/>
    <w:basedOn w:val="a"/>
    <w:qFormat/>
    <w:rsid w:val="00B876A6"/>
  </w:style>
  <w:style w:type="paragraph" w:styleId="af4">
    <w:name w:val="Document Map"/>
    <w:basedOn w:val="a0"/>
    <w:link w:val="af5"/>
    <w:uiPriority w:val="99"/>
    <w:semiHidden/>
    <w:unhideWhenUsed/>
    <w:rsid w:val="008C1E67"/>
    <w:pPr>
      <w:spacing w:line="240" w:lineRule="auto"/>
    </w:pPr>
    <w:rPr>
      <w:rFonts w:ascii="Tahoma" w:hAnsi="Tahoma" w:cs="Tahoma"/>
      <w:sz w:val="16"/>
      <w:szCs w:val="16"/>
    </w:rPr>
  </w:style>
  <w:style w:type="character" w:customStyle="1" w:styleId="af5">
    <w:name w:val="Схема документа Знак"/>
    <w:basedOn w:val="a1"/>
    <w:link w:val="af4"/>
    <w:uiPriority w:val="99"/>
    <w:semiHidden/>
    <w:rsid w:val="008C1E67"/>
    <w:rPr>
      <w:rFonts w:ascii="Tahoma" w:hAnsi="Tahoma" w:cs="Tahoma"/>
      <w:sz w:val="16"/>
      <w:szCs w:val="16"/>
    </w:rPr>
  </w:style>
  <w:style w:type="paragraph" w:styleId="af6">
    <w:name w:val="Revision"/>
    <w:hidden/>
    <w:uiPriority w:val="99"/>
    <w:semiHidden/>
    <w:rsid w:val="00CC5A6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838">
      <w:bodyDiv w:val="1"/>
      <w:marLeft w:val="0"/>
      <w:marRight w:val="0"/>
      <w:marTop w:val="0"/>
      <w:marBottom w:val="0"/>
      <w:divBdr>
        <w:top w:val="none" w:sz="0" w:space="0" w:color="auto"/>
        <w:left w:val="none" w:sz="0" w:space="0" w:color="auto"/>
        <w:bottom w:val="none" w:sz="0" w:space="0" w:color="auto"/>
        <w:right w:val="none" w:sz="0" w:space="0" w:color="auto"/>
      </w:divBdr>
    </w:div>
    <w:div w:id="13847805">
      <w:bodyDiv w:val="1"/>
      <w:marLeft w:val="0"/>
      <w:marRight w:val="0"/>
      <w:marTop w:val="0"/>
      <w:marBottom w:val="0"/>
      <w:divBdr>
        <w:top w:val="none" w:sz="0" w:space="0" w:color="auto"/>
        <w:left w:val="none" w:sz="0" w:space="0" w:color="auto"/>
        <w:bottom w:val="none" w:sz="0" w:space="0" w:color="auto"/>
        <w:right w:val="none" w:sz="0" w:space="0" w:color="auto"/>
      </w:divBdr>
      <w:divsChild>
        <w:div w:id="1145047484">
          <w:marLeft w:val="0"/>
          <w:marRight w:val="0"/>
          <w:marTop w:val="0"/>
          <w:marBottom w:val="0"/>
          <w:divBdr>
            <w:top w:val="none" w:sz="0" w:space="0" w:color="auto"/>
            <w:left w:val="none" w:sz="0" w:space="0" w:color="auto"/>
            <w:bottom w:val="none" w:sz="0" w:space="0" w:color="auto"/>
            <w:right w:val="none" w:sz="0" w:space="0" w:color="auto"/>
          </w:divBdr>
          <w:divsChild>
            <w:div w:id="289628976">
              <w:marLeft w:val="0"/>
              <w:marRight w:val="0"/>
              <w:marTop w:val="0"/>
              <w:marBottom w:val="0"/>
              <w:divBdr>
                <w:top w:val="none" w:sz="0" w:space="0" w:color="auto"/>
                <w:left w:val="none" w:sz="0" w:space="0" w:color="auto"/>
                <w:bottom w:val="none" w:sz="0" w:space="0" w:color="auto"/>
                <w:right w:val="none" w:sz="0" w:space="0" w:color="auto"/>
              </w:divBdr>
              <w:divsChild>
                <w:div w:id="10739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057">
      <w:bodyDiv w:val="1"/>
      <w:marLeft w:val="0"/>
      <w:marRight w:val="0"/>
      <w:marTop w:val="0"/>
      <w:marBottom w:val="0"/>
      <w:divBdr>
        <w:top w:val="none" w:sz="0" w:space="0" w:color="auto"/>
        <w:left w:val="none" w:sz="0" w:space="0" w:color="auto"/>
        <w:bottom w:val="none" w:sz="0" w:space="0" w:color="auto"/>
        <w:right w:val="none" w:sz="0" w:space="0" w:color="auto"/>
      </w:divBdr>
      <w:divsChild>
        <w:div w:id="1681813319">
          <w:marLeft w:val="0"/>
          <w:marRight w:val="0"/>
          <w:marTop w:val="0"/>
          <w:marBottom w:val="0"/>
          <w:divBdr>
            <w:top w:val="none" w:sz="0" w:space="0" w:color="auto"/>
            <w:left w:val="none" w:sz="0" w:space="0" w:color="auto"/>
            <w:bottom w:val="none" w:sz="0" w:space="0" w:color="auto"/>
            <w:right w:val="none" w:sz="0" w:space="0" w:color="auto"/>
          </w:divBdr>
        </w:div>
      </w:divsChild>
    </w:div>
    <w:div w:id="57097137">
      <w:bodyDiv w:val="1"/>
      <w:marLeft w:val="0"/>
      <w:marRight w:val="0"/>
      <w:marTop w:val="0"/>
      <w:marBottom w:val="0"/>
      <w:divBdr>
        <w:top w:val="none" w:sz="0" w:space="0" w:color="auto"/>
        <w:left w:val="none" w:sz="0" w:space="0" w:color="auto"/>
        <w:bottom w:val="none" w:sz="0" w:space="0" w:color="auto"/>
        <w:right w:val="none" w:sz="0" w:space="0" w:color="auto"/>
      </w:divBdr>
    </w:div>
    <w:div w:id="85418503">
      <w:bodyDiv w:val="1"/>
      <w:marLeft w:val="0"/>
      <w:marRight w:val="0"/>
      <w:marTop w:val="0"/>
      <w:marBottom w:val="0"/>
      <w:divBdr>
        <w:top w:val="none" w:sz="0" w:space="0" w:color="auto"/>
        <w:left w:val="none" w:sz="0" w:space="0" w:color="auto"/>
        <w:bottom w:val="none" w:sz="0" w:space="0" w:color="auto"/>
        <w:right w:val="none" w:sz="0" w:space="0" w:color="auto"/>
      </w:divBdr>
      <w:divsChild>
        <w:div w:id="1027756595">
          <w:marLeft w:val="0"/>
          <w:marRight w:val="0"/>
          <w:marTop w:val="0"/>
          <w:marBottom w:val="0"/>
          <w:divBdr>
            <w:top w:val="none" w:sz="0" w:space="0" w:color="auto"/>
            <w:left w:val="none" w:sz="0" w:space="0" w:color="auto"/>
            <w:bottom w:val="none" w:sz="0" w:space="0" w:color="auto"/>
            <w:right w:val="none" w:sz="0" w:space="0" w:color="auto"/>
          </w:divBdr>
          <w:divsChild>
            <w:div w:id="1540437604">
              <w:marLeft w:val="0"/>
              <w:marRight w:val="0"/>
              <w:marTop w:val="0"/>
              <w:marBottom w:val="0"/>
              <w:divBdr>
                <w:top w:val="none" w:sz="0" w:space="0" w:color="auto"/>
                <w:left w:val="none" w:sz="0" w:space="0" w:color="auto"/>
                <w:bottom w:val="none" w:sz="0" w:space="0" w:color="auto"/>
                <w:right w:val="none" w:sz="0" w:space="0" w:color="auto"/>
              </w:divBdr>
              <w:divsChild>
                <w:div w:id="20238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0909">
      <w:bodyDiv w:val="1"/>
      <w:marLeft w:val="0"/>
      <w:marRight w:val="0"/>
      <w:marTop w:val="0"/>
      <w:marBottom w:val="0"/>
      <w:divBdr>
        <w:top w:val="none" w:sz="0" w:space="0" w:color="auto"/>
        <w:left w:val="none" w:sz="0" w:space="0" w:color="auto"/>
        <w:bottom w:val="none" w:sz="0" w:space="0" w:color="auto"/>
        <w:right w:val="none" w:sz="0" w:space="0" w:color="auto"/>
      </w:divBdr>
    </w:div>
    <w:div w:id="173618192">
      <w:bodyDiv w:val="1"/>
      <w:marLeft w:val="0"/>
      <w:marRight w:val="0"/>
      <w:marTop w:val="0"/>
      <w:marBottom w:val="0"/>
      <w:divBdr>
        <w:top w:val="none" w:sz="0" w:space="0" w:color="auto"/>
        <w:left w:val="none" w:sz="0" w:space="0" w:color="auto"/>
        <w:bottom w:val="none" w:sz="0" w:space="0" w:color="auto"/>
        <w:right w:val="none" w:sz="0" w:space="0" w:color="auto"/>
      </w:divBdr>
    </w:div>
    <w:div w:id="180972619">
      <w:bodyDiv w:val="1"/>
      <w:marLeft w:val="0"/>
      <w:marRight w:val="0"/>
      <w:marTop w:val="0"/>
      <w:marBottom w:val="0"/>
      <w:divBdr>
        <w:top w:val="none" w:sz="0" w:space="0" w:color="auto"/>
        <w:left w:val="none" w:sz="0" w:space="0" w:color="auto"/>
        <w:bottom w:val="none" w:sz="0" w:space="0" w:color="auto"/>
        <w:right w:val="none" w:sz="0" w:space="0" w:color="auto"/>
      </w:divBdr>
      <w:divsChild>
        <w:div w:id="1197278282">
          <w:marLeft w:val="0"/>
          <w:marRight w:val="0"/>
          <w:marTop w:val="0"/>
          <w:marBottom w:val="0"/>
          <w:divBdr>
            <w:top w:val="none" w:sz="0" w:space="0" w:color="auto"/>
            <w:left w:val="none" w:sz="0" w:space="0" w:color="auto"/>
            <w:bottom w:val="none" w:sz="0" w:space="0" w:color="auto"/>
            <w:right w:val="none" w:sz="0" w:space="0" w:color="auto"/>
          </w:divBdr>
          <w:divsChild>
            <w:div w:id="1796023604">
              <w:marLeft w:val="0"/>
              <w:marRight w:val="0"/>
              <w:marTop w:val="0"/>
              <w:marBottom w:val="0"/>
              <w:divBdr>
                <w:top w:val="none" w:sz="0" w:space="0" w:color="auto"/>
                <w:left w:val="none" w:sz="0" w:space="0" w:color="auto"/>
                <w:bottom w:val="none" w:sz="0" w:space="0" w:color="auto"/>
                <w:right w:val="none" w:sz="0" w:space="0" w:color="auto"/>
              </w:divBdr>
              <w:divsChild>
                <w:div w:id="21229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0394">
      <w:bodyDiv w:val="1"/>
      <w:marLeft w:val="0"/>
      <w:marRight w:val="0"/>
      <w:marTop w:val="0"/>
      <w:marBottom w:val="0"/>
      <w:divBdr>
        <w:top w:val="none" w:sz="0" w:space="0" w:color="auto"/>
        <w:left w:val="none" w:sz="0" w:space="0" w:color="auto"/>
        <w:bottom w:val="none" w:sz="0" w:space="0" w:color="auto"/>
        <w:right w:val="none" w:sz="0" w:space="0" w:color="auto"/>
      </w:divBdr>
    </w:div>
    <w:div w:id="200363177">
      <w:bodyDiv w:val="1"/>
      <w:marLeft w:val="0"/>
      <w:marRight w:val="0"/>
      <w:marTop w:val="0"/>
      <w:marBottom w:val="0"/>
      <w:divBdr>
        <w:top w:val="none" w:sz="0" w:space="0" w:color="auto"/>
        <w:left w:val="none" w:sz="0" w:space="0" w:color="auto"/>
        <w:bottom w:val="none" w:sz="0" w:space="0" w:color="auto"/>
        <w:right w:val="none" w:sz="0" w:space="0" w:color="auto"/>
      </w:divBdr>
    </w:div>
    <w:div w:id="231699263">
      <w:bodyDiv w:val="1"/>
      <w:marLeft w:val="0"/>
      <w:marRight w:val="0"/>
      <w:marTop w:val="0"/>
      <w:marBottom w:val="0"/>
      <w:divBdr>
        <w:top w:val="none" w:sz="0" w:space="0" w:color="auto"/>
        <w:left w:val="none" w:sz="0" w:space="0" w:color="auto"/>
        <w:bottom w:val="none" w:sz="0" w:space="0" w:color="auto"/>
        <w:right w:val="none" w:sz="0" w:space="0" w:color="auto"/>
      </w:divBdr>
    </w:div>
    <w:div w:id="232132264">
      <w:bodyDiv w:val="1"/>
      <w:marLeft w:val="0"/>
      <w:marRight w:val="0"/>
      <w:marTop w:val="0"/>
      <w:marBottom w:val="0"/>
      <w:divBdr>
        <w:top w:val="none" w:sz="0" w:space="0" w:color="auto"/>
        <w:left w:val="none" w:sz="0" w:space="0" w:color="auto"/>
        <w:bottom w:val="none" w:sz="0" w:space="0" w:color="auto"/>
        <w:right w:val="none" w:sz="0" w:space="0" w:color="auto"/>
      </w:divBdr>
    </w:div>
    <w:div w:id="243607537">
      <w:bodyDiv w:val="1"/>
      <w:marLeft w:val="0"/>
      <w:marRight w:val="0"/>
      <w:marTop w:val="0"/>
      <w:marBottom w:val="0"/>
      <w:divBdr>
        <w:top w:val="none" w:sz="0" w:space="0" w:color="auto"/>
        <w:left w:val="none" w:sz="0" w:space="0" w:color="auto"/>
        <w:bottom w:val="none" w:sz="0" w:space="0" w:color="auto"/>
        <w:right w:val="none" w:sz="0" w:space="0" w:color="auto"/>
      </w:divBdr>
    </w:div>
    <w:div w:id="244726862">
      <w:bodyDiv w:val="1"/>
      <w:marLeft w:val="0"/>
      <w:marRight w:val="0"/>
      <w:marTop w:val="0"/>
      <w:marBottom w:val="0"/>
      <w:divBdr>
        <w:top w:val="none" w:sz="0" w:space="0" w:color="auto"/>
        <w:left w:val="none" w:sz="0" w:space="0" w:color="auto"/>
        <w:bottom w:val="none" w:sz="0" w:space="0" w:color="auto"/>
        <w:right w:val="none" w:sz="0" w:space="0" w:color="auto"/>
      </w:divBdr>
    </w:div>
    <w:div w:id="312492549">
      <w:bodyDiv w:val="1"/>
      <w:marLeft w:val="0"/>
      <w:marRight w:val="0"/>
      <w:marTop w:val="0"/>
      <w:marBottom w:val="0"/>
      <w:divBdr>
        <w:top w:val="none" w:sz="0" w:space="0" w:color="auto"/>
        <w:left w:val="none" w:sz="0" w:space="0" w:color="auto"/>
        <w:bottom w:val="none" w:sz="0" w:space="0" w:color="auto"/>
        <w:right w:val="none" w:sz="0" w:space="0" w:color="auto"/>
      </w:divBdr>
    </w:div>
    <w:div w:id="333996526">
      <w:bodyDiv w:val="1"/>
      <w:marLeft w:val="0"/>
      <w:marRight w:val="0"/>
      <w:marTop w:val="0"/>
      <w:marBottom w:val="0"/>
      <w:divBdr>
        <w:top w:val="none" w:sz="0" w:space="0" w:color="auto"/>
        <w:left w:val="none" w:sz="0" w:space="0" w:color="auto"/>
        <w:bottom w:val="none" w:sz="0" w:space="0" w:color="auto"/>
        <w:right w:val="none" w:sz="0" w:space="0" w:color="auto"/>
      </w:divBdr>
    </w:div>
    <w:div w:id="351222362">
      <w:bodyDiv w:val="1"/>
      <w:marLeft w:val="0"/>
      <w:marRight w:val="0"/>
      <w:marTop w:val="0"/>
      <w:marBottom w:val="0"/>
      <w:divBdr>
        <w:top w:val="none" w:sz="0" w:space="0" w:color="auto"/>
        <w:left w:val="none" w:sz="0" w:space="0" w:color="auto"/>
        <w:bottom w:val="none" w:sz="0" w:space="0" w:color="auto"/>
        <w:right w:val="none" w:sz="0" w:space="0" w:color="auto"/>
      </w:divBdr>
    </w:div>
    <w:div w:id="352073352">
      <w:bodyDiv w:val="1"/>
      <w:marLeft w:val="0"/>
      <w:marRight w:val="0"/>
      <w:marTop w:val="0"/>
      <w:marBottom w:val="0"/>
      <w:divBdr>
        <w:top w:val="none" w:sz="0" w:space="0" w:color="auto"/>
        <w:left w:val="none" w:sz="0" w:space="0" w:color="auto"/>
        <w:bottom w:val="none" w:sz="0" w:space="0" w:color="auto"/>
        <w:right w:val="none" w:sz="0" w:space="0" w:color="auto"/>
      </w:divBdr>
    </w:div>
    <w:div w:id="371731115">
      <w:bodyDiv w:val="1"/>
      <w:marLeft w:val="0"/>
      <w:marRight w:val="0"/>
      <w:marTop w:val="0"/>
      <w:marBottom w:val="0"/>
      <w:divBdr>
        <w:top w:val="none" w:sz="0" w:space="0" w:color="auto"/>
        <w:left w:val="none" w:sz="0" w:space="0" w:color="auto"/>
        <w:bottom w:val="none" w:sz="0" w:space="0" w:color="auto"/>
        <w:right w:val="none" w:sz="0" w:space="0" w:color="auto"/>
      </w:divBdr>
    </w:div>
    <w:div w:id="389040944">
      <w:bodyDiv w:val="1"/>
      <w:marLeft w:val="0"/>
      <w:marRight w:val="0"/>
      <w:marTop w:val="0"/>
      <w:marBottom w:val="0"/>
      <w:divBdr>
        <w:top w:val="none" w:sz="0" w:space="0" w:color="auto"/>
        <w:left w:val="none" w:sz="0" w:space="0" w:color="auto"/>
        <w:bottom w:val="none" w:sz="0" w:space="0" w:color="auto"/>
        <w:right w:val="none" w:sz="0" w:space="0" w:color="auto"/>
      </w:divBdr>
    </w:div>
    <w:div w:id="439683189">
      <w:bodyDiv w:val="1"/>
      <w:marLeft w:val="0"/>
      <w:marRight w:val="0"/>
      <w:marTop w:val="0"/>
      <w:marBottom w:val="0"/>
      <w:divBdr>
        <w:top w:val="none" w:sz="0" w:space="0" w:color="auto"/>
        <w:left w:val="none" w:sz="0" w:space="0" w:color="auto"/>
        <w:bottom w:val="none" w:sz="0" w:space="0" w:color="auto"/>
        <w:right w:val="none" w:sz="0" w:space="0" w:color="auto"/>
      </w:divBdr>
    </w:div>
    <w:div w:id="452208765">
      <w:bodyDiv w:val="1"/>
      <w:marLeft w:val="0"/>
      <w:marRight w:val="0"/>
      <w:marTop w:val="0"/>
      <w:marBottom w:val="0"/>
      <w:divBdr>
        <w:top w:val="none" w:sz="0" w:space="0" w:color="auto"/>
        <w:left w:val="none" w:sz="0" w:space="0" w:color="auto"/>
        <w:bottom w:val="none" w:sz="0" w:space="0" w:color="auto"/>
        <w:right w:val="none" w:sz="0" w:space="0" w:color="auto"/>
      </w:divBdr>
    </w:div>
    <w:div w:id="459303236">
      <w:bodyDiv w:val="1"/>
      <w:marLeft w:val="0"/>
      <w:marRight w:val="0"/>
      <w:marTop w:val="0"/>
      <w:marBottom w:val="0"/>
      <w:divBdr>
        <w:top w:val="none" w:sz="0" w:space="0" w:color="auto"/>
        <w:left w:val="none" w:sz="0" w:space="0" w:color="auto"/>
        <w:bottom w:val="none" w:sz="0" w:space="0" w:color="auto"/>
        <w:right w:val="none" w:sz="0" w:space="0" w:color="auto"/>
      </w:divBdr>
    </w:div>
    <w:div w:id="484395772">
      <w:bodyDiv w:val="1"/>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547"/>
          <w:marRight w:val="0"/>
          <w:marTop w:val="0"/>
          <w:marBottom w:val="0"/>
          <w:divBdr>
            <w:top w:val="none" w:sz="0" w:space="0" w:color="auto"/>
            <w:left w:val="none" w:sz="0" w:space="0" w:color="auto"/>
            <w:bottom w:val="none" w:sz="0" w:space="0" w:color="auto"/>
            <w:right w:val="none" w:sz="0" w:space="0" w:color="auto"/>
          </w:divBdr>
        </w:div>
        <w:div w:id="1949969205">
          <w:marLeft w:val="1166"/>
          <w:marRight w:val="0"/>
          <w:marTop w:val="0"/>
          <w:marBottom w:val="0"/>
          <w:divBdr>
            <w:top w:val="none" w:sz="0" w:space="0" w:color="auto"/>
            <w:left w:val="none" w:sz="0" w:space="0" w:color="auto"/>
            <w:bottom w:val="none" w:sz="0" w:space="0" w:color="auto"/>
            <w:right w:val="none" w:sz="0" w:space="0" w:color="auto"/>
          </w:divBdr>
        </w:div>
        <w:div w:id="764151660">
          <w:marLeft w:val="1800"/>
          <w:marRight w:val="0"/>
          <w:marTop w:val="0"/>
          <w:marBottom w:val="0"/>
          <w:divBdr>
            <w:top w:val="none" w:sz="0" w:space="0" w:color="auto"/>
            <w:left w:val="none" w:sz="0" w:space="0" w:color="auto"/>
            <w:bottom w:val="none" w:sz="0" w:space="0" w:color="auto"/>
            <w:right w:val="none" w:sz="0" w:space="0" w:color="auto"/>
          </w:divBdr>
        </w:div>
        <w:div w:id="2000572606">
          <w:marLeft w:val="2520"/>
          <w:marRight w:val="0"/>
          <w:marTop w:val="0"/>
          <w:marBottom w:val="0"/>
          <w:divBdr>
            <w:top w:val="none" w:sz="0" w:space="0" w:color="auto"/>
            <w:left w:val="none" w:sz="0" w:space="0" w:color="auto"/>
            <w:bottom w:val="none" w:sz="0" w:space="0" w:color="auto"/>
            <w:right w:val="none" w:sz="0" w:space="0" w:color="auto"/>
          </w:divBdr>
        </w:div>
        <w:div w:id="2071613130">
          <w:marLeft w:val="1800"/>
          <w:marRight w:val="0"/>
          <w:marTop w:val="0"/>
          <w:marBottom w:val="0"/>
          <w:divBdr>
            <w:top w:val="none" w:sz="0" w:space="0" w:color="auto"/>
            <w:left w:val="none" w:sz="0" w:space="0" w:color="auto"/>
            <w:bottom w:val="none" w:sz="0" w:space="0" w:color="auto"/>
            <w:right w:val="none" w:sz="0" w:space="0" w:color="auto"/>
          </w:divBdr>
        </w:div>
        <w:div w:id="1886215270">
          <w:marLeft w:val="2520"/>
          <w:marRight w:val="0"/>
          <w:marTop w:val="0"/>
          <w:marBottom w:val="0"/>
          <w:divBdr>
            <w:top w:val="none" w:sz="0" w:space="0" w:color="auto"/>
            <w:left w:val="none" w:sz="0" w:space="0" w:color="auto"/>
            <w:bottom w:val="none" w:sz="0" w:space="0" w:color="auto"/>
            <w:right w:val="none" w:sz="0" w:space="0" w:color="auto"/>
          </w:divBdr>
        </w:div>
        <w:div w:id="500239914">
          <w:marLeft w:val="2520"/>
          <w:marRight w:val="0"/>
          <w:marTop w:val="0"/>
          <w:marBottom w:val="0"/>
          <w:divBdr>
            <w:top w:val="none" w:sz="0" w:space="0" w:color="auto"/>
            <w:left w:val="none" w:sz="0" w:space="0" w:color="auto"/>
            <w:bottom w:val="none" w:sz="0" w:space="0" w:color="auto"/>
            <w:right w:val="none" w:sz="0" w:space="0" w:color="auto"/>
          </w:divBdr>
        </w:div>
        <w:div w:id="1567253308">
          <w:marLeft w:val="2520"/>
          <w:marRight w:val="0"/>
          <w:marTop w:val="0"/>
          <w:marBottom w:val="0"/>
          <w:divBdr>
            <w:top w:val="none" w:sz="0" w:space="0" w:color="auto"/>
            <w:left w:val="none" w:sz="0" w:space="0" w:color="auto"/>
            <w:bottom w:val="none" w:sz="0" w:space="0" w:color="auto"/>
            <w:right w:val="none" w:sz="0" w:space="0" w:color="auto"/>
          </w:divBdr>
        </w:div>
        <w:div w:id="139931585">
          <w:marLeft w:val="1166"/>
          <w:marRight w:val="0"/>
          <w:marTop w:val="0"/>
          <w:marBottom w:val="0"/>
          <w:divBdr>
            <w:top w:val="none" w:sz="0" w:space="0" w:color="auto"/>
            <w:left w:val="none" w:sz="0" w:space="0" w:color="auto"/>
            <w:bottom w:val="none" w:sz="0" w:space="0" w:color="auto"/>
            <w:right w:val="none" w:sz="0" w:space="0" w:color="auto"/>
          </w:divBdr>
        </w:div>
        <w:div w:id="1916162337">
          <w:marLeft w:val="1800"/>
          <w:marRight w:val="0"/>
          <w:marTop w:val="0"/>
          <w:marBottom w:val="0"/>
          <w:divBdr>
            <w:top w:val="none" w:sz="0" w:space="0" w:color="auto"/>
            <w:left w:val="none" w:sz="0" w:space="0" w:color="auto"/>
            <w:bottom w:val="none" w:sz="0" w:space="0" w:color="auto"/>
            <w:right w:val="none" w:sz="0" w:space="0" w:color="auto"/>
          </w:divBdr>
        </w:div>
        <w:div w:id="919563536">
          <w:marLeft w:val="1800"/>
          <w:marRight w:val="0"/>
          <w:marTop w:val="0"/>
          <w:marBottom w:val="0"/>
          <w:divBdr>
            <w:top w:val="none" w:sz="0" w:space="0" w:color="auto"/>
            <w:left w:val="none" w:sz="0" w:space="0" w:color="auto"/>
            <w:bottom w:val="none" w:sz="0" w:space="0" w:color="auto"/>
            <w:right w:val="none" w:sz="0" w:space="0" w:color="auto"/>
          </w:divBdr>
        </w:div>
      </w:divsChild>
    </w:div>
    <w:div w:id="506096243">
      <w:bodyDiv w:val="1"/>
      <w:marLeft w:val="0"/>
      <w:marRight w:val="0"/>
      <w:marTop w:val="0"/>
      <w:marBottom w:val="0"/>
      <w:divBdr>
        <w:top w:val="none" w:sz="0" w:space="0" w:color="auto"/>
        <w:left w:val="none" w:sz="0" w:space="0" w:color="auto"/>
        <w:bottom w:val="none" w:sz="0" w:space="0" w:color="auto"/>
        <w:right w:val="none" w:sz="0" w:space="0" w:color="auto"/>
      </w:divBdr>
    </w:div>
    <w:div w:id="510144438">
      <w:bodyDiv w:val="1"/>
      <w:marLeft w:val="0"/>
      <w:marRight w:val="0"/>
      <w:marTop w:val="0"/>
      <w:marBottom w:val="0"/>
      <w:divBdr>
        <w:top w:val="none" w:sz="0" w:space="0" w:color="auto"/>
        <w:left w:val="none" w:sz="0" w:space="0" w:color="auto"/>
        <w:bottom w:val="none" w:sz="0" w:space="0" w:color="auto"/>
        <w:right w:val="none" w:sz="0" w:space="0" w:color="auto"/>
      </w:divBdr>
    </w:div>
    <w:div w:id="525100624">
      <w:bodyDiv w:val="1"/>
      <w:marLeft w:val="0"/>
      <w:marRight w:val="0"/>
      <w:marTop w:val="0"/>
      <w:marBottom w:val="0"/>
      <w:divBdr>
        <w:top w:val="none" w:sz="0" w:space="0" w:color="auto"/>
        <w:left w:val="none" w:sz="0" w:space="0" w:color="auto"/>
        <w:bottom w:val="none" w:sz="0" w:space="0" w:color="auto"/>
        <w:right w:val="none" w:sz="0" w:space="0" w:color="auto"/>
      </w:divBdr>
    </w:div>
    <w:div w:id="531963061">
      <w:bodyDiv w:val="1"/>
      <w:marLeft w:val="0"/>
      <w:marRight w:val="0"/>
      <w:marTop w:val="0"/>
      <w:marBottom w:val="0"/>
      <w:divBdr>
        <w:top w:val="none" w:sz="0" w:space="0" w:color="auto"/>
        <w:left w:val="none" w:sz="0" w:space="0" w:color="auto"/>
        <w:bottom w:val="none" w:sz="0" w:space="0" w:color="auto"/>
        <w:right w:val="none" w:sz="0" w:space="0" w:color="auto"/>
      </w:divBdr>
    </w:div>
    <w:div w:id="548758914">
      <w:bodyDiv w:val="1"/>
      <w:marLeft w:val="0"/>
      <w:marRight w:val="0"/>
      <w:marTop w:val="0"/>
      <w:marBottom w:val="0"/>
      <w:divBdr>
        <w:top w:val="none" w:sz="0" w:space="0" w:color="auto"/>
        <w:left w:val="none" w:sz="0" w:space="0" w:color="auto"/>
        <w:bottom w:val="none" w:sz="0" w:space="0" w:color="auto"/>
        <w:right w:val="none" w:sz="0" w:space="0" w:color="auto"/>
      </w:divBdr>
    </w:div>
    <w:div w:id="560100524">
      <w:bodyDiv w:val="1"/>
      <w:marLeft w:val="0"/>
      <w:marRight w:val="0"/>
      <w:marTop w:val="0"/>
      <w:marBottom w:val="0"/>
      <w:divBdr>
        <w:top w:val="none" w:sz="0" w:space="0" w:color="auto"/>
        <w:left w:val="none" w:sz="0" w:space="0" w:color="auto"/>
        <w:bottom w:val="none" w:sz="0" w:space="0" w:color="auto"/>
        <w:right w:val="none" w:sz="0" w:space="0" w:color="auto"/>
      </w:divBdr>
    </w:div>
    <w:div w:id="570847400">
      <w:bodyDiv w:val="1"/>
      <w:marLeft w:val="0"/>
      <w:marRight w:val="0"/>
      <w:marTop w:val="0"/>
      <w:marBottom w:val="0"/>
      <w:divBdr>
        <w:top w:val="none" w:sz="0" w:space="0" w:color="auto"/>
        <w:left w:val="none" w:sz="0" w:space="0" w:color="auto"/>
        <w:bottom w:val="none" w:sz="0" w:space="0" w:color="auto"/>
        <w:right w:val="none" w:sz="0" w:space="0" w:color="auto"/>
      </w:divBdr>
    </w:div>
    <w:div w:id="600836814">
      <w:bodyDiv w:val="1"/>
      <w:marLeft w:val="0"/>
      <w:marRight w:val="0"/>
      <w:marTop w:val="0"/>
      <w:marBottom w:val="0"/>
      <w:divBdr>
        <w:top w:val="none" w:sz="0" w:space="0" w:color="auto"/>
        <w:left w:val="none" w:sz="0" w:space="0" w:color="auto"/>
        <w:bottom w:val="none" w:sz="0" w:space="0" w:color="auto"/>
        <w:right w:val="none" w:sz="0" w:space="0" w:color="auto"/>
      </w:divBdr>
    </w:div>
    <w:div w:id="646587107">
      <w:bodyDiv w:val="1"/>
      <w:marLeft w:val="0"/>
      <w:marRight w:val="0"/>
      <w:marTop w:val="0"/>
      <w:marBottom w:val="0"/>
      <w:divBdr>
        <w:top w:val="none" w:sz="0" w:space="0" w:color="auto"/>
        <w:left w:val="none" w:sz="0" w:space="0" w:color="auto"/>
        <w:bottom w:val="none" w:sz="0" w:space="0" w:color="auto"/>
        <w:right w:val="none" w:sz="0" w:space="0" w:color="auto"/>
      </w:divBdr>
    </w:div>
    <w:div w:id="653728280">
      <w:bodyDiv w:val="1"/>
      <w:marLeft w:val="0"/>
      <w:marRight w:val="0"/>
      <w:marTop w:val="0"/>
      <w:marBottom w:val="0"/>
      <w:divBdr>
        <w:top w:val="none" w:sz="0" w:space="0" w:color="auto"/>
        <w:left w:val="none" w:sz="0" w:space="0" w:color="auto"/>
        <w:bottom w:val="none" w:sz="0" w:space="0" w:color="auto"/>
        <w:right w:val="none" w:sz="0" w:space="0" w:color="auto"/>
      </w:divBdr>
    </w:div>
    <w:div w:id="670837039">
      <w:bodyDiv w:val="1"/>
      <w:marLeft w:val="0"/>
      <w:marRight w:val="0"/>
      <w:marTop w:val="0"/>
      <w:marBottom w:val="0"/>
      <w:divBdr>
        <w:top w:val="none" w:sz="0" w:space="0" w:color="auto"/>
        <w:left w:val="none" w:sz="0" w:space="0" w:color="auto"/>
        <w:bottom w:val="none" w:sz="0" w:space="0" w:color="auto"/>
        <w:right w:val="none" w:sz="0" w:space="0" w:color="auto"/>
      </w:divBdr>
      <w:divsChild>
        <w:div w:id="1769695637">
          <w:marLeft w:val="0"/>
          <w:marRight w:val="0"/>
          <w:marTop w:val="0"/>
          <w:marBottom w:val="0"/>
          <w:divBdr>
            <w:top w:val="none" w:sz="0" w:space="0" w:color="auto"/>
            <w:left w:val="none" w:sz="0" w:space="0" w:color="auto"/>
            <w:bottom w:val="none" w:sz="0" w:space="0" w:color="auto"/>
            <w:right w:val="none" w:sz="0" w:space="0" w:color="auto"/>
          </w:divBdr>
        </w:div>
      </w:divsChild>
    </w:div>
    <w:div w:id="692073371">
      <w:bodyDiv w:val="1"/>
      <w:marLeft w:val="0"/>
      <w:marRight w:val="0"/>
      <w:marTop w:val="0"/>
      <w:marBottom w:val="0"/>
      <w:divBdr>
        <w:top w:val="none" w:sz="0" w:space="0" w:color="auto"/>
        <w:left w:val="none" w:sz="0" w:space="0" w:color="auto"/>
        <w:bottom w:val="none" w:sz="0" w:space="0" w:color="auto"/>
        <w:right w:val="none" w:sz="0" w:space="0" w:color="auto"/>
      </w:divBdr>
    </w:div>
    <w:div w:id="717513581">
      <w:bodyDiv w:val="1"/>
      <w:marLeft w:val="0"/>
      <w:marRight w:val="0"/>
      <w:marTop w:val="0"/>
      <w:marBottom w:val="0"/>
      <w:divBdr>
        <w:top w:val="none" w:sz="0" w:space="0" w:color="auto"/>
        <w:left w:val="none" w:sz="0" w:space="0" w:color="auto"/>
        <w:bottom w:val="none" w:sz="0" w:space="0" w:color="auto"/>
        <w:right w:val="none" w:sz="0" w:space="0" w:color="auto"/>
      </w:divBdr>
      <w:divsChild>
        <w:div w:id="1821531434">
          <w:marLeft w:val="0"/>
          <w:marRight w:val="0"/>
          <w:marTop w:val="0"/>
          <w:marBottom w:val="0"/>
          <w:divBdr>
            <w:top w:val="none" w:sz="0" w:space="0" w:color="auto"/>
            <w:left w:val="none" w:sz="0" w:space="0" w:color="auto"/>
            <w:bottom w:val="none" w:sz="0" w:space="0" w:color="auto"/>
            <w:right w:val="none" w:sz="0" w:space="0" w:color="auto"/>
          </w:divBdr>
          <w:divsChild>
            <w:div w:id="1709842117">
              <w:marLeft w:val="0"/>
              <w:marRight w:val="0"/>
              <w:marTop w:val="0"/>
              <w:marBottom w:val="0"/>
              <w:divBdr>
                <w:top w:val="none" w:sz="0" w:space="0" w:color="auto"/>
                <w:left w:val="none" w:sz="0" w:space="0" w:color="auto"/>
                <w:bottom w:val="none" w:sz="0" w:space="0" w:color="auto"/>
                <w:right w:val="none" w:sz="0" w:space="0" w:color="auto"/>
              </w:divBdr>
              <w:divsChild>
                <w:div w:id="20764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5111">
      <w:bodyDiv w:val="1"/>
      <w:marLeft w:val="0"/>
      <w:marRight w:val="0"/>
      <w:marTop w:val="0"/>
      <w:marBottom w:val="0"/>
      <w:divBdr>
        <w:top w:val="none" w:sz="0" w:space="0" w:color="auto"/>
        <w:left w:val="none" w:sz="0" w:space="0" w:color="auto"/>
        <w:bottom w:val="none" w:sz="0" w:space="0" w:color="auto"/>
        <w:right w:val="none" w:sz="0" w:space="0" w:color="auto"/>
      </w:divBdr>
      <w:divsChild>
        <w:div w:id="2104760243">
          <w:marLeft w:val="0"/>
          <w:marRight w:val="0"/>
          <w:marTop w:val="0"/>
          <w:marBottom w:val="0"/>
          <w:divBdr>
            <w:top w:val="none" w:sz="0" w:space="0" w:color="auto"/>
            <w:left w:val="none" w:sz="0" w:space="0" w:color="auto"/>
            <w:bottom w:val="none" w:sz="0" w:space="0" w:color="auto"/>
            <w:right w:val="none" w:sz="0" w:space="0" w:color="auto"/>
          </w:divBdr>
          <w:divsChild>
            <w:div w:id="6177753">
              <w:marLeft w:val="0"/>
              <w:marRight w:val="0"/>
              <w:marTop w:val="0"/>
              <w:marBottom w:val="0"/>
              <w:divBdr>
                <w:top w:val="none" w:sz="0" w:space="0" w:color="auto"/>
                <w:left w:val="none" w:sz="0" w:space="0" w:color="auto"/>
                <w:bottom w:val="none" w:sz="0" w:space="0" w:color="auto"/>
                <w:right w:val="none" w:sz="0" w:space="0" w:color="auto"/>
              </w:divBdr>
              <w:divsChild>
                <w:div w:id="7974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6978">
      <w:bodyDiv w:val="1"/>
      <w:marLeft w:val="0"/>
      <w:marRight w:val="0"/>
      <w:marTop w:val="0"/>
      <w:marBottom w:val="0"/>
      <w:divBdr>
        <w:top w:val="none" w:sz="0" w:space="0" w:color="auto"/>
        <w:left w:val="none" w:sz="0" w:space="0" w:color="auto"/>
        <w:bottom w:val="none" w:sz="0" w:space="0" w:color="auto"/>
        <w:right w:val="none" w:sz="0" w:space="0" w:color="auto"/>
      </w:divBdr>
    </w:div>
    <w:div w:id="834884286">
      <w:bodyDiv w:val="1"/>
      <w:marLeft w:val="0"/>
      <w:marRight w:val="0"/>
      <w:marTop w:val="0"/>
      <w:marBottom w:val="0"/>
      <w:divBdr>
        <w:top w:val="none" w:sz="0" w:space="0" w:color="auto"/>
        <w:left w:val="none" w:sz="0" w:space="0" w:color="auto"/>
        <w:bottom w:val="none" w:sz="0" w:space="0" w:color="auto"/>
        <w:right w:val="none" w:sz="0" w:space="0" w:color="auto"/>
      </w:divBdr>
    </w:div>
    <w:div w:id="851338374">
      <w:bodyDiv w:val="1"/>
      <w:marLeft w:val="0"/>
      <w:marRight w:val="0"/>
      <w:marTop w:val="0"/>
      <w:marBottom w:val="0"/>
      <w:divBdr>
        <w:top w:val="none" w:sz="0" w:space="0" w:color="auto"/>
        <w:left w:val="none" w:sz="0" w:space="0" w:color="auto"/>
        <w:bottom w:val="none" w:sz="0" w:space="0" w:color="auto"/>
        <w:right w:val="none" w:sz="0" w:space="0" w:color="auto"/>
      </w:divBdr>
      <w:divsChild>
        <w:div w:id="1386562816">
          <w:marLeft w:val="0"/>
          <w:marRight w:val="0"/>
          <w:marTop w:val="0"/>
          <w:marBottom w:val="0"/>
          <w:divBdr>
            <w:top w:val="none" w:sz="0" w:space="0" w:color="auto"/>
            <w:left w:val="none" w:sz="0" w:space="0" w:color="auto"/>
            <w:bottom w:val="none" w:sz="0" w:space="0" w:color="auto"/>
            <w:right w:val="none" w:sz="0" w:space="0" w:color="auto"/>
          </w:divBdr>
          <w:divsChild>
            <w:div w:id="1935429182">
              <w:marLeft w:val="0"/>
              <w:marRight w:val="0"/>
              <w:marTop w:val="0"/>
              <w:marBottom w:val="0"/>
              <w:divBdr>
                <w:top w:val="none" w:sz="0" w:space="0" w:color="auto"/>
                <w:left w:val="none" w:sz="0" w:space="0" w:color="auto"/>
                <w:bottom w:val="none" w:sz="0" w:space="0" w:color="auto"/>
                <w:right w:val="none" w:sz="0" w:space="0" w:color="auto"/>
              </w:divBdr>
              <w:divsChild>
                <w:div w:id="1327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9480">
      <w:bodyDiv w:val="1"/>
      <w:marLeft w:val="0"/>
      <w:marRight w:val="0"/>
      <w:marTop w:val="0"/>
      <w:marBottom w:val="0"/>
      <w:divBdr>
        <w:top w:val="none" w:sz="0" w:space="0" w:color="auto"/>
        <w:left w:val="none" w:sz="0" w:space="0" w:color="auto"/>
        <w:bottom w:val="none" w:sz="0" w:space="0" w:color="auto"/>
        <w:right w:val="none" w:sz="0" w:space="0" w:color="auto"/>
      </w:divBdr>
    </w:div>
    <w:div w:id="903637921">
      <w:bodyDiv w:val="1"/>
      <w:marLeft w:val="0"/>
      <w:marRight w:val="0"/>
      <w:marTop w:val="0"/>
      <w:marBottom w:val="0"/>
      <w:divBdr>
        <w:top w:val="none" w:sz="0" w:space="0" w:color="auto"/>
        <w:left w:val="none" w:sz="0" w:space="0" w:color="auto"/>
        <w:bottom w:val="none" w:sz="0" w:space="0" w:color="auto"/>
        <w:right w:val="none" w:sz="0" w:space="0" w:color="auto"/>
      </w:divBdr>
      <w:divsChild>
        <w:div w:id="701781603">
          <w:marLeft w:val="0"/>
          <w:marRight w:val="0"/>
          <w:marTop w:val="0"/>
          <w:marBottom w:val="0"/>
          <w:divBdr>
            <w:top w:val="none" w:sz="0" w:space="0" w:color="auto"/>
            <w:left w:val="none" w:sz="0" w:space="0" w:color="auto"/>
            <w:bottom w:val="none" w:sz="0" w:space="0" w:color="auto"/>
            <w:right w:val="none" w:sz="0" w:space="0" w:color="auto"/>
          </w:divBdr>
          <w:divsChild>
            <w:div w:id="548151966">
              <w:marLeft w:val="0"/>
              <w:marRight w:val="0"/>
              <w:marTop w:val="0"/>
              <w:marBottom w:val="0"/>
              <w:divBdr>
                <w:top w:val="none" w:sz="0" w:space="0" w:color="auto"/>
                <w:left w:val="none" w:sz="0" w:space="0" w:color="auto"/>
                <w:bottom w:val="none" w:sz="0" w:space="0" w:color="auto"/>
                <w:right w:val="none" w:sz="0" w:space="0" w:color="auto"/>
              </w:divBdr>
              <w:divsChild>
                <w:div w:id="18573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3186">
      <w:bodyDiv w:val="1"/>
      <w:marLeft w:val="0"/>
      <w:marRight w:val="0"/>
      <w:marTop w:val="0"/>
      <w:marBottom w:val="0"/>
      <w:divBdr>
        <w:top w:val="none" w:sz="0" w:space="0" w:color="auto"/>
        <w:left w:val="none" w:sz="0" w:space="0" w:color="auto"/>
        <w:bottom w:val="none" w:sz="0" w:space="0" w:color="auto"/>
        <w:right w:val="none" w:sz="0" w:space="0" w:color="auto"/>
      </w:divBdr>
    </w:div>
    <w:div w:id="910503786">
      <w:bodyDiv w:val="1"/>
      <w:marLeft w:val="0"/>
      <w:marRight w:val="0"/>
      <w:marTop w:val="0"/>
      <w:marBottom w:val="0"/>
      <w:divBdr>
        <w:top w:val="none" w:sz="0" w:space="0" w:color="auto"/>
        <w:left w:val="none" w:sz="0" w:space="0" w:color="auto"/>
        <w:bottom w:val="none" w:sz="0" w:space="0" w:color="auto"/>
        <w:right w:val="none" w:sz="0" w:space="0" w:color="auto"/>
      </w:divBdr>
    </w:div>
    <w:div w:id="912814349">
      <w:bodyDiv w:val="1"/>
      <w:marLeft w:val="0"/>
      <w:marRight w:val="0"/>
      <w:marTop w:val="0"/>
      <w:marBottom w:val="0"/>
      <w:divBdr>
        <w:top w:val="none" w:sz="0" w:space="0" w:color="auto"/>
        <w:left w:val="none" w:sz="0" w:space="0" w:color="auto"/>
        <w:bottom w:val="none" w:sz="0" w:space="0" w:color="auto"/>
        <w:right w:val="none" w:sz="0" w:space="0" w:color="auto"/>
      </w:divBdr>
    </w:div>
    <w:div w:id="948003748">
      <w:bodyDiv w:val="1"/>
      <w:marLeft w:val="0"/>
      <w:marRight w:val="0"/>
      <w:marTop w:val="0"/>
      <w:marBottom w:val="0"/>
      <w:divBdr>
        <w:top w:val="none" w:sz="0" w:space="0" w:color="auto"/>
        <w:left w:val="none" w:sz="0" w:space="0" w:color="auto"/>
        <w:bottom w:val="none" w:sz="0" w:space="0" w:color="auto"/>
        <w:right w:val="none" w:sz="0" w:space="0" w:color="auto"/>
      </w:divBdr>
      <w:divsChild>
        <w:div w:id="748387995">
          <w:marLeft w:val="0"/>
          <w:marRight w:val="0"/>
          <w:marTop w:val="0"/>
          <w:marBottom w:val="0"/>
          <w:divBdr>
            <w:top w:val="none" w:sz="0" w:space="0" w:color="auto"/>
            <w:left w:val="none" w:sz="0" w:space="0" w:color="auto"/>
            <w:bottom w:val="none" w:sz="0" w:space="0" w:color="auto"/>
            <w:right w:val="none" w:sz="0" w:space="0" w:color="auto"/>
          </w:divBdr>
          <w:divsChild>
            <w:div w:id="2082016768">
              <w:marLeft w:val="0"/>
              <w:marRight w:val="0"/>
              <w:marTop w:val="0"/>
              <w:marBottom w:val="0"/>
              <w:divBdr>
                <w:top w:val="none" w:sz="0" w:space="0" w:color="auto"/>
                <w:left w:val="none" w:sz="0" w:space="0" w:color="auto"/>
                <w:bottom w:val="none" w:sz="0" w:space="0" w:color="auto"/>
                <w:right w:val="none" w:sz="0" w:space="0" w:color="auto"/>
              </w:divBdr>
              <w:divsChild>
                <w:div w:id="15517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7343">
      <w:bodyDiv w:val="1"/>
      <w:marLeft w:val="0"/>
      <w:marRight w:val="0"/>
      <w:marTop w:val="0"/>
      <w:marBottom w:val="0"/>
      <w:divBdr>
        <w:top w:val="none" w:sz="0" w:space="0" w:color="auto"/>
        <w:left w:val="none" w:sz="0" w:space="0" w:color="auto"/>
        <w:bottom w:val="none" w:sz="0" w:space="0" w:color="auto"/>
        <w:right w:val="none" w:sz="0" w:space="0" w:color="auto"/>
      </w:divBdr>
    </w:div>
    <w:div w:id="1000766552">
      <w:bodyDiv w:val="1"/>
      <w:marLeft w:val="0"/>
      <w:marRight w:val="0"/>
      <w:marTop w:val="0"/>
      <w:marBottom w:val="0"/>
      <w:divBdr>
        <w:top w:val="none" w:sz="0" w:space="0" w:color="auto"/>
        <w:left w:val="none" w:sz="0" w:space="0" w:color="auto"/>
        <w:bottom w:val="none" w:sz="0" w:space="0" w:color="auto"/>
        <w:right w:val="none" w:sz="0" w:space="0" w:color="auto"/>
      </w:divBdr>
    </w:div>
    <w:div w:id="1016539794">
      <w:bodyDiv w:val="1"/>
      <w:marLeft w:val="0"/>
      <w:marRight w:val="0"/>
      <w:marTop w:val="0"/>
      <w:marBottom w:val="0"/>
      <w:divBdr>
        <w:top w:val="none" w:sz="0" w:space="0" w:color="auto"/>
        <w:left w:val="none" w:sz="0" w:space="0" w:color="auto"/>
        <w:bottom w:val="none" w:sz="0" w:space="0" w:color="auto"/>
        <w:right w:val="none" w:sz="0" w:space="0" w:color="auto"/>
      </w:divBdr>
    </w:div>
    <w:div w:id="1022123517">
      <w:bodyDiv w:val="1"/>
      <w:marLeft w:val="0"/>
      <w:marRight w:val="0"/>
      <w:marTop w:val="0"/>
      <w:marBottom w:val="0"/>
      <w:divBdr>
        <w:top w:val="none" w:sz="0" w:space="0" w:color="auto"/>
        <w:left w:val="none" w:sz="0" w:space="0" w:color="auto"/>
        <w:bottom w:val="none" w:sz="0" w:space="0" w:color="auto"/>
        <w:right w:val="none" w:sz="0" w:space="0" w:color="auto"/>
      </w:divBdr>
    </w:div>
    <w:div w:id="1055853602">
      <w:bodyDiv w:val="1"/>
      <w:marLeft w:val="0"/>
      <w:marRight w:val="0"/>
      <w:marTop w:val="0"/>
      <w:marBottom w:val="0"/>
      <w:divBdr>
        <w:top w:val="none" w:sz="0" w:space="0" w:color="auto"/>
        <w:left w:val="none" w:sz="0" w:space="0" w:color="auto"/>
        <w:bottom w:val="none" w:sz="0" w:space="0" w:color="auto"/>
        <w:right w:val="none" w:sz="0" w:space="0" w:color="auto"/>
      </w:divBdr>
    </w:div>
    <w:div w:id="1118333095">
      <w:bodyDiv w:val="1"/>
      <w:marLeft w:val="0"/>
      <w:marRight w:val="0"/>
      <w:marTop w:val="0"/>
      <w:marBottom w:val="0"/>
      <w:divBdr>
        <w:top w:val="none" w:sz="0" w:space="0" w:color="auto"/>
        <w:left w:val="none" w:sz="0" w:space="0" w:color="auto"/>
        <w:bottom w:val="none" w:sz="0" w:space="0" w:color="auto"/>
        <w:right w:val="none" w:sz="0" w:space="0" w:color="auto"/>
      </w:divBdr>
    </w:div>
    <w:div w:id="1126780498">
      <w:bodyDiv w:val="1"/>
      <w:marLeft w:val="0"/>
      <w:marRight w:val="0"/>
      <w:marTop w:val="0"/>
      <w:marBottom w:val="0"/>
      <w:divBdr>
        <w:top w:val="none" w:sz="0" w:space="0" w:color="auto"/>
        <w:left w:val="none" w:sz="0" w:space="0" w:color="auto"/>
        <w:bottom w:val="none" w:sz="0" w:space="0" w:color="auto"/>
        <w:right w:val="none" w:sz="0" w:space="0" w:color="auto"/>
      </w:divBdr>
    </w:div>
    <w:div w:id="1191843809">
      <w:bodyDiv w:val="1"/>
      <w:marLeft w:val="0"/>
      <w:marRight w:val="0"/>
      <w:marTop w:val="0"/>
      <w:marBottom w:val="0"/>
      <w:divBdr>
        <w:top w:val="none" w:sz="0" w:space="0" w:color="auto"/>
        <w:left w:val="none" w:sz="0" w:space="0" w:color="auto"/>
        <w:bottom w:val="none" w:sz="0" w:space="0" w:color="auto"/>
        <w:right w:val="none" w:sz="0" w:space="0" w:color="auto"/>
      </w:divBdr>
    </w:div>
    <w:div w:id="1195580033">
      <w:bodyDiv w:val="1"/>
      <w:marLeft w:val="0"/>
      <w:marRight w:val="0"/>
      <w:marTop w:val="0"/>
      <w:marBottom w:val="0"/>
      <w:divBdr>
        <w:top w:val="none" w:sz="0" w:space="0" w:color="auto"/>
        <w:left w:val="none" w:sz="0" w:space="0" w:color="auto"/>
        <w:bottom w:val="none" w:sz="0" w:space="0" w:color="auto"/>
        <w:right w:val="none" w:sz="0" w:space="0" w:color="auto"/>
      </w:divBdr>
    </w:div>
    <w:div w:id="1217932774">
      <w:bodyDiv w:val="1"/>
      <w:marLeft w:val="0"/>
      <w:marRight w:val="0"/>
      <w:marTop w:val="0"/>
      <w:marBottom w:val="0"/>
      <w:divBdr>
        <w:top w:val="none" w:sz="0" w:space="0" w:color="auto"/>
        <w:left w:val="none" w:sz="0" w:space="0" w:color="auto"/>
        <w:bottom w:val="none" w:sz="0" w:space="0" w:color="auto"/>
        <w:right w:val="none" w:sz="0" w:space="0" w:color="auto"/>
      </w:divBdr>
    </w:div>
    <w:div w:id="1236941428">
      <w:bodyDiv w:val="1"/>
      <w:marLeft w:val="0"/>
      <w:marRight w:val="0"/>
      <w:marTop w:val="0"/>
      <w:marBottom w:val="0"/>
      <w:divBdr>
        <w:top w:val="none" w:sz="0" w:space="0" w:color="auto"/>
        <w:left w:val="none" w:sz="0" w:space="0" w:color="auto"/>
        <w:bottom w:val="none" w:sz="0" w:space="0" w:color="auto"/>
        <w:right w:val="none" w:sz="0" w:space="0" w:color="auto"/>
      </w:divBdr>
      <w:divsChild>
        <w:div w:id="2136872780">
          <w:marLeft w:val="0"/>
          <w:marRight w:val="0"/>
          <w:marTop w:val="0"/>
          <w:marBottom w:val="0"/>
          <w:divBdr>
            <w:top w:val="none" w:sz="0" w:space="0" w:color="auto"/>
            <w:left w:val="none" w:sz="0" w:space="0" w:color="auto"/>
            <w:bottom w:val="none" w:sz="0" w:space="0" w:color="auto"/>
            <w:right w:val="none" w:sz="0" w:space="0" w:color="auto"/>
          </w:divBdr>
          <w:divsChild>
            <w:div w:id="397284457">
              <w:marLeft w:val="0"/>
              <w:marRight w:val="0"/>
              <w:marTop w:val="0"/>
              <w:marBottom w:val="0"/>
              <w:divBdr>
                <w:top w:val="none" w:sz="0" w:space="0" w:color="auto"/>
                <w:left w:val="none" w:sz="0" w:space="0" w:color="auto"/>
                <w:bottom w:val="none" w:sz="0" w:space="0" w:color="auto"/>
                <w:right w:val="none" w:sz="0" w:space="0" w:color="auto"/>
              </w:divBdr>
              <w:divsChild>
                <w:div w:id="11341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6287">
      <w:bodyDiv w:val="1"/>
      <w:marLeft w:val="0"/>
      <w:marRight w:val="0"/>
      <w:marTop w:val="0"/>
      <w:marBottom w:val="0"/>
      <w:divBdr>
        <w:top w:val="none" w:sz="0" w:space="0" w:color="auto"/>
        <w:left w:val="none" w:sz="0" w:space="0" w:color="auto"/>
        <w:bottom w:val="none" w:sz="0" w:space="0" w:color="auto"/>
        <w:right w:val="none" w:sz="0" w:space="0" w:color="auto"/>
      </w:divBdr>
    </w:div>
    <w:div w:id="1312171838">
      <w:bodyDiv w:val="1"/>
      <w:marLeft w:val="0"/>
      <w:marRight w:val="0"/>
      <w:marTop w:val="0"/>
      <w:marBottom w:val="0"/>
      <w:divBdr>
        <w:top w:val="none" w:sz="0" w:space="0" w:color="auto"/>
        <w:left w:val="none" w:sz="0" w:space="0" w:color="auto"/>
        <w:bottom w:val="none" w:sz="0" w:space="0" w:color="auto"/>
        <w:right w:val="none" w:sz="0" w:space="0" w:color="auto"/>
      </w:divBdr>
      <w:divsChild>
        <w:div w:id="1249313607">
          <w:marLeft w:val="0"/>
          <w:marRight w:val="0"/>
          <w:marTop w:val="0"/>
          <w:marBottom w:val="0"/>
          <w:divBdr>
            <w:top w:val="none" w:sz="0" w:space="0" w:color="auto"/>
            <w:left w:val="none" w:sz="0" w:space="0" w:color="auto"/>
            <w:bottom w:val="none" w:sz="0" w:space="0" w:color="auto"/>
            <w:right w:val="none" w:sz="0" w:space="0" w:color="auto"/>
          </w:divBdr>
          <w:divsChild>
            <w:div w:id="1505701860">
              <w:marLeft w:val="0"/>
              <w:marRight w:val="0"/>
              <w:marTop w:val="0"/>
              <w:marBottom w:val="0"/>
              <w:divBdr>
                <w:top w:val="none" w:sz="0" w:space="0" w:color="auto"/>
                <w:left w:val="none" w:sz="0" w:space="0" w:color="auto"/>
                <w:bottom w:val="none" w:sz="0" w:space="0" w:color="auto"/>
                <w:right w:val="none" w:sz="0" w:space="0" w:color="auto"/>
              </w:divBdr>
              <w:divsChild>
                <w:div w:id="733821608">
                  <w:marLeft w:val="0"/>
                  <w:marRight w:val="0"/>
                  <w:marTop w:val="0"/>
                  <w:marBottom w:val="0"/>
                  <w:divBdr>
                    <w:top w:val="none" w:sz="0" w:space="0" w:color="auto"/>
                    <w:left w:val="none" w:sz="0" w:space="0" w:color="auto"/>
                    <w:bottom w:val="none" w:sz="0" w:space="0" w:color="auto"/>
                    <w:right w:val="none" w:sz="0" w:space="0" w:color="auto"/>
                  </w:divBdr>
                </w:div>
              </w:divsChild>
            </w:div>
            <w:div w:id="762457053">
              <w:marLeft w:val="0"/>
              <w:marRight w:val="0"/>
              <w:marTop w:val="0"/>
              <w:marBottom w:val="0"/>
              <w:divBdr>
                <w:top w:val="none" w:sz="0" w:space="0" w:color="auto"/>
                <w:left w:val="none" w:sz="0" w:space="0" w:color="auto"/>
                <w:bottom w:val="none" w:sz="0" w:space="0" w:color="auto"/>
                <w:right w:val="none" w:sz="0" w:space="0" w:color="auto"/>
              </w:divBdr>
              <w:divsChild>
                <w:div w:id="1547984573">
                  <w:marLeft w:val="0"/>
                  <w:marRight w:val="0"/>
                  <w:marTop w:val="0"/>
                  <w:marBottom w:val="0"/>
                  <w:divBdr>
                    <w:top w:val="none" w:sz="0" w:space="0" w:color="auto"/>
                    <w:left w:val="none" w:sz="0" w:space="0" w:color="auto"/>
                    <w:bottom w:val="none" w:sz="0" w:space="0" w:color="auto"/>
                    <w:right w:val="none" w:sz="0" w:space="0" w:color="auto"/>
                  </w:divBdr>
                </w:div>
              </w:divsChild>
            </w:div>
            <w:div w:id="583345639">
              <w:marLeft w:val="0"/>
              <w:marRight w:val="0"/>
              <w:marTop w:val="0"/>
              <w:marBottom w:val="0"/>
              <w:divBdr>
                <w:top w:val="none" w:sz="0" w:space="0" w:color="auto"/>
                <w:left w:val="none" w:sz="0" w:space="0" w:color="auto"/>
                <w:bottom w:val="none" w:sz="0" w:space="0" w:color="auto"/>
                <w:right w:val="none" w:sz="0" w:space="0" w:color="auto"/>
              </w:divBdr>
              <w:divsChild>
                <w:div w:id="1615936457">
                  <w:marLeft w:val="0"/>
                  <w:marRight w:val="0"/>
                  <w:marTop w:val="0"/>
                  <w:marBottom w:val="0"/>
                  <w:divBdr>
                    <w:top w:val="none" w:sz="0" w:space="0" w:color="auto"/>
                    <w:left w:val="none" w:sz="0" w:space="0" w:color="auto"/>
                    <w:bottom w:val="none" w:sz="0" w:space="0" w:color="auto"/>
                    <w:right w:val="none" w:sz="0" w:space="0" w:color="auto"/>
                  </w:divBdr>
                </w:div>
              </w:divsChild>
            </w:div>
            <w:div w:id="1277101171">
              <w:marLeft w:val="0"/>
              <w:marRight w:val="0"/>
              <w:marTop w:val="0"/>
              <w:marBottom w:val="0"/>
              <w:divBdr>
                <w:top w:val="none" w:sz="0" w:space="0" w:color="auto"/>
                <w:left w:val="none" w:sz="0" w:space="0" w:color="auto"/>
                <w:bottom w:val="none" w:sz="0" w:space="0" w:color="auto"/>
                <w:right w:val="none" w:sz="0" w:space="0" w:color="auto"/>
              </w:divBdr>
              <w:divsChild>
                <w:div w:id="830173057">
                  <w:marLeft w:val="0"/>
                  <w:marRight w:val="0"/>
                  <w:marTop w:val="0"/>
                  <w:marBottom w:val="0"/>
                  <w:divBdr>
                    <w:top w:val="none" w:sz="0" w:space="0" w:color="auto"/>
                    <w:left w:val="none" w:sz="0" w:space="0" w:color="auto"/>
                    <w:bottom w:val="none" w:sz="0" w:space="0" w:color="auto"/>
                    <w:right w:val="none" w:sz="0" w:space="0" w:color="auto"/>
                  </w:divBdr>
                </w:div>
                <w:div w:id="1546983300">
                  <w:marLeft w:val="0"/>
                  <w:marRight w:val="0"/>
                  <w:marTop w:val="0"/>
                  <w:marBottom w:val="0"/>
                  <w:divBdr>
                    <w:top w:val="none" w:sz="0" w:space="0" w:color="auto"/>
                    <w:left w:val="none" w:sz="0" w:space="0" w:color="auto"/>
                    <w:bottom w:val="none" w:sz="0" w:space="0" w:color="auto"/>
                    <w:right w:val="none" w:sz="0" w:space="0" w:color="auto"/>
                  </w:divBdr>
                </w:div>
                <w:div w:id="647243936">
                  <w:marLeft w:val="0"/>
                  <w:marRight w:val="0"/>
                  <w:marTop w:val="0"/>
                  <w:marBottom w:val="0"/>
                  <w:divBdr>
                    <w:top w:val="none" w:sz="0" w:space="0" w:color="auto"/>
                    <w:left w:val="none" w:sz="0" w:space="0" w:color="auto"/>
                    <w:bottom w:val="none" w:sz="0" w:space="0" w:color="auto"/>
                    <w:right w:val="none" w:sz="0" w:space="0" w:color="auto"/>
                  </w:divBdr>
                </w:div>
                <w:div w:id="316109035">
                  <w:marLeft w:val="0"/>
                  <w:marRight w:val="0"/>
                  <w:marTop w:val="0"/>
                  <w:marBottom w:val="0"/>
                  <w:divBdr>
                    <w:top w:val="none" w:sz="0" w:space="0" w:color="auto"/>
                    <w:left w:val="none" w:sz="0" w:space="0" w:color="auto"/>
                    <w:bottom w:val="none" w:sz="0" w:space="0" w:color="auto"/>
                    <w:right w:val="none" w:sz="0" w:space="0" w:color="auto"/>
                  </w:divBdr>
                </w:div>
                <w:div w:id="4153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3443">
      <w:bodyDiv w:val="1"/>
      <w:marLeft w:val="0"/>
      <w:marRight w:val="0"/>
      <w:marTop w:val="0"/>
      <w:marBottom w:val="0"/>
      <w:divBdr>
        <w:top w:val="none" w:sz="0" w:space="0" w:color="auto"/>
        <w:left w:val="none" w:sz="0" w:space="0" w:color="auto"/>
        <w:bottom w:val="none" w:sz="0" w:space="0" w:color="auto"/>
        <w:right w:val="none" w:sz="0" w:space="0" w:color="auto"/>
      </w:divBdr>
    </w:div>
    <w:div w:id="1369599787">
      <w:bodyDiv w:val="1"/>
      <w:marLeft w:val="0"/>
      <w:marRight w:val="0"/>
      <w:marTop w:val="0"/>
      <w:marBottom w:val="0"/>
      <w:divBdr>
        <w:top w:val="none" w:sz="0" w:space="0" w:color="auto"/>
        <w:left w:val="none" w:sz="0" w:space="0" w:color="auto"/>
        <w:bottom w:val="none" w:sz="0" w:space="0" w:color="auto"/>
        <w:right w:val="none" w:sz="0" w:space="0" w:color="auto"/>
      </w:divBdr>
    </w:div>
    <w:div w:id="1381324141">
      <w:bodyDiv w:val="1"/>
      <w:marLeft w:val="0"/>
      <w:marRight w:val="0"/>
      <w:marTop w:val="0"/>
      <w:marBottom w:val="0"/>
      <w:divBdr>
        <w:top w:val="none" w:sz="0" w:space="0" w:color="auto"/>
        <w:left w:val="none" w:sz="0" w:space="0" w:color="auto"/>
        <w:bottom w:val="none" w:sz="0" w:space="0" w:color="auto"/>
        <w:right w:val="none" w:sz="0" w:space="0" w:color="auto"/>
      </w:divBdr>
    </w:div>
    <w:div w:id="1416198368">
      <w:bodyDiv w:val="1"/>
      <w:marLeft w:val="0"/>
      <w:marRight w:val="0"/>
      <w:marTop w:val="0"/>
      <w:marBottom w:val="0"/>
      <w:divBdr>
        <w:top w:val="none" w:sz="0" w:space="0" w:color="auto"/>
        <w:left w:val="none" w:sz="0" w:space="0" w:color="auto"/>
        <w:bottom w:val="none" w:sz="0" w:space="0" w:color="auto"/>
        <w:right w:val="none" w:sz="0" w:space="0" w:color="auto"/>
      </w:divBdr>
    </w:div>
    <w:div w:id="1451581884">
      <w:bodyDiv w:val="1"/>
      <w:marLeft w:val="0"/>
      <w:marRight w:val="0"/>
      <w:marTop w:val="0"/>
      <w:marBottom w:val="0"/>
      <w:divBdr>
        <w:top w:val="none" w:sz="0" w:space="0" w:color="auto"/>
        <w:left w:val="none" w:sz="0" w:space="0" w:color="auto"/>
        <w:bottom w:val="none" w:sz="0" w:space="0" w:color="auto"/>
        <w:right w:val="none" w:sz="0" w:space="0" w:color="auto"/>
      </w:divBdr>
    </w:div>
    <w:div w:id="1469124884">
      <w:bodyDiv w:val="1"/>
      <w:marLeft w:val="0"/>
      <w:marRight w:val="0"/>
      <w:marTop w:val="0"/>
      <w:marBottom w:val="0"/>
      <w:divBdr>
        <w:top w:val="none" w:sz="0" w:space="0" w:color="auto"/>
        <w:left w:val="none" w:sz="0" w:space="0" w:color="auto"/>
        <w:bottom w:val="none" w:sz="0" w:space="0" w:color="auto"/>
        <w:right w:val="none" w:sz="0" w:space="0" w:color="auto"/>
      </w:divBdr>
    </w:div>
    <w:div w:id="1469857174">
      <w:bodyDiv w:val="1"/>
      <w:marLeft w:val="0"/>
      <w:marRight w:val="0"/>
      <w:marTop w:val="0"/>
      <w:marBottom w:val="0"/>
      <w:divBdr>
        <w:top w:val="none" w:sz="0" w:space="0" w:color="auto"/>
        <w:left w:val="none" w:sz="0" w:space="0" w:color="auto"/>
        <w:bottom w:val="none" w:sz="0" w:space="0" w:color="auto"/>
        <w:right w:val="none" w:sz="0" w:space="0" w:color="auto"/>
      </w:divBdr>
    </w:div>
    <w:div w:id="1478914248">
      <w:bodyDiv w:val="1"/>
      <w:marLeft w:val="0"/>
      <w:marRight w:val="0"/>
      <w:marTop w:val="0"/>
      <w:marBottom w:val="0"/>
      <w:divBdr>
        <w:top w:val="none" w:sz="0" w:space="0" w:color="auto"/>
        <w:left w:val="none" w:sz="0" w:space="0" w:color="auto"/>
        <w:bottom w:val="none" w:sz="0" w:space="0" w:color="auto"/>
        <w:right w:val="none" w:sz="0" w:space="0" w:color="auto"/>
      </w:divBdr>
    </w:div>
    <w:div w:id="1492018465">
      <w:bodyDiv w:val="1"/>
      <w:marLeft w:val="0"/>
      <w:marRight w:val="0"/>
      <w:marTop w:val="0"/>
      <w:marBottom w:val="0"/>
      <w:divBdr>
        <w:top w:val="none" w:sz="0" w:space="0" w:color="auto"/>
        <w:left w:val="none" w:sz="0" w:space="0" w:color="auto"/>
        <w:bottom w:val="none" w:sz="0" w:space="0" w:color="auto"/>
        <w:right w:val="none" w:sz="0" w:space="0" w:color="auto"/>
      </w:divBdr>
    </w:div>
    <w:div w:id="1517572676">
      <w:bodyDiv w:val="1"/>
      <w:marLeft w:val="0"/>
      <w:marRight w:val="0"/>
      <w:marTop w:val="0"/>
      <w:marBottom w:val="0"/>
      <w:divBdr>
        <w:top w:val="none" w:sz="0" w:space="0" w:color="auto"/>
        <w:left w:val="none" w:sz="0" w:space="0" w:color="auto"/>
        <w:bottom w:val="none" w:sz="0" w:space="0" w:color="auto"/>
        <w:right w:val="none" w:sz="0" w:space="0" w:color="auto"/>
      </w:divBdr>
    </w:div>
    <w:div w:id="1529028798">
      <w:bodyDiv w:val="1"/>
      <w:marLeft w:val="0"/>
      <w:marRight w:val="0"/>
      <w:marTop w:val="0"/>
      <w:marBottom w:val="0"/>
      <w:divBdr>
        <w:top w:val="none" w:sz="0" w:space="0" w:color="auto"/>
        <w:left w:val="none" w:sz="0" w:space="0" w:color="auto"/>
        <w:bottom w:val="none" w:sz="0" w:space="0" w:color="auto"/>
        <w:right w:val="none" w:sz="0" w:space="0" w:color="auto"/>
      </w:divBdr>
    </w:div>
    <w:div w:id="1580367413">
      <w:bodyDiv w:val="1"/>
      <w:marLeft w:val="0"/>
      <w:marRight w:val="0"/>
      <w:marTop w:val="0"/>
      <w:marBottom w:val="0"/>
      <w:divBdr>
        <w:top w:val="none" w:sz="0" w:space="0" w:color="auto"/>
        <w:left w:val="none" w:sz="0" w:space="0" w:color="auto"/>
        <w:bottom w:val="none" w:sz="0" w:space="0" w:color="auto"/>
        <w:right w:val="none" w:sz="0" w:space="0" w:color="auto"/>
      </w:divBdr>
    </w:div>
    <w:div w:id="1626811254">
      <w:bodyDiv w:val="1"/>
      <w:marLeft w:val="0"/>
      <w:marRight w:val="0"/>
      <w:marTop w:val="0"/>
      <w:marBottom w:val="0"/>
      <w:divBdr>
        <w:top w:val="none" w:sz="0" w:space="0" w:color="auto"/>
        <w:left w:val="none" w:sz="0" w:space="0" w:color="auto"/>
        <w:bottom w:val="none" w:sz="0" w:space="0" w:color="auto"/>
        <w:right w:val="none" w:sz="0" w:space="0" w:color="auto"/>
      </w:divBdr>
      <w:divsChild>
        <w:div w:id="138766990">
          <w:marLeft w:val="0"/>
          <w:marRight w:val="0"/>
          <w:marTop w:val="0"/>
          <w:marBottom w:val="0"/>
          <w:divBdr>
            <w:top w:val="none" w:sz="0" w:space="0" w:color="auto"/>
            <w:left w:val="none" w:sz="0" w:space="0" w:color="auto"/>
            <w:bottom w:val="none" w:sz="0" w:space="0" w:color="auto"/>
            <w:right w:val="none" w:sz="0" w:space="0" w:color="auto"/>
          </w:divBdr>
          <w:divsChild>
            <w:div w:id="1888301246">
              <w:marLeft w:val="0"/>
              <w:marRight w:val="0"/>
              <w:marTop w:val="0"/>
              <w:marBottom w:val="0"/>
              <w:divBdr>
                <w:top w:val="none" w:sz="0" w:space="0" w:color="auto"/>
                <w:left w:val="none" w:sz="0" w:space="0" w:color="auto"/>
                <w:bottom w:val="none" w:sz="0" w:space="0" w:color="auto"/>
                <w:right w:val="none" w:sz="0" w:space="0" w:color="auto"/>
              </w:divBdr>
              <w:divsChild>
                <w:div w:id="15418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2701">
      <w:bodyDiv w:val="1"/>
      <w:marLeft w:val="0"/>
      <w:marRight w:val="0"/>
      <w:marTop w:val="0"/>
      <w:marBottom w:val="0"/>
      <w:divBdr>
        <w:top w:val="none" w:sz="0" w:space="0" w:color="auto"/>
        <w:left w:val="none" w:sz="0" w:space="0" w:color="auto"/>
        <w:bottom w:val="none" w:sz="0" w:space="0" w:color="auto"/>
        <w:right w:val="none" w:sz="0" w:space="0" w:color="auto"/>
      </w:divBdr>
    </w:div>
    <w:div w:id="1748113130">
      <w:bodyDiv w:val="1"/>
      <w:marLeft w:val="0"/>
      <w:marRight w:val="0"/>
      <w:marTop w:val="0"/>
      <w:marBottom w:val="0"/>
      <w:divBdr>
        <w:top w:val="none" w:sz="0" w:space="0" w:color="auto"/>
        <w:left w:val="none" w:sz="0" w:space="0" w:color="auto"/>
        <w:bottom w:val="none" w:sz="0" w:space="0" w:color="auto"/>
        <w:right w:val="none" w:sz="0" w:space="0" w:color="auto"/>
      </w:divBdr>
    </w:div>
    <w:div w:id="1809786686">
      <w:bodyDiv w:val="1"/>
      <w:marLeft w:val="0"/>
      <w:marRight w:val="0"/>
      <w:marTop w:val="0"/>
      <w:marBottom w:val="0"/>
      <w:divBdr>
        <w:top w:val="none" w:sz="0" w:space="0" w:color="auto"/>
        <w:left w:val="none" w:sz="0" w:space="0" w:color="auto"/>
        <w:bottom w:val="none" w:sz="0" w:space="0" w:color="auto"/>
        <w:right w:val="none" w:sz="0" w:space="0" w:color="auto"/>
      </w:divBdr>
    </w:div>
    <w:div w:id="1846439408">
      <w:bodyDiv w:val="1"/>
      <w:marLeft w:val="0"/>
      <w:marRight w:val="0"/>
      <w:marTop w:val="0"/>
      <w:marBottom w:val="0"/>
      <w:divBdr>
        <w:top w:val="none" w:sz="0" w:space="0" w:color="auto"/>
        <w:left w:val="none" w:sz="0" w:space="0" w:color="auto"/>
        <w:bottom w:val="none" w:sz="0" w:space="0" w:color="auto"/>
        <w:right w:val="none" w:sz="0" w:space="0" w:color="auto"/>
      </w:divBdr>
      <w:divsChild>
        <w:div w:id="1752771556">
          <w:marLeft w:val="0"/>
          <w:marRight w:val="0"/>
          <w:marTop w:val="0"/>
          <w:marBottom w:val="0"/>
          <w:divBdr>
            <w:top w:val="none" w:sz="0" w:space="0" w:color="auto"/>
            <w:left w:val="none" w:sz="0" w:space="0" w:color="auto"/>
            <w:bottom w:val="none" w:sz="0" w:space="0" w:color="auto"/>
            <w:right w:val="none" w:sz="0" w:space="0" w:color="auto"/>
          </w:divBdr>
          <w:divsChild>
            <w:div w:id="2041466508">
              <w:marLeft w:val="0"/>
              <w:marRight w:val="0"/>
              <w:marTop w:val="0"/>
              <w:marBottom w:val="0"/>
              <w:divBdr>
                <w:top w:val="none" w:sz="0" w:space="0" w:color="auto"/>
                <w:left w:val="none" w:sz="0" w:space="0" w:color="auto"/>
                <w:bottom w:val="none" w:sz="0" w:space="0" w:color="auto"/>
                <w:right w:val="none" w:sz="0" w:space="0" w:color="auto"/>
              </w:divBdr>
              <w:divsChild>
                <w:div w:id="21235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8512">
      <w:bodyDiv w:val="1"/>
      <w:marLeft w:val="0"/>
      <w:marRight w:val="0"/>
      <w:marTop w:val="0"/>
      <w:marBottom w:val="0"/>
      <w:divBdr>
        <w:top w:val="none" w:sz="0" w:space="0" w:color="auto"/>
        <w:left w:val="none" w:sz="0" w:space="0" w:color="auto"/>
        <w:bottom w:val="none" w:sz="0" w:space="0" w:color="auto"/>
        <w:right w:val="none" w:sz="0" w:space="0" w:color="auto"/>
      </w:divBdr>
    </w:div>
    <w:div w:id="1917669312">
      <w:bodyDiv w:val="1"/>
      <w:marLeft w:val="0"/>
      <w:marRight w:val="0"/>
      <w:marTop w:val="0"/>
      <w:marBottom w:val="0"/>
      <w:divBdr>
        <w:top w:val="none" w:sz="0" w:space="0" w:color="auto"/>
        <w:left w:val="none" w:sz="0" w:space="0" w:color="auto"/>
        <w:bottom w:val="none" w:sz="0" w:space="0" w:color="auto"/>
        <w:right w:val="none" w:sz="0" w:space="0" w:color="auto"/>
      </w:divBdr>
    </w:div>
    <w:div w:id="1928881932">
      <w:bodyDiv w:val="1"/>
      <w:marLeft w:val="0"/>
      <w:marRight w:val="0"/>
      <w:marTop w:val="0"/>
      <w:marBottom w:val="0"/>
      <w:divBdr>
        <w:top w:val="none" w:sz="0" w:space="0" w:color="auto"/>
        <w:left w:val="none" w:sz="0" w:space="0" w:color="auto"/>
        <w:bottom w:val="none" w:sz="0" w:space="0" w:color="auto"/>
        <w:right w:val="none" w:sz="0" w:space="0" w:color="auto"/>
      </w:divBdr>
    </w:div>
    <w:div w:id="1937129036">
      <w:bodyDiv w:val="1"/>
      <w:marLeft w:val="0"/>
      <w:marRight w:val="0"/>
      <w:marTop w:val="0"/>
      <w:marBottom w:val="0"/>
      <w:divBdr>
        <w:top w:val="none" w:sz="0" w:space="0" w:color="auto"/>
        <w:left w:val="none" w:sz="0" w:space="0" w:color="auto"/>
        <w:bottom w:val="none" w:sz="0" w:space="0" w:color="auto"/>
        <w:right w:val="none" w:sz="0" w:space="0" w:color="auto"/>
      </w:divBdr>
    </w:div>
    <w:div w:id="1941402243">
      <w:bodyDiv w:val="1"/>
      <w:marLeft w:val="0"/>
      <w:marRight w:val="0"/>
      <w:marTop w:val="0"/>
      <w:marBottom w:val="0"/>
      <w:divBdr>
        <w:top w:val="none" w:sz="0" w:space="0" w:color="auto"/>
        <w:left w:val="none" w:sz="0" w:space="0" w:color="auto"/>
        <w:bottom w:val="none" w:sz="0" w:space="0" w:color="auto"/>
        <w:right w:val="none" w:sz="0" w:space="0" w:color="auto"/>
      </w:divBdr>
    </w:div>
    <w:div w:id="1977566070">
      <w:bodyDiv w:val="1"/>
      <w:marLeft w:val="0"/>
      <w:marRight w:val="0"/>
      <w:marTop w:val="0"/>
      <w:marBottom w:val="0"/>
      <w:divBdr>
        <w:top w:val="none" w:sz="0" w:space="0" w:color="auto"/>
        <w:left w:val="none" w:sz="0" w:space="0" w:color="auto"/>
        <w:bottom w:val="none" w:sz="0" w:space="0" w:color="auto"/>
        <w:right w:val="none" w:sz="0" w:space="0" w:color="auto"/>
      </w:divBdr>
      <w:divsChild>
        <w:div w:id="1029334630">
          <w:marLeft w:val="0"/>
          <w:marRight w:val="0"/>
          <w:marTop w:val="0"/>
          <w:marBottom w:val="0"/>
          <w:divBdr>
            <w:top w:val="none" w:sz="0" w:space="0" w:color="auto"/>
            <w:left w:val="none" w:sz="0" w:space="0" w:color="auto"/>
            <w:bottom w:val="none" w:sz="0" w:space="0" w:color="auto"/>
            <w:right w:val="none" w:sz="0" w:space="0" w:color="auto"/>
          </w:divBdr>
          <w:divsChild>
            <w:div w:id="1381662297">
              <w:marLeft w:val="0"/>
              <w:marRight w:val="0"/>
              <w:marTop w:val="0"/>
              <w:marBottom w:val="0"/>
              <w:divBdr>
                <w:top w:val="none" w:sz="0" w:space="0" w:color="auto"/>
                <w:left w:val="none" w:sz="0" w:space="0" w:color="auto"/>
                <w:bottom w:val="none" w:sz="0" w:space="0" w:color="auto"/>
                <w:right w:val="none" w:sz="0" w:space="0" w:color="auto"/>
              </w:divBdr>
              <w:divsChild>
                <w:div w:id="622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503">
      <w:bodyDiv w:val="1"/>
      <w:marLeft w:val="0"/>
      <w:marRight w:val="0"/>
      <w:marTop w:val="0"/>
      <w:marBottom w:val="0"/>
      <w:divBdr>
        <w:top w:val="none" w:sz="0" w:space="0" w:color="auto"/>
        <w:left w:val="none" w:sz="0" w:space="0" w:color="auto"/>
        <w:bottom w:val="none" w:sz="0" w:space="0" w:color="auto"/>
        <w:right w:val="none" w:sz="0" w:space="0" w:color="auto"/>
      </w:divBdr>
    </w:div>
    <w:div w:id="2009596812">
      <w:bodyDiv w:val="1"/>
      <w:marLeft w:val="0"/>
      <w:marRight w:val="0"/>
      <w:marTop w:val="0"/>
      <w:marBottom w:val="0"/>
      <w:divBdr>
        <w:top w:val="none" w:sz="0" w:space="0" w:color="auto"/>
        <w:left w:val="none" w:sz="0" w:space="0" w:color="auto"/>
        <w:bottom w:val="none" w:sz="0" w:space="0" w:color="auto"/>
        <w:right w:val="none" w:sz="0" w:space="0" w:color="auto"/>
      </w:divBdr>
    </w:div>
    <w:div w:id="2029482538">
      <w:bodyDiv w:val="1"/>
      <w:marLeft w:val="0"/>
      <w:marRight w:val="0"/>
      <w:marTop w:val="0"/>
      <w:marBottom w:val="0"/>
      <w:divBdr>
        <w:top w:val="none" w:sz="0" w:space="0" w:color="auto"/>
        <w:left w:val="none" w:sz="0" w:space="0" w:color="auto"/>
        <w:bottom w:val="none" w:sz="0" w:space="0" w:color="auto"/>
        <w:right w:val="none" w:sz="0" w:space="0" w:color="auto"/>
      </w:divBdr>
    </w:div>
    <w:div w:id="2062707627">
      <w:bodyDiv w:val="1"/>
      <w:marLeft w:val="0"/>
      <w:marRight w:val="0"/>
      <w:marTop w:val="0"/>
      <w:marBottom w:val="0"/>
      <w:divBdr>
        <w:top w:val="none" w:sz="0" w:space="0" w:color="auto"/>
        <w:left w:val="none" w:sz="0" w:space="0" w:color="auto"/>
        <w:bottom w:val="none" w:sz="0" w:space="0" w:color="auto"/>
        <w:right w:val="none" w:sz="0" w:space="0" w:color="auto"/>
      </w:divBdr>
    </w:div>
    <w:div w:id="2077585882">
      <w:bodyDiv w:val="1"/>
      <w:marLeft w:val="0"/>
      <w:marRight w:val="0"/>
      <w:marTop w:val="0"/>
      <w:marBottom w:val="0"/>
      <w:divBdr>
        <w:top w:val="none" w:sz="0" w:space="0" w:color="auto"/>
        <w:left w:val="none" w:sz="0" w:space="0" w:color="auto"/>
        <w:bottom w:val="none" w:sz="0" w:space="0" w:color="auto"/>
        <w:right w:val="none" w:sz="0" w:space="0" w:color="auto"/>
      </w:divBdr>
    </w:div>
    <w:div w:id="2085252531">
      <w:bodyDiv w:val="1"/>
      <w:marLeft w:val="0"/>
      <w:marRight w:val="0"/>
      <w:marTop w:val="0"/>
      <w:marBottom w:val="0"/>
      <w:divBdr>
        <w:top w:val="none" w:sz="0" w:space="0" w:color="auto"/>
        <w:left w:val="none" w:sz="0" w:space="0" w:color="auto"/>
        <w:bottom w:val="none" w:sz="0" w:space="0" w:color="auto"/>
        <w:right w:val="none" w:sz="0" w:space="0" w:color="auto"/>
      </w:divBdr>
    </w:div>
    <w:div w:id="2139831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image" Target="media/image1.png"/><Relationship Id="rId18" Type="http://schemas.openxmlformats.org/officeDocument/2006/relationships/image" Target="media/image2.emf"/><Relationship Id="rId19" Type="http://schemas.openxmlformats.org/officeDocument/2006/relationships/image" Target="media/image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amsfo.com.ua/standart-msfo-ifrs-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macbook\Desktop\&#1082;&#1091;&#1088;&#1089;&#1086;&#1074;&#1072;&#1103;\&#1083;&#1080;&#1090;&#1077;&#1088;&#1072;&#1090;&#1091;&#1088;&#1072;%20&#1087;&#1086;%201%20&#1075;&#1083;&#1072;&#1074;&#1077;\stroi11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oleObject" Target="file:///G:\&#1082;&#1091;&#1088;&#1089;&#1086;&#1074;&#1072;&#1103;\&#1083;&#1080;&#1090;&#1077;&#1088;&#1072;&#1090;&#1091;&#1088;&#1072;%20&#1087;&#1086;%201%20&#1075;&#1083;&#1072;&#1074;&#1077;\&#1089;&#1090;&#1072;&#1090;&#1080;&#1089;&#1090;&#1080;&#1082;&#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Лист1!$A$7:$A$8</c:f>
              <c:strCache>
                <c:ptCount val="2"/>
                <c:pt idx="0">
                  <c:v>   жилого назначения</c:v>
                </c:pt>
                <c:pt idx="1">
                  <c:v>   нежилого назначения</c:v>
                </c:pt>
              </c:strCache>
            </c:strRef>
          </c:cat>
          <c:val>
            <c:numRef>
              <c:f>Лист1!$P$7:$P$8</c:f>
              <c:numCache>
                <c:formatCode>0.0</c:formatCode>
                <c:ptCount val="2"/>
                <c:pt idx="0">
                  <c:v>283.0</c:v>
                </c:pt>
                <c:pt idx="1">
                  <c:v>21.2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bg1">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Лист3!$B$6:$Q$6</c:f>
              <c:numCache>
                <c:formatCode>General</c:formatCode>
                <c:ptCount val="16"/>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numCache>
            </c:numRef>
          </c:cat>
          <c:val>
            <c:numRef>
              <c:f>Лист3!$B$7:$Q$7</c:f>
              <c:numCache>
                <c:formatCode>0.0</c:formatCode>
                <c:ptCount val="16"/>
                <c:pt idx="0">
                  <c:v>74.9187</c:v>
                </c:pt>
                <c:pt idx="1">
                  <c:v>78.9783</c:v>
                </c:pt>
                <c:pt idx="2">
                  <c:v>95.63839999999995</c:v>
                </c:pt>
                <c:pt idx="3">
                  <c:v>106.7119</c:v>
                </c:pt>
                <c:pt idx="4">
                  <c:v>99.5922</c:v>
                </c:pt>
                <c:pt idx="5">
                  <c:v>129.4507</c:v>
                </c:pt>
                <c:pt idx="6">
                  <c:v>176.2187</c:v>
                </c:pt>
                <c:pt idx="7">
                  <c:v>266.3999999999999</c:v>
                </c:pt>
                <c:pt idx="8">
                  <c:v>399.8</c:v>
                </c:pt>
                <c:pt idx="9" formatCode="General">
                  <c:v>289.8</c:v>
                </c:pt>
                <c:pt idx="10" formatCode="General">
                  <c:v>342.1</c:v>
                </c:pt>
                <c:pt idx="11">
                  <c:v>336.8</c:v>
                </c:pt>
                <c:pt idx="12">
                  <c:v>348.6</c:v>
                </c:pt>
                <c:pt idx="13" formatCode="General">
                  <c:v>438.1</c:v>
                </c:pt>
                <c:pt idx="14" formatCode="General">
                  <c:v>469.3</c:v>
                </c:pt>
                <c:pt idx="15" formatCode="General">
                  <c:v>448.7</c:v>
                </c:pt>
              </c:numCache>
            </c:numRef>
          </c:val>
          <c:smooth val="0"/>
        </c:ser>
        <c:ser>
          <c:idx val="1"/>
          <c:order val="1"/>
          <c:spPr>
            <a:ln w="28575" cap="rnd">
              <a:solidFill>
                <a:schemeClr val="accent2"/>
              </a:solidFill>
              <a:round/>
            </a:ln>
            <a:effectLst/>
          </c:spPr>
          <c:marker>
            <c:symbol val="none"/>
          </c:marker>
          <c:cat>
            <c:numRef>
              <c:f>Лист3!$B$6:$Q$6</c:f>
              <c:numCache>
                <c:formatCode>General</c:formatCode>
                <c:ptCount val="16"/>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numCache>
            </c:numRef>
          </c:cat>
          <c:val>
            <c:numRef>
              <c:f>Лист3!$B$7:$Q$7</c:f>
              <c:numCache>
                <c:formatCode>0.0</c:formatCode>
                <c:ptCount val="16"/>
                <c:pt idx="0">
                  <c:v>74.9187</c:v>
                </c:pt>
                <c:pt idx="1">
                  <c:v>78.9783</c:v>
                </c:pt>
                <c:pt idx="2">
                  <c:v>95.63839999999995</c:v>
                </c:pt>
                <c:pt idx="3">
                  <c:v>106.7119</c:v>
                </c:pt>
                <c:pt idx="4">
                  <c:v>99.5922</c:v>
                </c:pt>
                <c:pt idx="5">
                  <c:v>129.4507</c:v>
                </c:pt>
                <c:pt idx="6">
                  <c:v>176.2187</c:v>
                </c:pt>
                <c:pt idx="7">
                  <c:v>266.3999999999999</c:v>
                </c:pt>
                <c:pt idx="8">
                  <c:v>399.8</c:v>
                </c:pt>
                <c:pt idx="9" formatCode="General">
                  <c:v>289.8</c:v>
                </c:pt>
                <c:pt idx="10" formatCode="General">
                  <c:v>342.1</c:v>
                </c:pt>
                <c:pt idx="11">
                  <c:v>336.8</c:v>
                </c:pt>
                <c:pt idx="12">
                  <c:v>348.6</c:v>
                </c:pt>
                <c:pt idx="13" formatCode="General">
                  <c:v>438.1</c:v>
                </c:pt>
                <c:pt idx="14" formatCode="General">
                  <c:v>469.3</c:v>
                </c:pt>
                <c:pt idx="15" formatCode="General">
                  <c:v>448.7</c:v>
                </c:pt>
              </c:numCache>
            </c:numRef>
          </c:val>
          <c:smooth val="0"/>
        </c:ser>
        <c:dLbls>
          <c:showLegendKey val="0"/>
          <c:showVal val="0"/>
          <c:showCatName val="0"/>
          <c:showSerName val="0"/>
          <c:showPercent val="0"/>
          <c:showBubbleSize val="0"/>
        </c:dLbls>
        <c:smooth val="0"/>
        <c:axId val="-2113239104"/>
        <c:axId val="2128898416"/>
      </c:lineChart>
      <c:catAx>
        <c:axId val="-211323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8898416"/>
        <c:crosses val="autoZero"/>
        <c:auto val="1"/>
        <c:lblAlgn val="ctr"/>
        <c:lblOffset val="100"/>
        <c:noMultiLvlLbl val="0"/>
      </c:catAx>
      <c:valAx>
        <c:axId val="2128898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323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Pt>
            <c:idx val="11"/>
            <c:bubble3D val="0"/>
            <c:spPr>
              <a:solidFill>
                <a:schemeClr val="accent6">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Лист2!$E$10:$P$10</c:f>
              <c:strCache>
                <c:ptCount val="12"/>
                <c:pt idx="0">
                  <c:v>Сельское и лесное хозяйство, охота, рыболовство и рыбоводство</c:v>
                </c:pt>
                <c:pt idx="1">
                  <c:v>Добыча полезных ископаемых</c:v>
                </c:pt>
                <c:pt idx="2">
                  <c:v>Обрабатывающие производства</c:v>
                </c:pt>
                <c:pt idx="3">
                  <c:v>Производство и распределение электроэнергии, газа и воды</c:v>
                </c:pt>
                <c:pt idx="4">
                  <c:v>Строительство</c:v>
                </c:pt>
                <c:pt idx="5">
                  <c:v>Оптовая и розничная торговля, ремонт автотранспортных средств, мотоциклов, бытовых изделий и предметов личного пользования, гостиницы и рестораны</c:v>
                </c:pt>
                <c:pt idx="6">
                  <c:v>Транспорт и связь</c:v>
                </c:pt>
                <c:pt idx="7">
                  <c:v>Финансовая деятельность, операции с недвижимым имуществом, аренда и предоставление услуг</c:v>
                </c:pt>
                <c:pt idx="8">
                  <c:v>Государственное управление и обеспечение военной безопасности, социальное обеспечение</c:v>
                </c:pt>
                <c:pt idx="9">
                  <c:v>Образование</c:v>
                </c:pt>
                <c:pt idx="10">
                  <c:v>Здраво-охранение и предоставление социальных услуг</c:v>
                </c:pt>
                <c:pt idx="11">
                  <c:v>Другие виды экономической дятельности</c:v>
                </c:pt>
              </c:strCache>
            </c:strRef>
          </c:cat>
          <c:val>
            <c:numRef>
              <c:f>Лист2!$E$11:$P$11</c:f>
              <c:numCache>
                <c:formatCode>0%</c:formatCode>
                <c:ptCount val="12"/>
                <c:pt idx="0">
                  <c:v>0.06709793786</c:v>
                </c:pt>
                <c:pt idx="1">
                  <c:v>0.02080617474</c:v>
                </c:pt>
                <c:pt idx="2">
                  <c:v>0.14301355185</c:v>
                </c:pt>
                <c:pt idx="3">
                  <c:v>0.03228621322</c:v>
                </c:pt>
                <c:pt idx="4">
                  <c:v>0.0757052759700001</c:v>
                </c:pt>
                <c:pt idx="5">
                  <c:v>0.1840987251</c:v>
                </c:pt>
                <c:pt idx="6">
                  <c:v>0.09517408036</c:v>
                </c:pt>
                <c:pt idx="7">
                  <c:v>0.0939363708800001</c:v>
                </c:pt>
                <c:pt idx="8">
                  <c:v>0.07369331328</c:v>
                </c:pt>
                <c:pt idx="9">
                  <c:v>0.09217852038</c:v>
                </c:pt>
                <c:pt idx="10">
                  <c:v>0.07904208215</c:v>
                </c:pt>
                <c:pt idx="11">
                  <c:v>0.04296775422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00414295650469198"/>
          <c:y val="0.43657661776549"/>
          <c:w val="0.978470599399151"/>
          <c:h val="0.5634233296327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noFill/>
    <a:ln w="9525" cap="flat" cmpd="sng" algn="ctr">
      <a:solidFill>
        <a:schemeClr val="dk1">
          <a:lumMod val="25000"/>
          <a:lumOff val="75000"/>
        </a:schemeClr>
      </a:solidFill>
      <a:round/>
    </a:ln>
    <a:effectLst/>
  </c:spPr>
  <c:txPr>
    <a:bodyPr anchor="ctr" anchorCtr="1"/>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'Таблица 10'!$U$14:$U$21</c:f>
              <c:strCache>
                <c:ptCount val="8"/>
                <c:pt idx="0">
                  <c:v>Добыча полезных ископаемых</c:v>
                </c:pt>
                <c:pt idx="1">
                  <c:v>Обрабатывающие производства</c:v>
                </c:pt>
                <c:pt idx="2">
                  <c:v>Оптовая и розничная торговля; ремонт автотранспортных средств, мотоциклов, бытовых изделий и предметов личного пользования</c:v>
                </c:pt>
                <c:pt idx="3">
                  <c:v>Транспорт и связь</c:v>
                </c:pt>
                <c:pt idx="4">
                  <c:v>Операции с недвижимым имуществом, аренда и предоставление услуг</c:v>
                </c:pt>
                <c:pt idx="5">
                  <c:v>Государственное управление и обеспечение военной безопасности; социальное страхование</c:v>
                </c:pt>
                <c:pt idx="6">
                  <c:v>Строительство</c:v>
                </c:pt>
                <c:pt idx="7">
                  <c:v>Прочие</c:v>
                </c:pt>
              </c:strCache>
            </c:strRef>
          </c:cat>
          <c:val>
            <c:numRef>
              <c:f>'Таблица 10'!$V$14:$V$21</c:f>
              <c:numCache>
                <c:formatCode>General</c:formatCode>
                <c:ptCount val="8"/>
                <c:pt idx="0">
                  <c:v>0.10322581434388</c:v>
                </c:pt>
                <c:pt idx="1">
                  <c:v>0.156103016087498</c:v>
                </c:pt>
                <c:pt idx="2">
                  <c:v>0.173109860897244</c:v>
                </c:pt>
                <c:pt idx="3">
                  <c:v>0.087297686791023</c:v>
                </c:pt>
                <c:pt idx="4">
                  <c:v>0.122114330473981</c:v>
                </c:pt>
                <c:pt idx="5">
                  <c:v>0.0652208638186705</c:v>
                </c:pt>
                <c:pt idx="6">
                  <c:v>0.0648959725367581</c:v>
                </c:pt>
                <c:pt idx="7">
                  <c:v>0.228032455050945</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D280D-E983-A74F-8D20-43CDE595A208}"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ru-RU"/>
        </a:p>
      </dgm:t>
    </dgm:pt>
    <dgm:pt modelId="{2015CDEE-32FC-8941-A630-AC9EA3721C9C}">
      <dgm:prSet phldrT="[Текст]"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Возможно ли надежно оценить финансовый результат по договору?</a:t>
          </a:r>
        </a:p>
      </dgm:t>
    </dgm:pt>
    <dgm:pt modelId="{B253D8AD-3D96-B947-9CC0-15B9EA035A73}" type="parTrans" cxnId="{953A8B9B-3CF5-C04A-B68C-744E341C9948}">
      <dgm:prSet/>
      <dgm:spPr/>
      <dgm:t>
        <a:bodyPr/>
        <a:lstStyle/>
        <a:p>
          <a:endParaRPr lang="ru-RU"/>
        </a:p>
      </dgm:t>
    </dgm:pt>
    <dgm:pt modelId="{31A88021-BC71-A84D-8D7A-BCAADAEFC4A5}" type="sibTrans" cxnId="{953A8B9B-3CF5-C04A-B68C-744E341C9948}">
      <dgm:prSet/>
      <dgm:spPr/>
      <dgm:t>
        <a:bodyPr/>
        <a:lstStyle/>
        <a:p>
          <a:endParaRPr lang="ru-RU"/>
        </a:p>
      </dgm:t>
    </dgm:pt>
    <dgm:pt modelId="{C609267B-6527-9C45-A039-57E452DD80B3}">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Да</a:t>
          </a:r>
        </a:p>
      </dgm:t>
    </dgm:pt>
    <dgm:pt modelId="{6051A98D-8643-B846-A19E-7F8F39C3390D}" type="parTrans" cxnId="{32F73B0C-6443-D447-8743-872CC9FD6668}">
      <dgm:prSet/>
      <dgm:spPr/>
      <dgm:t>
        <a:bodyPr/>
        <a:lstStyle/>
        <a:p>
          <a:endParaRPr lang="ru-RU"/>
        </a:p>
      </dgm:t>
    </dgm:pt>
    <dgm:pt modelId="{FCA7816F-5AB4-2F47-8C78-59E5537D9FD4}" type="sibTrans" cxnId="{32F73B0C-6443-D447-8743-872CC9FD6668}">
      <dgm:prSet/>
      <dgm:spPr/>
      <dgm:t>
        <a:bodyPr/>
        <a:lstStyle/>
        <a:p>
          <a:endParaRPr lang="ru-RU"/>
        </a:p>
      </dgm:t>
    </dgm:pt>
    <dgm:pt modelId="{D7C18B1D-A855-1F4E-BE2D-7ABB3EEF5A7D}">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Прибыль</a:t>
          </a:r>
        </a:p>
      </dgm:t>
    </dgm:pt>
    <dgm:pt modelId="{3B79D9CE-49F1-B041-8055-79CF3DEF2D83}" type="parTrans" cxnId="{6AD80666-117A-AE4C-94D0-2745020EEF2D}">
      <dgm:prSet/>
      <dgm:spPr/>
      <dgm:t>
        <a:bodyPr/>
        <a:lstStyle/>
        <a:p>
          <a:endParaRPr lang="ru-RU"/>
        </a:p>
      </dgm:t>
    </dgm:pt>
    <dgm:pt modelId="{97B42532-472E-8248-AA9D-C9D9E5BD753F}" type="sibTrans" cxnId="{6AD80666-117A-AE4C-94D0-2745020EEF2D}">
      <dgm:prSet/>
      <dgm:spPr/>
      <dgm:t>
        <a:bodyPr/>
        <a:lstStyle/>
        <a:p>
          <a:endParaRPr lang="ru-RU"/>
        </a:p>
      </dgm:t>
    </dgm:pt>
    <dgm:pt modelId="{F3FEBDCA-CC57-2C43-B9A9-9B6F73BD7455}">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Выручка и затраты отражаются по мере готовности</a:t>
          </a:r>
        </a:p>
      </dgm:t>
    </dgm:pt>
    <dgm:pt modelId="{1D4E416F-34CE-9742-82CC-5248FA67E9ED}" type="parTrans" cxnId="{66337F59-F3A7-254E-BB17-302E5684BB49}">
      <dgm:prSet/>
      <dgm:spPr/>
      <dgm:t>
        <a:bodyPr/>
        <a:lstStyle/>
        <a:p>
          <a:endParaRPr lang="ru-RU"/>
        </a:p>
      </dgm:t>
    </dgm:pt>
    <dgm:pt modelId="{73A7B304-A143-FE4F-8E1B-A74832277613}" type="sibTrans" cxnId="{66337F59-F3A7-254E-BB17-302E5684BB49}">
      <dgm:prSet/>
      <dgm:spPr/>
      <dgm:t>
        <a:bodyPr/>
        <a:lstStyle/>
        <a:p>
          <a:endParaRPr lang="ru-RU"/>
        </a:p>
      </dgm:t>
    </dgm:pt>
    <dgm:pt modelId="{F0E6A9AA-D686-8E46-8F3D-DE705E0A78CC}">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Убыток</a:t>
          </a:r>
        </a:p>
      </dgm:t>
    </dgm:pt>
    <dgm:pt modelId="{EFEA1F1B-F39C-2A4D-A7A1-B2E244F11E2B}" type="parTrans" cxnId="{10016D4E-A50B-EB4D-81B5-3A7CEAD4F669}">
      <dgm:prSet/>
      <dgm:spPr/>
      <dgm:t>
        <a:bodyPr/>
        <a:lstStyle/>
        <a:p>
          <a:endParaRPr lang="ru-RU"/>
        </a:p>
      </dgm:t>
    </dgm:pt>
    <dgm:pt modelId="{7B34715E-3E77-F44B-9401-1F116138BBF3}" type="sibTrans" cxnId="{10016D4E-A50B-EB4D-81B5-3A7CEAD4F669}">
      <dgm:prSet/>
      <dgm:spPr/>
      <dgm:t>
        <a:bodyPr/>
        <a:lstStyle/>
        <a:p>
          <a:endParaRPr lang="ru-RU"/>
        </a:p>
      </dgm:t>
    </dgm:pt>
    <dgm:pt modelId="{852838FC-FF89-4348-871F-F494FD376846}">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Выручка рассчитывается как процент от общей выручки по договору</a:t>
          </a:r>
        </a:p>
      </dgm:t>
    </dgm:pt>
    <dgm:pt modelId="{FD4AB23E-BD77-944F-B6AD-BA7798709AFE}" type="parTrans" cxnId="{2B78D265-367D-7F46-B3B1-71A7C3F057F1}">
      <dgm:prSet/>
      <dgm:spPr/>
      <dgm:t>
        <a:bodyPr/>
        <a:lstStyle/>
        <a:p>
          <a:endParaRPr lang="ru-RU"/>
        </a:p>
      </dgm:t>
    </dgm:pt>
    <dgm:pt modelId="{DF2229B7-FDD6-1746-AAAA-258DDF144A9A}" type="sibTrans" cxnId="{2B78D265-367D-7F46-B3B1-71A7C3F057F1}">
      <dgm:prSet/>
      <dgm:spPr/>
      <dgm:t>
        <a:bodyPr/>
        <a:lstStyle/>
        <a:p>
          <a:endParaRPr lang="ru-RU"/>
        </a:p>
      </dgm:t>
    </dgm:pt>
    <dgm:pt modelId="{3B4E394F-4AE6-9941-8F49-5ABF6E91D890}">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Себестоимость выполненных работ рассчитывается как расчетная величина между планируемым убытком и признанной выручкой</a:t>
          </a:r>
        </a:p>
      </dgm:t>
    </dgm:pt>
    <dgm:pt modelId="{EB8EE11B-0369-284C-8F60-1CAEFBC1AA01}" type="parTrans" cxnId="{D3A441F3-7ABF-1C47-BC19-9E03309DD4F8}">
      <dgm:prSet/>
      <dgm:spPr/>
      <dgm:t>
        <a:bodyPr/>
        <a:lstStyle/>
        <a:p>
          <a:endParaRPr lang="ru-RU"/>
        </a:p>
      </dgm:t>
    </dgm:pt>
    <dgm:pt modelId="{AF4B2A84-C98B-7A40-85C5-C454289F004E}" type="sibTrans" cxnId="{D3A441F3-7ABF-1C47-BC19-9E03309DD4F8}">
      <dgm:prSet/>
      <dgm:spPr/>
      <dgm:t>
        <a:bodyPr/>
        <a:lstStyle/>
        <a:p>
          <a:endParaRPr lang="ru-RU"/>
        </a:p>
      </dgm:t>
    </dgm:pt>
    <dgm:pt modelId="{C1A6695E-F5A8-FD47-8923-B72114C3CF4D}">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Убыток немедлнно признается в составе расходов</a:t>
          </a:r>
        </a:p>
      </dgm:t>
    </dgm:pt>
    <dgm:pt modelId="{285E9837-F5A9-1E41-9B62-EE1FF29F87BA}" type="parTrans" cxnId="{B1B372E0-3868-234F-93D0-95F391E314C0}">
      <dgm:prSet/>
      <dgm:spPr/>
      <dgm:t>
        <a:bodyPr/>
        <a:lstStyle/>
        <a:p>
          <a:endParaRPr lang="ru-RU"/>
        </a:p>
      </dgm:t>
    </dgm:pt>
    <dgm:pt modelId="{021CA0CC-ACC1-F345-AE07-00BF32BEC02B}" type="sibTrans" cxnId="{B1B372E0-3868-234F-93D0-95F391E314C0}">
      <dgm:prSet/>
      <dgm:spPr/>
      <dgm:t>
        <a:bodyPr/>
        <a:lstStyle/>
        <a:p>
          <a:endParaRPr lang="ru-RU"/>
        </a:p>
      </dgm:t>
    </dgm:pt>
    <dgm:pt modelId="{0EFB1F4A-8F9D-EE45-BB2D-E16EF0F04987}">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Нет</a:t>
          </a:r>
        </a:p>
      </dgm:t>
    </dgm:pt>
    <dgm:pt modelId="{957084D1-3E5F-FE40-B3ED-89F2C78FD27F}" type="parTrans" cxnId="{984B32F8-B443-5446-A505-68F32D67BF11}">
      <dgm:prSet/>
      <dgm:spPr/>
      <dgm:t>
        <a:bodyPr/>
        <a:lstStyle/>
        <a:p>
          <a:endParaRPr lang="ru-RU"/>
        </a:p>
      </dgm:t>
    </dgm:pt>
    <dgm:pt modelId="{F4B5DDB4-C6E2-9D48-96FB-9437F4E13DA6}" type="sibTrans" cxnId="{984B32F8-B443-5446-A505-68F32D67BF11}">
      <dgm:prSet/>
      <dgm:spPr/>
      <dgm:t>
        <a:bodyPr/>
        <a:lstStyle/>
        <a:p>
          <a:endParaRPr lang="ru-RU"/>
        </a:p>
      </dgm:t>
    </dgm:pt>
    <dgm:pt modelId="{49343D4E-0D30-E04D-963D-4DEBDC2E5281}">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Выручка признается в той степени, в которой будут возмещены понесенные по договору затраты</a:t>
          </a:r>
        </a:p>
      </dgm:t>
    </dgm:pt>
    <dgm:pt modelId="{CF39552A-FF32-EF48-A261-963F55F8F679}" type="parTrans" cxnId="{9082BEBF-AA75-4746-8CEE-F89FEB1CB38C}">
      <dgm:prSet/>
      <dgm:spPr/>
      <dgm:t>
        <a:bodyPr/>
        <a:lstStyle/>
        <a:p>
          <a:endParaRPr lang="ru-RU"/>
        </a:p>
      </dgm:t>
    </dgm:pt>
    <dgm:pt modelId="{5C18B4A8-0F6E-2B42-A5DA-CFDFC95DCD1C}" type="sibTrans" cxnId="{9082BEBF-AA75-4746-8CEE-F89FEB1CB38C}">
      <dgm:prSet/>
      <dgm:spPr/>
      <dgm:t>
        <a:bodyPr/>
        <a:lstStyle/>
        <a:p>
          <a:endParaRPr lang="ru-RU"/>
        </a:p>
      </dgm:t>
    </dgm:pt>
    <dgm:pt modelId="{EA11C887-157C-DD46-BA11-FB7E55CC1B67}">
      <dgm:prSet custT="1"/>
      <dgm:spPr>
        <a:solidFill>
          <a:schemeClr val="accent1">
            <a:lumMod val="40000"/>
            <a:lumOff val="60000"/>
          </a:schemeClr>
        </a:solidFill>
      </dgm:spPr>
      <dgm:t>
        <a:bodyPr/>
        <a:lstStyle/>
        <a:p>
          <a:r>
            <a:rPr lang="ru-RU" sz="1400" b="0">
              <a:solidFill>
                <a:schemeClr val="tx1"/>
              </a:solidFill>
              <a:latin typeface="Times New Roman" charset="0"/>
              <a:ea typeface="Times New Roman" charset="0"/>
              <a:cs typeface="Times New Roman" charset="0"/>
            </a:rPr>
            <a:t>Затраты необходимо признавать в период их возникновения</a:t>
          </a:r>
        </a:p>
      </dgm:t>
    </dgm:pt>
    <dgm:pt modelId="{CA723A69-D287-F54F-BD51-55DB2A5C4770}" type="parTrans" cxnId="{61DB3C87-D59C-5049-A825-8BBFAC1609EB}">
      <dgm:prSet/>
      <dgm:spPr/>
      <dgm:t>
        <a:bodyPr/>
        <a:lstStyle/>
        <a:p>
          <a:endParaRPr lang="ru-RU"/>
        </a:p>
      </dgm:t>
    </dgm:pt>
    <dgm:pt modelId="{6D87C59E-B201-3E4A-9EE6-4622286171F6}" type="sibTrans" cxnId="{61DB3C87-D59C-5049-A825-8BBFAC1609EB}">
      <dgm:prSet/>
      <dgm:spPr/>
      <dgm:t>
        <a:bodyPr/>
        <a:lstStyle/>
        <a:p>
          <a:endParaRPr lang="ru-RU"/>
        </a:p>
      </dgm:t>
    </dgm:pt>
    <dgm:pt modelId="{291E5469-AD2D-ED46-AF60-E094E0F26022}" type="pres">
      <dgm:prSet presAssocID="{008D280D-E983-A74F-8D20-43CDE595A208}" presName="hierChild1" presStyleCnt="0">
        <dgm:presLayoutVars>
          <dgm:orgChart val="1"/>
          <dgm:chPref val="1"/>
          <dgm:dir/>
          <dgm:animOne val="branch"/>
          <dgm:animLvl val="lvl"/>
          <dgm:resizeHandles/>
        </dgm:presLayoutVars>
      </dgm:prSet>
      <dgm:spPr/>
      <dgm:t>
        <a:bodyPr/>
        <a:lstStyle/>
        <a:p>
          <a:endParaRPr lang="ru-RU"/>
        </a:p>
      </dgm:t>
    </dgm:pt>
    <dgm:pt modelId="{4387B416-B1FA-8442-960E-13E9371EA08C}" type="pres">
      <dgm:prSet presAssocID="{2015CDEE-32FC-8941-A630-AC9EA3721C9C}" presName="hierRoot1" presStyleCnt="0">
        <dgm:presLayoutVars>
          <dgm:hierBranch val="init"/>
        </dgm:presLayoutVars>
      </dgm:prSet>
      <dgm:spPr/>
    </dgm:pt>
    <dgm:pt modelId="{E07E926D-0F88-BC4A-A48C-0CFB469CDD1F}" type="pres">
      <dgm:prSet presAssocID="{2015CDEE-32FC-8941-A630-AC9EA3721C9C}" presName="rootComposite1" presStyleCnt="0"/>
      <dgm:spPr/>
    </dgm:pt>
    <dgm:pt modelId="{212F6B3E-EC99-D04B-B281-158214650ED2}" type="pres">
      <dgm:prSet presAssocID="{2015CDEE-32FC-8941-A630-AC9EA3721C9C}" presName="rootText1" presStyleLbl="node0" presStyleIdx="0" presStyleCnt="1" custScaleX="366567">
        <dgm:presLayoutVars>
          <dgm:chPref val="3"/>
        </dgm:presLayoutVars>
      </dgm:prSet>
      <dgm:spPr/>
      <dgm:t>
        <a:bodyPr/>
        <a:lstStyle/>
        <a:p>
          <a:endParaRPr lang="ru-RU"/>
        </a:p>
      </dgm:t>
    </dgm:pt>
    <dgm:pt modelId="{D62BD578-E59A-9F41-8BB2-19956CC142A0}" type="pres">
      <dgm:prSet presAssocID="{2015CDEE-32FC-8941-A630-AC9EA3721C9C}" presName="rootConnector1" presStyleLbl="node1" presStyleIdx="0" presStyleCnt="0"/>
      <dgm:spPr/>
      <dgm:t>
        <a:bodyPr/>
        <a:lstStyle/>
        <a:p>
          <a:endParaRPr lang="ru-RU"/>
        </a:p>
      </dgm:t>
    </dgm:pt>
    <dgm:pt modelId="{4943CBE2-EFBF-E341-A7AC-3E717D008FA0}" type="pres">
      <dgm:prSet presAssocID="{2015CDEE-32FC-8941-A630-AC9EA3721C9C}" presName="hierChild2" presStyleCnt="0"/>
      <dgm:spPr/>
    </dgm:pt>
    <dgm:pt modelId="{5B605831-4CD9-944B-81BB-C016E8DBA18E}" type="pres">
      <dgm:prSet presAssocID="{6051A98D-8643-B846-A19E-7F8F39C3390D}" presName="Name37" presStyleLbl="parChTrans1D2" presStyleIdx="0" presStyleCnt="2"/>
      <dgm:spPr/>
      <dgm:t>
        <a:bodyPr/>
        <a:lstStyle/>
        <a:p>
          <a:endParaRPr lang="ru-RU"/>
        </a:p>
      </dgm:t>
    </dgm:pt>
    <dgm:pt modelId="{007188CA-0002-0041-B37B-16661B260018}" type="pres">
      <dgm:prSet presAssocID="{C609267B-6527-9C45-A039-57E452DD80B3}" presName="hierRoot2" presStyleCnt="0">
        <dgm:presLayoutVars>
          <dgm:hierBranch val="init"/>
        </dgm:presLayoutVars>
      </dgm:prSet>
      <dgm:spPr/>
    </dgm:pt>
    <dgm:pt modelId="{ACD62683-FE22-1E40-866B-C0A6CC447CF5}" type="pres">
      <dgm:prSet presAssocID="{C609267B-6527-9C45-A039-57E452DD80B3}" presName="rootComposite" presStyleCnt="0"/>
      <dgm:spPr/>
    </dgm:pt>
    <dgm:pt modelId="{01009E11-4855-184F-8434-50FA542D2997}" type="pres">
      <dgm:prSet presAssocID="{C609267B-6527-9C45-A039-57E452DD80B3}" presName="rootText" presStyleLbl="node2" presStyleIdx="0" presStyleCnt="2" custScaleX="73716" custScaleY="52971">
        <dgm:presLayoutVars>
          <dgm:chPref val="3"/>
        </dgm:presLayoutVars>
      </dgm:prSet>
      <dgm:spPr/>
      <dgm:t>
        <a:bodyPr/>
        <a:lstStyle/>
        <a:p>
          <a:endParaRPr lang="ru-RU"/>
        </a:p>
      </dgm:t>
    </dgm:pt>
    <dgm:pt modelId="{68BF1982-F3A6-D941-96D8-A889A12B730D}" type="pres">
      <dgm:prSet presAssocID="{C609267B-6527-9C45-A039-57E452DD80B3}" presName="rootConnector" presStyleLbl="node2" presStyleIdx="0" presStyleCnt="2"/>
      <dgm:spPr/>
      <dgm:t>
        <a:bodyPr/>
        <a:lstStyle/>
        <a:p>
          <a:endParaRPr lang="ru-RU"/>
        </a:p>
      </dgm:t>
    </dgm:pt>
    <dgm:pt modelId="{65B819C9-954C-D04B-9B18-B775C965A4F0}" type="pres">
      <dgm:prSet presAssocID="{C609267B-6527-9C45-A039-57E452DD80B3}" presName="hierChild4" presStyleCnt="0"/>
      <dgm:spPr/>
    </dgm:pt>
    <dgm:pt modelId="{8EF6EBE6-64E3-234F-9B32-A7D3EC6A9D07}" type="pres">
      <dgm:prSet presAssocID="{3B79D9CE-49F1-B041-8055-79CF3DEF2D83}" presName="Name37" presStyleLbl="parChTrans1D3" presStyleIdx="0" presStyleCnt="4"/>
      <dgm:spPr/>
      <dgm:t>
        <a:bodyPr/>
        <a:lstStyle/>
        <a:p>
          <a:endParaRPr lang="ru-RU"/>
        </a:p>
      </dgm:t>
    </dgm:pt>
    <dgm:pt modelId="{3D1B276B-A996-924D-AC1F-8F83751AAA1F}" type="pres">
      <dgm:prSet presAssocID="{D7C18B1D-A855-1F4E-BE2D-7ABB3EEF5A7D}" presName="hierRoot2" presStyleCnt="0">
        <dgm:presLayoutVars>
          <dgm:hierBranch val="init"/>
        </dgm:presLayoutVars>
      </dgm:prSet>
      <dgm:spPr/>
    </dgm:pt>
    <dgm:pt modelId="{F43617A7-8EAA-A34B-8603-648E4EF25138}" type="pres">
      <dgm:prSet presAssocID="{D7C18B1D-A855-1F4E-BE2D-7ABB3EEF5A7D}" presName="rootComposite" presStyleCnt="0"/>
      <dgm:spPr/>
    </dgm:pt>
    <dgm:pt modelId="{388BA256-E0EE-1647-A1B2-5B8F0FC43BA6}" type="pres">
      <dgm:prSet presAssocID="{D7C18B1D-A855-1F4E-BE2D-7ABB3EEF5A7D}" presName="rootText" presStyleLbl="node3" presStyleIdx="0" presStyleCnt="4" custScaleX="73716" custScaleY="52971">
        <dgm:presLayoutVars>
          <dgm:chPref val="3"/>
        </dgm:presLayoutVars>
      </dgm:prSet>
      <dgm:spPr/>
      <dgm:t>
        <a:bodyPr/>
        <a:lstStyle/>
        <a:p>
          <a:endParaRPr lang="ru-RU"/>
        </a:p>
      </dgm:t>
    </dgm:pt>
    <dgm:pt modelId="{9B80425F-778C-004B-A44F-848384F902A7}" type="pres">
      <dgm:prSet presAssocID="{D7C18B1D-A855-1F4E-BE2D-7ABB3EEF5A7D}" presName="rootConnector" presStyleLbl="node3" presStyleIdx="0" presStyleCnt="4"/>
      <dgm:spPr/>
      <dgm:t>
        <a:bodyPr/>
        <a:lstStyle/>
        <a:p>
          <a:endParaRPr lang="ru-RU"/>
        </a:p>
      </dgm:t>
    </dgm:pt>
    <dgm:pt modelId="{D72FB74B-62EC-4B47-BEA4-7D78EAF9D2CF}" type="pres">
      <dgm:prSet presAssocID="{D7C18B1D-A855-1F4E-BE2D-7ABB3EEF5A7D}" presName="hierChild4" presStyleCnt="0"/>
      <dgm:spPr/>
    </dgm:pt>
    <dgm:pt modelId="{17C9F11C-5ED6-8C48-B613-B6DBACDD1412}" type="pres">
      <dgm:prSet presAssocID="{1D4E416F-34CE-9742-82CC-5248FA67E9ED}" presName="Name37" presStyleLbl="parChTrans1D4" presStyleIdx="0" presStyleCnt="4"/>
      <dgm:spPr/>
      <dgm:t>
        <a:bodyPr/>
        <a:lstStyle/>
        <a:p>
          <a:endParaRPr lang="ru-RU"/>
        </a:p>
      </dgm:t>
    </dgm:pt>
    <dgm:pt modelId="{F49D9580-29CB-9F4B-B89D-F76ADF616DEF}" type="pres">
      <dgm:prSet presAssocID="{F3FEBDCA-CC57-2C43-B9A9-9B6F73BD7455}" presName="hierRoot2" presStyleCnt="0">
        <dgm:presLayoutVars>
          <dgm:hierBranch val="init"/>
        </dgm:presLayoutVars>
      </dgm:prSet>
      <dgm:spPr/>
    </dgm:pt>
    <dgm:pt modelId="{F92847D4-AD16-9543-BC89-B570EE6C9073}" type="pres">
      <dgm:prSet presAssocID="{F3FEBDCA-CC57-2C43-B9A9-9B6F73BD7455}" presName="rootComposite" presStyleCnt="0"/>
      <dgm:spPr/>
    </dgm:pt>
    <dgm:pt modelId="{73E8FC6D-768B-A948-B38B-A55F2D9A73D4}" type="pres">
      <dgm:prSet presAssocID="{F3FEBDCA-CC57-2C43-B9A9-9B6F73BD7455}" presName="rootText" presStyleLbl="node4" presStyleIdx="0" presStyleCnt="4" custScaleY="187205">
        <dgm:presLayoutVars>
          <dgm:chPref val="3"/>
        </dgm:presLayoutVars>
      </dgm:prSet>
      <dgm:spPr/>
      <dgm:t>
        <a:bodyPr/>
        <a:lstStyle/>
        <a:p>
          <a:endParaRPr lang="ru-RU"/>
        </a:p>
      </dgm:t>
    </dgm:pt>
    <dgm:pt modelId="{1A26F86B-7C03-7E45-8EF2-1612E81A74BF}" type="pres">
      <dgm:prSet presAssocID="{F3FEBDCA-CC57-2C43-B9A9-9B6F73BD7455}" presName="rootConnector" presStyleLbl="node4" presStyleIdx="0" presStyleCnt="4"/>
      <dgm:spPr/>
      <dgm:t>
        <a:bodyPr/>
        <a:lstStyle/>
        <a:p>
          <a:endParaRPr lang="ru-RU"/>
        </a:p>
      </dgm:t>
    </dgm:pt>
    <dgm:pt modelId="{822C4DD3-FD09-7B48-87BB-D44FDA00CE87}" type="pres">
      <dgm:prSet presAssocID="{F3FEBDCA-CC57-2C43-B9A9-9B6F73BD7455}" presName="hierChild4" presStyleCnt="0"/>
      <dgm:spPr/>
    </dgm:pt>
    <dgm:pt modelId="{FB3B5536-6AEF-FD4B-8679-0CD686DE80DE}" type="pres">
      <dgm:prSet presAssocID="{F3FEBDCA-CC57-2C43-B9A9-9B6F73BD7455}" presName="hierChild5" presStyleCnt="0"/>
      <dgm:spPr/>
    </dgm:pt>
    <dgm:pt modelId="{A6BEE0B0-17AC-AC4B-A887-25E86074CF09}" type="pres">
      <dgm:prSet presAssocID="{D7C18B1D-A855-1F4E-BE2D-7ABB3EEF5A7D}" presName="hierChild5" presStyleCnt="0"/>
      <dgm:spPr/>
    </dgm:pt>
    <dgm:pt modelId="{776DBF50-043B-E74F-8EF5-D88C6105951F}" type="pres">
      <dgm:prSet presAssocID="{EFEA1F1B-F39C-2A4D-A7A1-B2E244F11E2B}" presName="Name37" presStyleLbl="parChTrans1D3" presStyleIdx="1" presStyleCnt="4"/>
      <dgm:spPr/>
      <dgm:t>
        <a:bodyPr/>
        <a:lstStyle/>
        <a:p>
          <a:endParaRPr lang="ru-RU"/>
        </a:p>
      </dgm:t>
    </dgm:pt>
    <dgm:pt modelId="{086052B1-0F5A-9B48-AE24-EA3BF13C476D}" type="pres">
      <dgm:prSet presAssocID="{F0E6A9AA-D686-8E46-8F3D-DE705E0A78CC}" presName="hierRoot2" presStyleCnt="0">
        <dgm:presLayoutVars>
          <dgm:hierBranch val="init"/>
        </dgm:presLayoutVars>
      </dgm:prSet>
      <dgm:spPr/>
    </dgm:pt>
    <dgm:pt modelId="{1912E4F3-CE61-784A-9526-7548DC595B9E}" type="pres">
      <dgm:prSet presAssocID="{F0E6A9AA-D686-8E46-8F3D-DE705E0A78CC}" presName="rootComposite" presStyleCnt="0"/>
      <dgm:spPr/>
    </dgm:pt>
    <dgm:pt modelId="{EAD4E6CA-0CA7-D045-B15A-4C00EF8A7A2E}" type="pres">
      <dgm:prSet presAssocID="{F0E6A9AA-D686-8E46-8F3D-DE705E0A78CC}" presName="rootText" presStyleLbl="node3" presStyleIdx="1" presStyleCnt="4" custScaleX="73716" custScaleY="52971">
        <dgm:presLayoutVars>
          <dgm:chPref val="3"/>
        </dgm:presLayoutVars>
      </dgm:prSet>
      <dgm:spPr/>
      <dgm:t>
        <a:bodyPr/>
        <a:lstStyle/>
        <a:p>
          <a:endParaRPr lang="ru-RU"/>
        </a:p>
      </dgm:t>
    </dgm:pt>
    <dgm:pt modelId="{376E79DC-046D-884B-A2D9-446AA138555A}" type="pres">
      <dgm:prSet presAssocID="{F0E6A9AA-D686-8E46-8F3D-DE705E0A78CC}" presName="rootConnector" presStyleLbl="node3" presStyleIdx="1" presStyleCnt="4"/>
      <dgm:spPr/>
      <dgm:t>
        <a:bodyPr/>
        <a:lstStyle/>
        <a:p>
          <a:endParaRPr lang="ru-RU"/>
        </a:p>
      </dgm:t>
    </dgm:pt>
    <dgm:pt modelId="{3B43CE78-8B30-AA4E-9084-725A38C0E4CD}" type="pres">
      <dgm:prSet presAssocID="{F0E6A9AA-D686-8E46-8F3D-DE705E0A78CC}" presName="hierChild4" presStyleCnt="0"/>
      <dgm:spPr/>
    </dgm:pt>
    <dgm:pt modelId="{9812419F-4472-7046-885A-32A2BFF6DB39}" type="pres">
      <dgm:prSet presAssocID="{FD4AB23E-BD77-944F-B6AD-BA7798709AFE}" presName="Name37" presStyleLbl="parChTrans1D4" presStyleIdx="1" presStyleCnt="4"/>
      <dgm:spPr/>
      <dgm:t>
        <a:bodyPr/>
        <a:lstStyle/>
        <a:p>
          <a:endParaRPr lang="ru-RU"/>
        </a:p>
      </dgm:t>
    </dgm:pt>
    <dgm:pt modelId="{37FB87C8-E9EB-724A-89D5-E72FC8175F4E}" type="pres">
      <dgm:prSet presAssocID="{852838FC-FF89-4348-871F-F494FD376846}" presName="hierRoot2" presStyleCnt="0">
        <dgm:presLayoutVars>
          <dgm:hierBranch val="init"/>
        </dgm:presLayoutVars>
      </dgm:prSet>
      <dgm:spPr/>
    </dgm:pt>
    <dgm:pt modelId="{3D20D3D5-86D8-0F4F-86E7-E6585C2BAE5F}" type="pres">
      <dgm:prSet presAssocID="{852838FC-FF89-4348-871F-F494FD376846}" presName="rootComposite" presStyleCnt="0"/>
      <dgm:spPr/>
    </dgm:pt>
    <dgm:pt modelId="{E409D8A5-29D4-C24C-ACE1-0F0F34BD8652}" type="pres">
      <dgm:prSet presAssocID="{852838FC-FF89-4348-871F-F494FD376846}" presName="rootText" presStyleLbl="node4" presStyleIdx="1" presStyleCnt="4" custScaleY="153221">
        <dgm:presLayoutVars>
          <dgm:chPref val="3"/>
        </dgm:presLayoutVars>
      </dgm:prSet>
      <dgm:spPr/>
      <dgm:t>
        <a:bodyPr/>
        <a:lstStyle/>
        <a:p>
          <a:endParaRPr lang="ru-RU"/>
        </a:p>
      </dgm:t>
    </dgm:pt>
    <dgm:pt modelId="{A98116C0-24F3-4E48-88F2-A1F62BE4EA38}" type="pres">
      <dgm:prSet presAssocID="{852838FC-FF89-4348-871F-F494FD376846}" presName="rootConnector" presStyleLbl="node4" presStyleIdx="1" presStyleCnt="4"/>
      <dgm:spPr/>
      <dgm:t>
        <a:bodyPr/>
        <a:lstStyle/>
        <a:p>
          <a:endParaRPr lang="ru-RU"/>
        </a:p>
      </dgm:t>
    </dgm:pt>
    <dgm:pt modelId="{7CAA8E7B-6C9A-B94B-BAC0-FE8615FBB414}" type="pres">
      <dgm:prSet presAssocID="{852838FC-FF89-4348-871F-F494FD376846}" presName="hierChild4" presStyleCnt="0"/>
      <dgm:spPr/>
    </dgm:pt>
    <dgm:pt modelId="{80DB0313-6F13-B549-B7D5-448C62C7336A}" type="pres">
      <dgm:prSet presAssocID="{852838FC-FF89-4348-871F-F494FD376846}" presName="hierChild5" presStyleCnt="0"/>
      <dgm:spPr/>
    </dgm:pt>
    <dgm:pt modelId="{A9D65BC4-9719-6843-B21A-0A47F9FCA109}" type="pres">
      <dgm:prSet presAssocID="{EB8EE11B-0369-284C-8F60-1CAEFBC1AA01}" presName="Name37" presStyleLbl="parChTrans1D4" presStyleIdx="2" presStyleCnt="4"/>
      <dgm:spPr/>
      <dgm:t>
        <a:bodyPr/>
        <a:lstStyle/>
        <a:p>
          <a:endParaRPr lang="ru-RU"/>
        </a:p>
      </dgm:t>
    </dgm:pt>
    <dgm:pt modelId="{E482EBA3-CD73-AD4B-B5EA-E5013CA2898B}" type="pres">
      <dgm:prSet presAssocID="{3B4E394F-4AE6-9941-8F49-5ABF6E91D890}" presName="hierRoot2" presStyleCnt="0">
        <dgm:presLayoutVars>
          <dgm:hierBranch val="init"/>
        </dgm:presLayoutVars>
      </dgm:prSet>
      <dgm:spPr/>
    </dgm:pt>
    <dgm:pt modelId="{432210CE-1585-0745-BBC0-11285B2F6C1F}" type="pres">
      <dgm:prSet presAssocID="{3B4E394F-4AE6-9941-8F49-5ABF6E91D890}" presName="rootComposite" presStyleCnt="0"/>
      <dgm:spPr/>
    </dgm:pt>
    <dgm:pt modelId="{5914A375-45BA-A24C-A920-A96023B99C14}" type="pres">
      <dgm:prSet presAssocID="{3B4E394F-4AE6-9941-8F49-5ABF6E91D890}" presName="rootText" presStyleLbl="node4" presStyleIdx="2" presStyleCnt="4" custScaleX="135295" custScaleY="246814">
        <dgm:presLayoutVars>
          <dgm:chPref val="3"/>
        </dgm:presLayoutVars>
      </dgm:prSet>
      <dgm:spPr/>
      <dgm:t>
        <a:bodyPr/>
        <a:lstStyle/>
        <a:p>
          <a:endParaRPr lang="ru-RU"/>
        </a:p>
      </dgm:t>
    </dgm:pt>
    <dgm:pt modelId="{EB57AE61-2378-B642-9425-3DBC17A824FA}" type="pres">
      <dgm:prSet presAssocID="{3B4E394F-4AE6-9941-8F49-5ABF6E91D890}" presName="rootConnector" presStyleLbl="node4" presStyleIdx="2" presStyleCnt="4"/>
      <dgm:spPr/>
      <dgm:t>
        <a:bodyPr/>
        <a:lstStyle/>
        <a:p>
          <a:endParaRPr lang="ru-RU"/>
        </a:p>
      </dgm:t>
    </dgm:pt>
    <dgm:pt modelId="{C0C38A17-5496-DB47-A4A7-583E17F0DC18}" type="pres">
      <dgm:prSet presAssocID="{3B4E394F-4AE6-9941-8F49-5ABF6E91D890}" presName="hierChild4" presStyleCnt="0"/>
      <dgm:spPr/>
    </dgm:pt>
    <dgm:pt modelId="{46C01AAF-AC42-4847-ADF1-908C4FFD086C}" type="pres">
      <dgm:prSet presAssocID="{3B4E394F-4AE6-9941-8F49-5ABF6E91D890}" presName="hierChild5" presStyleCnt="0"/>
      <dgm:spPr/>
    </dgm:pt>
    <dgm:pt modelId="{6C40884F-C619-BA4B-8324-615888DE4965}" type="pres">
      <dgm:prSet presAssocID="{285E9837-F5A9-1E41-9B62-EE1FF29F87BA}" presName="Name37" presStyleLbl="parChTrans1D4" presStyleIdx="3" presStyleCnt="4"/>
      <dgm:spPr/>
      <dgm:t>
        <a:bodyPr/>
        <a:lstStyle/>
        <a:p>
          <a:endParaRPr lang="ru-RU"/>
        </a:p>
      </dgm:t>
    </dgm:pt>
    <dgm:pt modelId="{FB417C1D-2F83-5A48-8D93-25FDE7D8E7DE}" type="pres">
      <dgm:prSet presAssocID="{C1A6695E-F5A8-FD47-8923-B72114C3CF4D}" presName="hierRoot2" presStyleCnt="0">
        <dgm:presLayoutVars>
          <dgm:hierBranch val="init"/>
        </dgm:presLayoutVars>
      </dgm:prSet>
      <dgm:spPr/>
    </dgm:pt>
    <dgm:pt modelId="{49D6C4AE-2EC9-8A4D-87A4-DA6C6D4E066F}" type="pres">
      <dgm:prSet presAssocID="{C1A6695E-F5A8-FD47-8923-B72114C3CF4D}" presName="rootComposite" presStyleCnt="0"/>
      <dgm:spPr/>
    </dgm:pt>
    <dgm:pt modelId="{6D8BEECA-DDAE-494A-9F3B-C3CD254A701B}" type="pres">
      <dgm:prSet presAssocID="{C1A6695E-F5A8-FD47-8923-B72114C3CF4D}" presName="rootText" presStyleLbl="node4" presStyleIdx="3" presStyleCnt="4" custScaleX="225641">
        <dgm:presLayoutVars>
          <dgm:chPref val="3"/>
        </dgm:presLayoutVars>
      </dgm:prSet>
      <dgm:spPr/>
      <dgm:t>
        <a:bodyPr/>
        <a:lstStyle/>
        <a:p>
          <a:endParaRPr lang="ru-RU"/>
        </a:p>
      </dgm:t>
    </dgm:pt>
    <dgm:pt modelId="{5A68C885-DEEA-724A-BCD7-F5FD503583B1}" type="pres">
      <dgm:prSet presAssocID="{C1A6695E-F5A8-FD47-8923-B72114C3CF4D}" presName="rootConnector" presStyleLbl="node4" presStyleIdx="3" presStyleCnt="4"/>
      <dgm:spPr/>
      <dgm:t>
        <a:bodyPr/>
        <a:lstStyle/>
        <a:p>
          <a:endParaRPr lang="ru-RU"/>
        </a:p>
      </dgm:t>
    </dgm:pt>
    <dgm:pt modelId="{D3624CD1-971F-C34F-AF76-7808F5A5F656}" type="pres">
      <dgm:prSet presAssocID="{C1A6695E-F5A8-FD47-8923-B72114C3CF4D}" presName="hierChild4" presStyleCnt="0"/>
      <dgm:spPr/>
    </dgm:pt>
    <dgm:pt modelId="{22C23184-A208-194C-AC9A-D4EB0BDC4030}" type="pres">
      <dgm:prSet presAssocID="{C1A6695E-F5A8-FD47-8923-B72114C3CF4D}" presName="hierChild5" presStyleCnt="0"/>
      <dgm:spPr/>
    </dgm:pt>
    <dgm:pt modelId="{7D955F00-F38B-3B4C-82D1-BED1D534E933}" type="pres">
      <dgm:prSet presAssocID="{F0E6A9AA-D686-8E46-8F3D-DE705E0A78CC}" presName="hierChild5" presStyleCnt="0"/>
      <dgm:spPr/>
    </dgm:pt>
    <dgm:pt modelId="{34F6262B-B658-1748-8F11-55AA4DAB5366}" type="pres">
      <dgm:prSet presAssocID="{C609267B-6527-9C45-A039-57E452DD80B3}" presName="hierChild5" presStyleCnt="0"/>
      <dgm:spPr/>
    </dgm:pt>
    <dgm:pt modelId="{935816E4-4CCA-5645-9E7A-D1E573E70C48}" type="pres">
      <dgm:prSet presAssocID="{957084D1-3E5F-FE40-B3ED-89F2C78FD27F}" presName="Name37" presStyleLbl="parChTrans1D2" presStyleIdx="1" presStyleCnt="2"/>
      <dgm:spPr/>
      <dgm:t>
        <a:bodyPr/>
        <a:lstStyle/>
        <a:p>
          <a:endParaRPr lang="ru-RU"/>
        </a:p>
      </dgm:t>
    </dgm:pt>
    <dgm:pt modelId="{6978A312-F9F3-A946-AAE0-5664177C3444}" type="pres">
      <dgm:prSet presAssocID="{0EFB1F4A-8F9D-EE45-BB2D-E16EF0F04987}" presName="hierRoot2" presStyleCnt="0">
        <dgm:presLayoutVars>
          <dgm:hierBranch val="init"/>
        </dgm:presLayoutVars>
      </dgm:prSet>
      <dgm:spPr/>
    </dgm:pt>
    <dgm:pt modelId="{448C9517-C527-2149-9609-85F2ECC0B023}" type="pres">
      <dgm:prSet presAssocID="{0EFB1F4A-8F9D-EE45-BB2D-E16EF0F04987}" presName="rootComposite" presStyleCnt="0"/>
      <dgm:spPr/>
    </dgm:pt>
    <dgm:pt modelId="{2DE9C20C-5273-FB4F-B930-56553C14EAE8}" type="pres">
      <dgm:prSet presAssocID="{0EFB1F4A-8F9D-EE45-BB2D-E16EF0F04987}" presName="rootText" presStyleLbl="node2" presStyleIdx="1" presStyleCnt="2" custScaleX="73716" custScaleY="52971">
        <dgm:presLayoutVars>
          <dgm:chPref val="3"/>
        </dgm:presLayoutVars>
      </dgm:prSet>
      <dgm:spPr/>
      <dgm:t>
        <a:bodyPr/>
        <a:lstStyle/>
        <a:p>
          <a:endParaRPr lang="ru-RU"/>
        </a:p>
      </dgm:t>
    </dgm:pt>
    <dgm:pt modelId="{6BA48085-198A-584E-B192-03AD5F33E04E}" type="pres">
      <dgm:prSet presAssocID="{0EFB1F4A-8F9D-EE45-BB2D-E16EF0F04987}" presName="rootConnector" presStyleLbl="node2" presStyleIdx="1" presStyleCnt="2"/>
      <dgm:spPr/>
      <dgm:t>
        <a:bodyPr/>
        <a:lstStyle/>
        <a:p>
          <a:endParaRPr lang="ru-RU"/>
        </a:p>
      </dgm:t>
    </dgm:pt>
    <dgm:pt modelId="{7EA54FEC-C318-C84A-B6AB-D2AD22B48DF2}" type="pres">
      <dgm:prSet presAssocID="{0EFB1F4A-8F9D-EE45-BB2D-E16EF0F04987}" presName="hierChild4" presStyleCnt="0"/>
      <dgm:spPr/>
    </dgm:pt>
    <dgm:pt modelId="{372A8C30-9301-1049-8C30-DF99C2F4C853}" type="pres">
      <dgm:prSet presAssocID="{CF39552A-FF32-EF48-A261-963F55F8F679}" presName="Name37" presStyleLbl="parChTrans1D3" presStyleIdx="2" presStyleCnt="4"/>
      <dgm:spPr/>
      <dgm:t>
        <a:bodyPr/>
        <a:lstStyle/>
        <a:p>
          <a:endParaRPr lang="ru-RU"/>
        </a:p>
      </dgm:t>
    </dgm:pt>
    <dgm:pt modelId="{E0DFA770-486C-464A-A6C5-2DC3C339C35A}" type="pres">
      <dgm:prSet presAssocID="{49343D4E-0D30-E04D-963D-4DEBDC2E5281}" presName="hierRoot2" presStyleCnt="0">
        <dgm:presLayoutVars>
          <dgm:hierBranch val="init"/>
        </dgm:presLayoutVars>
      </dgm:prSet>
      <dgm:spPr/>
    </dgm:pt>
    <dgm:pt modelId="{96339664-B186-D248-9B68-C777C3D76FC8}" type="pres">
      <dgm:prSet presAssocID="{49343D4E-0D30-E04D-963D-4DEBDC2E5281}" presName="rootComposite" presStyleCnt="0"/>
      <dgm:spPr/>
    </dgm:pt>
    <dgm:pt modelId="{5E25D8C3-1767-6048-9D35-B009F394B855}" type="pres">
      <dgm:prSet presAssocID="{49343D4E-0D30-E04D-963D-4DEBDC2E5281}" presName="rootText" presStyleLbl="node3" presStyleIdx="2" presStyleCnt="4" custScaleX="111029" custScaleY="241614">
        <dgm:presLayoutVars>
          <dgm:chPref val="3"/>
        </dgm:presLayoutVars>
      </dgm:prSet>
      <dgm:spPr/>
      <dgm:t>
        <a:bodyPr/>
        <a:lstStyle/>
        <a:p>
          <a:endParaRPr lang="ru-RU"/>
        </a:p>
      </dgm:t>
    </dgm:pt>
    <dgm:pt modelId="{D5FA326E-D5AB-424E-8AE5-52E352C880FA}" type="pres">
      <dgm:prSet presAssocID="{49343D4E-0D30-E04D-963D-4DEBDC2E5281}" presName="rootConnector" presStyleLbl="node3" presStyleIdx="2" presStyleCnt="4"/>
      <dgm:spPr/>
      <dgm:t>
        <a:bodyPr/>
        <a:lstStyle/>
        <a:p>
          <a:endParaRPr lang="ru-RU"/>
        </a:p>
      </dgm:t>
    </dgm:pt>
    <dgm:pt modelId="{9417B220-02D6-DF49-BAE8-C5037481CC95}" type="pres">
      <dgm:prSet presAssocID="{49343D4E-0D30-E04D-963D-4DEBDC2E5281}" presName="hierChild4" presStyleCnt="0"/>
      <dgm:spPr/>
    </dgm:pt>
    <dgm:pt modelId="{2E3EC33F-A6F8-7048-9C7F-AEBBE864F3B0}" type="pres">
      <dgm:prSet presAssocID="{49343D4E-0D30-E04D-963D-4DEBDC2E5281}" presName="hierChild5" presStyleCnt="0"/>
      <dgm:spPr/>
    </dgm:pt>
    <dgm:pt modelId="{7D783E72-6CC1-F94F-8DFB-7C2C86A860D7}" type="pres">
      <dgm:prSet presAssocID="{CA723A69-D287-F54F-BD51-55DB2A5C4770}" presName="Name37" presStyleLbl="parChTrans1D3" presStyleIdx="3" presStyleCnt="4"/>
      <dgm:spPr/>
      <dgm:t>
        <a:bodyPr/>
        <a:lstStyle/>
        <a:p>
          <a:endParaRPr lang="ru-RU"/>
        </a:p>
      </dgm:t>
    </dgm:pt>
    <dgm:pt modelId="{B394C818-C89F-0249-83AF-3809CEB46B8C}" type="pres">
      <dgm:prSet presAssocID="{EA11C887-157C-DD46-BA11-FB7E55CC1B67}" presName="hierRoot2" presStyleCnt="0">
        <dgm:presLayoutVars>
          <dgm:hierBranch val="init"/>
        </dgm:presLayoutVars>
      </dgm:prSet>
      <dgm:spPr/>
    </dgm:pt>
    <dgm:pt modelId="{8D0FAE17-DC73-5545-9EF2-AA07FA593943}" type="pres">
      <dgm:prSet presAssocID="{EA11C887-157C-DD46-BA11-FB7E55CC1B67}" presName="rootComposite" presStyleCnt="0"/>
      <dgm:spPr/>
    </dgm:pt>
    <dgm:pt modelId="{92C1963E-85AD-9F44-B058-E01424A93FCE}" type="pres">
      <dgm:prSet presAssocID="{EA11C887-157C-DD46-BA11-FB7E55CC1B67}" presName="rootText" presStyleLbl="node3" presStyleIdx="3" presStyleCnt="4" custScaleX="138147" custScaleY="157337">
        <dgm:presLayoutVars>
          <dgm:chPref val="3"/>
        </dgm:presLayoutVars>
      </dgm:prSet>
      <dgm:spPr/>
      <dgm:t>
        <a:bodyPr/>
        <a:lstStyle/>
        <a:p>
          <a:endParaRPr lang="ru-RU"/>
        </a:p>
      </dgm:t>
    </dgm:pt>
    <dgm:pt modelId="{88C97F79-5D96-5A4C-BB3D-C931A9F34BF2}" type="pres">
      <dgm:prSet presAssocID="{EA11C887-157C-DD46-BA11-FB7E55CC1B67}" presName="rootConnector" presStyleLbl="node3" presStyleIdx="3" presStyleCnt="4"/>
      <dgm:spPr/>
      <dgm:t>
        <a:bodyPr/>
        <a:lstStyle/>
        <a:p>
          <a:endParaRPr lang="ru-RU"/>
        </a:p>
      </dgm:t>
    </dgm:pt>
    <dgm:pt modelId="{B3F215C4-7231-F144-8156-C23472BC789F}" type="pres">
      <dgm:prSet presAssocID="{EA11C887-157C-DD46-BA11-FB7E55CC1B67}" presName="hierChild4" presStyleCnt="0"/>
      <dgm:spPr/>
    </dgm:pt>
    <dgm:pt modelId="{A30508F1-280E-4446-AFF3-164AC20C4D90}" type="pres">
      <dgm:prSet presAssocID="{EA11C887-157C-DD46-BA11-FB7E55CC1B67}" presName="hierChild5" presStyleCnt="0"/>
      <dgm:spPr/>
    </dgm:pt>
    <dgm:pt modelId="{4DE0BD92-D461-D547-AFCD-F217AC87B72D}" type="pres">
      <dgm:prSet presAssocID="{0EFB1F4A-8F9D-EE45-BB2D-E16EF0F04987}" presName="hierChild5" presStyleCnt="0"/>
      <dgm:spPr/>
    </dgm:pt>
    <dgm:pt modelId="{57C530B2-D3B9-E24F-A48A-60F637C177C2}" type="pres">
      <dgm:prSet presAssocID="{2015CDEE-32FC-8941-A630-AC9EA3721C9C}" presName="hierChild3" presStyleCnt="0"/>
      <dgm:spPr/>
    </dgm:pt>
  </dgm:ptLst>
  <dgm:cxnLst>
    <dgm:cxn modelId="{E51D4063-2E0F-D04A-8EA3-BE21419FE055}" type="presOf" srcId="{F0E6A9AA-D686-8E46-8F3D-DE705E0A78CC}" destId="{EAD4E6CA-0CA7-D045-B15A-4C00EF8A7A2E}" srcOrd="0" destOrd="0" presId="urn:microsoft.com/office/officeart/2005/8/layout/orgChart1"/>
    <dgm:cxn modelId="{9C8BBB21-2173-1E4B-84B4-B01181A62DB4}" type="presOf" srcId="{49343D4E-0D30-E04D-963D-4DEBDC2E5281}" destId="{5E25D8C3-1767-6048-9D35-B009F394B855}" srcOrd="0" destOrd="0" presId="urn:microsoft.com/office/officeart/2005/8/layout/orgChart1"/>
    <dgm:cxn modelId="{2B78D265-367D-7F46-B3B1-71A7C3F057F1}" srcId="{F0E6A9AA-D686-8E46-8F3D-DE705E0A78CC}" destId="{852838FC-FF89-4348-871F-F494FD376846}" srcOrd="0" destOrd="0" parTransId="{FD4AB23E-BD77-944F-B6AD-BA7798709AFE}" sibTransId="{DF2229B7-FDD6-1746-AAAA-258DDF144A9A}"/>
    <dgm:cxn modelId="{75D3D5E3-17C0-E34E-8813-049838CE00E8}" type="presOf" srcId="{3B4E394F-4AE6-9941-8F49-5ABF6E91D890}" destId="{EB57AE61-2378-B642-9425-3DBC17A824FA}" srcOrd="1" destOrd="0" presId="urn:microsoft.com/office/officeart/2005/8/layout/orgChart1"/>
    <dgm:cxn modelId="{6AD80666-117A-AE4C-94D0-2745020EEF2D}" srcId="{C609267B-6527-9C45-A039-57E452DD80B3}" destId="{D7C18B1D-A855-1F4E-BE2D-7ABB3EEF5A7D}" srcOrd="0" destOrd="0" parTransId="{3B79D9CE-49F1-B041-8055-79CF3DEF2D83}" sibTransId="{97B42532-472E-8248-AA9D-C9D9E5BD753F}"/>
    <dgm:cxn modelId="{90121C19-E54D-B84B-AB52-F8C2DF941C09}" type="presOf" srcId="{CA723A69-D287-F54F-BD51-55DB2A5C4770}" destId="{7D783E72-6CC1-F94F-8DFB-7C2C86A860D7}" srcOrd="0" destOrd="0" presId="urn:microsoft.com/office/officeart/2005/8/layout/orgChart1"/>
    <dgm:cxn modelId="{98ED1D47-BC91-4C40-9541-AF4782A7317B}" type="presOf" srcId="{C1A6695E-F5A8-FD47-8923-B72114C3CF4D}" destId="{5A68C885-DEEA-724A-BCD7-F5FD503583B1}" srcOrd="1" destOrd="0" presId="urn:microsoft.com/office/officeart/2005/8/layout/orgChart1"/>
    <dgm:cxn modelId="{AB1C3DF1-168F-874F-9E5D-7D093F779D00}" type="presOf" srcId="{2015CDEE-32FC-8941-A630-AC9EA3721C9C}" destId="{D62BD578-E59A-9F41-8BB2-19956CC142A0}" srcOrd="1" destOrd="0" presId="urn:microsoft.com/office/officeart/2005/8/layout/orgChart1"/>
    <dgm:cxn modelId="{6512AA2B-306A-F944-92E9-DE6A79454CDE}" type="presOf" srcId="{C609267B-6527-9C45-A039-57E452DD80B3}" destId="{01009E11-4855-184F-8434-50FA542D2997}" srcOrd="0" destOrd="0" presId="urn:microsoft.com/office/officeart/2005/8/layout/orgChart1"/>
    <dgm:cxn modelId="{B1B372E0-3868-234F-93D0-95F391E314C0}" srcId="{F0E6A9AA-D686-8E46-8F3D-DE705E0A78CC}" destId="{C1A6695E-F5A8-FD47-8923-B72114C3CF4D}" srcOrd="2" destOrd="0" parTransId="{285E9837-F5A9-1E41-9B62-EE1FF29F87BA}" sibTransId="{021CA0CC-ACC1-F345-AE07-00BF32BEC02B}"/>
    <dgm:cxn modelId="{FB800E77-5743-F441-8A4C-8259D7C68997}" type="presOf" srcId="{2015CDEE-32FC-8941-A630-AC9EA3721C9C}" destId="{212F6B3E-EC99-D04B-B281-158214650ED2}" srcOrd="0" destOrd="0" presId="urn:microsoft.com/office/officeart/2005/8/layout/orgChart1"/>
    <dgm:cxn modelId="{9D6BC7AE-0DC1-2A4E-9E51-26ADDA05C879}" type="presOf" srcId="{EB8EE11B-0369-284C-8F60-1CAEFBC1AA01}" destId="{A9D65BC4-9719-6843-B21A-0A47F9FCA109}" srcOrd="0" destOrd="0" presId="urn:microsoft.com/office/officeart/2005/8/layout/orgChart1"/>
    <dgm:cxn modelId="{67BC314B-4F5D-994A-8EE6-BD50372E1FFC}" type="presOf" srcId="{852838FC-FF89-4348-871F-F494FD376846}" destId="{A98116C0-24F3-4E48-88F2-A1F62BE4EA38}" srcOrd="1" destOrd="0" presId="urn:microsoft.com/office/officeart/2005/8/layout/orgChart1"/>
    <dgm:cxn modelId="{C37994F2-B8D8-4A46-B1CF-82DF556D54CD}" type="presOf" srcId="{6051A98D-8643-B846-A19E-7F8F39C3390D}" destId="{5B605831-4CD9-944B-81BB-C016E8DBA18E}" srcOrd="0" destOrd="0" presId="urn:microsoft.com/office/officeart/2005/8/layout/orgChart1"/>
    <dgm:cxn modelId="{C910A28F-8E9B-B54C-900A-2F7D2EAB036A}" type="presOf" srcId="{0EFB1F4A-8F9D-EE45-BB2D-E16EF0F04987}" destId="{2DE9C20C-5273-FB4F-B930-56553C14EAE8}" srcOrd="0" destOrd="0" presId="urn:microsoft.com/office/officeart/2005/8/layout/orgChart1"/>
    <dgm:cxn modelId="{9082BEBF-AA75-4746-8CEE-F89FEB1CB38C}" srcId="{0EFB1F4A-8F9D-EE45-BB2D-E16EF0F04987}" destId="{49343D4E-0D30-E04D-963D-4DEBDC2E5281}" srcOrd="0" destOrd="0" parTransId="{CF39552A-FF32-EF48-A261-963F55F8F679}" sibTransId="{5C18B4A8-0F6E-2B42-A5DA-CFDFC95DCD1C}"/>
    <dgm:cxn modelId="{FF752384-B566-4F49-90AF-5108E26708A7}" type="presOf" srcId="{D7C18B1D-A855-1F4E-BE2D-7ABB3EEF5A7D}" destId="{9B80425F-778C-004B-A44F-848384F902A7}" srcOrd="1" destOrd="0" presId="urn:microsoft.com/office/officeart/2005/8/layout/orgChart1"/>
    <dgm:cxn modelId="{5C831D54-9D4B-F044-8F34-4F41C6215079}" type="presOf" srcId="{F3FEBDCA-CC57-2C43-B9A9-9B6F73BD7455}" destId="{1A26F86B-7C03-7E45-8EF2-1612E81A74BF}" srcOrd="1" destOrd="0" presId="urn:microsoft.com/office/officeart/2005/8/layout/orgChart1"/>
    <dgm:cxn modelId="{E2177FE1-7211-AD41-A1BF-73A109A55D17}" type="presOf" srcId="{1D4E416F-34CE-9742-82CC-5248FA67E9ED}" destId="{17C9F11C-5ED6-8C48-B613-B6DBACDD1412}" srcOrd="0" destOrd="0" presId="urn:microsoft.com/office/officeart/2005/8/layout/orgChart1"/>
    <dgm:cxn modelId="{61DB3C87-D59C-5049-A825-8BBFAC1609EB}" srcId="{0EFB1F4A-8F9D-EE45-BB2D-E16EF0F04987}" destId="{EA11C887-157C-DD46-BA11-FB7E55CC1B67}" srcOrd="1" destOrd="0" parTransId="{CA723A69-D287-F54F-BD51-55DB2A5C4770}" sibTransId="{6D87C59E-B201-3E4A-9EE6-4622286171F6}"/>
    <dgm:cxn modelId="{7DBD628D-2EF6-6D4B-BB12-A87CC47337F6}" type="presOf" srcId="{D7C18B1D-A855-1F4E-BE2D-7ABB3EEF5A7D}" destId="{388BA256-E0EE-1647-A1B2-5B8F0FC43BA6}" srcOrd="0" destOrd="0" presId="urn:microsoft.com/office/officeart/2005/8/layout/orgChart1"/>
    <dgm:cxn modelId="{D3A441F3-7ABF-1C47-BC19-9E03309DD4F8}" srcId="{F0E6A9AA-D686-8E46-8F3D-DE705E0A78CC}" destId="{3B4E394F-4AE6-9941-8F49-5ABF6E91D890}" srcOrd="1" destOrd="0" parTransId="{EB8EE11B-0369-284C-8F60-1CAEFBC1AA01}" sibTransId="{AF4B2A84-C98B-7A40-85C5-C454289F004E}"/>
    <dgm:cxn modelId="{66337F59-F3A7-254E-BB17-302E5684BB49}" srcId="{D7C18B1D-A855-1F4E-BE2D-7ABB3EEF5A7D}" destId="{F3FEBDCA-CC57-2C43-B9A9-9B6F73BD7455}" srcOrd="0" destOrd="0" parTransId="{1D4E416F-34CE-9742-82CC-5248FA67E9ED}" sibTransId="{73A7B304-A143-FE4F-8E1B-A74832277613}"/>
    <dgm:cxn modelId="{02C1E32F-264E-1946-846E-C55F8ECE7DA2}" type="presOf" srcId="{EFEA1F1B-F39C-2A4D-A7A1-B2E244F11E2B}" destId="{776DBF50-043B-E74F-8EF5-D88C6105951F}" srcOrd="0" destOrd="0" presId="urn:microsoft.com/office/officeart/2005/8/layout/orgChart1"/>
    <dgm:cxn modelId="{2C674629-E354-2D42-A68B-45D88B6EAC88}" type="presOf" srcId="{49343D4E-0D30-E04D-963D-4DEBDC2E5281}" destId="{D5FA326E-D5AB-424E-8AE5-52E352C880FA}" srcOrd="1" destOrd="0" presId="urn:microsoft.com/office/officeart/2005/8/layout/orgChart1"/>
    <dgm:cxn modelId="{B410A2C8-D615-5449-8283-B1E1F95B60C4}" type="presOf" srcId="{CF39552A-FF32-EF48-A261-963F55F8F679}" destId="{372A8C30-9301-1049-8C30-DF99C2F4C853}" srcOrd="0" destOrd="0" presId="urn:microsoft.com/office/officeart/2005/8/layout/orgChart1"/>
    <dgm:cxn modelId="{D1BABD99-C565-4243-A1EF-A3BBA7771705}" type="presOf" srcId="{008D280D-E983-A74F-8D20-43CDE595A208}" destId="{291E5469-AD2D-ED46-AF60-E094E0F26022}" srcOrd="0" destOrd="0" presId="urn:microsoft.com/office/officeart/2005/8/layout/orgChart1"/>
    <dgm:cxn modelId="{10016D4E-A50B-EB4D-81B5-3A7CEAD4F669}" srcId="{C609267B-6527-9C45-A039-57E452DD80B3}" destId="{F0E6A9AA-D686-8E46-8F3D-DE705E0A78CC}" srcOrd="1" destOrd="0" parTransId="{EFEA1F1B-F39C-2A4D-A7A1-B2E244F11E2B}" sibTransId="{7B34715E-3E77-F44B-9401-1F116138BBF3}"/>
    <dgm:cxn modelId="{130A57ED-F5DE-F44A-9B3F-6F7908C1CC7E}" type="presOf" srcId="{EA11C887-157C-DD46-BA11-FB7E55CC1B67}" destId="{88C97F79-5D96-5A4C-BB3D-C931A9F34BF2}" srcOrd="1" destOrd="0" presId="urn:microsoft.com/office/officeart/2005/8/layout/orgChart1"/>
    <dgm:cxn modelId="{32C530AB-6A3A-7D4F-AD1E-09D3A09661BB}" type="presOf" srcId="{C609267B-6527-9C45-A039-57E452DD80B3}" destId="{68BF1982-F3A6-D941-96D8-A889A12B730D}" srcOrd="1" destOrd="0" presId="urn:microsoft.com/office/officeart/2005/8/layout/orgChart1"/>
    <dgm:cxn modelId="{953A8B9B-3CF5-C04A-B68C-744E341C9948}" srcId="{008D280D-E983-A74F-8D20-43CDE595A208}" destId="{2015CDEE-32FC-8941-A630-AC9EA3721C9C}" srcOrd="0" destOrd="0" parTransId="{B253D8AD-3D96-B947-9CC0-15B9EA035A73}" sibTransId="{31A88021-BC71-A84D-8D7A-BCAADAEFC4A5}"/>
    <dgm:cxn modelId="{F5470427-2C6A-584F-A44A-B6BC49298E08}" type="presOf" srcId="{F3FEBDCA-CC57-2C43-B9A9-9B6F73BD7455}" destId="{73E8FC6D-768B-A948-B38B-A55F2D9A73D4}" srcOrd="0" destOrd="0" presId="urn:microsoft.com/office/officeart/2005/8/layout/orgChart1"/>
    <dgm:cxn modelId="{1EDC3E99-9A60-B843-BCE7-8FE2A09D0BD6}" type="presOf" srcId="{EA11C887-157C-DD46-BA11-FB7E55CC1B67}" destId="{92C1963E-85AD-9F44-B058-E01424A93FCE}" srcOrd="0" destOrd="0" presId="urn:microsoft.com/office/officeart/2005/8/layout/orgChart1"/>
    <dgm:cxn modelId="{82D376AE-649F-3D43-AA4E-DD5867224E6C}" type="presOf" srcId="{C1A6695E-F5A8-FD47-8923-B72114C3CF4D}" destId="{6D8BEECA-DDAE-494A-9F3B-C3CD254A701B}" srcOrd="0" destOrd="0" presId="urn:microsoft.com/office/officeart/2005/8/layout/orgChart1"/>
    <dgm:cxn modelId="{984B32F8-B443-5446-A505-68F32D67BF11}" srcId="{2015CDEE-32FC-8941-A630-AC9EA3721C9C}" destId="{0EFB1F4A-8F9D-EE45-BB2D-E16EF0F04987}" srcOrd="1" destOrd="0" parTransId="{957084D1-3E5F-FE40-B3ED-89F2C78FD27F}" sibTransId="{F4B5DDB4-C6E2-9D48-96FB-9437F4E13DA6}"/>
    <dgm:cxn modelId="{AC70B361-F419-D14D-A6F3-D089C1E15C7B}" type="presOf" srcId="{285E9837-F5A9-1E41-9B62-EE1FF29F87BA}" destId="{6C40884F-C619-BA4B-8324-615888DE4965}" srcOrd="0" destOrd="0" presId="urn:microsoft.com/office/officeart/2005/8/layout/orgChart1"/>
    <dgm:cxn modelId="{457A9D0B-CE81-8E47-924D-1E774A5DD678}" type="presOf" srcId="{0EFB1F4A-8F9D-EE45-BB2D-E16EF0F04987}" destId="{6BA48085-198A-584E-B192-03AD5F33E04E}" srcOrd="1" destOrd="0" presId="urn:microsoft.com/office/officeart/2005/8/layout/orgChart1"/>
    <dgm:cxn modelId="{35994F1B-8365-2D40-B664-7EAE03C0D68C}" type="presOf" srcId="{852838FC-FF89-4348-871F-F494FD376846}" destId="{E409D8A5-29D4-C24C-ACE1-0F0F34BD8652}" srcOrd="0" destOrd="0" presId="urn:microsoft.com/office/officeart/2005/8/layout/orgChart1"/>
    <dgm:cxn modelId="{67DAF663-140C-0C49-B2EB-1FC7875030E1}" type="presOf" srcId="{3B4E394F-4AE6-9941-8F49-5ABF6E91D890}" destId="{5914A375-45BA-A24C-A920-A96023B99C14}" srcOrd="0" destOrd="0" presId="urn:microsoft.com/office/officeart/2005/8/layout/orgChart1"/>
    <dgm:cxn modelId="{BD76384D-DF32-A34E-85C4-422095F5CDD7}" type="presOf" srcId="{F0E6A9AA-D686-8E46-8F3D-DE705E0A78CC}" destId="{376E79DC-046D-884B-A2D9-446AA138555A}" srcOrd="1" destOrd="0" presId="urn:microsoft.com/office/officeart/2005/8/layout/orgChart1"/>
    <dgm:cxn modelId="{32F73B0C-6443-D447-8743-872CC9FD6668}" srcId="{2015CDEE-32FC-8941-A630-AC9EA3721C9C}" destId="{C609267B-6527-9C45-A039-57E452DD80B3}" srcOrd="0" destOrd="0" parTransId="{6051A98D-8643-B846-A19E-7F8F39C3390D}" sibTransId="{FCA7816F-5AB4-2F47-8C78-59E5537D9FD4}"/>
    <dgm:cxn modelId="{65394BEC-3018-BA4D-8562-9BAFA13DC995}" type="presOf" srcId="{FD4AB23E-BD77-944F-B6AD-BA7798709AFE}" destId="{9812419F-4472-7046-885A-32A2BFF6DB39}" srcOrd="0" destOrd="0" presId="urn:microsoft.com/office/officeart/2005/8/layout/orgChart1"/>
    <dgm:cxn modelId="{62F0326B-0654-844B-9A00-CBAEEEEAE1D0}" type="presOf" srcId="{957084D1-3E5F-FE40-B3ED-89F2C78FD27F}" destId="{935816E4-4CCA-5645-9E7A-D1E573E70C48}" srcOrd="0" destOrd="0" presId="urn:microsoft.com/office/officeart/2005/8/layout/orgChart1"/>
    <dgm:cxn modelId="{344337E4-7991-4547-82CE-E1A2CCA907FB}" type="presOf" srcId="{3B79D9CE-49F1-B041-8055-79CF3DEF2D83}" destId="{8EF6EBE6-64E3-234F-9B32-A7D3EC6A9D07}" srcOrd="0" destOrd="0" presId="urn:microsoft.com/office/officeart/2005/8/layout/orgChart1"/>
    <dgm:cxn modelId="{91FEDAF1-4BBA-FA47-BF99-A0A3C09BBB77}" type="presParOf" srcId="{291E5469-AD2D-ED46-AF60-E094E0F26022}" destId="{4387B416-B1FA-8442-960E-13E9371EA08C}" srcOrd="0" destOrd="0" presId="urn:microsoft.com/office/officeart/2005/8/layout/orgChart1"/>
    <dgm:cxn modelId="{094E4D06-C94C-E146-866F-8746CFA03583}" type="presParOf" srcId="{4387B416-B1FA-8442-960E-13E9371EA08C}" destId="{E07E926D-0F88-BC4A-A48C-0CFB469CDD1F}" srcOrd="0" destOrd="0" presId="urn:microsoft.com/office/officeart/2005/8/layout/orgChart1"/>
    <dgm:cxn modelId="{C17CD9B0-E151-CB46-90E5-8B2D76343F78}" type="presParOf" srcId="{E07E926D-0F88-BC4A-A48C-0CFB469CDD1F}" destId="{212F6B3E-EC99-D04B-B281-158214650ED2}" srcOrd="0" destOrd="0" presId="urn:microsoft.com/office/officeart/2005/8/layout/orgChart1"/>
    <dgm:cxn modelId="{77A69C96-DAAF-9D4F-96B7-61AAE7464D3F}" type="presParOf" srcId="{E07E926D-0F88-BC4A-A48C-0CFB469CDD1F}" destId="{D62BD578-E59A-9F41-8BB2-19956CC142A0}" srcOrd="1" destOrd="0" presId="urn:microsoft.com/office/officeart/2005/8/layout/orgChart1"/>
    <dgm:cxn modelId="{B04BE5D4-7BA2-C044-8C59-A63BFF8F06E8}" type="presParOf" srcId="{4387B416-B1FA-8442-960E-13E9371EA08C}" destId="{4943CBE2-EFBF-E341-A7AC-3E717D008FA0}" srcOrd="1" destOrd="0" presId="urn:microsoft.com/office/officeart/2005/8/layout/orgChart1"/>
    <dgm:cxn modelId="{9C0B50DD-361F-6F41-9855-15BD32C61472}" type="presParOf" srcId="{4943CBE2-EFBF-E341-A7AC-3E717D008FA0}" destId="{5B605831-4CD9-944B-81BB-C016E8DBA18E}" srcOrd="0" destOrd="0" presId="urn:microsoft.com/office/officeart/2005/8/layout/orgChart1"/>
    <dgm:cxn modelId="{3E681188-1A6A-7A46-B9EA-0FCA0D7CEB06}" type="presParOf" srcId="{4943CBE2-EFBF-E341-A7AC-3E717D008FA0}" destId="{007188CA-0002-0041-B37B-16661B260018}" srcOrd="1" destOrd="0" presId="urn:microsoft.com/office/officeart/2005/8/layout/orgChart1"/>
    <dgm:cxn modelId="{6F13D854-9CE5-E042-BC0A-B61E430AD466}" type="presParOf" srcId="{007188CA-0002-0041-B37B-16661B260018}" destId="{ACD62683-FE22-1E40-866B-C0A6CC447CF5}" srcOrd="0" destOrd="0" presId="urn:microsoft.com/office/officeart/2005/8/layout/orgChart1"/>
    <dgm:cxn modelId="{161A7D2A-0734-FE46-8F54-7C158F4EAA53}" type="presParOf" srcId="{ACD62683-FE22-1E40-866B-C0A6CC447CF5}" destId="{01009E11-4855-184F-8434-50FA542D2997}" srcOrd="0" destOrd="0" presId="urn:microsoft.com/office/officeart/2005/8/layout/orgChart1"/>
    <dgm:cxn modelId="{E2A0A574-4376-6141-A2E3-B5742CC4F717}" type="presParOf" srcId="{ACD62683-FE22-1E40-866B-C0A6CC447CF5}" destId="{68BF1982-F3A6-D941-96D8-A889A12B730D}" srcOrd="1" destOrd="0" presId="urn:microsoft.com/office/officeart/2005/8/layout/orgChart1"/>
    <dgm:cxn modelId="{FA93A7E6-B696-C948-9D25-41C3BE07B5F1}" type="presParOf" srcId="{007188CA-0002-0041-B37B-16661B260018}" destId="{65B819C9-954C-D04B-9B18-B775C965A4F0}" srcOrd="1" destOrd="0" presId="urn:microsoft.com/office/officeart/2005/8/layout/orgChart1"/>
    <dgm:cxn modelId="{AA280615-6151-8A47-AA44-0EA4606BACD6}" type="presParOf" srcId="{65B819C9-954C-D04B-9B18-B775C965A4F0}" destId="{8EF6EBE6-64E3-234F-9B32-A7D3EC6A9D07}" srcOrd="0" destOrd="0" presId="urn:microsoft.com/office/officeart/2005/8/layout/orgChart1"/>
    <dgm:cxn modelId="{418B76A9-FECC-CE48-84C5-40D4708CA2C3}" type="presParOf" srcId="{65B819C9-954C-D04B-9B18-B775C965A4F0}" destId="{3D1B276B-A996-924D-AC1F-8F83751AAA1F}" srcOrd="1" destOrd="0" presId="urn:microsoft.com/office/officeart/2005/8/layout/orgChart1"/>
    <dgm:cxn modelId="{7F6B2EFC-F1ED-0E47-A94E-1121ACEF9511}" type="presParOf" srcId="{3D1B276B-A996-924D-AC1F-8F83751AAA1F}" destId="{F43617A7-8EAA-A34B-8603-648E4EF25138}" srcOrd="0" destOrd="0" presId="urn:microsoft.com/office/officeart/2005/8/layout/orgChart1"/>
    <dgm:cxn modelId="{56910B98-D0E4-5E40-9779-0BC645875BFE}" type="presParOf" srcId="{F43617A7-8EAA-A34B-8603-648E4EF25138}" destId="{388BA256-E0EE-1647-A1B2-5B8F0FC43BA6}" srcOrd="0" destOrd="0" presId="urn:microsoft.com/office/officeart/2005/8/layout/orgChart1"/>
    <dgm:cxn modelId="{A06755BF-5882-074E-93F3-F07FB60BE199}" type="presParOf" srcId="{F43617A7-8EAA-A34B-8603-648E4EF25138}" destId="{9B80425F-778C-004B-A44F-848384F902A7}" srcOrd="1" destOrd="0" presId="urn:microsoft.com/office/officeart/2005/8/layout/orgChart1"/>
    <dgm:cxn modelId="{15482E59-C3CE-C74A-92DA-902225528D1F}" type="presParOf" srcId="{3D1B276B-A996-924D-AC1F-8F83751AAA1F}" destId="{D72FB74B-62EC-4B47-BEA4-7D78EAF9D2CF}" srcOrd="1" destOrd="0" presId="urn:microsoft.com/office/officeart/2005/8/layout/orgChart1"/>
    <dgm:cxn modelId="{554AFFC0-34CA-9545-9222-CE07DCF0C531}" type="presParOf" srcId="{D72FB74B-62EC-4B47-BEA4-7D78EAF9D2CF}" destId="{17C9F11C-5ED6-8C48-B613-B6DBACDD1412}" srcOrd="0" destOrd="0" presId="urn:microsoft.com/office/officeart/2005/8/layout/orgChart1"/>
    <dgm:cxn modelId="{CDFD1A9A-DA00-7348-BBE7-27CB2194A787}" type="presParOf" srcId="{D72FB74B-62EC-4B47-BEA4-7D78EAF9D2CF}" destId="{F49D9580-29CB-9F4B-B89D-F76ADF616DEF}" srcOrd="1" destOrd="0" presId="urn:microsoft.com/office/officeart/2005/8/layout/orgChart1"/>
    <dgm:cxn modelId="{8308FB2A-FACA-1B41-95FB-A6B54E1C9DB5}" type="presParOf" srcId="{F49D9580-29CB-9F4B-B89D-F76ADF616DEF}" destId="{F92847D4-AD16-9543-BC89-B570EE6C9073}" srcOrd="0" destOrd="0" presId="urn:microsoft.com/office/officeart/2005/8/layout/orgChart1"/>
    <dgm:cxn modelId="{AE3F06C5-7FE2-DB41-AFF2-D603EE1D6E53}" type="presParOf" srcId="{F92847D4-AD16-9543-BC89-B570EE6C9073}" destId="{73E8FC6D-768B-A948-B38B-A55F2D9A73D4}" srcOrd="0" destOrd="0" presId="urn:microsoft.com/office/officeart/2005/8/layout/orgChart1"/>
    <dgm:cxn modelId="{C441AB00-A490-FE4E-9841-52B444C78118}" type="presParOf" srcId="{F92847D4-AD16-9543-BC89-B570EE6C9073}" destId="{1A26F86B-7C03-7E45-8EF2-1612E81A74BF}" srcOrd="1" destOrd="0" presId="urn:microsoft.com/office/officeart/2005/8/layout/orgChart1"/>
    <dgm:cxn modelId="{B5EA2EE3-E72A-CB43-883B-1EAC806C8693}" type="presParOf" srcId="{F49D9580-29CB-9F4B-B89D-F76ADF616DEF}" destId="{822C4DD3-FD09-7B48-87BB-D44FDA00CE87}" srcOrd="1" destOrd="0" presId="urn:microsoft.com/office/officeart/2005/8/layout/orgChart1"/>
    <dgm:cxn modelId="{BBDBDDA7-1504-434B-B56D-C1551D97847B}" type="presParOf" srcId="{F49D9580-29CB-9F4B-B89D-F76ADF616DEF}" destId="{FB3B5536-6AEF-FD4B-8679-0CD686DE80DE}" srcOrd="2" destOrd="0" presId="urn:microsoft.com/office/officeart/2005/8/layout/orgChart1"/>
    <dgm:cxn modelId="{79D29848-98C3-8343-9657-71194A7021B6}" type="presParOf" srcId="{3D1B276B-A996-924D-AC1F-8F83751AAA1F}" destId="{A6BEE0B0-17AC-AC4B-A887-25E86074CF09}" srcOrd="2" destOrd="0" presId="urn:microsoft.com/office/officeart/2005/8/layout/orgChart1"/>
    <dgm:cxn modelId="{BBEE1029-C293-6C41-A01B-54B378B54EFC}" type="presParOf" srcId="{65B819C9-954C-D04B-9B18-B775C965A4F0}" destId="{776DBF50-043B-E74F-8EF5-D88C6105951F}" srcOrd="2" destOrd="0" presId="urn:microsoft.com/office/officeart/2005/8/layout/orgChart1"/>
    <dgm:cxn modelId="{B5788016-D551-B949-820E-6C76F83DBEBE}" type="presParOf" srcId="{65B819C9-954C-D04B-9B18-B775C965A4F0}" destId="{086052B1-0F5A-9B48-AE24-EA3BF13C476D}" srcOrd="3" destOrd="0" presId="urn:microsoft.com/office/officeart/2005/8/layout/orgChart1"/>
    <dgm:cxn modelId="{9058EB91-F30C-9346-9820-9F06EF2FB9A1}" type="presParOf" srcId="{086052B1-0F5A-9B48-AE24-EA3BF13C476D}" destId="{1912E4F3-CE61-784A-9526-7548DC595B9E}" srcOrd="0" destOrd="0" presId="urn:microsoft.com/office/officeart/2005/8/layout/orgChart1"/>
    <dgm:cxn modelId="{6290FCEA-0A36-0941-9D10-9E0BD0DD06A5}" type="presParOf" srcId="{1912E4F3-CE61-784A-9526-7548DC595B9E}" destId="{EAD4E6CA-0CA7-D045-B15A-4C00EF8A7A2E}" srcOrd="0" destOrd="0" presId="urn:microsoft.com/office/officeart/2005/8/layout/orgChart1"/>
    <dgm:cxn modelId="{467C8824-2FB6-A046-86F1-4CE18F71FC32}" type="presParOf" srcId="{1912E4F3-CE61-784A-9526-7548DC595B9E}" destId="{376E79DC-046D-884B-A2D9-446AA138555A}" srcOrd="1" destOrd="0" presId="urn:microsoft.com/office/officeart/2005/8/layout/orgChart1"/>
    <dgm:cxn modelId="{D5B5D3D5-35A4-AD4D-9BDF-9AF6AEB62043}" type="presParOf" srcId="{086052B1-0F5A-9B48-AE24-EA3BF13C476D}" destId="{3B43CE78-8B30-AA4E-9084-725A38C0E4CD}" srcOrd="1" destOrd="0" presId="urn:microsoft.com/office/officeart/2005/8/layout/orgChart1"/>
    <dgm:cxn modelId="{7C71B702-5E6B-FB45-ABAB-B8410281DF4E}" type="presParOf" srcId="{3B43CE78-8B30-AA4E-9084-725A38C0E4CD}" destId="{9812419F-4472-7046-885A-32A2BFF6DB39}" srcOrd="0" destOrd="0" presId="urn:microsoft.com/office/officeart/2005/8/layout/orgChart1"/>
    <dgm:cxn modelId="{81EB1F7A-B492-C147-AF95-58C226A2F941}" type="presParOf" srcId="{3B43CE78-8B30-AA4E-9084-725A38C0E4CD}" destId="{37FB87C8-E9EB-724A-89D5-E72FC8175F4E}" srcOrd="1" destOrd="0" presId="urn:microsoft.com/office/officeart/2005/8/layout/orgChart1"/>
    <dgm:cxn modelId="{C04C100E-6C50-5D43-ACDC-CC95546C0584}" type="presParOf" srcId="{37FB87C8-E9EB-724A-89D5-E72FC8175F4E}" destId="{3D20D3D5-86D8-0F4F-86E7-E6585C2BAE5F}" srcOrd="0" destOrd="0" presId="urn:microsoft.com/office/officeart/2005/8/layout/orgChart1"/>
    <dgm:cxn modelId="{B4E1AB3F-F052-2C4F-A2C7-ED9A67CC988B}" type="presParOf" srcId="{3D20D3D5-86D8-0F4F-86E7-E6585C2BAE5F}" destId="{E409D8A5-29D4-C24C-ACE1-0F0F34BD8652}" srcOrd="0" destOrd="0" presId="urn:microsoft.com/office/officeart/2005/8/layout/orgChart1"/>
    <dgm:cxn modelId="{EBDC6F75-F988-1F4E-B21A-1A6006375CF8}" type="presParOf" srcId="{3D20D3D5-86D8-0F4F-86E7-E6585C2BAE5F}" destId="{A98116C0-24F3-4E48-88F2-A1F62BE4EA38}" srcOrd="1" destOrd="0" presId="urn:microsoft.com/office/officeart/2005/8/layout/orgChart1"/>
    <dgm:cxn modelId="{939D315D-EEB7-4B42-A7D0-692782D1B970}" type="presParOf" srcId="{37FB87C8-E9EB-724A-89D5-E72FC8175F4E}" destId="{7CAA8E7B-6C9A-B94B-BAC0-FE8615FBB414}" srcOrd="1" destOrd="0" presId="urn:microsoft.com/office/officeart/2005/8/layout/orgChart1"/>
    <dgm:cxn modelId="{2C743A87-9EF1-B14F-9057-B54130CA95BF}" type="presParOf" srcId="{37FB87C8-E9EB-724A-89D5-E72FC8175F4E}" destId="{80DB0313-6F13-B549-B7D5-448C62C7336A}" srcOrd="2" destOrd="0" presId="urn:microsoft.com/office/officeart/2005/8/layout/orgChart1"/>
    <dgm:cxn modelId="{F4E0BE5D-E597-0246-B900-455B5BCC184C}" type="presParOf" srcId="{3B43CE78-8B30-AA4E-9084-725A38C0E4CD}" destId="{A9D65BC4-9719-6843-B21A-0A47F9FCA109}" srcOrd="2" destOrd="0" presId="urn:microsoft.com/office/officeart/2005/8/layout/orgChart1"/>
    <dgm:cxn modelId="{84D33CA5-D515-1943-ACF5-16D8BA561791}" type="presParOf" srcId="{3B43CE78-8B30-AA4E-9084-725A38C0E4CD}" destId="{E482EBA3-CD73-AD4B-B5EA-E5013CA2898B}" srcOrd="3" destOrd="0" presId="urn:microsoft.com/office/officeart/2005/8/layout/orgChart1"/>
    <dgm:cxn modelId="{2947DF53-4138-6A42-BAA6-2E8FEE607E3D}" type="presParOf" srcId="{E482EBA3-CD73-AD4B-B5EA-E5013CA2898B}" destId="{432210CE-1585-0745-BBC0-11285B2F6C1F}" srcOrd="0" destOrd="0" presId="urn:microsoft.com/office/officeart/2005/8/layout/orgChart1"/>
    <dgm:cxn modelId="{64807BCE-EFC6-4F4F-B03C-2A907DC4E098}" type="presParOf" srcId="{432210CE-1585-0745-BBC0-11285B2F6C1F}" destId="{5914A375-45BA-A24C-A920-A96023B99C14}" srcOrd="0" destOrd="0" presId="urn:microsoft.com/office/officeart/2005/8/layout/orgChart1"/>
    <dgm:cxn modelId="{5D1E34FF-2FA9-694A-B64D-EDD488C6BCC4}" type="presParOf" srcId="{432210CE-1585-0745-BBC0-11285B2F6C1F}" destId="{EB57AE61-2378-B642-9425-3DBC17A824FA}" srcOrd="1" destOrd="0" presId="urn:microsoft.com/office/officeart/2005/8/layout/orgChart1"/>
    <dgm:cxn modelId="{C54FE388-5424-3944-985E-54D61D4810E0}" type="presParOf" srcId="{E482EBA3-CD73-AD4B-B5EA-E5013CA2898B}" destId="{C0C38A17-5496-DB47-A4A7-583E17F0DC18}" srcOrd="1" destOrd="0" presId="urn:microsoft.com/office/officeart/2005/8/layout/orgChart1"/>
    <dgm:cxn modelId="{1473D1AB-A642-2640-A110-463F27B0AC39}" type="presParOf" srcId="{E482EBA3-CD73-AD4B-B5EA-E5013CA2898B}" destId="{46C01AAF-AC42-4847-ADF1-908C4FFD086C}" srcOrd="2" destOrd="0" presId="urn:microsoft.com/office/officeart/2005/8/layout/orgChart1"/>
    <dgm:cxn modelId="{DA79268F-CCB5-F240-9C22-4FF3DE59CFF3}" type="presParOf" srcId="{3B43CE78-8B30-AA4E-9084-725A38C0E4CD}" destId="{6C40884F-C619-BA4B-8324-615888DE4965}" srcOrd="4" destOrd="0" presId="urn:microsoft.com/office/officeart/2005/8/layout/orgChart1"/>
    <dgm:cxn modelId="{53199254-A683-7C4D-B9F3-35A06B7768BD}" type="presParOf" srcId="{3B43CE78-8B30-AA4E-9084-725A38C0E4CD}" destId="{FB417C1D-2F83-5A48-8D93-25FDE7D8E7DE}" srcOrd="5" destOrd="0" presId="urn:microsoft.com/office/officeart/2005/8/layout/orgChart1"/>
    <dgm:cxn modelId="{768B1DC6-CD0E-294F-8BB5-DF8445FC3463}" type="presParOf" srcId="{FB417C1D-2F83-5A48-8D93-25FDE7D8E7DE}" destId="{49D6C4AE-2EC9-8A4D-87A4-DA6C6D4E066F}" srcOrd="0" destOrd="0" presId="urn:microsoft.com/office/officeart/2005/8/layout/orgChart1"/>
    <dgm:cxn modelId="{87B1DD8E-8C9A-D347-9C68-8F2604067C98}" type="presParOf" srcId="{49D6C4AE-2EC9-8A4D-87A4-DA6C6D4E066F}" destId="{6D8BEECA-DDAE-494A-9F3B-C3CD254A701B}" srcOrd="0" destOrd="0" presId="urn:microsoft.com/office/officeart/2005/8/layout/orgChart1"/>
    <dgm:cxn modelId="{4F0F667F-5287-DD43-9418-962303615171}" type="presParOf" srcId="{49D6C4AE-2EC9-8A4D-87A4-DA6C6D4E066F}" destId="{5A68C885-DEEA-724A-BCD7-F5FD503583B1}" srcOrd="1" destOrd="0" presId="urn:microsoft.com/office/officeart/2005/8/layout/orgChart1"/>
    <dgm:cxn modelId="{0A334935-47B1-EF4F-8BE3-CD9AD266D242}" type="presParOf" srcId="{FB417C1D-2F83-5A48-8D93-25FDE7D8E7DE}" destId="{D3624CD1-971F-C34F-AF76-7808F5A5F656}" srcOrd="1" destOrd="0" presId="urn:microsoft.com/office/officeart/2005/8/layout/orgChart1"/>
    <dgm:cxn modelId="{1BCBA57C-6379-7A4A-95B5-39BCC18A27A6}" type="presParOf" srcId="{FB417C1D-2F83-5A48-8D93-25FDE7D8E7DE}" destId="{22C23184-A208-194C-AC9A-D4EB0BDC4030}" srcOrd="2" destOrd="0" presId="urn:microsoft.com/office/officeart/2005/8/layout/orgChart1"/>
    <dgm:cxn modelId="{3EA0E1CE-CB6A-B249-A8F8-54878921474D}" type="presParOf" srcId="{086052B1-0F5A-9B48-AE24-EA3BF13C476D}" destId="{7D955F00-F38B-3B4C-82D1-BED1D534E933}" srcOrd="2" destOrd="0" presId="urn:microsoft.com/office/officeart/2005/8/layout/orgChart1"/>
    <dgm:cxn modelId="{BDD916A2-DDE1-0F43-8976-2871FC18CA4F}" type="presParOf" srcId="{007188CA-0002-0041-B37B-16661B260018}" destId="{34F6262B-B658-1748-8F11-55AA4DAB5366}" srcOrd="2" destOrd="0" presId="urn:microsoft.com/office/officeart/2005/8/layout/orgChart1"/>
    <dgm:cxn modelId="{7A705D0A-8FE4-D142-B67B-0B55CBCFE2B4}" type="presParOf" srcId="{4943CBE2-EFBF-E341-A7AC-3E717D008FA0}" destId="{935816E4-4CCA-5645-9E7A-D1E573E70C48}" srcOrd="2" destOrd="0" presId="urn:microsoft.com/office/officeart/2005/8/layout/orgChart1"/>
    <dgm:cxn modelId="{F9C02EE0-E9ED-6643-9D11-FFA493B140D5}" type="presParOf" srcId="{4943CBE2-EFBF-E341-A7AC-3E717D008FA0}" destId="{6978A312-F9F3-A946-AAE0-5664177C3444}" srcOrd="3" destOrd="0" presId="urn:microsoft.com/office/officeart/2005/8/layout/orgChart1"/>
    <dgm:cxn modelId="{04A94219-C870-1943-8834-AD5CBFF46F3F}" type="presParOf" srcId="{6978A312-F9F3-A946-AAE0-5664177C3444}" destId="{448C9517-C527-2149-9609-85F2ECC0B023}" srcOrd="0" destOrd="0" presId="urn:microsoft.com/office/officeart/2005/8/layout/orgChart1"/>
    <dgm:cxn modelId="{027B5031-9EC6-3E49-A3C8-5C53019C9180}" type="presParOf" srcId="{448C9517-C527-2149-9609-85F2ECC0B023}" destId="{2DE9C20C-5273-FB4F-B930-56553C14EAE8}" srcOrd="0" destOrd="0" presId="urn:microsoft.com/office/officeart/2005/8/layout/orgChart1"/>
    <dgm:cxn modelId="{6EA76249-027B-4D43-866C-5C84D6C3B792}" type="presParOf" srcId="{448C9517-C527-2149-9609-85F2ECC0B023}" destId="{6BA48085-198A-584E-B192-03AD5F33E04E}" srcOrd="1" destOrd="0" presId="urn:microsoft.com/office/officeart/2005/8/layout/orgChart1"/>
    <dgm:cxn modelId="{92EB04BA-FC74-5B41-8229-12162F940EDE}" type="presParOf" srcId="{6978A312-F9F3-A946-AAE0-5664177C3444}" destId="{7EA54FEC-C318-C84A-B6AB-D2AD22B48DF2}" srcOrd="1" destOrd="0" presId="urn:microsoft.com/office/officeart/2005/8/layout/orgChart1"/>
    <dgm:cxn modelId="{A1A03F95-009C-534F-B284-5A1149CB20D3}" type="presParOf" srcId="{7EA54FEC-C318-C84A-B6AB-D2AD22B48DF2}" destId="{372A8C30-9301-1049-8C30-DF99C2F4C853}" srcOrd="0" destOrd="0" presId="urn:microsoft.com/office/officeart/2005/8/layout/orgChart1"/>
    <dgm:cxn modelId="{6ED0053F-C926-2647-8CF0-4A1D76504F36}" type="presParOf" srcId="{7EA54FEC-C318-C84A-B6AB-D2AD22B48DF2}" destId="{E0DFA770-486C-464A-A6C5-2DC3C339C35A}" srcOrd="1" destOrd="0" presId="urn:microsoft.com/office/officeart/2005/8/layout/orgChart1"/>
    <dgm:cxn modelId="{855AD573-581C-A645-B247-5BC2C4733107}" type="presParOf" srcId="{E0DFA770-486C-464A-A6C5-2DC3C339C35A}" destId="{96339664-B186-D248-9B68-C777C3D76FC8}" srcOrd="0" destOrd="0" presId="urn:microsoft.com/office/officeart/2005/8/layout/orgChart1"/>
    <dgm:cxn modelId="{88043762-2C94-B445-A98F-8EF117B1D4E6}" type="presParOf" srcId="{96339664-B186-D248-9B68-C777C3D76FC8}" destId="{5E25D8C3-1767-6048-9D35-B009F394B855}" srcOrd="0" destOrd="0" presId="urn:microsoft.com/office/officeart/2005/8/layout/orgChart1"/>
    <dgm:cxn modelId="{AAA7826C-DFB7-2140-9EA6-688341BA400F}" type="presParOf" srcId="{96339664-B186-D248-9B68-C777C3D76FC8}" destId="{D5FA326E-D5AB-424E-8AE5-52E352C880FA}" srcOrd="1" destOrd="0" presId="urn:microsoft.com/office/officeart/2005/8/layout/orgChart1"/>
    <dgm:cxn modelId="{4B777587-3CBD-7A48-8444-CCA145AE1E9F}" type="presParOf" srcId="{E0DFA770-486C-464A-A6C5-2DC3C339C35A}" destId="{9417B220-02D6-DF49-BAE8-C5037481CC95}" srcOrd="1" destOrd="0" presId="urn:microsoft.com/office/officeart/2005/8/layout/orgChart1"/>
    <dgm:cxn modelId="{AEEEC9DB-5DF5-CC4B-BC47-13C9A97C15CD}" type="presParOf" srcId="{E0DFA770-486C-464A-A6C5-2DC3C339C35A}" destId="{2E3EC33F-A6F8-7048-9C7F-AEBBE864F3B0}" srcOrd="2" destOrd="0" presId="urn:microsoft.com/office/officeart/2005/8/layout/orgChart1"/>
    <dgm:cxn modelId="{66A9B0C7-7A7D-A94D-A98E-64292DDBC7CD}" type="presParOf" srcId="{7EA54FEC-C318-C84A-B6AB-D2AD22B48DF2}" destId="{7D783E72-6CC1-F94F-8DFB-7C2C86A860D7}" srcOrd="2" destOrd="0" presId="urn:microsoft.com/office/officeart/2005/8/layout/orgChart1"/>
    <dgm:cxn modelId="{485B872B-026C-C24F-AD96-296A5C78077E}" type="presParOf" srcId="{7EA54FEC-C318-C84A-B6AB-D2AD22B48DF2}" destId="{B394C818-C89F-0249-83AF-3809CEB46B8C}" srcOrd="3" destOrd="0" presId="urn:microsoft.com/office/officeart/2005/8/layout/orgChart1"/>
    <dgm:cxn modelId="{80B006F6-0C93-424A-9E7F-623F1A237D8E}" type="presParOf" srcId="{B394C818-C89F-0249-83AF-3809CEB46B8C}" destId="{8D0FAE17-DC73-5545-9EF2-AA07FA593943}" srcOrd="0" destOrd="0" presId="urn:microsoft.com/office/officeart/2005/8/layout/orgChart1"/>
    <dgm:cxn modelId="{B25E0C5B-5436-D24E-B09D-B618130EC28C}" type="presParOf" srcId="{8D0FAE17-DC73-5545-9EF2-AA07FA593943}" destId="{92C1963E-85AD-9F44-B058-E01424A93FCE}" srcOrd="0" destOrd="0" presId="urn:microsoft.com/office/officeart/2005/8/layout/orgChart1"/>
    <dgm:cxn modelId="{1C76CD63-3D76-DF48-B4CE-0BA6FDD260C0}" type="presParOf" srcId="{8D0FAE17-DC73-5545-9EF2-AA07FA593943}" destId="{88C97F79-5D96-5A4C-BB3D-C931A9F34BF2}" srcOrd="1" destOrd="0" presId="urn:microsoft.com/office/officeart/2005/8/layout/orgChart1"/>
    <dgm:cxn modelId="{DB447193-70EE-F649-8154-27ACA43AD7C9}" type="presParOf" srcId="{B394C818-C89F-0249-83AF-3809CEB46B8C}" destId="{B3F215C4-7231-F144-8156-C23472BC789F}" srcOrd="1" destOrd="0" presId="urn:microsoft.com/office/officeart/2005/8/layout/orgChart1"/>
    <dgm:cxn modelId="{F7036AA7-ADC4-2F49-A4CE-6EB0C0DD55DF}" type="presParOf" srcId="{B394C818-C89F-0249-83AF-3809CEB46B8C}" destId="{A30508F1-280E-4446-AFF3-164AC20C4D90}" srcOrd="2" destOrd="0" presId="urn:microsoft.com/office/officeart/2005/8/layout/orgChart1"/>
    <dgm:cxn modelId="{E23DE36B-2B79-3F4B-96D4-BA77AEAF3AB1}" type="presParOf" srcId="{6978A312-F9F3-A946-AAE0-5664177C3444}" destId="{4DE0BD92-D461-D547-AFCD-F217AC87B72D}" srcOrd="2" destOrd="0" presId="urn:microsoft.com/office/officeart/2005/8/layout/orgChart1"/>
    <dgm:cxn modelId="{D282A848-C76A-7144-A9C0-572610A17309}" type="presParOf" srcId="{4387B416-B1FA-8442-960E-13E9371EA08C}" destId="{57C530B2-D3B9-E24F-A48A-60F637C177C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83E72-6CC1-F94F-8DFB-7C2C86A860D7}">
      <dsp:nvSpPr>
        <dsp:cNvPr id="0" name=""/>
        <dsp:cNvSpPr/>
      </dsp:nvSpPr>
      <dsp:spPr>
        <a:xfrm>
          <a:off x="3980214" y="1215631"/>
          <a:ext cx="137623" cy="2515897"/>
        </a:xfrm>
        <a:custGeom>
          <a:avLst/>
          <a:gdLst/>
          <a:ahLst/>
          <a:cxnLst/>
          <a:rect l="0" t="0" r="0" b="0"/>
          <a:pathLst>
            <a:path>
              <a:moveTo>
                <a:pt x="0" y="0"/>
              </a:moveTo>
              <a:lnTo>
                <a:pt x="0" y="2515897"/>
              </a:lnTo>
              <a:lnTo>
                <a:pt x="137623" y="251589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72A8C30-9301-1049-8C30-DF99C2F4C853}">
      <dsp:nvSpPr>
        <dsp:cNvPr id="0" name=""/>
        <dsp:cNvSpPr/>
      </dsp:nvSpPr>
      <dsp:spPr>
        <a:xfrm>
          <a:off x="3980214" y="1215631"/>
          <a:ext cx="137623" cy="1013167"/>
        </a:xfrm>
        <a:custGeom>
          <a:avLst/>
          <a:gdLst/>
          <a:ahLst/>
          <a:cxnLst/>
          <a:rect l="0" t="0" r="0" b="0"/>
          <a:pathLst>
            <a:path>
              <a:moveTo>
                <a:pt x="0" y="0"/>
              </a:moveTo>
              <a:lnTo>
                <a:pt x="0" y="1013167"/>
              </a:lnTo>
              <a:lnTo>
                <a:pt x="137623" y="10131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35816E4-4CCA-5645-9E7A-D1E573E70C48}">
      <dsp:nvSpPr>
        <dsp:cNvPr id="0" name=""/>
        <dsp:cNvSpPr/>
      </dsp:nvSpPr>
      <dsp:spPr>
        <a:xfrm>
          <a:off x="2998068" y="624615"/>
          <a:ext cx="1349140" cy="261370"/>
        </a:xfrm>
        <a:custGeom>
          <a:avLst/>
          <a:gdLst/>
          <a:ahLst/>
          <a:cxnLst/>
          <a:rect l="0" t="0" r="0" b="0"/>
          <a:pathLst>
            <a:path>
              <a:moveTo>
                <a:pt x="0" y="0"/>
              </a:moveTo>
              <a:lnTo>
                <a:pt x="0" y="130685"/>
              </a:lnTo>
              <a:lnTo>
                <a:pt x="1349140" y="130685"/>
              </a:lnTo>
              <a:lnTo>
                <a:pt x="1349140" y="26137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C40884F-C619-BA4B-8324-615888DE4965}">
      <dsp:nvSpPr>
        <dsp:cNvPr id="0" name=""/>
        <dsp:cNvSpPr/>
      </dsp:nvSpPr>
      <dsp:spPr>
        <a:xfrm>
          <a:off x="2034930" y="1806646"/>
          <a:ext cx="137623" cy="3584733"/>
        </a:xfrm>
        <a:custGeom>
          <a:avLst/>
          <a:gdLst/>
          <a:ahLst/>
          <a:cxnLst/>
          <a:rect l="0" t="0" r="0" b="0"/>
          <a:pathLst>
            <a:path>
              <a:moveTo>
                <a:pt x="0" y="0"/>
              </a:moveTo>
              <a:lnTo>
                <a:pt x="0" y="3584733"/>
              </a:lnTo>
              <a:lnTo>
                <a:pt x="137623" y="358473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9D65BC4-9719-6843-B21A-0A47F9FCA109}">
      <dsp:nvSpPr>
        <dsp:cNvPr id="0" name=""/>
        <dsp:cNvSpPr/>
      </dsp:nvSpPr>
      <dsp:spPr>
        <a:xfrm>
          <a:off x="2034930" y="1806646"/>
          <a:ext cx="137623" cy="2244230"/>
        </a:xfrm>
        <a:custGeom>
          <a:avLst/>
          <a:gdLst/>
          <a:ahLst/>
          <a:cxnLst/>
          <a:rect l="0" t="0" r="0" b="0"/>
          <a:pathLst>
            <a:path>
              <a:moveTo>
                <a:pt x="0" y="0"/>
              </a:moveTo>
              <a:lnTo>
                <a:pt x="0" y="2244230"/>
              </a:lnTo>
              <a:lnTo>
                <a:pt x="137623" y="22442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812419F-4472-7046-885A-32A2BFF6DB39}">
      <dsp:nvSpPr>
        <dsp:cNvPr id="0" name=""/>
        <dsp:cNvSpPr/>
      </dsp:nvSpPr>
      <dsp:spPr>
        <a:xfrm>
          <a:off x="2034930" y="1806646"/>
          <a:ext cx="137623" cy="738127"/>
        </a:xfrm>
        <a:custGeom>
          <a:avLst/>
          <a:gdLst/>
          <a:ahLst/>
          <a:cxnLst/>
          <a:rect l="0" t="0" r="0" b="0"/>
          <a:pathLst>
            <a:path>
              <a:moveTo>
                <a:pt x="0" y="0"/>
              </a:moveTo>
              <a:lnTo>
                <a:pt x="0" y="738127"/>
              </a:lnTo>
              <a:lnTo>
                <a:pt x="137623" y="73812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76DBF50-043B-E74F-8EF5-D88C6105951F}">
      <dsp:nvSpPr>
        <dsp:cNvPr id="0" name=""/>
        <dsp:cNvSpPr/>
      </dsp:nvSpPr>
      <dsp:spPr>
        <a:xfrm>
          <a:off x="1648927" y="1215631"/>
          <a:ext cx="752997" cy="261370"/>
        </a:xfrm>
        <a:custGeom>
          <a:avLst/>
          <a:gdLst/>
          <a:ahLst/>
          <a:cxnLst/>
          <a:rect l="0" t="0" r="0" b="0"/>
          <a:pathLst>
            <a:path>
              <a:moveTo>
                <a:pt x="0" y="0"/>
              </a:moveTo>
              <a:lnTo>
                <a:pt x="0" y="130685"/>
              </a:lnTo>
              <a:lnTo>
                <a:pt x="752997" y="130685"/>
              </a:lnTo>
              <a:lnTo>
                <a:pt x="752997" y="26137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7C9F11C-5ED6-8C48-B613-B6DBACDD1412}">
      <dsp:nvSpPr>
        <dsp:cNvPr id="0" name=""/>
        <dsp:cNvSpPr/>
      </dsp:nvSpPr>
      <dsp:spPr>
        <a:xfrm>
          <a:off x="528935" y="1806646"/>
          <a:ext cx="137623" cy="843870"/>
        </a:xfrm>
        <a:custGeom>
          <a:avLst/>
          <a:gdLst/>
          <a:ahLst/>
          <a:cxnLst/>
          <a:rect l="0" t="0" r="0" b="0"/>
          <a:pathLst>
            <a:path>
              <a:moveTo>
                <a:pt x="0" y="0"/>
              </a:moveTo>
              <a:lnTo>
                <a:pt x="0" y="843870"/>
              </a:lnTo>
              <a:lnTo>
                <a:pt x="137623" y="84387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EF6EBE6-64E3-234F-9B32-A7D3EC6A9D07}">
      <dsp:nvSpPr>
        <dsp:cNvPr id="0" name=""/>
        <dsp:cNvSpPr/>
      </dsp:nvSpPr>
      <dsp:spPr>
        <a:xfrm>
          <a:off x="895930" y="1215631"/>
          <a:ext cx="752997" cy="261370"/>
        </a:xfrm>
        <a:custGeom>
          <a:avLst/>
          <a:gdLst/>
          <a:ahLst/>
          <a:cxnLst/>
          <a:rect l="0" t="0" r="0" b="0"/>
          <a:pathLst>
            <a:path>
              <a:moveTo>
                <a:pt x="752997" y="0"/>
              </a:moveTo>
              <a:lnTo>
                <a:pt x="752997" y="130685"/>
              </a:lnTo>
              <a:lnTo>
                <a:pt x="0" y="130685"/>
              </a:lnTo>
              <a:lnTo>
                <a:pt x="0" y="26137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B605831-4CD9-944B-81BB-C016E8DBA18E}">
      <dsp:nvSpPr>
        <dsp:cNvPr id="0" name=""/>
        <dsp:cNvSpPr/>
      </dsp:nvSpPr>
      <dsp:spPr>
        <a:xfrm>
          <a:off x="1648927" y="624615"/>
          <a:ext cx="1349140" cy="261370"/>
        </a:xfrm>
        <a:custGeom>
          <a:avLst/>
          <a:gdLst/>
          <a:ahLst/>
          <a:cxnLst/>
          <a:rect l="0" t="0" r="0" b="0"/>
          <a:pathLst>
            <a:path>
              <a:moveTo>
                <a:pt x="1349140" y="0"/>
              </a:moveTo>
              <a:lnTo>
                <a:pt x="1349140" y="130685"/>
              </a:lnTo>
              <a:lnTo>
                <a:pt x="0" y="130685"/>
              </a:lnTo>
              <a:lnTo>
                <a:pt x="0" y="26137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12F6B3E-EC99-D04B-B281-158214650ED2}">
      <dsp:nvSpPr>
        <dsp:cNvPr id="0" name=""/>
        <dsp:cNvSpPr/>
      </dsp:nvSpPr>
      <dsp:spPr>
        <a:xfrm>
          <a:off x="716878" y="2303"/>
          <a:ext cx="4562379" cy="622311"/>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Возможно ли надежно оценить финансовый результат по договору?</a:t>
          </a:r>
        </a:p>
      </dsp:txBody>
      <dsp:txXfrm>
        <a:off x="716878" y="2303"/>
        <a:ext cx="4562379" cy="622311"/>
      </dsp:txXfrm>
    </dsp:sp>
    <dsp:sp modelId="{01009E11-4855-184F-8434-50FA542D2997}">
      <dsp:nvSpPr>
        <dsp:cNvPr id="0" name=""/>
        <dsp:cNvSpPr/>
      </dsp:nvSpPr>
      <dsp:spPr>
        <a:xfrm>
          <a:off x="1190184" y="885986"/>
          <a:ext cx="917486" cy="329644"/>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Да</a:t>
          </a:r>
        </a:p>
      </dsp:txBody>
      <dsp:txXfrm>
        <a:off x="1190184" y="885986"/>
        <a:ext cx="917486" cy="329644"/>
      </dsp:txXfrm>
    </dsp:sp>
    <dsp:sp modelId="{388BA256-E0EE-1647-A1B2-5B8F0FC43BA6}">
      <dsp:nvSpPr>
        <dsp:cNvPr id="0" name=""/>
        <dsp:cNvSpPr/>
      </dsp:nvSpPr>
      <dsp:spPr>
        <a:xfrm>
          <a:off x="437186" y="1477001"/>
          <a:ext cx="917486" cy="329644"/>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Прибыль</a:t>
          </a:r>
        </a:p>
      </dsp:txBody>
      <dsp:txXfrm>
        <a:off x="437186" y="1477001"/>
        <a:ext cx="917486" cy="329644"/>
      </dsp:txXfrm>
    </dsp:sp>
    <dsp:sp modelId="{73E8FC6D-768B-A948-B38B-A55F2D9A73D4}">
      <dsp:nvSpPr>
        <dsp:cNvPr id="0" name=""/>
        <dsp:cNvSpPr/>
      </dsp:nvSpPr>
      <dsp:spPr>
        <a:xfrm>
          <a:off x="666558" y="2068017"/>
          <a:ext cx="1244623" cy="1164998"/>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Выручка и затраты отражаются по мере готовности</a:t>
          </a:r>
        </a:p>
      </dsp:txBody>
      <dsp:txXfrm>
        <a:off x="666558" y="2068017"/>
        <a:ext cx="1244623" cy="1164998"/>
      </dsp:txXfrm>
    </dsp:sp>
    <dsp:sp modelId="{EAD4E6CA-0CA7-D045-B15A-4C00EF8A7A2E}">
      <dsp:nvSpPr>
        <dsp:cNvPr id="0" name=""/>
        <dsp:cNvSpPr/>
      </dsp:nvSpPr>
      <dsp:spPr>
        <a:xfrm>
          <a:off x="1943181" y="1477001"/>
          <a:ext cx="917486" cy="329644"/>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Убыток</a:t>
          </a:r>
        </a:p>
      </dsp:txBody>
      <dsp:txXfrm>
        <a:off x="1943181" y="1477001"/>
        <a:ext cx="917486" cy="329644"/>
      </dsp:txXfrm>
    </dsp:sp>
    <dsp:sp modelId="{E409D8A5-29D4-C24C-ACE1-0F0F34BD8652}">
      <dsp:nvSpPr>
        <dsp:cNvPr id="0" name=""/>
        <dsp:cNvSpPr/>
      </dsp:nvSpPr>
      <dsp:spPr>
        <a:xfrm>
          <a:off x="2172553" y="2068017"/>
          <a:ext cx="1244623" cy="953512"/>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Выручка рассчитывается как процент от общей выручки по договору</a:t>
          </a:r>
        </a:p>
      </dsp:txBody>
      <dsp:txXfrm>
        <a:off x="2172553" y="2068017"/>
        <a:ext cx="1244623" cy="953512"/>
      </dsp:txXfrm>
    </dsp:sp>
    <dsp:sp modelId="{5914A375-45BA-A24C-A920-A96023B99C14}">
      <dsp:nvSpPr>
        <dsp:cNvPr id="0" name=""/>
        <dsp:cNvSpPr/>
      </dsp:nvSpPr>
      <dsp:spPr>
        <a:xfrm>
          <a:off x="2172553" y="3282901"/>
          <a:ext cx="1683913" cy="1535952"/>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Себестоимость выполненных работ рассчитывается как расчетная величина между планируемым убытком и признанной выручкой</a:t>
          </a:r>
        </a:p>
      </dsp:txBody>
      <dsp:txXfrm>
        <a:off x="2172553" y="3282901"/>
        <a:ext cx="1683913" cy="1535952"/>
      </dsp:txXfrm>
    </dsp:sp>
    <dsp:sp modelId="{6D8BEECA-DDAE-494A-9F3B-C3CD254A701B}">
      <dsp:nvSpPr>
        <dsp:cNvPr id="0" name=""/>
        <dsp:cNvSpPr/>
      </dsp:nvSpPr>
      <dsp:spPr>
        <a:xfrm>
          <a:off x="2172553" y="5080224"/>
          <a:ext cx="2808381" cy="622311"/>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Убыток немедлнно признается в составе расходов</a:t>
          </a:r>
        </a:p>
      </dsp:txBody>
      <dsp:txXfrm>
        <a:off x="2172553" y="5080224"/>
        <a:ext cx="2808381" cy="622311"/>
      </dsp:txXfrm>
    </dsp:sp>
    <dsp:sp modelId="{2DE9C20C-5273-FB4F-B930-56553C14EAE8}">
      <dsp:nvSpPr>
        <dsp:cNvPr id="0" name=""/>
        <dsp:cNvSpPr/>
      </dsp:nvSpPr>
      <dsp:spPr>
        <a:xfrm>
          <a:off x="3888466" y="885986"/>
          <a:ext cx="917486" cy="329644"/>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Нет</a:t>
          </a:r>
        </a:p>
      </dsp:txBody>
      <dsp:txXfrm>
        <a:off x="3888466" y="885986"/>
        <a:ext cx="917486" cy="329644"/>
      </dsp:txXfrm>
    </dsp:sp>
    <dsp:sp modelId="{5E25D8C3-1767-6048-9D35-B009F394B855}">
      <dsp:nvSpPr>
        <dsp:cNvPr id="0" name=""/>
        <dsp:cNvSpPr/>
      </dsp:nvSpPr>
      <dsp:spPr>
        <a:xfrm>
          <a:off x="4117837" y="1477001"/>
          <a:ext cx="1381893" cy="1503592"/>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Выручка признается в той степени, в которой будут возмещены понесенные по договору затраты</a:t>
          </a:r>
        </a:p>
      </dsp:txBody>
      <dsp:txXfrm>
        <a:off x="4117837" y="1477001"/>
        <a:ext cx="1381893" cy="1503592"/>
      </dsp:txXfrm>
    </dsp:sp>
    <dsp:sp modelId="{92C1963E-85AD-9F44-B058-E01424A93FCE}">
      <dsp:nvSpPr>
        <dsp:cNvPr id="0" name=""/>
        <dsp:cNvSpPr/>
      </dsp:nvSpPr>
      <dsp:spPr>
        <a:xfrm>
          <a:off x="4117837" y="3241965"/>
          <a:ext cx="1719410" cy="97912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solidFill>
                <a:schemeClr val="tx1"/>
              </a:solidFill>
              <a:latin typeface="Times New Roman" charset="0"/>
              <a:ea typeface="Times New Roman" charset="0"/>
              <a:cs typeface="Times New Roman" charset="0"/>
            </a:rPr>
            <a:t>Затраты необходимо признавать в период их возникновения</a:t>
          </a:r>
        </a:p>
      </dsp:txBody>
      <dsp:txXfrm>
        <a:off x="4117837" y="3241965"/>
        <a:ext cx="1719410" cy="9791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1BEA-2491-9D49-81D2-B46A5C30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16276</Words>
  <Characters>92777</Characters>
  <Application>Microsoft Macintosh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Saint-Petersburg State University</Company>
  <LinksUpToDate>false</LinksUpToDate>
  <CharactersWithSpaces>108836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Microsoft Office</cp:lastModifiedBy>
  <cp:revision>2</cp:revision>
  <cp:lastPrinted>2016-05-05T18:02:00Z</cp:lastPrinted>
  <dcterms:created xsi:type="dcterms:W3CDTF">2016-05-15T10:09:00Z</dcterms:created>
  <dcterms:modified xsi:type="dcterms:W3CDTF">2016-05-15T10:09:00Z</dcterms:modified>
</cp:coreProperties>
</file>